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28935">
      <w:pPr>
        <w:spacing w:line="500" w:lineRule="exact"/>
        <w:rPr>
          <w:rFonts w:ascii="Calibri" w:hAnsi="Calibri"/>
          <w:kern w:val="0"/>
          <w:sz w:val="24"/>
          <w:highlight w:val="none"/>
        </w:rPr>
      </w:pPr>
      <w:bookmarkStart w:id="0" w:name="_Toc29313"/>
      <w:bookmarkEnd w:id="0"/>
      <w:bookmarkStart w:id="1" w:name="_Toc466566782"/>
      <w:bookmarkEnd w:id="1"/>
    </w:p>
    <w:p w14:paraId="0B63874F">
      <w:pPr>
        <w:pStyle w:val="2"/>
        <w:numPr>
          <w:ilvl w:val="1"/>
          <w:numId w:val="0"/>
        </w:numPr>
        <w:rPr>
          <w:highlight w:val="none"/>
        </w:rPr>
      </w:pPr>
    </w:p>
    <w:p w14:paraId="10F82707">
      <w:pPr>
        <w:spacing w:line="480" w:lineRule="auto"/>
        <w:jc w:val="center"/>
        <w:rPr>
          <w:rFonts w:hint="eastAsia" w:ascii="宋体" w:hAnsi="宋体" w:eastAsia="宋体"/>
          <w:b/>
          <w:bCs/>
          <w:sz w:val="84"/>
          <w:szCs w:val="84"/>
          <w:highlight w:val="none"/>
          <w:lang w:eastAsia="zh-CN"/>
        </w:rPr>
      </w:pPr>
      <w:r>
        <w:rPr>
          <w:rFonts w:hint="eastAsia" w:ascii="宋体" w:hAnsi="宋体" w:cs="黑体"/>
          <w:b/>
          <w:kern w:val="0"/>
          <w:sz w:val="48"/>
          <w:szCs w:val="48"/>
          <w:highlight w:val="none"/>
          <w:lang w:eastAsia="zh-CN"/>
        </w:rPr>
        <w:t>陕州区2026年中央财政农业防灾减灾资金项目</w:t>
      </w:r>
    </w:p>
    <w:p w14:paraId="67029163">
      <w:pPr>
        <w:spacing w:after="120" w:line="360" w:lineRule="auto"/>
        <w:jc w:val="center"/>
        <w:rPr>
          <w:rFonts w:hint="eastAsia" w:ascii="宋体" w:hAnsi="宋体" w:cs="黑体"/>
          <w:b/>
          <w:kern w:val="0"/>
          <w:sz w:val="72"/>
          <w:szCs w:val="72"/>
          <w:highlight w:val="none"/>
        </w:rPr>
      </w:pPr>
    </w:p>
    <w:p w14:paraId="1E29FE2A">
      <w:pPr>
        <w:spacing w:after="120" w:line="360" w:lineRule="auto"/>
        <w:jc w:val="center"/>
        <w:rPr>
          <w:rFonts w:ascii="宋体" w:hAnsi="宋体" w:cs="黑体"/>
          <w:b/>
          <w:kern w:val="0"/>
          <w:sz w:val="72"/>
          <w:szCs w:val="72"/>
          <w:highlight w:val="none"/>
        </w:rPr>
      </w:pPr>
      <w:r>
        <w:rPr>
          <w:rFonts w:hint="eastAsia" w:ascii="宋体" w:hAnsi="宋体" w:cs="黑体"/>
          <w:b/>
          <w:kern w:val="0"/>
          <w:sz w:val="72"/>
          <w:szCs w:val="72"/>
          <w:highlight w:val="none"/>
        </w:rPr>
        <w:t>竞争性磋商文件</w:t>
      </w:r>
    </w:p>
    <w:p w14:paraId="23727112">
      <w:pPr>
        <w:spacing w:line="480" w:lineRule="auto"/>
        <w:jc w:val="center"/>
        <w:rPr>
          <w:rFonts w:ascii="宋体" w:hAnsi="宋体" w:cs="宋体"/>
          <w:b/>
          <w:spacing w:val="20"/>
          <w:kern w:val="0"/>
          <w:sz w:val="32"/>
          <w:szCs w:val="32"/>
          <w:highlight w:val="none"/>
        </w:rPr>
      </w:pPr>
    </w:p>
    <w:p w14:paraId="5A539A7D">
      <w:pPr>
        <w:rPr>
          <w:highlight w:val="none"/>
        </w:rPr>
      </w:pPr>
    </w:p>
    <w:p w14:paraId="13836F2A">
      <w:pPr>
        <w:widowControl/>
        <w:shd w:val="clear" w:color="auto" w:fill="FFFFFF"/>
        <w:spacing w:line="390" w:lineRule="atLeast"/>
        <w:jc w:val="center"/>
        <w:rPr>
          <w:rFonts w:hint="default" w:ascii="宋体" w:hAnsi="宋体" w:cs="宋体"/>
          <w:b/>
          <w:color w:val="auto"/>
          <w:spacing w:val="20"/>
          <w:kern w:val="0"/>
          <w:sz w:val="28"/>
          <w:szCs w:val="28"/>
          <w:highlight w:val="none"/>
          <w:lang w:val="en-US" w:eastAsia="zh-CN"/>
        </w:rPr>
      </w:pPr>
      <w:r>
        <w:rPr>
          <w:rFonts w:hint="eastAsia" w:ascii="宋体" w:hAnsi="宋体" w:cs="宋体"/>
          <w:b/>
          <w:color w:val="000000" w:themeColor="text1"/>
          <w:spacing w:val="20"/>
          <w:kern w:val="0"/>
          <w:sz w:val="28"/>
          <w:szCs w:val="28"/>
          <w:highlight w:val="none"/>
          <w14:textFill>
            <w14:solidFill>
              <w14:schemeClr w14:val="tx1"/>
            </w14:solidFill>
          </w14:textFill>
        </w:rPr>
        <w:t>项目编号：</w:t>
      </w:r>
      <w:r>
        <w:rPr>
          <w:rFonts w:hint="eastAsia" w:ascii="宋体" w:hAnsi="宋体" w:cs="宋体"/>
          <w:b/>
          <w:color w:val="auto"/>
          <w:spacing w:val="20"/>
          <w:kern w:val="0"/>
          <w:sz w:val="28"/>
          <w:szCs w:val="28"/>
          <w:highlight w:val="none"/>
          <w:lang w:eastAsia="zh-CN"/>
        </w:rPr>
        <w:t>陕州竞磋采购-2026-11、SZGZ[2026]041-ZC033</w:t>
      </w:r>
    </w:p>
    <w:p w14:paraId="70454EC8">
      <w:pPr>
        <w:spacing w:line="480" w:lineRule="auto"/>
        <w:jc w:val="center"/>
        <w:rPr>
          <w:rFonts w:ascii="宋体" w:hAnsi="宋体" w:cs="宋体"/>
          <w:b/>
          <w:color w:val="FF0000"/>
          <w:sz w:val="24"/>
          <w:highlight w:val="none"/>
        </w:rPr>
      </w:pPr>
    </w:p>
    <w:p w14:paraId="04D6F441">
      <w:pPr>
        <w:spacing w:line="480" w:lineRule="auto"/>
        <w:jc w:val="center"/>
        <w:rPr>
          <w:rFonts w:ascii="宋体" w:hAnsi="宋体" w:cs="宋体"/>
          <w:b/>
          <w:sz w:val="28"/>
          <w:szCs w:val="28"/>
          <w:highlight w:val="none"/>
        </w:rPr>
      </w:pPr>
      <w:r>
        <w:rPr>
          <w:rFonts w:ascii="新宋体" w:hAnsi="新宋体" w:eastAsia="新宋体" w:cs="新宋体"/>
          <w:highlight w:val="none"/>
        </w:rPr>
        <w:drawing>
          <wp:anchor distT="0" distB="0" distL="114300" distR="114300" simplePos="0" relativeHeight="251659264" behindDoc="0" locked="0" layoutInCell="1" allowOverlap="1">
            <wp:simplePos x="0" y="0"/>
            <wp:positionH relativeFrom="column">
              <wp:posOffset>1566545</wp:posOffset>
            </wp:positionH>
            <wp:positionV relativeFrom="paragraph">
              <wp:posOffset>74295</wp:posOffset>
            </wp:positionV>
            <wp:extent cx="2400300" cy="24003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2400300" cy="2400300"/>
                    </a:xfrm>
                    <a:prstGeom prst="rect">
                      <a:avLst/>
                    </a:prstGeom>
                    <a:noFill/>
                    <a:ln>
                      <a:noFill/>
                    </a:ln>
                  </pic:spPr>
                </pic:pic>
              </a:graphicData>
            </a:graphic>
          </wp:anchor>
        </w:drawing>
      </w:r>
    </w:p>
    <w:p w14:paraId="4E7A6A38">
      <w:pPr>
        <w:spacing w:line="480" w:lineRule="auto"/>
        <w:jc w:val="center"/>
        <w:rPr>
          <w:rFonts w:ascii="宋体" w:hAnsi="宋体" w:cs="宋体"/>
          <w:b/>
          <w:sz w:val="28"/>
          <w:szCs w:val="28"/>
          <w:highlight w:val="none"/>
        </w:rPr>
      </w:pPr>
    </w:p>
    <w:p w14:paraId="48E1A5CA">
      <w:pPr>
        <w:spacing w:line="480" w:lineRule="auto"/>
        <w:jc w:val="center"/>
        <w:rPr>
          <w:rFonts w:ascii="宋体" w:hAnsi="宋体"/>
          <w:b/>
          <w:bCs/>
          <w:sz w:val="28"/>
          <w:szCs w:val="28"/>
          <w:highlight w:val="none"/>
        </w:rPr>
      </w:pPr>
    </w:p>
    <w:p w14:paraId="29447D21">
      <w:pPr>
        <w:spacing w:line="240" w:lineRule="auto"/>
        <w:rPr>
          <w:rFonts w:ascii="宋体" w:hAnsi="宋体"/>
          <w:b/>
          <w:bCs/>
          <w:kern w:val="0"/>
          <w:sz w:val="28"/>
          <w:szCs w:val="28"/>
          <w:highlight w:val="none"/>
        </w:rPr>
      </w:pPr>
    </w:p>
    <w:p w14:paraId="28000643">
      <w:pPr>
        <w:bidi w:val="0"/>
        <w:rPr>
          <w:highlight w:val="none"/>
        </w:rPr>
      </w:pPr>
    </w:p>
    <w:p w14:paraId="5900BEA9">
      <w:pPr>
        <w:bidi w:val="0"/>
        <w:rPr>
          <w:highlight w:val="none"/>
        </w:rPr>
      </w:pPr>
    </w:p>
    <w:p w14:paraId="5EE1DF54">
      <w:pPr>
        <w:bidi w:val="0"/>
        <w:rPr>
          <w:highlight w:val="none"/>
        </w:rPr>
      </w:pPr>
    </w:p>
    <w:p w14:paraId="671F2DE6">
      <w:pPr>
        <w:bidi w:val="0"/>
        <w:rPr>
          <w:highlight w:val="none"/>
        </w:rPr>
      </w:pPr>
    </w:p>
    <w:p w14:paraId="45F6B50F">
      <w:pPr>
        <w:bidi w:val="0"/>
        <w:rPr>
          <w:highlight w:val="none"/>
        </w:rPr>
      </w:pPr>
    </w:p>
    <w:p w14:paraId="3C24BE2A">
      <w:pPr>
        <w:bidi w:val="0"/>
        <w:rPr>
          <w:highlight w:val="none"/>
        </w:rPr>
      </w:pPr>
    </w:p>
    <w:p w14:paraId="7ADBBBDB">
      <w:pPr>
        <w:spacing w:line="480" w:lineRule="auto"/>
        <w:ind w:firstLine="1285" w:firstLineChars="400"/>
        <w:rPr>
          <w:rFonts w:ascii="宋体" w:hAnsi="宋体" w:cs="Arial Unicode MS"/>
          <w:b/>
          <w:bCs/>
          <w:kern w:val="0"/>
          <w:position w:val="-3"/>
          <w:sz w:val="32"/>
          <w:szCs w:val="32"/>
          <w:highlight w:val="none"/>
        </w:rPr>
      </w:pPr>
      <w:bookmarkStart w:id="2" w:name="_Toc7380_WPSOffice_Level1"/>
      <w:bookmarkStart w:id="3" w:name="_Toc28898_WPSOffice_Level1"/>
      <w:bookmarkStart w:id="4" w:name="_Toc18647_WPSOffice_Level1"/>
      <w:r>
        <w:rPr>
          <w:rFonts w:hint="eastAsia" w:ascii="宋体" w:hAnsi="宋体" w:cs="Arial Unicode MS"/>
          <w:b/>
          <w:bCs/>
          <w:kern w:val="0"/>
          <w:position w:val="-3"/>
          <w:sz w:val="32"/>
          <w:szCs w:val="32"/>
          <w:highlight w:val="none"/>
        </w:rPr>
        <w:t>采购人：三门峡市陕州区农业农村局</w:t>
      </w:r>
    </w:p>
    <w:p w14:paraId="35811310">
      <w:pPr>
        <w:widowControl/>
        <w:tabs>
          <w:tab w:val="left" w:pos="3120"/>
          <w:tab w:val="left" w:pos="4080"/>
          <w:tab w:val="left" w:pos="5060"/>
        </w:tabs>
        <w:autoSpaceDE w:val="0"/>
        <w:autoSpaceDN w:val="0"/>
        <w:adjustRightInd w:val="0"/>
        <w:spacing w:line="360" w:lineRule="auto"/>
        <w:ind w:firstLine="1285" w:firstLineChars="400"/>
        <w:rPr>
          <w:rFonts w:ascii="宋体" w:hAnsi="宋体" w:cs="Arial Unicode MS"/>
          <w:b/>
          <w:bCs/>
          <w:kern w:val="0"/>
          <w:position w:val="-3"/>
          <w:sz w:val="32"/>
          <w:szCs w:val="32"/>
          <w:highlight w:val="none"/>
        </w:rPr>
      </w:pPr>
      <w:r>
        <w:rPr>
          <w:rFonts w:hint="eastAsia" w:ascii="宋体" w:hAnsi="宋体" w:cs="Arial Unicode MS"/>
          <w:b/>
          <w:bCs/>
          <w:kern w:val="0"/>
          <w:position w:val="-3"/>
          <w:sz w:val="32"/>
          <w:szCs w:val="32"/>
          <w:highlight w:val="none"/>
        </w:rPr>
        <w:t xml:space="preserve">代理机构：国咨项目管理有限公司 </w:t>
      </w:r>
    </w:p>
    <w:p w14:paraId="230504B6">
      <w:pPr>
        <w:spacing w:line="240" w:lineRule="auto"/>
        <w:ind w:firstLine="1285" w:firstLineChars="400"/>
        <w:rPr>
          <w:rFonts w:ascii="宋体" w:hAnsi="宋体" w:cs="Arial Unicode MS"/>
          <w:b/>
          <w:bCs/>
          <w:kern w:val="0"/>
          <w:position w:val="-3"/>
          <w:sz w:val="32"/>
          <w:szCs w:val="32"/>
          <w:highlight w:val="none"/>
        </w:rPr>
        <w:sectPr>
          <w:pgSz w:w="11906" w:h="16838"/>
          <w:pgMar w:top="1440" w:right="1361" w:bottom="1440" w:left="1587" w:header="851" w:footer="992" w:gutter="0"/>
          <w:cols w:space="720" w:num="1"/>
          <w:titlePg/>
          <w:docGrid w:type="lines" w:linePitch="317" w:charSpace="0"/>
        </w:sectPr>
      </w:pPr>
      <w:r>
        <w:rPr>
          <w:rFonts w:hint="eastAsia" w:ascii="宋体" w:hAnsi="宋体" w:cs="Arial Unicode MS"/>
          <w:b/>
          <w:bCs/>
          <w:kern w:val="0"/>
          <w:position w:val="-3"/>
          <w:sz w:val="32"/>
          <w:szCs w:val="32"/>
          <w:highlight w:val="none"/>
        </w:rPr>
        <w:t>日</w:t>
      </w:r>
      <w:r>
        <w:rPr>
          <w:rFonts w:hint="eastAsia" w:ascii="宋体" w:hAnsi="宋体" w:cs="Arial Unicode MS"/>
          <w:b/>
          <w:bCs/>
          <w:kern w:val="0"/>
          <w:position w:val="-3"/>
          <w:sz w:val="32"/>
          <w:szCs w:val="32"/>
          <w:highlight w:val="none"/>
          <w:lang w:val="en-US" w:eastAsia="zh-CN"/>
        </w:rPr>
        <w:t xml:space="preserve"> </w:t>
      </w:r>
      <w:r>
        <w:rPr>
          <w:rFonts w:hint="eastAsia" w:ascii="宋体" w:hAnsi="宋体" w:cs="Arial Unicode MS"/>
          <w:b/>
          <w:bCs/>
          <w:kern w:val="0"/>
          <w:position w:val="-3"/>
          <w:sz w:val="32"/>
          <w:szCs w:val="32"/>
          <w:highlight w:val="none"/>
        </w:rPr>
        <w:t>期：二零二</w:t>
      </w:r>
      <w:r>
        <w:rPr>
          <w:rFonts w:hint="eastAsia" w:ascii="宋体" w:hAnsi="宋体" w:cs="Arial Unicode MS"/>
          <w:b/>
          <w:bCs/>
          <w:kern w:val="0"/>
          <w:position w:val="-3"/>
          <w:sz w:val="32"/>
          <w:szCs w:val="32"/>
          <w:highlight w:val="none"/>
          <w:lang w:eastAsia="zh-CN"/>
        </w:rPr>
        <w:t>六</w:t>
      </w:r>
      <w:r>
        <w:rPr>
          <w:rFonts w:hint="eastAsia" w:ascii="宋体" w:hAnsi="宋体" w:cs="Arial Unicode MS"/>
          <w:b/>
          <w:bCs/>
          <w:kern w:val="0"/>
          <w:position w:val="-3"/>
          <w:sz w:val="32"/>
          <w:szCs w:val="32"/>
          <w:highlight w:val="none"/>
        </w:rPr>
        <w:t>年</w:t>
      </w:r>
      <w:r>
        <w:rPr>
          <w:rFonts w:hint="eastAsia" w:ascii="宋体" w:hAnsi="宋体" w:cs="Arial Unicode MS"/>
          <w:b/>
          <w:bCs/>
          <w:kern w:val="0"/>
          <w:position w:val="-3"/>
          <w:sz w:val="32"/>
          <w:szCs w:val="32"/>
          <w:highlight w:val="none"/>
          <w:lang w:eastAsia="zh-CN"/>
        </w:rPr>
        <w:t>四</w:t>
      </w:r>
      <w:r>
        <w:rPr>
          <w:rFonts w:hint="eastAsia" w:ascii="宋体" w:hAnsi="宋体" w:cs="Arial Unicode MS"/>
          <w:b/>
          <w:bCs/>
          <w:kern w:val="0"/>
          <w:position w:val="-3"/>
          <w:sz w:val="32"/>
          <w:szCs w:val="32"/>
          <w:highlight w:val="none"/>
        </w:rPr>
        <w:t>月</w:t>
      </w:r>
    </w:p>
    <w:p w14:paraId="4046939F">
      <w:pPr>
        <w:spacing w:line="240" w:lineRule="auto"/>
        <w:jc w:val="center"/>
        <w:rPr>
          <w:b/>
          <w:bCs/>
          <w:sz w:val="32"/>
          <w:szCs w:val="32"/>
          <w:highlight w:val="none"/>
        </w:rPr>
      </w:pPr>
      <w:r>
        <w:rPr>
          <w:rFonts w:ascii="宋体" w:hAnsi="宋体"/>
          <w:b/>
          <w:bCs/>
          <w:sz w:val="32"/>
          <w:szCs w:val="32"/>
          <w:highlight w:val="none"/>
        </w:rPr>
        <w:t>目录</w:t>
      </w:r>
    </w:p>
    <w:p w14:paraId="16C788FE">
      <w:pPr>
        <w:pStyle w:val="29"/>
        <w:tabs>
          <w:tab w:val="right" w:leader="dot" w:pos="8958"/>
        </w:tabs>
        <w:rPr>
          <w:b/>
          <w:bCs/>
          <w:sz w:val="28"/>
          <w:szCs w:val="28"/>
          <w:highlight w:val="none"/>
        </w:rPr>
      </w:pPr>
      <w:r>
        <w:rPr>
          <w:b/>
          <w:bCs/>
          <w:sz w:val="28"/>
          <w:szCs w:val="28"/>
          <w:highlight w:val="none"/>
        </w:rPr>
        <w:fldChar w:fldCharType="begin"/>
      </w:r>
      <w:r>
        <w:rPr>
          <w:b/>
          <w:bCs/>
          <w:sz w:val="28"/>
          <w:szCs w:val="28"/>
          <w:highlight w:val="none"/>
        </w:rPr>
        <w:instrText xml:space="preserve">TOC \o "1-1" \h \u </w:instrText>
      </w:r>
      <w:r>
        <w:rPr>
          <w:b/>
          <w:bCs/>
          <w:sz w:val="28"/>
          <w:szCs w:val="28"/>
          <w:highlight w:val="none"/>
        </w:rPr>
        <w:fldChar w:fldCharType="separate"/>
      </w:r>
      <w:r>
        <w:rPr>
          <w:highlight w:val="none"/>
        </w:rPr>
        <w:fldChar w:fldCharType="begin"/>
      </w:r>
      <w:r>
        <w:rPr>
          <w:highlight w:val="none"/>
        </w:rPr>
        <w:instrText xml:space="preserve"> HYPERLINK \l "_Toc7003" </w:instrText>
      </w:r>
      <w:r>
        <w:rPr>
          <w:highlight w:val="none"/>
        </w:rPr>
        <w:fldChar w:fldCharType="separate"/>
      </w:r>
      <w:r>
        <w:rPr>
          <w:rFonts w:hint="eastAsia" w:ascii="宋体" w:hAnsi="宋体"/>
          <w:b/>
          <w:bCs/>
          <w:sz w:val="28"/>
          <w:szCs w:val="28"/>
          <w:highlight w:val="none"/>
        </w:rPr>
        <w:t>第一章 竞争性磋商公告</w:t>
      </w:r>
      <w:r>
        <w:rPr>
          <w:b/>
          <w:bCs/>
          <w:sz w:val="28"/>
          <w:szCs w:val="28"/>
          <w:highlight w:val="none"/>
        </w:rPr>
        <w:tab/>
      </w:r>
      <w:r>
        <w:rPr>
          <w:rFonts w:hint="eastAsia"/>
          <w:b/>
          <w:bCs/>
          <w:sz w:val="28"/>
          <w:szCs w:val="28"/>
          <w:highlight w:val="none"/>
        </w:rPr>
        <w:t>2</w:t>
      </w:r>
      <w:r>
        <w:rPr>
          <w:rFonts w:hint="eastAsia"/>
          <w:b/>
          <w:bCs/>
          <w:sz w:val="28"/>
          <w:szCs w:val="28"/>
          <w:highlight w:val="none"/>
        </w:rPr>
        <w:fldChar w:fldCharType="end"/>
      </w:r>
    </w:p>
    <w:p w14:paraId="329A542D">
      <w:pPr>
        <w:pStyle w:val="29"/>
        <w:tabs>
          <w:tab w:val="right" w:leader="dot" w:pos="8958"/>
        </w:tabs>
        <w:rPr>
          <w:b/>
          <w:bCs/>
          <w:sz w:val="28"/>
          <w:szCs w:val="28"/>
          <w:highlight w:val="none"/>
        </w:rPr>
      </w:pPr>
      <w:r>
        <w:rPr>
          <w:highlight w:val="none"/>
        </w:rPr>
        <w:fldChar w:fldCharType="begin"/>
      </w:r>
      <w:r>
        <w:rPr>
          <w:highlight w:val="none"/>
        </w:rPr>
        <w:instrText xml:space="preserve"> HYPERLINK \l "_Toc18101" </w:instrText>
      </w:r>
      <w:r>
        <w:rPr>
          <w:highlight w:val="none"/>
        </w:rPr>
        <w:fldChar w:fldCharType="separate"/>
      </w:r>
      <w:r>
        <w:rPr>
          <w:rFonts w:hint="eastAsia" w:ascii="宋体" w:hAnsi="宋体"/>
          <w:b/>
          <w:bCs/>
          <w:sz w:val="28"/>
          <w:szCs w:val="28"/>
          <w:highlight w:val="none"/>
        </w:rPr>
        <w:t>第二章 供应商须知</w:t>
      </w:r>
      <w:r>
        <w:rPr>
          <w:b/>
          <w:bCs/>
          <w:sz w:val="28"/>
          <w:szCs w:val="28"/>
          <w:highlight w:val="none"/>
        </w:rPr>
        <w:tab/>
      </w:r>
      <w:r>
        <w:rPr>
          <w:rFonts w:hint="eastAsia"/>
          <w:b/>
          <w:bCs/>
          <w:sz w:val="28"/>
          <w:szCs w:val="28"/>
          <w:highlight w:val="none"/>
        </w:rPr>
        <w:t>6</w:t>
      </w:r>
      <w:r>
        <w:rPr>
          <w:rFonts w:hint="eastAsia"/>
          <w:b/>
          <w:bCs/>
          <w:sz w:val="28"/>
          <w:szCs w:val="28"/>
          <w:highlight w:val="none"/>
        </w:rPr>
        <w:fldChar w:fldCharType="end"/>
      </w:r>
    </w:p>
    <w:p w14:paraId="302071C5">
      <w:pPr>
        <w:pStyle w:val="29"/>
        <w:tabs>
          <w:tab w:val="right" w:leader="dot" w:pos="8958"/>
        </w:tabs>
        <w:rPr>
          <w:b/>
          <w:bCs/>
          <w:sz w:val="28"/>
          <w:szCs w:val="28"/>
          <w:highlight w:val="none"/>
        </w:rPr>
      </w:pPr>
      <w:r>
        <w:rPr>
          <w:highlight w:val="none"/>
        </w:rPr>
        <w:fldChar w:fldCharType="begin"/>
      </w:r>
      <w:r>
        <w:rPr>
          <w:highlight w:val="none"/>
        </w:rPr>
        <w:instrText xml:space="preserve"> HYPERLINK \l "_Toc866" </w:instrText>
      </w:r>
      <w:r>
        <w:rPr>
          <w:highlight w:val="none"/>
        </w:rPr>
        <w:fldChar w:fldCharType="separate"/>
      </w:r>
      <w:r>
        <w:rPr>
          <w:rFonts w:hint="eastAsia" w:ascii="宋体" w:hAnsi="宋体"/>
          <w:b/>
          <w:bCs/>
          <w:sz w:val="28"/>
          <w:szCs w:val="28"/>
          <w:highlight w:val="none"/>
        </w:rPr>
        <w:t>第三章 评标办法（综合评分法）</w:t>
      </w:r>
      <w:r>
        <w:rPr>
          <w:b/>
          <w:bCs/>
          <w:sz w:val="28"/>
          <w:szCs w:val="28"/>
          <w:highlight w:val="none"/>
        </w:rPr>
        <w:tab/>
      </w:r>
      <w:r>
        <w:rPr>
          <w:rFonts w:hint="eastAsia"/>
          <w:b/>
          <w:bCs/>
          <w:sz w:val="28"/>
          <w:szCs w:val="28"/>
          <w:highlight w:val="none"/>
        </w:rPr>
        <w:t>2</w:t>
      </w:r>
      <w:r>
        <w:rPr>
          <w:rFonts w:hint="eastAsia"/>
          <w:b/>
          <w:bCs/>
          <w:sz w:val="28"/>
          <w:szCs w:val="28"/>
          <w:highlight w:val="none"/>
        </w:rPr>
        <w:fldChar w:fldCharType="end"/>
      </w:r>
      <w:r>
        <w:rPr>
          <w:rFonts w:hint="eastAsia"/>
          <w:b/>
          <w:bCs/>
          <w:sz w:val="28"/>
          <w:szCs w:val="28"/>
          <w:highlight w:val="none"/>
        </w:rPr>
        <w:t>4</w:t>
      </w:r>
    </w:p>
    <w:p w14:paraId="40B161BF">
      <w:pPr>
        <w:pStyle w:val="29"/>
        <w:tabs>
          <w:tab w:val="right" w:leader="dot" w:pos="8958"/>
        </w:tabs>
        <w:rPr>
          <w:b/>
          <w:bCs/>
          <w:sz w:val="28"/>
          <w:szCs w:val="28"/>
          <w:highlight w:val="none"/>
        </w:rPr>
      </w:pPr>
      <w:r>
        <w:rPr>
          <w:highlight w:val="none"/>
        </w:rPr>
        <w:fldChar w:fldCharType="begin"/>
      </w:r>
      <w:r>
        <w:rPr>
          <w:highlight w:val="none"/>
        </w:rPr>
        <w:instrText xml:space="preserve"> HYPERLINK \l "_Toc12315" </w:instrText>
      </w:r>
      <w:r>
        <w:rPr>
          <w:highlight w:val="none"/>
        </w:rPr>
        <w:fldChar w:fldCharType="separate"/>
      </w:r>
      <w:r>
        <w:rPr>
          <w:rFonts w:hint="eastAsia" w:ascii="宋体" w:hAnsi="宋体"/>
          <w:b/>
          <w:bCs/>
          <w:sz w:val="28"/>
          <w:szCs w:val="28"/>
          <w:highlight w:val="none"/>
        </w:rPr>
        <w:t>第四章 合同条款及格式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_Toc12315 \h </w:instrText>
      </w:r>
      <w:r>
        <w:rPr>
          <w:b/>
          <w:bCs/>
          <w:sz w:val="28"/>
          <w:szCs w:val="28"/>
          <w:highlight w:val="none"/>
        </w:rPr>
        <w:fldChar w:fldCharType="separate"/>
      </w:r>
      <w:r>
        <w:rPr>
          <w:rFonts w:hint="eastAsia"/>
          <w:b/>
          <w:bCs/>
          <w:sz w:val="28"/>
          <w:szCs w:val="28"/>
          <w:highlight w:val="none"/>
        </w:rPr>
        <w:t>3</w:t>
      </w:r>
      <w:r>
        <w:rPr>
          <w:b/>
          <w:bCs/>
          <w:sz w:val="28"/>
          <w:szCs w:val="28"/>
          <w:highlight w:val="none"/>
        </w:rPr>
        <w:t>0</w:t>
      </w:r>
      <w:r>
        <w:rPr>
          <w:b/>
          <w:bCs/>
          <w:sz w:val="28"/>
          <w:szCs w:val="28"/>
          <w:highlight w:val="none"/>
        </w:rPr>
        <w:fldChar w:fldCharType="end"/>
      </w:r>
      <w:r>
        <w:rPr>
          <w:b/>
          <w:bCs/>
          <w:sz w:val="28"/>
          <w:szCs w:val="28"/>
          <w:highlight w:val="none"/>
        </w:rPr>
        <w:fldChar w:fldCharType="end"/>
      </w:r>
    </w:p>
    <w:p w14:paraId="774EC67D">
      <w:pPr>
        <w:pStyle w:val="29"/>
        <w:tabs>
          <w:tab w:val="right" w:leader="dot" w:pos="8958"/>
        </w:tabs>
        <w:rPr>
          <w:b/>
          <w:bCs/>
          <w:sz w:val="28"/>
          <w:szCs w:val="28"/>
          <w:highlight w:val="none"/>
        </w:rPr>
      </w:pPr>
      <w:r>
        <w:rPr>
          <w:highlight w:val="none"/>
        </w:rPr>
        <w:fldChar w:fldCharType="begin"/>
      </w:r>
      <w:r>
        <w:rPr>
          <w:highlight w:val="none"/>
        </w:rPr>
        <w:instrText xml:space="preserve"> HYPERLINK \l "_Toc25827" </w:instrText>
      </w:r>
      <w:r>
        <w:rPr>
          <w:highlight w:val="none"/>
        </w:rPr>
        <w:fldChar w:fldCharType="separate"/>
      </w:r>
      <w:r>
        <w:rPr>
          <w:rFonts w:hint="eastAsia" w:ascii="宋体" w:hAnsi="宋体"/>
          <w:b/>
          <w:bCs/>
          <w:sz w:val="28"/>
          <w:szCs w:val="28"/>
          <w:highlight w:val="none"/>
        </w:rPr>
        <w:t>第五章 技术参数要求</w:t>
      </w:r>
      <w:r>
        <w:rPr>
          <w:b/>
          <w:bCs/>
          <w:sz w:val="28"/>
          <w:szCs w:val="28"/>
          <w:highlight w:val="none"/>
        </w:rPr>
        <w:tab/>
      </w:r>
      <w:r>
        <w:rPr>
          <w:rFonts w:hint="eastAsia"/>
          <w:b/>
          <w:bCs/>
          <w:sz w:val="28"/>
          <w:szCs w:val="28"/>
          <w:highlight w:val="none"/>
        </w:rPr>
        <w:t>3</w:t>
      </w:r>
      <w:r>
        <w:rPr>
          <w:rFonts w:hint="eastAsia"/>
          <w:b/>
          <w:bCs/>
          <w:sz w:val="28"/>
          <w:szCs w:val="28"/>
          <w:highlight w:val="none"/>
        </w:rPr>
        <w:fldChar w:fldCharType="end"/>
      </w:r>
      <w:r>
        <w:rPr>
          <w:rFonts w:hint="eastAsia"/>
          <w:b/>
          <w:bCs/>
          <w:sz w:val="28"/>
          <w:szCs w:val="28"/>
          <w:highlight w:val="none"/>
        </w:rPr>
        <w:t>4</w:t>
      </w:r>
    </w:p>
    <w:p w14:paraId="2714463B">
      <w:pPr>
        <w:pStyle w:val="29"/>
        <w:tabs>
          <w:tab w:val="right" w:leader="dot" w:pos="8958"/>
        </w:tabs>
        <w:rPr>
          <w:b/>
          <w:bCs/>
          <w:sz w:val="28"/>
          <w:szCs w:val="28"/>
          <w:highlight w:val="none"/>
        </w:rPr>
      </w:pPr>
      <w:r>
        <w:rPr>
          <w:highlight w:val="none"/>
        </w:rPr>
        <w:fldChar w:fldCharType="begin"/>
      </w:r>
      <w:r>
        <w:rPr>
          <w:highlight w:val="none"/>
        </w:rPr>
        <w:instrText xml:space="preserve"> HYPERLINK \l "_Toc11299" </w:instrText>
      </w:r>
      <w:r>
        <w:rPr>
          <w:highlight w:val="none"/>
        </w:rPr>
        <w:fldChar w:fldCharType="separate"/>
      </w:r>
      <w:r>
        <w:rPr>
          <w:rFonts w:hint="eastAsia" w:ascii="宋体" w:hAnsi="宋体"/>
          <w:b/>
          <w:bCs/>
          <w:sz w:val="28"/>
          <w:szCs w:val="28"/>
          <w:highlight w:val="none"/>
        </w:rPr>
        <w:t>第六章 响应文件格式</w:t>
      </w:r>
      <w:r>
        <w:rPr>
          <w:b/>
          <w:bCs/>
          <w:sz w:val="28"/>
          <w:szCs w:val="28"/>
          <w:highlight w:val="none"/>
        </w:rPr>
        <w:tab/>
      </w:r>
      <w:r>
        <w:rPr>
          <w:rFonts w:hint="eastAsia"/>
          <w:b/>
          <w:bCs/>
          <w:sz w:val="28"/>
          <w:szCs w:val="28"/>
          <w:highlight w:val="none"/>
        </w:rPr>
        <w:t>3</w:t>
      </w:r>
      <w:r>
        <w:rPr>
          <w:rFonts w:hint="eastAsia"/>
          <w:b/>
          <w:bCs/>
          <w:sz w:val="28"/>
          <w:szCs w:val="28"/>
          <w:highlight w:val="none"/>
        </w:rPr>
        <w:fldChar w:fldCharType="end"/>
      </w:r>
      <w:r>
        <w:rPr>
          <w:rFonts w:hint="eastAsia"/>
          <w:b/>
          <w:bCs/>
          <w:sz w:val="28"/>
          <w:szCs w:val="28"/>
          <w:highlight w:val="none"/>
        </w:rPr>
        <w:t>5</w:t>
      </w:r>
    </w:p>
    <w:p w14:paraId="52370950">
      <w:pPr>
        <w:rPr>
          <w:highlight w:val="none"/>
        </w:rPr>
      </w:pPr>
      <w:r>
        <w:rPr>
          <w:b/>
          <w:bCs/>
          <w:sz w:val="28"/>
          <w:szCs w:val="28"/>
          <w:highlight w:val="none"/>
        </w:rPr>
        <w:fldChar w:fldCharType="end"/>
      </w:r>
    </w:p>
    <w:p w14:paraId="76EF2839">
      <w:pPr>
        <w:keepNext/>
        <w:keepLines/>
        <w:jc w:val="center"/>
        <w:rPr>
          <w:rFonts w:ascii="宋体" w:hAnsi="宋体"/>
          <w:color w:val="000000"/>
          <w:highlight w:val="none"/>
        </w:rPr>
      </w:pPr>
      <w:bookmarkStart w:id="5" w:name="_Toc7003"/>
      <w:bookmarkStart w:id="6" w:name="_Toc14639"/>
      <w:bookmarkStart w:id="7" w:name="_Toc4942"/>
      <w:bookmarkStart w:id="8" w:name="_Toc21896"/>
    </w:p>
    <w:p w14:paraId="6327DA3F">
      <w:pPr>
        <w:keepNext/>
        <w:keepLines/>
        <w:jc w:val="center"/>
        <w:outlineLvl w:val="0"/>
        <w:rPr>
          <w:rFonts w:ascii="宋体" w:hAnsi="宋体"/>
          <w:b/>
          <w:bCs/>
          <w:color w:val="000000"/>
          <w:sz w:val="28"/>
          <w:szCs w:val="36"/>
          <w:highlight w:val="none"/>
        </w:rPr>
      </w:pPr>
      <w:r>
        <w:rPr>
          <w:rFonts w:hint="eastAsia" w:ascii="宋体" w:hAnsi="宋体"/>
          <w:b/>
          <w:bCs/>
          <w:color w:val="000000"/>
          <w:sz w:val="28"/>
          <w:szCs w:val="36"/>
          <w:highlight w:val="none"/>
        </w:rPr>
        <w:br w:type="page"/>
      </w:r>
      <w:r>
        <w:rPr>
          <w:rFonts w:hint="eastAsia" w:ascii="宋体" w:hAnsi="宋体"/>
          <w:b/>
          <w:bCs/>
          <w:color w:val="000000"/>
          <w:sz w:val="28"/>
          <w:szCs w:val="36"/>
          <w:highlight w:val="none"/>
        </w:rPr>
        <w:t>第一章 竞争性磋商公告</w:t>
      </w:r>
      <w:bookmarkEnd w:id="2"/>
      <w:bookmarkEnd w:id="3"/>
      <w:bookmarkEnd w:id="4"/>
      <w:bookmarkEnd w:id="5"/>
      <w:bookmarkEnd w:id="6"/>
      <w:bookmarkEnd w:id="7"/>
      <w:bookmarkEnd w:id="8"/>
    </w:p>
    <w:p w14:paraId="22DE88CB">
      <w:pPr>
        <w:ind w:firstLine="480" w:firstLineChars="200"/>
        <w:rPr>
          <w:rFonts w:ascii="宋体" w:hAnsi="宋体" w:cs="宋体"/>
          <w:sz w:val="24"/>
          <w:highlight w:val="none"/>
        </w:rPr>
      </w:pPr>
      <w:bookmarkStart w:id="9" w:name="_Hlk519264333"/>
      <w:bookmarkEnd w:id="9"/>
      <w:r>
        <w:rPr>
          <w:rFonts w:hint="eastAsia" w:ascii="宋体" w:hAnsi="宋体" w:cs="宋体"/>
          <w:sz w:val="24"/>
          <w:highlight w:val="none"/>
        </w:rPr>
        <w:t>国咨项目管理有限公司受三门峡市陕州区农业农村局的委托，就</w:t>
      </w:r>
      <w:r>
        <w:rPr>
          <w:rFonts w:hint="eastAsia" w:ascii="宋体" w:hAnsi="宋体" w:cs="宋体"/>
          <w:sz w:val="24"/>
          <w:highlight w:val="none"/>
          <w:lang w:eastAsia="zh-CN"/>
        </w:rPr>
        <w:t>陕州区2026年中央财政农业防灾减灾资金项目</w:t>
      </w:r>
      <w:r>
        <w:rPr>
          <w:rFonts w:hint="eastAsia" w:ascii="宋体" w:hAnsi="宋体" w:cs="宋体"/>
          <w:sz w:val="24"/>
          <w:highlight w:val="none"/>
        </w:rPr>
        <w:t>进行竞争性磋商，资金来源为财政资金，资金已落实，欢迎符合相关条件的供应商投标。</w:t>
      </w:r>
    </w:p>
    <w:p w14:paraId="1C64FEF5">
      <w:pPr>
        <w:ind w:firstLine="482" w:firstLineChars="200"/>
        <w:rPr>
          <w:rFonts w:ascii="宋体" w:hAnsi="宋体" w:cs="宋体"/>
          <w:b/>
          <w:bCs/>
          <w:sz w:val="24"/>
          <w:highlight w:val="none"/>
        </w:rPr>
      </w:pPr>
      <w:r>
        <w:rPr>
          <w:rFonts w:hint="eastAsia" w:ascii="宋体" w:hAnsi="宋体" w:cs="宋体"/>
          <w:b/>
          <w:bCs/>
          <w:sz w:val="24"/>
          <w:highlight w:val="none"/>
        </w:rPr>
        <w:t>一、项目概况</w:t>
      </w:r>
    </w:p>
    <w:p w14:paraId="2F16C0A8">
      <w:pPr>
        <w:ind w:firstLine="480" w:firstLineChars="200"/>
        <w:rPr>
          <w:rFonts w:ascii="宋体" w:hAnsi="宋体" w:cs="宋体"/>
          <w:sz w:val="24"/>
          <w:highlight w:val="none"/>
        </w:rPr>
      </w:pPr>
      <w:r>
        <w:rPr>
          <w:rFonts w:hint="eastAsia" w:ascii="宋体" w:hAnsi="宋体" w:cs="宋体"/>
          <w:sz w:val="24"/>
          <w:highlight w:val="none"/>
        </w:rPr>
        <w:t>1、采购人：三门峡市陕州区农业农村局</w:t>
      </w:r>
    </w:p>
    <w:p w14:paraId="3699E7A0">
      <w:pPr>
        <w:widowControl/>
        <w:shd w:val="clear" w:color="auto" w:fill="FFFFFF"/>
        <w:spacing w:line="390" w:lineRule="atLeast"/>
        <w:ind w:firstLine="480" w:firstLineChars="200"/>
        <w:jc w:val="left"/>
        <w:rPr>
          <w:rFonts w:hint="eastAsia" w:ascii="宋体" w:hAnsi="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陕州区2026年中央财政农业防灾减灾资金项目</w:t>
      </w:r>
    </w:p>
    <w:p w14:paraId="1EBA621B">
      <w:pPr>
        <w:widowControl/>
        <w:shd w:val="clear" w:color="auto" w:fill="FFFFFF"/>
        <w:spacing w:line="390" w:lineRule="atLeast"/>
        <w:ind w:firstLine="480" w:firstLineChars="200"/>
        <w:jc w:val="left"/>
        <w:rPr>
          <w:rFonts w:hint="eastAsia" w:ascii="宋体" w:hAnsi="宋体" w:cs="宋体"/>
          <w:color w:val="auto"/>
          <w:sz w:val="24"/>
          <w:highlight w:val="none"/>
          <w:lang w:eastAsia="zh-CN"/>
        </w:rPr>
      </w:pPr>
      <w:r>
        <w:rPr>
          <w:rFonts w:hint="eastAsia" w:ascii="宋体" w:hAnsi="宋体" w:cs="宋体"/>
          <w:color w:val="000000" w:themeColor="text1"/>
          <w:sz w:val="24"/>
          <w:highlight w:val="none"/>
          <w14:textFill>
            <w14:solidFill>
              <w14:schemeClr w14:val="tx1"/>
            </w14:solidFill>
          </w14:textFill>
        </w:rPr>
        <w:t>3、项目编号：</w:t>
      </w:r>
      <w:r>
        <w:rPr>
          <w:rFonts w:hint="eastAsia" w:ascii="宋体" w:hAnsi="宋体" w:cs="宋体"/>
          <w:color w:val="auto"/>
          <w:sz w:val="24"/>
          <w:highlight w:val="none"/>
          <w:lang w:eastAsia="zh-CN"/>
        </w:rPr>
        <w:t>陕州竞磋采购-2026-11、SZGZ[2026]041-ZC033</w:t>
      </w:r>
    </w:p>
    <w:p w14:paraId="624C2FE4">
      <w:pPr>
        <w:ind w:firstLine="480" w:firstLineChars="200"/>
        <w:rPr>
          <w:rFonts w:hint="eastAsia" w:ascii="宋体" w:hAnsi="宋体" w:cs="宋体"/>
          <w:sz w:val="24"/>
          <w:highlight w:val="none"/>
        </w:rPr>
      </w:pPr>
      <w:r>
        <w:rPr>
          <w:rFonts w:hint="eastAsia" w:ascii="宋体" w:hAnsi="宋体" w:cs="宋体"/>
          <w:sz w:val="24"/>
          <w:highlight w:val="none"/>
        </w:rPr>
        <w:t>4、采购方式：竞争性磋商</w:t>
      </w:r>
    </w:p>
    <w:p w14:paraId="205ED1BA">
      <w:pPr>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5、</w:t>
      </w:r>
      <w:r>
        <w:rPr>
          <w:rFonts w:hint="eastAsia" w:ascii="宋体" w:hAnsi="宋体" w:cs="宋体"/>
          <w:sz w:val="24"/>
          <w:highlight w:val="none"/>
          <w:lang w:eastAsia="zh-CN"/>
        </w:rPr>
        <w:t>项目总</w:t>
      </w:r>
      <w:r>
        <w:rPr>
          <w:rFonts w:hint="eastAsia" w:ascii="宋体" w:hAnsi="宋体" w:cs="宋体"/>
          <w:sz w:val="24"/>
          <w:highlight w:val="none"/>
        </w:rPr>
        <w:t>预算金额：</w:t>
      </w:r>
      <w:r>
        <w:rPr>
          <w:rFonts w:hint="eastAsia" w:ascii="宋体" w:hAnsi="宋体" w:eastAsia="宋体" w:cs="宋体"/>
          <w:sz w:val="24"/>
          <w:highlight w:val="none"/>
          <w:lang w:val="en-US" w:eastAsia="zh-CN"/>
        </w:rPr>
        <w:t>410497.5</w:t>
      </w:r>
      <w:r>
        <w:rPr>
          <w:rFonts w:hint="eastAsia" w:ascii="宋体" w:hAnsi="宋体" w:eastAsia="宋体" w:cs="宋体"/>
          <w:sz w:val="24"/>
          <w:highlight w:val="none"/>
          <w:lang w:eastAsia="zh-CN"/>
        </w:rPr>
        <w:t>元，本次采购为单价报价</w:t>
      </w:r>
    </w:p>
    <w:p w14:paraId="5337623C">
      <w:pPr>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预算单价金额：一标段</w:t>
      </w:r>
      <w:r>
        <w:rPr>
          <w:rFonts w:hint="eastAsia" w:ascii="宋体" w:hAnsi="宋体" w:eastAsia="宋体" w:cs="宋体"/>
          <w:sz w:val="24"/>
          <w:highlight w:val="none"/>
          <w:lang w:val="en-US" w:eastAsia="zh-CN"/>
        </w:rPr>
        <w:t>7元/亩，二标段7.5元/亩</w:t>
      </w:r>
    </w:p>
    <w:p w14:paraId="161B41C7">
      <w:pPr>
        <w:spacing w:line="360" w:lineRule="auto"/>
        <w:ind w:right="210" w:rightChars="100" w:firstLine="480" w:firstLineChars="200"/>
        <w:contextualSpacing/>
        <w:jc w:val="left"/>
        <w:rPr>
          <w:rFonts w:ascii="宋体" w:hAnsi="宋体" w:cs="宋体"/>
          <w:highlight w:val="none"/>
        </w:rPr>
      </w:pPr>
      <w:r>
        <w:rPr>
          <w:rFonts w:hint="eastAsia" w:ascii="宋体" w:hAnsi="宋体" w:cs="宋体"/>
          <w:sz w:val="24"/>
          <w:highlight w:val="none"/>
        </w:rPr>
        <w:t>6、采购内容：</w:t>
      </w:r>
      <w:r>
        <w:rPr>
          <w:rFonts w:hint="eastAsia" w:ascii="宋体" w:hAnsi="宋体" w:cs="宋体"/>
          <w:sz w:val="24"/>
          <w:highlight w:val="none"/>
          <w:lang w:eastAsia="zh-CN"/>
        </w:rPr>
        <w:t>本项目主要包含两个标段：一标段为小麦病虫害专业化植保无人机防治服务作业费，二标段为小麦病虫害农资采购，详见采购清单。</w:t>
      </w:r>
    </w:p>
    <w:p w14:paraId="7C926453">
      <w:pPr>
        <w:spacing w:line="360" w:lineRule="auto"/>
        <w:ind w:firstLine="480" w:firstLineChars="200"/>
        <w:rPr>
          <w:rFonts w:ascii="宋体" w:hAnsi="宋体" w:cs="宋体"/>
          <w:sz w:val="24"/>
          <w:highlight w:val="none"/>
        </w:rPr>
      </w:pPr>
      <w:r>
        <w:rPr>
          <w:rFonts w:hint="eastAsia" w:ascii="宋体" w:hAnsi="宋体" w:cs="宋体"/>
          <w:sz w:val="24"/>
          <w:highlight w:val="none"/>
        </w:rPr>
        <w:t>7、资金来源：财政资金，已落实</w:t>
      </w:r>
    </w:p>
    <w:p w14:paraId="70E15A40">
      <w:pPr>
        <w:spacing w:line="360" w:lineRule="auto"/>
        <w:ind w:firstLine="480" w:firstLineChars="200"/>
        <w:rPr>
          <w:rFonts w:ascii="宋体" w:hAnsi="宋体" w:cs="宋体"/>
          <w:sz w:val="24"/>
          <w:highlight w:val="none"/>
        </w:rPr>
      </w:pPr>
      <w:r>
        <w:rPr>
          <w:rFonts w:hint="eastAsia" w:ascii="宋体" w:hAnsi="宋体" w:cs="宋体"/>
          <w:sz w:val="24"/>
          <w:highlight w:val="none"/>
        </w:rPr>
        <w:t>8、标段划分：</w:t>
      </w:r>
      <w:r>
        <w:rPr>
          <w:rFonts w:hint="eastAsia" w:ascii="宋体" w:hAnsi="宋体" w:cs="宋体"/>
          <w:sz w:val="24"/>
          <w:highlight w:val="none"/>
          <w:lang w:eastAsia="zh-CN"/>
        </w:rPr>
        <w:t>两个标段</w:t>
      </w:r>
    </w:p>
    <w:p w14:paraId="0A8C2134">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第一标段：小麦病虫害专业化植保无人机防治服务作业,项目结算以实际</w:t>
      </w:r>
      <w:r>
        <w:rPr>
          <w:rFonts w:hint="eastAsia" w:ascii="宋体" w:hAnsi="宋体" w:cs="宋体"/>
          <w:color w:val="000000" w:themeColor="text1"/>
          <w:sz w:val="24"/>
          <w:highlight w:val="none"/>
          <w:lang w:eastAsia="zh-CN"/>
          <w14:textFill>
            <w14:solidFill>
              <w14:schemeClr w14:val="tx1"/>
            </w14:solidFill>
          </w14:textFill>
        </w:rPr>
        <w:t>作业亩数</w:t>
      </w:r>
      <w:r>
        <w:rPr>
          <w:rFonts w:hint="eastAsia" w:ascii="宋体" w:hAnsi="宋体" w:cs="宋体"/>
          <w:color w:val="000000" w:themeColor="text1"/>
          <w:sz w:val="24"/>
          <w:highlight w:val="none"/>
          <w14:textFill>
            <w14:solidFill>
              <w14:schemeClr w14:val="tx1"/>
            </w14:solidFill>
          </w14:textFill>
        </w:rPr>
        <w:t>为准；</w:t>
      </w:r>
    </w:p>
    <w:p w14:paraId="28D7954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highlight w:val="none"/>
          <w:lang w:eastAsia="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标段：小麦病虫害</w:t>
      </w:r>
      <w:r>
        <w:rPr>
          <w:rFonts w:hint="eastAsia" w:ascii="宋体" w:hAnsi="宋体" w:cs="宋体"/>
          <w:color w:val="000000" w:themeColor="text1"/>
          <w:sz w:val="24"/>
          <w:highlight w:val="none"/>
          <w:lang w:eastAsia="zh-CN"/>
          <w14:textFill>
            <w14:solidFill>
              <w14:schemeClr w14:val="tx1"/>
            </w14:solidFill>
          </w14:textFill>
        </w:rPr>
        <w:t>农资</w:t>
      </w:r>
      <w:r>
        <w:rPr>
          <w:rFonts w:hint="eastAsia" w:ascii="宋体" w:hAnsi="宋体" w:cs="宋体"/>
          <w:color w:val="000000" w:themeColor="text1"/>
          <w:sz w:val="24"/>
          <w:highlight w:val="none"/>
          <w14:textFill>
            <w14:solidFill>
              <w14:schemeClr w14:val="tx1"/>
            </w14:solidFill>
          </w14:textFill>
        </w:rPr>
        <w:t>采购，项目结算以实际供货数量为准。</w:t>
      </w:r>
    </w:p>
    <w:p w14:paraId="0C4DC540">
      <w:pPr>
        <w:spacing w:line="360" w:lineRule="auto"/>
        <w:ind w:firstLine="480" w:firstLineChars="200"/>
        <w:rPr>
          <w:rFonts w:hint="eastAsia" w:ascii="宋体" w:hAnsi="宋体" w:eastAsia="宋体" w:cs="宋体"/>
          <w:color w:val="FF0000"/>
          <w:sz w:val="24"/>
          <w:highlight w:val="none"/>
          <w:lang w:eastAsia="zh-CN"/>
        </w:rPr>
      </w:pPr>
      <w:r>
        <w:rPr>
          <w:rFonts w:hint="eastAsia" w:ascii="宋体" w:hAnsi="宋体" w:cs="宋体"/>
          <w:color w:val="000000" w:themeColor="text1"/>
          <w:sz w:val="24"/>
          <w:highlight w:val="none"/>
          <w14:textFill>
            <w14:solidFill>
              <w14:schemeClr w14:val="tx1"/>
            </w14:solidFill>
          </w14:textFill>
        </w:rPr>
        <w:t>9、供货期</w:t>
      </w:r>
      <w:r>
        <w:rPr>
          <w:rFonts w:hint="eastAsia" w:ascii="宋体" w:hAnsi="宋体" w:cs="宋体"/>
          <w:color w:val="000000" w:themeColor="text1"/>
          <w:sz w:val="24"/>
          <w:highlight w:val="none"/>
          <w:lang w:val="en-US" w:eastAsia="zh-CN"/>
          <w14:textFill>
            <w14:solidFill>
              <w14:schemeClr w14:val="tx1"/>
            </w14:solidFill>
          </w14:textFill>
        </w:rPr>
        <w:t>/服务期</w:t>
      </w:r>
      <w:bookmarkStart w:id="245" w:name="_GoBack"/>
      <w:bookmarkEnd w:id="245"/>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合同签订之日起5日历天内完成</w:t>
      </w:r>
    </w:p>
    <w:p w14:paraId="3419F8AD">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10、质量标准：</w:t>
      </w:r>
      <w:r>
        <w:rPr>
          <w:rFonts w:hint="eastAsia" w:ascii="宋体" w:hAnsi="宋体" w:cs="宋体"/>
          <w:sz w:val="24"/>
          <w:highlight w:val="none"/>
          <w:lang w:eastAsia="zh-CN"/>
        </w:rPr>
        <w:t>符合国家相关规范及标准要求</w:t>
      </w:r>
    </w:p>
    <w:p w14:paraId="3CD153AB">
      <w:pPr>
        <w:spacing w:line="360" w:lineRule="auto"/>
        <w:ind w:firstLine="480" w:firstLineChars="200"/>
        <w:rPr>
          <w:rFonts w:ascii="宋体" w:hAnsi="宋体" w:cs="宋体"/>
          <w:sz w:val="24"/>
          <w:highlight w:val="none"/>
        </w:rPr>
      </w:pPr>
      <w:r>
        <w:rPr>
          <w:rFonts w:hint="eastAsia" w:ascii="宋体" w:hAnsi="宋体" w:cs="宋体"/>
          <w:sz w:val="24"/>
          <w:highlight w:val="none"/>
        </w:rPr>
        <w:t>11、供货（服务）地点：采购人指定地点</w:t>
      </w:r>
    </w:p>
    <w:p w14:paraId="6A96C50E">
      <w:pPr>
        <w:widowControl/>
        <w:spacing w:line="360" w:lineRule="auto"/>
        <w:ind w:firstLine="482" w:firstLineChars="200"/>
        <w:rPr>
          <w:rFonts w:ascii="宋体" w:hAnsi="宋体" w:cs="宋体"/>
          <w:b/>
          <w:sz w:val="24"/>
          <w:highlight w:val="none"/>
        </w:rPr>
      </w:pPr>
      <w:r>
        <w:rPr>
          <w:rFonts w:hint="eastAsia" w:ascii="宋体" w:hAnsi="宋体" w:cs="宋体"/>
          <w:b/>
          <w:sz w:val="24"/>
          <w:highlight w:val="none"/>
        </w:rPr>
        <w:t>二、供应商资格要求：</w:t>
      </w:r>
    </w:p>
    <w:p w14:paraId="1E267881">
      <w:pPr>
        <w:widowControl/>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供应商参加本次政府采购活动中必须符合《中华人民共和国政府采购法》第二十二条对</w:t>
      </w:r>
      <w:r>
        <w:rPr>
          <w:rFonts w:hint="eastAsia" w:ascii="宋体" w:hAnsi="宋体" w:cs="宋体"/>
          <w:bCs/>
          <w:color w:val="000000" w:themeColor="text1"/>
          <w:sz w:val="24"/>
          <w:highlight w:val="none"/>
          <w:lang w:eastAsia="zh-CN"/>
          <w14:textFill>
            <w14:solidFill>
              <w14:schemeClr w14:val="tx1"/>
            </w14:solidFill>
          </w14:textFill>
        </w:rPr>
        <w:t>符合国家相关规范及标准要求</w:t>
      </w:r>
      <w:r>
        <w:rPr>
          <w:rFonts w:hint="eastAsia" w:ascii="宋体" w:hAnsi="宋体" w:cs="宋体"/>
          <w:bCs/>
          <w:color w:val="000000" w:themeColor="text1"/>
          <w:sz w:val="24"/>
          <w:highlight w:val="none"/>
          <w14:textFill>
            <w14:solidFill>
              <w14:schemeClr w14:val="tx1"/>
            </w14:solidFill>
          </w14:textFill>
        </w:rPr>
        <w:t>供应商的要求并同时具备以下条件：</w:t>
      </w:r>
    </w:p>
    <w:p w14:paraId="4A888CB5">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1、满足《中华人民共和国政府采购法》第二十二条规定；</w:t>
      </w:r>
    </w:p>
    <w:p w14:paraId="5610F972">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2、一至</w:t>
      </w:r>
      <w:r>
        <w:rPr>
          <w:rFonts w:hint="eastAsia" w:ascii="宋体" w:hAnsi="宋体" w:cs="宋体"/>
          <w:bCs/>
          <w:color w:val="000000" w:themeColor="text1"/>
          <w:sz w:val="24"/>
          <w:highlight w:val="none"/>
          <w:lang w:eastAsia="zh-CN"/>
          <w14:textFill>
            <w14:solidFill>
              <w14:schemeClr w14:val="tx1"/>
            </w14:solidFill>
          </w14:textFill>
        </w:rPr>
        <w:t>二</w:t>
      </w:r>
      <w:r>
        <w:rPr>
          <w:rFonts w:hint="eastAsia" w:ascii="宋体" w:hAnsi="宋体" w:cs="宋体"/>
          <w:bCs/>
          <w:color w:val="000000" w:themeColor="text1"/>
          <w:sz w:val="24"/>
          <w:highlight w:val="none"/>
          <w14:textFill>
            <w14:solidFill>
              <w14:schemeClr w14:val="tx1"/>
            </w14:solidFill>
          </w14:textFill>
        </w:rPr>
        <w:t>标段特定资格要求</w:t>
      </w:r>
    </w:p>
    <w:p w14:paraId="4E421C93">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(1)供应商具有独立企业法人资格, 具备有效的营业执照、税务登记证、组织机构代码证或三证合一的营业执照；</w:t>
      </w:r>
    </w:p>
    <w:p w14:paraId="420E1EA4">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eastAsia="zh-CN"/>
        </w:rPr>
        <w:t>一标段</w:t>
      </w:r>
      <w:r>
        <w:rPr>
          <w:rFonts w:hint="eastAsia" w:ascii="宋体" w:hAnsi="宋体" w:cs="宋体"/>
          <w:bCs/>
          <w:color w:val="auto"/>
          <w:sz w:val="24"/>
          <w:highlight w:val="none"/>
        </w:rPr>
        <w:t>供应商</w:t>
      </w:r>
      <w:r>
        <w:rPr>
          <w:rFonts w:hint="eastAsia" w:ascii="宋体" w:hAnsi="宋体" w:cs="宋体"/>
          <w:bCs/>
          <w:color w:val="auto"/>
          <w:sz w:val="24"/>
          <w:highlight w:val="none"/>
          <w:lang w:eastAsia="zh-CN"/>
        </w:rPr>
        <w:t>需</w:t>
      </w:r>
      <w:r>
        <w:rPr>
          <w:rFonts w:hint="eastAsia" w:ascii="宋体" w:hAnsi="宋体" w:cs="宋体"/>
          <w:bCs/>
          <w:color w:val="auto"/>
          <w:sz w:val="24"/>
          <w:highlight w:val="none"/>
        </w:rPr>
        <w:t>具有飞防服务作业经历的服务</w:t>
      </w:r>
      <w:r>
        <w:rPr>
          <w:rFonts w:hint="eastAsia" w:ascii="宋体" w:hAnsi="宋体" w:cs="宋体"/>
          <w:bCs/>
          <w:color w:val="auto"/>
          <w:sz w:val="24"/>
          <w:highlight w:val="none"/>
          <w:lang w:eastAsia="zh-CN"/>
        </w:rPr>
        <w:t>主体</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需有</w:t>
      </w:r>
      <w:r>
        <w:rPr>
          <w:rFonts w:hint="eastAsia" w:ascii="宋体" w:hAnsi="宋体" w:cs="宋体"/>
          <w:bCs/>
          <w:color w:val="auto"/>
          <w:sz w:val="24"/>
          <w:highlight w:val="none"/>
          <w:lang w:val="en-US" w:eastAsia="zh-CN"/>
        </w:rPr>
        <w:t>5架以上</w:t>
      </w:r>
      <w:r>
        <w:rPr>
          <w:rFonts w:hint="eastAsia" w:ascii="宋体" w:hAnsi="宋体" w:cs="宋体"/>
          <w:bCs/>
          <w:color w:val="auto"/>
          <w:sz w:val="24"/>
          <w:highlight w:val="none"/>
          <w:lang w:eastAsia="zh-CN"/>
        </w:rPr>
        <w:t>植保无人机、</w:t>
      </w:r>
      <w:r>
        <w:rPr>
          <w:rFonts w:hint="eastAsia" w:ascii="宋体" w:hAnsi="宋体" w:cs="宋体"/>
          <w:bCs/>
          <w:color w:val="auto"/>
          <w:sz w:val="24"/>
          <w:highlight w:val="none"/>
          <w:lang w:val="en-US" w:eastAsia="zh-CN"/>
        </w:rPr>
        <w:t>5人以上</w:t>
      </w:r>
      <w:r>
        <w:rPr>
          <w:rFonts w:hint="eastAsia" w:ascii="宋体" w:hAnsi="宋体" w:cs="宋体"/>
          <w:bCs/>
          <w:color w:val="auto"/>
          <w:sz w:val="24"/>
          <w:highlight w:val="none"/>
          <w:lang w:eastAsia="zh-CN"/>
        </w:rPr>
        <w:t>机手</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需提供植保无人机相关作业能力证明（自有设备需提供发票，租赁设备需提供租赁协议），操作人员需提供培训合格证（操作员或教员证），无人机进行喷洒作业时，能实时掌握作业信息，保证数据安全可溯；二标段需</w:t>
      </w:r>
      <w:r>
        <w:rPr>
          <w:rFonts w:hint="eastAsia" w:ascii="宋体" w:hAnsi="宋体" w:cs="宋体"/>
          <w:bCs/>
          <w:color w:val="auto"/>
          <w:sz w:val="24"/>
          <w:highlight w:val="none"/>
        </w:rPr>
        <w:t>供应商提供的农药产品须“三证”（生产许可证或生产批准证、农药登记证、产品标准证）齐全</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并在有效期内</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提供本批次生产检验合格报告</w:t>
      </w:r>
      <w:r>
        <w:rPr>
          <w:rFonts w:hint="eastAsia" w:ascii="宋体" w:hAnsi="宋体" w:cs="宋体"/>
          <w:bCs/>
          <w:color w:val="auto"/>
          <w:sz w:val="24"/>
          <w:highlight w:val="none"/>
        </w:rPr>
        <w:t>。</w:t>
      </w:r>
    </w:p>
    <w:p w14:paraId="32ECA14F">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(3)具有履行合同所必需的设备和专业技术能力（需提供承诺书）；</w:t>
      </w:r>
    </w:p>
    <w:p w14:paraId="4A888725">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7B78FF0">
      <w:pPr>
        <w:widowControl/>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(5)本项目不接受联合体投标；</w:t>
      </w:r>
    </w:p>
    <w:p w14:paraId="1F8A1E4C">
      <w:pPr>
        <w:widowControl/>
        <w:spacing w:line="480" w:lineRule="exact"/>
        <w:ind w:firstLine="480" w:firstLineChars="200"/>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(6)</w:t>
      </w:r>
      <w:r>
        <w:rPr>
          <w:rFonts w:hint="eastAsia" w:ascii="宋体" w:hAnsi="宋体" w:cs="宋体"/>
          <w:bCs/>
          <w:color w:val="000000" w:themeColor="text1"/>
          <w:sz w:val="24"/>
          <w:highlight w:val="none"/>
          <w:lang w:eastAsia="zh-CN"/>
          <w14:textFill>
            <w14:solidFill>
              <w14:schemeClr w14:val="tx1"/>
            </w14:solidFill>
          </w14:textFill>
        </w:rPr>
        <w:t>单位负责人为同一人或者存在直接控股、管理关系的不同投标人，不得参加同一合同项下的采购活动；（提供“国家企业信用信息公示系统”中查询的相关信息（查询信息需包含公司基本信息、股东信息及股权变更信息等相关信息，査询时间自公告发布之日起至投标截止时间前））；</w:t>
      </w:r>
    </w:p>
    <w:p w14:paraId="6B3CB02D">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)本次招标实行资格后审；</w:t>
      </w:r>
    </w:p>
    <w:p w14:paraId="62D5DDEB">
      <w:pPr>
        <w:widowControl/>
        <w:spacing w:line="480" w:lineRule="exact"/>
        <w:ind w:firstLine="480" w:firstLineChars="200"/>
        <w:rPr>
          <w:rFonts w:ascii="宋体" w:hAnsi="宋体" w:cs="宋体"/>
          <w:bCs/>
          <w:color w:val="FF0000"/>
          <w:sz w:val="24"/>
          <w:highlight w:val="none"/>
        </w:rPr>
      </w:pPr>
      <w:r>
        <w:rPr>
          <w:rFonts w:hint="eastAsia" w:ascii="宋体" w:hAnsi="宋体" w:cs="宋体"/>
          <w:bCs/>
          <w:color w:val="000000" w:themeColor="text1"/>
          <w:sz w:val="24"/>
          <w:highlight w:val="none"/>
          <w14:textFill>
            <w14:solidFill>
              <w14:schemeClr w14:val="tx1"/>
            </w14:solidFill>
          </w14:textFill>
        </w:rPr>
        <w:t>注：被列入失信被执行人及重大税收违法失信主体的企业做无效标处理。招标人或招标代理机构有权对投标人信用记录进行甄别和复查。</w:t>
      </w:r>
    </w:p>
    <w:p w14:paraId="420C61CC">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三、获取竞争性磋商文件</w:t>
      </w:r>
    </w:p>
    <w:p w14:paraId="48E804EF">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color w:val="333333"/>
          <w:kern w:val="0"/>
          <w:sz w:val="24"/>
          <w:highlight w:val="none"/>
          <w:lang w:bidi="ar"/>
        </w:rPr>
        <w:t>1、磋商文件获取方式：本项目没有报名环节，供应商凭CA数字证书通过三门峡市公共资源交易中心网（网址：http://gzjy.smx.gov.cn/）点击交易平台选择“市场主体登录”，在所参与项目右侧点击参与投标，即可直接下载本项目磋商文件（磋商文件中包含图纸、清单等招标所需一切内容）。</w:t>
      </w:r>
    </w:p>
    <w:p w14:paraId="0D2ABB5C">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color w:val="333333"/>
          <w:kern w:val="0"/>
          <w:sz w:val="24"/>
          <w:highlight w:val="none"/>
          <w:lang w:bidi="ar"/>
        </w:rPr>
        <w:t>办理CA证书：</w:t>
      </w:r>
    </w:p>
    <w:p w14:paraId="1D1B5E47">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color w:val="333333"/>
          <w:kern w:val="0"/>
          <w:sz w:val="24"/>
          <w:highlight w:val="none"/>
          <w:lang w:bidi="ar"/>
        </w:rPr>
        <w:t>http://gzjy.smx.gov.cn/bzzx/008001/20211105/57b16af9-ab87-4395-a723-7758c628a3f8.html</w:t>
      </w:r>
    </w:p>
    <w:p w14:paraId="3A6E7F95">
      <w:pPr>
        <w:widowControl/>
        <w:spacing w:line="480" w:lineRule="atLeast"/>
        <w:ind w:firstLine="480"/>
        <w:jc w:val="left"/>
        <w:rPr>
          <w:rFonts w:ascii="微软雅黑" w:hAnsi="微软雅黑" w:eastAsia="微软雅黑" w:cs="微软雅黑"/>
          <w:color w:val="FF0000"/>
          <w:szCs w:val="21"/>
          <w:highlight w:val="none"/>
        </w:rPr>
      </w:pPr>
      <w:r>
        <w:rPr>
          <w:rFonts w:hint="eastAsia" w:ascii="宋体" w:hAnsi="宋体" w:cs="宋体"/>
          <w:color w:val="000000" w:themeColor="text1"/>
          <w:kern w:val="0"/>
          <w:sz w:val="24"/>
          <w:highlight w:val="none"/>
          <w:lang w:bidi="ar"/>
          <w14:textFill>
            <w14:solidFill>
              <w14:schemeClr w14:val="tx1"/>
            </w14:solidFill>
          </w14:textFill>
        </w:rPr>
        <w:t>2、磋商文件下载时间：</w:t>
      </w:r>
      <w:r>
        <w:rPr>
          <w:rFonts w:hint="eastAsia" w:ascii="宋体" w:hAnsi="宋体" w:cs="宋体"/>
          <w:color w:val="000000" w:themeColor="text1"/>
          <w:kern w:val="0"/>
          <w:sz w:val="24"/>
          <w:highlight w:val="none"/>
          <w:lang w:eastAsia="zh-CN" w:bidi="ar"/>
          <w14:textFill>
            <w14:solidFill>
              <w14:schemeClr w14:val="tx1"/>
            </w14:solidFill>
          </w14:textFill>
        </w:rPr>
        <w:t>2026年</w:t>
      </w:r>
      <w:r>
        <w:rPr>
          <w:rFonts w:hint="eastAsia" w:ascii="宋体" w:hAnsi="宋体" w:cs="宋体"/>
          <w:color w:val="000000" w:themeColor="text1"/>
          <w:kern w:val="0"/>
          <w:sz w:val="24"/>
          <w:highlight w:val="none"/>
          <w:lang w:val="en-US" w:eastAsia="zh-CN" w:bidi="ar"/>
          <w14:textFill>
            <w14:solidFill>
              <w14:schemeClr w14:val="tx1"/>
            </w14:solidFill>
          </w14:textFill>
        </w:rPr>
        <w:t>4</w:t>
      </w:r>
      <w:r>
        <w:rPr>
          <w:rFonts w:hint="eastAsia" w:ascii="宋体" w:hAnsi="宋体" w:cs="宋体"/>
          <w:color w:val="000000" w:themeColor="text1"/>
          <w:kern w:val="0"/>
          <w:sz w:val="24"/>
          <w:highlight w:val="none"/>
          <w:lang w:eastAsia="zh-CN" w:bidi="ar"/>
          <w14:textFill>
            <w14:solidFill>
              <w14:schemeClr w14:val="tx1"/>
            </w14:solidFill>
          </w14:textFill>
        </w:rPr>
        <w:t>月20日</w:t>
      </w:r>
      <w:r>
        <w:rPr>
          <w:rFonts w:hint="eastAsia" w:ascii="宋体" w:hAnsi="宋体" w:cs="宋体"/>
          <w:color w:val="000000" w:themeColor="text1"/>
          <w:kern w:val="0"/>
          <w:sz w:val="24"/>
          <w:highlight w:val="none"/>
          <w:lang w:bidi="ar"/>
          <w14:textFill>
            <w14:solidFill>
              <w14:schemeClr w14:val="tx1"/>
            </w14:solidFill>
          </w14:textFill>
        </w:rPr>
        <w:t>至</w:t>
      </w:r>
      <w:r>
        <w:rPr>
          <w:rFonts w:hint="eastAsia" w:ascii="宋体" w:hAnsi="宋体" w:cs="宋体"/>
          <w:color w:val="000000" w:themeColor="text1"/>
          <w:kern w:val="0"/>
          <w:sz w:val="24"/>
          <w:highlight w:val="none"/>
          <w:lang w:eastAsia="zh-CN" w:bidi="ar"/>
          <w14:textFill>
            <w14:solidFill>
              <w14:schemeClr w14:val="tx1"/>
            </w14:solidFill>
          </w14:textFill>
        </w:rPr>
        <w:t>2026年</w:t>
      </w:r>
      <w:r>
        <w:rPr>
          <w:rFonts w:hint="eastAsia" w:ascii="宋体" w:hAnsi="宋体" w:cs="宋体"/>
          <w:color w:val="000000" w:themeColor="text1"/>
          <w:kern w:val="0"/>
          <w:sz w:val="24"/>
          <w:highlight w:val="none"/>
          <w:lang w:val="en-US" w:eastAsia="zh-CN" w:bidi="ar"/>
          <w14:textFill>
            <w14:solidFill>
              <w14:schemeClr w14:val="tx1"/>
            </w14:solidFill>
          </w14:textFill>
        </w:rPr>
        <w:t>4</w:t>
      </w:r>
      <w:r>
        <w:rPr>
          <w:rFonts w:hint="eastAsia" w:ascii="宋体" w:hAnsi="宋体" w:cs="宋体"/>
          <w:color w:val="000000" w:themeColor="text1"/>
          <w:kern w:val="0"/>
          <w:sz w:val="24"/>
          <w:highlight w:val="none"/>
          <w:lang w:eastAsia="zh-CN" w:bidi="ar"/>
          <w14:textFill>
            <w14:solidFill>
              <w14:schemeClr w14:val="tx1"/>
            </w14:solidFill>
          </w14:textFill>
        </w:rPr>
        <w:t>月3</w:t>
      </w:r>
      <w:r>
        <w:rPr>
          <w:rFonts w:hint="eastAsia" w:ascii="宋体" w:hAnsi="宋体" w:cs="宋体"/>
          <w:color w:val="000000" w:themeColor="text1"/>
          <w:kern w:val="0"/>
          <w:sz w:val="24"/>
          <w:highlight w:val="none"/>
          <w:lang w:val="en-US" w:eastAsia="zh-CN" w:bidi="ar"/>
          <w14:textFill>
            <w14:solidFill>
              <w14:schemeClr w14:val="tx1"/>
            </w14:solidFill>
          </w14:textFill>
        </w:rPr>
        <w:t>0</w:t>
      </w:r>
      <w:r>
        <w:rPr>
          <w:rFonts w:hint="eastAsia" w:ascii="宋体" w:hAnsi="宋体" w:cs="宋体"/>
          <w:color w:val="000000" w:themeColor="text1"/>
          <w:kern w:val="0"/>
          <w:sz w:val="24"/>
          <w:highlight w:val="none"/>
          <w:lang w:eastAsia="zh-CN" w:bidi="ar"/>
          <w14:textFill>
            <w14:solidFill>
              <w14:schemeClr w14:val="tx1"/>
            </w14:solidFill>
          </w14:textFill>
        </w:rPr>
        <w:t>日</w:t>
      </w:r>
      <w:r>
        <w:rPr>
          <w:rFonts w:hint="eastAsia" w:ascii="宋体" w:hAnsi="宋体" w:cs="宋体"/>
          <w:color w:val="000000" w:themeColor="text1"/>
          <w:kern w:val="0"/>
          <w:sz w:val="24"/>
          <w:highlight w:val="none"/>
          <w:lang w:bidi="ar"/>
          <w14:textFill>
            <w14:solidFill>
              <w14:schemeClr w14:val="tx1"/>
            </w14:solidFill>
          </w14:textFill>
        </w:rPr>
        <w:t>08时30分（北京时间）。</w:t>
      </w:r>
    </w:p>
    <w:p w14:paraId="0190A442">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kern w:val="0"/>
          <w:sz w:val="24"/>
          <w:highlight w:val="none"/>
          <w:lang w:bidi="ar"/>
        </w:rPr>
        <w:t>3、本项目为不见面开标项目。开标当日，供应商无需到开标现场参加开标会议，供应商应当在投标截止时间前，登陆不见面开标大厅选择登陆三门峡</w:t>
      </w:r>
      <w:r>
        <w:rPr>
          <w:rFonts w:hint="eastAsia" w:ascii="宋体" w:hAnsi="宋体" w:cs="宋体"/>
          <w:color w:val="333333"/>
          <w:kern w:val="0"/>
          <w:sz w:val="24"/>
          <w:highlight w:val="none"/>
          <w:lang w:bidi="ar"/>
        </w:rPr>
        <w:t>市公共资源电子招投标系统进行登陆（网址http://120.194.249.36:10094/BidOpening/bidopeninghallaction/hall/login）,在线准时参加开标活动并进行响应文件解密等。每位供应商的解密时间为开标时间起30分钟内完成。</w:t>
      </w:r>
    </w:p>
    <w:p w14:paraId="431DFC2F">
      <w:pPr>
        <w:widowControl/>
        <w:spacing w:line="480" w:lineRule="atLeast"/>
        <w:ind w:firstLine="480"/>
        <w:jc w:val="left"/>
        <w:rPr>
          <w:rFonts w:ascii="宋体" w:hAnsi="宋体" w:cs="宋体"/>
          <w:color w:val="333333"/>
          <w:kern w:val="0"/>
          <w:sz w:val="24"/>
          <w:highlight w:val="none"/>
          <w:lang w:bidi="ar"/>
        </w:rPr>
      </w:pPr>
      <w:r>
        <w:rPr>
          <w:rFonts w:hint="eastAsia" w:ascii="宋体" w:hAnsi="宋体" w:cs="宋体"/>
          <w:color w:val="333333"/>
          <w:kern w:val="0"/>
          <w:sz w:val="24"/>
          <w:highlight w:val="none"/>
          <w:lang w:bidi="ar"/>
        </w:rPr>
        <w:t>4、磋商保证金：</w:t>
      </w:r>
    </w:p>
    <w:p w14:paraId="22AD7B5F">
      <w:pPr>
        <w:spacing w:line="500" w:lineRule="exact"/>
        <w:ind w:firstLine="480" w:firstLineChars="200"/>
        <w:rPr>
          <w:rFonts w:hint="eastAsia" w:ascii="Calibri" w:hAnsi="Calibri"/>
          <w:kern w:val="0"/>
          <w:sz w:val="24"/>
          <w:highlight w:val="none"/>
        </w:rPr>
      </w:pPr>
      <w:r>
        <w:rPr>
          <w:rFonts w:hint="eastAsia" w:ascii="Calibri" w:hAnsi="Calibri"/>
          <w:kern w:val="0"/>
          <w:sz w:val="24"/>
          <w:highlight w:val="none"/>
        </w:rPr>
        <w:t>根据《河南省财政厅关于优化政府采购营商环境有关问题的通知》（豫财购【2019】4号）第6条的规定，磋商保证金不再收取。</w:t>
      </w:r>
    </w:p>
    <w:p w14:paraId="5CE30ED4">
      <w:pPr>
        <w:widowControl/>
        <w:spacing w:line="480" w:lineRule="atLeast"/>
        <w:ind w:firstLine="480"/>
        <w:jc w:val="left"/>
        <w:rPr>
          <w:rFonts w:hint="eastAsia" w:ascii="宋体" w:hAnsi="宋体" w:cs="宋体"/>
          <w:color w:val="333333"/>
          <w:kern w:val="0"/>
          <w:sz w:val="24"/>
          <w:highlight w:val="none"/>
          <w:lang w:val="en-US" w:eastAsia="zh-CN" w:bidi="ar"/>
        </w:rPr>
      </w:pPr>
      <w:r>
        <w:rPr>
          <w:rFonts w:hint="eastAsia" w:ascii="宋体" w:hAnsi="宋体" w:cs="宋体"/>
          <w:color w:val="333333"/>
          <w:kern w:val="0"/>
          <w:sz w:val="24"/>
          <w:highlight w:val="none"/>
          <w:lang w:val="en-US" w:eastAsia="zh-CN" w:bidi="ar"/>
        </w:rPr>
        <w:t>5、本项目采用全电子化招标，不再收取招标文件费。</w:t>
      </w:r>
    </w:p>
    <w:p w14:paraId="1EF842E5">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四、磋商文件的递交截止时间及开评标地点</w:t>
      </w:r>
    </w:p>
    <w:p w14:paraId="1EA00C2D">
      <w:pPr>
        <w:spacing w:line="500" w:lineRule="exact"/>
        <w:ind w:firstLine="480" w:firstLineChars="200"/>
        <w:rPr>
          <w:rFonts w:ascii="Calibri" w:hAnsi="Calibri"/>
          <w:color w:val="000000" w:themeColor="text1"/>
          <w:kern w:val="0"/>
          <w:sz w:val="24"/>
          <w:highlight w:val="none"/>
          <w14:textFill>
            <w14:solidFill>
              <w14:schemeClr w14:val="tx1"/>
            </w14:solidFill>
          </w14:textFill>
        </w:rPr>
      </w:pPr>
      <w:r>
        <w:rPr>
          <w:rFonts w:hint="eastAsia" w:ascii="Calibri" w:hAnsi="Calibri"/>
          <w:color w:val="000000" w:themeColor="text1"/>
          <w:kern w:val="0"/>
          <w:sz w:val="24"/>
          <w:highlight w:val="none"/>
          <w14:textFill>
            <w14:solidFill>
              <w14:schemeClr w14:val="tx1"/>
            </w14:solidFill>
          </w14:textFill>
        </w:rPr>
        <w:t>1、响应文件递交的截止时间：</w:t>
      </w:r>
      <w:r>
        <w:rPr>
          <w:rFonts w:hint="eastAsia" w:ascii="Calibri" w:hAnsi="Calibri"/>
          <w:color w:val="000000" w:themeColor="text1"/>
          <w:kern w:val="0"/>
          <w:sz w:val="24"/>
          <w:highlight w:val="none"/>
          <w:lang w:eastAsia="zh-CN"/>
          <w14:textFill>
            <w14:solidFill>
              <w14:schemeClr w14:val="tx1"/>
            </w14:solidFill>
          </w14:textFill>
        </w:rPr>
        <w:t>2026年</w:t>
      </w:r>
      <w:r>
        <w:rPr>
          <w:rFonts w:hint="eastAsia" w:ascii="Calibri" w:hAnsi="Calibri"/>
          <w:color w:val="000000" w:themeColor="text1"/>
          <w:kern w:val="0"/>
          <w:sz w:val="24"/>
          <w:highlight w:val="none"/>
          <w:lang w:val="en-US" w:eastAsia="zh-CN"/>
          <w14:textFill>
            <w14:solidFill>
              <w14:schemeClr w14:val="tx1"/>
            </w14:solidFill>
          </w14:textFill>
        </w:rPr>
        <w:t>4</w:t>
      </w:r>
      <w:r>
        <w:rPr>
          <w:rFonts w:hint="eastAsia" w:ascii="Calibri" w:hAnsi="Calibri"/>
          <w:color w:val="000000" w:themeColor="text1"/>
          <w:kern w:val="0"/>
          <w:sz w:val="24"/>
          <w:highlight w:val="none"/>
          <w:lang w:eastAsia="zh-CN"/>
          <w14:textFill>
            <w14:solidFill>
              <w14:schemeClr w14:val="tx1"/>
            </w14:solidFill>
          </w14:textFill>
        </w:rPr>
        <w:t>月3</w:t>
      </w:r>
      <w:r>
        <w:rPr>
          <w:rFonts w:hint="eastAsia" w:ascii="Calibri" w:hAnsi="Calibri"/>
          <w:color w:val="000000" w:themeColor="text1"/>
          <w:kern w:val="0"/>
          <w:sz w:val="24"/>
          <w:highlight w:val="none"/>
          <w:lang w:val="en-US" w:eastAsia="zh-CN"/>
          <w14:textFill>
            <w14:solidFill>
              <w14:schemeClr w14:val="tx1"/>
            </w14:solidFill>
          </w14:textFill>
        </w:rPr>
        <w:t>0</w:t>
      </w:r>
      <w:r>
        <w:rPr>
          <w:rFonts w:hint="eastAsia" w:ascii="Calibri" w:hAnsi="Calibri"/>
          <w:color w:val="000000" w:themeColor="text1"/>
          <w:kern w:val="0"/>
          <w:sz w:val="24"/>
          <w:highlight w:val="none"/>
          <w:lang w:eastAsia="zh-CN"/>
          <w14:textFill>
            <w14:solidFill>
              <w14:schemeClr w14:val="tx1"/>
            </w14:solidFill>
          </w14:textFill>
        </w:rPr>
        <w:t>日</w:t>
      </w:r>
      <w:r>
        <w:rPr>
          <w:rFonts w:hint="eastAsia" w:ascii="Calibri" w:hAnsi="Calibri"/>
          <w:color w:val="000000" w:themeColor="text1"/>
          <w:kern w:val="0"/>
          <w:sz w:val="24"/>
          <w:highlight w:val="none"/>
          <w14:textFill>
            <w14:solidFill>
              <w14:schemeClr w14:val="tx1"/>
            </w14:solidFill>
          </w14:textFill>
        </w:rPr>
        <w:t>08时30分（北京时间）；</w:t>
      </w:r>
    </w:p>
    <w:p w14:paraId="5763FB96">
      <w:pPr>
        <w:spacing w:line="500" w:lineRule="exact"/>
        <w:ind w:firstLine="480" w:firstLineChars="200"/>
        <w:rPr>
          <w:rFonts w:ascii="Calibri" w:hAnsi="Calibri"/>
          <w:kern w:val="0"/>
          <w:sz w:val="24"/>
          <w:highlight w:val="none"/>
        </w:rPr>
      </w:pPr>
      <w:r>
        <w:rPr>
          <w:rFonts w:hint="eastAsia" w:ascii="Calibri" w:hAnsi="Calibri"/>
          <w:kern w:val="0"/>
          <w:sz w:val="24"/>
          <w:highlight w:val="none"/>
        </w:rPr>
        <w:t>2、地点：上传至三门峡市公共资源交易中心系统；</w:t>
      </w:r>
    </w:p>
    <w:p w14:paraId="4B245B99">
      <w:pPr>
        <w:spacing w:line="500" w:lineRule="exact"/>
        <w:ind w:firstLine="480" w:firstLineChars="200"/>
        <w:rPr>
          <w:rFonts w:ascii="Calibri" w:hAnsi="Calibri"/>
          <w:kern w:val="0"/>
          <w:sz w:val="24"/>
          <w:highlight w:val="none"/>
        </w:rPr>
      </w:pPr>
      <w:r>
        <w:rPr>
          <w:rFonts w:hint="eastAsia" w:ascii="Calibri" w:hAnsi="Calibri"/>
          <w:kern w:val="0"/>
          <w:sz w:val="24"/>
          <w:highlight w:val="none"/>
        </w:rPr>
        <w:t>3、开标地点：陕州区公共资源交易中心。</w:t>
      </w:r>
    </w:p>
    <w:p w14:paraId="184B2DF0">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五、投标资料的提交</w:t>
      </w:r>
    </w:p>
    <w:p w14:paraId="2885C921">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本项目实行资格后审，审查内容以投标截止时间前在三门峡市公共资源交易系统上传的响应文件的信息为准。投标人对投标文件信息的真实性、有效性、清晰可辩性负责，同时，供应商需要完善主体库信息。否则，由此造成应得分而未得分或资格审查不</w:t>
      </w:r>
      <w:r>
        <w:rPr>
          <w:rFonts w:hint="eastAsia" w:ascii="Calibri" w:hAnsi="Calibri"/>
          <w:kern w:val="0"/>
          <w:sz w:val="24"/>
          <w:highlight w:val="none"/>
          <w:lang w:eastAsia="zh-CN"/>
        </w:rPr>
        <w:t>符合国家相关规范及标准要求</w:t>
      </w:r>
      <w:r>
        <w:rPr>
          <w:rFonts w:hint="eastAsia" w:ascii="Calibri" w:hAnsi="Calibri"/>
          <w:kern w:val="0"/>
          <w:sz w:val="24"/>
          <w:highlight w:val="none"/>
        </w:rPr>
        <w:t>等情况的，由供应商承担责任。</w:t>
      </w:r>
    </w:p>
    <w:p w14:paraId="31A2B48F">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六、其他事项</w:t>
      </w:r>
    </w:p>
    <w:p w14:paraId="7194886C">
      <w:pPr>
        <w:spacing w:line="500" w:lineRule="exact"/>
        <w:ind w:firstLine="480" w:firstLineChars="200"/>
        <w:rPr>
          <w:rFonts w:ascii="Calibri" w:hAnsi="Calibri"/>
          <w:kern w:val="0"/>
          <w:sz w:val="24"/>
          <w:highlight w:val="none"/>
        </w:rPr>
      </w:pPr>
      <w:bookmarkStart w:id="10" w:name="_Toc494288834"/>
      <w:bookmarkStart w:id="11" w:name="_Toc28016"/>
      <w:bookmarkStart w:id="12" w:name="_Toc12114"/>
      <w:bookmarkStart w:id="13" w:name="_Toc184635067"/>
      <w:r>
        <w:rPr>
          <w:rFonts w:hint="eastAsia" w:ascii="Calibri" w:hAnsi="Calibri"/>
          <w:kern w:val="0"/>
          <w:sz w:val="24"/>
          <w:highlight w:val="none"/>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293BF669">
      <w:pPr>
        <w:spacing w:line="500" w:lineRule="exact"/>
        <w:ind w:firstLine="480" w:firstLineChars="200"/>
        <w:rPr>
          <w:rFonts w:ascii="Calibri" w:hAnsi="Calibri"/>
          <w:kern w:val="0"/>
          <w:sz w:val="24"/>
          <w:highlight w:val="none"/>
        </w:rPr>
      </w:pPr>
      <w:r>
        <w:rPr>
          <w:rFonts w:hint="eastAsia" w:ascii="Calibri" w:hAnsi="Calibri"/>
          <w:kern w:val="0"/>
          <w:sz w:val="24"/>
          <w:highlight w:val="none"/>
        </w:rPr>
        <w:t>2、投标所发生一切费用由各投标人自行承担，并承担相应的风险和责任；</w:t>
      </w:r>
    </w:p>
    <w:p w14:paraId="23764398">
      <w:pPr>
        <w:spacing w:line="500" w:lineRule="exact"/>
        <w:ind w:firstLine="480" w:firstLineChars="200"/>
        <w:rPr>
          <w:rFonts w:ascii="Calibri" w:hAnsi="Calibri"/>
          <w:kern w:val="0"/>
          <w:sz w:val="24"/>
          <w:highlight w:val="none"/>
        </w:rPr>
      </w:pPr>
      <w:r>
        <w:rPr>
          <w:rFonts w:hint="eastAsia" w:ascii="Calibri" w:hAnsi="Calibri"/>
          <w:kern w:val="0"/>
          <w:sz w:val="24"/>
          <w:highlight w:val="none"/>
        </w:rPr>
        <w:t>3、供应商递交的响应文件不论中标与否均不予退还。</w:t>
      </w:r>
    </w:p>
    <w:p w14:paraId="0802E390">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温馨提示：本项目为电子化、无纸化交易项目，开标时不再接受任何纸质资料，为保证您能投标成功，请需仔细阅读磋商文件和三门峡市公共资源交易中心官网业务办理指南。</w:t>
      </w:r>
    </w:p>
    <w:p w14:paraId="1EBCE5FC">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七、磋商保证金</w:t>
      </w:r>
    </w:p>
    <w:p w14:paraId="4DC017D4">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按照《河南省财政厅关于优化政府采购营商环境有关问题的通知》（豫财购[2019]4号文）的要求本项目不再收取磋商保证金。</w:t>
      </w:r>
    </w:p>
    <w:p w14:paraId="073A1F28">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八、发布磋商公告的媒介</w:t>
      </w:r>
      <w:bookmarkEnd w:id="10"/>
      <w:bookmarkEnd w:id="11"/>
      <w:bookmarkEnd w:id="12"/>
    </w:p>
    <w:bookmarkEnd w:id="13"/>
    <w:p w14:paraId="66AE756A">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本次竞争性磋商公告同时在《三门峡市公共资源交易中心》、《河南省政府采购网》、《中国采购与招标网》等媒体上公开发布。</w:t>
      </w:r>
    </w:p>
    <w:p w14:paraId="67F2B215">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九、联系方式</w:t>
      </w:r>
    </w:p>
    <w:p w14:paraId="19F78479">
      <w:pPr>
        <w:spacing w:line="460" w:lineRule="exact"/>
        <w:ind w:firstLine="480" w:firstLineChars="200"/>
        <w:rPr>
          <w:rFonts w:ascii="宋体" w:hAnsi="宋体" w:cs="宋体"/>
          <w:sz w:val="24"/>
          <w:highlight w:val="none"/>
        </w:rPr>
      </w:pPr>
      <w:r>
        <w:rPr>
          <w:rFonts w:hint="eastAsia" w:ascii="宋体" w:hAnsi="宋体" w:cs="宋体"/>
          <w:sz w:val="24"/>
          <w:highlight w:val="none"/>
        </w:rPr>
        <w:t>监督单位：三门峡市陕州区财政局政府采购监督管理科</w:t>
      </w:r>
    </w:p>
    <w:p w14:paraId="5946551A">
      <w:pPr>
        <w:spacing w:line="460" w:lineRule="exact"/>
        <w:ind w:firstLine="480" w:firstLineChars="200"/>
        <w:rPr>
          <w:rFonts w:ascii="宋体" w:hAnsi="宋体" w:cs="宋体"/>
          <w:sz w:val="24"/>
          <w:highlight w:val="none"/>
        </w:rPr>
      </w:pPr>
      <w:r>
        <w:rPr>
          <w:rFonts w:hint="eastAsia" w:ascii="宋体" w:hAnsi="宋体" w:cs="宋体"/>
          <w:sz w:val="24"/>
          <w:highlight w:val="none"/>
        </w:rPr>
        <w:t xml:space="preserve">电话：0398-3839210 </w:t>
      </w:r>
    </w:p>
    <w:p w14:paraId="0D3379EC">
      <w:pPr>
        <w:spacing w:line="500" w:lineRule="exact"/>
        <w:ind w:firstLine="480" w:firstLineChars="200"/>
        <w:rPr>
          <w:rFonts w:ascii="Calibri" w:hAnsi="Calibri"/>
          <w:kern w:val="0"/>
          <w:sz w:val="24"/>
          <w:highlight w:val="none"/>
        </w:rPr>
      </w:pPr>
      <w:r>
        <w:rPr>
          <w:rFonts w:hint="eastAsia" w:ascii="Calibri" w:hAnsi="Calibri"/>
          <w:kern w:val="0"/>
          <w:sz w:val="24"/>
          <w:highlight w:val="none"/>
        </w:rPr>
        <w:t>采购人：三门峡市陕州区农业农村局</w:t>
      </w:r>
    </w:p>
    <w:p w14:paraId="7678AA96">
      <w:pPr>
        <w:spacing w:line="500" w:lineRule="exact"/>
        <w:ind w:firstLine="480" w:firstLineChars="200"/>
        <w:rPr>
          <w:rFonts w:ascii="Calibri" w:hAnsi="Calibri"/>
          <w:kern w:val="0"/>
          <w:sz w:val="24"/>
          <w:highlight w:val="none"/>
        </w:rPr>
      </w:pPr>
      <w:r>
        <w:rPr>
          <w:rFonts w:hint="eastAsia" w:ascii="Calibri" w:hAnsi="Calibri"/>
          <w:kern w:val="0"/>
          <w:sz w:val="24"/>
          <w:highlight w:val="none"/>
        </w:rPr>
        <w:t>联系人：范女士</w:t>
      </w:r>
    </w:p>
    <w:p w14:paraId="5635FA05">
      <w:pPr>
        <w:spacing w:line="500" w:lineRule="exact"/>
        <w:ind w:firstLine="480" w:firstLineChars="200"/>
        <w:rPr>
          <w:rFonts w:hint="default" w:ascii="Calibri" w:hAnsi="Calibri" w:eastAsia="宋体"/>
          <w:kern w:val="0"/>
          <w:sz w:val="24"/>
          <w:highlight w:val="none"/>
          <w:lang w:val="en-US" w:eastAsia="zh-CN"/>
        </w:rPr>
      </w:pPr>
      <w:r>
        <w:rPr>
          <w:rFonts w:hint="eastAsia" w:ascii="Calibri" w:hAnsi="Calibri"/>
          <w:kern w:val="0"/>
          <w:sz w:val="24"/>
          <w:highlight w:val="none"/>
        </w:rPr>
        <w:t>电话：</w:t>
      </w:r>
      <w:r>
        <w:rPr>
          <w:rFonts w:hint="eastAsia" w:ascii="Calibri" w:hAnsi="Calibri"/>
          <w:kern w:val="0"/>
          <w:sz w:val="24"/>
          <w:highlight w:val="none"/>
          <w:lang w:val="en-US" w:eastAsia="zh-CN"/>
        </w:rPr>
        <w:t>0398—3832627</w:t>
      </w:r>
    </w:p>
    <w:p w14:paraId="41C2BC63">
      <w:pPr>
        <w:spacing w:line="500" w:lineRule="exact"/>
        <w:ind w:firstLine="480" w:firstLineChars="200"/>
        <w:rPr>
          <w:rFonts w:ascii="Calibri" w:hAnsi="Calibri"/>
          <w:kern w:val="0"/>
          <w:sz w:val="24"/>
          <w:highlight w:val="none"/>
        </w:rPr>
      </w:pPr>
      <w:r>
        <w:rPr>
          <w:rFonts w:hint="eastAsia" w:ascii="Calibri" w:hAnsi="Calibri"/>
          <w:kern w:val="0"/>
          <w:sz w:val="24"/>
          <w:highlight w:val="none"/>
        </w:rPr>
        <w:t>地址：三门峡市陕州区神泉路中段</w:t>
      </w:r>
    </w:p>
    <w:p w14:paraId="7DB7B7BB">
      <w:pPr>
        <w:spacing w:line="500" w:lineRule="exact"/>
        <w:ind w:firstLine="480" w:firstLineChars="200"/>
        <w:rPr>
          <w:rFonts w:ascii="Calibri" w:hAnsi="Calibri"/>
          <w:kern w:val="0"/>
          <w:sz w:val="24"/>
          <w:highlight w:val="none"/>
        </w:rPr>
      </w:pPr>
      <w:r>
        <w:rPr>
          <w:rFonts w:hint="eastAsia" w:ascii="Calibri" w:hAnsi="Calibri"/>
          <w:kern w:val="0"/>
          <w:sz w:val="24"/>
          <w:highlight w:val="none"/>
        </w:rPr>
        <w:t xml:space="preserve">采购代理机构：国咨项目管理有限公司 </w:t>
      </w:r>
    </w:p>
    <w:p w14:paraId="6E475A89">
      <w:pPr>
        <w:spacing w:line="500" w:lineRule="exact"/>
        <w:ind w:firstLine="480" w:firstLineChars="200"/>
        <w:rPr>
          <w:rFonts w:ascii="Calibri" w:hAnsi="Calibri"/>
          <w:kern w:val="0"/>
          <w:sz w:val="24"/>
          <w:highlight w:val="none"/>
        </w:rPr>
      </w:pPr>
      <w:r>
        <w:rPr>
          <w:rFonts w:hint="eastAsia" w:ascii="Calibri" w:hAnsi="Calibri"/>
          <w:kern w:val="0"/>
          <w:sz w:val="24"/>
          <w:highlight w:val="none"/>
        </w:rPr>
        <w:t>联系人：冉女士</w:t>
      </w:r>
    </w:p>
    <w:p w14:paraId="5BC8FC1D">
      <w:pPr>
        <w:spacing w:line="500" w:lineRule="exact"/>
        <w:ind w:firstLine="480" w:firstLineChars="200"/>
        <w:rPr>
          <w:rFonts w:ascii="Calibri" w:hAnsi="Calibri"/>
          <w:kern w:val="0"/>
          <w:sz w:val="24"/>
          <w:highlight w:val="none"/>
        </w:rPr>
      </w:pPr>
      <w:r>
        <w:rPr>
          <w:rFonts w:hint="eastAsia" w:ascii="Calibri" w:hAnsi="Calibri"/>
          <w:kern w:val="0"/>
          <w:sz w:val="24"/>
          <w:highlight w:val="none"/>
        </w:rPr>
        <w:t>电话：0371-55376966   17613053066</w:t>
      </w:r>
    </w:p>
    <w:p w14:paraId="6F95DB12">
      <w:pPr>
        <w:spacing w:line="500" w:lineRule="exact"/>
        <w:ind w:firstLine="480" w:firstLineChars="200"/>
        <w:rPr>
          <w:rFonts w:hint="eastAsia" w:ascii="Calibri" w:hAnsi="Calibri" w:eastAsia="宋体"/>
          <w:kern w:val="0"/>
          <w:sz w:val="24"/>
          <w:highlight w:val="none"/>
          <w:lang w:eastAsia="zh-CN"/>
        </w:rPr>
      </w:pPr>
      <w:r>
        <w:rPr>
          <w:rFonts w:hint="eastAsia" w:ascii="Calibri" w:hAnsi="Calibri"/>
          <w:kern w:val="0"/>
          <w:sz w:val="24"/>
          <w:highlight w:val="none"/>
        </w:rPr>
        <w:t>地址：</w:t>
      </w:r>
      <w:r>
        <w:rPr>
          <w:rFonts w:hint="eastAsia" w:ascii="Calibri" w:hAnsi="Calibri"/>
          <w:kern w:val="0"/>
          <w:sz w:val="24"/>
          <w:highlight w:val="none"/>
          <w:lang w:eastAsia="zh-CN"/>
        </w:rPr>
        <w:t>河南省郑州市管城回族区正商花都港湾16#3单元2楼西户</w:t>
      </w:r>
    </w:p>
    <w:p w14:paraId="372A24A9">
      <w:pPr>
        <w:spacing w:line="500" w:lineRule="exact"/>
        <w:ind w:firstLine="480" w:firstLineChars="200"/>
        <w:rPr>
          <w:rFonts w:ascii="Calibri" w:hAnsi="Calibri"/>
          <w:kern w:val="0"/>
          <w:sz w:val="24"/>
          <w:highlight w:val="none"/>
        </w:rPr>
      </w:pPr>
    </w:p>
    <w:p w14:paraId="6E46C852">
      <w:pPr>
        <w:spacing w:line="460" w:lineRule="exact"/>
        <w:ind w:firstLine="480" w:firstLineChars="200"/>
        <w:jc w:val="right"/>
        <w:rPr>
          <w:rFonts w:ascii="宋体" w:hAnsi="宋体"/>
          <w:color w:val="FF0000"/>
          <w:sz w:val="24"/>
          <w:highlight w:val="none"/>
        </w:rPr>
      </w:pPr>
    </w:p>
    <w:p w14:paraId="5E05A2EC">
      <w:pPr>
        <w:keepNext/>
        <w:keepLines/>
        <w:jc w:val="center"/>
        <w:outlineLvl w:val="0"/>
        <w:rPr>
          <w:rFonts w:ascii="宋体" w:hAnsi="宋体"/>
          <w:b/>
          <w:bCs/>
          <w:color w:val="000000"/>
          <w:kern w:val="44"/>
          <w:sz w:val="36"/>
          <w:szCs w:val="36"/>
          <w:highlight w:val="none"/>
        </w:rPr>
      </w:pPr>
      <w:r>
        <w:rPr>
          <w:rFonts w:hint="eastAsia" w:ascii="宋体" w:hAnsi="宋体"/>
          <w:b/>
          <w:bCs/>
          <w:color w:val="000000"/>
          <w:kern w:val="44"/>
          <w:sz w:val="36"/>
          <w:szCs w:val="36"/>
          <w:highlight w:val="none"/>
        </w:rPr>
        <w:br w:type="page"/>
      </w:r>
      <w:bookmarkStart w:id="14" w:name="_Toc3187"/>
      <w:bookmarkEnd w:id="14"/>
      <w:bookmarkStart w:id="15" w:name="_Toc466566783"/>
      <w:bookmarkEnd w:id="15"/>
      <w:bookmarkStart w:id="16" w:name="_Toc16092_WPSOffice_Level1"/>
      <w:bookmarkStart w:id="17" w:name="_Toc18101"/>
      <w:bookmarkStart w:id="18" w:name="_Toc15117_WPSOffice_Level1"/>
      <w:bookmarkStart w:id="19" w:name="_Toc11439"/>
      <w:bookmarkStart w:id="20" w:name="_Toc31013_WPSOffice_Level1"/>
      <w:bookmarkStart w:id="21" w:name="_Toc9900_WPSOffice_Level1"/>
      <w:bookmarkStart w:id="22" w:name="_Toc24425"/>
      <w:bookmarkStart w:id="23" w:name="_Toc9448"/>
      <w:r>
        <w:rPr>
          <w:rFonts w:hint="eastAsia" w:ascii="宋体" w:hAnsi="宋体"/>
          <w:b/>
          <w:bCs/>
          <w:color w:val="000000"/>
          <w:kern w:val="44"/>
          <w:sz w:val="36"/>
          <w:szCs w:val="36"/>
          <w:highlight w:val="none"/>
        </w:rPr>
        <w:t>第二章  供应商须知</w:t>
      </w:r>
      <w:bookmarkEnd w:id="16"/>
      <w:bookmarkEnd w:id="17"/>
      <w:bookmarkEnd w:id="18"/>
      <w:bookmarkEnd w:id="19"/>
      <w:bookmarkEnd w:id="20"/>
      <w:bookmarkEnd w:id="21"/>
      <w:bookmarkEnd w:id="22"/>
      <w:bookmarkEnd w:id="23"/>
    </w:p>
    <w:p w14:paraId="52DD93AD">
      <w:pPr>
        <w:jc w:val="center"/>
        <w:outlineLvl w:val="1"/>
        <w:rPr>
          <w:rFonts w:ascii="宋体" w:hAnsi="宋体"/>
          <w:color w:val="000000"/>
          <w:sz w:val="24"/>
          <w:highlight w:val="none"/>
        </w:rPr>
      </w:pPr>
      <w:r>
        <w:rPr>
          <w:rFonts w:hint="eastAsia" w:ascii="宋体" w:hAnsi="宋体"/>
          <w:color w:val="000000"/>
          <w:sz w:val="24"/>
          <w:highlight w:val="none"/>
        </w:rPr>
        <w:t>供应商须知前附表</w:t>
      </w:r>
    </w:p>
    <w:tbl>
      <w:tblPr>
        <w:tblStyle w:val="13"/>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909"/>
        <w:gridCol w:w="6887"/>
      </w:tblGrid>
      <w:tr w14:paraId="1864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8E7FB93">
            <w:pPr>
              <w:jc w:val="center"/>
              <w:rPr>
                <w:rFonts w:ascii="宋体" w:hAnsi="宋体"/>
                <w:color w:val="000000"/>
                <w:sz w:val="24"/>
                <w:highlight w:val="none"/>
              </w:rPr>
            </w:pPr>
            <w:r>
              <w:rPr>
                <w:rFonts w:hint="eastAsia" w:ascii="宋体" w:hAnsi="宋体"/>
                <w:color w:val="000000"/>
                <w:sz w:val="24"/>
                <w:highlight w:val="none"/>
              </w:rPr>
              <w:t>条款号</w:t>
            </w:r>
          </w:p>
        </w:tc>
        <w:tc>
          <w:tcPr>
            <w:tcW w:w="1909" w:type="dxa"/>
            <w:tcBorders>
              <w:top w:val="single" w:color="auto" w:sz="4" w:space="0"/>
              <w:left w:val="nil"/>
              <w:bottom w:val="single" w:color="auto" w:sz="4" w:space="0"/>
              <w:right w:val="single" w:color="auto" w:sz="4" w:space="0"/>
            </w:tcBorders>
            <w:vAlign w:val="center"/>
          </w:tcPr>
          <w:p w14:paraId="37F9DC2B">
            <w:pPr>
              <w:jc w:val="center"/>
              <w:rPr>
                <w:rFonts w:ascii="宋体" w:hAnsi="宋体"/>
                <w:color w:val="000000"/>
                <w:sz w:val="24"/>
                <w:highlight w:val="none"/>
              </w:rPr>
            </w:pPr>
            <w:r>
              <w:rPr>
                <w:rFonts w:hint="eastAsia" w:ascii="宋体" w:hAnsi="宋体"/>
                <w:color w:val="000000"/>
                <w:sz w:val="24"/>
                <w:highlight w:val="none"/>
              </w:rPr>
              <w:t>条款名称</w:t>
            </w:r>
          </w:p>
        </w:tc>
        <w:tc>
          <w:tcPr>
            <w:tcW w:w="6887" w:type="dxa"/>
            <w:tcBorders>
              <w:top w:val="single" w:color="auto" w:sz="4" w:space="0"/>
              <w:left w:val="nil"/>
              <w:bottom w:val="single" w:color="auto" w:sz="4" w:space="0"/>
              <w:right w:val="single" w:color="auto" w:sz="4" w:space="0"/>
            </w:tcBorders>
            <w:vAlign w:val="center"/>
          </w:tcPr>
          <w:p w14:paraId="5E9B784F">
            <w:pPr>
              <w:jc w:val="center"/>
              <w:rPr>
                <w:rFonts w:ascii="宋体" w:hAnsi="宋体"/>
                <w:color w:val="000000"/>
                <w:sz w:val="24"/>
                <w:highlight w:val="none"/>
              </w:rPr>
            </w:pPr>
            <w:r>
              <w:rPr>
                <w:rFonts w:hint="eastAsia" w:ascii="宋体" w:hAnsi="宋体"/>
                <w:color w:val="000000"/>
                <w:sz w:val="24"/>
                <w:highlight w:val="none"/>
              </w:rPr>
              <w:t>编  列  内  容</w:t>
            </w:r>
          </w:p>
        </w:tc>
      </w:tr>
      <w:tr w14:paraId="185B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909B763">
            <w:pPr>
              <w:jc w:val="center"/>
              <w:rPr>
                <w:rFonts w:ascii="宋体" w:hAnsi="宋体"/>
                <w:color w:val="000000"/>
                <w:sz w:val="24"/>
                <w:highlight w:val="none"/>
              </w:rPr>
            </w:pPr>
            <w:r>
              <w:rPr>
                <w:rFonts w:hint="eastAsia" w:ascii="宋体" w:hAnsi="宋体"/>
                <w:color w:val="000000"/>
                <w:sz w:val="24"/>
                <w:highlight w:val="none"/>
              </w:rPr>
              <w:t>1</w:t>
            </w:r>
          </w:p>
        </w:tc>
        <w:tc>
          <w:tcPr>
            <w:tcW w:w="1909" w:type="dxa"/>
            <w:tcBorders>
              <w:top w:val="single" w:color="auto" w:sz="4" w:space="0"/>
              <w:left w:val="nil"/>
              <w:bottom w:val="single" w:color="auto" w:sz="4" w:space="0"/>
              <w:right w:val="single" w:color="auto" w:sz="4" w:space="0"/>
            </w:tcBorders>
            <w:vAlign w:val="center"/>
          </w:tcPr>
          <w:p w14:paraId="279F1C72">
            <w:pPr>
              <w:wordWrap w:val="0"/>
              <w:spacing w:line="240" w:lineRule="auto"/>
              <w:rPr>
                <w:rFonts w:ascii="宋体" w:hAnsi="宋体" w:cs="宋体"/>
                <w:sz w:val="24"/>
                <w:szCs w:val="20"/>
                <w:highlight w:val="none"/>
              </w:rPr>
            </w:pPr>
            <w:r>
              <w:rPr>
                <w:rFonts w:hint="eastAsia" w:ascii="宋体" w:hAnsi="宋体" w:cs="宋体"/>
                <w:sz w:val="24"/>
                <w:szCs w:val="20"/>
                <w:highlight w:val="none"/>
              </w:rPr>
              <w:t>监督单位</w:t>
            </w:r>
          </w:p>
        </w:tc>
        <w:tc>
          <w:tcPr>
            <w:tcW w:w="6887" w:type="dxa"/>
            <w:tcBorders>
              <w:top w:val="single" w:color="auto" w:sz="4" w:space="0"/>
              <w:left w:val="nil"/>
              <w:bottom w:val="single" w:color="auto" w:sz="4" w:space="0"/>
              <w:right w:val="single" w:color="auto" w:sz="4" w:space="0"/>
            </w:tcBorders>
            <w:vAlign w:val="center"/>
          </w:tcPr>
          <w:p w14:paraId="441D6543">
            <w:pPr>
              <w:wordWrap w:val="0"/>
              <w:spacing w:line="240" w:lineRule="auto"/>
              <w:rPr>
                <w:rFonts w:ascii="宋体" w:hAnsi="宋体" w:cs="宋体"/>
                <w:sz w:val="24"/>
                <w:szCs w:val="20"/>
                <w:highlight w:val="none"/>
              </w:rPr>
            </w:pPr>
            <w:r>
              <w:rPr>
                <w:rFonts w:hint="eastAsia" w:ascii="宋体" w:hAnsi="宋体" w:cs="宋体"/>
                <w:sz w:val="24"/>
                <w:szCs w:val="20"/>
                <w:highlight w:val="none"/>
              </w:rPr>
              <w:t>监督单位：三门峡市陕州区财政局政府采购监督管理科</w:t>
            </w:r>
          </w:p>
          <w:p w14:paraId="17B92CA9">
            <w:pPr>
              <w:wordWrap w:val="0"/>
              <w:spacing w:line="240" w:lineRule="auto"/>
              <w:rPr>
                <w:rFonts w:ascii="宋体" w:hAnsi="宋体" w:cs="宋体"/>
                <w:sz w:val="24"/>
                <w:szCs w:val="20"/>
                <w:highlight w:val="none"/>
              </w:rPr>
            </w:pPr>
            <w:r>
              <w:rPr>
                <w:rFonts w:hint="eastAsia" w:ascii="宋体" w:hAnsi="宋体" w:cs="宋体"/>
                <w:sz w:val="24"/>
                <w:szCs w:val="20"/>
                <w:highlight w:val="none"/>
              </w:rPr>
              <w:t xml:space="preserve">电话：0398-3839210 </w:t>
            </w:r>
          </w:p>
        </w:tc>
      </w:tr>
      <w:tr w14:paraId="4AF1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74B5068">
            <w:pPr>
              <w:jc w:val="center"/>
              <w:rPr>
                <w:rFonts w:ascii="宋体" w:hAnsi="宋体"/>
                <w:color w:val="000000"/>
                <w:sz w:val="24"/>
                <w:highlight w:val="none"/>
              </w:rPr>
            </w:pPr>
            <w:r>
              <w:rPr>
                <w:rFonts w:hint="eastAsia" w:ascii="宋体" w:hAnsi="宋体"/>
                <w:color w:val="000000"/>
                <w:sz w:val="24"/>
                <w:highlight w:val="none"/>
              </w:rPr>
              <w:t>2</w:t>
            </w:r>
          </w:p>
        </w:tc>
        <w:tc>
          <w:tcPr>
            <w:tcW w:w="1909" w:type="dxa"/>
            <w:tcBorders>
              <w:top w:val="single" w:color="auto" w:sz="4" w:space="0"/>
              <w:left w:val="nil"/>
              <w:bottom w:val="single" w:color="auto" w:sz="4" w:space="0"/>
              <w:right w:val="single" w:color="auto" w:sz="4" w:space="0"/>
            </w:tcBorders>
            <w:vAlign w:val="center"/>
          </w:tcPr>
          <w:p w14:paraId="52721085">
            <w:pPr>
              <w:jc w:val="center"/>
              <w:rPr>
                <w:rFonts w:ascii="宋体" w:hAnsi="宋体" w:cs="宋体"/>
                <w:sz w:val="24"/>
                <w:highlight w:val="none"/>
              </w:rPr>
            </w:pPr>
            <w:r>
              <w:rPr>
                <w:rFonts w:hint="eastAsia" w:ascii="宋体" w:hAnsi="宋体" w:cs="宋体"/>
                <w:sz w:val="24"/>
                <w:highlight w:val="none"/>
              </w:rPr>
              <w:t>采购人</w:t>
            </w:r>
          </w:p>
        </w:tc>
        <w:tc>
          <w:tcPr>
            <w:tcW w:w="6887" w:type="dxa"/>
            <w:tcBorders>
              <w:top w:val="single" w:color="auto" w:sz="4" w:space="0"/>
              <w:left w:val="nil"/>
              <w:bottom w:val="single" w:color="auto" w:sz="4" w:space="0"/>
              <w:right w:val="single" w:color="auto" w:sz="4" w:space="0"/>
            </w:tcBorders>
            <w:vAlign w:val="center"/>
          </w:tcPr>
          <w:p w14:paraId="61502C15">
            <w:pPr>
              <w:wordWrap w:val="0"/>
              <w:spacing w:line="240" w:lineRule="auto"/>
              <w:rPr>
                <w:rFonts w:ascii="宋体" w:hAnsi="宋体" w:cs="宋体"/>
                <w:sz w:val="24"/>
                <w:szCs w:val="20"/>
                <w:highlight w:val="none"/>
              </w:rPr>
            </w:pPr>
            <w:r>
              <w:rPr>
                <w:rFonts w:hint="eastAsia" w:ascii="宋体" w:hAnsi="宋体" w:cs="宋体"/>
                <w:sz w:val="24"/>
                <w:szCs w:val="20"/>
                <w:highlight w:val="none"/>
              </w:rPr>
              <w:t>采购人：三门峡市陕州区农业农村局</w:t>
            </w:r>
          </w:p>
          <w:p w14:paraId="5F0ECFBD">
            <w:pPr>
              <w:wordWrap w:val="0"/>
              <w:spacing w:line="240" w:lineRule="auto"/>
              <w:rPr>
                <w:rFonts w:ascii="宋体" w:hAnsi="宋体" w:cs="宋体"/>
                <w:sz w:val="24"/>
                <w:szCs w:val="20"/>
                <w:highlight w:val="none"/>
              </w:rPr>
            </w:pPr>
            <w:r>
              <w:rPr>
                <w:rFonts w:hint="eastAsia" w:ascii="宋体" w:hAnsi="宋体" w:cs="宋体"/>
                <w:sz w:val="24"/>
                <w:szCs w:val="20"/>
                <w:highlight w:val="none"/>
              </w:rPr>
              <w:t>联系人：范女士</w:t>
            </w:r>
          </w:p>
          <w:p w14:paraId="6526F349">
            <w:pPr>
              <w:wordWrap w:val="0"/>
              <w:spacing w:line="240" w:lineRule="auto"/>
              <w:rPr>
                <w:rFonts w:hint="default" w:ascii="宋体" w:hAnsi="宋体" w:eastAsia="宋体" w:cs="宋体"/>
                <w:sz w:val="24"/>
                <w:szCs w:val="20"/>
                <w:highlight w:val="none"/>
                <w:lang w:val="en-US" w:eastAsia="zh-CN"/>
              </w:rPr>
            </w:pPr>
            <w:r>
              <w:rPr>
                <w:rFonts w:hint="eastAsia" w:ascii="宋体" w:hAnsi="宋体" w:cs="宋体"/>
                <w:sz w:val="24"/>
                <w:szCs w:val="20"/>
                <w:highlight w:val="none"/>
              </w:rPr>
              <w:t>电话：</w:t>
            </w:r>
            <w:r>
              <w:rPr>
                <w:rFonts w:hint="eastAsia" w:ascii="宋体" w:hAnsi="宋体" w:cs="宋体"/>
                <w:sz w:val="24"/>
                <w:szCs w:val="20"/>
                <w:highlight w:val="none"/>
                <w:lang w:val="en-US" w:eastAsia="zh-CN"/>
              </w:rPr>
              <w:t>0398—3832627</w:t>
            </w:r>
          </w:p>
        </w:tc>
      </w:tr>
      <w:tr w14:paraId="2A1C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88F9563">
            <w:pPr>
              <w:jc w:val="center"/>
              <w:rPr>
                <w:rFonts w:ascii="宋体" w:hAnsi="宋体"/>
                <w:color w:val="000000"/>
                <w:sz w:val="24"/>
                <w:highlight w:val="none"/>
              </w:rPr>
            </w:pPr>
            <w:r>
              <w:rPr>
                <w:rFonts w:hint="eastAsia" w:ascii="宋体" w:hAnsi="宋体"/>
                <w:color w:val="000000"/>
                <w:sz w:val="24"/>
                <w:highlight w:val="none"/>
              </w:rPr>
              <w:t>3</w:t>
            </w:r>
          </w:p>
        </w:tc>
        <w:tc>
          <w:tcPr>
            <w:tcW w:w="1909" w:type="dxa"/>
            <w:tcBorders>
              <w:top w:val="single" w:color="auto" w:sz="4" w:space="0"/>
              <w:left w:val="nil"/>
              <w:bottom w:val="single" w:color="auto" w:sz="4" w:space="0"/>
              <w:right w:val="single" w:color="auto" w:sz="4" w:space="0"/>
            </w:tcBorders>
            <w:vAlign w:val="center"/>
          </w:tcPr>
          <w:p w14:paraId="6A6EC365">
            <w:pPr>
              <w:jc w:val="center"/>
              <w:rPr>
                <w:rFonts w:ascii="宋体" w:hAnsi="宋体"/>
                <w:sz w:val="24"/>
                <w:highlight w:val="none"/>
              </w:rPr>
            </w:pPr>
            <w:r>
              <w:rPr>
                <w:rFonts w:hint="eastAsia" w:ascii="宋体" w:hAnsi="宋体"/>
                <w:sz w:val="24"/>
                <w:highlight w:val="none"/>
              </w:rPr>
              <w:t>采购代理机构</w:t>
            </w:r>
          </w:p>
        </w:tc>
        <w:tc>
          <w:tcPr>
            <w:tcW w:w="6887" w:type="dxa"/>
            <w:tcBorders>
              <w:top w:val="single" w:color="auto" w:sz="4" w:space="0"/>
              <w:left w:val="nil"/>
              <w:bottom w:val="single" w:color="auto" w:sz="4" w:space="0"/>
              <w:right w:val="single" w:color="auto" w:sz="4" w:space="0"/>
            </w:tcBorders>
            <w:vAlign w:val="center"/>
          </w:tcPr>
          <w:p w14:paraId="78FB7689">
            <w:pPr>
              <w:wordWrap w:val="0"/>
              <w:spacing w:line="240" w:lineRule="auto"/>
              <w:rPr>
                <w:rFonts w:ascii="宋体" w:hAnsi="宋体" w:cs="宋体"/>
                <w:sz w:val="24"/>
                <w:szCs w:val="20"/>
                <w:highlight w:val="none"/>
              </w:rPr>
            </w:pPr>
            <w:r>
              <w:rPr>
                <w:rFonts w:hint="eastAsia" w:ascii="宋体" w:hAnsi="宋体" w:cs="宋体"/>
                <w:sz w:val="24"/>
                <w:szCs w:val="20"/>
                <w:highlight w:val="none"/>
              </w:rPr>
              <w:t xml:space="preserve">采购代理机构：国咨项目管理有限公司 </w:t>
            </w:r>
          </w:p>
          <w:p w14:paraId="3E21ABE4">
            <w:pPr>
              <w:wordWrap w:val="0"/>
              <w:spacing w:line="240" w:lineRule="auto"/>
              <w:rPr>
                <w:rFonts w:ascii="宋体" w:hAnsi="宋体" w:cs="宋体"/>
                <w:sz w:val="24"/>
                <w:szCs w:val="20"/>
                <w:highlight w:val="none"/>
              </w:rPr>
            </w:pPr>
            <w:r>
              <w:rPr>
                <w:rFonts w:hint="eastAsia" w:ascii="宋体" w:hAnsi="宋体" w:cs="宋体"/>
                <w:sz w:val="24"/>
                <w:szCs w:val="20"/>
                <w:highlight w:val="none"/>
              </w:rPr>
              <w:t>联系人：冉女士</w:t>
            </w:r>
          </w:p>
          <w:p w14:paraId="4E335432">
            <w:pPr>
              <w:wordWrap w:val="0"/>
              <w:spacing w:line="240" w:lineRule="auto"/>
              <w:rPr>
                <w:rFonts w:ascii="宋体" w:hAnsi="宋体" w:cs="宋体"/>
                <w:sz w:val="24"/>
                <w:szCs w:val="20"/>
                <w:highlight w:val="none"/>
              </w:rPr>
            </w:pPr>
            <w:r>
              <w:rPr>
                <w:rFonts w:hint="eastAsia" w:ascii="宋体" w:hAnsi="宋体" w:cs="宋体"/>
                <w:sz w:val="24"/>
                <w:szCs w:val="20"/>
                <w:highlight w:val="none"/>
              </w:rPr>
              <w:t>电话：0371-55376966   17613053066</w:t>
            </w:r>
          </w:p>
          <w:p w14:paraId="117CE9C8">
            <w:pPr>
              <w:wordWrap w:val="0"/>
              <w:spacing w:line="240" w:lineRule="auto"/>
              <w:rPr>
                <w:rFonts w:hint="eastAsia" w:ascii="宋体" w:hAnsi="宋体" w:eastAsia="宋体" w:cs="宋体"/>
                <w:sz w:val="24"/>
                <w:szCs w:val="20"/>
                <w:highlight w:val="none"/>
                <w:lang w:eastAsia="zh-CN"/>
              </w:rPr>
            </w:pPr>
            <w:r>
              <w:rPr>
                <w:rFonts w:hint="eastAsia" w:ascii="宋体" w:hAnsi="宋体" w:cs="宋体"/>
                <w:sz w:val="24"/>
                <w:szCs w:val="20"/>
                <w:highlight w:val="none"/>
              </w:rPr>
              <w:t>地址：</w:t>
            </w:r>
            <w:r>
              <w:rPr>
                <w:rFonts w:hint="eastAsia" w:ascii="宋体" w:hAnsi="宋体" w:cs="宋体"/>
                <w:sz w:val="24"/>
                <w:szCs w:val="20"/>
                <w:highlight w:val="none"/>
                <w:lang w:eastAsia="zh-CN"/>
              </w:rPr>
              <w:t>河南省郑州市管城回族区正商花都港湾16#3单元2楼西户</w:t>
            </w:r>
          </w:p>
        </w:tc>
      </w:tr>
      <w:tr w14:paraId="08AE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C94814C">
            <w:pPr>
              <w:jc w:val="center"/>
              <w:rPr>
                <w:rFonts w:ascii="宋体" w:hAnsi="宋体"/>
                <w:color w:val="000000"/>
                <w:sz w:val="24"/>
                <w:highlight w:val="none"/>
              </w:rPr>
            </w:pPr>
            <w:r>
              <w:rPr>
                <w:rFonts w:hint="eastAsia" w:ascii="宋体" w:hAnsi="宋体"/>
                <w:color w:val="000000"/>
                <w:sz w:val="24"/>
                <w:highlight w:val="none"/>
              </w:rPr>
              <w:t>4</w:t>
            </w:r>
          </w:p>
        </w:tc>
        <w:tc>
          <w:tcPr>
            <w:tcW w:w="1909" w:type="dxa"/>
            <w:tcBorders>
              <w:top w:val="single" w:color="auto" w:sz="4" w:space="0"/>
              <w:left w:val="nil"/>
              <w:bottom w:val="single" w:color="auto" w:sz="4" w:space="0"/>
              <w:right w:val="single" w:color="auto" w:sz="4" w:space="0"/>
            </w:tcBorders>
            <w:vAlign w:val="center"/>
          </w:tcPr>
          <w:p w14:paraId="18C13323">
            <w:pPr>
              <w:jc w:val="center"/>
              <w:rPr>
                <w:rFonts w:ascii="宋体" w:hAnsi="宋体"/>
                <w:sz w:val="24"/>
                <w:highlight w:val="none"/>
              </w:rPr>
            </w:pPr>
            <w:r>
              <w:rPr>
                <w:rFonts w:hint="eastAsia" w:ascii="宋体" w:hAnsi="宋体"/>
                <w:sz w:val="24"/>
                <w:highlight w:val="none"/>
              </w:rPr>
              <w:t>项目名称</w:t>
            </w:r>
          </w:p>
        </w:tc>
        <w:tc>
          <w:tcPr>
            <w:tcW w:w="6887" w:type="dxa"/>
            <w:tcBorders>
              <w:top w:val="single" w:color="auto" w:sz="4" w:space="0"/>
              <w:left w:val="nil"/>
              <w:bottom w:val="single" w:color="auto" w:sz="4" w:space="0"/>
              <w:right w:val="single" w:color="auto" w:sz="4" w:space="0"/>
            </w:tcBorders>
            <w:vAlign w:val="center"/>
          </w:tcPr>
          <w:p w14:paraId="201B62F4">
            <w:pPr>
              <w:wordWrap w:val="0"/>
              <w:spacing w:line="240" w:lineRule="auto"/>
              <w:rPr>
                <w:rFonts w:ascii="宋体" w:hAnsi="宋体"/>
                <w:sz w:val="24"/>
                <w:highlight w:val="none"/>
              </w:rPr>
            </w:pPr>
            <w:r>
              <w:rPr>
                <w:rFonts w:hint="eastAsia" w:ascii="宋体" w:hAnsi="宋体" w:cs="宋体"/>
                <w:sz w:val="24"/>
                <w:szCs w:val="20"/>
                <w:highlight w:val="none"/>
                <w:lang w:eastAsia="zh-CN"/>
              </w:rPr>
              <w:t>陕州区2026年中央财政农业防灾减灾资金项目</w:t>
            </w:r>
          </w:p>
        </w:tc>
      </w:tr>
      <w:tr w14:paraId="5B8D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511D816">
            <w:pPr>
              <w:jc w:val="center"/>
              <w:rPr>
                <w:rFonts w:ascii="宋体" w:hAnsi="宋体"/>
                <w:color w:val="000000"/>
                <w:sz w:val="24"/>
                <w:highlight w:val="none"/>
              </w:rPr>
            </w:pPr>
            <w:r>
              <w:rPr>
                <w:rFonts w:hint="eastAsia" w:ascii="宋体" w:hAnsi="宋体"/>
                <w:color w:val="000000"/>
                <w:sz w:val="24"/>
                <w:highlight w:val="none"/>
              </w:rPr>
              <w:t>5</w:t>
            </w:r>
          </w:p>
        </w:tc>
        <w:tc>
          <w:tcPr>
            <w:tcW w:w="1909" w:type="dxa"/>
            <w:tcBorders>
              <w:top w:val="single" w:color="auto" w:sz="4" w:space="0"/>
              <w:left w:val="nil"/>
              <w:bottom w:val="single" w:color="auto" w:sz="4" w:space="0"/>
              <w:right w:val="single" w:color="auto" w:sz="4" w:space="0"/>
            </w:tcBorders>
            <w:vAlign w:val="center"/>
          </w:tcPr>
          <w:p w14:paraId="0D26C372">
            <w:pPr>
              <w:jc w:val="center"/>
              <w:rPr>
                <w:rFonts w:ascii="宋体" w:hAnsi="宋体"/>
                <w:sz w:val="24"/>
                <w:highlight w:val="none"/>
              </w:rPr>
            </w:pPr>
            <w:r>
              <w:rPr>
                <w:rFonts w:hint="eastAsia" w:cs="宋体"/>
                <w:sz w:val="24"/>
                <w:highlight w:val="none"/>
              </w:rPr>
              <w:t>供货地点</w:t>
            </w:r>
          </w:p>
        </w:tc>
        <w:tc>
          <w:tcPr>
            <w:tcW w:w="6887" w:type="dxa"/>
            <w:tcBorders>
              <w:top w:val="single" w:color="auto" w:sz="4" w:space="0"/>
              <w:left w:val="nil"/>
              <w:bottom w:val="single" w:color="auto" w:sz="4" w:space="0"/>
              <w:right w:val="single" w:color="auto" w:sz="4" w:space="0"/>
            </w:tcBorders>
            <w:vAlign w:val="center"/>
          </w:tcPr>
          <w:p w14:paraId="7B791C47">
            <w:pPr>
              <w:jc w:val="left"/>
              <w:rPr>
                <w:rFonts w:ascii="宋体" w:hAnsi="宋体"/>
                <w:sz w:val="24"/>
                <w:highlight w:val="none"/>
              </w:rPr>
            </w:pPr>
            <w:r>
              <w:rPr>
                <w:rFonts w:hint="eastAsia" w:cs="宋体"/>
                <w:sz w:val="24"/>
                <w:highlight w:val="none"/>
              </w:rPr>
              <w:t>采购人指定地点</w:t>
            </w:r>
          </w:p>
        </w:tc>
      </w:tr>
      <w:tr w14:paraId="5B72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C31CD8B">
            <w:pPr>
              <w:jc w:val="center"/>
              <w:rPr>
                <w:rFonts w:ascii="宋体" w:hAnsi="宋体"/>
                <w:color w:val="000000"/>
                <w:sz w:val="24"/>
                <w:highlight w:val="none"/>
              </w:rPr>
            </w:pPr>
            <w:r>
              <w:rPr>
                <w:rFonts w:hint="eastAsia" w:ascii="宋体" w:hAnsi="宋体"/>
                <w:color w:val="000000"/>
                <w:sz w:val="24"/>
                <w:highlight w:val="none"/>
              </w:rPr>
              <w:t>6</w:t>
            </w:r>
          </w:p>
        </w:tc>
        <w:tc>
          <w:tcPr>
            <w:tcW w:w="1909" w:type="dxa"/>
            <w:tcBorders>
              <w:top w:val="single" w:color="auto" w:sz="4" w:space="0"/>
              <w:left w:val="nil"/>
              <w:bottom w:val="single" w:color="auto" w:sz="4" w:space="0"/>
              <w:right w:val="single" w:color="auto" w:sz="4" w:space="0"/>
            </w:tcBorders>
            <w:vAlign w:val="center"/>
          </w:tcPr>
          <w:p w14:paraId="07869A20">
            <w:pPr>
              <w:jc w:val="center"/>
              <w:rPr>
                <w:rFonts w:ascii="宋体" w:hAnsi="宋体"/>
                <w:sz w:val="24"/>
                <w:highlight w:val="none"/>
              </w:rPr>
            </w:pPr>
            <w:r>
              <w:rPr>
                <w:rFonts w:hint="eastAsia" w:ascii="宋体" w:hAnsi="宋体"/>
                <w:sz w:val="24"/>
                <w:highlight w:val="none"/>
              </w:rPr>
              <w:t>资金来源</w:t>
            </w:r>
          </w:p>
        </w:tc>
        <w:tc>
          <w:tcPr>
            <w:tcW w:w="6887" w:type="dxa"/>
            <w:tcBorders>
              <w:top w:val="single" w:color="auto" w:sz="4" w:space="0"/>
              <w:left w:val="nil"/>
              <w:bottom w:val="single" w:color="auto" w:sz="4" w:space="0"/>
              <w:right w:val="single" w:color="auto" w:sz="4" w:space="0"/>
            </w:tcBorders>
            <w:vAlign w:val="center"/>
          </w:tcPr>
          <w:p w14:paraId="28480199">
            <w:pPr>
              <w:rPr>
                <w:rFonts w:ascii="宋体" w:hAnsi="宋体"/>
                <w:sz w:val="24"/>
                <w:highlight w:val="none"/>
              </w:rPr>
            </w:pPr>
            <w:r>
              <w:rPr>
                <w:rFonts w:hint="eastAsia" w:ascii="宋体" w:hAnsi="宋体" w:cs="宋体"/>
                <w:sz w:val="24"/>
                <w:highlight w:val="none"/>
              </w:rPr>
              <w:t>财政资金</w:t>
            </w:r>
          </w:p>
        </w:tc>
      </w:tr>
      <w:tr w14:paraId="0076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B272F17">
            <w:pPr>
              <w:jc w:val="center"/>
              <w:rPr>
                <w:rFonts w:ascii="宋体" w:hAnsi="宋体"/>
                <w:color w:val="000000"/>
                <w:sz w:val="24"/>
                <w:highlight w:val="none"/>
              </w:rPr>
            </w:pPr>
            <w:r>
              <w:rPr>
                <w:rFonts w:hint="eastAsia" w:ascii="宋体" w:hAnsi="宋体"/>
                <w:color w:val="000000"/>
                <w:sz w:val="24"/>
                <w:highlight w:val="none"/>
              </w:rPr>
              <w:t>7</w:t>
            </w:r>
          </w:p>
        </w:tc>
        <w:tc>
          <w:tcPr>
            <w:tcW w:w="1909" w:type="dxa"/>
            <w:tcBorders>
              <w:top w:val="single" w:color="auto" w:sz="4" w:space="0"/>
              <w:left w:val="nil"/>
              <w:bottom w:val="single" w:color="auto" w:sz="4" w:space="0"/>
              <w:right w:val="single" w:color="auto" w:sz="4" w:space="0"/>
            </w:tcBorders>
            <w:vAlign w:val="center"/>
          </w:tcPr>
          <w:p w14:paraId="50B9AA94">
            <w:pPr>
              <w:jc w:val="center"/>
              <w:rPr>
                <w:rFonts w:ascii="宋体" w:hAnsi="宋体"/>
                <w:sz w:val="24"/>
                <w:highlight w:val="none"/>
              </w:rPr>
            </w:pPr>
            <w:r>
              <w:rPr>
                <w:rFonts w:hint="eastAsia" w:ascii="宋体" w:hAnsi="宋体"/>
                <w:sz w:val="24"/>
                <w:highlight w:val="none"/>
              </w:rPr>
              <w:t>资金落实情况</w:t>
            </w:r>
          </w:p>
        </w:tc>
        <w:tc>
          <w:tcPr>
            <w:tcW w:w="6887" w:type="dxa"/>
            <w:tcBorders>
              <w:top w:val="single" w:color="auto" w:sz="4" w:space="0"/>
              <w:left w:val="nil"/>
              <w:bottom w:val="single" w:color="auto" w:sz="4" w:space="0"/>
              <w:right w:val="single" w:color="auto" w:sz="4" w:space="0"/>
            </w:tcBorders>
            <w:vAlign w:val="center"/>
          </w:tcPr>
          <w:p w14:paraId="318140B7">
            <w:pPr>
              <w:rPr>
                <w:rFonts w:ascii="宋体" w:hAnsi="宋体"/>
                <w:sz w:val="24"/>
                <w:highlight w:val="none"/>
              </w:rPr>
            </w:pPr>
            <w:r>
              <w:rPr>
                <w:rFonts w:hint="eastAsia" w:ascii="宋体" w:hAnsi="宋体"/>
                <w:sz w:val="24"/>
                <w:highlight w:val="none"/>
              </w:rPr>
              <w:t>已落实</w:t>
            </w:r>
          </w:p>
        </w:tc>
      </w:tr>
      <w:tr w14:paraId="3C8C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2DDBB00">
            <w:pPr>
              <w:jc w:val="center"/>
              <w:rPr>
                <w:rFonts w:ascii="宋体" w:hAnsi="宋体"/>
                <w:color w:val="000000"/>
                <w:sz w:val="24"/>
                <w:highlight w:val="none"/>
              </w:rPr>
            </w:pPr>
            <w:r>
              <w:rPr>
                <w:rFonts w:hint="eastAsia" w:ascii="宋体" w:hAnsi="宋体"/>
                <w:color w:val="000000"/>
                <w:sz w:val="24"/>
                <w:highlight w:val="none"/>
              </w:rPr>
              <w:t>8</w:t>
            </w:r>
          </w:p>
        </w:tc>
        <w:tc>
          <w:tcPr>
            <w:tcW w:w="1909" w:type="dxa"/>
            <w:tcBorders>
              <w:top w:val="single" w:color="auto" w:sz="4" w:space="0"/>
              <w:left w:val="nil"/>
              <w:bottom w:val="single" w:color="auto" w:sz="4" w:space="0"/>
              <w:right w:val="single" w:color="auto" w:sz="4" w:space="0"/>
            </w:tcBorders>
            <w:vAlign w:val="center"/>
          </w:tcPr>
          <w:p w14:paraId="5A116B87">
            <w:pPr>
              <w:jc w:val="center"/>
              <w:rPr>
                <w:rFonts w:ascii="宋体" w:hAnsi="宋体"/>
                <w:sz w:val="24"/>
                <w:highlight w:val="none"/>
              </w:rPr>
            </w:pPr>
            <w:r>
              <w:rPr>
                <w:rFonts w:hint="eastAsia" w:ascii="宋体" w:hAnsi="宋体"/>
                <w:sz w:val="24"/>
                <w:highlight w:val="none"/>
              </w:rPr>
              <w:t>招标范围</w:t>
            </w:r>
          </w:p>
        </w:tc>
        <w:tc>
          <w:tcPr>
            <w:tcW w:w="6887" w:type="dxa"/>
            <w:tcBorders>
              <w:top w:val="single" w:color="auto" w:sz="4" w:space="0"/>
              <w:left w:val="nil"/>
              <w:bottom w:val="single" w:color="auto" w:sz="4" w:space="0"/>
              <w:right w:val="single" w:color="auto" w:sz="4" w:space="0"/>
            </w:tcBorders>
            <w:vAlign w:val="center"/>
          </w:tcPr>
          <w:p w14:paraId="0575C21C">
            <w:pPr>
              <w:snapToGrid w:val="0"/>
              <w:spacing w:line="460" w:lineRule="exact"/>
              <w:jc w:val="left"/>
              <w:textAlignment w:val="baseline"/>
              <w:rPr>
                <w:rFonts w:ascii="宋体" w:hAnsi="宋体"/>
                <w:sz w:val="24"/>
                <w:highlight w:val="none"/>
              </w:rPr>
            </w:pPr>
            <w:r>
              <w:rPr>
                <w:rFonts w:hint="eastAsia" w:ascii="宋体" w:hAnsi="宋体"/>
                <w:sz w:val="24"/>
                <w:highlight w:val="none"/>
              </w:rPr>
              <w:t>竞争性磋商文件所包含的全部内容</w:t>
            </w:r>
          </w:p>
        </w:tc>
      </w:tr>
      <w:tr w14:paraId="189F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1A80A33">
            <w:pPr>
              <w:jc w:val="center"/>
              <w:rPr>
                <w:rFonts w:ascii="宋体" w:hAnsi="宋体"/>
                <w:color w:val="000000"/>
                <w:sz w:val="24"/>
                <w:highlight w:val="none"/>
              </w:rPr>
            </w:pPr>
            <w:r>
              <w:rPr>
                <w:rFonts w:hint="eastAsia" w:ascii="宋体" w:hAnsi="宋体"/>
                <w:color w:val="000000"/>
                <w:sz w:val="24"/>
                <w:highlight w:val="none"/>
              </w:rPr>
              <w:t>9</w:t>
            </w:r>
          </w:p>
        </w:tc>
        <w:tc>
          <w:tcPr>
            <w:tcW w:w="1909" w:type="dxa"/>
            <w:tcBorders>
              <w:top w:val="single" w:color="auto" w:sz="4" w:space="0"/>
              <w:left w:val="nil"/>
              <w:bottom w:val="single" w:color="auto" w:sz="4" w:space="0"/>
              <w:right w:val="single" w:color="auto" w:sz="4" w:space="0"/>
            </w:tcBorders>
            <w:vAlign w:val="center"/>
          </w:tcPr>
          <w:p w14:paraId="038249D9">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供货期及供货（服务）地点</w:t>
            </w:r>
          </w:p>
        </w:tc>
        <w:tc>
          <w:tcPr>
            <w:tcW w:w="6887" w:type="dxa"/>
            <w:tcBorders>
              <w:top w:val="single" w:color="auto" w:sz="4" w:space="0"/>
              <w:left w:val="nil"/>
              <w:bottom w:val="single" w:color="auto" w:sz="4" w:space="0"/>
              <w:right w:val="single" w:color="auto" w:sz="4" w:space="0"/>
            </w:tcBorders>
            <w:vAlign w:val="center"/>
          </w:tcPr>
          <w:p w14:paraId="1F1EE623">
            <w:pP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供货期：</w:t>
            </w:r>
            <w:r>
              <w:rPr>
                <w:rFonts w:hint="eastAsia" w:ascii="宋体" w:hAnsi="宋体" w:cs="宋体"/>
                <w:color w:val="000000" w:themeColor="text1"/>
                <w:sz w:val="24"/>
                <w:highlight w:val="none"/>
                <w:lang w:eastAsia="zh-CN"/>
                <w14:textFill>
                  <w14:solidFill>
                    <w14:schemeClr w14:val="tx1"/>
                  </w14:solidFill>
                </w14:textFill>
              </w:rPr>
              <w:t>合同签订之日起5日历天内完成</w:t>
            </w:r>
          </w:p>
          <w:p w14:paraId="1FE2C654">
            <w:pPr>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供货（服务）地点：采购人指定地点</w:t>
            </w:r>
          </w:p>
        </w:tc>
      </w:tr>
      <w:tr w14:paraId="12A0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D3F7B0F">
            <w:pPr>
              <w:jc w:val="center"/>
              <w:rPr>
                <w:rFonts w:ascii="宋体" w:hAnsi="宋体"/>
                <w:color w:val="000000"/>
                <w:sz w:val="24"/>
                <w:highlight w:val="none"/>
              </w:rPr>
            </w:pPr>
            <w:r>
              <w:rPr>
                <w:rFonts w:hint="eastAsia" w:ascii="宋体" w:hAnsi="宋体"/>
                <w:color w:val="000000"/>
                <w:sz w:val="24"/>
                <w:highlight w:val="none"/>
              </w:rPr>
              <w:t>10</w:t>
            </w:r>
          </w:p>
        </w:tc>
        <w:tc>
          <w:tcPr>
            <w:tcW w:w="1909" w:type="dxa"/>
            <w:tcBorders>
              <w:top w:val="single" w:color="auto" w:sz="4" w:space="0"/>
              <w:left w:val="nil"/>
              <w:bottom w:val="single" w:color="auto" w:sz="4" w:space="0"/>
              <w:right w:val="single" w:color="auto" w:sz="4" w:space="0"/>
            </w:tcBorders>
            <w:vAlign w:val="center"/>
          </w:tcPr>
          <w:p w14:paraId="199BB8BF">
            <w:pPr>
              <w:jc w:val="center"/>
              <w:rPr>
                <w:rFonts w:ascii="宋体" w:hAnsi="宋体"/>
                <w:sz w:val="24"/>
                <w:highlight w:val="none"/>
              </w:rPr>
            </w:pPr>
            <w:r>
              <w:rPr>
                <w:rFonts w:hint="eastAsia" w:ascii="宋体" w:hAnsi="宋体"/>
                <w:sz w:val="24"/>
                <w:highlight w:val="none"/>
              </w:rPr>
              <w:t>质量要求</w:t>
            </w:r>
          </w:p>
        </w:tc>
        <w:tc>
          <w:tcPr>
            <w:tcW w:w="6887" w:type="dxa"/>
            <w:tcBorders>
              <w:top w:val="single" w:color="auto" w:sz="4" w:space="0"/>
              <w:left w:val="nil"/>
              <w:bottom w:val="single" w:color="auto" w:sz="4" w:space="0"/>
              <w:right w:val="single" w:color="auto" w:sz="4" w:space="0"/>
            </w:tcBorders>
            <w:vAlign w:val="center"/>
          </w:tcPr>
          <w:p w14:paraId="173699BD">
            <w:pPr>
              <w:spacing w:line="312" w:lineRule="auto"/>
              <w:rPr>
                <w:rFonts w:hint="eastAsia" w:ascii="宋体" w:hAnsi="宋体" w:eastAsia="宋体"/>
                <w:sz w:val="24"/>
                <w:highlight w:val="none"/>
                <w:lang w:eastAsia="zh-CN"/>
              </w:rPr>
            </w:pPr>
            <w:r>
              <w:rPr>
                <w:rFonts w:hint="eastAsia" w:ascii="宋体" w:hAnsi="宋体"/>
                <w:sz w:val="24"/>
                <w:highlight w:val="none"/>
                <w:lang w:eastAsia="zh-CN"/>
              </w:rPr>
              <w:t>符合国家相关规范及标准要求</w:t>
            </w:r>
          </w:p>
        </w:tc>
      </w:tr>
      <w:tr w14:paraId="7B68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D92BB9F">
            <w:pPr>
              <w:spacing w:line="360" w:lineRule="auto"/>
              <w:jc w:val="center"/>
              <w:rPr>
                <w:rFonts w:ascii="宋体" w:hAnsi="宋体"/>
                <w:color w:val="000000"/>
                <w:sz w:val="24"/>
                <w:highlight w:val="none"/>
              </w:rPr>
            </w:pPr>
            <w:r>
              <w:rPr>
                <w:rFonts w:hint="eastAsia" w:ascii="宋体" w:hAnsi="宋体"/>
                <w:color w:val="000000"/>
                <w:sz w:val="24"/>
                <w:highlight w:val="none"/>
              </w:rPr>
              <w:t>11</w:t>
            </w:r>
          </w:p>
        </w:tc>
        <w:tc>
          <w:tcPr>
            <w:tcW w:w="1909" w:type="dxa"/>
            <w:tcBorders>
              <w:top w:val="single" w:color="auto" w:sz="4" w:space="0"/>
              <w:left w:val="nil"/>
              <w:bottom w:val="single" w:color="auto" w:sz="4" w:space="0"/>
              <w:right w:val="single" w:color="auto" w:sz="4" w:space="0"/>
            </w:tcBorders>
            <w:vAlign w:val="center"/>
          </w:tcPr>
          <w:p w14:paraId="47498D37">
            <w:pPr>
              <w:wordWrap w:val="0"/>
              <w:spacing w:line="240" w:lineRule="auto"/>
              <w:rPr>
                <w:rFonts w:ascii="宋体" w:hAnsi="宋体" w:cs="宋体"/>
                <w:sz w:val="24"/>
                <w:szCs w:val="20"/>
                <w:highlight w:val="none"/>
              </w:rPr>
            </w:pPr>
            <w:r>
              <w:rPr>
                <w:rFonts w:hint="eastAsia" w:ascii="宋体" w:hAnsi="宋体" w:cs="宋体"/>
                <w:sz w:val="24"/>
                <w:szCs w:val="20"/>
                <w:highlight w:val="none"/>
              </w:rPr>
              <w:t>采购内容</w:t>
            </w:r>
          </w:p>
        </w:tc>
        <w:tc>
          <w:tcPr>
            <w:tcW w:w="6887" w:type="dxa"/>
            <w:tcBorders>
              <w:top w:val="single" w:color="auto" w:sz="4" w:space="0"/>
              <w:left w:val="nil"/>
              <w:bottom w:val="single" w:color="auto" w:sz="4" w:space="0"/>
              <w:right w:val="single" w:color="auto" w:sz="4" w:space="0"/>
            </w:tcBorders>
            <w:vAlign w:val="center"/>
          </w:tcPr>
          <w:p w14:paraId="2EA32974">
            <w:pPr>
              <w:wordWrap w:val="0"/>
              <w:spacing w:line="240" w:lineRule="auto"/>
              <w:rPr>
                <w:rFonts w:ascii="宋体" w:hAnsi="宋体" w:cs="宋体"/>
                <w:sz w:val="24"/>
                <w:szCs w:val="20"/>
                <w:highlight w:val="none"/>
              </w:rPr>
            </w:pPr>
            <w:r>
              <w:rPr>
                <w:rFonts w:hint="eastAsia" w:ascii="宋体" w:hAnsi="宋体" w:cs="宋体"/>
                <w:sz w:val="24"/>
                <w:szCs w:val="20"/>
                <w:highlight w:val="none"/>
                <w:lang w:eastAsia="zh-CN"/>
              </w:rPr>
              <w:t>一标段为小麦病虫害专业化植保无人机防治服务作业费，二标段为小麦病虫害农资采购，详见采购清单。</w:t>
            </w:r>
          </w:p>
        </w:tc>
      </w:tr>
      <w:tr w14:paraId="590A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C0A7A8F">
            <w:pPr>
              <w:jc w:val="center"/>
              <w:rPr>
                <w:rFonts w:ascii="宋体" w:hAnsi="宋体"/>
                <w:color w:val="000000"/>
                <w:sz w:val="24"/>
                <w:highlight w:val="none"/>
              </w:rPr>
            </w:pPr>
            <w:r>
              <w:rPr>
                <w:rFonts w:hint="eastAsia" w:ascii="宋体" w:hAnsi="宋体"/>
                <w:color w:val="000000"/>
                <w:sz w:val="24"/>
                <w:highlight w:val="none"/>
              </w:rPr>
              <w:t>12</w:t>
            </w:r>
          </w:p>
        </w:tc>
        <w:tc>
          <w:tcPr>
            <w:tcW w:w="1909" w:type="dxa"/>
            <w:tcBorders>
              <w:top w:val="single" w:color="auto" w:sz="4" w:space="0"/>
              <w:left w:val="nil"/>
              <w:bottom w:val="single" w:color="auto" w:sz="4" w:space="0"/>
              <w:right w:val="single" w:color="auto" w:sz="4" w:space="0"/>
            </w:tcBorders>
            <w:vAlign w:val="center"/>
          </w:tcPr>
          <w:p w14:paraId="5F925E23">
            <w:pPr>
              <w:rPr>
                <w:rFonts w:ascii="宋体" w:hAnsi="宋体"/>
                <w:color w:val="000000"/>
                <w:sz w:val="24"/>
                <w:highlight w:val="none"/>
              </w:rPr>
            </w:pPr>
            <w:r>
              <w:rPr>
                <w:rFonts w:hint="eastAsia" w:ascii="宋体" w:hAnsi="宋体"/>
                <w:color w:val="000000"/>
                <w:sz w:val="24"/>
                <w:highlight w:val="none"/>
              </w:rPr>
              <w:t>响应人资质条件</w:t>
            </w:r>
          </w:p>
        </w:tc>
        <w:tc>
          <w:tcPr>
            <w:tcW w:w="6887" w:type="dxa"/>
            <w:tcBorders>
              <w:top w:val="single" w:color="auto" w:sz="4" w:space="0"/>
              <w:left w:val="nil"/>
              <w:bottom w:val="single" w:color="auto" w:sz="4" w:space="0"/>
              <w:right w:val="single" w:color="auto" w:sz="4" w:space="0"/>
            </w:tcBorders>
            <w:vAlign w:val="center"/>
          </w:tcPr>
          <w:p w14:paraId="7EA70D21">
            <w:pPr>
              <w:widowControl/>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供应商参加本次政府采购活动中必须符合《中华人民共和国政府采购法》第二十二条对</w:t>
            </w:r>
            <w:r>
              <w:rPr>
                <w:rFonts w:hint="eastAsia" w:ascii="宋体" w:hAnsi="宋体" w:cs="宋体"/>
                <w:bCs/>
                <w:color w:val="000000" w:themeColor="text1"/>
                <w:sz w:val="24"/>
                <w:highlight w:val="none"/>
                <w:lang w:eastAsia="zh-CN"/>
                <w14:textFill>
                  <w14:solidFill>
                    <w14:schemeClr w14:val="tx1"/>
                  </w14:solidFill>
                </w14:textFill>
              </w:rPr>
              <w:t>符合国家相关规范及标准要求</w:t>
            </w:r>
            <w:r>
              <w:rPr>
                <w:rFonts w:hint="eastAsia" w:ascii="宋体" w:hAnsi="宋体" w:cs="宋体"/>
                <w:bCs/>
                <w:color w:val="000000" w:themeColor="text1"/>
                <w:sz w:val="24"/>
                <w:highlight w:val="none"/>
                <w14:textFill>
                  <w14:solidFill>
                    <w14:schemeClr w14:val="tx1"/>
                  </w14:solidFill>
                </w14:textFill>
              </w:rPr>
              <w:t>供应商的要求并同时具备以下条件：</w:t>
            </w:r>
          </w:p>
          <w:p w14:paraId="26256B66">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1、满足《中华人民共和国政府采购法》第二十二条规定；</w:t>
            </w:r>
          </w:p>
          <w:p w14:paraId="4524A0A9">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2、一至</w:t>
            </w:r>
            <w:r>
              <w:rPr>
                <w:rFonts w:hint="eastAsia" w:ascii="宋体" w:hAnsi="宋体" w:cs="宋体"/>
                <w:bCs/>
                <w:color w:val="000000" w:themeColor="text1"/>
                <w:sz w:val="24"/>
                <w:highlight w:val="none"/>
                <w:lang w:eastAsia="zh-CN"/>
                <w14:textFill>
                  <w14:solidFill>
                    <w14:schemeClr w14:val="tx1"/>
                  </w14:solidFill>
                </w14:textFill>
              </w:rPr>
              <w:t>二</w:t>
            </w:r>
            <w:r>
              <w:rPr>
                <w:rFonts w:hint="eastAsia" w:ascii="宋体" w:hAnsi="宋体" w:cs="宋体"/>
                <w:bCs/>
                <w:color w:val="000000" w:themeColor="text1"/>
                <w:sz w:val="24"/>
                <w:highlight w:val="none"/>
                <w14:textFill>
                  <w14:solidFill>
                    <w14:schemeClr w14:val="tx1"/>
                  </w14:solidFill>
                </w14:textFill>
              </w:rPr>
              <w:t>标段特定资格要求</w:t>
            </w:r>
          </w:p>
          <w:p w14:paraId="09B0B2C7">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(1)供应商具有独立企业法人资格, 具备有效的营业执照、税务登记证、组织机构代码证或三证合一的营业执照；</w:t>
            </w:r>
          </w:p>
          <w:p w14:paraId="635C13BC">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bCs/>
                <w:color w:val="000000" w:themeColor="text1"/>
                <w:sz w:val="24"/>
                <w:highlight w:val="none"/>
                <w:lang w:eastAsia="zh-CN"/>
                <w14:textFill>
                  <w14:solidFill>
                    <w14:schemeClr w14:val="tx1"/>
                  </w14:solidFill>
                </w14:textFill>
              </w:rPr>
              <w:t>一标段</w:t>
            </w:r>
            <w:r>
              <w:rPr>
                <w:rFonts w:hint="eastAsia" w:ascii="宋体" w:hAnsi="宋体" w:cs="宋体"/>
                <w:bCs/>
                <w:color w:val="000000" w:themeColor="text1"/>
                <w:sz w:val="24"/>
                <w:highlight w:val="none"/>
                <w14:textFill>
                  <w14:solidFill>
                    <w14:schemeClr w14:val="tx1"/>
                  </w14:solidFill>
                </w14:textFill>
              </w:rPr>
              <w:t>供应商</w:t>
            </w:r>
            <w:r>
              <w:rPr>
                <w:rFonts w:hint="eastAsia" w:ascii="宋体" w:hAnsi="宋体" w:cs="宋体"/>
                <w:bCs/>
                <w:color w:val="000000" w:themeColor="text1"/>
                <w:sz w:val="24"/>
                <w:highlight w:val="none"/>
                <w:lang w:eastAsia="zh-CN"/>
                <w14:textFill>
                  <w14:solidFill>
                    <w14:schemeClr w14:val="tx1"/>
                  </w14:solidFill>
                </w14:textFill>
              </w:rPr>
              <w:t>需</w:t>
            </w:r>
            <w:r>
              <w:rPr>
                <w:rFonts w:hint="eastAsia" w:ascii="宋体" w:hAnsi="宋体" w:cs="宋体"/>
                <w:bCs/>
                <w:color w:val="000000" w:themeColor="text1"/>
                <w:sz w:val="24"/>
                <w:highlight w:val="none"/>
                <w14:textFill>
                  <w14:solidFill>
                    <w14:schemeClr w14:val="tx1"/>
                  </w14:solidFill>
                </w14:textFill>
              </w:rPr>
              <w:t>具有飞防服务作业经历的服务</w:t>
            </w:r>
            <w:r>
              <w:rPr>
                <w:rFonts w:hint="eastAsia" w:ascii="宋体" w:hAnsi="宋体" w:cs="宋体"/>
                <w:bCs/>
                <w:color w:val="000000" w:themeColor="text1"/>
                <w:sz w:val="24"/>
                <w:highlight w:val="none"/>
                <w:lang w:eastAsia="zh-CN"/>
                <w14:textFill>
                  <w14:solidFill>
                    <w14:schemeClr w14:val="tx1"/>
                  </w14:solidFill>
                </w14:textFill>
              </w:rPr>
              <w:t>主体</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eastAsia="zh-CN"/>
                <w14:textFill>
                  <w14:solidFill>
                    <w14:schemeClr w14:val="tx1"/>
                  </w14:solidFill>
                </w14:textFill>
              </w:rPr>
              <w:t>需有</w:t>
            </w:r>
            <w:r>
              <w:rPr>
                <w:rFonts w:hint="eastAsia" w:ascii="宋体" w:hAnsi="宋体" w:cs="宋体"/>
                <w:bCs/>
                <w:color w:val="000000" w:themeColor="text1"/>
                <w:sz w:val="24"/>
                <w:highlight w:val="none"/>
                <w:lang w:val="en-US" w:eastAsia="zh-CN"/>
                <w14:textFill>
                  <w14:solidFill>
                    <w14:schemeClr w14:val="tx1"/>
                  </w14:solidFill>
                </w14:textFill>
              </w:rPr>
              <w:t>5架以上</w:t>
            </w:r>
            <w:r>
              <w:rPr>
                <w:rFonts w:hint="eastAsia" w:ascii="宋体" w:hAnsi="宋体" w:cs="宋体"/>
                <w:bCs/>
                <w:color w:val="000000" w:themeColor="text1"/>
                <w:sz w:val="24"/>
                <w:highlight w:val="none"/>
                <w:lang w:eastAsia="zh-CN"/>
                <w14:textFill>
                  <w14:solidFill>
                    <w14:schemeClr w14:val="tx1"/>
                  </w14:solidFill>
                </w14:textFill>
              </w:rPr>
              <w:t>植保无人机、</w:t>
            </w:r>
            <w:r>
              <w:rPr>
                <w:rFonts w:hint="eastAsia" w:ascii="宋体" w:hAnsi="宋体" w:cs="宋体"/>
                <w:bCs/>
                <w:color w:val="000000" w:themeColor="text1"/>
                <w:sz w:val="24"/>
                <w:highlight w:val="none"/>
                <w:lang w:val="en-US" w:eastAsia="zh-CN"/>
                <w14:textFill>
                  <w14:solidFill>
                    <w14:schemeClr w14:val="tx1"/>
                  </w14:solidFill>
                </w14:textFill>
              </w:rPr>
              <w:t>5人以上</w:t>
            </w:r>
            <w:r>
              <w:rPr>
                <w:rFonts w:hint="eastAsia" w:ascii="宋体" w:hAnsi="宋体" w:cs="宋体"/>
                <w:bCs/>
                <w:color w:val="000000" w:themeColor="text1"/>
                <w:sz w:val="24"/>
                <w:highlight w:val="none"/>
                <w:lang w:eastAsia="zh-CN"/>
                <w14:textFill>
                  <w14:solidFill>
                    <w14:schemeClr w14:val="tx1"/>
                  </w14:solidFill>
                </w14:textFill>
              </w:rPr>
              <w:t>机手</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eastAsia="zh-CN"/>
                <w14:textFill>
                  <w14:solidFill>
                    <w14:schemeClr w14:val="tx1"/>
                  </w14:solidFill>
                </w14:textFill>
              </w:rPr>
              <w:t>需提供植保无人机相关作业能力证明（自有设备需提供发票，租赁设备需提供租赁协议），操作人员需提供培训合格证（操作员或教员证），无人机进行喷洒作业时，能实时掌握作业信息，保证数据安全可溯；二标段需</w:t>
            </w:r>
            <w:r>
              <w:rPr>
                <w:rFonts w:hint="eastAsia" w:ascii="宋体" w:hAnsi="宋体" w:cs="宋体"/>
                <w:bCs/>
                <w:color w:val="000000" w:themeColor="text1"/>
                <w:sz w:val="24"/>
                <w:highlight w:val="none"/>
                <w14:textFill>
                  <w14:solidFill>
                    <w14:schemeClr w14:val="tx1"/>
                  </w14:solidFill>
                </w14:textFill>
              </w:rPr>
              <w:t>供应商提供的农药产品须“三证”（生产许可证或生产批准证、农药登记证、产品标准证）齐全</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并在有效期内</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提供本批次生产检验合格报告</w:t>
            </w:r>
            <w:r>
              <w:rPr>
                <w:rFonts w:hint="eastAsia" w:ascii="宋体" w:hAnsi="宋体" w:cs="宋体"/>
                <w:bCs/>
                <w:color w:val="000000" w:themeColor="text1"/>
                <w:sz w:val="24"/>
                <w:highlight w:val="none"/>
                <w14:textFill>
                  <w14:solidFill>
                    <w14:schemeClr w14:val="tx1"/>
                  </w14:solidFill>
                </w14:textFill>
              </w:rPr>
              <w:t>。</w:t>
            </w:r>
          </w:p>
          <w:p w14:paraId="283713E2">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(3)具有履行合同所必需的设备和专业技术能力（需提供承诺书）；</w:t>
            </w:r>
          </w:p>
          <w:p w14:paraId="353F8B57">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340F4BB">
            <w:pPr>
              <w:widowControl/>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(5)本项目不接受联合体投标；</w:t>
            </w:r>
          </w:p>
          <w:p w14:paraId="0283B4CD">
            <w:pPr>
              <w:widowControl/>
              <w:spacing w:line="480" w:lineRule="exact"/>
              <w:ind w:firstLine="480" w:firstLineChars="200"/>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(6)</w:t>
            </w:r>
            <w:r>
              <w:rPr>
                <w:rFonts w:hint="eastAsia" w:ascii="宋体" w:hAnsi="宋体" w:cs="宋体"/>
                <w:bCs/>
                <w:color w:val="000000" w:themeColor="text1"/>
                <w:sz w:val="24"/>
                <w:highlight w:val="none"/>
                <w:lang w:eastAsia="zh-CN"/>
                <w14:textFill>
                  <w14:solidFill>
                    <w14:schemeClr w14:val="tx1"/>
                  </w14:solidFill>
                </w14:textFill>
              </w:rPr>
              <w:t>单位负责人为同一人或者存在直接控股、管理关系的不同投标人，不得参加同一合同项下的采购活动；（提供“国家企业信用信息公示系统”中查询的相关信息（查询信息需包含公司基本信息、股东信息及股权变更信息等相关信息，査询时间自公告发布之日起至投标截止时间前））；</w:t>
            </w:r>
          </w:p>
          <w:p w14:paraId="00A55FC8">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)本次招标实行资格后审；</w:t>
            </w:r>
          </w:p>
          <w:p w14:paraId="1EF9C6EC">
            <w:pPr>
              <w:widowControl/>
              <w:spacing w:line="480" w:lineRule="exact"/>
              <w:ind w:firstLine="420" w:firstLineChars="200"/>
              <w:rPr>
                <w:highlight w:val="none"/>
              </w:rPr>
            </w:pPr>
          </w:p>
        </w:tc>
      </w:tr>
      <w:tr w14:paraId="1C25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AFE0E8C">
            <w:pPr>
              <w:jc w:val="center"/>
              <w:rPr>
                <w:rFonts w:ascii="宋体" w:hAnsi="宋体"/>
                <w:color w:val="000000"/>
                <w:sz w:val="24"/>
                <w:highlight w:val="none"/>
              </w:rPr>
            </w:pPr>
            <w:r>
              <w:rPr>
                <w:rFonts w:hint="eastAsia" w:ascii="宋体" w:hAnsi="宋体"/>
                <w:color w:val="000000"/>
                <w:sz w:val="24"/>
                <w:highlight w:val="none"/>
              </w:rPr>
              <w:t>13</w:t>
            </w:r>
          </w:p>
        </w:tc>
        <w:tc>
          <w:tcPr>
            <w:tcW w:w="1909" w:type="dxa"/>
            <w:tcBorders>
              <w:top w:val="single" w:color="auto" w:sz="4" w:space="0"/>
              <w:left w:val="nil"/>
              <w:bottom w:val="single" w:color="auto" w:sz="4" w:space="0"/>
              <w:right w:val="single" w:color="auto" w:sz="4" w:space="0"/>
            </w:tcBorders>
            <w:vAlign w:val="center"/>
          </w:tcPr>
          <w:p w14:paraId="5C55943D">
            <w:pPr>
              <w:rPr>
                <w:rFonts w:ascii="宋体" w:hAnsi="宋体"/>
                <w:color w:val="000000"/>
                <w:sz w:val="24"/>
                <w:highlight w:val="none"/>
              </w:rPr>
            </w:pPr>
            <w:r>
              <w:rPr>
                <w:rFonts w:hint="eastAsia" w:ascii="宋体" w:hAnsi="宋体"/>
                <w:color w:val="000000"/>
                <w:sz w:val="24"/>
                <w:highlight w:val="none"/>
              </w:rPr>
              <w:t>是否接受联合体投标</w:t>
            </w:r>
          </w:p>
        </w:tc>
        <w:tc>
          <w:tcPr>
            <w:tcW w:w="6887" w:type="dxa"/>
            <w:tcBorders>
              <w:top w:val="single" w:color="auto" w:sz="4" w:space="0"/>
              <w:left w:val="nil"/>
              <w:bottom w:val="single" w:color="auto" w:sz="4" w:space="0"/>
              <w:right w:val="single" w:color="auto" w:sz="4" w:space="0"/>
            </w:tcBorders>
            <w:vAlign w:val="center"/>
          </w:tcPr>
          <w:p w14:paraId="7EC02F5B">
            <w:pPr>
              <w:spacing w:line="312" w:lineRule="auto"/>
              <w:rPr>
                <w:rFonts w:ascii="宋体" w:hAnsi="宋体"/>
                <w:color w:val="000000"/>
                <w:sz w:val="24"/>
                <w:highlight w:val="none"/>
              </w:rPr>
            </w:pPr>
            <w:r>
              <w:rPr>
                <w:rFonts w:hint="eastAsia" w:ascii="宋体" w:hAnsi="宋体"/>
                <w:color w:val="000000"/>
                <w:sz w:val="24"/>
                <w:highlight w:val="none"/>
              </w:rPr>
              <w:t>■不接受</w:t>
            </w:r>
          </w:p>
        </w:tc>
      </w:tr>
      <w:tr w14:paraId="4647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CE41810">
            <w:pPr>
              <w:jc w:val="center"/>
              <w:rPr>
                <w:rFonts w:ascii="宋体" w:hAnsi="宋体"/>
                <w:color w:val="000000"/>
                <w:sz w:val="24"/>
                <w:highlight w:val="none"/>
              </w:rPr>
            </w:pPr>
            <w:r>
              <w:rPr>
                <w:rFonts w:hint="eastAsia" w:ascii="宋体" w:hAnsi="宋体"/>
                <w:color w:val="000000"/>
                <w:sz w:val="24"/>
                <w:highlight w:val="none"/>
              </w:rPr>
              <w:t>14</w:t>
            </w:r>
          </w:p>
        </w:tc>
        <w:tc>
          <w:tcPr>
            <w:tcW w:w="1909" w:type="dxa"/>
            <w:tcBorders>
              <w:top w:val="single" w:color="auto" w:sz="4" w:space="0"/>
              <w:left w:val="nil"/>
              <w:bottom w:val="single" w:color="auto" w:sz="4" w:space="0"/>
              <w:right w:val="single" w:color="auto" w:sz="4" w:space="0"/>
            </w:tcBorders>
            <w:vAlign w:val="center"/>
          </w:tcPr>
          <w:p w14:paraId="1B3E50D0">
            <w:pPr>
              <w:widowControl/>
              <w:spacing w:line="360" w:lineRule="auto"/>
              <w:rPr>
                <w:rFonts w:ascii="宋体" w:hAnsi="宋体"/>
                <w:color w:val="000000"/>
                <w:sz w:val="24"/>
                <w:highlight w:val="none"/>
              </w:rPr>
            </w:pPr>
            <w:r>
              <w:rPr>
                <w:rFonts w:hint="eastAsia" w:ascii="宋体" w:hAnsi="宋体" w:cs="宋体"/>
                <w:kern w:val="0"/>
                <w:sz w:val="24"/>
                <w:highlight w:val="none"/>
              </w:rPr>
              <w:t>报价及费用</w:t>
            </w:r>
          </w:p>
        </w:tc>
        <w:tc>
          <w:tcPr>
            <w:tcW w:w="6887" w:type="dxa"/>
            <w:tcBorders>
              <w:top w:val="single" w:color="auto" w:sz="4" w:space="0"/>
              <w:left w:val="nil"/>
              <w:bottom w:val="single" w:color="auto" w:sz="4" w:space="0"/>
              <w:right w:val="single" w:color="auto" w:sz="4" w:space="0"/>
            </w:tcBorders>
            <w:vAlign w:val="center"/>
          </w:tcPr>
          <w:p w14:paraId="2314EE5D">
            <w:pPr>
              <w:widowControl/>
              <w:spacing w:line="360" w:lineRule="auto"/>
              <w:jc w:val="left"/>
              <w:rPr>
                <w:rFonts w:ascii="宋体" w:hAnsi="宋体" w:cs="宋体"/>
                <w:sz w:val="24"/>
                <w:highlight w:val="none"/>
              </w:rPr>
            </w:pPr>
            <w:r>
              <w:rPr>
                <w:rFonts w:hint="eastAsia" w:ascii="宋体" w:hAnsi="宋体" w:cs="宋体"/>
                <w:kern w:val="0"/>
                <w:sz w:val="24"/>
                <w:highlight w:val="none"/>
              </w:rPr>
              <w:t>1．本项目应以人民币报价，供应商应就该项目完整投标（报价应包含货物费、运输费、技术指导费、税费等综合费用），采购人不另外支付其他任何费用；</w:t>
            </w:r>
          </w:p>
          <w:p w14:paraId="38C93144">
            <w:pPr>
              <w:widowControl/>
              <w:spacing w:line="360" w:lineRule="auto"/>
              <w:jc w:val="left"/>
              <w:rPr>
                <w:rFonts w:ascii="宋体" w:hAnsi="宋体"/>
                <w:color w:val="000000"/>
                <w:sz w:val="24"/>
                <w:highlight w:val="none"/>
              </w:rPr>
            </w:pPr>
            <w:r>
              <w:rPr>
                <w:rFonts w:hint="eastAsia" w:ascii="宋体" w:hAnsi="宋体" w:cs="宋体"/>
                <w:kern w:val="0"/>
                <w:sz w:val="24"/>
                <w:highlight w:val="none"/>
              </w:rPr>
              <w:t>2.代理报酬的计算方法按以下方式执行：参照河南省招标投标协会豫招协会【2023】002号文件收费标准，由成交人支付。</w:t>
            </w:r>
          </w:p>
        </w:tc>
      </w:tr>
      <w:tr w14:paraId="1D55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39C0785">
            <w:pPr>
              <w:jc w:val="center"/>
              <w:rPr>
                <w:rFonts w:ascii="宋体" w:hAnsi="宋体"/>
                <w:color w:val="000000"/>
                <w:sz w:val="24"/>
                <w:highlight w:val="none"/>
              </w:rPr>
            </w:pPr>
            <w:r>
              <w:rPr>
                <w:rFonts w:hint="eastAsia" w:ascii="宋体" w:hAnsi="宋体"/>
                <w:color w:val="000000"/>
                <w:sz w:val="24"/>
                <w:highlight w:val="none"/>
              </w:rPr>
              <w:t>15</w:t>
            </w:r>
          </w:p>
        </w:tc>
        <w:tc>
          <w:tcPr>
            <w:tcW w:w="1909" w:type="dxa"/>
            <w:tcBorders>
              <w:top w:val="single" w:color="auto" w:sz="4" w:space="0"/>
              <w:left w:val="nil"/>
              <w:bottom w:val="single" w:color="auto" w:sz="4" w:space="0"/>
              <w:right w:val="single" w:color="auto" w:sz="4" w:space="0"/>
            </w:tcBorders>
            <w:vAlign w:val="center"/>
          </w:tcPr>
          <w:p w14:paraId="31A35799">
            <w:pPr>
              <w:rPr>
                <w:rFonts w:ascii="宋体" w:hAnsi="宋体"/>
                <w:color w:val="000000"/>
                <w:sz w:val="24"/>
                <w:highlight w:val="none"/>
              </w:rPr>
            </w:pPr>
            <w:r>
              <w:rPr>
                <w:rFonts w:hint="eastAsia" w:ascii="宋体" w:hAnsi="宋体"/>
                <w:color w:val="000000"/>
                <w:sz w:val="24"/>
                <w:highlight w:val="none"/>
              </w:rPr>
              <w:t>踏勘现场</w:t>
            </w:r>
          </w:p>
        </w:tc>
        <w:tc>
          <w:tcPr>
            <w:tcW w:w="6887" w:type="dxa"/>
            <w:tcBorders>
              <w:top w:val="single" w:color="auto" w:sz="4" w:space="0"/>
              <w:left w:val="nil"/>
              <w:bottom w:val="single" w:color="auto" w:sz="4" w:space="0"/>
              <w:right w:val="single" w:color="auto" w:sz="4" w:space="0"/>
            </w:tcBorders>
            <w:vAlign w:val="center"/>
          </w:tcPr>
          <w:p w14:paraId="6CDB3129">
            <w:pPr>
              <w:spacing w:line="312" w:lineRule="auto"/>
              <w:rPr>
                <w:rFonts w:ascii="宋体" w:hAnsi="宋体"/>
                <w:color w:val="000000"/>
                <w:sz w:val="24"/>
                <w:highlight w:val="none"/>
              </w:rPr>
            </w:pPr>
            <w:r>
              <w:rPr>
                <w:rFonts w:hint="eastAsia" w:ascii="宋体" w:hAnsi="宋体"/>
                <w:color w:val="000000"/>
                <w:sz w:val="24"/>
                <w:highlight w:val="none"/>
              </w:rPr>
              <w:t>■不组织</w:t>
            </w:r>
          </w:p>
        </w:tc>
      </w:tr>
      <w:tr w14:paraId="547B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509576B">
            <w:pPr>
              <w:jc w:val="center"/>
              <w:rPr>
                <w:rFonts w:ascii="宋体" w:hAnsi="宋体"/>
                <w:color w:val="000000"/>
                <w:sz w:val="24"/>
                <w:highlight w:val="none"/>
              </w:rPr>
            </w:pPr>
            <w:r>
              <w:rPr>
                <w:rFonts w:hint="eastAsia" w:ascii="宋体" w:hAnsi="宋体"/>
                <w:color w:val="000000"/>
                <w:sz w:val="24"/>
                <w:highlight w:val="none"/>
              </w:rPr>
              <w:t>16</w:t>
            </w:r>
          </w:p>
        </w:tc>
        <w:tc>
          <w:tcPr>
            <w:tcW w:w="1909" w:type="dxa"/>
            <w:tcBorders>
              <w:top w:val="single" w:color="auto" w:sz="4" w:space="0"/>
              <w:left w:val="nil"/>
              <w:bottom w:val="single" w:color="auto" w:sz="4" w:space="0"/>
              <w:right w:val="single" w:color="auto" w:sz="4" w:space="0"/>
            </w:tcBorders>
            <w:vAlign w:val="center"/>
          </w:tcPr>
          <w:p w14:paraId="0A8EB95C">
            <w:pPr>
              <w:rPr>
                <w:rFonts w:ascii="宋体" w:hAnsi="宋体"/>
                <w:color w:val="000000"/>
                <w:sz w:val="24"/>
                <w:highlight w:val="none"/>
              </w:rPr>
            </w:pPr>
            <w:r>
              <w:rPr>
                <w:rFonts w:hint="eastAsia" w:ascii="宋体" w:hAnsi="宋体"/>
                <w:color w:val="000000"/>
                <w:sz w:val="24"/>
                <w:highlight w:val="none"/>
              </w:rPr>
              <w:t>投标预备会</w:t>
            </w:r>
          </w:p>
        </w:tc>
        <w:tc>
          <w:tcPr>
            <w:tcW w:w="6887" w:type="dxa"/>
            <w:tcBorders>
              <w:top w:val="single" w:color="auto" w:sz="4" w:space="0"/>
              <w:left w:val="nil"/>
              <w:bottom w:val="single" w:color="auto" w:sz="4" w:space="0"/>
              <w:right w:val="single" w:color="auto" w:sz="4" w:space="0"/>
            </w:tcBorders>
            <w:vAlign w:val="center"/>
          </w:tcPr>
          <w:p w14:paraId="63DB8EF1">
            <w:pPr>
              <w:spacing w:line="312" w:lineRule="auto"/>
              <w:rPr>
                <w:rFonts w:ascii="宋体" w:hAnsi="宋体"/>
                <w:color w:val="000000"/>
                <w:sz w:val="24"/>
                <w:highlight w:val="none"/>
              </w:rPr>
            </w:pPr>
            <w:r>
              <w:rPr>
                <w:rFonts w:hint="eastAsia" w:ascii="宋体" w:hAnsi="宋体"/>
                <w:color w:val="000000"/>
                <w:sz w:val="24"/>
                <w:highlight w:val="none"/>
              </w:rPr>
              <w:t>■不召开</w:t>
            </w:r>
          </w:p>
        </w:tc>
      </w:tr>
      <w:tr w14:paraId="4C1A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D62465C">
            <w:pPr>
              <w:jc w:val="center"/>
              <w:rPr>
                <w:rFonts w:ascii="宋体" w:hAnsi="宋体"/>
                <w:color w:val="000000"/>
                <w:sz w:val="24"/>
                <w:highlight w:val="none"/>
              </w:rPr>
            </w:pPr>
            <w:r>
              <w:rPr>
                <w:rFonts w:hint="eastAsia" w:ascii="宋体" w:hAnsi="宋体"/>
                <w:color w:val="000000"/>
                <w:sz w:val="24"/>
                <w:highlight w:val="none"/>
              </w:rPr>
              <w:t>17</w:t>
            </w:r>
          </w:p>
        </w:tc>
        <w:tc>
          <w:tcPr>
            <w:tcW w:w="1909" w:type="dxa"/>
            <w:tcBorders>
              <w:top w:val="single" w:color="auto" w:sz="4" w:space="0"/>
              <w:left w:val="nil"/>
              <w:bottom w:val="single" w:color="auto" w:sz="4" w:space="0"/>
              <w:right w:val="single" w:color="auto" w:sz="4" w:space="0"/>
            </w:tcBorders>
            <w:vAlign w:val="center"/>
          </w:tcPr>
          <w:p w14:paraId="596EA3AE">
            <w:pPr>
              <w:rPr>
                <w:rFonts w:ascii="宋体" w:hAnsi="宋体"/>
                <w:color w:val="000000"/>
                <w:sz w:val="24"/>
                <w:highlight w:val="none"/>
              </w:rPr>
            </w:pPr>
            <w:r>
              <w:rPr>
                <w:rFonts w:hint="eastAsia" w:ascii="宋体" w:hAnsi="宋体"/>
                <w:color w:val="000000"/>
                <w:sz w:val="24"/>
                <w:highlight w:val="none"/>
              </w:rPr>
              <w:t>分  包</w:t>
            </w:r>
          </w:p>
        </w:tc>
        <w:tc>
          <w:tcPr>
            <w:tcW w:w="6887" w:type="dxa"/>
            <w:tcBorders>
              <w:top w:val="single" w:color="auto" w:sz="4" w:space="0"/>
              <w:left w:val="nil"/>
              <w:bottom w:val="single" w:color="auto" w:sz="4" w:space="0"/>
              <w:right w:val="single" w:color="auto" w:sz="4" w:space="0"/>
            </w:tcBorders>
            <w:vAlign w:val="center"/>
          </w:tcPr>
          <w:p w14:paraId="197924B6">
            <w:pPr>
              <w:spacing w:line="312" w:lineRule="auto"/>
              <w:rPr>
                <w:rFonts w:ascii="宋体" w:hAnsi="宋体"/>
                <w:color w:val="000000"/>
                <w:sz w:val="24"/>
                <w:highlight w:val="none"/>
              </w:rPr>
            </w:pPr>
            <w:r>
              <w:rPr>
                <w:rFonts w:hint="eastAsia" w:ascii="宋体" w:hAnsi="宋体"/>
                <w:color w:val="000000"/>
                <w:sz w:val="24"/>
                <w:highlight w:val="none"/>
              </w:rPr>
              <w:t>■不允许</w:t>
            </w:r>
          </w:p>
        </w:tc>
      </w:tr>
      <w:tr w14:paraId="29BB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05069EE">
            <w:pPr>
              <w:jc w:val="center"/>
              <w:rPr>
                <w:rFonts w:ascii="宋体" w:hAnsi="宋体"/>
                <w:color w:val="000000"/>
                <w:sz w:val="24"/>
                <w:highlight w:val="none"/>
              </w:rPr>
            </w:pPr>
            <w:r>
              <w:rPr>
                <w:rFonts w:hint="eastAsia" w:ascii="宋体" w:hAnsi="宋体"/>
                <w:color w:val="000000"/>
                <w:sz w:val="24"/>
                <w:highlight w:val="none"/>
              </w:rPr>
              <w:t>18</w:t>
            </w:r>
          </w:p>
        </w:tc>
        <w:tc>
          <w:tcPr>
            <w:tcW w:w="1909" w:type="dxa"/>
            <w:tcBorders>
              <w:top w:val="single" w:color="auto" w:sz="4" w:space="0"/>
              <w:left w:val="nil"/>
              <w:bottom w:val="single" w:color="auto" w:sz="4" w:space="0"/>
              <w:right w:val="single" w:color="auto" w:sz="4" w:space="0"/>
            </w:tcBorders>
            <w:vAlign w:val="center"/>
          </w:tcPr>
          <w:p w14:paraId="0D7F9D90">
            <w:pPr>
              <w:rPr>
                <w:rFonts w:ascii="宋体" w:hAnsi="宋体"/>
                <w:color w:val="000000"/>
                <w:sz w:val="24"/>
                <w:highlight w:val="none"/>
              </w:rPr>
            </w:pPr>
            <w:r>
              <w:rPr>
                <w:rFonts w:hint="eastAsia" w:ascii="宋体" w:hAnsi="宋体"/>
                <w:color w:val="000000"/>
                <w:sz w:val="24"/>
                <w:highlight w:val="none"/>
              </w:rPr>
              <w:t>偏  离</w:t>
            </w:r>
          </w:p>
        </w:tc>
        <w:tc>
          <w:tcPr>
            <w:tcW w:w="6887" w:type="dxa"/>
            <w:tcBorders>
              <w:top w:val="single" w:color="auto" w:sz="4" w:space="0"/>
              <w:left w:val="nil"/>
              <w:bottom w:val="single" w:color="auto" w:sz="4" w:space="0"/>
              <w:right w:val="single" w:color="auto" w:sz="4" w:space="0"/>
            </w:tcBorders>
            <w:vAlign w:val="center"/>
          </w:tcPr>
          <w:p w14:paraId="4C451C98">
            <w:pPr>
              <w:spacing w:line="288" w:lineRule="auto"/>
              <w:rPr>
                <w:rFonts w:ascii="宋体" w:hAnsi="宋体"/>
                <w:color w:val="000000"/>
                <w:sz w:val="24"/>
                <w:highlight w:val="none"/>
              </w:rPr>
            </w:pPr>
            <w:r>
              <w:rPr>
                <w:rFonts w:hint="eastAsia" w:ascii="宋体" w:hAnsi="宋体"/>
                <w:color w:val="000000"/>
                <w:sz w:val="24"/>
                <w:highlight w:val="none"/>
              </w:rPr>
              <w:t>允许正偏离</w:t>
            </w:r>
          </w:p>
        </w:tc>
      </w:tr>
      <w:tr w14:paraId="6FA0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E35E859">
            <w:pPr>
              <w:jc w:val="center"/>
              <w:rPr>
                <w:rFonts w:ascii="宋体" w:hAnsi="宋体"/>
                <w:color w:val="000000"/>
                <w:sz w:val="24"/>
                <w:highlight w:val="none"/>
              </w:rPr>
            </w:pPr>
            <w:r>
              <w:rPr>
                <w:rFonts w:hint="eastAsia" w:ascii="宋体" w:hAnsi="宋体"/>
                <w:color w:val="000000"/>
                <w:sz w:val="24"/>
                <w:highlight w:val="none"/>
              </w:rPr>
              <w:t>19</w:t>
            </w:r>
          </w:p>
        </w:tc>
        <w:tc>
          <w:tcPr>
            <w:tcW w:w="1909" w:type="dxa"/>
            <w:tcBorders>
              <w:top w:val="single" w:color="auto" w:sz="4" w:space="0"/>
              <w:left w:val="nil"/>
              <w:bottom w:val="single" w:color="auto" w:sz="4" w:space="0"/>
              <w:right w:val="single" w:color="auto" w:sz="4" w:space="0"/>
            </w:tcBorders>
            <w:vAlign w:val="center"/>
          </w:tcPr>
          <w:p w14:paraId="6EB51F39">
            <w:pPr>
              <w:rPr>
                <w:rFonts w:ascii="宋体" w:hAnsi="宋体"/>
                <w:color w:val="000000"/>
                <w:sz w:val="24"/>
                <w:highlight w:val="none"/>
              </w:rPr>
            </w:pPr>
            <w:r>
              <w:rPr>
                <w:rFonts w:hint="eastAsia" w:ascii="宋体" w:hAnsi="宋体"/>
                <w:color w:val="000000"/>
                <w:sz w:val="24"/>
                <w:highlight w:val="none"/>
              </w:rPr>
              <w:t>构成竞争性磋商文件的其他材料</w:t>
            </w:r>
          </w:p>
        </w:tc>
        <w:tc>
          <w:tcPr>
            <w:tcW w:w="6887" w:type="dxa"/>
            <w:tcBorders>
              <w:top w:val="single" w:color="auto" w:sz="4" w:space="0"/>
              <w:left w:val="nil"/>
              <w:bottom w:val="single" w:color="auto" w:sz="4" w:space="0"/>
              <w:right w:val="single" w:color="auto" w:sz="4" w:space="0"/>
            </w:tcBorders>
            <w:vAlign w:val="center"/>
          </w:tcPr>
          <w:p w14:paraId="501662A9">
            <w:pPr>
              <w:rPr>
                <w:rFonts w:ascii="宋体" w:hAnsi="宋体"/>
                <w:sz w:val="24"/>
                <w:highlight w:val="none"/>
              </w:rPr>
            </w:pPr>
            <w:r>
              <w:rPr>
                <w:rFonts w:hint="eastAsia" w:ascii="宋体" w:hAnsi="宋体"/>
                <w:sz w:val="24"/>
                <w:highlight w:val="none"/>
              </w:rPr>
              <w:t>对竞争性磋商文件所作的澄清（含答疑）、修改，补充构成竞争性磋商文件的组成部分。</w:t>
            </w:r>
          </w:p>
        </w:tc>
      </w:tr>
      <w:tr w14:paraId="069D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C2790D3">
            <w:pPr>
              <w:jc w:val="center"/>
              <w:rPr>
                <w:rFonts w:ascii="宋体" w:hAnsi="宋体"/>
                <w:color w:val="000000"/>
                <w:sz w:val="24"/>
                <w:highlight w:val="none"/>
              </w:rPr>
            </w:pPr>
            <w:r>
              <w:rPr>
                <w:rFonts w:hint="eastAsia" w:ascii="宋体" w:hAnsi="宋体"/>
                <w:color w:val="000000"/>
                <w:sz w:val="24"/>
                <w:highlight w:val="none"/>
              </w:rPr>
              <w:t>20</w:t>
            </w:r>
          </w:p>
        </w:tc>
        <w:tc>
          <w:tcPr>
            <w:tcW w:w="1909" w:type="dxa"/>
            <w:tcBorders>
              <w:top w:val="single" w:color="auto" w:sz="4" w:space="0"/>
              <w:left w:val="nil"/>
              <w:bottom w:val="single" w:color="auto" w:sz="4" w:space="0"/>
              <w:right w:val="single" w:color="auto" w:sz="4" w:space="0"/>
            </w:tcBorders>
            <w:vAlign w:val="center"/>
          </w:tcPr>
          <w:p w14:paraId="380695B6">
            <w:pPr>
              <w:rPr>
                <w:rFonts w:ascii="宋体" w:hAnsi="宋体"/>
                <w:color w:val="000000"/>
                <w:sz w:val="24"/>
                <w:highlight w:val="none"/>
              </w:rPr>
            </w:pPr>
            <w:r>
              <w:rPr>
                <w:rFonts w:hint="eastAsia" w:ascii="宋体" w:hAnsi="宋体"/>
                <w:color w:val="000000"/>
                <w:sz w:val="24"/>
                <w:highlight w:val="none"/>
              </w:rPr>
              <w:t>响应人要求澄清竞争性磋商文件的截止时间</w:t>
            </w:r>
          </w:p>
        </w:tc>
        <w:tc>
          <w:tcPr>
            <w:tcW w:w="6887" w:type="dxa"/>
            <w:tcBorders>
              <w:top w:val="single" w:color="auto" w:sz="4" w:space="0"/>
              <w:left w:val="nil"/>
              <w:bottom w:val="single" w:color="auto" w:sz="4" w:space="0"/>
              <w:right w:val="single" w:color="auto" w:sz="4" w:space="0"/>
            </w:tcBorders>
            <w:vAlign w:val="center"/>
          </w:tcPr>
          <w:p w14:paraId="27979102">
            <w:pPr>
              <w:spacing w:line="288" w:lineRule="auto"/>
              <w:rPr>
                <w:rFonts w:ascii="宋体" w:hAnsi="宋体"/>
                <w:sz w:val="24"/>
                <w:highlight w:val="none"/>
              </w:rPr>
            </w:pPr>
            <w:r>
              <w:rPr>
                <w:rFonts w:hint="eastAsia" w:ascii="宋体" w:hAnsi="宋体"/>
                <w:sz w:val="24"/>
                <w:highlight w:val="none"/>
              </w:rPr>
              <w:t>要求为投标截止时间</w:t>
            </w:r>
            <w:r>
              <w:rPr>
                <w:rFonts w:ascii="宋体" w:hAnsi="宋体"/>
                <w:sz w:val="24"/>
                <w:highlight w:val="none"/>
              </w:rPr>
              <w:t>5</w:t>
            </w:r>
            <w:r>
              <w:rPr>
                <w:rFonts w:hint="eastAsia" w:ascii="宋体" w:hAnsi="宋体"/>
                <w:sz w:val="24"/>
                <w:highlight w:val="none"/>
              </w:rPr>
              <w:t>日前</w:t>
            </w:r>
          </w:p>
        </w:tc>
      </w:tr>
      <w:tr w14:paraId="3F6E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BAD98FC">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w:t>
            </w:r>
          </w:p>
        </w:tc>
        <w:tc>
          <w:tcPr>
            <w:tcW w:w="1909" w:type="dxa"/>
            <w:tcBorders>
              <w:top w:val="single" w:color="auto" w:sz="4" w:space="0"/>
              <w:left w:val="nil"/>
              <w:bottom w:val="single" w:color="auto" w:sz="4" w:space="0"/>
              <w:right w:val="single" w:color="auto" w:sz="4" w:space="0"/>
            </w:tcBorders>
            <w:vAlign w:val="center"/>
          </w:tcPr>
          <w:p w14:paraId="635AF188">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响应文件递交截止时间</w:t>
            </w:r>
          </w:p>
        </w:tc>
        <w:tc>
          <w:tcPr>
            <w:tcW w:w="6887" w:type="dxa"/>
            <w:tcBorders>
              <w:top w:val="single" w:color="auto" w:sz="4" w:space="0"/>
              <w:left w:val="nil"/>
              <w:bottom w:val="single" w:color="auto" w:sz="4" w:space="0"/>
              <w:right w:val="single" w:color="auto" w:sz="4" w:space="0"/>
            </w:tcBorders>
            <w:vAlign w:val="center"/>
          </w:tcPr>
          <w:p w14:paraId="68F36CAC">
            <w:pPr>
              <w:spacing w:line="288" w:lineRule="auto"/>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2026年</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月3</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日08时30分</w:t>
            </w:r>
          </w:p>
        </w:tc>
      </w:tr>
      <w:tr w14:paraId="1BD6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27B0663">
            <w:pPr>
              <w:jc w:val="center"/>
              <w:rPr>
                <w:rFonts w:ascii="宋体" w:hAnsi="宋体"/>
                <w:color w:val="000000"/>
                <w:sz w:val="24"/>
                <w:highlight w:val="none"/>
              </w:rPr>
            </w:pPr>
            <w:r>
              <w:rPr>
                <w:rFonts w:hint="eastAsia" w:ascii="宋体" w:hAnsi="宋体"/>
                <w:color w:val="000000"/>
                <w:sz w:val="24"/>
                <w:highlight w:val="none"/>
              </w:rPr>
              <w:t>22</w:t>
            </w:r>
          </w:p>
        </w:tc>
        <w:tc>
          <w:tcPr>
            <w:tcW w:w="1909" w:type="dxa"/>
            <w:tcBorders>
              <w:top w:val="single" w:color="auto" w:sz="4" w:space="0"/>
              <w:left w:val="nil"/>
              <w:bottom w:val="single" w:color="auto" w:sz="4" w:space="0"/>
              <w:right w:val="single" w:color="auto" w:sz="4" w:space="0"/>
            </w:tcBorders>
            <w:vAlign w:val="center"/>
          </w:tcPr>
          <w:p w14:paraId="3DAAE024">
            <w:pPr>
              <w:rPr>
                <w:rFonts w:ascii="宋体" w:hAnsi="宋体"/>
                <w:color w:val="000000"/>
                <w:sz w:val="24"/>
                <w:highlight w:val="none"/>
              </w:rPr>
            </w:pPr>
            <w:r>
              <w:rPr>
                <w:rFonts w:hint="eastAsia" w:ascii="宋体" w:hAnsi="宋体"/>
                <w:color w:val="000000"/>
                <w:sz w:val="24"/>
                <w:highlight w:val="none"/>
              </w:rPr>
              <w:t>响应人确认收到竞争性磋商文件澄清的时间</w:t>
            </w:r>
          </w:p>
        </w:tc>
        <w:tc>
          <w:tcPr>
            <w:tcW w:w="6887" w:type="dxa"/>
            <w:tcBorders>
              <w:top w:val="single" w:color="auto" w:sz="4" w:space="0"/>
              <w:left w:val="nil"/>
              <w:bottom w:val="single" w:color="auto" w:sz="4" w:space="0"/>
              <w:right w:val="single" w:color="auto" w:sz="4" w:space="0"/>
            </w:tcBorders>
            <w:vAlign w:val="center"/>
          </w:tcPr>
          <w:p w14:paraId="1FAD9600">
            <w:pPr>
              <w:spacing w:line="288" w:lineRule="auto"/>
              <w:rPr>
                <w:rFonts w:ascii="宋体" w:hAnsi="宋体"/>
                <w:sz w:val="24"/>
                <w:highlight w:val="none"/>
                <w:u w:val="single"/>
              </w:rPr>
            </w:pPr>
            <w:r>
              <w:rPr>
                <w:rFonts w:hint="eastAsia" w:ascii="宋体" w:hAnsi="宋体"/>
                <w:sz w:val="24"/>
                <w:highlight w:val="none"/>
              </w:rPr>
              <w:t>在收到相应澄清文件后</w:t>
            </w:r>
            <w:r>
              <w:rPr>
                <w:rFonts w:hint="eastAsia" w:ascii="宋体" w:hAnsi="宋体"/>
                <w:sz w:val="24"/>
                <w:highlight w:val="none"/>
                <w:u w:val="single"/>
              </w:rPr>
              <w:t xml:space="preserve"> 24 </w:t>
            </w:r>
            <w:r>
              <w:rPr>
                <w:rFonts w:hint="eastAsia" w:ascii="宋体" w:hAnsi="宋体"/>
                <w:sz w:val="24"/>
                <w:highlight w:val="none"/>
              </w:rPr>
              <w:t>小时内</w:t>
            </w:r>
          </w:p>
        </w:tc>
      </w:tr>
      <w:tr w14:paraId="2029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FDE559D">
            <w:pPr>
              <w:jc w:val="center"/>
              <w:rPr>
                <w:rFonts w:ascii="宋体" w:hAnsi="宋体"/>
                <w:color w:val="000000"/>
                <w:sz w:val="24"/>
                <w:highlight w:val="none"/>
              </w:rPr>
            </w:pPr>
            <w:r>
              <w:rPr>
                <w:rFonts w:hint="eastAsia" w:ascii="宋体" w:hAnsi="宋体"/>
                <w:color w:val="000000"/>
                <w:sz w:val="24"/>
                <w:highlight w:val="none"/>
              </w:rPr>
              <w:t>23</w:t>
            </w:r>
          </w:p>
        </w:tc>
        <w:tc>
          <w:tcPr>
            <w:tcW w:w="1909" w:type="dxa"/>
            <w:tcBorders>
              <w:top w:val="single" w:color="auto" w:sz="4" w:space="0"/>
              <w:left w:val="nil"/>
              <w:bottom w:val="single" w:color="auto" w:sz="4" w:space="0"/>
              <w:right w:val="single" w:color="auto" w:sz="4" w:space="0"/>
            </w:tcBorders>
            <w:vAlign w:val="center"/>
          </w:tcPr>
          <w:p w14:paraId="6BAF5653">
            <w:pPr>
              <w:rPr>
                <w:rFonts w:ascii="宋体" w:hAnsi="宋体"/>
                <w:color w:val="000000"/>
                <w:sz w:val="24"/>
                <w:highlight w:val="none"/>
              </w:rPr>
            </w:pPr>
            <w:r>
              <w:rPr>
                <w:rFonts w:hint="eastAsia" w:ascii="宋体" w:hAnsi="宋体"/>
                <w:color w:val="000000"/>
                <w:sz w:val="24"/>
                <w:highlight w:val="none"/>
              </w:rPr>
              <w:t>响应人确认收到竞争性磋商文件修改的时间</w:t>
            </w:r>
          </w:p>
        </w:tc>
        <w:tc>
          <w:tcPr>
            <w:tcW w:w="6887" w:type="dxa"/>
            <w:tcBorders>
              <w:top w:val="single" w:color="auto" w:sz="4" w:space="0"/>
              <w:left w:val="nil"/>
              <w:bottom w:val="single" w:color="auto" w:sz="4" w:space="0"/>
              <w:right w:val="single" w:color="auto" w:sz="4" w:space="0"/>
            </w:tcBorders>
            <w:vAlign w:val="center"/>
          </w:tcPr>
          <w:p w14:paraId="7F38A5BD">
            <w:pPr>
              <w:spacing w:line="288" w:lineRule="auto"/>
              <w:rPr>
                <w:rFonts w:ascii="宋体" w:hAnsi="宋体"/>
                <w:sz w:val="24"/>
                <w:highlight w:val="none"/>
              </w:rPr>
            </w:pPr>
            <w:r>
              <w:rPr>
                <w:rFonts w:hint="eastAsia" w:ascii="宋体" w:hAnsi="宋体"/>
                <w:sz w:val="24"/>
                <w:highlight w:val="none"/>
              </w:rPr>
              <w:t>在收到相应修改文件后</w:t>
            </w:r>
            <w:r>
              <w:rPr>
                <w:rFonts w:hint="eastAsia" w:ascii="宋体" w:hAnsi="宋体"/>
                <w:sz w:val="24"/>
                <w:highlight w:val="none"/>
                <w:u w:val="single"/>
              </w:rPr>
              <w:t xml:space="preserve"> 24</w:t>
            </w:r>
            <w:r>
              <w:rPr>
                <w:rFonts w:hint="eastAsia" w:ascii="宋体" w:hAnsi="宋体"/>
                <w:sz w:val="24"/>
                <w:highlight w:val="none"/>
              </w:rPr>
              <w:t>小时内</w:t>
            </w:r>
          </w:p>
        </w:tc>
      </w:tr>
      <w:tr w14:paraId="62B2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7D97059">
            <w:pPr>
              <w:jc w:val="center"/>
              <w:rPr>
                <w:rFonts w:ascii="宋体" w:hAnsi="宋体"/>
                <w:color w:val="000000"/>
                <w:sz w:val="24"/>
                <w:highlight w:val="none"/>
              </w:rPr>
            </w:pPr>
            <w:r>
              <w:rPr>
                <w:rFonts w:hint="eastAsia" w:ascii="宋体" w:hAnsi="宋体"/>
                <w:color w:val="000000"/>
                <w:sz w:val="24"/>
                <w:highlight w:val="none"/>
              </w:rPr>
              <w:t>24</w:t>
            </w:r>
          </w:p>
        </w:tc>
        <w:tc>
          <w:tcPr>
            <w:tcW w:w="1909" w:type="dxa"/>
            <w:tcBorders>
              <w:top w:val="single" w:color="auto" w:sz="4" w:space="0"/>
              <w:left w:val="nil"/>
              <w:bottom w:val="single" w:color="auto" w:sz="4" w:space="0"/>
              <w:right w:val="single" w:color="auto" w:sz="4" w:space="0"/>
            </w:tcBorders>
            <w:vAlign w:val="center"/>
          </w:tcPr>
          <w:p w14:paraId="2A8B6EEF">
            <w:pPr>
              <w:rPr>
                <w:rFonts w:ascii="宋体" w:hAnsi="宋体"/>
                <w:color w:val="000000"/>
                <w:sz w:val="24"/>
                <w:highlight w:val="none"/>
              </w:rPr>
            </w:pPr>
            <w:r>
              <w:rPr>
                <w:rFonts w:hint="eastAsia" w:ascii="宋体" w:hAnsi="宋体"/>
                <w:color w:val="000000"/>
                <w:sz w:val="24"/>
                <w:highlight w:val="none"/>
              </w:rPr>
              <w:t>构成响应文件的其他材料</w:t>
            </w:r>
          </w:p>
        </w:tc>
        <w:tc>
          <w:tcPr>
            <w:tcW w:w="6887" w:type="dxa"/>
            <w:tcBorders>
              <w:top w:val="single" w:color="auto" w:sz="4" w:space="0"/>
              <w:left w:val="nil"/>
              <w:bottom w:val="single" w:color="auto" w:sz="4" w:space="0"/>
              <w:right w:val="single" w:color="auto" w:sz="4" w:space="0"/>
            </w:tcBorders>
            <w:vAlign w:val="center"/>
          </w:tcPr>
          <w:p w14:paraId="4BC596E1">
            <w:pPr>
              <w:spacing w:line="288" w:lineRule="auto"/>
              <w:rPr>
                <w:rFonts w:ascii="宋体" w:hAnsi="宋体"/>
                <w:b/>
                <w:bCs/>
                <w:color w:val="000000"/>
                <w:sz w:val="24"/>
                <w:highlight w:val="none"/>
              </w:rPr>
            </w:pPr>
            <w:r>
              <w:rPr>
                <w:rFonts w:hint="eastAsia" w:ascii="宋体" w:hAnsi="宋体"/>
                <w:b/>
                <w:bCs/>
                <w:color w:val="000000"/>
                <w:sz w:val="24"/>
                <w:highlight w:val="none"/>
              </w:rPr>
              <w:t>/</w:t>
            </w:r>
          </w:p>
        </w:tc>
      </w:tr>
      <w:tr w14:paraId="5881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CABBA69">
            <w:pPr>
              <w:jc w:val="center"/>
              <w:rPr>
                <w:rFonts w:ascii="宋体" w:hAnsi="宋体"/>
                <w:color w:val="000000"/>
                <w:sz w:val="24"/>
                <w:highlight w:val="none"/>
              </w:rPr>
            </w:pPr>
            <w:r>
              <w:rPr>
                <w:rFonts w:hint="eastAsia" w:ascii="宋体" w:hAnsi="宋体"/>
                <w:color w:val="000000"/>
                <w:sz w:val="24"/>
                <w:highlight w:val="none"/>
              </w:rPr>
              <w:t>25</w:t>
            </w:r>
          </w:p>
        </w:tc>
        <w:tc>
          <w:tcPr>
            <w:tcW w:w="1909" w:type="dxa"/>
            <w:tcBorders>
              <w:top w:val="single" w:color="auto" w:sz="4" w:space="0"/>
              <w:left w:val="nil"/>
              <w:bottom w:val="single" w:color="auto" w:sz="4" w:space="0"/>
              <w:right w:val="single" w:color="auto" w:sz="4" w:space="0"/>
            </w:tcBorders>
            <w:vAlign w:val="center"/>
          </w:tcPr>
          <w:p w14:paraId="0BC164DA">
            <w:pPr>
              <w:rPr>
                <w:rFonts w:ascii="宋体" w:hAnsi="宋体"/>
                <w:color w:val="000000"/>
                <w:sz w:val="24"/>
                <w:highlight w:val="none"/>
              </w:rPr>
            </w:pPr>
            <w:r>
              <w:rPr>
                <w:rFonts w:hint="eastAsia" w:ascii="宋体" w:hAnsi="宋体"/>
                <w:color w:val="000000"/>
                <w:sz w:val="24"/>
                <w:highlight w:val="none"/>
              </w:rPr>
              <w:t>磋商有效期</w:t>
            </w:r>
          </w:p>
        </w:tc>
        <w:tc>
          <w:tcPr>
            <w:tcW w:w="6887" w:type="dxa"/>
            <w:tcBorders>
              <w:top w:val="single" w:color="auto" w:sz="4" w:space="0"/>
              <w:left w:val="nil"/>
              <w:bottom w:val="single" w:color="auto" w:sz="4" w:space="0"/>
              <w:right w:val="single" w:color="auto" w:sz="4" w:space="0"/>
            </w:tcBorders>
            <w:vAlign w:val="center"/>
          </w:tcPr>
          <w:p w14:paraId="75F21C9C">
            <w:pPr>
              <w:spacing w:line="288" w:lineRule="auto"/>
              <w:rPr>
                <w:rFonts w:ascii="宋体" w:hAnsi="宋体"/>
                <w:sz w:val="24"/>
                <w:highlight w:val="none"/>
              </w:rPr>
            </w:pPr>
            <w:r>
              <w:rPr>
                <w:rFonts w:hint="eastAsia" w:ascii="宋体" w:hAnsi="宋体"/>
                <w:sz w:val="24"/>
                <w:highlight w:val="none"/>
              </w:rPr>
              <w:t>磋商截止之日起60日历天</w:t>
            </w:r>
          </w:p>
        </w:tc>
      </w:tr>
      <w:tr w14:paraId="14A3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FFB325C">
            <w:pPr>
              <w:jc w:val="center"/>
              <w:rPr>
                <w:rFonts w:ascii="宋体" w:hAnsi="宋体"/>
                <w:color w:val="000000"/>
                <w:sz w:val="24"/>
                <w:highlight w:val="none"/>
              </w:rPr>
            </w:pPr>
            <w:r>
              <w:rPr>
                <w:rFonts w:hint="eastAsia" w:ascii="宋体" w:hAnsi="宋体"/>
                <w:color w:val="000000"/>
                <w:sz w:val="24"/>
                <w:highlight w:val="none"/>
              </w:rPr>
              <w:t>26</w:t>
            </w:r>
          </w:p>
        </w:tc>
        <w:tc>
          <w:tcPr>
            <w:tcW w:w="1909" w:type="dxa"/>
            <w:tcBorders>
              <w:top w:val="single" w:color="auto" w:sz="4" w:space="0"/>
              <w:left w:val="nil"/>
              <w:bottom w:val="single" w:color="auto" w:sz="4" w:space="0"/>
              <w:right w:val="single" w:color="auto" w:sz="4" w:space="0"/>
            </w:tcBorders>
            <w:vAlign w:val="center"/>
          </w:tcPr>
          <w:p w14:paraId="3B79EAD8">
            <w:pPr>
              <w:rPr>
                <w:rFonts w:ascii="宋体" w:hAnsi="宋体"/>
                <w:color w:val="000000"/>
                <w:sz w:val="24"/>
                <w:highlight w:val="none"/>
              </w:rPr>
            </w:pPr>
            <w:r>
              <w:rPr>
                <w:rFonts w:hint="eastAsia" w:ascii="宋体" w:hAnsi="宋体"/>
                <w:color w:val="000000"/>
                <w:sz w:val="24"/>
                <w:highlight w:val="none"/>
              </w:rPr>
              <w:t>磋商保证金</w:t>
            </w:r>
          </w:p>
        </w:tc>
        <w:tc>
          <w:tcPr>
            <w:tcW w:w="6887" w:type="dxa"/>
            <w:tcBorders>
              <w:top w:val="single" w:color="auto" w:sz="4" w:space="0"/>
              <w:left w:val="nil"/>
              <w:bottom w:val="single" w:color="auto" w:sz="4" w:space="0"/>
              <w:right w:val="single" w:color="auto" w:sz="4" w:space="0"/>
            </w:tcBorders>
            <w:vAlign w:val="center"/>
          </w:tcPr>
          <w:p w14:paraId="4645390E">
            <w:pPr>
              <w:widowControl/>
              <w:spacing w:line="240" w:lineRule="auto"/>
              <w:rPr>
                <w:rFonts w:ascii="宋体" w:hAnsi="宋体"/>
                <w:sz w:val="24"/>
                <w:highlight w:val="none"/>
              </w:rPr>
            </w:pPr>
            <w:r>
              <w:rPr>
                <w:rFonts w:hint="eastAsia" w:ascii="宋体" w:hAnsi="宋体"/>
                <w:sz w:val="24"/>
                <w:highlight w:val="none"/>
              </w:rPr>
              <w:t>按照《河南省财政厅关于优化政府采购营商环境有关问题的通知》（豫财购[2019]4号文）的要求本项目不再收取磋商保证金。</w:t>
            </w:r>
          </w:p>
        </w:tc>
      </w:tr>
      <w:tr w14:paraId="4978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E4DF6D3">
            <w:pPr>
              <w:jc w:val="center"/>
              <w:rPr>
                <w:rFonts w:ascii="宋体" w:hAnsi="宋体"/>
                <w:color w:val="000000"/>
                <w:sz w:val="24"/>
                <w:highlight w:val="none"/>
              </w:rPr>
            </w:pPr>
            <w:r>
              <w:rPr>
                <w:rFonts w:hint="eastAsia" w:ascii="宋体" w:hAnsi="宋体"/>
                <w:color w:val="000000"/>
                <w:sz w:val="24"/>
                <w:highlight w:val="none"/>
              </w:rPr>
              <w:t>27</w:t>
            </w:r>
          </w:p>
        </w:tc>
        <w:tc>
          <w:tcPr>
            <w:tcW w:w="1909" w:type="dxa"/>
            <w:tcBorders>
              <w:top w:val="single" w:color="auto" w:sz="4" w:space="0"/>
              <w:left w:val="nil"/>
              <w:bottom w:val="single" w:color="auto" w:sz="4" w:space="0"/>
              <w:right w:val="single" w:color="auto" w:sz="4" w:space="0"/>
            </w:tcBorders>
            <w:vAlign w:val="center"/>
          </w:tcPr>
          <w:p w14:paraId="7C336A2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近年完成的类似项目的年份要求</w:t>
            </w:r>
          </w:p>
        </w:tc>
        <w:tc>
          <w:tcPr>
            <w:tcW w:w="6887" w:type="dxa"/>
            <w:tcBorders>
              <w:top w:val="single" w:color="auto" w:sz="4" w:space="0"/>
              <w:left w:val="nil"/>
              <w:bottom w:val="single" w:color="auto" w:sz="4" w:space="0"/>
              <w:right w:val="single" w:color="auto" w:sz="4" w:space="0"/>
            </w:tcBorders>
            <w:vAlign w:val="center"/>
          </w:tcPr>
          <w:p w14:paraId="408BCBC7">
            <w:pPr>
              <w:spacing w:line="288" w:lineRule="auto"/>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近年，指2023年1月1日以来</w:t>
            </w:r>
          </w:p>
        </w:tc>
      </w:tr>
      <w:tr w14:paraId="0572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A305E72">
            <w:pPr>
              <w:jc w:val="center"/>
              <w:rPr>
                <w:rFonts w:ascii="宋体" w:hAnsi="宋体"/>
                <w:color w:val="000000"/>
                <w:sz w:val="24"/>
                <w:highlight w:val="none"/>
              </w:rPr>
            </w:pPr>
            <w:r>
              <w:rPr>
                <w:rFonts w:hint="eastAsia" w:ascii="宋体" w:hAnsi="宋体"/>
                <w:color w:val="000000"/>
                <w:sz w:val="24"/>
                <w:highlight w:val="none"/>
              </w:rPr>
              <w:t>28</w:t>
            </w:r>
          </w:p>
        </w:tc>
        <w:tc>
          <w:tcPr>
            <w:tcW w:w="1909" w:type="dxa"/>
            <w:tcBorders>
              <w:top w:val="single" w:color="auto" w:sz="4" w:space="0"/>
              <w:left w:val="nil"/>
              <w:bottom w:val="single" w:color="auto" w:sz="4" w:space="0"/>
              <w:right w:val="single" w:color="auto" w:sz="4" w:space="0"/>
            </w:tcBorders>
            <w:vAlign w:val="center"/>
          </w:tcPr>
          <w:p w14:paraId="5F5DEABB">
            <w:pPr>
              <w:rPr>
                <w:rFonts w:ascii="宋体" w:hAnsi="宋体"/>
                <w:color w:val="000000"/>
                <w:sz w:val="24"/>
                <w:highlight w:val="none"/>
              </w:rPr>
            </w:pPr>
            <w:r>
              <w:rPr>
                <w:rFonts w:hint="eastAsia" w:ascii="宋体" w:hAnsi="宋体"/>
                <w:color w:val="000000"/>
                <w:sz w:val="24"/>
                <w:highlight w:val="none"/>
              </w:rPr>
              <w:t>近年发生的诉讼及仲裁情况的年份要求</w:t>
            </w:r>
          </w:p>
        </w:tc>
        <w:tc>
          <w:tcPr>
            <w:tcW w:w="6887" w:type="dxa"/>
            <w:tcBorders>
              <w:top w:val="single" w:color="auto" w:sz="4" w:space="0"/>
              <w:left w:val="nil"/>
              <w:bottom w:val="single" w:color="auto" w:sz="4" w:space="0"/>
              <w:right w:val="single" w:color="auto" w:sz="4" w:space="0"/>
            </w:tcBorders>
            <w:vAlign w:val="center"/>
          </w:tcPr>
          <w:p w14:paraId="5B17B601">
            <w:pPr>
              <w:spacing w:line="288" w:lineRule="auto"/>
              <w:rPr>
                <w:rFonts w:hint="eastAsia" w:ascii="宋体" w:hAnsi="宋体" w:eastAsia="宋体"/>
                <w:color w:val="000000"/>
                <w:sz w:val="24"/>
                <w:highlight w:val="none"/>
                <w:u w:val="single"/>
                <w:lang w:eastAsia="zh-CN"/>
              </w:rPr>
            </w:pPr>
            <w:r>
              <w:rPr>
                <w:rFonts w:hint="eastAsia" w:ascii="宋体" w:hAnsi="宋体"/>
                <w:color w:val="000000"/>
                <w:sz w:val="24"/>
                <w:highlight w:val="none"/>
                <w:u w:val="single"/>
                <w:lang w:eastAsia="zh-CN"/>
              </w:rPr>
              <w:t>近年，指2023年1月1日以来</w:t>
            </w:r>
          </w:p>
        </w:tc>
      </w:tr>
      <w:tr w14:paraId="64D7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2233FF2">
            <w:pPr>
              <w:jc w:val="center"/>
              <w:rPr>
                <w:rFonts w:ascii="宋体" w:hAnsi="宋体"/>
                <w:color w:val="000000"/>
                <w:sz w:val="24"/>
                <w:highlight w:val="none"/>
              </w:rPr>
            </w:pPr>
            <w:r>
              <w:rPr>
                <w:rFonts w:hint="eastAsia" w:ascii="宋体" w:hAnsi="宋体"/>
                <w:color w:val="000000"/>
                <w:sz w:val="24"/>
                <w:highlight w:val="none"/>
              </w:rPr>
              <w:t>29</w:t>
            </w:r>
          </w:p>
        </w:tc>
        <w:tc>
          <w:tcPr>
            <w:tcW w:w="1909" w:type="dxa"/>
            <w:tcBorders>
              <w:top w:val="single" w:color="auto" w:sz="4" w:space="0"/>
              <w:left w:val="nil"/>
              <w:bottom w:val="single" w:color="auto" w:sz="4" w:space="0"/>
              <w:right w:val="single" w:color="auto" w:sz="4" w:space="0"/>
            </w:tcBorders>
            <w:vAlign w:val="center"/>
          </w:tcPr>
          <w:p w14:paraId="34C026C1">
            <w:pPr>
              <w:rPr>
                <w:rFonts w:ascii="宋体" w:hAnsi="宋体"/>
                <w:color w:val="000000"/>
                <w:sz w:val="24"/>
                <w:highlight w:val="none"/>
              </w:rPr>
            </w:pPr>
            <w:r>
              <w:rPr>
                <w:rFonts w:hint="eastAsia" w:ascii="宋体" w:hAnsi="宋体"/>
                <w:color w:val="000000"/>
                <w:sz w:val="24"/>
                <w:highlight w:val="none"/>
              </w:rPr>
              <w:t>是否允许递交备选投标方案</w:t>
            </w:r>
          </w:p>
        </w:tc>
        <w:tc>
          <w:tcPr>
            <w:tcW w:w="6887" w:type="dxa"/>
            <w:tcBorders>
              <w:top w:val="single" w:color="auto" w:sz="4" w:space="0"/>
              <w:left w:val="nil"/>
              <w:bottom w:val="single" w:color="auto" w:sz="4" w:space="0"/>
              <w:right w:val="single" w:color="auto" w:sz="4" w:space="0"/>
            </w:tcBorders>
            <w:vAlign w:val="center"/>
          </w:tcPr>
          <w:p w14:paraId="151E1FE2">
            <w:pPr>
              <w:spacing w:line="288" w:lineRule="auto"/>
              <w:rPr>
                <w:rFonts w:ascii="宋体" w:hAnsi="宋体"/>
                <w:color w:val="000000"/>
                <w:sz w:val="24"/>
                <w:highlight w:val="none"/>
              </w:rPr>
            </w:pPr>
            <w:r>
              <w:rPr>
                <w:rFonts w:hint="eastAsia" w:ascii="宋体" w:hAnsi="宋体"/>
                <w:color w:val="000000"/>
                <w:sz w:val="24"/>
                <w:highlight w:val="none"/>
              </w:rPr>
              <w:t>■不允许</w:t>
            </w:r>
          </w:p>
        </w:tc>
      </w:tr>
      <w:tr w14:paraId="395C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BA7E729">
            <w:pPr>
              <w:jc w:val="center"/>
              <w:rPr>
                <w:rFonts w:ascii="宋体" w:hAnsi="宋体"/>
                <w:color w:val="000000"/>
                <w:sz w:val="24"/>
                <w:highlight w:val="none"/>
              </w:rPr>
            </w:pPr>
            <w:r>
              <w:rPr>
                <w:rFonts w:hint="eastAsia" w:ascii="宋体" w:hAnsi="宋体"/>
                <w:color w:val="000000"/>
                <w:sz w:val="24"/>
                <w:highlight w:val="none"/>
              </w:rPr>
              <w:t>30</w:t>
            </w:r>
          </w:p>
        </w:tc>
        <w:tc>
          <w:tcPr>
            <w:tcW w:w="1909" w:type="dxa"/>
            <w:tcBorders>
              <w:top w:val="single" w:color="auto" w:sz="4" w:space="0"/>
              <w:left w:val="nil"/>
              <w:bottom w:val="single" w:color="auto" w:sz="4" w:space="0"/>
              <w:right w:val="single" w:color="auto" w:sz="4" w:space="0"/>
            </w:tcBorders>
            <w:vAlign w:val="center"/>
          </w:tcPr>
          <w:p w14:paraId="64A2AEF5">
            <w:pPr>
              <w:rPr>
                <w:rFonts w:ascii="宋体" w:hAnsi="宋体"/>
                <w:color w:val="000000"/>
                <w:sz w:val="24"/>
                <w:highlight w:val="none"/>
              </w:rPr>
            </w:pPr>
            <w:r>
              <w:rPr>
                <w:rFonts w:hint="eastAsia" w:ascii="宋体" w:hAnsi="宋体"/>
                <w:color w:val="000000"/>
                <w:sz w:val="24"/>
                <w:highlight w:val="none"/>
              </w:rPr>
              <w:t>签字和（或）盖章要求</w:t>
            </w:r>
          </w:p>
        </w:tc>
        <w:tc>
          <w:tcPr>
            <w:tcW w:w="6887" w:type="dxa"/>
            <w:tcBorders>
              <w:top w:val="single" w:color="auto" w:sz="4" w:space="0"/>
              <w:left w:val="nil"/>
              <w:bottom w:val="single" w:color="auto" w:sz="4" w:space="0"/>
              <w:right w:val="single" w:color="auto" w:sz="4" w:space="0"/>
            </w:tcBorders>
            <w:vAlign w:val="center"/>
          </w:tcPr>
          <w:p w14:paraId="20137395">
            <w:pPr>
              <w:rPr>
                <w:rFonts w:ascii="宋体" w:hAnsi="宋体"/>
                <w:color w:val="000000"/>
                <w:sz w:val="24"/>
                <w:highlight w:val="none"/>
              </w:rPr>
            </w:pPr>
            <w:r>
              <w:rPr>
                <w:rFonts w:hint="eastAsia" w:ascii="宋体" w:hAnsi="宋体"/>
                <w:color w:val="000000"/>
                <w:sz w:val="24"/>
                <w:highlight w:val="none"/>
              </w:rPr>
              <w:t>电子化响应文件的签章：</w:t>
            </w:r>
          </w:p>
          <w:p w14:paraId="1934C33B">
            <w:pPr>
              <w:rPr>
                <w:rFonts w:ascii="宋体" w:hAnsi="宋体"/>
                <w:color w:val="000000"/>
                <w:sz w:val="24"/>
                <w:highlight w:val="none"/>
              </w:rPr>
            </w:pPr>
            <w:r>
              <w:rPr>
                <w:rFonts w:hint="eastAsia" w:ascii="宋体" w:hAnsi="宋体"/>
                <w:color w:val="000000"/>
                <w:sz w:val="24"/>
                <w:highlight w:val="none"/>
              </w:rPr>
              <w:t>1、响应人在生成电子化响应文件后，应对电子化响应文件进行签章，未对电子化文件进行签章的视为无效投标。</w:t>
            </w:r>
          </w:p>
          <w:p w14:paraId="1CA9FDDD">
            <w:pPr>
              <w:rPr>
                <w:rFonts w:ascii="宋体" w:hAnsi="宋体"/>
                <w:color w:val="000000"/>
                <w:sz w:val="24"/>
                <w:highlight w:val="none"/>
              </w:rPr>
            </w:pPr>
            <w:r>
              <w:rPr>
                <w:rFonts w:hint="eastAsia" w:ascii="宋体" w:hAnsi="宋体"/>
                <w:color w:val="000000"/>
                <w:sz w:val="24"/>
                <w:highlight w:val="none"/>
              </w:rPr>
              <w:t>2、竞争性磋商文件中要求</w:t>
            </w:r>
            <w:r>
              <w:rPr>
                <w:rFonts w:hint="eastAsia" w:ascii="宋体" w:hAnsi="宋体"/>
                <w:b/>
                <w:bCs/>
                <w:color w:val="000000"/>
                <w:sz w:val="24"/>
                <w:highlight w:val="none"/>
              </w:rPr>
              <w:t>法定代表人或授权委托人签字或盖章的，</w:t>
            </w:r>
            <w:r>
              <w:rPr>
                <w:rFonts w:hint="eastAsia" w:ascii="宋体" w:hAnsi="宋体"/>
                <w:color w:val="000000"/>
                <w:sz w:val="24"/>
                <w:highlight w:val="none"/>
              </w:rPr>
              <w:t>响应人在进行</w:t>
            </w:r>
            <w:r>
              <w:rPr>
                <w:rFonts w:hint="eastAsia" w:ascii="宋体" w:hAnsi="宋体"/>
                <w:b/>
                <w:bCs/>
                <w:color w:val="000000"/>
                <w:sz w:val="24"/>
                <w:highlight w:val="none"/>
              </w:rPr>
              <w:t>电子化响应文件签章时，以签盖法定代表人签章为准</w:t>
            </w:r>
            <w:r>
              <w:rPr>
                <w:rFonts w:hint="eastAsia" w:ascii="宋体" w:hAnsi="宋体"/>
                <w:color w:val="000000"/>
                <w:sz w:val="24"/>
                <w:highlight w:val="none"/>
              </w:rPr>
              <w:t>。</w:t>
            </w:r>
          </w:p>
        </w:tc>
      </w:tr>
      <w:tr w14:paraId="0E01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78344CD">
            <w:pPr>
              <w:jc w:val="center"/>
              <w:rPr>
                <w:rFonts w:ascii="宋体" w:hAnsi="宋体"/>
                <w:color w:val="000000"/>
                <w:sz w:val="24"/>
                <w:highlight w:val="none"/>
              </w:rPr>
            </w:pPr>
            <w:r>
              <w:rPr>
                <w:rFonts w:hint="eastAsia" w:ascii="宋体" w:hAnsi="宋体"/>
                <w:color w:val="000000"/>
                <w:sz w:val="24"/>
                <w:highlight w:val="none"/>
              </w:rPr>
              <w:t>31</w:t>
            </w:r>
          </w:p>
        </w:tc>
        <w:tc>
          <w:tcPr>
            <w:tcW w:w="1909" w:type="dxa"/>
            <w:tcBorders>
              <w:top w:val="single" w:color="auto" w:sz="4" w:space="0"/>
              <w:left w:val="nil"/>
              <w:bottom w:val="single" w:color="auto" w:sz="4" w:space="0"/>
              <w:right w:val="single" w:color="auto" w:sz="4" w:space="0"/>
            </w:tcBorders>
            <w:vAlign w:val="center"/>
          </w:tcPr>
          <w:p w14:paraId="23561AF9">
            <w:pPr>
              <w:rPr>
                <w:rFonts w:ascii="宋体" w:hAnsi="宋体"/>
                <w:color w:val="000000"/>
                <w:sz w:val="24"/>
                <w:highlight w:val="none"/>
              </w:rPr>
            </w:pPr>
            <w:r>
              <w:rPr>
                <w:rFonts w:hint="eastAsia" w:ascii="宋体" w:hAnsi="宋体"/>
                <w:color w:val="000000"/>
                <w:sz w:val="24"/>
                <w:highlight w:val="none"/>
              </w:rPr>
              <w:t>响应文件</w:t>
            </w:r>
          </w:p>
        </w:tc>
        <w:tc>
          <w:tcPr>
            <w:tcW w:w="6887" w:type="dxa"/>
            <w:tcBorders>
              <w:top w:val="single" w:color="auto" w:sz="4" w:space="0"/>
              <w:left w:val="nil"/>
              <w:bottom w:val="single" w:color="auto" w:sz="4" w:space="0"/>
              <w:right w:val="single" w:color="auto" w:sz="4" w:space="0"/>
            </w:tcBorders>
            <w:vAlign w:val="center"/>
          </w:tcPr>
          <w:p w14:paraId="70A3F954">
            <w:pPr>
              <w:rPr>
                <w:rFonts w:ascii="宋体" w:hAnsi="宋体"/>
                <w:color w:val="000000"/>
                <w:sz w:val="24"/>
                <w:highlight w:val="none"/>
              </w:rPr>
            </w:pPr>
            <w:r>
              <w:rPr>
                <w:rFonts w:hint="eastAsia" w:ascii="宋体" w:hAnsi="宋体"/>
                <w:color w:val="000000"/>
                <w:sz w:val="24"/>
                <w:highlight w:val="none"/>
              </w:rPr>
              <w:t>用CA在电子平台上传电子响应文件；</w:t>
            </w:r>
          </w:p>
          <w:p w14:paraId="37200DA1">
            <w:pPr>
              <w:rPr>
                <w:rFonts w:ascii="宋体" w:hAnsi="宋体"/>
                <w:color w:val="000000"/>
                <w:sz w:val="24"/>
                <w:highlight w:val="none"/>
              </w:rPr>
            </w:pPr>
            <w:r>
              <w:rPr>
                <w:rFonts w:hint="eastAsia" w:ascii="宋体" w:hAnsi="宋体"/>
                <w:color w:val="000000"/>
                <w:sz w:val="24"/>
                <w:highlight w:val="none"/>
              </w:rPr>
              <w:t>开标时不再递交纸质响应文件</w:t>
            </w:r>
          </w:p>
        </w:tc>
      </w:tr>
      <w:tr w14:paraId="2010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DED8952">
            <w:pPr>
              <w:jc w:val="center"/>
              <w:rPr>
                <w:rFonts w:ascii="宋体" w:hAnsi="宋体"/>
                <w:color w:val="000000"/>
                <w:sz w:val="24"/>
                <w:highlight w:val="none"/>
              </w:rPr>
            </w:pPr>
            <w:r>
              <w:rPr>
                <w:rFonts w:hint="eastAsia" w:ascii="宋体" w:hAnsi="宋体"/>
                <w:color w:val="000000"/>
                <w:sz w:val="24"/>
                <w:highlight w:val="none"/>
              </w:rPr>
              <w:t>32</w:t>
            </w:r>
          </w:p>
        </w:tc>
        <w:tc>
          <w:tcPr>
            <w:tcW w:w="1909" w:type="dxa"/>
            <w:tcBorders>
              <w:top w:val="single" w:color="auto" w:sz="4" w:space="0"/>
              <w:left w:val="nil"/>
              <w:bottom w:val="single" w:color="auto" w:sz="4" w:space="0"/>
              <w:right w:val="single" w:color="auto" w:sz="4" w:space="0"/>
            </w:tcBorders>
            <w:vAlign w:val="center"/>
          </w:tcPr>
          <w:p w14:paraId="22F7BD54">
            <w:pPr>
              <w:rPr>
                <w:rFonts w:ascii="宋体" w:hAnsi="宋体"/>
                <w:sz w:val="24"/>
                <w:highlight w:val="none"/>
              </w:rPr>
            </w:pPr>
            <w:r>
              <w:rPr>
                <w:rFonts w:hint="eastAsia" w:ascii="宋体" w:hAnsi="宋体"/>
                <w:sz w:val="24"/>
                <w:highlight w:val="none"/>
              </w:rPr>
              <w:t>开标时间及地点</w:t>
            </w:r>
          </w:p>
        </w:tc>
        <w:tc>
          <w:tcPr>
            <w:tcW w:w="6887" w:type="dxa"/>
            <w:tcBorders>
              <w:top w:val="single" w:color="auto" w:sz="4" w:space="0"/>
              <w:left w:val="nil"/>
              <w:bottom w:val="single" w:color="auto" w:sz="4" w:space="0"/>
              <w:right w:val="single" w:color="auto" w:sz="4" w:space="0"/>
            </w:tcBorders>
            <w:vAlign w:val="center"/>
          </w:tcPr>
          <w:p w14:paraId="64347513">
            <w:pPr>
              <w:rPr>
                <w:rFonts w:ascii="宋体" w:hAnsi="宋体"/>
                <w:sz w:val="24"/>
                <w:highlight w:val="none"/>
              </w:rPr>
            </w:pPr>
            <w:r>
              <w:rPr>
                <w:rFonts w:hint="eastAsia" w:ascii="宋体" w:hAnsi="宋体"/>
                <w:sz w:val="24"/>
                <w:highlight w:val="none"/>
              </w:rPr>
              <w:t>响应文件递交截止时间及开标时间：</w:t>
            </w:r>
            <w:r>
              <w:rPr>
                <w:rFonts w:hint="eastAsia" w:ascii="宋体" w:hAnsi="宋体"/>
                <w:sz w:val="24"/>
                <w:highlight w:val="none"/>
                <w:lang w:eastAsia="zh-CN"/>
              </w:rPr>
              <w:t>2026年4月30日</w:t>
            </w:r>
            <w:r>
              <w:rPr>
                <w:rFonts w:hint="eastAsia" w:ascii="宋体" w:hAnsi="宋体"/>
                <w:sz w:val="24"/>
                <w:highlight w:val="none"/>
              </w:rPr>
              <w:t>08时30分；</w:t>
            </w:r>
          </w:p>
          <w:p w14:paraId="409C2910">
            <w:pPr>
              <w:rPr>
                <w:rFonts w:ascii="宋体" w:hAnsi="宋体"/>
                <w:sz w:val="24"/>
                <w:highlight w:val="none"/>
              </w:rPr>
            </w:pPr>
            <w:r>
              <w:rPr>
                <w:rFonts w:hint="eastAsia" w:ascii="宋体" w:hAnsi="宋体"/>
                <w:sz w:val="24"/>
                <w:highlight w:val="none"/>
              </w:rPr>
              <w:t>开标地点：陕州区公共资源交易中心</w:t>
            </w:r>
          </w:p>
          <w:p w14:paraId="2B21690C">
            <w:pPr>
              <w:rPr>
                <w:rFonts w:ascii="宋体" w:hAnsi="宋体"/>
                <w:sz w:val="24"/>
                <w:highlight w:val="none"/>
              </w:rPr>
            </w:pPr>
            <w:r>
              <w:rPr>
                <w:rFonts w:hint="eastAsia" w:ascii="宋体" w:hAnsi="宋体"/>
                <w:sz w:val="24"/>
                <w:highlight w:val="none"/>
              </w:rPr>
              <w:t>评标地点：陕州区公共资源交易中心</w:t>
            </w:r>
          </w:p>
          <w:p w14:paraId="54FC1788">
            <w:pPr>
              <w:rPr>
                <w:rFonts w:ascii="宋体" w:hAnsi="宋体"/>
                <w:sz w:val="24"/>
                <w:highlight w:val="none"/>
              </w:rPr>
            </w:pPr>
            <w:r>
              <w:rPr>
                <w:rFonts w:hint="eastAsia" w:ascii="宋体" w:hAnsi="宋体"/>
                <w:sz w:val="24"/>
                <w:highlight w:val="none"/>
              </w:rPr>
              <w:t>开标时，供应商必须持CA密钥在规定时间内对本单位的加密电子响应文件进行远程解密。本次项目实行远程不见面磋商。</w:t>
            </w:r>
          </w:p>
        </w:tc>
      </w:tr>
      <w:tr w14:paraId="1140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88FC9E4">
            <w:pPr>
              <w:jc w:val="center"/>
              <w:rPr>
                <w:rFonts w:ascii="宋体" w:hAnsi="宋体"/>
                <w:color w:val="000000"/>
                <w:sz w:val="24"/>
                <w:highlight w:val="none"/>
              </w:rPr>
            </w:pPr>
            <w:r>
              <w:rPr>
                <w:rFonts w:hint="eastAsia" w:ascii="宋体" w:hAnsi="宋体"/>
                <w:color w:val="000000"/>
                <w:sz w:val="24"/>
                <w:highlight w:val="none"/>
              </w:rPr>
              <w:t>33</w:t>
            </w:r>
          </w:p>
        </w:tc>
        <w:tc>
          <w:tcPr>
            <w:tcW w:w="1909" w:type="dxa"/>
            <w:tcBorders>
              <w:top w:val="single" w:color="auto" w:sz="4" w:space="0"/>
              <w:left w:val="nil"/>
              <w:bottom w:val="single" w:color="auto" w:sz="4" w:space="0"/>
              <w:right w:val="single" w:color="auto" w:sz="4" w:space="0"/>
            </w:tcBorders>
            <w:vAlign w:val="center"/>
          </w:tcPr>
          <w:p w14:paraId="0CFF5EF5">
            <w:pPr>
              <w:rPr>
                <w:rFonts w:ascii="宋体" w:hAnsi="宋体"/>
                <w:color w:val="000000"/>
                <w:sz w:val="24"/>
                <w:highlight w:val="none"/>
              </w:rPr>
            </w:pPr>
            <w:r>
              <w:rPr>
                <w:rFonts w:hint="eastAsia" w:ascii="宋体" w:hAnsi="宋体"/>
                <w:color w:val="000000"/>
                <w:sz w:val="24"/>
                <w:highlight w:val="none"/>
              </w:rPr>
              <w:t>是否退还响应文件</w:t>
            </w:r>
          </w:p>
        </w:tc>
        <w:tc>
          <w:tcPr>
            <w:tcW w:w="6887" w:type="dxa"/>
            <w:tcBorders>
              <w:top w:val="single" w:color="auto" w:sz="4" w:space="0"/>
              <w:left w:val="nil"/>
              <w:bottom w:val="single" w:color="auto" w:sz="4" w:space="0"/>
              <w:right w:val="single" w:color="auto" w:sz="4" w:space="0"/>
            </w:tcBorders>
            <w:vAlign w:val="center"/>
          </w:tcPr>
          <w:p w14:paraId="1DEADB90">
            <w:pPr>
              <w:spacing w:line="288" w:lineRule="auto"/>
              <w:rPr>
                <w:rFonts w:ascii="宋体" w:hAnsi="宋体"/>
                <w:sz w:val="24"/>
                <w:highlight w:val="none"/>
              </w:rPr>
            </w:pPr>
            <w:r>
              <w:rPr>
                <w:rFonts w:hint="eastAsia" w:ascii="宋体" w:hAnsi="宋体"/>
                <w:sz w:val="24"/>
                <w:highlight w:val="none"/>
              </w:rPr>
              <w:t>否</w:t>
            </w:r>
          </w:p>
        </w:tc>
      </w:tr>
      <w:tr w14:paraId="4C67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C7674E5">
            <w:pPr>
              <w:jc w:val="center"/>
              <w:rPr>
                <w:rFonts w:ascii="宋体" w:hAnsi="宋体"/>
                <w:color w:val="000000"/>
                <w:sz w:val="24"/>
                <w:highlight w:val="none"/>
              </w:rPr>
            </w:pPr>
            <w:r>
              <w:rPr>
                <w:rFonts w:hint="eastAsia" w:ascii="宋体" w:hAnsi="宋体"/>
                <w:color w:val="000000"/>
                <w:sz w:val="24"/>
                <w:highlight w:val="none"/>
              </w:rPr>
              <w:t>34</w:t>
            </w:r>
          </w:p>
        </w:tc>
        <w:tc>
          <w:tcPr>
            <w:tcW w:w="1909" w:type="dxa"/>
            <w:tcBorders>
              <w:top w:val="single" w:color="auto" w:sz="4" w:space="0"/>
              <w:left w:val="nil"/>
              <w:bottom w:val="single" w:color="auto" w:sz="4" w:space="0"/>
              <w:right w:val="single" w:color="auto" w:sz="4" w:space="0"/>
            </w:tcBorders>
            <w:vAlign w:val="center"/>
          </w:tcPr>
          <w:p w14:paraId="42BA8A08">
            <w:pPr>
              <w:rPr>
                <w:rFonts w:ascii="宋体" w:hAnsi="宋体"/>
                <w:color w:val="000000"/>
                <w:sz w:val="24"/>
                <w:highlight w:val="none"/>
              </w:rPr>
            </w:pPr>
            <w:r>
              <w:rPr>
                <w:rFonts w:hint="eastAsia" w:ascii="宋体" w:hAnsi="宋体"/>
                <w:color w:val="000000"/>
                <w:sz w:val="24"/>
                <w:highlight w:val="none"/>
              </w:rPr>
              <w:t>开标程序</w:t>
            </w:r>
          </w:p>
        </w:tc>
        <w:tc>
          <w:tcPr>
            <w:tcW w:w="6887" w:type="dxa"/>
            <w:tcBorders>
              <w:top w:val="single" w:color="auto" w:sz="4" w:space="0"/>
              <w:left w:val="nil"/>
              <w:bottom w:val="single" w:color="auto" w:sz="4" w:space="0"/>
              <w:right w:val="single" w:color="auto" w:sz="4" w:space="0"/>
            </w:tcBorders>
            <w:vAlign w:val="center"/>
          </w:tcPr>
          <w:p w14:paraId="5F39E044">
            <w:pPr>
              <w:jc w:val="left"/>
              <w:rPr>
                <w:rFonts w:ascii="宋体" w:hAnsi="宋体"/>
                <w:sz w:val="24"/>
                <w:highlight w:val="none"/>
              </w:rPr>
            </w:pPr>
            <w:r>
              <w:rPr>
                <w:rFonts w:hint="eastAsia" w:ascii="宋体" w:hAnsi="宋体"/>
                <w:sz w:val="24"/>
                <w:highlight w:val="none"/>
              </w:rPr>
              <w:t>主持人开标按下列程序进行开标：</w:t>
            </w:r>
          </w:p>
          <w:p w14:paraId="241F3E15">
            <w:pPr>
              <w:jc w:val="left"/>
              <w:rPr>
                <w:rFonts w:ascii="宋体" w:hAnsi="宋体"/>
                <w:sz w:val="24"/>
                <w:highlight w:val="none"/>
              </w:rPr>
            </w:pPr>
            <w:r>
              <w:rPr>
                <w:rFonts w:hint="eastAsia" w:ascii="宋体" w:hAnsi="宋体"/>
                <w:sz w:val="24"/>
                <w:highlight w:val="none"/>
              </w:rPr>
              <w:t>（1）本项目为不见面开标项目，开标当日，投标人无需到开标现场参加开标会议，投标人应当在投标截止时间前，登陆不见面开标大厅选择登陆三门峡市公共资源电子招投标系统进行登陆（网址为</w:t>
            </w:r>
            <w:r>
              <w:rPr>
                <w:rFonts w:hint="eastAsia" w:ascii="宋体" w:hAnsi="宋体" w:cs="宋体"/>
                <w:bCs/>
                <w:sz w:val="24"/>
                <w:highlight w:val="none"/>
              </w:rPr>
              <w:t>http://120.194.249.36:10094/BidOpening/bidopeninghallaction/hall/login</w:t>
            </w:r>
            <w:r>
              <w:rPr>
                <w:rFonts w:hint="eastAsia" w:ascii="宋体" w:hAnsi="宋体"/>
                <w:sz w:val="24"/>
                <w:highlight w:val="none"/>
              </w:rPr>
              <w:t>）,在线准时参加开标活动并进行投标文件解密等。每位投标人的解密时间为开标时间起30分钟内完成。</w:t>
            </w:r>
          </w:p>
        </w:tc>
      </w:tr>
      <w:tr w14:paraId="242A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E6D166E">
            <w:pPr>
              <w:jc w:val="center"/>
              <w:rPr>
                <w:rFonts w:ascii="宋体" w:hAnsi="宋体"/>
                <w:color w:val="000000"/>
                <w:sz w:val="24"/>
                <w:highlight w:val="none"/>
              </w:rPr>
            </w:pPr>
            <w:r>
              <w:rPr>
                <w:rFonts w:hint="eastAsia" w:ascii="宋体" w:hAnsi="宋体"/>
                <w:color w:val="000000"/>
                <w:sz w:val="24"/>
                <w:highlight w:val="none"/>
              </w:rPr>
              <w:t>35</w:t>
            </w:r>
          </w:p>
        </w:tc>
        <w:tc>
          <w:tcPr>
            <w:tcW w:w="1909" w:type="dxa"/>
            <w:tcBorders>
              <w:top w:val="single" w:color="auto" w:sz="4" w:space="0"/>
              <w:left w:val="nil"/>
              <w:bottom w:val="single" w:color="auto" w:sz="4" w:space="0"/>
              <w:right w:val="single" w:color="auto" w:sz="4" w:space="0"/>
            </w:tcBorders>
            <w:vAlign w:val="center"/>
          </w:tcPr>
          <w:p w14:paraId="4C16A5DE">
            <w:pPr>
              <w:rPr>
                <w:rFonts w:ascii="宋体" w:hAnsi="宋体"/>
                <w:color w:val="000000"/>
                <w:sz w:val="24"/>
                <w:highlight w:val="none"/>
              </w:rPr>
            </w:pPr>
            <w:r>
              <w:rPr>
                <w:rFonts w:hint="eastAsia" w:ascii="宋体" w:hAnsi="宋体"/>
                <w:color w:val="000000"/>
                <w:sz w:val="24"/>
                <w:highlight w:val="none"/>
              </w:rPr>
              <w:t>磋商小组的组建</w:t>
            </w:r>
          </w:p>
        </w:tc>
        <w:tc>
          <w:tcPr>
            <w:tcW w:w="6887" w:type="dxa"/>
            <w:tcBorders>
              <w:top w:val="single" w:color="auto" w:sz="4" w:space="0"/>
              <w:left w:val="nil"/>
              <w:bottom w:val="single" w:color="auto" w:sz="4" w:space="0"/>
              <w:right w:val="single" w:color="auto" w:sz="4" w:space="0"/>
            </w:tcBorders>
            <w:vAlign w:val="center"/>
          </w:tcPr>
          <w:p w14:paraId="39C90AE6">
            <w:pPr>
              <w:rPr>
                <w:rFonts w:hint="eastAsia" w:ascii="宋体" w:hAnsi="宋体" w:cs="宋体"/>
                <w:sz w:val="24"/>
                <w:szCs w:val="20"/>
                <w:highlight w:val="none"/>
              </w:rPr>
            </w:pPr>
            <w:r>
              <w:rPr>
                <w:rFonts w:hint="eastAsia" w:ascii="宋体" w:hAnsi="宋体" w:cs="宋体"/>
                <w:sz w:val="24"/>
                <w:szCs w:val="20"/>
                <w:highlight w:val="none"/>
              </w:rPr>
              <w:t>磋商小组成员为3人，采购人代表1人，其余评审专家2人从河南省电子化政府采购系统评标专家库随机抽取。</w:t>
            </w:r>
          </w:p>
          <w:p w14:paraId="63B03AE6">
            <w:pPr>
              <w:rPr>
                <w:rFonts w:ascii="宋体" w:hAnsi="宋体"/>
                <w:color w:val="000000"/>
                <w:sz w:val="24"/>
                <w:highlight w:val="none"/>
              </w:rPr>
            </w:pPr>
            <w:r>
              <w:rPr>
                <w:rFonts w:hint="eastAsia" w:ascii="宋体" w:hAnsi="宋体" w:cs="宋体"/>
                <w:sz w:val="24"/>
                <w:szCs w:val="20"/>
                <w:highlight w:val="none"/>
              </w:rPr>
              <w:t>备注：业主评委无评标劳务费用。</w:t>
            </w:r>
          </w:p>
        </w:tc>
      </w:tr>
      <w:tr w14:paraId="0C84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A5D1858">
            <w:pPr>
              <w:jc w:val="center"/>
              <w:rPr>
                <w:rFonts w:ascii="宋体" w:hAnsi="宋体"/>
                <w:color w:val="000000"/>
                <w:sz w:val="24"/>
                <w:highlight w:val="none"/>
              </w:rPr>
            </w:pPr>
            <w:r>
              <w:rPr>
                <w:rFonts w:hint="eastAsia" w:ascii="宋体" w:hAnsi="宋体"/>
                <w:color w:val="000000"/>
                <w:sz w:val="24"/>
                <w:highlight w:val="none"/>
              </w:rPr>
              <w:t>36</w:t>
            </w:r>
          </w:p>
        </w:tc>
        <w:tc>
          <w:tcPr>
            <w:tcW w:w="1909" w:type="dxa"/>
            <w:tcBorders>
              <w:top w:val="single" w:color="auto" w:sz="4" w:space="0"/>
              <w:left w:val="nil"/>
              <w:bottom w:val="single" w:color="auto" w:sz="4" w:space="0"/>
              <w:right w:val="single" w:color="auto" w:sz="4" w:space="0"/>
            </w:tcBorders>
            <w:vAlign w:val="center"/>
          </w:tcPr>
          <w:p w14:paraId="0E134601">
            <w:pPr>
              <w:rPr>
                <w:rFonts w:ascii="宋体" w:hAnsi="宋体"/>
                <w:color w:val="000000"/>
                <w:sz w:val="24"/>
                <w:highlight w:val="none"/>
              </w:rPr>
            </w:pPr>
            <w:r>
              <w:rPr>
                <w:rFonts w:hint="eastAsia" w:ascii="宋体" w:hAnsi="宋体"/>
                <w:color w:val="000000"/>
                <w:sz w:val="24"/>
                <w:highlight w:val="none"/>
              </w:rPr>
              <w:t>是否授权磋商小组确定中标人</w:t>
            </w:r>
          </w:p>
        </w:tc>
        <w:tc>
          <w:tcPr>
            <w:tcW w:w="6887" w:type="dxa"/>
            <w:tcBorders>
              <w:top w:val="single" w:color="auto" w:sz="4" w:space="0"/>
              <w:left w:val="nil"/>
              <w:bottom w:val="single" w:color="auto" w:sz="4" w:space="0"/>
              <w:right w:val="single" w:color="auto" w:sz="4" w:space="0"/>
            </w:tcBorders>
            <w:vAlign w:val="center"/>
          </w:tcPr>
          <w:p w14:paraId="3611B0CC">
            <w:pPr>
              <w:spacing w:line="288" w:lineRule="auto"/>
              <w:rPr>
                <w:rFonts w:ascii="宋体" w:hAnsi="宋体"/>
                <w:color w:val="000000"/>
                <w:sz w:val="24"/>
                <w:highlight w:val="none"/>
              </w:rPr>
            </w:pPr>
            <w:r>
              <w:rPr>
                <w:rFonts w:hint="eastAsia" w:ascii="宋体" w:hAnsi="宋体"/>
                <w:color w:val="000000"/>
                <w:sz w:val="24"/>
                <w:highlight w:val="none"/>
              </w:rPr>
              <w:t>否，按顺序推荐的中标候选人数：</w:t>
            </w:r>
            <w:r>
              <w:rPr>
                <w:rFonts w:hint="eastAsia" w:ascii="宋体" w:hAnsi="宋体"/>
                <w:color w:val="000000"/>
                <w:sz w:val="24"/>
                <w:highlight w:val="none"/>
                <w:u w:val="single"/>
              </w:rPr>
              <w:t>3名</w:t>
            </w:r>
          </w:p>
        </w:tc>
      </w:tr>
      <w:tr w14:paraId="1250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AB80BEB">
            <w:pPr>
              <w:spacing w:line="312" w:lineRule="auto"/>
              <w:jc w:val="center"/>
              <w:rPr>
                <w:rFonts w:ascii="宋体" w:hAnsi="宋体"/>
                <w:color w:val="000000"/>
                <w:sz w:val="24"/>
                <w:highlight w:val="none"/>
              </w:rPr>
            </w:pPr>
            <w:r>
              <w:rPr>
                <w:rFonts w:hint="eastAsia" w:ascii="宋体" w:hAnsi="宋体"/>
                <w:color w:val="000000"/>
                <w:sz w:val="24"/>
                <w:highlight w:val="none"/>
              </w:rPr>
              <w:t>37</w:t>
            </w:r>
          </w:p>
        </w:tc>
        <w:tc>
          <w:tcPr>
            <w:tcW w:w="1909" w:type="dxa"/>
            <w:tcBorders>
              <w:top w:val="single" w:color="auto" w:sz="4" w:space="0"/>
              <w:left w:val="nil"/>
              <w:bottom w:val="single" w:color="auto" w:sz="4" w:space="0"/>
              <w:right w:val="single" w:color="auto" w:sz="4" w:space="0"/>
            </w:tcBorders>
            <w:vAlign w:val="center"/>
          </w:tcPr>
          <w:p w14:paraId="7904ED05">
            <w:pPr>
              <w:spacing w:line="312" w:lineRule="auto"/>
              <w:rPr>
                <w:rFonts w:ascii="宋体" w:hAnsi="宋体"/>
                <w:color w:val="000000"/>
                <w:sz w:val="24"/>
                <w:highlight w:val="none"/>
              </w:rPr>
            </w:pPr>
            <w:r>
              <w:rPr>
                <w:rFonts w:hint="eastAsia" w:ascii="宋体" w:hAnsi="宋体" w:cs="宋体"/>
                <w:sz w:val="24"/>
                <w:highlight w:val="none"/>
              </w:rPr>
              <w:t>采购预算金额及</w:t>
            </w:r>
            <w:r>
              <w:rPr>
                <w:rFonts w:hint="eastAsia" w:ascii="宋体" w:hAnsi="宋体" w:cs="宋体"/>
                <w:bCs/>
                <w:sz w:val="24"/>
                <w:highlight w:val="none"/>
              </w:rPr>
              <w:t>最高限价</w:t>
            </w:r>
          </w:p>
        </w:tc>
        <w:tc>
          <w:tcPr>
            <w:tcW w:w="6887" w:type="dxa"/>
            <w:tcBorders>
              <w:top w:val="single" w:color="auto" w:sz="4" w:space="0"/>
              <w:left w:val="nil"/>
              <w:bottom w:val="single" w:color="auto" w:sz="4" w:space="0"/>
              <w:right w:val="single" w:color="auto" w:sz="4" w:space="0"/>
            </w:tcBorders>
            <w:vAlign w:val="center"/>
          </w:tcPr>
          <w:p w14:paraId="68D1A67D">
            <w:pPr>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eastAsia="zh-CN"/>
              </w:rPr>
              <w:t>项目总</w:t>
            </w:r>
            <w:r>
              <w:rPr>
                <w:rFonts w:hint="eastAsia" w:ascii="宋体" w:hAnsi="宋体" w:cs="宋体"/>
                <w:sz w:val="24"/>
                <w:highlight w:val="none"/>
              </w:rPr>
              <w:t>预算金额：</w:t>
            </w:r>
            <w:r>
              <w:rPr>
                <w:rFonts w:hint="eastAsia" w:ascii="宋体" w:hAnsi="宋体" w:eastAsia="宋体" w:cs="宋体"/>
                <w:sz w:val="24"/>
                <w:highlight w:val="none"/>
                <w:lang w:val="en-US" w:eastAsia="zh-CN"/>
              </w:rPr>
              <w:t>410497.5</w:t>
            </w:r>
            <w:r>
              <w:rPr>
                <w:rFonts w:hint="eastAsia" w:ascii="宋体" w:hAnsi="宋体" w:eastAsia="宋体" w:cs="宋体"/>
                <w:sz w:val="24"/>
                <w:highlight w:val="none"/>
                <w:lang w:eastAsia="zh-CN"/>
              </w:rPr>
              <w:t>元，本次采购为单价报价</w:t>
            </w:r>
          </w:p>
          <w:p w14:paraId="4F973131">
            <w:pPr>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预算单价金额：一标段</w:t>
            </w:r>
            <w:r>
              <w:rPr>
                <w:rFonts w:hint="eastAsia" w:ascii="宋体" w:hAnsi="宋体" w:eastAsia="宋体" w:cs="宋体"/>
                <w:sz w:val="24"/>
                <w:highlight w:val="none"/>
                <w:lang w:val="en-US" w:eastAsia="zh-CN"/>
              </w:rPr>
              <w:t>7元/亩，二标段7.5元/亩</w:t>
            </w:r>
          </w:p>
          <w:p w14:paraId="6F3F0387">
            <w:pPr>
              <w:rPr>
                <w:rFonts w:ascii="宋体" w:hAnsi="宋体"/>
                <w:sz w:val="24"/>
                <w:highlight w:val="none"/>
              </w:rPr>
            </w:pPr>
            <w:r>
              <w:rPr>
                <w:rFonts w:hint="eastAsia" w:ascii="宋体" w:hAnsi="宋体" w:cs="宋体"/>
                <w:sz w:val="24"/>
                <w:szCs w:val="20"/>
                <w:highlight w:val="none"/>
              </w:rPr>
              <w:t>本次竞争性磋商分为两轮报价。磋商供应商响应性文件中的报价作为第一次报价，不得高于项目预算金额且不公开；第二轮报价不得高于第一轮报价,参与评标报价以最终报价为准。</w:t>
            </w:r>
          </w:p>
        </w:tc>
      </w:tr>
      <w:tr w14:paraId="62F7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232FE2F">
            <w:pPr>
              <w:spacing w:line="312" w:lineRule="auto"/>
              <w:jc w:val="center"/>
              <w:rPr>
                <w:rFonts w:ascii="宋体" w:hAnsi="宋体"/>
                <w:color w:val="000000"/>
                <w:sz w:val="24"/>
                <w:highlight w:val="none"/>
              </w:rPr>
            </w:pPr>
            <w:r>
              <w:rPr>
                <w:rFonts w:hint="eastAsia" w:ascii="宋体" w:hAnsi="宋体"/>
                <w:color w:val="000000"/>
                <w:sz w:val="24"/>
                <w:highlight w:val="none"/>
              </w:rPr>
              <w:t>38</w:t>
            </w:r>
          </w:p>
        </w:tc>
        <w:tc>
          <w:tcPr>
            <w:tcW w:w="1909" w:type="dxa"/>
            <w:tcBorders>
              <w:top w:val="single" w:color="auto" w:sz="4" w:space="0"/>
              <w:left w:val="nil"/>
              <w:bottom w:val="single" w:color="auto" w:sz="4" w:space="0"/>
              <w:right w:val="single" w:color="auto" w:sz="4" w:space="0"/>
            </w:tcBorders>
            <w:vAlign w:val="center"/>
          </w:tcPr>
          <w:p w14:paraId="4C1FEAF9">
            <w:pPr>
              <w:spacing w:line="312" w:lineRule="auto"/>
              <w:rPr>
                <w:rFonts w:ascii="宋体" w:hAnsi="宋体" w:cs="宋体"/>
                <w:sz w:val="24"/>
                <w:highlight w:val="none"/>
              </w:rPr>
            </w:pPr>
            <w:r>
              <w:rPr>
                <w:rFonts w:hint="eastAsia" w:ascii="宋体" w:hAnsi="宋体" w:cs="宋体"/>
                <w:sz w:val="24"/>
                <w:highlight w:val="none"/>
              </w:rPr>
              <w:t>付款方式</w:t>
            </w:r>
          </w:p>
        </w:tc>
        <w:tc>
          <w:tcPr>
            <w:tcW w:w="6887" w:type="dxa"/>
            <w:tcBorders>
              <w:top w:val="single" w:color="auto" w:sz="4" w:space="0"/>
              <w:left w:val="nil"/>
              <w:bottom w:val="single" w:color="auto" w:sz="4" w:space="0"/>
              <w:right w:val="single" w:color="auto" w:sz="4" w:space="0"/>
            </w:tcBorders>
            <w:vAlign w:val="center"/>
          </w:tcPr>
          <w:p w14:paraId="3526E0E4">
            <w:pPr>
              <w:rPr>
                <w:rFonts w:ascii="宋体" w:hAnsi="宋体" w:cs="宋体"/>
                <w:sz w:val="24"/>
                <w:szCs w:val="20"/>
                <w:highlight w:val="none"/>
              </w:rPr>
            </w:pPr>
            <w:r>
              <w:rPr>
                <w:rFonts w:hint="eastAsia" w:ascii="宋体" w:hAnsi="宋体" w:cs="宋体"/>
                <w:sz w:val="24"/>
                <w:szCs w:val="20"/>
                <w:highlight w:val="none"/>
                <w:lang w:eastAsia="zh-CN"/>
              </w:rPr>
              <w:t>项目</w:t>
            </w:r>
            <w:r>
              <w:rPr>
                <w:rFonts w:hint="eastAsia" w:ascii="宋体" w:hAnsi="宋体" w:cs="宋体"/>
                <w:sz w:val="24"/>
                <w:szCs w:val="20"/>
                <w:highlight w:val="none"/>
              </w:rPr>
              <w:t>完成后经三门峡市陕州区农业农村局组织人员验收</w:t>
            </w:r>
            <w:r>
              <w:rPr>
                <w:rFonts w:hint="eastAsia" w:ascii="宋体" w:hAnsi="宋体" w:cs="宋体"/>
                <w:sz w:val="24"/>
                <w:szCs w:val="20"/>
                <w:highlight w:val="none"/>
                <w:lang w:eastAsia="zh-CN"/>
              </w:rPr>
              <w:t>符合国家相关规范及标准要求</w:t>
            </w:r>
            <w:r>
              <w:rPr>
                <w:rFonts w:hint="eastAsia" w:ascii="宋体" w:hAnsi="宋体" w:cs="宋体"/>
                <w:sz w:val="24"/>
                <w:szCs w:val="20"/>
                <w:highlight w:val="none"/>
              </w:rPr>
              <w:t>后，由采购人和供应商双方自行商定。</w:t>
            </w:r>
          </w:p>
        </w:tc>
      </w:tr>
      <w:tr w14:paraId="1629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60BA29A">
            <w:pPr>
              <w:spacing w:line="312" w:lineRule="auto"/>
              <w:jc w:val="center"/>
              <w:rPr>
                <w:rFonts w:ascii="宋体" w:hAnsi="宋体"/>
                <w:color w:val="000000"/>
                <w:sz w:val="24"/>
                <w:highlight w:val="none"/>
              </w:rPr>
            </w:pPr>
            <w:r>
              <w:rPr>
                <w:rFonts w:hint="eastAsia" w:ascii="宋体" w:hAnsi="宋体"/>
                <w:color w:val="000000"/>
                <w:sz w:val="24"/>
                <w:highlight w:val="none"/>
              </w:rPr>
              <w:t>39</w:t>
            </w:r>
          </w:p>
        </w:tc>
        <w:tc>
          <w:tcPr>
            <w:tcW w:w="1909" w:type="dxa"/>
            <w:tcBorders>
              <w:top w:val="single" w:color="auto" w:sz="4" w:space="0"/>
              <w:left w:val="nil"/>
              <w:bottom w:val="single" w:color="auto" w:sz="4" w:space="0"/>
              <w:right w:val="single" w:color="auto" w:sz="4" w:space="0"/>
            </w:tcBorders>
            <w:vAlign w:val="center"/>
          </w:tcPr>
          <w:p w14:paraId="6BDDE050">
            <w:pPr>
              <w:spacing w:line="312" w:lineRule="auto"/>
              <w:ind w:firstLine="372"/>
              <w:rPr>
                <w:rFonts w:ascii="宋体" w:hAnsi="宋体" w:cs="宋体"/>
                <w:sz w:val="24"/>
                <w:highlight w:val="none"/>
              </w:rPr>
            </w:pPr>
            <w:r>
              <w:rPr>
                <w:rFonts w:hint="eastAsia" w:ascii="宋体" w:hAnsi="宋体" w:cs="宋体"/>
                <w:sz w:val="24"/>
                <w:highlight w:val="none"/>
              </w:rPr>
              <w:t>重新招标</w:t>
            </w:r>
          </w:p>
        </w:tc>
        <w:tc>
          <w:tcPr>
            <w:tcW w:w="6887" w:type="dxa"/>
            <w:tcBorders>
              <w:top w:val="single" w:color="auto" w:sz="4" w:space="0"/>
              <w:left w:val="nil"/>
              <w:bottom w:val="single" w:color="auto" w:sz="4" w:space="0"/>
              <w:right w:val="single" w:color="auto" w:sz="4" w:space="0"/>
            </w:tcBorders>
            <w:vAlign w:val="center"/>
          </w:tcPr>
          <w:p w14:paraId="6000F534">
            <w:pPr>
              <w:tabs>
                <w:tab w:val="left" w:pos="1463"/>
              </w:tabs>
              <w:rPr>
                <w:rFonts w:ascii="宋体" w:hAnsi="宋体" w:cs="宋体"/>
                <w:sz w:val="24"/>
                <w:szCs w:val="20"/>
                <w:highlight w:val="none"/>
              </w:rPr>
            </w:pPr>
            <w:r>
              <w:rPr>
                <w:rFonts w:hint="eastAsia" w:ascii="宋体" w:hAnsi="宋体" w:cs="宋体"/>
                <w:sz w:val="24"/>
                <w:szCs w:val="20"/>
                <w:highlight w:val="none"/>
              </w:rPr>
              <w:t>出现下列情形之一的，采购人或者招标代理机构应当终止竞争性磋商活动，发布项目终止公告并说明原因，重新开展招标活动：</w:t>
            </w:r>
          </w:p>
          <w:p w14:paraId="007BD8E8">
            <w:pPr>
              <w:tabs>
                <w:tab w:val="left" w:pos="1463"/>
              </w:tabs>
              <w:rPr>
                <w:rFonts w:ascii="宋体" w:hAnsi="宋体" w:cs="宋体"/>
                <w:sz w:val="24"/>
                <w:szCs w:val="20"/>
                <w:highlight w:val="none"/>
              </w:rPr>
            </w:pPr>
            <w:r>
              <w:rPr>
                <w:rFonts w:hint="eastAsia" w:ascii="宋体" w:hAnsi="宋体" w:cs="宋体"/>
                <w:sz w:val="24"/>
                <w:szCs w:val="20"/>
                <w:highlight w:val="none"/>
              </w:rPr>
              <w:t>（一）因情况变化，不再符合规定的竞争性磋商采购方式适用情形的；</w:t>
            </w:r>
          </w:p>
          <w:p w14:paraId="4C94C016">
            <w:pPr>
              <w:tabs>
                <w:tab w:val="left" w:pos="1463"/>
              </w:tabs>
              <w:rPr>
                <w:rFonts w:ascii="宋体" w:hAnsi="宋体" w:cs="宋体"/>
                <w:sz w:val="24"/>
                <w:szCs w:val="20"/>
                <w:highlight w:val="none"/>
              </w:rPr>
            </w:pPr>
            <w:r>
              <w:rPr>
                <w:rFonts w:hint="eastAsia" w:ascii="宋体" w:hAnsi="宋体" w:cs="宋体"/>
                <w:sz w:val="24"/>
                <w:szCs w:val="20"/>
                <w:highlight w:val="none"/>
              </w:rPr>
              <w:t>（二）出现影响采购公正的违法、违规行为的；</w:t>
            </w:r>
          </w:p>
          <w:p w14:paraId="7F375EC1">
            <w:pPr>
              <w:tabs>
                <w:tab w:val="left" w:pos="1463"/>
              </w:tabs>
              <w:rPr>
                <w:rFonts w:ascii="宋体" w:hAnsi="宋体" w:cs="宋体"/>
                <w:sz w:val="24"/>
                <w:szCs w:val="20"/>
                <w:highlight w:val="none"/>
              </w:rPr>
            </w:pPr>
            <w:r>
              <w:rPr>
                <w:rFonts w:hint="eastAsia" w:ascii="宋体" w:hAnsi="宋体" w:cs="宋体"/>
                <w:sz w:val="24"/>
                <w:szCs w:val="20"/>
                <w:highlight w:val="none"/>
              </w:rPr>
              <w:t>（三）除《政府采购竞争性磋商采购方式管理暂行办法》第二十一条第三款规定的情形外，在采购过程中符合要求的供应商或者报价未超过采购预算的供应商不足3家的。</w:t>
            </w:r>
          </w:p>
        </w:tc>
      </w:tr>
      <w:tr w14:paraId="60FA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6AABA8B">
            <w:pPr>
              <w:spacing w:line="312" w:lineRule="auto"/>
              <w:jc w:val="center"/>
              <w:rPr>
                <w:rFonts w:ascii="宋体" w:hAnsi="宋体"/>
                <w:color w:val="000000"/>
                <w:sz w:val="24"/>
                <w:highlight w:val="none"/>
              </w:rPr>
            </w:pPr>
            <w:r>
              <w:rPr>
                <w:rFonts w:hint="eastAsia" w:ascii="宋体" w:hAnsi="宋体"/>
                <w:color w:val="000000"/>
                <w:sz w:val="24"/>
                <w:highlight w:val="none"/>
              </w:rPr>
              <w:t>40</w:t>
            </w:r>
          </w:p>
        </w:tc>
        <w:tc>
          <w:tcPr>
            <w:tcW w:w="1909" w:type="dxa"/>
            <w:tcBorders>
              <w:top w:val="single" w:color="auto" w:sz="4" w:space="0"/>
              <w:left w:val="nil"/>
              <w:bottom w:val="single" w:color="auto" w:sz="4" w:space="0"/>
              <w:right w:val="single" w:color="auto" w:sz="4" w:space="0"/>
            </w:tcBorders>
            <w:vAlign w:val="center"/>
          </w:tcPr>
          <w:p w14:paraId="73953AE4">
            <w:pPr>
              <w:jc w:val="left"/>
              <w:rPr>
                <w:rFonts w:ascii="宋体" w:hAnsi="宋体"/>
                <w:color w:val="000000"/>
                <w:sz w:val="24"/>
                <w:highlight w:val="none"/>
              </w:rPr>
            </w:pPr>
            <w:r>
              <w:rPr>
                <w:rFonts w:hint="eastAsia" w:ascii="宋体" w:hAnsi="宋体"/>
                <w:color w:val="000000"/>
                <w:sz w:val="24"/>
                <w:highlight w:val="none"/>
              </w:rPr>
              <w:t>竞争性磋商文件的解释</w:t>
            </w:r>
          </w:p>
        </w:tc>
        <w:tc>
          <w:tcPr>
            <w:tcW w:w="6887" w:type="dxa"/>
            <w:tcBorders>
              <w:top w:val="single" w:color="auto" w:sz="4" w:space="0"/>
              <w:left w:val="nil"/>
              <w:bottom w:val="single" w:color="auto" w:sz="4" w:space="0"/>
              <w:right w:val="single" w:color="auto" w:sz="4" w:space="0"/>
            </w:tcBorders>
            <w:vAlign w:val="center"/>
          </w:tcPr>
          <w:p w14:paraId="358A15B0">
            <w:pPr>
              <w:ind w:right="-153" w:rightChars="-73"/>
              <w:jc w:val="left"/>
              <w:rPr>
                <w:rFonts w:ascii="宋体" w:hAnsi="宋体"/>
                <w:color w:val="000000"/>
                <w:sz w:val="24"/>
                <w:highlight w:val="none"/>
              </w:rPr>
            </w:pPr>
            <w:r>
              <w:rPr>
                <w:rFonts w:hint="eastAsia" w:ascii="宋体" w:hAnsi="宋体"/>
                <w:color w:val="000000"/>
                <w:sz w:val="24"/>
                <w:highlight w:val="none"/>
              </w:rPr>
              <w:t>在符合相关法律法规的前题下，竞争性磋商文件的解释权归采购人所有。本竞争性磋商文件中其他部分内容与响应人须知前附表不一致的，以响应人须知前附表为准。</w:t>
            </w:r>
          </w:p>
        </w:tc>
      </w:tr>
      <w:tr w14:paraId="7D34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3A051DB">
            <w:pPr>
              <w:jc w:val="center"/>
              <w:rPr>
                <w:rFonts w:ascii="宋体" w:hAnsi="宋体"/>
                <w:b/>
                <w:bCs/>
                <w:color w:val="000000"/>
                <w:sz w:val="24"/>
                <w:highlight w:val="none"/>
              </w:rPr>
            </w:pPr>
            <w:r>
              <w:rPr>
                <w:rFonts w:hint="eastAsia" w:ascii="宋体" w:hAnsi="宋体"/>
                <w:color w:val="000000"/>
                <w:sz w:val="24"/>
                <w:highlight w:val="none"/>
              </w:rPr>
              <w:t>41</w:t>
            </w:r>
          </w:p>
        </w:tc>
        <w:tc>
          <w:tcPr>
            <w:tcW w:w="1909" w:type="dxa"/>
            <w:tcBorders>
              <w:top w:val="single" w:color="auto" w:sz="4" w:space="0"/>
              <w:left w:val="nil"/>
              <w:bottom w:val="single" w:color="auto" w:sz="4" w:space="0"/>
              <w:right w:val="single" w:color="auto" w:sz="4" w:space="0"/>
            </w:tcBorders>
            <w:vAlign w:val="center"/>
          </w:tcPr>
          <w:p w14:paraId="33244F6C">
            <w:pPr>
              <w:jc w:val="center"/>
              <w:rPr>
                <w:rFonts w:ascii="宋体" w:hAnsi="宋体"/>
                <w:color w:val="000000"/>
                <w:sz w:val="24"/>
                <w:highlight w:val="none"/>
              </w:rPr>
            </w:pPr>
            <w:r>
              <w:rPr>
                <w:rFonts w:hint="eastAsia" w:ascii="宋体" w:hAnsi="宋体"/>
                <w:color w:val="000000"/>
                <w:sz w:val="24"/>
                <w:highlight w:val="none"/>
              </w:rPr>
              <w:t>答疑</w:t>
            </w:r>
          </w:p>
        </w:tc>
        <w:tc>
          <w:tcPr>
            <w:tcW w:w="6887" w:type="dxa"/>
            <w:tcBorders>
              <w:top w:val="single" w:color="auto" w:sz="4" w:space="0"/>
              <w:left w:val="nil"/>
              <w:bottom w:val="single" w:color="auto" w:sz="4" w:space="0"/>
              <w:right w:val="single" w:color="auto" w:sz="4" w:space="0"/>
            </w:tcBorders>
            <w:vAlign w:val="center"/>
          </w:tcPr>
          <w:p w14:paraId="2F3FD254">
            <w:pPr>
              <w:ind w:right="-153" w:rightChars="-73"/>
              <w:jc w:val="left"/>
              <w:rPr>
                <w:rFonts w:ascii="宋体" w:hAnsi="宋体"/>
                <w:b/>
                <w:bCs/>
                <w:color w:val="000000"/>
                <w:sz w:val="24"/>
                <w:highlight w:val="none"/>
              </w:rPr>
            </w:pPr>
            <w:r>
              <w:rPr>
                <w:rFonts w:hint="eastAsia" w:ascii="宋体" w:hAnsi="宋体"/>
                <w:color w:val="000000"/>
                <w:sz w:val="24"/>
                <w:highlight w:val="none"/>
              </w:rPr>
              <w:t>需要解答的疑问以书面形式加盖单位公章递交至采购人或代理机构，逾期提交的问题概不做回复。采购人将需要解答的内容以公告形式发至所有潜在响应人。</w:t>
            </w:r>
          </w:p>
        </w:tc>
      </w:tr>
      <w:tr w14:paraId="1367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5619366">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42</w:t>
            </w:r>
          </w:p>
        </w:tc>
        <w:tc>
          <w:tcPr>
            <w:tcW w:w="1909" w:type="dxa"/>
            <w:tcBorders>
              <w:top w:val="single" w:color="auto" w:sz="4" w:space="0"/>
              <w:left w:val="nil"/>
              <w:bottom w:val="single" w:color="auto" w:sz="4" w:space="0"/>
              <w:right w:val="single" w:color="auto" w:sz="4" w:space="0"/>
            </w:tcBorders>
            <w:vAlign w:val="center"/>
          </w:tcPr>
          <w:p w14:paraId="60CEFA44">
            <w:pPr>
              <w:widowControl/>
              <w:spacing w:before="0" w:beforeLines="0" w:beforeAutospacing="0" w:after="0" w:afterLines="0" w:afterAutospacing="0" w:line="400" w:lineRule="exact"/>
              <w:ind w:left="0" w:leftChars="0" w:right="0" w:rightChars="0"/>
              <w:jc w:val="center"/>
              <w:rPr>
                <w:rFonts w:hint="eastAsia" w:ascii="宋体" w:hAnsi="宋体" w:eastAsia="宋体"/>
                <w:color w:val="000000"/>
                <w:sz w:val="24"/>
                <w:highlight w:val="none"/>
                <w:lang w:eastAsia="zh-CN"/>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政府采购政策</w:t>
            </w:r>
          </w:p>
        </w:tc>
        <w:tc>
          <w:tcPr>
            <w:tcW w:w="6887" w:type="dxa"/>
            <w:tcBorders>
              <w:top w:val="single" w:color="auto" w:sz="4" w:space="0"/>
              <w:left w:val="nil"/>
              <w:bottom w:val="single" w:color="auto" w:sz="4" w:space="0"/>
              <w:right w:val="single" w:color="auto" w:sz="4" w:space="0"/>
            </w:tcBorders>
            <w:vAlign w:val="center"/>
          </w:tcPr>
          <w:p w14:paraId="1875226C">
            <w:pPr>
              <w:widowControl/>
              <w:spacing w:before="0" w:beforeLines="0" w:beforeAutospacing="0" w:after="0" w:afterLines="0" w:afterAutospacing="0" w:line="400" w:lineRule="exact"/>
              <w:ind w:left="0" w:leftChars="0" w:right="0" w:rightChars="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落实中小企业、监狱企业、残疾人福利企业政府采购政策。</w:t>
            </w:r>
          </w:p>
          <w:p w14:paraId="50B006D3">
            <w:pPr>
              <w:widowControl/>
              <w:spacing w:before="0" w:beforeLines="0" w:beforeAutospacing="0" w:after="0" w:afterLines="0" w:afterAutospacing="0" w:line="400" w:lineRule="exact"/>
              <w:ind w:left="0" w:right="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本项目所属行业：</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农、林、牧、渔业</w:t>
            </w:r>
          </w:p>
          <w:p w14:paraId="6CE55DF3">
            <w:pPr>
              <w:widowControl/>
              <w:spacing w:before="0" w:beforeLines="0" w:beforeAutospacing="0" w:after="0" w:afterLines="0" w:afterAutospacing="0" w:line="400" w:lineRule="exact"/>
              <w:ind w:left="0" w:leftChars="0" w:right="0" w:rightChars="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67CE864F">
            <w:pPr>
              <w:widowControl/>
              <w:spacing w:before="0" w:beforeLines="0" w:beforeAutospacing="0" w:after="0" w:afterLines="0" w:afterAutospacing="0" w:line="400" w:lineRule="exact"/>
              <w:ind w:left="0" w:leftChars="0" w:right="0" w:rightChars="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3C6BA0AB">
            <w:pPr>
              <w:widowControl/>
              <w:spacing w:before="0" w:beforeLines="0" w:beforeAutospacing="0" w:after="0" w:afterLines="0" w:afterAutospacing="0" w:line="400" w:lineRule="exact"/>
              <w:ind w:left="0" w:leftChars="0" w:right="0" w:rightChars="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4C6307D9">
            <w:pPr>
              <w:widowControl/>
              <w:spacing w:before="0" w:beforeLines="0" w:beforeAutospacing="0" w:after="0" w:afterLines="0" w:afterAutospacing="0" w:line="400" w:lineRule="exact"/>
              <w:ind w:left="0" w:leftChars="0" w:right="0" w:rightChars="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p w14:paraId="0809720E">
            <w:pPr>
              <w:widowControl/>
              <w:spacing w:before="0" w:beforeLines="0" w:beforeAutospacing="0" w:after="0" w:afterLines="0" w:afterAutospacing="0" w:line="400" w:lineRule="exact"/>
              <w:ind w:left="0" w:leftChars="0" w:right="0" w:rightChars="0"/>
              <w:jc w:val="left"/>
              <w:rPr>
                <w:rFonts w:hint="eastAsia" w:ascii="宋体" w:hAnsi="宋体" w:eastAsia="宋体" w:cs="宋体"/>
                <w:color w:val="000000" w:themeColor="text1"/>
                <w:kern w:val="2"/>
                <w:sz w:val="24"/>
                <w:szCs w:val="24"/>
                <w:highlight w:val="none"/>
                <w14:textFill>
                  <w14:solidFill>
                    <w14:schemeClr w14:val="tx1"/>
                  </w14:solidFill>
                </w14:textFill>
              </w:rPr>
            </w:pPr>
          </w:p>
        </w:tc>
      </w:tr>
      <w:tr w14:paraId="25F9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792" w:type="dxa"/>
            <w:gridSpan w:val="3"/>
            <w:tcBorders>
              <w:top w:val="single" w:color="auto" w:sz="4" w:space="0"/>
              <w:left w:val="single" w:color="auto" w:sz="4" w:space="0"/>
              <w:bottom w:val="single" w:color="auto" w:sz="4" w:space="0"/>
              <w:right w:val="single" w:color="auto" w:sz="4" w:space="0"/>
            </w:tcBorders>
            <w:vAlign w:val="center"/>
          </w:tcPr>
          <w:p w14:paraId="10D19697">
            <w:pPr>
              <w:rPr>
                <w:rFonts w:ascii="宋体" w:hAnsi="宋体"/>
                <w:color w:val="000000"/>
                <w:sz w:val="24"/>
                <w:highlight w:val="none"/>
              </w:rPr>
            </w:pPr>
            <w:r>
              <w:rPr>
                <w:rFonts w:hint="eastAsia" w:ascii="宋体" w:hAnsi="宋体"/>
                <w:color w:val="000000"/>
                <w:sz w:val="24"/>
                <w:highlight w:val="none"/>
              </w:rPr>
              <w:t>4</w:t>
            </w:r>
            <w:r>
              <w:rPr>
                <w:rFonts w:hint="eastAsia" w:ascii="宋体" w:hAnsi="宋体"/>
                <w:color w:val="000000"/>
                <w:sz w:val="24"/>
                <w:highlight w:val="none"/>
                <w:lang w:val="en-US" w:eastAsia="zh-CN"/>
              </w:rPr>
              <w:t>3</w:t>
            </w:r>
            <w:r>
              <w:rPr>
                <w:rFonts w:hint="eastAsia" w:ascii="宋体" w:hAnsi="宋体"/>
                <w:color w:val="000000"/>
                <w:sz w:val="24"/>
                <w:highlight w:val="none"/>
              </w:rPr>
              <w:t xml:space="preserve"> 电子化交易注意事项</w:t>
            </w:r>
          </w:p>
        </w:tc>
      </w:tr>
      <w:tr w14:paraId="1724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31B6BF6">
            <w:pPr>
              <w:jc w:val="center"/>
              <w:rPr>
                <w:rFonts w:ascii="宋体" w:hAnsi="宋体"/>
                <w:color w:val="000000"/>
                <w:sz w:val="24"/>
                <w:highlight w:val="none"/>
              </w:rPr>
            </w:pPr>
          </w:p>
        </w:tc>
        <w:tc>
          <w:tcPr>
            <w:tcW w:w="8796" w:type="dxa"/>
            <w:gridSpan w:val="2"/>
            <w:tcBorders>
              <w:top w:val="single" w:color="auto" w:sz="4" w:space="0"/>
              <w:left w:val="nil"/>
              <w:bottom w:val="single" w:color="auto" w:sz="4" w:space="0"/>
              <w:right w:val="single" w:color="auto" w:sz="4" w:space="0"/>
            </w:tcBorders>
            <w:vAlign w:val="center"/>
          </w:tcPr>
          <w:p w14:paraId="097984FD">
            <w:pPr>
              <w:widowControl/>
              <w:snapToGrid w:val="0"/>
              <w:spacing w:line="460" w:lineRule="exact"/>
              <w:rPr>
                <w:rFonts w:ascii="宋体" w:hAnsi="宋体"/>
                <w:sz w:val="24"/>
                <w:highlight w:val="none"/>
              </w:rPr>
            </w:pPr>
            <w:r>
              <w:rPr>
                <w:rFonts w:hint="eastAsia" w:ascii="宋体" w:hAnsi="宋体"/>
                <w:sz w:val="24"/>
                <w:highlight w:val="none"/>
              </w:rPr>
              <w:t>本项目为电子化交易项目，响应性文件是供应商、供应商（以下简称“供应商”）通过中心响应性文件制作系统制作，并经过电子签章和加密后生成的电子版响应性文件。供应商投标时，不须提交纸质文件资料。</w:t>
            </w:r>
          </w:p>
          <w:p w14:paraId="11FA5B10">
            <w:pPr>
              <w:widowControl/>
              <w:snapToGrid w:val="0"/>
              <w:spacing w:line="460" w:lineRule="exact"/>
              <w:rPr>
                <w:rFonts w:ascii="宋体" w:hAnsi="宋体"/>
                <w:sz w:val="24"/>
                <w:highlight w:val="none"/>
              </w:rPr>
            </w:pPr>
            <w:r>
              <w:rPr>
                <w:rFonts w:hint="eastAsia" w:ascii="宋体" w:hAnsi="宋体"/>
                <w:sz w:val="24"/>
                <w:highlight w:val="none"/>
              </w:rPr>
              <w:t>电子化响应性文件具体制作教材请供应商通过CA证书登录三门峡市公共资源电子化交易系统在 “交易智库”中下载操作流程</w:t>
            </w:r>
          </w:p>
          <w:p w14:paraId="3553DA0A">
            <w:pPr>
              <w:widowControl/>
              <w:snapToGrid w:val="0"/>
              <w:spacing w:line="460" w:lineRule="exact"/>
              <w:rPr>
                <w:rFonts w:ascii="宋体" w:hAnsi="宋体"/>
                <w:sz w:val="24"/>
                <w:highlight w:val="none"/>
              </w:rPr>
            </w:pPr>
            <w:r>
              <w:rPr>
                <w:rFonts w:hint="eastAsia" w:ascii="宋体" w:hAnsi="宋体"/>
                <w:sz w:val="24"/>
                <w:highlight w:val="none"/>
              </w:rPr>
              <w:t>温馨提示：本项目为电子化、无纸化交易项目，供应商时不接受任何纸质资料，为保证您能投标成功，请需仔细阅读以下条款。</w:t>
            </w:r>
          </w:p>
          <w:p w14:paraId="3E1BA789">
            <w:pPr>
              <w:widowControl/>
              <w:snapToGrid w:val="0"/>
              <w:spacing w:line="460" w:lineRule="exact"/>
              <w:ind w:firstLine="573"/>
              <w:rPr>
                <w:rFonts w:ascii="宋体" w:hAnsi="宋体"/>
                <w:sz w:val="24"/>
                <w:highlight w:val="none"/>
              </w:rPr>
            </w:pPr>
            <w:r>
              <w:rPr>
                <w:rFonts w:hint="eastAsia" w:ascii="宋体" w:hAnsi="宋体"/>
                <w:sz w:val="24"/>
                <w:highlight w:val="none"/>
              </w:rPr>
              <w:t>一、电子化投标</w:t>
            </w:r>
          </w:p>
          <w:p w14:paraId="7E037690">
            <w:pPr>
              <w:widowControl/>
              <w:snapToGrid w:val="0"/>
              <w:spacing w:line="460" w:lineRule="exact"/>
              <w:ind w:firstLine="573"/>
              <w:rPr>
                <w:rFonts w:ascii="宋体" w:hAnsi="宋体"/>
                <w:sz w:val="24"/>
                <w:highlight w:val="none"/>
              </w:rPr>
            </w:pPr>
            <w:r>
              <w:rPr>
                <w:rFonts w:hint="eastAsia" w:ascii="宋体" w:hAnsi="宋体"/>
                <w:sz w:val="24"/>
                <w:highlight w:val="none"/>
              </w:rPr>
              <w:t>（一）电子化响应性文件的签章</w:t>
            </w:r>
          </w:p>
          <w:p w14:paraId="3B0EE35B">
            <w:pPr>
              <w:widowControl/>
              <w:snapToGrid w:val="0"/>
              <w:spacing w:line="460" w:lineRule="exact"/>
              <w:ind w:firstLine="573"/>
              <w:rPr>
                <w:rFonts w:ascii="宋体" w:hAnsi="宋体"/>
                <w:sz w:val="24"/>
                <w:highlight w:val="none"/>
              </w:rPr>
            </w:pPr>
            <w:r>
              <w:rPr>
                <w:rFonts w:hint="eastAsia" w:ascii="宋体" w:hAnsi="宋体"/>
                <w:sz w:val="24"/>
                <w:highlight w:val="none"/>
              </w:rPr>
              <w:t>1、供应商在生成电子化响应性文件后，应对电子化响应性文件进行签章，未进行签章的视为无效投标。</w:t>
            </w:r>
          </w:p>
          <w:p w14:paraId="7C310428">
            <w:pPr>
              <w:widowControl/>
              <w:snapToGrid w:val="0"/>
              <w:spacing w:line="460" w:lineRule="exact"/>
              <w:ind w:firstLine="573"/>
              <w:rPr>
                <w:rFonts w:ascii="宋体" w:hAnsi="宋体"/>
                <w:sz w:val="24"/>
                <w:highlight w:val="none"/>
              </w:rPr>
            </w:pPr>
            <w:r>
              <w:rPr>
                <w:rFonts w:hint="eastAsia" w:ascii="宋体" w:hAnsi="宋体"/>
                <w:sz w:val="24"/>
                <w:highlight w:val="none"/>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http://t.cn/A6ZvtVob进行下载。</w:t>
            </w:r>
          </w:p>
          <w:p w14:paraId="7C16A5FD">
            <w:pPr>
              <w:widowControl/>
              <w:snapToGrid w:val="0"/>
              <w:spacing w:line="460" w:lineRule="exact"/>
              <w:ind w:firstLine="573"/>
              <w:rPr>
                <w:rFonts w:ascii="宋体" w:hAnsi="宋体"/>
                <w:sz w:val="24"/>
                <w:highlight w:val="none"/>
              </w:rPr>
            </w:pPr>
            <w:r>
              <w:rPr>
                <w:rFonts w:hint="eastAsia" w:ascii="宋体" w:hAnsi="宋体"/>
                <w:sz w:val="24"/>
                <w:highlight w:val="none"/>
              </w:rPr>
              <w:t>（二）电子化响应性文件的格式及上传投标</w:t>
            </w:r>
          </w:p>
          <w:p w14:paraId="16CD5CF1">
            <w:pPr>
              <w:widowControl/>
              <w:snapToGrid w:val="0"/>
              <w:spacing w:line="460" w:lineRule="exact"/>
              <w:ind w:firstLine="573"/>
              <w:rPr>
                <w:rFonts w:ascii="宋体" w:hAnsi="宋体"/>
                <w:sz w:val="24"/>
                <w:highlight w:val="none"/>
              </w:rPr>
            </w:pPr>
            <w:r>
              <w:rPr>
                <w:rFonts w:hint="eastAsia" w:ascii="宋体" w:hAnsi="宋体"/>
                <w:sz w:val="24"/>
                <w:highlight w:val="none"/>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1D899C13">
            <w:pPr>
              <w:widowControl/>
              <w:snapToGrid w:val="0"/>
              <w:spacing w:line="460" w:lineRule="exact"/>
              <w:ind w:firstLine="573"/>
              <w:rPr>
                <w:rFonts w:ascii="宋体" w:hAnsi="宋体"/>
                <w:sz w:val="24"/>
                <w:highlight w:val="none"/>
              </w:rPr>
            </w:pPr>
            <w:r>
              <w:rPr>
                <w:rFonts w:hint="eastAsia" w:ascii="宋体" w:hAnsi="宋体"/>
                <w:sz w:val="24"/>
                <w:highlight w:val="none"/>
              </w:rPr>
              <w:t>注：供应商投报多个标段的，需要每个标段单独制作电子响应性文件。</w:t>
            </w:r>
          </w:p>
          <w:p w14:paraId="1CE00792">
            <w:pPr>
              <w:widowControl/>
              <w:snapToGrid w:val="0"/>
              <w:spacing w:line="460" w:lineRule="exact"/>
              <w:ind w:firstLine="573"/>
              <w:rPr>
                <w:rFonts w:ascii="宋体" w:hAnsi="宋体"/>
                <w:sz w:val="24"/>
                <w:highlight w:val="none"/>
              </w:rPr>
            </w:pPr>
            <w:r>
              <w:rPr>
                <w:rFonts w:hint="eastAsia" w:ascii="宋体" w:hAnsi="宋体"/>
                <w:sz w:val="24"/>
                <w:highlight w:val="none"/>
              </w:rPr>
              <w:t>2、电子化响应性文件应在投标截止时间前成功上传至三门峡市公共资源电子化交易系统。至投标截止时间止，仍未上传成功的电子化响应性文件将不予接收。</w:t>
            </w:r>
          </w:p>
          <w:p w14:paraId="72CA764F">
            <w:pPr>
              <w:widowControl/>
              <w:snapToGrid w:val="0"/>
              <w:spacing w:line="460" w:lineRule="exact"/>
              <w:ind w:firstLine="573"/>
              <w:rPr>
                <w:rFonts w:ascii="宋体" w:hAnsi="宋体"/>
                <w:sz w:val="24"/>
                <w:highlight w:val="none"/>
              </w:rPr>
            </w:pPr>
            <w:r>
              <w:rPr>
                <w:rFonts w:hint="eastAsia" w:ascii="宋体" w:hAnsi="宋体"/>
                <w:sz w:val="24"/>
                <w:highlight w:val="none"/>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3E2369CA">
            <w:pPr>
              <w:widowControl/>
              <w:snapToGrid w:val="0"/>
              <w:spacing w:line="460" w:lineRule="exact"/>
              <w:ind w:firstLine="573"/>
              <w:rPr>
                <w:rFonts w:ascii="宋体" w:hAnsi="宋体"/>
                <w:sz w:val="24"/>
                <w:highlight w:val="none"/>
              </w:rPr>
            </w:pPr>
            <w:r>
              <w:rPr>
                <w:rFonts w:hint="eastAsia" w:ascii="宋体" w:hAnsi="宋体"/>
                <w:sz w:val="24"/>
                <w:highlight w:val="none"/>
              </w:rPr>
              <w:t>技术联系电话：400-998-0000</w:t>
            </w:r>
          </w:p>
          <w:p w14:paraId="3ECA7181">
            <w:pPr>
              <w:widowControl/>
              <w:snapToGrid w:val="0"/>
              <w:spacing w:line="460" w:lineRule="exact"/>
              <w:ind w:firstLine="573"/>
              <w:rPr>
                <w:rFonts w:ascii="宋体" w:hAnsi="宋体"/>
                <w:sz w:val="24"/>
                <w:highlight w:val="none"/>
              </w:rPr>
            </w:pPr>
            <w:r>
              <w:rPr>
                <w:rFonts w:hint="eastAsia" w:ascii="宋体" w:hAnsi="宋体"/>
                <w:sz w:val="24"/>
                <w:highlight w:val="none"/>
              </w:rPr>
              <w:t>主体库咨询电话:0398-3117815</w:t>
            </w:r>
          </w:p>
          <w:p w14:paraId="55C596F2">
            <w:pPr>
              <w:widowControl/>
              <w:snapToGrid w:val="0"/>
              <w:spacing w:line="460" w:lineRule="exact"/>
              <w:ind w:firstLine="573"/>
              <w:rPr>
                <w:rFonts w:ascii="宋体" w:hAnsi="宋体"/>
                <w:sz w:val="24"/>
                <w:highlight w:val="none"/>
              </w:rPr>
            </w:pPr>
            <w:r>
              <w:rPr>
                <w:rFonts w:hint="eastAsia" w:ascii="宋体" w:hAnsi="宋体"/>
                <w:sz w:val="24"/>
                <w:highlight w:val="none"/>
              </w:rPr>
              <w:t>CA证书制发:0398-2181635</w:t>
            </w:r>
          </w:p>
          <w:p w14:paraId="35B0B001">
            <w:pPr>
              <w:widowControl/>
              <w:snapToGrid w:val="0"/>
              <w:spacing w:line="460" w:lineRule="exact"/>
              <w:ind w:firstLine="573"/>
              <w:rPr>
                <w:rFonts w:ascii="宋体" w:hAnsi="宋体"/>
                <w:sz w:val="24"/>
                <w:highlight w:val="none"/>
              </w:rPr>
            </w:pPr>
            <w:r>
              <w:rPr>
                <w:rFonts w:hint="eastAsia" w:ascii="宋体" w:hAnsi="宋体"/>
                <w:sz w:val="24"/>
                <w:highlight w:val="none"/>
              </w:rPr>
              <w:t>科技信息科:0398-3117095</w:t>
            </w:r>
          </w:p>
          <w:p w14:paraId="4372A8A7">
            <w:pPr>
              <w:widowControl/>
              <w:snapToGrid w:val="0"/>
              <w:spacing w:line="460" w:lineRule="exact"/>
              <w:ind w:firstLine="573"/>
              <w:rPr>
                <w:rFonts w:ascii="宋体" w:hAnsi="宋体"/>
                <w:sz w:val="24"/>
                <w:highlight w:val="none"/>
              </w:rPr>
            </w:pPr>
            <w:r>
              <w:rPr>
                <w:rFonts w:hint="eastAsia" w:ascii="宋体" w:hAnsi="宋体"/>
                <w:sz w:val="24"/>
                <w:highlight w:val="none"/>
              </w:rPr>
              <w:t>（三）电子化项目开标、解密、唱标、评标</w:t>
            </w:r>
          </w:p>
          <w:p w14:paraId="0EF08492">
            <w:pPr>
              <w:widowControl/>
              <w:snapToGrid w:val="0"/>
              <w:spacing w:line="460" w:lineRule="exact"/>
              <w:ind w:firstLine="573"/>
              <w:rPr>
                <w:rFonts w:ascii="宋体" w:hAnsi="宋体"/>
                <w:sz w:val="24"/>
                <w:highlight w:val="none"/>
              </w:rPr>
            </w:pPr>
            <w:r>
              <w:rPr>
                <w:rFonts w:hint="eastAsia" w:ascii="宋体" w:hAnsi="宋体"/>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454B2773">
            <w:pPr>
              <w:widowControl/>
              <w:snapToGrid w:val="0"/>
              <w:spacing w:line="460" w:lineRule="exact"/>
              <w:ind w:firstLine="573"/>
              <w:rPr>
                <w:rFonts w:ascii="宋体" w:hAnsi="宋体"/>
                <w:sz w:val="24"/>
                <w:highlight w:val="none"/>
              </w:rPr>
            </w:pPr>
            <w:r>
              <w:rPr>
                <w:rFonts w:hint="eastAsia" w:ascii="宋体" w:hAnsi="宋体"/>
                <w:sz w:val="24"/>
                <w:highlight w:val="none"/>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7488F37C">
            <w:pPr>
              <w:widowControl/>
              <w:snapToGrid w:val="0"/>
              <w:spacing w:line="460" w:lineRule="exact"/>
              <w:ind w:firstLine="573"/>
              <w:rPr>
                <w:rFonts w:ascii="宋体" w:hAnsi="宋体"/>
                <w:sz w:val="24"/>
                <w:highlight w:val="none"/>
              </w:rPr>
            </w:pPr>
            <w:r>
              <w:rPr>
                <w:rFonts w:hint="eastAsia" w:ascii="宋体" w:hAnsi="宋体"/>
                <w:sz w:val="24"/>
                <w:highlight w:val="none"/>
              </w:rPr>
              <w:t>3、电子化响应性文件解密异常的处理</w:t>
            </w:r>
          </w:p>
          <w:p w14:paraId="44B84A66">
            <w:pPr>
              <w:widowControl/>
              <w:snapToGrid w:val="0"/>
              <w:spacing w:line="460" w:lineRule="exact"/>
              <w:ind w:firstLine="573"/>
              <w:rPr>
                <w:rFonts w:ascii="宋体" w:hAnsi="宋体"/>
                <w:sz w:val="24"/>
                <w:highlight w:val="none"/>
              </w:rPr>
            </w:pPr>
            <w:r>
              <w:rPr>
                <w:rFonts w:hint="eastAsia" w:ascii="宋体" w:hAnsi="宋体"/>
                <w:sz w:val="24"/>
                <w:highlight w:val="none"/>
              </w:rPr>
              <w:t>如出现供应商的电子响应性文件无法解密等异常情况，供应商应及时致电中介服务机构说明。响应性文件异常，按以下步骤进行处理：</w:t>
            </w:r>
          </w:p>
          <w:p w14:paraId="2EC67606">
            <w:pPr>
              <w:widowControl/>
              <w:snapToGrid w:val="0"/>
              <w:spacing w:line="460" w:lineRule="exact"/>
              <w:ind w:firstLine="573"/>
              <w:rPr>
                <w:rFonts w:ascii="宋体" w:hAnsi="宋体"/>
                <w:sz w:val="24"/>
                <w:highlight w:val="none"/>
              </w:rPr>
            </w:pPr>
            <w:r>
              <w:rPr>
                <w:rFonts w:hint="eastAsia" w:ascii="宋体" w:hAnsi="宋体"/>
                <w:sz w:val="24"/>
                <w:highlight w:val="none"/>
              </w:rPr>
              <w:t>（1）首先由技术人员进行问题排查。</w:t>
            </w:r>
          </w:p>
          <w:p w14:paraId="34AA96AC">
            <w:pPr>
              <w:widowControl/>
              <w:snapToGrid w:val="0"/>
              <w:spacing w:line="460" w:lineRule="exact"/>
              <w:ind w:firstLine="573"/>
              <w:rPr>
                <w:rFonts w:ascii="宋体" w:hAnsi="宋体"/>
                <w:sz w:val="24"/>
                <w:highlight w:val="none"/>
              </w:rPr>
            </w:pPr>
            <w:r>
              <w:rPr>
                <w:rFonts w:hint="eastAsia" w:ascii="宋体" w:hAnsi="宋体"/>
                <w:sz w:val="24"/>
                <w:highlight w:val="none"/>
              </w:rPr>
              <w:t>（2）经技术人员排查后，是供应商文件自身问题导致响应性文件无法解密的，该响应性文件将不予接收、解密和唱标。开标会议继续进行。</w:t>
            </w:r>
          </w:p>
          <w:p w14:paraId="63DD4CDE">
            <w:pPr>
              <w:widowControl/>
              <w:snapToGrid w:val="0"/>
              <w:spacing w:line="460" w:lineRule="exact"/>
              <w:ind w:firstLine="573"/>
              <w:rPr>
                <w:rFonts w:ascii="宋体" w:hAnsi="宋体"/>
                <w:sz w:val="24"/>
                <w:highlight w:val="none"/>
              </w:rPr>
            </w:pPr>
            <w:r>
              <w:rPr>
                <w:rFonts w:hint="eastAsia" w:ascii="宋体" w:hAnsi="宋体"/>
                <w:sz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79338B95">
            <w:pPr>
              <w:widowControl/>
              <w:snapToGrid w:val="0"/>
              <w:spacing w:line="460" w:lineRule="exact"/>
              <w:ind w:firstLine="573"/>
              <w:rPr>
                <w:rFonts w:ascii="宋体" w:hAnsi="宋体"/>
                <w:sz w:val="24"/>
                <w:highlight w:val="none"/>
              </w:rPr>
            </w:pPr>
            <w:r>
              <w:rPr>
                <w:rFonts w:hint="eastAsia" w:ascii="宋体" w:hAnsi="宋体"/>
                <w:sz w:val="24"/>
                <w:highlight w:val="none"/>
              </w:rPr>
              <w:t>4、待所有供应商响应性文件解密完成后，由中介服务机构操作，对所有已解密响应性文件进行唱标。</w:t>
            </w:r>
          </w:p>
          <w:p w14:paraId="15607E86">
            <w:pPr>
              <w:widowControl/>
              <w:snapToGrid w:val="0"/>
              <w:spacing w:line="460" w:lineRule="exact"/>
              <w:ind w:firstLine="573"/>
              <w:rPr>
                <w:rFonts w:ascii="宋体" w:hAnsi="宋体"/>
                <w:sz w:val="24"/>
                <w:highlight w:val="none"/>
              </w:rPr>
            </w:pPr>
            <w:r>
              <w:rPr>
                <w:rFonts w:hint="eastAsia" w:ascii="宋体" w:hAnsi="宋体"/>
                <w:sz w:val="24"/>
                <w:highlight w:val="none"/>
              </w:rPr>
              <w:t>供应商应保证在开标期间电话、电脑、网络能够正常工作，供应商因停电、电脑病毒、网络堵塞等原因，未在规定的解密时间内对响应性文件进行解密的，其响应性文件不予接收、唱标。</w:t>
            </w:r>
          </w:p>
          <w:p w14:paraId="3E84A4B0">
            <w:pPr>
              <w:widowControl/>
              <w:snapToGrid w:val="0"/>
              <w:spacing w:line="460" w:lineRule="exact"/>
              <w:ind w:firstLine="573"/>
              <w:rPr>
                <w:rFonts w:ascii="宋体" w:hAnsi="宋体"/>
                <w:sz w:val="24"/>
                <w:highlight w:val="none"/>
              </w:rPr>
            </w:pPr>
            <w:r>
              <w:rPr>
                <w:rFonts w:hint="eastAsia" w:ascii="宋体" w:hAnsi="宋体"/>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EC7427D">
            <w:pPr>
              <w:widowControl/>
              <w:snapToGrid w:val="0"/>
              <w:spacing w:line="460" w:lineRule="exact"/>
              <w:ind w:firstLine="573"/>
              <w:rPr>
                <w:rFonts w:ascii="宋体" w:hAnsi="宋体"/>
                <w:sz w:val="24"/>
                <w:highlight w:val="none"/>
              </w:rPr>
            </w:pPr>
            <w:r>
              <w:rPr>
                <w:rFonts w:hint="eastAsia" w:ascii="宋体" w:hAnsi="宋体"/>
                <w:sz w:val="24"/>
                <w:highlight w:val="none"/>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C44CC7B">
            <w:pPr>
              <w:widowControl/>
              <w:snapToGrid w:val="0"/>
              <w:spacing w:line="460" w:lineRule="exact"/>
              <w:ind w:firstLine="573"/>
              <w:rPr>
                <w:rFonts w:ascii="宋体" w:hAnsi="宋体"/>
                <w:sz w:val="24"/>
                <w:highlight w:val="none"/>
              </w:rPr>
            </w:pPr>
            <w:r>
              <w:rPr>
                <w:rFonts w:hint="eastAsia" w:ascii="宋体" w:hAnsi="宋体"/>
                <w:sz w:val="24"/>
                <w:highlight w:val="none"/>
              </w:rPr>
              <w:t>7、如磋商小组对需要回复的供应商连续三次致电未接通的，视为供应商放弃回复，磋商小组将自行对需要回复的内容进行认定。</w:t>
            </w:r>
          </w:p>
          <w:p w14:paraId="4EE2CBF1">
            <w:pPr>
              <w:ind w:firstLine="480" w:firstLineChars="200"/>
              <w:rPr>
                <w:rFonts w:ascii="宋体" w:hAnsi="宋体"/>
                <w:b/>
                <w:bCs/>
                <w:color w:val="000000"/>
                <w:kern w:val="0"/>
                <w:sz w:val="24"/>
                <w:highlight w:val="none"/>
              </w:rPr>
            </w:pPr>
            <w:r>
              <w:rPr>
                <w:rFonts w:hint="eastAsia" w:ascii="宋体" w:hAnsi="宋体"/>
                <w:sz w:val="24"/>
                <w:highlight w:val="none"/>
              </w:rPr>
              <w:t>提示：本项目为电子化、无纸化交易项目，供应商时不再接受任何纸质资料，为保证您能投标成功，请需仔细阅读以上条款。</w:t>
            </w:r>
          </w:p>
        </w:tc>
      </w:tr>
    </w:tbl>
    <w:p w14:paraId="124E5164">
      <w:pPr>
        <w:pStyle w:val="43"/>
        <w:tabs>
          <w:tab w:val="left" w:pos="1341"/>
        </w:tabs>
        <w:autoSpaceDE w:val="0"/>
        <w:autoSpaceDN w:val="0"/>
        <w:ind w:firstLine="0" w:firstLineChars="0"/>
        <w:rPr>
          <w:rFonts w:ascii="宋体" w:hAnsi="宋体" w:cs="宋体"/>
          <w:b/>
          <w:bCs/>
          <w:spacing w:val="-1"/>
          <w:sz w:val="24"/>
          <w:highlight w:val="none"/>
        </w:rPr>
      </w:pPr>
      <w:bookmarkStart w:id="24" w:name="_Toc184635071"/>
      <w:bookmarkEnd w:id="24"/>
      <w:r>
        <w:rPr>
          <w:rFonts w:hint="eastAsia" w:ascii="宋体" w:hAnsi="宋体" w:cs="宋体"/>
          <w:b/>
          <w:bCs/>
          <w:spacing w:val="-1"/>
          <w:sz w:val="24"/>
          <w:highlight w:val="none"/>
        </w:rPr>
        <w:t>附件：招标代理服务收费参照豫招协[2023]002号河南省招标投标协会关于印发《河南省招标代理服务收费指导意见》规定的收费标准收取中标服务费。</w:t>
      </w:r>
    </w:p>
    <w:p w14:paraId="0AD9AC21">
      <w:pPr>
        <w:pStyle w:val="43"/>
        <w:tabs>
          <w:tab w:val="left" w:pos="1341"/>
        </w:tabs>
        <w:autoSpaceDE w:val="0"/>
        <w:autoSpaceDN w:val="0"/>
        <w:ind w:firstLine="717" w:firstLineChars="300"/>
        <w:rPr>
          <w:rFonts w:ascii="宋体" w:hAnsi="宋体" w:cs="宋体"/>
          <w:b/>
          <w:bCs/>
          <w:spacing w:val="-1"/>
          <w:sz w:val="24"/>
          <w:highlight w:val="none"/>
        </w:rPr>
      </w:pPr>
      <w:r>
        <w:rPr>
          <w:rFonts w:hint="eastAsia" w:ascii="宋体" w:hAnsi="宋体" w:cs="宋体"/>
          <w:b/>
          <w:bCs/>
          <w:spacing w:val="-1"/>
          <w:sz w:val="24"/>
          <w:highlight w:val="none"/>
        </w:rPr>
        <w:t>河南省招标代理服务费计算标准</w:t>
      </w:r>
    </w:p>
    <w:tbl>
      <w:tblPr>
        <w:tblStyle w:val="13"/>
        <w:tblpPr w:leftFromText="180" w:rightFromText="180" w:vertAnchor="text" w:horzAnchor="page" w:tblpX="1421" w:tblpY="481"/>
        <w:tblOverlap w:val="never"/>
        <w:tblW w:w="8780" w:type="dxa"/>
        <w:tblInd w:w="0" w:type="dxa"/>
        <w:tblLayout w:type="fixed"/>
        <w:tblCellMar>
          <w:top w:w="0" w:type="dxa"/>
          <w:left w:w="15" w:type="dxa"/>
          <w:bottom w:w="0" w:type="dxa"/>
          <w:right w:w="15" w:type="dxa"/>
        </w:tblCellMar>
      </w:tblPr>
      <w:tblGrid>
        <w:gridCol w:w="3994"/>
        <w:gridCol w:w="1642"/>
        <w:gridCol w:w="1433"/>
        <w:gridCol w:w="1711"/>
      </w:tblGrid>
      <w:tr w14:paraId="34BB9FD0">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546892E">
            <w:pPr>
              <w:autoSpaceDN w:val="0"/>
              <w:jc w:val="center"/>
              <w:textAlignment w:val="center"/>
              <w:rPr>
                <w:rFonts w:ascii="宋体" w:hAnsi="宋体"/>
                <w:sz w:val="24"/>
                <w:szCs w:val="18"/>
                <w:highlight w:val="none"/>
              </w:rPr>
            </w:pPr>
            <w:r>
              <w:rPr>
                <w:rFonts w:ascii="宋体" w:hAnsi="宋体"/>
                <w:sz w:val="24"/>
                <w:szCs w:val="18"/>
                <w:highlight w:val="none"/>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09CCD3F">
            <w:pPr>
              <w:autoSpaceDN w:val="0"/>
              <w:jc w:val="center"/>
              <w:textAlignment w:val="center"/>
              <w:rPr>
                <w:rFonts w:ascii="宋体" w:hAnsi="宋体"/>
                <w:sz w:val="24"/>
                <w:szCs w:val="18"/>
                <w:highlight w:val="none"/>
              </w:rPr>
            </w:pPr>
            <w:r>
              <w:rPr>
                <w:rFonts w:ascii="宋体" w:hAnsi="宋体"/>
                <w:sz w:val="24"/>
                <w:szCs w:val="18"/>
                <w:highlight w:val="none"/>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B848401">
            <w:pPr>
              <w:autoSpaceDN w:val="0"/>
              <w:jc w:val="center"/>
              <w:textAlignment w:val="center"/>
              <w:rPr>
                <w:rFonts w:ascii="宋体" w:hAnsi="宋体"/>
                <w:sz w:val="24"/>
                <w:szCs w:val="18"/>
                <w:highlight w:val="none"/>
              </w:rPr>
            </w:pPr>
            <w:r>
              <w:rPr>
                <w:rFonts w:ascii="宋体" w:hAnsi="宋体"/>
                <w:sz w:val="24"/>
                <w:szCs w:val="18"/>
                <w:highlight w:val="none"/>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53C89AD">
            <w:pPr>
              <w:autoSpaceDN w:val="0"/>
              <w:jc w:val="center"/>
              <w:textAlignment w:val="center"/>
              <w:rPr>
                <w:rFonts w:ascii="宋体" w:hAnsi="宋体"/>
                <w:sz w:val="24"/>
                <w:szCs w:val="18"/>
                <w:highlight w:val="none"/>
              </w:rPr>
            </w:pPr>
            <w:r>
              <w:rPr>
                <w:rFonts w:ascii="宋体" w:hAnsi="宋体"/>
                <w:sz w:val="24"/>
                <w:szCs w:val="18"/>
                <w:highlight w:val="none"/>
              </w:rPr>
              <w:t>服务</w:t>
            </w:r>
          </w:p>
        </w:tc>
      </w:tr>
      <w:tr w14:paraId="419701ED">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0C2ABBB">
            <w:pPr>
              <w:autoSpaceDN w:val="0"/>
              <w:jc w:val="left"/>
              <w:textAlignment w:val="center"/>
              <w:rPr>
                <w:rFonts w:ascii="宋体" w:hAnsi="宋体"/>
                <w:sz w:val="24"/>
                <w:szCs w:val="18"/>
                <w:highlight w:val="none"/>
              </w:rPr>
            </w:pPr>
            <w:r>
              <w:rPr>
                <w:rFonts w:ascii="宋体" w:hAnsi="宋体"/>
                <w:sz w:val="24"/>
                <w:szCs w:val="18"/>
                <w:highlight w:val="none"/>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EC9D8BF">
            <w:pPr>
              <w:autoSpaceDN w:val="0"/>
              <w:jc w:val="center"/>
              <w:textAlignment w:val="center"/>
              <w:rPr>
                <w:rFonts w:ascii="宋体" w:hAnsi="宋体"/>
                <w:sz w:val="24"/>
                <w:szCs w:val="18"/>
                <w:highlight w:val="none"/>
              </w:rPr>
            </w:pPr>
            <w:r>
              <w:rPr>
                <w:rFonts w:ascii="宋体" w:hAnsi="宋体"/>
                <w:sz w:val="24"/>
                <w:szCs w:val="18"/>
                <w:highlight w:val="none"/>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F1136E1">
            <w:pPr>
              <w:autoSpaceDN w:val="0"/>
              <w:jc w:val="center"/>
              <w:textAlignment w:val="center"/>
              <w:rPr>
                <w:rFonts w:ascii="宋体" w:hAnsi="宋体"/>
                <w:sz w:val="24"/>
                <w:szCs w:val="18"/>
                <w:highlight w:val="none"/>
              </w:rPr>
            </w:pPr>
            <w:r>
              <w:rPr>
                <w:rFonts w:ascii="宋体" w:hAnsi="宋体"/>
                <w:sz w:val="24"/>
                <w:szCs w:val="18"/>
                <w:highlight w:val="none"/>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2680226">
            <w:pPr>
              <w:autoSpaceDN w:val="0"/>
              <w:jc w:val="center"/>
              <w:textAlignment w:val="center"/>
              <w:rPr>
                <w:rFonts w:ascii="宋体" w:hAnsi="宋体"/>
                <w:sz w:val="24"/>
                <w:szCs w:val="18"/>
                <w:highlight w:val="none"/>
              </w:rPr>
            </w:pPr>
            <w:r>
              <w:rPr>
                <w:rFonts w:ascii="宋体" w:hAnsi="宋体"/>
                <w:sz w:val="24"/>
                <w:szCs w:val="18"/>
                <w:highlight w:val="none"/>
              </w:rPr>
              <w:t>1.70%</w:t>
            </w:r>
          </w:p>
        </w:tc>
      </w:tr>
      <w:tr w14:paraId="7E3B94C6">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7B3B40F">
            <w:pPr>
              <w:autoSpaceDN w:val="0"/>
              <w:jc w:val="left"/>
              <w:textAlignment w:val="center"/>
              <w:rPr>
                <w:rFonts w:ascii="宋体" w:hAnsi="宋体"/>
                <w:sz w:val="24"/>
                <w:szCs w:val="18"/>
                <w:highlight w:val="none"/>
              </w:rPr>
            </w:pPr>
            <w:r>
              <w:rPr>
                <w:rFonts w:ascii="宋体" w:hAnsi="宋体"/>
                <w:sz w:val="24"/>
                <w:szCs w:val="18"/>
                <w:highlight w:val="none"/>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FAEDCE3">
            <w:pPr>
              <w:autoSpaceDN w:val="0"/>
              <w:jc w:val="center"/>
              <w:textAlignment w:val="center"/>
              <w:rPr>
                <w:rFonts w:ascii="宋体" w:hAnsi="宋体"/>
                <w:sz w:val="24"/>
                <w:szCs w:val="18"/>
                <w:highlight w:val="none"/>
              </w:rPr>
            </w:pPr>
            <w:r>
              <w:rPr>
                <w:rFonts w:ascii="宋体" w:hAnsi="宋体"/>
                <w:sz w:val="24"/>
                <w:szCs w:val="18"/>
                <w:highlight w:val="none"/>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68489C9">
            <w:pPr>
              <w:autoSpaceDN w:val="0"/>
              <w:jc w:val="center"/>
              <w:textAlignment w:val="center"/>
              <w:rPr>
                <w:rFonts w:ascii="宋体" w:hAnsi="宋体"/>
                <w:sz w:val="24"/>
                <w:szCs w:val="18"/>
                <w:highlight w:val="none"/>
              </w:rPr>
            </w:pPr>
            <w:r>
              <w:rPr>
                <w:rFonts w:ascii="宋体" w:hAnsi="宋体"/>
                <w:sz w:val="24"/>
                <w:szCs w:val="18"/>
                <w:highlight w:val="none"/>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7005B6">
            <w:pPr>
              <w:autoSpaceDN w:val="0"/>
              <w:jc w:val="center"/>
              <w:textAlignment w:val="center"/>
              <w:rPr>
                <w:rFonts w:ascii="宋体" w:hAnsi="宋体"/>
                <w:sz w:val="24"/>
                <w:szCs w:val="18"/>
                <w:highlight w:val="none"/>
              </w:rPr>
            </w:pPr>
            <w:r>
              <w:rPr>
                <w:rFonts w:ascii="宋体" w:hAnsi="宋体"/>
                <w:sz w:val="24"/>
                <w:szCs w:val="18"/>
                <w:highlight w:val="none"/>
              </w:rPr>
              <w:t>1.20%</w:t>
            </w:r>
          </w:p>
        </w:tc>
      </w:tr>
      <w:tr w14:paraId="2584BDA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3BEEAC8">
            <w:pPr>
              <w:autoSpaceDN w:val="0"/>
              <w:jc w:val="left"/>
              <w:textAlignment w:val="center"/>
              <w:rPr>
                <w:rFonts w:ascii="宋体" w:hAnsi="宋体"/>
                <w:sz w:val="24"/>
                <w:szCs w:val="18"/>
                <w:highlight w:val="none"/>
              </w:rPr>
            </w:pPr>
            <w:r>
              <w:rPr>
                <w:rFonts w:ascii="宋体" w:hAnsi="宋体"/>
                <w:sz w:val="24"/>
                <w:szCs w:val="18"/>
                <w:highlight w:val="none"/>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53579A6">
            <w:pPr>
              <w:autoSpaceDN w:val="0"/>
              <w:jc w:val="center"/>
              <w:textAlignment w:val="center"/>
              <w:rPr>
                <w:rFonts w:ascii="宋体" w:hAnsi="宋体"/>
                <w:sz w:val="24"/>
                <w:szCs w:val="18"/>
                <w:highlight w:val="none"/>
              </w:rPr>
            </w:pPr>
            <w:r>
              <w:rPr>
                <w:rFonts w:ascii="宋体" w:hAnsi="宋体"/>
                <w:sz w:val="24"/>
                <w:szCs w:val="18"/>
                <w:highlight w:val="none"/>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337D39">
            <w:pPr>
              <w:autoSpaceDN w:val="0"/>
              <w:jc w:val="center"/>
              <w:textAlignment w:val="center"/>
              <w:rPr>
                <w:rFonts w:ascii="宋体" w:hAnsi="宋体"/>
                <w:sz w:val="24"/>
                <w:szCs w:val="18"/>
                <w:highlight w:val="none"/>
              </w:rPr>
            </w:pPr>
            <w:r>
              <w:rPr>
                <w:rFonts w:ascii="宋体" w:hAnsi="宋体"/>
                <w:sz w:val="24"/>
                <w:szCs w:val="18"/>
                <w:highlight w:val="none"/>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739FEBE">
            <w:pPr>
              <w:autoSpaceDN w:val="0"/>
              <w:jc w:val="center"/>
              <w:textAlignment w:val="center"/>
              <w:rPr>
                <w:rFonts w:ascii="宋体" w:hAnsi="宋体"/>
                <w:sz w:val="24"/>
                <w:szCs w:val="18"/>
                <w:highlight w:val="none"/>
              </w:rPr>
            </w:pPr>
            <w:r>
              <w:rPr>
                <w:rFonts w:ascii="宋体" w:hAnsi="宋体"/>
                <w:sz w:val="24"/>
                <w:szCs w:val="18"/>
                <w:highlight w:val="none"/>
              </w:rPr>
              <w:t>0.70%</w:t>
            </w:r>
          </w:p>
        </w:tc>
      </w:tr>
      <w:tr w14:paraId="74CAD76C">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77A65EB">
            <w:pPr>
              <w:autoSpaceDN w:val="0"/>
              <w:jc w:val="left"/>
              <w:textAlignment w:val="center"/>
              <w:rPr>
                <w:rFonts w:ascii="宋体" w:hAnsi="宋体"/>
                <w:sz w:val="24"/>
                <w:szCs w:val="18"/>
                <w:highlight w:val="none"/>
              </w:rPr>
            </w:pPr>
            <w:r>
              <w:rPr>
                <w:rFonts w:ascii="宋体" w:hAnsi="宋体"/>
                <w:sz w:val="24"/>
                <w:szCs w:val="18"/>
                <w:highlight w:val="none"/>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03C2EB4">
            <w:pPr>
              <w:autoSpaceDN w:val="0"/>
              <w:jc w:val="center"/>
              <w:textAlignment w:val="center"/>
              <w:rPr>
                <w:rFonts w:ascii="宋体" w:hAnsi="宋体"/>
                <w:sz w:val="24"/>
                <w:szCs w:val="18"/>
                <w:highlight w:val="none"/>
              </w:rPr>
            </w:pPr>
            <w:r>
              <w:rPr>
                <w:rFonts w:ascii="宋体" w:hAnsi="宋体"/>
                <w:sz w:val="24"/>
                <w:szCs w:val="18"/>
                <w:highlight w:val="none"/>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93B1A5F">
            <w:pPr>
              <w:autoSpaceDN w:val="0"/>
              <w:jc w:val="center"/>
              <w:textAlignment w:val="center"/>
              <w:rPr>
                <w:rFonts w:ascii="宋体" w:hAnsi="宋体"/>
                <w:sz w:val="24"/>
                <w:szCs w:val="18"/>
                <w:highlight w:val="none"/>
              </w:rPr>
            </w:pPr>
            <w:r>
              <w:rPr>
                <w:rFonts w:ascii="宋体" w:hAnsi="宋体"/>
                <w:sz w:val="24"/>
                <w:szCs w:val="18"/>
                <w:highlight w:val="none"/>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A7E5D97">
            <w:pPr>
              <w:autoSpaceDN w:val="0"/>
              <w:jc w:val="center"/>
              <w:textAlignment w:val="center"/>
              <w:rPr>
                <w:rFonts w:ascii="宋体" w:hAnsi="宋体"/>
                <w:sz w:val="24"/>
                <w:szCs w:val="18"/>
                <w:highlight w:val="none"/>
              </w:rPr>
            </w:pPr>
            <w:r>
              <w:rPr>
                <w:rFonts w:ascii="宋体" w:hAnsi="宋体"/>
                <w:sz w:val="24"/>
                <w:szCs w:val="18"/>
                <w:highlight w:val="none"/>
              </w:rPr>
              <w:t>0.40%</w:t>
            </w:r>
          </w:p>
        </w:tc>
      </w:tr>
      <w:tr w14:paraId="4CE1BE53">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90CA007">
            <w:pPr>
              <w:autoSpaceDN w:val="0"/>
              <w:jc w:val="left"/>
              <w:textAlignment w:val="center"/>
              <w:rPr>
                <w:rFonts w:ascii="宋体" w:hAnsi="宋体"/>
                <w:sz w:val="24"/>
                <w:szCs w:val="18"/>
                <w:highlight w:val="none"/>
              </w:rPr>
            </w:pPr>
            <w:r>
              <w:rPr>
                <w:rFonts w:ascii="宋体" w:hAnsi="宋体"/>
                <w:sz w:val="24"/>
                <w:szCs w:val="18"/>
                <w:highlight w:val="none"/>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A650FE9">
            <w:pPr>
              <w:autoSpaceDN w:val="0"/>
              <w:jc w:val="center"/>
              <w:textAlignment w:val="center"/>
              <w:rPr>
                <w:rFonts w:ascii="宋体" w:hAnsi="宋体"/>
                <w:sz w:val="24"/>
                <w:szCs w:val="18"/>
                <w:highlight w:val="none"/>
              </w:rPr>
            </w:pPr>
            <w:r>
              <w:rPr>
                <w:rFonts w:ascii="宋体" w:hAnsi="宋体"/>
                <w:sz w:val="24"/>
                <w:szCs w:val="18"/>
                <w:highlight w:val="none"/>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4FAB3FA">
            <w:pPr>
              <w:autoSpaceDN w:val="0"/>
              <w:jc w:val="center"/>
              <w:textAlignment w:val="center"/>
              <w:rPr>
                <w:rFonts w:ascii="宋体" w:hAnsi="宋体"/>
                <w:sz w:val="24"/>
                <w:szCs w:val="18"/>
                <w:highlight w:val="none"/>
              </w:rPr>
            </w:pPr>
            <w:r>
              <w:rPr>
                <w:rFonts w:ascii="宋体" w:hAnsi="宋体"/>
                <w:sz w:val="24"/>
                <w:szCs w:val="18"/>
                <w:highlight w:val="none"/>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F07F2EE">
            <w:pPr>
              <w:autoSpaceDN w:val="0"/>
              <w:jc w:val="center"/>
              <w:textAlignment w:val="center"/>
              <w:rPr>
                <w:rFonts w:ascii="宋体" w:hAnsi="宋体"/>
                <w:sz w:val="24"/>
                <w:szCs w:val="18"/>
                <w:highlight w:val="none"/>
              </w:rPr>
            </w:pPr>
            <w:r>
              <w:rPr>
                <w:rFonts w:ascii="宋体" w:hAnsi="宋体"/>
                <w:sz w:val="24"/>
                <w:szCs w:val="18"/>
                <w:highlight w:val="none"/>
              </w:rPr>
              <w:t>0.25%</w:t>
            </w:r>
          </w:p>
        </w:tc>
      </w:tr>
      <w:tr w14:paraId="61C6A6AA">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35C85A">
            <w:pPr>
              <w:autoSpaceDN w:val="0"/>
              <w:jc w:val="left"/>
              <w:textAlignment w:val="center"/>
              <w:rPr>
                <w:rFonts w:ascii="宋体" w:hAnsi="宋体"/>
                <w:sz w:val="24"/>
                <w:szCs w:val="18"/>
                <w:highlight w:val="none"/>
              </w:rPr>
            </w:pPr>
            <w:r>
              <w:rPr>
                <w:rFonts w:ascii="宋体" w:hAnsi="宋体"/>
                <w:sz w:val="24"/>
                <w:szCs w:val="18"/>
                <w:highlight w:val="none"/>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8388CAE">
            <w:pPr>
              <w:autoSpaceDN w:val="0"/>
              <w:jc w:val="center"/>
              <w:textAlignment w:val="center"/>
              <w:rPr>
                <w:rFonts w:ascii="宋体" w:hAnsi="宋体"/>
                <w:sz w:val="24"/>
                <w:szCs w:val="18"/>
                <w:highlight w:val="none"/>
              </w:rPr>
            </w:pPr>
            <w:r>
              <w:rPr>
                <w:rFonts w:ascii="宋体" w:hAnsi="宋体"/>
                <w:sz w:val="24"/>
                <w:szCs w:val="18"/>
                <w:highlight w:val="none"/>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777FF86">
            <w:pPr>
              <w:autoSpaceDN w:val="0"/>
              <w:jc w:val="center"/>
              <w:textAlignment w:val="center"/>
              <w:rPr>
                <w:rFonts w:ascii="宋体" w:hAnsi="宋体"/>
                <w:sz w:val="24"/>
                <w:szCs w:val="18"/>
                <w:highlight w:val="none"/>
              </w:rPr>
            </w:pPr>
            <w:r>
              <w:rPr>
                <w:rFonts w:ascii="宋体" w:hAnsi="宋体"/>
                <w:sz w:val="24"/>
                <w:szCs w:val="18"/>
                <w:highlight w:val="none"/>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C122F4">
            <w:pPr>
              <w:autoSpaceDN w:val="0"/>
              <w:jc w:val="center"/>
              <w:textAlignment w:val="center"/>
              <w:rPr>
                <w:rFonts w:ascii="宋体" w:hAnsi="宋体"/>
                <w:sz w:val="24"/>
                <w:szCs w:val="18"/>
                <w:highlight w:val="none"/>
              </w:rPr>
            </w:pPr>
            <w:r>
              <w:rPr>
                <w:rFonts w:ascii="宋体" w:hAnsi="宋体"/>
                <w:sz w:val="24"/>
                <w:szCs w:val="18"/>
                <w:highlight w:val="none"/>
              </w:rPr>
              <w:t>0.10%</w:t>
            </w:r>
          </w:p>
        </w:tc>
      </w:tr>
      <w:tr w14:paraId="38D794F0">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66553056">
            <w:pPr>
              <w:autoSpaceDN w:val="0"/>
              <w:jc w:val="left"/>
              <w:textAlignment w:val="center"/>
              <w:rPr>
                <w:rFonts w:ascii="宋体" w:hAnsi="宋体"/>
                <w:sz w:val="24"/>
                <w:szCs w:val="18"/>
                <w:highlight w:val="none"/>
              </w:rPr>
            </w:pPr>
            <w:r>
              <w:rPr>
                <w:rFonts w:ascii="宋体" w:hAnsi="宋体"/>
                <w:sz w:val="24"/>
                <w:szCs w:val="18"/>
                <w:highlight w:val="none"/>
              </w:rPr>
              <w:t>5亿--10亿元（含10亿元）</w:t>
            </w:r>
          </w:p>
        </w:tc>
        <w:tc>
          <w:tcPr>
            <w:tcW w:w="1642" w:type="dxa"/>
            <w:tcBorders>
              <w:top w:val="single" w:color="000000" w:sz="4" w:space="0"/>
              <w:left w:val="single" w:color="000000" w:sz="4" w:space="0"/>
              <w:right w:val="single" w:color="000000" w:sz="4" w:space="0"/>
            </w:tcBorders>
            <w:noWrap w:val="0"/>
            <w:vAlign w:val="center"/>
          </w:tcPr>
          <w:p w14:paraId="0D40BD9C">
            <w:pPr>
              <w:autoSpaceDN w:val="0"/>
              <w:jc w:val="center"/>
              <w:textAlignment w:val="center"/>
              <w:rPr>
                <w:rFonts w:ascii="宋体" w:hAnsi="宋体"/>
                <w:sz w:val="24"/>
                <w:szCs w:val="18"/>
                <w:highlight w:val="none"/>
              </w:rPr>
            </w:pPr>
            <w:r>
              <w:rPr>
                <w:rFonts w:ascii="宋体" w:hAnsi="宋体"/>
                <w:sz w:val="24"/>
                <w:szCs w:val="18"/>
                <w:highlight w:val="none"/>
              </w:rPr>
              <w:t>0.045%</w:t>
            </w:r>
          </w:p>
        </w:tc>
        <w:tc>
          <w:tcPr>
            <w:tcW w:w="1433" w:type="dxa"/>
            <w:tcBorders>
              <w:top w:val="single" w:color="000000" w:sz="4" w:space="0"/>
              <w:left w:val="single" w:color="000000" w:sz="4" w:space="0"/>
              <w:right w:val="single" w:color="000000" w:sz="4" w:space="0"/>
            </w:tcBorders>
            <w:noWrap w:val="0"/>
            <w:vAlign w:val="center"/>
          </w:tcPr>
          <w:p w14:paraId="577491BB">
            <w:pPr>
              <w:autoSpaceDN w:val="0"/>
              <w:jc w:val="center"/>
              <w:textAlignment w:val="center"/>
              <w:rPr>
                <w:rFonts w:ascii="宋体" w:hAnsi="宋体"/>
                <w:sz w:val="24"/>
                <w:szCs w:val="18"/>
                <w:highlight w:val="none"/>
              </w:rPr>
            </w:pPr>
            <w:r>
              <w:rPr>
                <w:rFonts w:ascii="宋体" w:hAnsi="宋体"/>
                <w:sz w:val="24"/>
                <w:szCs w:val="18"/>
                <w:highlight w:val="none"/>
              </w:rPr>
              <w:t>0.045%</w:t>
            </w:r>
          </w:p>
        </w:tc>
        <w:tc>
          <w:tcPr>
            <w:tcW w:w="1711" w:type="dxa"/>
            <w:tcBorders>
              <w:top w:val="single" w:color="000000" w:sz="4" w:space="0"/>
              <w:left w:val="single" w:color="000000" w:sz="4" w:space="0"/>
              <w:right w:val="single" w:color="000000" w:sz="4" w:space="0"/>
            </w:tcBorders>
            <w:noWrap w:val="0"/>
            <w:vAlign w:val="center"/>
          </w:tcPr>
          <w:p w14:paraId="22491CD7">
            <w:pPr>
              <w:autoSpaceDN w:val="0"/>
              <w:jc w:val="center"/>
              <w:textAlignment w:val="center"/>
              <w:rPr>
                <w:rFonts w:ascii="宋体" w:hAnsi="宋体"/>
                <w:sz w:val="24"/>
                <w:szCs w:val="18"/>
                <w:highlight w:val="none"/>
              </w:rPr>
            </w:pPr>
            <w:r>
              <w:rPr>
                <w:rFonts w:ascii="宋体" w:hAnsi="宋体"/>
                <w:sz w:val="24"/>
                <w:szCs w:val="18"/>
                <w:highlight w:val="none"/>
              </w:rPr>
              <w:t>0.045%</w:t>
            </w:r>
          </w:p>
        </w:tc>
      </w:tr>
      <w:tr w14:paraId="32F33429">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10B065A">
            <w:pPr>
              <w:autoSpaceDN w:val="0"/>
              <w:jc w:val="left"/>
              <w:textAlignment w:val="center"/>
              <w:rPr>
                <w:rFonts w:ascii="宋体" w:hAnsi="宋体"/>
                <w:sz w:val="24"/>
                <w:szCs w:val="18"/>
                <w:highlight w:val="none"/>
              </w:rPr>
            </w:pPr>
            <w:r>
              <w:rPr>
                <w:rFonts w:ascii="宋体" w:hAnsi="宋体"/>
                <w:sz w:val="24"/>
                <w:szCs w:val="18"/>
                <w:highlight w:val="none"/>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D864F78">
            <w:pPr>
              <w:autoSpaceDN w:val="0"/>
              <w:jc w:val="center"/>
              <w:textAlignment w:val="center"/>
              <w:rPr>
                <w:rFonts w:ascii="宋体" w:hAnsi="宋体"/>
                <w:sz w:val="24"/>
                <w:szCs w:val="18"/>
                <w:highlight w:val="none"/>
              </w:rPr>
            </w:pPr>
            <w:r>
              <w:rPr>
                <w:rFonts w:ascii="宋体" w:hAnsi="宋体"/>
                <w:sz w:val="24"/>
                <w:szCs w:val="18"/>
                <w:highlight w:val="none"/>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B18BAC">
            <w:pPr>
              <w:autoSpaceDN w:val="0"/>
              <w:jc w:val="center"/>
              <w:textAlignment w:val="center"/>
              <w:rPr>
                <w:rFonts w:ascii="宋体" w:hAnsi="宋体"/>
                <w:sz w:val="24"/>
                <w:szCs w:val="18"/>
                <w:highlight w:val="none"/>
              </w:rPr>
            </w:pPr>
            <w:r>
              <w:rPr>
                <w:rFonts w:ascii="宋体" w:hAnsi="宋体"/>
                <w:sz w:val="24"/>
                <w:szCs w:val="18"/>
                <w:highlight w:val="none"/>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B5A4394">
            <w:pPr>
              <w:autoSpaceDN w:val="0"/>
              <w:jc w:val="center"/>
              <w:textAlignment w:val="center"/>
              <w:rPr>
                <w:rFonts w:ascii="宋体" w:hAnsi="宋体"/>
                <w:sz w:val="24"/>
                <w:szCs w:val="18"/>
                <w:highlight w:val="none"/>
              </w:rPr>
            </w:pPr>
            <w:r>
              <w:rPr>
                <w:rFonts w:ascii="宋体" w:hAnsi="宋体"/>
                <w:sz w:val="24"/>
                <w:szCs w:val="18"/>
                <w:highlight w:val="none"/>
              </w:rPr>
              <w:t>0.010%</w:t>
            </w:r>
          </w:p>
        </w:tc>
      </w:tr>
      <w:tr w14:paraId="52842DB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3903A3B">
            <w:pPr>
              <w:autoSpaceDN w:val="0"/>
              <w:jc w:val="left"/>
              <w:textAlignment w:val="center"/>
              <w:rPr>
                <w:rFonts w:ascii="宋体" w:hAnsi="宋体"/>
                <w:sz w:val="24"/>
                <w:szCs w:val="18"/>
                <w:highlight w:val="none"/>
              </w:rPr>
            </w:pPr>
            <w:r>
              <w:rPr>
                <w:rFonts w:ascii="宋体" w:hAnsi="宋体"/>
                <w:sz w:val="24"/>
                <w:szCs w:val="18"/>
                <w:highlight w:val="none"/>
              </w:rPr>
              <w:t>50亿--100亿元（含</w:t>
            </w:r>
            <w:r>
              <w:rPr>
                <w:rFonts w:hint="eastAsia" w:ascii="宋体" w:hAnsi="宋体"/>
                <w:sz w:val="24"/>
                <w:szCs w:val="18"/>
                <w:highlight w:val="none"/>
              </w:rPr>
              <w:t>100</w:t>
            </w:r>
            <w:r>
              <w:rPr>
                <w:rFonts w:ascii="宋体" w:hAnsi="宋体"/>
                <w:sz w:val="24"/>
                <w:szCs w:val="18"/>
                <w:highlight w:val="none"/>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C3891E8">
            <w:pPr>
              <w:autoSpaceDN w:val="0"/>
              <w:jc w:val="center"/>
              <w:textAlignment w:val="center"/>
              <w:rPr>
                <w:rFonts w:ascii="宋体" w:hAnsi="宋体"/>
                <w:sz w:val="24"/>
                <w:szCs w:val="18"/>
                <w:highlight w:val="none"/>
              </w:rPr>
            </w:pPr>
            <w:r>
              <w:rPr>
                <w:rFonts w:ascii="宋体" w:hAnsi="宋体"/>
                <w:sz w:val="24"/>
                <w:szCs w:val="18"/>
                <w:highlight w:val="none"/>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A09F1E1">
            <w:pPr>
              <w:autoSpaceDN w:val="0"/>
              <w:jc w:val="center"/>
              <w:textAlignment w:val="center"/>
              <w:rPr>
                <w:rFonts w:ascii="宋体" w:hAnsi="宋体"/>
                <w:sz w:val="24"/>
                <w:szCs w:val="18"/>
                <w:highlight w:val="none"/>
              </w:rPr>
            </w:pPr>
            <w:r>
              <w:rPr>
                <w:rFonts w:ascii="宋体" w:hAnsi="宋体"/>
                <w:sz w:val="24"/>
                <w:szCs w:val="18"/>
                <w:highlight w:val="none"/>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1662153">
            <w:pPr>
              <w:autoSpaceDN w:val="0"/>
              <w:jc w:val="center"/>
              <w:textAlignment w:val="center"/>
              <w:rPr>
                <w:rFonts w:ascii="宋体" w:hAnsi="宋体"/>
                <w:sz w:val="24"/>
                <w:szCs w:val="18"/>
                <w:highlight w:val="none"/>
              </w:rPr>
            </w:pPr>
            <w:r>
              <w:rPr>
                <w:rFonts w:ascii="宋体" w:hAnsi="宋体"/>
                <w:sz w:val="24"/>
                <w:szCs w:val="18"/>
                <w:highlight w:val="none"/>
              </w:rPr>
              <w:t>0.008%</w:t>
            </w:r>
          </w:p>
        </w:tc>
      </w:tr>
      <w:tr w14:paraId="681334F1">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975161D">
            <w:pPr>
              <w:autoSpaceDN w:val="0"/>
              <w:jc w:val="left"/>
              <w:textAlignment w:val="center"/>
              <w:rPr>
                <w:rFonts w:ascii="宋体" w:hAnsi="宋体"/>
                <w:sz w:val="24"/>
                <w:szCs w:val="18"/>
                <w:highlight w:val="none"/>
              </w:rPr>
            </w:pPr>
            <w:r>
              <w:rPr>
                <w:rFonts w:ascii="宋体" w:hAnsi="宋体"/>
                <w:sz w:val="24"/>
                <w:szCs w:val="18"/>
                <w:highlight w:val="none"/>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CC1B885">
            <w:pPr>
              <w:autoSpaceDN w:val="0"/>
              <w:jc w:val="center"/>
              <w:textAlignment w:val="center"/>
              <w:rPr>
                <w:rFonts w:ascii="宋体" w:hAnsi="宋体"/>
                <w:sz w:val="24"/>
                <w:szCs w:val="18"/>
                <w:highlight w:val="none"/>
              </w:rPr>
            </w:pPr>
            <w:r>
              <w:rPr>
                <w:rFonts w:ascii="宋体" w:hAnsi="宋体"/>
                <w:sz w:val="24"/>
                <w:szCs w:val="18"/>
                <w:highlight w:val="none"/>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04F739">
            <w:pPr>
              <w:autoSpaceDN w:val="0"/>
              <w:jc w:val="center"/>
              <w:textAlignment w:val="center"/>
              <w:rPr>
                <w:rFonts w:ascii="宋体" w:hAnsi="宋体"/>
                <w:sz w:val="24"/>
                <w:szCs w:val="18"/>
                <w:highlight w:val="none"/>
              </w:rPr>
            </w:pPr>
            <w:r>
              <w:rPr>
                <w:rFonts w:ascii="宋体" w:hAnsi="宋体"/>
                <w:sz w:val="24"/>
                <w:szCs w:val="18"/>
                <w:highlight w:val="none"/>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FD538D5">
            <w:pPr>
              <w:autoSpaceDN w:val="0"/>
              <w:jc w:val="center"/>
              <w:textAlignment w:val="center"/>
              <w:rPr>
                <w:rFonts w:ascii="宋体" w:hAnsi="宋体"/>
                <w:sz w:val="24"/>
                <w:szCs w:val="18"/>
                <w:highlight w:val="none"/>
              </w:rPr>
            </w:pPr>
            <w:r>
              <w:rPr>
                <w:rFonts w:ascii="宋体" w:hAnsi="宋体"/>
                <w:sz w:val="24"/>
                <w:szCs w:val="18"/>
                <w:highlight w:val="none"/>
              </w:rPr>
              <w:t>0.004%</w:t>
            </w:r>
          </w:p>
        </w:tc>
      </w:tr>
      <w:tr w14:paraId="7B823490">
        <w:tblPrEx>
          <w:tblCellMar>
            <w:top w:w="0" w:type="dxa"/>
            <w:left w:w="15" w:type="dxa"/>
            <w:bottom w:w="0" w:type="dxa"/>
            <w:right w:w="15" w:type="dxa"/>
          </w:tblCellMar>
        </w:tblPrEx>
        <w:trPr>
          <w:trHeight w:val="621" w:hRule="atLeast"/>
        </w:trPr>
        <w:tc>
          <w:tcPr>
            <w:tcW w:w="8780" w:type="dxa"/>
            <w:gridSpan w:val="4"/>
            <w:noWrap w:val="0"/>
            <w:vAlign w:val="center"/>
          </w:tcPr>
          <w:p w14:paraId="6BB33DDD">
            <w:pPr>
              <w:autoSpaceDN w:val="0"/>
              <w:spacing w:line="500" w:lineRule="exact"/>
              <w:jc w:val="left"/>
              <w:textAlignment w:val="center"/>
              <w:rPr>
                <w:rFonts w:ascii="宋体" w:hAnsi="宋体"/>
                <w:sz w:val="24"/>
                <w:szCs w:val="24"/>
                <w:highlight w:val="none"/>
              </w:rPr>
            </w:pPr>
            <w:r>
              <w:rPr>
                <w:rFonts w:ascii="宋体" w:hAnsi="宋体"/>
                <w:sz w:val="24"/>
                <w:szCs w:val="24"/>
                <w:highlight w:val="none"/>
              </w:rPr>
              <w:t>注：1.按本表费率计算的收费金额为招标代理服务费的基准价格，不含工程量清单、最高投标限价（招标控制价）或标底的编制费用。</w:t>
            </w:r>
          </w:p>
          <w:p w14:paraId="4C41934F">
            <w:pPr>
              <w:autoSpaceDN w:val="0"/>
              <w:spacing w:line="500" w:lineRule="exact"/>
              <w:jc w:val="left"/>
              <w:textAlignment w:val="center"/>
              <w:rPr>
                <w:rFonts w:ascii="宋体" w:hAnsi="宋体"/>
                <w:sz w:val="24"/>
                <w:szCs w:val="24"/>
                <w:highlight w:val="none"/>
              </w:rPr>
            </w:pPr>
            <w:r>
              <w:rPr>
                <w:rFonts w:hint="eastAsia" w:ascii="宋体" w:hAnsi="宋体"/>
                <w:sz w:val="24"/>
                <w:szCs w:val="24"/>
                <w:highlight w:val="none"/>
              </w:rPr>
              <w:t>2.招标代理服务收费按差额定率累进法计算。</w:t>
            </w:r>
          </w:p>
          <w:p w14:paraId="72C8DD4D">
            <w:pPr>
              <w:autoSpaceDN w:val="0"/>
              <w:spacing w:line="500" w:lineRule="exact"/>
              <w:jc w:val="left"/>
              <w:textAlignment w:val="center"/>
              <w:rPr>
                <w:rFonts w:ascii="宋体" w:hAnsi="宋体"/>
                <w:sz w:val="24"/>
                <w:szCs w:val="24"/>
                <w:highlight w:val="none"/>
              </w:rPr>
            </w:pPr>
            <w:r>
              <w:rPr>
                <w:rFonts w:ascii="宋体" w:hAnsi="宋体"/>
                <w:sz w:val="24"/>
                <w:szCs w:val="24"/>
                <w:highlight w:val="none"/>
              </w:rPr>
              <w:t>例如: 某工程招标代理业务，项目预算金额（招标控制价）为10000 万元，招标代理服务收费计算如下:</w:t>
            </w:r>
          </w:p>
          <w:p w14:paraId="6FF65E8E">
            <w:pPr>
              <w:autoSpaceDN w:val="0"/>
              <w:spacing w:line="500" w:lineRule="exact"/>
              <w:jc w:val="left"/>
              <w:textAlignment w:val="center"/>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100万元×1.2%=1.2万元</w:t>
            </w:r>
          </w:p>
          <w:p w14:paraId="003B6CD7">
            <w:pPr>
              <w:autoSpaceDN w:val="0"/>
              <w:spacing w:line="500" w:lineRule="exact"/>
              <w:jc w:val="left"/>
              <w:textAlignment w:val="center"/>
              <w:rPr>
                <w:rFonts w:ascii="宋体" w:hAnsi="宋体"/>
                <w:sz w:val="24"/>
                <w:szCs w:val="24"/>
                <w:highlight w:val="none"/>
              </w:rPr>
            </w:pPr>
            <w:r>
              <w:rPr>
                <w:rFonts w:ascii="宋体" w:hAnsi="宋体"/>
                <w:sz w:val="24"/>
                <w:szCs w:val="24"/>
                <w:highlight w:val="none"/>
              </w:rPr>
              <w:t>（500-100）万元×1.0%=4万元</w:t>
            </w:r>
          </w:p>
          <w:p w14:paraId="4C3F1D3D">
            <w:pPr>
              <w:autoSpaceDN w:val="0"/>
              <w:spacing w:line="500" w:lineRule="exact"/>
              <w:jc w:val="left"/>
              <w:textAlignment w:val="center"/>
              <w:rPr>
                <w:rFonts w:ascii="宋体" w:hAnsi="宋体"/>
                <w:sz w:val="24"/>
                <w:szCs w:val="24"/>
                <w:highlight w:val="none"/>
              </w:rPr>
            </w:pPr>
            <w:r>
              <w:rPr>
                <w:rFonts w:ascii="宋体" w:hAnsi="宋体"/>
                <w:sz w:val="24"/>
                <w:szCs w:val="24"/>
                <w:highlight w:val="none"/>
              </w:rPr>
              <w:t>（1000-500）×0.7%=3.5万元</w:t>
            </w:r>
          </w:p>
          <w:p w14:paraId="2FB5371B">
            <w:pPr>
              <w:autoSpaceDN w:val="0"/>
              <w:spacing w:line="500" w:lineRule="exact"/>
              <w:jc w:val="left"/>
              <w:textAlignment w:val="center"/>
              <w:rPr>
                <w:rFonts w:ascii="宋体" w:hAnsi="宋体"/>
                <w:sz w:val="24"/>
                <w:szCs w:val="24"/>
                <w:highlight w:val="none"/>
              </w:rPr>
            </w:pPr>
            <w:r>
              <w:rPr>
                <w:rFonts w:ascii="宋体" w:hAnsi="宋体"/>
                <w:sz w:val="24"/>
                <w:szCs w:val="24"/>
                <w:highlight w:val="none"/>
              </w:rPr>
              <w:t>（5000-1000）×0.4%=16万元</w:t>
            </w:r>
          </w:p>
          <w:p w14:paraId="549F9042">
            <w:pPr>
              <w:autoSpaceDN w:val="0"/>
              <w:spacing w:line="500" w:lineRule="exact"/>
              <w:jc w:val="left"/>
              <w:textAlignment w:val="center"/>
              <w:rPr>
                <w:rFonts w:ascii="宋体" w:hAnsi="宋体"/>
                <w:szCs w:val="18"/>
                <w:highlight w:val="none"/>
              </w:rPr>
            </w:pPr>
            <w:r>
              <w:rPr>
                <w:rFonts w:ascii="宋体" w:hAnsi="宋体"/>
                <w:sz w:val="24"/>
                <w:szCs w:val="24"/>
                <w:highlight w:val="none"/>
              </w:rPr>
              <w:t>（10000-5000）×0.25%=12.5万元合计收费=1.2+4+3.5+16+12.5=37.2万元</w:t>
            </w:r>
          </w:p>
        </w:tc>
      </w:tr>
    </w:tbl>
    <w:p w14:paraId="70DA62F7">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宋体" w:hAnsi="宋体" w:eastAsia="宋体" w:cs="宋体"/>
          <w:bCs/>
          <w:sz w:val="24"/>
          <w:szCs w:val="24"/>
          <w:highlight w:val="none"/>
          <w:lang w:val="en-US" w:eastAsia="zh-CN"/>
        </w:rPr>
        <w:t>附件</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 xml:space="preserve"> </w:t>
      </w: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t xml:space="preserve">            </w:t>
      </w:r>
    </w:p>
    <w:p w14:paraId="65048871">
      <w:pPr>
        <w:widowControl w:val="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9F9F9"/>
        </w:rPr>
        <w:t>中小企业划型标准规定</w:t>
      </w:r>
    </w:p>
    <w:tbl>
      <w:tblPr>
        <w:tblStyle w:val="13"/>
        <w:tblW w:w="9353" w:type="dxa"/>
        <w:jc w:val="center"/>
        <w:shd w:val="clear" w:color="auto" w:fill="FFFFFF"/>
        <w:tblLayout w:type="autofit"/>
        <w:tblCellMar>
          <w:top w:w="0" w:type="dxa"/>
          <w:left w:w="0" w:type="dxa"/>
          <w:bottom w:w="0" w:type="dxa"/>
          <w:right w:w="0" w:type="dxa"/>
        </w:tblCellMar>
      </w:tblPr>
      <w:tblGrid>
        <w:gridCol w:w="1144"/>
        <w:gridCol w:w="1492"/>
        <w:gridCol w:w="728"/>
        <w:gridCol w:w="1245"/>
        <w:gridCol w:w="1965"/>
        <w:gridCol w:w="1756"/>
        <w:gridCol w:w="1023"/>
      </w:tblGrid>
      <w:tr w14:paraId="1036DD9B">
        <w:tblPrEx>
          <w:shd w:val="clear" w:color="auto" w:fill="FFFFFF"/>
          <w:tblCellMar>
            <w:top w:w="0" w:type="dxa"/>
            <w:left w:w="0" w:type="dxa"/>
            <w:bottom w:w="0" w:type="dxa"/>
            <w:right w:w="0" w:type="dxa"/>
          </w:tblCellMar>
        </w:tblPrEx>
        <w:trPr>
          <w:trHeight w:val="653" w:hRule="atLeast"/>
          <w:jc w:val="center"/>
        </w:trPr>
        <w:tc>
          <w:tcPr>
            <w:tcW w:w="1144"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116370E8">
            <w:pPr>
              <w:pStyle w:val="12"/>
              <w:wordWrap w:val="0"/>
              <w:spacing w:line="240" w:lineRule="auto"/>
              <w:jc w:val="center"/>
              <w:rPr>
                <w:rFonts w:ascii="宋体" w:hAnsi="宋体" w:cs="宋体"/>
                <w:color w:val="auto"/>
                <w:sz w:val="21"/>
                <w:szCs w:val="21"/>
                <w:highlight w:val="none"/>
              </w:rPr>
            </w:pPr>
            <w:r>
              <w:rPr>
                <w:rStyle w:val="16"/>
                <w:rFonts w:hint="eastAsia" w:ascii="宋体" w:hAnsi="宋体" w:cs="宋体"/>
                <w:color w:val="auto"/>
                <w:spacing w:val="8"/>
                <w:sz w:val="21"/>
                <w:szCs w:val="21"/>
                <w:highlight w:val="none"/>
              </w:rPr>
              <w:t>行业名称</w:t>
            </w:r>
          </w:p>
        </w:tc>
        <w:tc>
          <w:tcPr>
            <w:tcW w:w="149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3CD864A">
            <w:pPr>
              <w:pStyle w:val="12"/>
              <w:wordWrap w:val="0"/>
              <w:spacing w:line="240" w:lineRule="auto"/>
              <w:jc w:val="center"/>
              <w:rPr>
                <w:rFonts w:ascii="宋体" w:hAnsi="宋体" w:cs="宋体"/>
                <w:color w:val="auto"/>
                <w:sz w:val="21"/>
                <w:szCs w:val="21"/>
                <w:highlight w:val="none"/>
              </w:rPr>
            </w:pPr>
            <w:r>
              <w:rPr>
                <w:rStyle w:val="16"/>
                <w:rFonts w:hint="eastAsia" w:ascii="宋体" w:hAnsi="宋体" w:cs="宋体"/>
                <w:color w:val="auto"/>
                <w:spacing w:val="8"/>
                <w:sz w:val="21"/>
                <w:szCs w:val="21"/>
                <w:highlight w:val="none"/>
              </w:rPr>
              <w:t>指标名称</w:t>
            </w:r>
          </w:p>
        </w:tc>
        <w:tc>
          <w:tcPr>
            <w:tcW w:w="72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FB0B977">
            <w:pPr>
              <w:pStyle w:val="12"/>
              <w:wordWrap w:val="0"/>
              <w:spacing w:line="240" w:lineRule="auto"/>
              <w:jc w:val="center"/>
              <w:rPr>
                <w:rFonts w:ascii="宋体" w:hAnsi="宋体" w:cs="宋体"/>
                <w:color w:val="auto"/>
                <w:sz w:val="21"/>
                <w:szCs w:val="21"/>
                <w:highlight w:val="none"/>
              </w:rPr>
            </w:pPr>
            <w:r>
              <w:rPr>
                <w:rStyle w:val="16"/>
                <w:rFonts w:hint="eastAsia" w:ascii="宋体" w:hAnsi="宋体" w:cs="宋体"/>
                <w:color w:val="auto"/>
                <w:spacing w:val="8"/>
                <w:sz w:val="21"/>
                <w:szCs w:val="21"/>
                <w:highlight w:val="none"/>
              </w:rPr>
              <w:t>计量单位</w:t>
            </w:r>
          </w:p>
        </w:tc>
        <w:tc>
          <w:tcPr>
            <w:tcW w:w="124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4F2D1B4">
            <w:pPr>
              <w:pStyle w:val="12"/>
              <w:wordWrap w:val="0"/>
              <w:spacing w:line="240" w:lineRule="auto"/>
              <w:jc w:val="center"/>
              <w:rPr>
                <w:rFonts w:ascii="宋体" w:hAnsi="宋体" w:cs="宋体"/>
                <w:color w:val="auto"/>
                <w:sz w:val="21"/>
                <w:szCs w:val="21"/>
                <w:highlight w:val="none"/>
              </w:rPr>
            </w:pPr>
            <w:r>
              <w:rPr>
                <w:rStyle w:val="16"/>
                <w:rFonts w:hint="eastAsia" w:ascii="宋体" w:hAnsi="宋体" w:cs="宋体"/>
                <w:color w:val="auto"/>
                <w:spacing w:val="8"/>
                <w:sz w:val="21"/>
                <w:szCs w:val="21"/>
                <w:highlight w:val="none"/>
              </w:rPr>
              <w:t>大型</w:t>
            </w:r>
          </w:p>
        </w:tc>
        <w:tc>
          <w:tcPr>
            <w:tcW w:w="196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FA4815D">
            <w:pPr>
              <w:pStyle w:val="12"/>
              <w:wordWrap w:val="0"/>
              <w:spacing w:line="240" w:lineRule="auto"/>
              <w:jc w:val="center"/>
              <w:rPr>
                <w:rFonts w:ascii="宋体" w:hAnsi="宋体" w:cs="宋体"/>
                <w:color w:val="auto"/>
                <w:sz w:val="21"/>
                <w:szCs w:val="21"/>
                <w:highlight w:val="none"/>
              </w:rPr>
            </w:pPr>
            <w:r>
              <w:rPr>
                <w:rStyle w:val="16"/>
                <w:rFonts w:hint="eastAsia" w:ascii="宋体" w:hAnsi="宋体" w:cs="宋体"/>
                <w:color w:val="auto"/>
                <w:spacing w:val="8"/>
                <w:sz w:val="21"/>
                <w:szCs w:val="21"/>
                <w:highlight w:val="none"/>
              </w:rPr>
              <w:t>中型</w:t>
            </w:r>
          </w:p>
        </w:tc>
        <w:tc>
          <w:tcPr>
            <w:tcW w:w="175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D01CEB6">
            <w:pPr>
              <w:pStyle w:val="12"/>
              <w:wordWrap w:val="0"/>
              <w:spacing w:line="240" w:lineRule="auto"/>
              <w:jc w:val="center"/>
              <w:rPr>
                <w:rFonts w:ascii="宋体" w:hAnsi="宋体" w:cs="宋体"/>
                <w:color w:val="auto"/>
                <w:sz w:val="21"/>
                <w:szCs w:val="21"/>
                <w:highlight w:val="none"/>
              </w:rPr>
            </w:pPr>
            <w:r>
              <w:rPr>
                <w:rStyle w:val="16"/>
                <w:rFonts w:hint="eastAsia" w:ascii="宋体" w:hAnsi="宋体" w:cs="宋体"/>
                <w:color w:val="auto"/>
                <w:spacing w:val="8"/>
                <w:sz w:val="21"/>
                <w:szCs w:val="21"/>
                <w:highlight w:val="none"/>
              </w:rPr>
              <w:t>小型</w:t>
            </w:r>
          </w:p>
        </w:tc>
        <w:tc>
          <w:tcPr>
            <w:tcW w:w="102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0EAB43EF">
            <w:pPr>
              <w:pStyle w:val="12"/>
              <w:wordWrap w:val="0"/>
              <w:spacing w:line="240" w:lineRule="auto"/>
              <w:jc w:val="center"/>
              <w:rPr>
                <w:rFonts w:ascii="宋体" w:hAnsi="宋体" w:cs="宋体"/>
                <w:color w:val="auto"/>
                <w:sz w:val="21"/>
                <w:szCs w:val="21"/>
                <w:highlight w:val="none"/>
              </w:rPr>
            </w:pPr>
            <w:r>
              <w:rPr>
                <w:rStyle w:val="16"/>
                <w:rFonts w:hint="eastAsia" w:ascii="宋体" w:hAnsi="宋体" w:cs="宋体"/>
                <w:color w:val="auto"/>
                <w:spacing w:val="8"/>
                <w:sz w:val="21"/>
                <w:szCs w:val="21"/>
                <w:highlight w:val="none"/>
              </w:rPr>
              <w:t>微型</w:t>
            </w:r>
          </w:p>
        </w:tc>
      </w:tr>
      <w:tr w14:paraId="5E191DEC">
        <w:tblPrEx>
          <w:tblCellMar>
            <w:top w:w="0" w:type="dxa"/>
            <w:left w:w="0" w:type="dxa"/>
            <w:bottom w:w="0" w:type="dxa"/>
            <w:right w:w="0" w:type="dxa"/>
          </w:tblCellMar>
        </w:tblPrEx>
        <w:trPr>
          <w:trHeight w:val="682" w:hRule="atLeast"/>
          <w:jc w:val="center"/>
        </w:trPr>
        <w:tc>
          <w:tcPr>
            <w:tcW w:w="1144"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2EADA190">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农、林、牧、渔业</w:t>
            </w: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011C9A7">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0C9D89D">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398443C">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C5B633">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98F295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665E17">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2E4DFC09">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B3163CA">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工业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9E37DA">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8998DF">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9BEA6B">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B46307">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E5AFF9C">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223EB16">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74E0C6F">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7721E3E">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1E8D569">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ACED23E">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B152AB">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D1B9C4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B4E59D">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5AF52B4">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5EF23B12">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C0E84E">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建筑业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B0A73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792EF05">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524F18">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Y≥80000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25F270">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6000≤Y＜80000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E55FB6">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300≤Y＜6000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FC50FD">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0995BA27">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E7D9B5C">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A61DAA">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F1E71B">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9B43877">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Z≥80000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10FFBB2">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5000≤Z＜80000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62E07E7">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DA8D7BB">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Z＜300</w:t>
            </w:r>
          </w:p>
        </w:tc>
      </w:tr>
      <w:tr w14:paraId="104DACF7">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8F3D4E">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批发业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58DCD2">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FF61DD">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469B514">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B7BE8F">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11EC88A">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5≤X＜20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230B47">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X＜5</w:t>
            </w:r>
          </w:p>
        </w:tc>
      </w:tr>
      <w:tr w14:paraId="5986070A">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2841278">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5E1A5B">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C1CFF6B">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CFED68">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D3814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7016F8">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08A2137">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w:t>
            </w:r>
          </w:p>
        </w:tc>
      </w:tr>
      <w:tr w14:paraId="2F65443D">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0A4F69B">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零售业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2401B7">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B7B0EF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975ADF">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78866D8">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47D494">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10≤X＜50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4FAAFA">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76D3D117">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7F8B467">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3362A20">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1D499BA">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4CF43E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417DEFC">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47EF526">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D6D3185">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70E27B9E">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F473F2D">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交通运输业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B87277D">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76DAD7">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0A9DA44">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EAC9FA">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624ED7">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B4FF8C2">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60FF979D">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A9EE6CC">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FD97BD7">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C73EE07">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B6F1B26">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FFF3C02">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BEFFF6">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200≤Y＜3000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A82875">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w:t>
            </w:r>
          </w:p>
        </w:tc>
      </w:tr>
      <w:tr w14:paraId="2CF25C4E">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8EE1C01">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仓储业*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7ED3644">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3FBE70">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7AC9A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C5223F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DFA1EE5">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779C13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41163C42">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69A4F16">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1EC69D9">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AB798D">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8BE693">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2C689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7B08A5C">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BF2BC8">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7F1E428B">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4C08238">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邮政业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1B211AF">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761B2C">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FFE91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D2129A">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7630E8">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FE3603">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720355D">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2ADD4ED">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4020A8">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7D8BA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E27D50">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EB009D">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974F8B">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36F7A73">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3631A791">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FFA8FF5">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住宿业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8858A96">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8AE9DA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FC9BAF">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0ADE1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A3673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12DA70">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2ACCE9FA">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D4C9AD6">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2F083A">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7C48C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9145CC">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06E962">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B64272">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C1C9C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429985D4">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433745B">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餐饮业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E44846">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3593948">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4792E2C">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B64BBD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8D1824">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A327E6">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0AD4B96A">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7328EB">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27A06D">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24E4E5">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14672A6">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ADC23A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F61672">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859CDC">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446203A5">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A2F1C9B">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信息传输业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5F7AB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241ECE">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8D00E15">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6922D6">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B0D75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BE45F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693B43EE">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391868F">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0B67607">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15F1E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674732">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292D58D">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0D34C3D">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28BCF3">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60BB5EF3">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024F15D">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15"/>
                <w:sz w:val="21"/>
                <w:szCs w:val="21"/>
                <w:highlight w:val="none"/>
              </w:rPr>
              <w:t>软件和信息技术服</w:t>
            </w:r>
            <w:r>
              <w:rPr>
                <w:rFonts w:hint="eastAsia" w:ascii="宋体" w:hAnsi="宋体" w:cs="宋体"/>
                <w:color w:val="auto"/>
                <w:spacing w:val="8"/>
                <w:sz w:val="21"/>
                <w:szCs w:val="21"/>
                <w:highlight w:val="none"/>
              </w:rPr>
              <w:t>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F22F6BD">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E65D0A">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EB957D4">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72D4D2">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A8E28D">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30CB9D">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0FCB5A75">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9F28818">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B5FB0A0">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E0932C7">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649003">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732D2E">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D79DB9D">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492C74">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6EBDE65E">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1E4549F">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房地产开发经营</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717883C">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AAA768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295E04">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80A782B">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1000≤Y＜200000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7DC88F">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A6587D4">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315C4C4B">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9899B9B">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EC4716">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5F02665">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16DB34">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A5B289F">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6FCBE5B">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7E542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Z＜2000</w:t>
            </w:r>
          </w:p>
        </w:tc>
      </w:tr>
      <w:tr w14:paraId="40DD3A04">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E452FC8">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物业管理</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0DD2BE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EE884FC">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AD7D57">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438E42B">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8AF80E">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00B99F">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w:t>
            </w:r>
          </w:p>
        </w:tc>
      </w:tr>
      <w:tr w14:paraId="115467F7">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29DF20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79306B">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A1D0CC">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96E80E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91E1782">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59EF9A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A35AE1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w:t>
            </w:r>
          </w:p>
        </w:tc>
      </w:tr>
      <w:tr w14:paraId="2E26BC67">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4FAA3B2">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租赁和商务服务业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B19B04B">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CF495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65C2312">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099F77E">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98F5A7B">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C50E59E">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239D42C0">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67B7CA6">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FF321A3">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E5665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5E337A">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C4597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8000≤Z＜120000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C34C80">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100≤Z＜8000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C34B86">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w:t>
            </w:r>
          </w:p>
        </w:tc>
      </w:tr>
      <w:tr w14:paraId="04C9D527">
        <w:tblPrEx>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57DEB68">
            <w:pPr>
              <w:pStyle w:val="12"/>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其他未列明行业*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F570D4B">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349AB1">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0152540">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6C9018">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D9E4D9">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E56372">
            <w:pPr>
              <w:pStyle w:val="12"/>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bl>
    <w:p w14:paraId="6725DF34">
      <w:pPr>
        <w:widowControl w:val="0"/>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说明：1.大型、中型和小型企业须</w:t>
      </w:r>
      <w:r>
        <w:rPr>
          <w:rFonts w:hint="eastAsia" w:ascii="宋体" w:hAnsi="宋体" w:eastAsia="宋体" w:cs="宋体"/>
          <w:b/>
          <w:bCs/>
          <w:color w:val="auto"/>
          <w:kern w:val="0"/>
          <w:sz w:val="24"/>
          <w:szCs w:val="24"/>
          <w:highlight w:val="none"/>
        </w:rPr>
        <w:t>同时满足所列指标的下限</w:t>
      </w:r>
      <w:r>
        <w:rPr>
          <w:rFonts w:hint="eastAsia" w:ascii="宋体" w:hAnsi="宋体" w:eastAsia="宋体" w:cs="宋体"/>
          <w:b/>
          <w:bCs/>
          <w:color w:val="auto"/>
          <w:kern w:val="0"/>
          <w:sz w:val="24"/>
          <w:szCs w:val="24"/>
          <w:highlight w:val="none"/>
          <w:lang w:eastAsia="zh-CN"/>
        </w:rPr>
        <w:t>，否则下划一档</w:t>
      </w:r>
      <w:r>
        <w:rPr>
          <w:rFonts w:hint="eastAsia" w:ascii="宋体" w:hAnsi="宋体" w:eastAsia="宋体" w:cs="宋体"/>
          <w:color w:val="auto"/>
          <w:kern w:val="0"/>
          <w:sz w:val="24"/>
          <w:szCs w:val="24"/>
          <w:highlight w:val="none"/>
        </w:rPr>
        <w:t>；微型企业只须满足所列指标中的一项即可。</w:t>
      </w:r>
    </w:p>
    <w:p w14:paraId="34D86D04">
      <w:pPr>
        <w:widowControl w:val="0"/>
        <w:numPr>
          <w:ilvl w:val="0"/>
          <w:numId w:val="2"/>
        </w:numPr>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附表中各行业的范围以《国民经济行业分类》（GB/T4754-2017）为准。</w:t>
      </w:r>
      <w:r>
        <w:rPr>
          <w:rFonts w:hint="eastAsia" w:ascii="宋体" w:hAnsi="宋体" w:eastAsia="宋体" w:cs="宋体"/>
          <w:b/>
          <w:bCs/>
          <w:color w:val="auto"/>
          <w:kern w:val="0"/>
          <w:sz w:val="24"/>
          <w:szCs w:val="24"/>
          <w:highlight w:val="none"/>
        </w:rPr>
        <w:t>带*的项为行业组合类别</w:t>
      </w:r>
      <w:r>
        <w:rPr>
          <w:rFonts w:hint="eastAsia" w:ascii="宋体" w:hAnsi="宋体" w:eastAsia="宋体" w:cs="宋体"/>
          <w:color w:val="auto"/>
          <w:kern w:val="0"/>
          <w:sz w:val="24"/>
          <w:szCs w:val="24"/>
          <w:highlight w:val="none"/>
        </w:rPr>
        <w:t>，其中，</w:t>
      </w:r>
      <w:r>
        <w:rPr>
          <w:rFonts w:hint="eastAsia" w:ascii="宋体" w:hAnsi="宋体" w:eastAsia="宋体" w:cs="宋体"/>
          <w:b/>
          <w:bCs/>
          <w:color w:val="auto"/>
          <w:kern w:val="0"/>
          <w:sz w:val="24"/>
          <w:szCs w:val="24"/>
          <w:highlight w:val="none"/>
        </w:rPr>
        <w:t>工业</w:t>
      </w:r>
      <w:r>
        <w:rPr>
          <w:rFonts w:hint="eastAsia" w:ascii="宋体" w:hAnsi="宋体" w:eastAsia="宋体" w:cs="宋体"/>
          <w:color w:val="auto"/>
          <w:kern w:val="0"/>
          <w:sz w:val="24"/>
          <w:szCs w:val="24"/>
          <w:highlight w:val="none"/>
        </w:rPr>
        <w:t>包括采矿业，制造业，电力、热力、燃气及水生产和供应业；</w:t>
      </w:r>
      <w:r>
        <w:rPr>
          <w:rFonts w:hint="eastAsia" w:ascii="宋体" w:hAnsi="宋体" w:eastAsia="宋体" w:cs="宋体"/>
          <w:b/>
          <w:bCs/>
          <w:color w:val="auto"/>
          <w:kern w:val="0"/>
          <w:sz w:val="24"/>
          <w:szCs w:val="24"/>
          <w:highlight w:val="none"/>
        </w:rPr>
        <w:t>交通运输业</w:t>
      </w:r>
      <w:r>
        <w:rPr>
          <w:rFonts w:hint="eastAsia" w:ascii="宋体" w:hAnsi="宋体" w:eastAsia="宋体" w:cs="宋体"/>
          <w:color w:val="auto"/>
          <w:kern w:val="0"/>
          <w:sz w:val="24"/>
          <w:szCs w:val="24"/>
          <w:highlight w:val="none"/>
        </w:rPr>
        <w:t>包括道路运输业，水上运输业，航空运输业，管道运输业，多式联运和运输代理业、装卸搬运，不包括铁路运输业；</w:t>
      </w:r>
      <w:r>
        <w:rPr>
          <w:rFonts w:hint="eastAsia" w:ascii="宋体" w:hAnsi="宋体" w:eastAsia="宋体" w:cs="宋体"/>
          <w:b/>
          <w:bCs/>
          <w:color w:val="auto"/>
          <w:kern w:val="0"/>
          <w:sz w:val="24"/>
          <w:szCs w:val="24"/>
          <w:highlight w:val="none"/>
        </w:rPr>
        <w:t>仓储业</w:t>
      </w:r>
      <w:r>
        <w:rPr>
          <w:rFonts w:hint="eastAsia" w:ascii="宋体" w:hAnsi="宋体" w:eastAsia="宋体" w:cs="宋体"/>
          <w:color w:val="auto"/>
          <w:kern w:val="0"/>
          <w:sz w:val="24"/>
          <w:szCs w:val="24"/>
          <w:highlight w:val="none"/>
        </w:rPr>
        <w:t>包括通用仓储，低温仓储，危险品仓储，谷物、棉花等农产品仓储，中药材仓储和其他仓储业；</w:t>
      </w:r>
      <w:r>
        <w:rPr>
          <w:rFonts w:hint="eastAsia" w:ascii="宋体" w:hAnsi="宋体" w:eastAsia="宋体" w:cs="宋体"/>
          <w:b/>
          <w:bCs/>
          <w:color w:val="auto"/>
          <w:kern w:val="0"/>
          <w:sz w:val="24"/>
          <w:szCs w:val="24"/>
          <w:highlight w:val="none"/>
        </w:rPr>
        <w:t>信息传输业</w:t>
      </w:r>
      <w:r>
        <w:rPr>
          <w:rFonts w:hint="eastAsia" w:ascii="宋体" w:hAnsi="宋体" w:eastAsia="宋体" w:cs="宋体"/>
          <w:color w:val="auto"/>
          <w:kern w:val="0"/>
          <w:sz w:val="24"/>
          <w:szCs w:val="24"/>
          <w:highlight w:val="none"/>
        </w:rPr>
        <w:t>包括电信、广播电视和卫星传输服务，互联网和相关服务；</w:t>
      </w:r>
      <w:r>
        <w:rPr>
          <w:rFonts w:hint="eastAsia" w:ascii="宋体" w:hAnsi="宋体" w:eastAsia="宋体" w:cs="宋体"/>
          <w:b/>
          <w:bCs/>
          <w:color w:val="auto"/>
          <w:kern w:val="0"/>
          <w:sz w:val="24"/>
          <w:szCs w:val="24"/>
          <w:highlight w:val="none"/>
        </w:rPr>
        <w:t>其他未列明行业</w:t>
      </w:r>
      <w:r>
        <w:rPr>
          <w:rFonts w:hint="eastAsia" w:ascii="宋体" w:hAnsi="宋体" w:eastAsia="宋体" w:cs="宋体"/>
          <w:color w:val="auto"/>
          <w:kern w:val="0"/>
          <w:sz w:val="24"/>
          <w:szCs w:val="24"/>
          <w:highlight w:val="none"/>
        </w:rPr>
        <w:t>包括科学研究和技术服务业，水利、环境和公共设施管理业，居民服务、修理和其他服务业，社会工作，文化、体育和娱乐业，以及房地产中介服务，其他房地产业等，不包括自有房地产经营活动。</w:t>
      </w:r>
    </w:p>
    <w:p w14:paraId="49E91FC7">
      <w:pPr>
        <w:widowControl w:val="0"/>
        <w:numPr>
          <w:ilvl w:val="0"/>
          <w:numId w:val="2"/>
        </w:numPr>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企业划分指标以现行统计制度为准。</w:t>
      </w:r>
    </w:p>
    <w:p w14:paraId="219517AF">
      <w:pPr>
        <w:widowControl w:val="0"/>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（1）从业人员，是指期末从业人员数，没有期末从业人员数的，采用全年平均人员数代替。</w:t>
      </w:r>
    </w:p>
    <w:p w14:paraId="59A2EFD7">
      <w:pPr>
        <w:widowControl w:val="0"/>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45111B0B">
      <w:pPr>
        <w:spacing w:line="500" w:lineRule="exact"/>
        <w:ind w:firstLine="480" w:firstLineChars="200"/>
        <w:rPr>
          <w:rFonts w:hint="eastAsia" w:ascii="宋体" w:hAnsi="宋体" w:cs="宋体"/>
          <w:color w:val="000000"/>
          <w:sz w:val="24"/>
          <w:highlight w:val="none"/>
        </w:rPr>
      </w:pPr>
      <w:r>
        <w:rPr>
          <w:rFonts w:hint="eastAsia" w:ascii="宋体" w:hAnsi="宋体" w:eastAsia="宋体" w:cs="宋体"/>
          <w:color w:val="auto"/>
          <w:kern w:val="0"/>
          <w:sz w:val="24"/>
          <w:szCs w:val="24"/>
          <w:highlight w:val="none"/>
        </w:rPr>
        <w:t>（3）资产总额，采用资产总计代替。</w:t>
      </w:r>
      <w:r>
        <w:rPr>
          <w:rFonts w:hint="eastAsia" w:ascii="宋体" w:hAnsi="宋体" w:cs="宋体"/>
          <w:color w:val="000000"/>
          <w:sz w:val="24"/>
          <w:highlight w:val="none"/>
        </w:rPr>
        <w:br w:type="page"/>
      </w:r>
      <w:bookmarkStart w:id="25" w:name="_Toc184635093"/>
      <w:bookmarkEnd w:id="25"/>
    </w:p>
    <w:p w14:paraId="1FBD09B5">
      <w:pPr>
        <w:spacing w:line="500" w:lineRule="exact"/>
        <w:ind w:firstLine="480" w:firstLineChars="200"/>
        <w:rPr>
          <w:rFonts w:hint="eastAsia" w:ascii="宋体" w:hAnsi="宋体" w:cs="宋体"/>
          <w:color w:val="000000"/>
          <w:sz w:val="24"/>
          <w:highlight w:val="none"/>
        </w:rPr>
      </w:pPr>
    </w:p>
    <w:p w14:paraId="66808C40">
      <w:pPr>
        <w:wordWrap w:val="0"/>
        <w:spacing w:line="360" w:lineRule="auto"/>
        <w:ind w:firstLine="480" w:firstLineChars="200"/>
        <w:rPr>
          <w:rFonts w:ascii="宋体" w:hAnsi="宋体" w:cs="宋体"/>
          <w:kern w:val="10"/>
          <w:sz w:val="24"/>
          <w:highlight w:val="none"/>
        </w:rPr>
      </w:pPr>
      <w:r>
        <w:rPr>
          <w:rFonts w:hint="eastAsia" w:ascii="宋体" w:hAnsi="宋体" w:cs="宋体"/>
          <w:kern w:val="10"/>
          <w:sz w:val="24"/>
          <w:highlight w:val="none"/>
        </w:rPr>
        <w:t>1、总则</w:t>
      </w:r>
    </w:p>
    <w:p w14:paraId="1E1036EA">
      <w:pPr>
        <w:wordWrap w:val="0"/>
        <w:spacing w:line="360" w:lineRule="auto"/>
        <w:ind w:firstLine="480" w:firstLineChars="200"/>
        <w:rPr>
          <w:rFonts w:ascii="宋体" w:hAnsi="宋体" w:cs="宋体"/>
          <w:sz w:val="24"/>
          <w:highlight w:val="none"/>
        </w:rPr>
      </w:pPr>
      <w:bookmarkStart w:id="26" w:name="_Toc152042307"/>
      <w:bookmarkStart w:id="27" w:name="_Toc179632548"/>
      <w:bookmarkStart w:id="28" w:name="_Toc144974499"/>
      <w:bookmarkStart w:id="29" w:name="_Toc152045531"/>
      <w:r>
        <w:rPr>
          <w:rFonts w:hint="eastAsia" w:ascii="宋体" w:hAnsi="宋体" w:cs="宋体"/>
          <w:sz w:val="24"/>
          <w:highlight w:val="none"/>
        </w:rPr>
        <w:t>1.1项目概况</w:t>
      </w:r>
    </w:p>
    <w:p w14:paraId="70FC019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1.1.1根据根据《中华人民共和国政府采购法》、《政府采购非招标采购方式管理办法》等有关法律、法规和规章的规定，本招标项目已具备磋商条件，现对本项目进行竞争性磋商。</w:t>
      </w:r>
    </w:p>
    <w:p w14:paraId="3BEB909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1.1.2本项目采购人：见供应商须知前附表。</w:t>
      </w:r>
    </w:p>
    <w:p w14:paraId="03E5EB4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1.1.3本项目采购代理机构：见供应商须知前附表。</w:t>
      </w:r>
    </w:p>
    <w:p w14:paraId="341D1EB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1.1.4本项目名称：见供应商须知前附表。</w:t>
      </w:r>
    </w:p>
    <w:bookmarkEnd w:id="26"/>
    <w:bookmarkEnd w:id="27"/>
    <w:bookmarkEnd w:id="28"/>
    <w:bookmarkEnd w:id="29"/>
    <w:p w14:paraId="0776633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1.2资金来源和落实情况</w:t>
      </w:r>
    </w:p>
    <w:p w14:paraId="08B3293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1.2.1本项目的资金来源：见供应商须知前附表。</w:t>
      </w:r>
    </w:p>
    <w:p w14:paraId="60C9818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1.2.2本项目的资金落实情况：见供应商须知前附表。</w:t>
      </w:r>
    </w:p>
    <w:p w14:paraId="3B90E200">
      <w:pPr>
        <w:wordWrap w:val="0"/>
        <w:spacing w:line="360" w:lineRule="auto"/>
        <w:ind w:firstLine="480" w:firstLineChars="200"/>
        <w:rPr>
          <w:rFonts w:ascii="宋体" w:hAnsi="宋体" w:cs="宋体"/>
          <w:sz w:val="24"/>
          <w:highlight w:val="none"/>
        </w:rPr>
      </w:pPr>
      <w:bookmarkStart w:id="30" w:name="_Toc144974500"/>
      <w:bookmarkStart w:id="31" w:name="_Toc179632549"/>
      <w:bookmarkStart w:id="32" w:name="_Toc152042308"/>
      <w:bookmarkStart w:id="33" w:name="_Toc152045532"/>
      <w:r>
        <w:rPr>
          <w:rFonts w:hint="eastAsia" w:ascii="宋体" w:hAnsi="宋体" w:cs="宋体"/>
          <w:sz w:val="24"/>
          <w:highlight w:val="none"/>
        </w:rPr>
        <w:t>1.3采购内容、采购要求、实施期限、供货（服务）地点和质量标准</w:t>
      </w:r>
    </w:p>
    <w:p w14:paraId="1A89500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1.3.1本项目采购内容：见供应商须知前附表。</w:t>
      </w:r>
    </w:p>
    <w:p w14:paraId="35307C5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1.3.2本项目的质量标准：见供应商须知前附表</w:t>
      </w:r>
    </w:p>
    <w:p w14:paraId="6D014CA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1.3.3本项目的实施期限：见供应商须知前附表。</w:t>
      </w:r>
    </w:p>
    <w:p w14:paraId="2AA5B2B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1.3.4本项目供货（服务）地点：见供应商须知前附表。</w:t>
      </w:r>
    </w:p>
    <w:bookmarkEnd w:id="30"/>
    <w:bookmarkEnd w:id="31"/>
    <w:bookmarkEnd w:id="32"/>
    <w:bookmarkEnd w:id="33"/>
    <w:p w14:paraId="52E9E69D">
      <w:pPr>
        <w:wordWrap w:val="0"/>
        <w:spacing w:line="360" w:lineRule="auto"/>
        <w:ind w:firstLine="480" w:firstLineChars="200"/>
        <w:rPr>
          <w:rFonts w:ascii="宋体" w:hAnsi="宋体" w:cs="宋体"/>
          <w:sz w:val="24"/>
          <w:highlight w:val="none"/>
        </w:rPr>
      </w:pPr>
      <w:bookmarkStart w:id="34" w:name="_Toc179632550"/>
      <w:bookmarkStart w:id="35" w:name="_Toc152042309"/>
      <w:bookmarkStart w:id="36" w:name="_Toc144974501"/>
      <w:bookmarkStart w:id="37" w:name="_Toc152045533"/>
      <w:r>
        <w:rPr>
          <w:rFonts w:hint="eastAsia" w:ascii="宋体" w:hAnsi="宋体" w:cs="宋体"/>
          <w:sz w:val="24"/>
          <w:highlight w:val="none"/>
        </w:rPr>
        <w:t>1.4供应商资格要求</w:t>
      </w:r>
      <w:bookmarkEnd w:id="34"/>
      <w:bookmarkEnd w:id="35"/>
      <w:bookmarkEnd w:id="36"/>
      <w:bookmarkEnd w:id="37"/>
      <w:r>
        <w:rPr>
          <w:rFonts w:hint="eastAsia" w:ascii="宋体" w:hAnsi="宋体" w:cs="宋体"/>
          <w:sz w:val="24"/>
          <w:highlight w:val="none"/>
        </w:rPr>
        <w:t>：见供应商须知前附表。</w:t>
      </w:r>
    </w:p>
    <w:p w14:paraId="5FCF7FEB">
      <w:pPr>
        <w:wordWrap w:val="0"/>
        <w:spacing w:line="360" w:lineRule="auto"/>
        <w:ind w:firstLine="480" w:firstLineChars="200"/>
        <w:rPr>
          <w:rFonts w:ascii="宋体" w:hAnsi="宋体" w:cs="宋体"/>
          <w:sz w:val="24"/>
          <w:highlight w:val="none"/>
        </w:rPr>
      </w:pPr>
      <w:bookmarkStart w:id="38" w:name="_Toc179632552"/>
      <w:bookmarkStart w:id="39" w:name="_Toc152042311"/>
      <w:bookmarkStart w:id="40" w:name="_Toc152045535"/>
      <w:bookmarkStart w:id="41" w:name="_Toc144974503"/>
      <w:r>
        <w:rPr>
          <w:rFonts w:hint="eastAsia" w:ascii="宋体" w:hAnsi="宋体" w:cs="宋体"/>
          <w:sz w:val="24"/>
          <w:highlight w:val="none"/>
        </w:rPr>
        <w:t>1.5费用承担</w:t>
      </w:r>
      <w:bookmarkEnd w:id="38"/>
      <w:bookmarkEnd w:id="39"/>
      <w:bookmarkEnd w:id="40"/>
      <w:bookmarkEnd w:id="41"/>
    </w:p>
    <w:p w14:paraId="79DD31A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供应商准备和参加投标活动发生的费用自理。</w:t>
      </w:r>
    </w:p>
    <w:p w14:paraId="22ECD80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1.6保密</w:t>
      </w:r>
    </w:p>
    <w:p w14:paraId="50EAB52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参与招标投标活动的各方应对竞争性磋商文件和响应性文件中的商业和技术等秘密保密，违者应对由此造成的后果承担法律责任。</w:t>
      </w:r>
    </w:p>
    <w:p w14:paraId="2E1F893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1.7语言文字</w:t>
      </w:r>
    </w:p>
    <w:p w14:paraId="71D75B1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除专用术语外，与招标投标有关的语言均使用中文。专用术语应附有中文注释。</w:t>
      </w:r>
    </w:p>
    <w:p w14:paraId="3D6D31B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1.8计量单位</w:t>
      </w:r>
    </w:p>
    <w:p w14:paraId="289B3C9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所有计量均采用中华人民共和国法定计量单位。</w:t>
      </w:r>
    </w:p>
    <w:p w14:paraId="6C0CC95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1.9踏勘现场</w:t>
      </w:r>
    </w:p>
    <w:p w14:paraId="14D2292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4398607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1.10投标预备会</w:t>
      </w:r>
    </w:p>
    <w:p w14:paraId="29DE6AB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42C23CE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1.11分包</w:t>
      </w:r>
    </w:p>
    <w:p w14:paraId="25E6B55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0987BB8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1.12偏离</w:t>
      </w:r>
    </w:p>
    <w:p w14:paraId="143AD18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1CDFCFB4">
      <w:pPr>
        <w:wordWrap w:val="0"/>
        <w:spacing w:line="360" w:lineRule="auto"/>
        <w:ind w:firstLine="480" w:firstLineChars="200"/>
        <w:rPr>
          <w:rFonts w:ascii="宋体" w:hAnsi="宋体" w:cs="宋体"/>
          <w:kern w:val="10"/>
          <w:sz w:val="24"/>
          <w:highlight w:val="none"/>
        </w:rPr>
      </w:pPr>
      <w:bookmarkStart w:id="42" w:name="_Toc516499647"/>
      <w:r>
        <w:rPr>
          <w:rFonts w:hint="eastAsia" w:ascii="宋体" w:hAnsi="宋体" w:cs="宋体"/>
          <w:kern w:val="10"/>
          <w:sz w:val="24"/>
          <w:highlight w:val="none"/>
        </w:rPr>
        <w:t>2、竞争性磋商文件</w:t>
      </w:r>
      <w:bookmarkEnd w:id="42"/>
    </w:p>
    <w:p w14:paraId="1B35604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2.1竞争性磋商文件的组成</w:t>
      </w:r>
    </w:p>
    <w:p w14:paraId="77DAF7F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本竞争性磋商文件包括：</w:t>
      </w:r>
    </w:p>
    <w:p w14:paraId="41E644F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(1）竞争性磋商公告；</w:t>
      </w:r>
    </w:p>
    <w:p w14:paraId="390D857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(2）供应商须知；</w:t>
      </w:r>
    </w:p>
    <w:p w14:paraId="7BE4B53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(3）评标办法；</w:t>
      </w:r>
    </w:p>
    <w:p w14:paraId="40E2B01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(4）合同条款及格式；</w:t>
      </w:r>
    </w:p>
    <w:p w14:paraId="2DF6EFD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(5）采购清单；</w:t>
      </w:r>
    </w:p>
    <w:p w14:paraId="0167903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(6）响应文件格式；</w:t>
      </w:r>
    </w:p>
    <w:p w14:paraId="2A4539A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根据本章第2.2款和第2.3款对竞争性磋商文件所作的澄清、修改，构成竞争性磋商文件的组成部分。</w:t>
      </w:r>
    </w:p>
    <w:p w14:paraId="2013683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2.2竞争性磋商文件的澄清</w:t>
      </w:r>
    </w:p>
    <w:p w14:paraId="1CDB84D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6180921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2.3竞争性磋商文件的修改</w:t>
      </w:r>
    </w:p>
    <w:p w14:paraId="213BB266">
      <w:pPr>
        <w:wordWrap w:val="0"/>
        <w:spacing w:line="360" w:lineRule="auto"/>
        <w:ind w:firstLine="480" w:firstLineChars="200"/>
        <w:rPr>
          <w:rFonts w:ascii="宋体" w:hAnsi="宋体" w:cs="宋体"/>
          <w:sz w:val="24"/>
          <w:highlight w:val="none"/>
        </w:rPr>
      </w:pPr>
      <w:bookmarkStart w:id="43" w:name="_Toc516499648"/>
      <w:r>
        <w:rPr>
          <w:rFonts w:hint="eastAsia" w:ascii="宋体" w:hAnsi="宋体" w:cs="宋体"/>
          <w:sz w:val="24"/>
          <w:highlight w:val="none"/>
        </w:rPr>
        <w:t>2.3.1在投标截止时间5天前，采购人可以修改竞争性磋商文件，并以变更公告形式通知所有已购买竞争性竞争性磋商文件的供应商。</w:t>
      </w:r>
    </w:p>
    <w:p w14:paraId="69F0160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2.3.2如果修改竞争性竞争性磋商文件，会在三门峡市公共资源交易中心网发布变更公告，不再发纸质的变更信息。提醒供应商随时注意网上发布的信息。如因供应商自身原因未看到信息，因此造成的一切后果由供应商自行承担。</w:t>
      </w:r>
    </w:p>
    <w:p w14:paraId="54599D3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2.3.3为使供应商在准备竞争性磋商文件时有合理的时间考虑竞争性磋商文件的修改，招标代理机构可酌情推迟投标截止时间和开标时间，但应当至少在投标截止时间三个日历天前将变更时间以发布变更公告的形式通知所有供应商。该修改内容为竞争性磋商文件的组成部分。在此情况下，采购人和供应商受投标截止期制约的所有权利和义务均应延长至新的截止日期。</w:t>
      </w:r>
    </w:p>
    <w:p w14:paraId="3903D844">
      <w:pPr>
        <w:wordWrap w:val="0"/>
        <w:spacing w:line="360" w:lineRule="auto"/>
        <w:ind w:firstLine="480" w:firstLineChars="200"/>
        <w:rPr>
          <w:rFonts w:ascii="宋体" w:hAnsi="宋体" w:cs="宋体"/>
          <w:kern w:val="10"/>
          <w:sz w:val="24"/>
          <w:highlight w:val="none"/>
        </w:rPr>
      </w:pPr>
      <w:r>
        <w:rPr>
          <w:rFonts w:hint="eastAsia" w:ascii="宋体" w:hAnsi="宋体" w:cs="宋体"/>
          <w:kern w:val="10"/>
          <w:sz w:val="24"/>
          <w:highlight w:val="none"/>
        </w:rPr>
        <w:t>3、响应性文件</w:t>
      </w:r>
      <w:bookmarkEnd w:id="43"/>
    </w:p>
    <w:p w14:paraId="11A3EF1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3.1响应性文件的组成</w:t>
      </w:r>
    </w:p>
    <w:p w14:paraId="14060BC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3.1.1响应性文件应包括下列内容：见响应文件格式</w:t>
      </w:r>
    </w:p>
    <w:p w14:paraId="4357BE7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3.2投标报价</w:t>
      </w:r>
    </w:p>
    <w:p w14:paraId="36CCE888">
      <w:pPr>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3.2.1本项目的磋商报价采用本须知前附表所规定的方式进行报价。</w:t>
      </w:r>
    </w:p>
    <w:p w14:paraId="3513F6D2">
      <w:pPr>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3.2.2参考相关收费标准结合供应商自身情况自主报价，但不得低于本企业成本。</w:t>
      </w:r>
    </w:p>
    <w:p w14:paraId="54046B3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3.2.3供应商所报的投标报价均应包括响应人履行本项目所必须的所有成本费用和响应人应承担的一切税费，包括但不限于办公、交通、人员、业务、差旅、调研、资料收集、报告编制、印刷、管理、税费、测试工具费用及其他管理费用等</w:t>
      </w:r>
    </w:p>
    <w:p w14:paraId="6A0BAE8E">
      <w:pPr>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3.2.4投标的报价及合同所有款项的支付均以人民币计算。</w:t>
      </w:r>
    </w:p>
    <w:p w14:paraId="3745ECED">
      <w:pPr>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3.2.5应当由供应商完成的而供应商在报价组成中没有详细列出的工作内容，其报价均视为包含在报价组成已列出的项目之中，采购人不另行支付。</w:t>
      </w:r>
    </w:p>
    <w:p w14:paraId="255D0798">
      <w:pPr>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3.2.6</w:t>
      </w:r>
      <w:r>
        <w:rPr>
          <w:rFonts w:hint="eastAsia" w:ascii="宋体" w:hAnsi="宋体" w:cs="宋体"/>
          <w:b/>
          <w:sz w:val="24"/>
          <w:highlight w:val="none"/>
        </w:rPr>
        <w:t>本次磋商允许供应商有二次报价，</w:t>
      </w:r>
      <w:r>
        <w:rPr>
          <w:rFonts w:hint="eastAsia" w:ascii="宋体" w:hAnsi="宋体" w:cs="宋体"/>
          <w:b/>
          <w:bCs/>
          <w:sz w:val="24"/>
          <w:highlight w:val="none"/>
        </w:rPr>
        <w:t>供应商响应性文件中的报价作为第一次报价，不得高于项目预算金额且不公开；第二轮报价不得高于第一轮报价,</w:t>
      </w:r>
      <w:r>
        <w:rPr>
          <w:rFonts w:hint="eastAsia" w:ascii="宋体" w:hAnsi="宋体" w:cs="宋体"/>
          <w:b/>
          <w:bCs/>
          <w:sz w:val="24"/>
          <w:highlight w:val="none"/>
          <w:lang w:eastAsia="zh-CN"/>
        </w:rPr>
        <w:t>在规定时间内未提交二次报价的，以第一次报价金额为准，</w:t>
      </w:r>
      <w:r>
        <w:rPr>
          <w:rFonts w:hint="eastAsia" w:ascii="宋体" w:hAnsi="宋体" w:cs="宋体"/>
          <w:b/>
          <w:sz w:val="24"/>
          <w:highlight w:val="none"/>
        </w:rPr>
        <w:t>最后一次报价为最终报价，</w:t>
      </w:r>
      <w:r>
        <w:rPr>
          <w:rFonts w:hint="eastAsia" w:ascii="宋体" w:hAnsi="宋体" w:cs="宋体"/>
          <w:b/>
          <w:bCs/>
          <w:sz w:val="24"/>
          <w:highlight w:val="none"/>
        </w:rPr>
        <w:t>成交价以最终报价为准。</w:t>
      </w:r>
      <w:r>
        <w:rPr>
          <w:rFonts w:hint="eastAsia" w:ascii="宋体" w:hAnsi="宋体" w:cs="宋体"/>
          <w:b/>
          <w:sz w:val="24"/>
          <w:highlight w:val="none"/>
        </w:rPr>
        <w:t>最终报价是供应商响应文件的有效组成部分</w:t>
      </w:r>
      <w:r>
        <w:rPr>
          <w:rFonts w:hint="eastAsia" w:ascii="宋体" w:hAnsi="宋体" w:cs="宋体"/>
          <w:sz w:val="24"/>
          <w:highlight w:val="none"/>
        </w:rPr>
        <w:t>。</w:t>
      </w:r>
    </w:p>
    <w:p w14:paraId="0868440C">
      <w:pPr>
        <w:wordWrap w:val="0"/>
        <w:spacing w:line="360" w:lineRule="auto"/>
        <w:ind w:firstLine="480" w:firstLineChars="200"/>
        <w:rPr>
          <w:rFonts w:ascii="宋体" w:hAnsi="宋体" w:cs="宋体"/>
          <w:b/>
          <w:bCs/>
          <w:sz w:val="24"/>
          <w:highlight w:val="none"/>
        </w:rPr>
      </w:pPr>
      <w:r>
        <w:rPr>
          <w:rFonts w:hint="eastAsia" w:ascii="宋体" w:hAnsi="宋体" w:cs="宋体"/>
          <w:sz w:val="24"/>
          <w:highlight w:val="none"/>
        </w:rPr>
        <w:t>3.2.7供应商的磋商报价不得高于磋商控制价，否则为废标</w:t>
      </w:r>
    </w:p>
    <w:p w14:paraId="16AF86D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3.3磋商有效期</w:t>
      </w:r>
    </w:p>
    <w:p w14:paraId="4C662214">
      <w:pPr>
        <w:tabs>
          <w:tab w:val="left" w:pos="1002"/>
        </w:tabs>
        <w:wordWrap w:val="0"/>
        <w:overflowPunct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3.3.1自磋商截止时间起60日历天。在磋商有效期内，供应商不得要求撤销或修改其响应文件。</w:t>
      </w:r>
    </w:p>
    <w:p w14:paraId="0F41AC43">
      <w:pPr>
        <w:tabs>
          <w:tab w:val="left" w:pos="782"/>
        </w:tabs>
        <w:wordWrap w:val="0"/>
        <w:overflowPunct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3.3.2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p>
    <w:p w14:paraId="5494259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3.4磋商保证金</w:t>
      </w:r>
    </w:p>
    <w:p w14:paraId="7AABC6C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按照《河南省财政厅关于优化政府采购营商环境有关问题的通知》（豫财购[2019]4号文）的要求本项目不再收取磋商保证金。</w:t>
      </w:r>
    </w:p>
    <w:p w14:paraId="4B39CF9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3.5资格审查资料</w:t>
      </w:r>
    </w:p>
    <w:p w14:paraId="64B7F61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见供应商须知前附表供应商资格要求</w:t>
      </w:r>
    </w:p>
    <w:p w14:paraId="135788E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3.6备选投标方案</w:t>
      </w:r>
    </w:p>
    <w:p w14:paraId="43E2D94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71CEAC1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3.7响应性文件的编制</w:t>
      </w:r>
    </w:p>
    <w:p w14:paraId="2F219CA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3.7.1响应性文件应按第六章“响应性文件格式”进行编写，如有必要，可以增加附页，作为响应性文件的组成部分。</w:t>
      </w:r>
    </w:p>
    <w:p w14:paraId="0E3EEEC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3.7.2响应性文件应当对竞争性磋商文件有关实施期限、磋商有效期、质量标准、招标范围、响应性文件的编制等实质性内容作出响应。响应性文件不响应本竞争性磋商文件的实质性要求和条件的，其投标将被拒绝。</w:t>
      </w:r>
    </w:p>
    <w:p w14:paraId="5F429C0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3.7.3竞争性磋商文件中要求供应商盖章的，以签盖单位章为准；要求法定代表人或授权委托人签字或盖章的，以签盖法定代表人电子签章为准。</w:t>
      </w:r>
    </w:p>
    <w:p w14:paraId="55865ABF">
      <w:pPr>
        <w:wordWrap w:val="0"/>
        <w:spacing w:line="360" w:lineRule="auto"/>
        <w:ind w:firstLine="480" w:firstLineChars="200"/>
        <w:rPr>
          <w:rFonts w:ascii="宋体" w:hAnsi="宋体" w:cs="宋体"/>
          <w:kern w:val="10"/>
          <w:sz w:val="24"/>
          <w:highlight w:val="none"/>
        </w:rPr>
      </w:pPr>
      <w:bookmarkStart w:id="44" w:name="_Toc516499649"/>
      <w:r>
        <w:rPr>
          <w:rFonts w:hint="eastAsia" w:ascii="宋体" w:hAnsi="宋体" w:cs="宋体"/>
          <w:kern w:val="10"/>
          <w:sz w:val="24"/>
          <w:highlight w:val="none"/>
        </w:rPr>
        <w:t>4、投标</w:t>
      </w:r>
      <w:bookmarkEnd w:id="44"/>
    </w:p>
    <w:p w14:paraId="7528C73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4.1电子响应性文件的递交</w:t>
      </w:r>
    </w:p>
    <w:p w14:paraId="6AC6147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4.1.1供应商应在规定的投标截止时间前递交响应性文件。</w:t>
      </w:r>
    </w:p>
    <w:p w14:paraId="6AC459F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4.1.2供应商递交响应性文件的地点：见供应商须知前附表。</w:t>
      </w:r>
    </w:p>
    <w:p w14:paraId="4D437F5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4.1.3逾期送达的或者未送达指定地点的响应性文件，采购人不予受理。</w:t>
      </w:r>
    </w:p>
    <w:p w14:paraId="27272C6B">
      <w:pPr>
        <w:wordWrap w:val="0"/>
        <w:spacing w:line="360" w:lineRule="auto"/>
        <w:ind w:firstLine="480" w:firstLineChars="200"/>
        <w:rPr>
          <w:rFonts w:ascii="宋体" w:hAnsi="宋体" w:cs="宋体"/>
          <w:kern w:val="10"/>
          <w:sz w:val="24"/>
          <w:highlight w:val="none"/>
        </w:rPr>
      </w:pPr>
      <w:r>
        <w:rPr>
          <w:rFonts w:hint="eastAsia" w:ascii="宋体" w:hAnsi="宋体" w:cs="宋体"/>
          <w:kern w:val="10"/>
          <w:sz w:val="24"/>
          <w:highlight w:val="none"/>
        </w:rPr>
        <w:t>5．磋商</w:t>
      </w:r>
    </w:p>
    <w:p w14:paraId="5D9F7CB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5.1磋商时间和地点</w:t>
      </w:r>
    </w:p>
    <w:p w14:paraId="7DEFD2A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3378F91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5.2磋商程序</w:t>
      </w:r>
    </w:p>
    <w:p w14:paraId="6E0C12A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5.2.1采购人按须知前附表规定的时间和地点磋商；</w:t>
      </w:r>
    </w:p>
    <w:p w14:paraId="62476F4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5.2.2电子化项目开标操作流程</w:t>
      </w:r>
    </w:p>
    <w:p w14:paraId="650793DB">
      <w:pPr>
        <w:wordWrap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cs="宋体"/>
          <w:bCs/>
          <w:sz w:val="24"/>
          <w:highlight w:val="none"/>
        </w:rPr>
        <w:t>http://120.194.249.36:10094/BidOpening/bidopeninghallaction/hall/login</w:t>
      </w:r>
      <w:r>
        <w:rPr>
          <w:rFonts w:hint="eastAsia" w:ascii="宋体" w:hAnsi="宋体" w:cs="宋体"/>
          <w:sz w:val="24"/>
          <w:highlight w:val="none"/>
        </w:rPr>
        <w:t>）,在线准时参加开标活动并进行响应性文件解密等</w:t>
      </w:r>
    </w:p>
    <w:p w14:paraId="0027AAB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电子化响应性文件采用一次加密方式。开标时，由供应商使用CA证书，在规定时间内对其电子化响应性文件进行解密。每位供应商的解密时间为开标时间起30分钟内，如在规定时间内未完成解密的，其响应性文件不予开标、唱标。</w:t>
      </w:r>
    </w:p>
    <w:p w14:paraId="50B7DA8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（3）电子化响应性文件解密异常的处理</w:t>
      </w:r>
    </w:p>
    <w:p w14:paraId="3B5F585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如出现供应商的电子响应性文件无法解密等异常情况，供应商应及时致电中介服务机构说明。响应性文件异常，按以下步骤进行处理：</w:t>
      </w:r>
    </w:p>
    <w:p w14:paraId="0C1E5E6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1.首先由技术人员进行问题排查。</w:t>
      </w:r>
    </w:p>
    <w:p w14:paraId="4511075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2.经技术人员排查后，是供应商文件自身问题导致响应性文件无法解密的，该响应性文件将不予接收、解密和唱标。开标会议继续进行。</w:t>
      </w:r>
    </w:p>
    <w:p w14:paraId="4F47E30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386454D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（4）待所有供应商响应性文件解密完成后，由中介服务机构操作，对所有已解密响应性文件进行唱标。</w:t>
      </w:r>
    </w:p>
    <w:p w14:paraId="459E53E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供应商应保证在开标期间电话、电脑、网络能够正常工作，供应商因停电、电脑病毒、网络堵塞等原因，未在规定的解密时间内对响应性文件进行解密的，其响应性文件不予接收、唱标。</w:t>
      </w:r>
    </w:p>
    <w:p w14:paraId="636E2D0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3ADAAE4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2864F2D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（7）如磋商小组对需要回复的供应商连续三次致电未接通的，视为供应商放弃回复，磋商小组将自行对需要回复的内容进行认定。</w:t>
      </w:r>
    </w:p>
    <w:p w14:paraId="53C69E2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5.2.3响应性文件有下列情况之一的,采购人将不予接收：</w:t>
      </w:r>
    </w:p>
    <w:p w14:paraId="4E0F885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5.2.3.1响应性文件递交截止时间后上传的；</w:t>
      </w:r>
    </w:p>
    <w:p w14:paraId="2C51ED6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5.2.4按照响应性文件上传顺序进行解密；</w:t>
      </w:r>
    </w:p>
    <w:p w14:paraId="2A97CEA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5.2.5经确认无误后，按照报送时间顺序确定磋商顺序；</w:t>
      </w:r>
    </w:p>
    <w:p w14:paraId="50CACBC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6.磋商细则</w:t>
      </w:r>
    </w:p>
    <w:p w14:paraId="6D307E3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6.1采购人按照上传响应性文件时间的顺序，决定磋商顺序；</w:t>
      </w:r>
    </w:p>
    <w:p w14:paraId="411FF55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6.2磋商小组所有成员在指定时间和地点与各供应商单独进行磋商。每位供应商有3-5分钟时间回答磋商小组以交易中心系统电子形式的提问。在磋商中，磋商的任何一方不得透露与磋商有关的其他供应商的技术资料、价格和其他信息。竞争性磋商文件有实质性变动的，磋商小组应当以三门峡公共资源交易中心系统电子形式通知所有参加磋商的供应商。</w:t>
      </w:r>
    </w:p>
    <w:p w14:paraId="1F0D08F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6.3本次磋商中，响应性文件中的报价为第一次报价。</w:t>
      </w:r>
    </w:p>
    <w:p w14:paraId="72CCD49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6.4供应商可以在磋商小组规定的时间内进行第二次报价，通过交易中心系统以电子形式递交，第二轮报价不得高于第一轮报价，成交价以最终报价为准。磋商过程中，磋商小组可以根据磋商情况调整磋商轮次。</w:t>
      </w:r>
    </w:p>
    <w:p w14:paraId="296F68C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6.5本项目采用综合评分法，磋商小组成员综合评审各供应商提交的响应性文件，按总得分由高到低的顺序推荐3名成交候选人，并编写评审报告。</w:t>
      </w:r>
    </w:p>
    <w:p w14:paraId="028C496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7、磋商</w:t>
      </w:r>
    </w:p>
    <w:p w14:paraId="47BAE15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7.1磋商小组由采购人依法组建，负责磋商。根据《政府采购竞争性磋商采购方式管理办法》的规定，磋商小组应当履行以下义务：</w:t>
      </w:r>
    </w:p>
    <w:p w14:paraId="6C3ACDA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（一）遵纪守法，客观、公正、廉洁地履行职责；</w:t>
      </w:r>
    </w:p>
    <w:p w14:paraId="581DB0D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根据竞争性磋商文件的规定独立进行评审，对个人的评审意见承担法律责任；磋商小组将综合分析、评审供应商的各项指标，而不以单项指标的优劣评定出成交候选人或成交人。</w:t>
      </w:r>
    </w:p>
    <w:p w14:paraId="6CBED6C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参与磋商报告的起草；</w:t>
      </w:r>
    </w:p>
    <w:p w14:paraId="60D0466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配合采购人、代理机构答复供应商提出的质疑；</w:t>
      </w:r>
    </w:p>
    <w:p w14:paraId="53368B9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配合财政部门的投诉处理和监督检查工作。</w:t>
      </w:r>
    </w:p>
    <w:p w14:paraId="7A765B9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7.2磋商小组由有关技术、经济方面的专家组成。磋商小组人数及技术、经济专家的确定方式见供应商须知前附表。</w:t>
      </w:r>
    </w:p>
    <w:p w14:paraId="2EF5756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7.3磋商原则</w:t>
      </w:r>
    </w:p>
    <w:p w14:paraId="37A0EC7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7.3.1严格按照竞争性磋商文件中的所有相关规定；按照“客观、公正、审慎”的原则进行磋商。</w:t>
      </w:r>
    </w:p>
    <w:p w14:paraId="3DA2983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7.3.2反对不正当竞争。</w:t>
      </w:r>
    </w:p>
    <w:p w14:paraId="4EBB7F3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8、磋商过程的保密</w:t>
      </w:r>
    </w:p>
    <w:p w14:paraId="4EDF411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8.1响应性文件的审查、澄清、评价和比较的有关资料以及成交候选人的推荐情况，与评标有关的其他任何情况均应严格保密。</w:t>
      </w:r>
    </w:p>
    <w:p w14:paraId="5649B91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8.2在响应性文件的评审和比较、成交候选人推荐以及授予合同的过程中，供应商向采购人和磋商小组施加影响的任何行为，都将会导致其投标被拒绝。</w:t>
      </w:r>
    </w:p>
    <w:p w14:paraId="5C6F423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8.3采购人不对未成交人就评标过程以及未能成交原因作出任何解释。未成交人不得向磋商小组成员和其他有关人员索问评标过程的情况和资料。</w:t>
      </w:r>
    </w:p>
    <w:p w14:paraId="13CF759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9、响应性文件的澄清</w:t>
      </w:r>
    </w:p>
    <w:p w14:paraId="74830C8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磋商小组可以以书面形式要求供应商对其响应性文件中含义不明确的内容作必要的澄清或说明。供应商应采用书面形式进行澄清和说明，但不得超出响应性文件的范围或者改变响应性文件实质性内容。凡属于磋商小组在磋商发现的计算错误并进行核实的修改不在此列。</w:t>
      </w:r>
    </w:p>
    <w:p w14:paraId="6DD759B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10、响应性文件的初步评审</w:t>
      </w:r>
    </w:p>
    <w:p w14:paraId="275C4BB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10.1根据初步评审要求经审查有效的响应性文件，才能提交磋商小组进行评审。</w:t>
      </w:r>
    </w:p>
    <w:p w14:paraId="5957B3C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10.2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2926EF1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10.3如果响应性文件实质上不响应竞争性磋商文件的要求，采购人将予以拒绝，并且不允许供应商通过修改或撤消其不符合要求的差异或保留，使之成为具有响应性的投标。</w:t>
      </w:r>
    </w:p>
    <w:p w14:paraId="23624F1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11.响应性文件计算错误的修正</w:t>
      </w:r>
    </w:p>
    <w:p w14:paraId="4665737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11.1磋商小组将对确定为实质上响应竞争性磋商文件要求的响应性文件进行校核，看其是否有计算或表达上的错误，修正错误的原则如下：</w:t>
      </w:r>
    </w:p>
    <w:p w14:paraId="33A425D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11.1.1如果数字表示的金额和用文字表示的金额不一致时，应以文字表示的金额为准；</w:t>
      </w:r>
    </w:p>
    <w:p w14:paraId="239B91D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11.1.2当单价与数量的乘积与合价不一致时，以单价为准，除非磋商小组认为单价有明显的小数点错误，此时应以标出的合价为准，并修改单价。</w:t>
      </w:r>
    </w:p>
    <w:p w14:paraId="0F1EEEE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11.2按上述修正错误的原则及方法调整或修正响应性文件的投标报价，供应商同意后，调整后的投标报价对供应商起约束作用。如果供应商不接受修正后的报价，则磋商小组对其不再进行评审。</w:t>
      </w:r>
    </w:p>
    <w:p w14:paraId="5AFDA9C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12.响应性文件的评审、比较和否决</w:t>
      </w:r>
    </w:p>
    <w:p w14:paraId="54BEB3E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12.1磋商小组仅对在实质上响应竞争性磋商文件要求的响应性文件进行评估和比较。</w:t>
      </w:r>
    </w:p>
    <w:p w14:paraId="7004879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12.2在磋商过程中，磋商小组发现供应商的投标报价明显低于其他供应商的报价，并有可能低于其企业成本的，则磋商小组可以以书面形式要求该供应商作出书面说明并提供相关证明材料。供应商不能合理说明或不能提供相关证明材料的，磋商小组对其响应性文件不再进行评审。</w:t>
      </w:r>
    </w:p>
    <w:p w14:paraId="3CCD2432">
      <w:pPr>
        <w:wordWrap w:val="0"/>
        <w:spacing w:line="360" w:lineRule="auto"/>
        <w:ind w:firstLine="480" w:firstLineChars="200"/>
        <w:rPr>
          <w:rFonts w:ascii="宋体" w:hAnsi="宋体" w:cs="宋体"/>
          <w:snapToGrid w:val="0"/>
          <w:kern w:val="0"/>
          <w:sz w:val="24"/>
          <w:highlight w:val="none"/>
          <w:shd w:val="clear" w:color="auto" w:fill="FFFFFF"/>
        </w:rPr>
      </w:pPr>
      <w:r>
        <w:rPr>
          <w:rFonts w:hint="eastAsia" w:ascii="宋体" w:hAnsi="宋体" w:cs="宋体"/>
          <w:sz w:val="24"/>
          <w:highlight w:val="none"/>
        </w:rPr>
        <w:t>12.3.1</w:t>
      </w:r>
      <w:r>
        <w:rPr>
          <w:rFonts w:hint="eastAsia" w:ascii="宋体" w:hAnsi="宋体" w:cs="宋体"/>
          <w:snapToGrid w:val="0"/>
          <w:kern w:val="0"/>
          <w:sz w:val="24"/>
          <w:highlight w:val="none"/>
          <w:shd w:val="clear" w:color="auto" w:fill="FFFFFF"/>
        </w:rPr>
        <w:t>磋商小组应当要求所有实质性响应的供应商在规定时间内提交最后报价，提交最后报价的供应商不得少于3家。</w:t>
      </w:r>
    </w:p>
    <w:p w14:paraId="2574700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12.3.2出现下列情形之一的，采购人或者招标代理机构应当终止竞争性磋商活动，发布项目终止公告并说明原因，重新开展招标活动：</w:t>
      </w:r>
    </w:p>
    <w:p w14:paraId="7DA5CF0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（一）因情况变化，不再符合规定的竞争性磋商采购方式适用情形的；</w:t>
      </w:r>
    </w:p>
    <w:p w14:paraId="54F57D1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（二）出现影响采购公正的违法、违规行为的；</w:t>
      </w:r>
    </w:p>
    <w:p w14:paraId="75F1774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（三）除《政府采购竞争性磋商采购方式管理暂行办法》第二十一条第三款规定的情形外，在采购过程中符合要求的供应商或者报价未超过采购预算的供应商不足3家的。</w:t>
      </w:r>
    </w:p>
    <w:p w14:paraId="2C68AE1C">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13、成交原则</w:t>
      </w:r>
    </w:p>
    <w:p w14:paraId="59597060">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磋商小组根据综合评分情况，按照评审得分由高到低顺序推荐3名供应商，并编写评审报告并在报告上签字。评审得分相同的，按照最后报价由低到高的顺序推荐。评审得分且最后报价相同的，按照技术指标优劣顺序推荐。</w:t>
      </w:r>
    </w:p>
    <w:p w14:paraId="003ACD6D">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14、评审报告</w:t>
      </w:r>
    </w:p>
    <w:p w14:paraId="0B8A58FD">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磋商小组组应当根据评审记录和评审结果编写评审报告，其主要内容包括：</w:t>
      </w:r>
    </w:p>
    <w:p w14:paraId="31148F4B">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14.1招标活动的具体方式和相关情况，以及参加招标活动的供应商名单；</w:t>
      </w:r>
    </w:p>
    <w:p w14:paraId="09DE8499">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14.2评审日期和地点，磋商小组成员名单；</w:t>
      </w:r>
    </w:p>
    <w:p w14:paraId="5BC37C95">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14.3评审情况记录和说明，包括对供应商的资格审查情况、响应文件评审情况、磋商情况、报价情况等；</w:t>
      </w:r>
    </w:p>
    <w:p w14:paraId="773D950F">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14.4提出的成交候选人的名单及理由。</w:t>
      </w:r>
    </w:p>
    <w:p w14:paraId="2206E81D">
      <w:pPr>
        <w:wordWrap w:val="0"/>
        <w:spacing w:line="360" w:lineRule="auto"/>
        <w:ind w:firstLine="480" w:firstLineChars="200"/>
        <w:rPr>
          <w:rFonts w:ascii="宋体" w:hAnsi="宋体" w:cs="宋体"/>
          <w:sz w:val="24"/>
          <w:highlight w:val="none"/>
        </w:rPr>
      </w:pPr>
      <w:r>
        <w:rPr>
          <w:rFonts w:hint="eastAsia" w:ascii="宋体" w:hAnsi="宋体" w:cs="宋体"/>
          <w:bCs/>
          <w:sz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cs="宋体"/>
          <w:sz w:val="24"/>
          <w:highlight w:val="none"/>
        </w:rPr>
        <w:t>。</w:t>
      </w:r>
    </w:p>
    <w:p w14:paraId="64F8194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15、确定成交人</w:t>
      </w:r>
    </w:p>
    <w:p w14:paraId="6B3FCB3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15.1招标代理机构应当在磋商结束后1个工作日内将评审报告送采购人。采购人应当在收到评审报告后2个工作日内，按照磋商评审报告中推荐的成交候选人顺序确定成交人，并将结果发布网上。</w:t>
      </w:r>
    </w:p>
    <w:p w14:paraId="3A0022E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15.2采购人也可以授权磋商小组直接确定成交供应商。磋商小组直接确定成交供应商的应在磋商文件中写明。</w:t>
      </w:r>
    </w:p>
    <w:p w14:paraId="1D830CC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16、成交结果公告</w:t>
      </w:r>
    </w:p>
    <w:p w14:paraId="2875CB6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16.1采购人应当在成交人确定后2个工作日内，在公告发布的同一媒介上发布成交结果，同时向成交供应商发出成交通知书，并将磋商文件随成交结果同时公告，公告期限1个工作日。</w:t>
      </w:r>
    </w:p>
    <w:p w14:paraId="5F06354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16.2成交结果公告内容应当包括采购人和招标代理机构的名称、地址、联系方式，项目名称和项目编号，成交人名称、地址和成交金额，主要成交标的的名称、规格型号、数量、单价、采购要求或标的的基本概况以及磋商小组名单。</w:t>
      </w:r>
    </w:p>
    <w:p w14:paraId="03637A2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17、合同授予</w:t>
      </w:r>
    </w:p>
    <w:p w14:paraId="24DD740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17.1成交结果公示的同时，采购人以书面形式向成交人发出成交通知书。</w:t>
      </w:r>
    </w:p>
    <w:p w14:paraId="550715E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17.2供应商的最后一轮报价为成交价，成交价即为合同价。</w:t>
      </w:r>
    </w:p>
    <w:p w14:paraId="5377BF5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17.3采购人和成交人应当自成交通知书发出之日起2个工作日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385AC42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17.4在签订合同过程中，如发现成交供应商以他人名义磋商或者以其他方式弄虚作假，骗取成交的，采购人有权取消其成交资格。</w:t>
      </w:r>
    </w:p>
    <w:p w14:paraId="4DDE092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18、履约保证金</w:t>
      </w:r>
    </w:p>
    <w:p w14:paraId="090FBFE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55DA0C0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19、合同授予</w:t>
      </w:r>
    </w:p>
    <w:p w14:paraId="7CD8CB2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19.1成交供应商在收到成交通知书后2个工作日内应与采购人签订承包合同。</w:t>
      </w:r>
    </w:p>
    <w:p w14:paraId="5749D77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竞争性磋商文件成交供应商的响应性文件及其相关澄清、补遗文件等，均为签订合同的依据。</w:t>
      </w:r>
    </w:p>
    <w:p w14:paraId="76D8625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19.2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166D3F4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19.3在签订合同过程中，如发现成交供应商以他人名义磋商或者以其他方式弄虚作假，骗取成交的，采购人有权取消其成交资格。</w:t>
      </w:r>
    </w:p>
    <w:p w14:paraId="637E5E9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20、纪律和监督</w:t>
      </w:r>
    </w:p>
    <w:p w14:paraId="363843E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20.1对采购人的纪律要求</w:t>
      </w:r>
    </w:p>
    <w:p w14:paraId="7628FB0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采购人不得泄漏竞争性磋商中应当保密的情况和资料，不得与供应商串通损害国家利益、社会公共利益或者他人合法权益。</w:t>
      </w:r>
    </w:p>
    <w:p w14:paraId="67874E1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20.2对供应商的纪律要求</w:t>
      </w:r>
    </w:p>
    <w:p w14:paraId="0D3FD9E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05FD1D8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20.3对磋商小组成员的纪律要求</w:t>
      </w:r>
    </w:p>
    <w:p w14:paraId="3B66B64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584344E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20.4对与磋商活动有关的工作人员的纪律要求</w:t>
      </w:r>
    </w:p>
    <w:p w14:paraId="7888084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1ECD072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20.5投诉</w:t>
      </w:r>
    </w:p>
    <w:p w14:paraId="6BCDB9E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供应商和其他利害关系人认为本次竞争性磋商违反法律、法规和规章规定的，有权向有关行政监督部门投诉。</w:t>
      </w:r>
    </w:p>
    <w:p w14:paraId="76C6B73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21、质疑程序及处理</w:t>
      </w:r>
    </w:p>
    <w:p w14:paraId="6D4A442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6474DB0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（一）对可以质疑的磋商文件提出质疑的，为收到磋商文件之日或者磋商文件公告期限届满之日；</w:t>
      </w:r>
    </w:p>
    <w:p w14:paraId="6FD81EB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（二）对采购过程提出质疑的，为各采购程序环节结束之日；</w:t>
      </w:r>
    </w:p>
    <w:p w14:paraId="640AC10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（三）对成交结果提出质疑的，为成交结果公告期限届满之日。</w:t>
      </w:r>
    </w:p>
    <w:p w14:paraId="4409C38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21.2质疑书应当包括下列主要内容，并按照“谁主张、谁举证”的原则，附上相关证明材料。否则，采购人不予受理：</w:t>
      </w:r>
    </w:p>
    <w:p w14:paraId="3DD258B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（一）质疑供应商全称、地址、法定代表人、联系人及联系电话、邮政编码等；</w:t>
      </w:r>
    </w:p>
    <w:p w14:paraId="5FF6740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（二）被质疑采购项目的名称、编号；</w:t>
      </w:r>
    </w:p>
    <w:p w14:paraId="3C2B083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（三）质疑的具体事项、明确的请求和主张；</w:t>
      </w:r>
    </w:p>
    <w:p w14:paraId="1D62913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（四）质疑所依据的法律依据（具体条款）、具体事实和具体理由。质疑书依据理由部分只有主观陈述、推理、猜测等，而没有提供客观事实依据、法律依据的；</w:t>
      </w:r>
    </w:p>
    <w:p w14:paraId="66485A2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75B1B80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（六）充足有效的相关证明材料；如果涉及到产品功能或技术指标的，应出具相关制造商的证明文件；</w:t>
      </w:r>
    </w:p>
    <w:p w14:paraId="33E13A6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（七）质疑材料中有外文资料的，应一并附上中文译本，并以中文译本为准。</w:t>
      </w:r>
    </w:p>
    <w:p w14:paraId="6F2D637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（八）提起质疑的日期</w:t>
      </w:r>
    </w:p>
    <w:p w14:paraId="5DDD0A2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31C1BF9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21.4供应商委托代理人办理质疑事宜，应当提交授权委托书，并载明委托代理的具体权限和事项。授权委托书应当由委托人签字并加盖单位公章。</w:t>
      </w:r>
    </w:p>
    <w:p w14:paraId="1426F6B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28BB65D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40DA5A1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011F905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4F0B3DD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21.9质疑供应商对采购人的答复不满意以及采购人未在规定的时间内做出答复的，可以在答复期满后15个工作日内向财政部门投诉。</w:t>
      </w:r>
    </w:p>
    <w:p w14:paraId="7337D3A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22、需要补充的其他内容</w:t>
      </w:r>
    </w:p>
    <w:p w14:paraId="4325CB16">
      <w:pPr>
        <w:wordWrap w:val="0"/>
        <w:spacing w:line="360" w:lineRule="auto"/>
        <w:rPr>
          <w:rFonts w:ascii="宋体" w:hAnsi="宋体"/>
          <w:b/>
          <w:sz w:val="36"/>
          <w:szCs w:val="36"/>
          <w:highlight w:val="none"/>
        </w:rPr>
      </w:pPr>
      <w:r>
        <w:rPr>
          <w:rFonts w:hint="eastAsia" w:ascii="宋体" w:hAnsi="宋体" w:cs="宋体"/>
          <w:sz w:val="24"/>
          <w:highlight w:val="none"/>
        </w:rPr>
        <w:t>需要补充的其他内容：见&lt;供应商须知前附表&gt;。</w:t>
      </w:r>
    </w:p>
    <w:p w14:paraId="2E3E34C3">
      <w:pPr>
        <w:keepNext/>
        <w:keepLines/>
        <w:spacing w:after="360" w:line="500" w:lineRule="exact"/>
        <w:jc w:val="center"/>
        <w:outlineLvl w:val="0"/>
        <w:rPr>
          <w:rFonts w:ascii="宋体" w:hAnsi="宋体"/>
          <w:b/>
          <w:bCs/>
          <w:color w:val="000000"/>
          <w:kern w:val="44"/>
          <w:sz w:val="28"/>
          <w:szCs w:val="28"/>
          <w:highlight w:val="none"/>
        </w:rPr>
      </w:pPr>
      <w:r>
        <w:rPr>
          <w:rFonts w:hint="eastAsia" w:ascii="宋体" w:hAnsi="宋体" w:cs="宋体"/>
          <w:b/>
          <w:bCs/>
          <w:color w:val="000000"/>
          <w:sz w:val="24"/>
          <w:highlight w:val="none"/>
        </w:rPr>
        <w:br w:type="page"/>
      </w:r>
      <w:bookmarkStart w:id="45" w:name="_Toc26927"/>
      <w:bookmarkStart w:id="46" w:name="_Toc25845"/>
      <w:bookmarkStart w:id="47" w:name="_Toc27381_WPSOffice_Level1"/>
      <w:bookmarkStart w:id="48" w:name="_Toc12664"/>
      <w:bookmarkStart w:id="49" w:name="_Toc31119_WPSOffice_Level1"/>
      <w:bookmarkStart w:id="50" w:name="_Toc866"/>
      <w:bookmarkStart w:id="51" w:name="_Toc13441_WPSOffice_Level1"/>
      <w:bookmarkStart w:id="52" w:name="_Toc3631_WPSOffice_Level1"/>
      <w:r>
        <w:rPr>
          <w:rFonts w:hint="eastAsia" w:ascii="宋体" w:hAnsi="宋体"/>
          <w:b/>
          <w:bCs/>
          <w:color w:val="000000"/>
          <w:kern w:val="44"/>
          <w:sz w:val="28"/>
          <w:szCs w:val="28"/>
          <w:highlight w:val="none"/>
        </w:rPr>
        <w:t>第三章 评标办法</w:t>
      </w:r>
      <w:bookmarkEnd w:id="45"/>
      <w:bookmarkEnd w:id="46"/>
      <w:bookmarkEnd w:id="47"/>
      <w:bookmarkEnd w:id="48"/>
      <w:bookmarkEnd w:id="49"/>
      <w:bookmarkEnd w:id="50"/>
      <w:bookmarkEnd w:id="51"/>
      <w:bookmarkEnd w:id="52"/>
      <w:r>
        <w:rPr>
          <w:rFonts w:hint="eastAsia" w:ascii="宋体" w:hAnsi="宋体"/>
          <w:b/>
          <w:bCs/>
          <w:color w:val="000000"/>
          <w:kern w:val="44"/>
          <w:sz w:val="28"/>
          <w:szCs w:val="28"/>
          <w:highlight w:val="none"/>
        </w:rPr>
        <w:t>（综合评分法）</w:t>
      </w:r>
    </w:p>
    <w:p w14:paraId="2912C386">
      <w:pPr>
        <w:keepNext/>
        <w:keepLines/>
        <w:spacing w:line="500" w:lineRule="exact"/>
        <w:outlineLvl w:val="1"/>
        <w:rPr>
          <w:rFonts w:ascii="宋体" w:hAnsi="宋体" w:cs="宋体"/>
          <w:b/>
          <w:color w:val="000000"/>
          <w:sz w:val="24"/>
          <w:highlight w:val="none"/>
        </w:rPr>
      </w:pPr>
      <w:bookmarkStart w:id="53" w:name="_Toc466566705"/>
      <w:bookmarkEnd w:id="53"/>
      <w:bookmarkStart w:id="54" w:name="_Toc152045600"/>
      <w:bookmarkEnd w:id="54"/>
      <w:bookmarkStart w:id="55" w:name="_Toc179632622"/>
      <w:bookmarkEnd w:id="55"/>
      <w:bookmarkStart w:id="56" w:name="_Toc466566709"/>
      <w:bookmarkEnd w:id="56"/>
      <w:bookmarkStart w:id="57" w:name="_Toc144974567"/>
      <w:bookmarkEnd w:id="57"/>
      <w:bookmarkStart w:id="58" w:name="_Toc466566794"/>
      <w:bookmarkEnd w:id="58"/>
      <w:bookmarkStart w:id="59" w:name="_Toc375053349"/>
      <w:bookmarkEnd w:id="59"/>
      <w:bookmarkStart w:id="60" w:name="_Toc179632618"/>
      <w:bookmarkEnd w:id="60"/>
      <w:bookmarkStart w:id="61" w:name="_Toc375053347"/>
      <w:bookmarkEnd w:id="61"/>
      <w:bookmarkStart w:id="62" w:name="_Toc466566798"/>
      <w:bookmarkEnd w:id="62"/>
      <w:bookmarkStart w:id="63" w:name="_Toc152045604"/>
      <w:bookmarkEnd w:id="63"/>
      <w:bookmarkStart w:id="64" w:name="_Toc144974571"/>
      <w:bookmarkEnd w:id="64"/>
      <w:r>
        <w:rPr>
          <w:rFonts w:hint="eastAsia" w:ascii="宋体" w:hAnsi="宋体" w:cs="宋体"/>
          <w:b/>
          <w:color w:val="000000"/>
          <w:sz w:val="24"/>
          <w:highlight w:val="none"/>
        </w:rPr>
        <w:t>一、评标方法</w:t>
      </w:r>
    </w:p>
    <w:p w14:paraId="54ED4C5E">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本次评标采用综合评估法。磋商小组对满足磋商文件实质性要求和提交最后报价的响应文件，按本章节规定的评分标准进行综合评分，并按得分由高到低顺序推荐3名中标候选人。</w:t>
      </w:r>
    </w:p>
    <w:p w14:paraId="44C3EA55">
      <w:pPr>
        <w:keepNext/>
        <w:keepLines/>
        <w:spacing w:line="460" w:lineRule="exact"/>
        <w:outlineLvl w:val="1"/>
        <w:rPr>
          <w:rFonts w:ascii="宋体" w:hAnsi="宋体" w:cs="宋体"/>
          <w:b/>
          <w:color w:val="000000"/>
          <w:sz w:val="24"/>
          <w:highlight w:val="none"/>
        </w:rPr>
      </w:pPr>
      <w:bookmarkStart w:id="65" w:name="_Toc152045601"/>
      <w:bookmarkEnd w:id="65"/>
      <w:bookmarkStart w:id="66" w:name="_Toc466566706"/>
      <w:bookmarkEnd w:id="66"/>
      <w:bookmarkStart w:id="67" w:name="_Toc466566795"/>
      <w:bookmarkEnd w:id="67"/>
      <w:bookmarkStart w:id="68" w:name="_Toc144974568"/>
      <w:bookmarkEnd w:id="68"/>
      <w:bookmarkStart w:id="69" w:name="_Toc152042378"/>
      <w:bookmarkEnd w:id="69"/>
      <w:bookmarkStart w:id="70" w:name="_Toc179632619"/>
      <w:bookmarkEnd w:id="70"/>
      <w:bookmarkStart w:id="71" w:name="_Toc375053348"/>
      <w:r>
        <w:rPr>
          <w:rFonts w:hint="eastAsia" w:ascii="宋体" w:hAnsi="宋体" w:cs="宋体"/>
          <w:b/>
          <w:color w:val="000000"/>
          <w:sz w:val="24"/>
          <w:highlight w:val="none"/>
        </w:rPr>
        <w:t>二、评审标准</w:t>
      </w:r>
      <w:bookmarkEnd w:id="71"/>
    </w:p>
    <w:p w14:paraId="47DF0D5F">
      <w:pPr>
        <w:pStyle w:val="30"/>
        <w:spacing w:line="460" w:lineRule="exact"/>
        <w:rPr>
          <w:rFonts w:eastAsia="宋体"/>
          <w:b/>
          <w:bCs/>
          <w:color w:val="000000"/>
          <w:highlight w:val="none"/>
        </w:rPr>
      </w:pPr>
      <w:bookmarkStart w:id="72" w:name="_Toc179632620"/>
      <w:bookmarkEnd w:id="72"/>
      <w:bookmarkStart w:id="73" w:name="_Toc401512220"/>
      <w:bookmarkEnd w:id="73"/>
      <w:bookmarkStart w:id="74" w:name="_Toc152045602"/>
      <w:bookmarkEnd w:id="74"/>
      <w:bookmarkStart w:id="75" w:name="_Toc152042379"/>
      <w:bookmarkEnd w:id="75"/>
      <w:bookmarkStart w:id="76" w:name="_Toc418608946"/>
      <w:bookmarkEnd w:id="76"/>
      <w:bookmarkStart w:id="77" w:name="_Toc387498744"/>
      <w:bookmarkEnd w:id="77"/>
      <w:bookmarkStart w:id="78" w:name="_Toc421698380"/>
      <w:bookmarkEnd w:id="78"/>
      <w:bookmarkStart w:id="79" w:name="_Toc418605425"/>
      <w:bookmarkEnd w:id="79"/>
      <w:bookmarkStart w:id="80" w:name="_Toc466566707"/>
      <w:bookmarkEnd w:id="80"/>
      <w:bookmarkStart w:id="81" w:name="_Toc144974569"/>
      <w:bookmarkEnd w:id="81"/>
      <w:bookmarkStart w:id="82" w:name="_Toc401926481"/>
      <w:bookmarkEnd w:id="82"/>
      <w:bookmarkStart w:id="83" w:name="_Toc389384083"/>
      <w:bookmarkEnd w:id="83"/>
      <w:bookmarkStart w:id="84" w:name="_Toc423358128"/>
      <w:bookmarkEnd w:id="84"/>
      <w:bookmarkStart w:id="85" w:name="_Toc421805013"/>
      <w:bookmarkEnd w:id="85"/>
      <w:bookmarkStart w:id="86" w:name="_Toc466566796"/>
      <w:r>
        <w:rPr>
          <w:rFonts w:hint="eastAsia" w:eastAsia="宋体"/>
          <w:b/>
          <w:bCs/>
          <w:color w:val="000000"/>
          <w:highlight w:val="none"/>
        </w:rPr>
        <w:t>2.1 初步评审标准</w:t>
      </w:r>
      <w:bookmarkEnd w:id="86"/>
    </w:p>
    <w:p w14:paraId="64A320B4">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2.1.1资格评审标准：见附表1。</w:t>
      </w:r>
    </w:p>
    <w:p w14:paraId="3EC5D65A">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2.1.2形式审查标准：见附表1。</w:t>
      </w:r>
    </w:p>
    <w:p w14:paraId="34FB8440">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2.1.3响应性评审标准：见附表1。</w:t>
      </w:r>
    </w:p>
    <w:p w14:paraId="14E43101">
      <w:pPr>
        <w:pStyle w:val="30"/>
        <w:spacing w:line="460" w:lineRule="exact"/>
        <w:rPr>
          <w:rFonts w:eastAsia="宋体"/>
          <w:b/>
          <w:bCs/>
          <w:color w:val="000000"/>
          <w:highlight w:val="none"/>
        </w:rPr>
      </w:pPr>
      <w:bookmarkStart w:id="87" w:name="_Toc179632621"/>
      <w:bookmarkEnd w:id="87"/>
      <w:bookmarkStart w:id="88" w:name="_Toc418608947"/>
      <w:bookmarkEnd w:id="88"/>
      <w:bookmarkStart w:id="89" w:name="_Toc387498745"/>
      <w:bookmarkEnd w:id="89"/>
      <w:bookmarkStart w:id="90" w:name="_Toc466566797"/>
      <w:bookmarkEnd w:id="90"/>
      <w:bookmarkStart w:id="91" w:name="_Toc466566708"/>
      <w:bookmarkEnd w:id="91"/>
      <w:bookmarkStart w:id="92" w:name="_Toc144974570"/>
      <w:bookmarkEnd w:id="92"/>
      <w:bookmarkStart w:id="93" w:name="_Toc389384084"/>
      <w:bookmarkEnd w:id="93"/>
      <w:bookmarkStart w:id="94" w:name="_Toc401926482"/>
      <w:bookmarkEnd w:id="94"/>
      <w:bookmarkStart w:id="95" w:name="_Toc423358129"/>
      <w:bookmarkEnd w:id="95"/>
      <w:bookmarkStart w:id="96" w:name="_Toc152045603"/>
      <w:bookmarkEnd w:id="96"/>
      <w:bookmarkStart w:id="97" w:name="_Toc401512221"/>
      <w:bookmarkEnd w:id="97"/>
      <w:bookmarkStart w:id="98" w:name="_Toc418605426"/>
      <w:bookmarkEnd w:id="98"/>
      <w:bookmarkStart w:id="99" w:name="_Toc421805014"/>
      <w:bookmarkEnd w:id="99"/>
      <w:bookmarkStart w:id="100" w:name="_Toc152042380"/>
      <w:bookmarkEnd w:id="100"/>
      <w:bookmarkStart w:id="101" w:name="_Toc421698381"/>
      <w:r>
        <w:rPr>
          <w:rFonts w:hint="eastAsia" w:eastAsia="宋体"/>
          <w:b/>
          <w:bCs/>
          <w:color w:val="000000"/>
          <w:highlight w:val="none"/>
        </w:rPr>
        <w:t>2.2 分值构成与评分标准</w:t>
      </w:r>
      <w:bookmarkEnd w:id="101"/>
    </w:p>
    <w:p w14:paraId="1761F36C">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2.2.1分值构成</w:t>
      </w:r>
    </w:p>
    <w:p w14:paraId="6144EB4E">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满分100分其中：</w:t>
      </w:r>
    </w:p>
    <w:p w14:paraId="70E91B9A">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（1）商务标的权重占30%</w:t>
      </w:r>
    </w:p>
    <w:p w14:paraId="2E5C7A0F">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（2）技术标的权重占40%</w:t>
      </w:r>
    </w:p>
    <w:p w14:paraId="7FF8DD22">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（3）综合标的权重占30%</w:t>
      </w:r>
    </w:p>
    <w:p w14:paraId="76F13836">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2.2.2评标基准价计算</w:t>
      </w:r>
    </w:p>
    <w:p w14:paraId="6CF63BA8">
      <w:pPr>
        <w:spacing w:line="460" w:lineRule="exact"/>
        <w:ind w:firstLine="960" w:firstLineChars="400"/>
        <w:rPr>
          <w:rFonts w:ascii="宋体" w:hAnsi="宋体"/>
          <w:color w:val="000000"/>
          <w:sz w:val="24"/>
          <w:highlight w:val="none"/>
        </w:rPr>
      </w:pPr>
      <w:r>
        <w:rPr>
          <w:rFonts w:hint="eastAsia" w:ascii="宋体" w:hAnsi="宋体"/>
          <w:color w:val="000000"/>
          <w:sz w:val="24"/>
          <w:highlight w:val="none"/>
        </w:rPr>
        <w:t>评标基准价计算方法：见附表2；</w:t>
      </w:r>
    </w:p>
    <w:p w14:paraId="260DB3B9">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2.2.3评分标准：见附表2；</w:t>
      </w:r>
    </w:p>
    <w:p w14:paraId="609C904D">
      <w:pPr>
        <w:keepNext/>
        <w:keepLines/>
        <w:spacing w:line="460" w:lineRule="exact"/>
        <w:outlineLvl w:val="1"/>
        <w:rPr>
          <w:rFonts w:ascii="宋体" w:hAnsi="宋体" w:cs="宋体"/>
          <w:bCs/>
          <w:color w:val="000000"/>
          <w:sz w:val="24"/>
          <w:highlight w:val="none"/>
        </w:rPr>
      </w:pPr>
      <w:bookmarkStart w:id="102" w:name="_Toc152042381"/>
      <w:r>
        <w:rPr>
          <w:rFonts w:hint="eastAsia" w:ascii="宋体" w:hAnsi="宋体" w:cs="宋体"/>
          <w:bCs/>
          <w:color w:val="000000"/>
          <w:sz w:val="24"/>
          <w:highlight w:val="none"/>
        </w:rPr>
        <w:t>三、评标程序</w:t>
      </w:r>
      <w:bookmarkEnd w:id="102"/>
    </w:p>
    <w:p w14:paraId="568EE954">
      <w:pPr>
        <w:pStyle w:val="30"/>
        <w:spacing w:line="460" w:lineRule="exact"/>
        <w:rPr>
          <w:rFonts w:eastAsia="宋体"/>
          <w:b/>
          <w:bCs/>
          <w:color w:val="000000"/>
          <w:highlight w:val="none"/>
        </w:rPr>
      </w:pPr>
      <w:bookmarkStart w:id="103" w:name="_Toc418605428"/>
      <w:bookmarkEnd w:id="103"/>
      <w:bookmarkStart w:id="104" w:name="_Toc421698383"/>
      <w:bookmarkEnd w:id="104"/>
      <w:bookmarkStart w:id="105" w:name="_Toc423358131"/>
      <w:bookmarkEnd w:id="105"/>
      <w:bookmarkStart w:id="106" w:name="_Toc418608949"/>
      <w:bookmarkEnd w:id="106"/>
      <w:bookmarkStart w:id="107" w:name="_Toc421805016"/>
      <w:bookmarkEnd w:id="107"/>
      <w:bookmarkStart w:id="108" w:name="_Toc466566710"/>
      <w:bookmarkEnd w:id="108"/>
      <w:bookmarkStart w:id="109" w:name="_Toc144974572"/>
      <w:bookmarkEnd w:id="109"/>
      <w:bookmarkStart w:id="110" w:name="_Toc179632623"/>
      <w:bookmarkEnd w:id="110"/>
      <w:bookmarkStart w:id="111" w:name="_Toc466566799"/>
      <w:bookmarkEnd w:id="111"/>
      <w:bookmarkStart w:id="112" w:name="_Toc389384086"/>
      <w:bookmarkEnd w:id="112"/>
      <w:bookmarkStart w:id="113" w:name="_Toc152042382"/>
      <w:bookmarkEnd w:id="113"/>
      <w:bookmarkStart w:id="114" w:name="_Toc152045605"/>
      <w:bookmarkEnd w:id="114"/>
      <w:bookmarkStart w:id="115" w:name="_Toc401512223"/>
      <w:bookmarkEnd w:id="115"/>
      <w:bookmarkStart w:id="116" w:name="_Toc387498747"/>
      <w:bookmarkEnd w:id="116"/>
      <w:bookmarkStart w:id="117" w:name="_Toc401926484"/>
      <w:r>
        <w:rPr>
          <w:rFonts w:hint="eastAsia" w:eastAsia="宋体"/>
          <w:b/>
          <w:bCs/>
          <w:color w:val="000000"/>
          <w:highlight w:val="none"/>
        </w:rPr>
        <w:t>3.1 初步评审</w:t>
      </w:r>
      <w:bookmarkEnd w:id="117"/>
    </w:p>
    <w:p w14:paraId="6D7E2F41">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3.1.1 由磋商小组应该以响应人响应文件为准。磋商小组依据本章第2.1款规定的标准对响应文件进行初步评审。有一项不符合评审标准的，其投标将被否决。</w:t>
      </w:r>
    </w:p>
    <w:p w14:paraId="2A85B4B6">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3.1.2 磋商小组依据本章第2.1.1项、第2.1.2项、第2.1.3项规定的评审标准对响应文件进行初步评审。有一项不符合评审标准的，其投标将被否决。</w:t>
      </w:r>
    </w:p>
    <w:p w14:paraId="7ECF81F2">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3.1.3响应人有以下情形之一的，其投标将被否决：</w:t>
      </w:r>
    </w:p>
    <w:p w14:paraId="11C8D489">
      <w:pPr>
        <w:spacing w:line="460" w:lineRule="exact"/>
        <w:ind w:firstLine="820" w:firstLineChars="342"/>
        <w:rPr>
          <w:rFonts w:ascii="宋体" w:hAnsi="宋体"/>
          <w:color w:val="000000"/>
          <w:sz w:val="24"/>
          <w:highlight w:val="none"/>
        </w:rPr>
      </w:pPr>
      <w:r>
        <w:rPr>
          <w:rFonts w:hint="eastAsia" w:ascii="宋体" w:hAnsi="宋体"/>
          <w:color w:val="000000"/>
          <w:sz w:val="24"/>
          <w:highlight w:val="none"/>
        </w:rPr>
        <w:t>（1）串通投标或弄虚作假或有其他违法行为的；</w:t>
      </w:r>
    </w:p>
    <w:p w14:paraId="66A9A8B8">
      <w:pPr>
        <w:spacing w:line="460" w:lineRule="exact"/>
        <w:ind w:firstLine="820" w:firstLineChars="342"/>
        <w:rPr>
          <w:rFonts w:ascii="宋体" w:hAnsi="宋体"/>
          <w:color w:val="000000"/>
          <w:sz w:val="24"/>
          <w:highlight w:val="none"/>
        </w:rPr>
      </w:pPr>
      <w:r>
        <w:rPr>
          <w:rFonts w:hint="eastAsia" w:ascii="宋体" w:hAnsi="宋体"/>
          <w:color w:val="000000"/>
          <w:sz w:val="24"/>
          <w:highlight w:val="none"/>
        </w:rPr>
        <w:t>（2）不按磋商小组要求澄清、说明或补正的。</w:t>
      </w:r>
    </w:p>
    <w:p w14:paraId="6B7A841A">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3.1.4投标报价有算术错误的，磋商小组按以下原则对投标报价进行修正，修正的价格经响应人书面确认后具有约束力。响应人不接受修正价格的，其投标将被否决。</w:t>
      </w:r>
    </w:p>
    <w:p w14:paraId="2AA817AE">
      <w:pPr>
        <w:spacing w:line="460" w:lineRule="exact"/>
        <w:ind w:firstLine="480" w:firstLineChars="200"/>
        <w:rPr>
          <w:rFonts w:ascii="宋体" w:hAnsi="宋体"/>
          <w:color w:val="000000"/>
          <w:sz w:val="24"/>
          <w:highlight w:val="none"/>
        </w:rPr>
      </w:pPr>
      <w:bookmarkStart w:id="118" w:name="_Toc152042383"/>
      <w:bookmarkEnd w:id="118"/>
      <w:r>
        <w:rPr>
          <w:rFonts w:hint="eastAsia" w:ascii="宋体" w:hAnsi="宋体"/>
          <w:color w:val="000000"/>
          <w:sz w:val="24"/>
          <w:highlight w:val="none"/>
        </w:rPr>
        <w:t>（1）响应文件中的大写金额与小写金额不一致的，以大写金额为准；</w:t>
      </w:r>
    </w:p>
    <w:p w14:paraId="0D4014B0">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（2）总价金额与依据单价计算出的结果不一致的，以单价金额为准修正总价，但单价金额小数点有明显错误的除外。</w:t>
      </w:r>
    </w:p>
    <w:p w14:paraId="304B84E6">
      <w:pPr>
        <w:spacing w:line="460" w:lineRule="exact"/>
        <w:ind w:firstLine="480" w:firstLineChars="200"/>
        <w:rPr>
          <w:rFonts w:ascii="宋体" w:hAnsi="宋体"/>
          <w:color w:val="000000"/>
          <w:sz w:val="24"/>
          <w:highlight w:val="none"/>
        </w:rPr>
      </w:pPr>
      <w:bookmarkStart w:id="119" w:name="_Toc152042384"/>
      <w:bookmarkEnd w:id="119"/>
      <w:bookmarkStart w:id="120" w:name="_Toc179632624"/>
      <w:bookmarkEnd w:id="120"/>
      <w:bookmarkStart w:id="121" w:name="_Toc152045606"/>
      <w:bookmarkEnd w:id="121"/>
      <w:bookmarkStart w:id="122" w:name="_Toc144974573"/>
      <w:r>
        <w:rPr>
          <w:rFonts w:hint="eastAsia" w:ascii="宋体" w:hAnsi="宋体"/>
          <w:color w:val="000000"/>
          <w:sz w:val="24"/>
          <w:highlight w:val="none"/>
        </w:rPr>
        <w:t>3.1.5通过初步评审的响应人通过CA锁在系统中提交二次报价。</w:t>
      </w:r>
    </w:p>
    <w:p w14:paraId="32544345">
      <w:pPr>
        <w:spacing w:line="460" w:lineRule="exact"/>
        <w:rPr>
          <w:rFonts w:ascii="宋体" w:hAnsi="宋体"/>
          <w:b/>
          <w:bCs/>
          <w:color w:val="000000"/>
          <w:sz w:val="24"/>
          <w:highlight w:val="none"/>
        </w:rPr>
      </w:pPr>
      <w:r>
        <w:rPr>
          <w:rFonts w:hint="eastAsia" w:ascii="宋体" w:hAnsi="宋体"/>
          <w:b/>
          <w:bCs/>
          <w:color w:val="000000"/>
          <w:sz w:val="24"/>
          <w:highlight w:val="none"/>
        </w:rPr>
        <w:t>3.2 详细评审</w:t>
      </w:r>
      <w:bookmarkEnd w:id="122"/>
    </w:p>
    <w:p w14:paraId="4B08984B">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3.2.1 磋商小组按本章附表2规定的量化因素和分值进行打分，并计算出综合评估得分。</w:t>
      </w:r>
    </w:p>
    <w:p w14:paraId="2B9A6817">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3.2.2 磋商小组发现响应人的报价明显低于其他投标报价，或者在设有标底时明显低于标底，使得其投标报价可能低于其个别成本的，应当要求该响应人作出书面说明并提供相应的证明材料。响应人不能合理说明或者不能提供相应证明材料的，由磋商小组认定该响应人以低于成本报价竞标，其投标作无效标处理。</w:t>
      </w:r>
    </w:p>
    <w:p w14:paraId="44ABE321">
      <w:pPr>
        <w:pStyle w:val="30"/>
        <w:spacing w:line="460" w:lineRule="exact"/>
        <w:rPr>
          <w:rFonts w:eastAsia="宋体"/>
          <w:b/>
          <w:bCs/>
          <w:color w:val="000000"/>
          <w:highlight w:val="none"/>
        </w:rPr>
      </w:pPr>
      <w:bookmarkStart w:id="123" w:name="_Toc152045607"/>
      <w:bookmarkEnd w:id="123"/>
      <w:bookmarkStart w:id="124" w:name="_Toc466566800"/>
      <w:bookmarkEnd w:id="124"/>
      <w:bookmarkStart w:id="125" w:name="_Toc144974575"/>
      <w:bookmarkEnd w:id="125"/>
      <w:bookmarkStart w:id="126" w:name="_Toc401512224"/>
      <w:bookmarkEnd w:id="126"/>
      <w:bookmarkStart w:id="127" w:name="_Toc179632625"/>
      <w:bookmarkEnd w:id="127"/>
      <w:bookmarkStart w:id="128" w:name="_Toc418605429"/>
      <w:bookmarkEnd w:id="128"/>
      <w:bookmarkStart w:id="129" w:name="_Toc387498748"/>
      <w:bookmarkEnd w:id="129"/>
      <w:bookmarkStart w:id="130" w:name="_Toc401926485"/>
      <w:bookmarkEnd w:id="130"/>
      <w:bookmarkStart w:id="131" w:name="_Toc152042385"/>
      <w:bookmarkEnd w:id="131"/>
      <w:bookmarkStart w:id="132" w:name="_Toc389384087"/>
      <w:bookmarkEnd w:id="132"/>
      <w:bookmarkStart w:id="133" w:name="_Toc423358132"/>
      <w:bookmarkEnd w:id="133"/>
      <w:bookmarkStart w:id="134" w:name="_Toc421805017"/>
      <w:bookmarkEnd w:id="134"/>
      <w:bookmarkStart w:id="135" w:name="_Toc418608950"/>
      <w:bookmarkEnd w:id="135"/>
      <w:bookmarkStart w:id="136" w:name="_Toc466566711"/>
      <w:bookmarkEnd w:id="136"/>
      <w:bookmarkStart w:id="137" w:name="_Toc421698384"/>
      <w:r>
        <w:rPr>
          <w:rFonts w:hint="eastAsia" w:eastAsia="宋体"/>
          <w:b/>
          <w:bCs/>
          <w:color w:val="000000"/>
          <w:highlight w:val="none"/>
        </w:rPr>
        <w:t>3.3 响应文件的澄清</w:t>
      </w:r>
      <w:bookmarkEnd w:id="137"/>
      <w:r>
        <w:rPr>
          <w:rFonts w:hint="eastAsia" w:eastAsia="宋体"/>
          <w:b/>
          <w:bCs/>
          <w:color w:val="000000"/>
          <w:highlight w:val="none"/>
        </w:rPr>
        <w:t>和补正</w:t>
      </w:r>
    </w:p>
    <w:p w14:paraId="007F0CBA">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3.3.1在评标过程中，磋商小组可以书面形式要求响应人对所提交响应文件中不明确的内容进行书面澄清或说明，或者对细微偏差进行补正。磋商小组不接受响应人主动提出的澄清、说明或补正。</w:t>
      </w:r>
    </w:p>
    <w:p w14:paraId="51CCDDFB">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3.3.2 澄清、说明和补正不得改变响应文件的实质性内容（算术性错误修正的除外）。响应人的书面澄清、说明和补正属于响应文件的组成部分。</w:t>
      </w:r>
    </w:p>
    <w:p w14:paraId="26B34794">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3.3.3 磋商小组对响应人提交的澄清、说明或补正有疑问的，可以要求响应人进一步澄清、说明或补正，直至满足磋商小组的要求。</w:t>
      </w:r>
    </w:p>
    <w:p w14:paraId="1C94EB5C">
      <w:pPr>
        <w:pStyle w:val="30"/>
        <w:spacing w:line="460" w:lineRule="exact"/>
        <w:rPr>
          <w:rFonts w:eastAsia="宋体"/>
          <w:b/>
          <w:bCs/>
          <w:color w:val="000000"/>
          <w:highlight w:val="none"/>
        </w:rPr>
      </w:pPr>
      <w:bookmarkStart w:id="138" w:name="_Toc421805018"/>
      <w:bookmarkEnd w:id="138"/>
      <w:bookmarkStart w:id="139" w:name="_Toc389384088"/>
      <w:bookmarkEnd w:id="139"/>
      <w:bookmarkStart w:id="140" w:name="_Toc418605430"/>
      <w:bookmarkEnd w:id="140"/>
      <w:bookmarkStart w:id="141" w:name="_Toc401926486"/>
      <w:bookmarkEnd w:id="141"/>
      <w:bookmarkStart w:id="142" w:name="_Toc421698385"/>
      <w:bookmarkEnd w:id="142"/>
      <w:bookmarkStart w:id="143" w:name="_Toc418608951"/>
      <w:bookmarkEnd w:id="143"/>
      <w:bookmarkStart w:id="144" w:name="_Toc423358133"/>
      <w:bookmarkEnd w:id="144"/>
      <w:bookmarkStart w:id="145" w:name="_Toc401512225"/>
      <w:bookmarkEnd w:id="145"/>
      <w:bookmarkStart w:id="146" w:name="_Toc466566801"/>
      <w:bookmarkEnd w:id="146"/>
      <w:bookmarkStart w:id="147" w:name="_Toc152042386"/>
      <w:bookmarkEnd w:id="147"/>
      <w:bookmarkStart w:id="148" w:name="_Toc152045608"/>
      <w:bookmarkEnd w:id="148"/>
      <w:bookmarkStart w:id="149" w:name="_Toc179632626"/>
      <w:bookmarkEnd w:id="149"/>
      <w:bookmarkStart w:id="150" w:name="_Toc387498749"/>
      <w:bookmarkEnd w:id="150"/>
      <w:bookmarkStart w:id="151" w:name="_Toc144974576"/>
      <w:bookmarkEnd w:id="151"/>
      <w:bookmarkStart w:id="152" w:name="_Toc466566712"/>
      <w:r>
        <w:rPr>
          <w:rFonts w:hint="eastAsia" w:eastAsia="宋体"/>
          <w:b/>
          <w:bCs/>
          <w:color w:val="000000"/>
          <w:highlight w:val="none"/>
        </w:rPr>
        <w:t>3.4 评标结果</w:t>
      </w:r>
      <w:bookmarkEnd w:id="152"/>
    </w:p>
    <w:p w14:paraId="4174BA4E">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3.4.1磋商小组按照得分由高到低的顺序推荐3名中标候选人。</w:t>
      </w:r>
    </w:p>
    <w:p w14:paraId="1AA7C32D">
      <w:pPr>
        <w:spacing w:after="317" w:afterLines="100"/>
        <w:ind w:firstLine="480" w:firstLineChars="200"/>
        <w:rPr>
          <w:rFonts w:ascii="宋体" w:hAnsi="宋体" w:cs="宋体"/>
          <w:color w:val="000000"/>
          <w:sz w:val="24"/>
          <w:highlight w:val="none"/>
        </w:rPr>
      </w:pPr>
      <w:r>
        <w:rPr>
          <w:rFonts w:hint="eastAsia" w:ascii="宋体" w:hAnsi="宋体"/>
          <w:color w:val="000000"/>
          <w:sz w:val="24"/>
          <w:highlight w:val="none"/>
        </w:rPr>
        <w:t>3.4.2 磋商小组完成评标后，应当向招标人提交书面评标报告。</w:t>
      </w:r>
    </w:p>
    <w:p w14:paraId="74BF85D7">
      <w:pPr>
        <w:spacing w:after="317" w:afterLines="100"/>
        <w:outlineLvl w:val="1"/>
        <w:rPr>
          <w:b/>
          <w:bCs/>
          <w:color w:val="000000"/>
          <w:highlight w:val="none"/>
        </w:rPr>
      </w:pPr>
      <w:r>
        <w:rPr>
          <w:rFonts w:hint="eastAsia" w:ascii="宋体" w:hAnsi="宋体" w:cs="宋体"/>
          <w:color w:val="000000"/>
          <w:sz w:val="24"/>
          <w:highlight w:val="none"/>
        </w:rPr>
        <w:br w:type="page"/>
      </w:r>
      <w:r>
        <w:rPr>
          <w:rFonts w:hint="eastAsia"/>
          <w:b/>
          <w:bCs/>
          <w:color w:val="000000"/>
          <w:highlight w:val="none"/>
        </w:rPr>
        <w:t>附表1初步评审表</w:t>
      </w:r>
    </w:p>
    <w:tbl>
      <w:tblPr>
        <w:tblStyle w:val="13"/>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96"/>
        <w:gridCol w:w="2467"/>
        <w:gridCol w:w="6348"/>
      </w:tblGrid>
      <w:tr w14:paraId="202E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05" w:type="dxa"/>
            <w:gridSpan w:val="2"/>
            <w:vAlign w:val="center"/>
          </w:tcPr>
          <w:p w14:paraId="02C545A6">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条款号</w:t>
            </w:r>
          </w:p>
        </w:tc>
        <w:tc>
          <w:tcPr>
            <w:tcW w:w="2467" w:type="dxa"/>
            <w:vAlign w:val="center"/>
          </w:tcPr>
          <w:p w14:paraId="63912114">
            <w:pPr>
              <w:spacing w:line="360" w:lineRule="auto"/>
              <w:ind w:firstLine="60" w:firstLineChars="25"/>
              <w:jc w:val="center"/>
              <w:rPr>
                <w:rFonts w:ascii="Courier New" w:hAnsi="宋体"/>
                <w:color w:val="000000"/>
                <w:kern w:val="0"/>
                <w:sz w:val="24"/>
                <w:highlight w:val="none"/>
              </w:rPr>
            </w:pPr>
            <w:r>
              <w:rPr>
                <w:rFonts w:hint="eastAsia" w:ascii="Courier New" w:hAnsi="宋体"/>
                <w:color w:val="000000"/>
                <w:kern w:val="0"/>
                <w:sz w:val="24"/>
                <w:highlight w:val="none"/>
              </w:rPr>
              <w:t>评审因素</w:t>
            </w:r>
          </w:p>
        </w:tc>
        <w:tc>
          <w:tcPr>
            <w:tcW w:w="6348" w:type="dxa"/>
            <w:vAlign w:val="center"/>
          </w:tcPr>
          <w:p w14:paraId="2DD81DA7">
            <w:pPr>
              <w:spacing w:line="360" w:lineRule="auto"/>
              <w:ind w:firstLine="1920" w:firstLineChars="800"/>
              <w:jc w:val="left"/>
              <w:rPr>
                <w:rFonts w:ascii="Courier New" w:hAnsi="宋体"/>
                <w:color w:val="000000"/>
                <w:kern w:val="0"/>
                <w:sz w:val="24"/>
                <w:highlight w:val="none"/>
              </w:rPr>
            </w:pPr>
            <w:r>
              <w:rPr>
                <w:rFonts w:hint="eastAsia" w:ascii="Courier New" w:hAnsi="宋体"/>
                <w:color w:val="000000"/>
                <w:kern w:val="0"/>
                <w:sz w:val="24"/>
                <w:highlight w:val="none"/>
              </w:rPr>
              <w:t>评审标准</w:t>
            </w:r>
          </w:p>
        </w:tc>
      </w:tr>
      <w:tr w14:paraId="7B34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09" w:type="dxa"/>
            <w:vMerge w:val="restart"/>
            <w:vAlign w:val="center"/>
          </w:tcPr>
          <w:p w14:paraId="3819857E">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2.1.1</w:t>
            </w:r>
          </w:p>
        </w:tc>
        <w:tc>
          <w:tcPr>
            <w:tcW w:w="796" w:type="dxa"/>
            <w:vMerge w:val="restart"/>
            <w:vAlign w:val="center"/>
          </w:tcPr>
          <w:p w14:paraId="3DCF5DD5">
            <w:pPr>
              <w:spacing w:line="360" w:lineRule="auto"/>
              <w:jc w:val="left"/>
              <w:rPr>
                <w:rFonts w:ascii="Courier New" w:hAnsi="宋体"/>
                <w:color w:val="000000"/>
                <w:kern w:val="0"/>
                <w:sz w:val="24"/>
                <w:highlight w:val="none"/>
              </w:rPr>
            </w:pPr>
            <w:r>
              <w:rPr>
                <w:rFonts w:hint="eastAsia" w:ascii="Courier New" w:hAnsi="宋体"/>
                <w:color w:val="000000"/>
                <w:kern w:val="0"/>
                <w:sz w:val="24"/>
                <w:highlight w:val="none"/>
              </w:rPr>
              <w:t>资格</w:t>
            </w:r>
          </w:p>
          <w:p w14:paraId="557AFEE5">
            <w:pPr>
              <w:spacing w:line="360" w:lineRule="auto"/>
              <w:jc w:val="left"/>
              <w:rPr>
                <w:rFonts w:ascii="Courier New" w:hAnsi="宋体"/>
                <w:color w:val="000000"/>
                <w:kern w:val="0"/>
                <w:sz w:val="24"/>
                <w:highlight w:val="none"/>
              </w:rPr>
            </w:pPr>
            <w:r>
              <w:rPr>
                <w:rFonts w:hint="eastAsia" w:ascii="Courier New" w:hAnsi="宋体"/>
                <w:color w:val="000000"/>
                <w:kern w:val="0"/>
                <w:sz w:val="24"/>
                <w:highlight w:val="none"/>
              </w:rPr>
              <w:t>评审</w:t>
            </w:r>
          </w:p>
          <w:p w14:paraId="149427B2">
            <w:pPr>
              <w:spacing w:line="360" w:lineRule="auto"/>
              <w:rPr>
                <w:rFonts w:ascii="宋体" w:hAnsi="宋体"/>
                <w:color w:val="000000"/>
                <w:sz w:val="24"/>
                <w:highlight w:val="none"/>
              </w:rPr>
            </w:pPr>
            <w:r>
              <w:rPr>
                <w:rFonts w:hint="eastAsia" w:ascii="宋体" w:hAnsi="宋体"/>
                <w:color w:val="000000"/>
                <w:sz w:val="24"/>
                <w:highlight w:val="none"/>
              </w:rPr>
              <w:t>标准</w:t>
            </w:r>
          </w:p>
        </w:tc>
        <w:tc>
          <w:tcPr>
            <w:tcW w:w="2467" w:type="dxa"/>
            <w:vAlign w:val="center"/>
          </w:tcPr>
          <w:p w14:paraId="421325CD">
            <w:pPr>
              <w:widowControl/>
              <w:spacing w:line="480" w:lineRule="exact"/>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符合二十二条规定</w:t>
            </w:r>
          </w:p>
        </w:tc>
        <w:tc>
          <w:tcPr>
            <w:tcW w:w="6348" w:type="dxa"/>
            <w:vAlign w:val="center"/>
          </w:tcPr>
          <w:p w14:paraId="65A89461">
            <w:pPr>
              <w:spacing w:line="480" w:lineRule="exact"/>
              <w:rPr>
                <w:rFonts w:hAnsi="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满足《中华人民共和国政府采购法》第二十二条规定</w:t>
            </w:r>
          </w:p>
        </w:tc>
      </w:tr>
      <w:tr w14:paraId="1E1B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909" w:type="dxa"/>
            <w:vMerge w:val="continue"/>
            <w:vAlign w:val="center"/>
          </w:tcPr>
          <w:p w14:paraId="26AFA2B8">
            <w:pPr>
              <w:widowControl/>
              <w:jc w:val="left"/>
              <w:rPr>
                <w:rFonts w:ascii="宋体" w:hAnsi="宋体" w:cs="Courier New"/>
                <w:color w:val="000000"/>
                <w:sz w:val="24"/>
                <w:highlight w:val="none"/>
              </w:rPr>
            </w:pPr>
          </w:p>
        </w:tc>
        <w:tc>
          <w:tcPr>
            <w:tcW w:w="796" w:type="dxa"/>
            <w:vMerge w:val="continue"/>
            <w:vAlign w:val="center"/>
          </w:tcPr>
          <w:p w14:paraId="1C0E9577">
            <w:pPr>
              <w:widowControl/>
              <w:jc w:val="left"/>
              <w:rPr>
                <w:rFonts w:ascii="宋体" w:hAnsi="宋体"/>
                <w:color w:val="000000"/>
                <w:sz w:val="24"/>
                <w:highlight w:val="none"/>
              </w:rPr>
            </w:pPr>
          </w:p>
        </w:tc>
        <w:tc>
          <w:tcPr>
            <w:tcW w:w="2467" w:type="dxa"/>
            <w:vAlign w:val="center"/>
          </w:tcPr>
          <w:p w14:paraId="7871508D">
            <w:pPr>
              <w:widowControl/>
              <w:spacing w:line="480" w:lineRule="exact"/>
              <w:jc w:val="left"/>
              <w:rPr>
                <w:rFonts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营业执照</w:t>
            </w:r>
          </w:p>
        </w:tc>
        <w:tc>
          <w:tcPr>
            <w:tcW w:w="6348" w:type="dxa"/>
          </w:tcPr>
          <w:p w14:paraId="66C07244">
            <w:pPr>
              <w:widowControl/>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供应商具有独立企业法人资格, 具备有效的营业执照、税务登记证、组织机构代码证或三证合一的营业执照；</w:t>
            </w:r>
          </w:p>
        </w:tc>
      </w:tr>
      <w:tr w14:paraId="501B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09" w:type="dxa"/>
            <w:vMerge w:val="continue"/>
            <w:vAlign w:val="center"/>
          </w:tcPr>
          <w:p w14:paraId="3E0820BF">
            <w:pPr>
              <w:widowControl/>
              <w:jc w:val="left"/>
              <w:rPr>
                <w:rFonts w:ascii="宋体" w:hAnsi="宋体" w:cs="Courier New"/>
                <w:color w:val="000000"/>
                <w:sz w:val="24"/>
                <w:highlight w:val="none"/>
              </w:rPr>
            </w:pPr>
          </w:p>
        </w:tc>
        <w:tc>
          <w:tcPr>
            <w:tcW w:w="796" w:type="dxa"/>
            <w:vMerge w:val="continue"/>
            <w:vAlign w:val="center"/>
          </w:tcPr>
          <w:p w14:paraId="3713EEA0">
            <w:pPr>
              <w:widowControl/>
              <w:jc w:val="left"/>
              <w:rPr>
                <w:rFonts w:ascii="宋体" w:hAnsi="宋体"/>
                <w:color w:val="000000"/>
                <w:sz w:val="24"/>
                <w:highlight w:val="none"/>
              </w:rPr>
            </w:pPr>
          </w:p>
        </w:tc>
        <w:tc>
          <w:tcPr>
            <w:tcW w:w="2467" w:type="dxa"/>
            <w:vAlign w:val="center"/>
          </w:tcPr>
          <w:p w14:paraId="4971CB11">
            <w:pPr>
              <w:widowControl/>
              <w:spacing w:line="480" w:lineRule="exact"/>
              <w:jc w:val="left"/>
              <w:rPr>
                <w:rFonts w:hint="eastAsia"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资格要求</w:t>
            </w:r>
          </w:p>
        </w:tc>
        <w:tc>
          <w:tcPr>
            <w:tcW w:w="6348" w:type="dxa"/>
          </w:tcPr>
          <w:p w14:paraId="646A59B4">
            <w:pPr>
              <w:widowControl/>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一标段供应商需具有飞防服务作业经历的服务主体，需有5架以上植保无人机、5人以上机手，需提供植保无人机相关作业能力证明（自有设备需提供发票，租赁设备需提供租赁协议），操作人员需提供培训合格证（操作员或教员证），无人机进行喷洒作业时，能实时掌握作业信息，保证数据安全可溯；二标段需供应商提供的农药产品须“三证”（生产许可证或生产批准证、农药登记证、产品标准证）齐全，并在有效期内，提供本批次生产检验合格报告。</w:t>
            </w:r>
          </w:p>
        </w:tc>
      </w:tr>
      <w:tr w14:paraId="501E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09" w:type="dxa"/>
            <w:vMerge w:val="continue"/>
            <w:vAlign w:val="center"/>
          </w:tcPr>
          <w:p w14:paraId="4FC0334E">
            <w:pPr>
              <w:widowControl/>
              <w:jc w:val="left"/>
              <w:rPr>
                <w:rFonts w:ascii="宋体" w:hAnsi="宋体" w:cs="Courier New"/>
                <w:color w:val="000000"/>
                <w:sz w:val="24"/>
                <w:highlight w:val="none"/>
              </w:rPr>
            </w:pPr>
          </w:p>
        </w:tc>
        <w:tc>
          <w:tcPr>
            <w:tcW w:w="796" w:type="dxa"/>
            <w:vMerge w:val="continue"/>
            <w:vAlign w:val="center"/>
          </w:tcPr>
          <w:p w14:paraId="1B93AFAA">
            <w:pPr>
              <w:widowControl/>
              <w:jc w:val="left"/>
              <w:rPr>
                <w:rFonts w:ascii="宋体" w:hAnsi="宋体"/>
                <w:color w:val="000000"/>
                <w:sz w:val="24"/>
                <w:highlight w:val="none"/>
              </w:rPr>
            </w:pPr>
          </w:p>
        </w:tc>
        <w:tc>
          <w:tcPr>
            <w:tcW w:w="2467" w:type="dxa"/>
            <w:vAlign w:val="center"/>
          </w:tcPr>
          <w:p w14:paraId="71B99392">
            <w:pPr>
              <w:widowControl/>
              <w:spacing w:line="24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承诺书</w:t>
            </w:r>
          </w:p>
        </w:tc>
        <w:tc>
          <w:tcPr>
            <w:tcW w:w="6348" w:type="dxa"/>
          </w:tcPr>
          <w:p w14:paraId="1FFF31C5">
            <w:pPr>
              <w:widowControl/>
              <w:spacing w:line="48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具有履行合同所必需的设备和专业技术能力（需提供承诺书）；</w:t>
            </w:r>
          </w:p>
        </w:tc>
      </w:tr>
      <w:tr w14:paraId="5C69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5" w:hRule="atLeast"/>
          <w:jc w:val="center"/>
        </w:trPr>
        <w:tc>
          <w:tcPr>
            <w:tcW w:w="909" w:type="dxa"/>
            <w:vMerge w:val="continue"/>
            <w:vAlign w:val="center"/>
          </w:tcPr>
          <w:p w14:paraId="0C878FC0">
            <w:pPr>
              <w:widowControl/>
              <w:jc w:val="left"/>
              <w:rPr>
                <w:rFonts w:ascii="宋体" w:hAnsi="宋体" w:cs="Courier New"/>
                <w:color w:val="000000"/>
                <w:sz w:val="24"/>
                <w:highlight w:val="none"/>
              </w:rPr>
            </w:pPr>
          </w:p>
        </w:tc>
        <w:tc>
          <w:tcPr>
            <w:tcW w:w="796" w:type="dxa"/>
            <w:vMerge w:val="continue"/>
            <w:vAlign w:val="center"/>
          </w:tcPr>
          <w:p w14:paraId="05D8D6A6">
            <w:pPr>
              <w:widowControl/>
              <w:jc w:val="left"/>
              <w:rPr>
                <w:rFonts w:ascii="宋体" w:hAnsi="宋体"/>
                <w:color w:val="000000"/>
                <w:sz w:val="24"/>
                <w:highlight w:val="none"/>
              </w:rPr>
            </w:pPr>
          </w:p>
        </w:tc>
        <w:tc>
          <w:tcPr>
            <w:tcW w:w="2467" w:type="dxa"/>
            <w:vAlign w:val="center"/>
          </w:tcPr>
          <w:p w14:paraId="5F461075">
            <w:pPr>
              <w:widowControl/>
              <w:spacing w:line="240" w:lineRule="auto"/>
              <w:jc w:val="left"/>
              <w:rPr>
                <w:rFonts w:ascii="宋体" w:hAnsi="宋体" w:cs="宋体"/>
                <w:sz w:val="24"/>
                <w:highlight w:val="none"/>
              </w:rPr>
            </w:pPr>
            <w:r>
              <w:rPr>
                <w:rFonts w:hint="eastAsia" w:ascii="宋体" w:hAnsi="宋体" w:cs="宋体"/>
                <w:sz w:val="24"/>
                <w:highlight w:val="none"/>
              </w:rPr>
              <w:t>信用中国查询</w:t>
            </w:r>
          </w:p>
        </w:tc>
        <w:tc>
          <w:tcPr>
            <w:tcW w:w="6348" w:type="dxa"/>
          </w:tcPr>
          <w:p w14:paraId="22F45BC8">
            <w:pPr>
              <w:widowControl/>
              <w:spacing w:line="480" w:lineRule="exact"/>
              <w:rPr>
                <w:rFonts w:ascii="宋体" w:hAnsi="宋体" w:cs="宋体"/>
                <w:sz w:val="24"/>
                <w:highlight w:val="none"/>
              </w:rPr>
            </w:pPr>
            <w:r>
              <w:rPr>
                <w:rFonts w:hint="eastAsia" w:ascii="宋体" w:hAnsi="宋体" w:cs="宋体"/>
                <w:bCs/>
                <w:sz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35BE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909" w:type="dxa"/>
            <w:vMerge w:val="continue"/>
            <w:vAlign w:val="center"/>
          </w:tcPr>
          <w:p w14:paraId="6128647D">
            <w:pPr>
              <w:widowControl/>
              <w:jc w:val="left"/>
              <w:rPr>
                <w:rFonts w:ascii="宋体" w:hAnsi="宋体" w:cs="Courier New"/>
                <w:color w:val="000000"/>
                <w:sz w:val="24"/>
                <w:highlight w:val="none"/>
              </w:rPr>
            </w:pPr>
          </w:p>
        </w:tc>
        <w:tc>
          <w:tcPr>
            <w:tcW w:w="796" w:type="dxa"/>
            <w:vMerge w:val="continue"/>
            <w:vAlign w:val="center"/>
          </w:tcPr>
          <w:p w14:paraId="00F5623C">
            <w:pPr>
              <w:widowControl/>
              <w:jc w:val="left"/>
              <w:rPr>
                <w:rFonts w:ascii="宋体" w:hAnsi="宋体"/>
                <w:color w:val="000000"/>
                <w:sz w:val="24"/>
                <w:highlight w:val="none"/>
              </w:rPr>
            </w:pPr>
          </w:p>
        </w:tc>
        <w:tc>
          <w:tcPr>
            <w:tcW w:w="2467" w:type="dxa"/>
            <w:vAlign w:val="center"/>
          </w:tcPr>
          <w:p w14:paraId="51D5934A">
            <w:pPr>
              <w:widowControl/>
              <w:spacing w:line="240" w:lineRule="auto"/>
              <w:jc w:val="left"/>
              <w:rPr>
                <w:rFonts w:hint="eastAsia" w:ascii="宋体" w:hAnsi="宋体" w:cs="宋体"/>
                <w:sz w:val="24"/>
                <w:highlight w:val="none"/>
              </w:rPr>
            </w:pPr>
            <w:r>
              <w:rPr>
                <w:rFonts w:hint="eastAsia" w:ascii="宋体" w:hAnsi="宋体" w:eastAsia="宋体" w:cs="宋体"/>
                <w:spacing w:val="-1"/>
                <w:sz w:val="24"/>
                <w:szCs w:val="24"/>
                <w:highlight w:val="none"/>
                <w:lang w:eastAsia="zh-CN"/>
              </w:rPr>
              <w:t>国家企业信用信息公示系统</w:t>
            </w:r>
          </w:p>
        </w:tc>
        <w:tc>
          <w:tcPr>
            <w:tcW w:w="6348" w:type="dxa"/>
          </w:tcPr>
          <w:p w14:paraId="68DE36F9">
            <w:pPr>
              <w:widowControl/>
              <w:spacing w:line="480" w:lineRule="exact"/>
              <w:rPr>
                <w:rFonts w:hint="eastAsia" w:ascii="宋体" w:hAnsi="宋体" w:cs="宋体"/>
                <w:bCs/>
                <w:sz w:val="24"/>
                <w:highlight w:val="none"/>
              </w:rPr>
            </w:pPr>
            <w:r>
              <w:rPr>
                <w:rFonts w:hint="eastAsia" w:ascii="宋体" w:hAnsi="宋体" w:cs="宋体"/>
                <w:color w:val="auto"/>
                <w:sz w:val="24"/>
                <w:highlight w:val="none"/>
                <w:lang w:eastAsia="zh-CN"/>
              </w:rPr>
              <w:t>单位负责人为同一人或者存在直接控股、管理关系的不同投标人，不得参加同一合同项下的采购活动；（提供“国家企业信用信息公示系统”中查询的相关信息（查询信息需包含公司基本</w:t>
            </w:r>
            <w:r>
              <w:rPr>
                <w:rFonts w:hint="eastAsia" w:ascii="宋体" w:hAnsi="宋体" w:eastAsia="宋体" w:cs="宋体"/>
                <w:color w:val="auto"/>
                <w:sz w:val="24"/>
                <w:szCs w:val="24"/>
                <w:highlight w:val="none"/>
                <w:lang w:eastAsia="zh-CN"/>
              </w:rPr>
              <w:t>信息、股东信息及股权变更信息等相关信息，査询时间自公告发布之日起至投标截止时间前））；</w:t>
            </w:r>
          </w:p>
        </w:tc>
      </w:tr>
      <w:tr w14:paraId="3555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9" w:type="dxa"/>
            <w:vMerge w:val="continue"/>
            <w:vAlign w:val="center"/>
          </w:tcPr>
          <w:p w14:paraId="21D9B673">
            <w:pPr>
              <w:widowControl/>
              <w:jc w:val="left"/>
              <w:rPr>
                <w:rFonts w:hint="eastAsia" w:ascii="宋体" w:hAnsi="宋体" w:cs="Courier New"/>
                <w:color w:val="000000"/>
                <w:sz w:val="24"/>
                <w:highlight w:val="none"/>
              </w:rPr>
            </w:pPr>
          </w:p>
        </w:tc>
        <w:tc>
          <w:tcPr>
            <w:tcW w:w="796" w:type="dxa"/>
            <w:vMerge w:val="continue"/>
            <w:vAlign w:val="center"/>
          </w:tcPr>
          <w:p w14:paraId="29AE8781">
            <w:pPr>
              <w:widowControl/>
              <w:jc w:val="left"/>
              <w:rPr>
                <w:rFonts w:hint="eastAsia" w:ascii="宋体" w:hAnsi="宋体"/>
                <w:color w:val="000000"/>
                <w:sz w:val="24"/>
                <w:highlight w:val="none"/>
              </w:rPr>
            </w:pPr>
          </w:p>
        </w:tc>
        <w:tc>
          <w:tcPr>
            <w:tcW w:w="2467" w:type="dxa"/>
            <w:vAlign w:val="center"/>
          </w:tcPr>
          <w:p w14:paraId="710DAA5C">
            <w:pPr>
              <w:spacing w:line="271" w:lineRule="auto"/>
              <w:jc w:val="left"/>
              <w:rPr>
                <w:rFonts w:hint="eastAsia" w:ascii="Courier New" w:hAnsi="宋体" w:eastAsia="宋体"/>
                <w:kern w:val="0"/>
                <w:sz w:val="24"/>
                <w:highlight w:val="none"/>
                <w:lang w:eastAsia="zh-CN"/>
              </w:rPr>
            </w:pPr>
            <w:r>
              <w:rPr>
                <w:rFonts w:hint="eastAsia" w:ascii="Courier New" w:hAnsi="宋体"/>
                <w:kern w:val="0"/>
                <w:sz w:val="24"/>
                <w:highlight w:val="none"/>
                <w:lang w:eastAsia="zh-CN"/>
              </w:rPr>
              <w:t>非联合体投标</w:t>
            </w:r>
          </w:p>
        </w:tc>
        <w:tc>
          <w:tcPr>
            <w:tcW w:w="6348" w:type="dxa"/>
            <w:vAlign w:val="center"/>
          </w:tcPr>
          <w:p w14:paraId="6074A401">
            <w:pPr>
              <w:spacing w:line="271" w:lineRule="auto"/>
              <w:jc w:val="left"/>
              <w:rPr>
                <w:rFonts w:hint="eastAsia" w:ascii="Courier New" w:hAnsi="宋体"/>
                <w:kern w:val="0"/>
                <w:sz w:val="24"/>
                <w:highlight w:val="none"/>
              </w:rPr>
            </w:pPr>
            <w:r>
              <w:rPr>
                <w:rFonts w:hint="eastAsia" w:ascii="Courier New" w:hAnsi="宋体"/>
                <w:kern w:val="0"/>
                <w:sz w:val="24"/>
                <w:highlight w:val="none"/>
              </w:rPr>
              <w:t>本项目不接受联合体投标；</w:t>
            </w:r>
          </w:p>
        </w:tc>
      </w:tr>
      <w:tr w14:paraId="2E6B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9" w:type="dxa"/>
            <w:vMerge w:val="restart"/>
            <w:vAlign w:val="center"/>
          </w:tcPr>
          <w:p w14:paraId="5EEAC2F9">
            <w:pPr>
              <w:widowControl/>
              <w:jc w:val="left"/>
              <w:rPr>
                <w:rFonts w:ascii="宋体" w:hAnsi="宋体" w:cs="Courier New"/>
                <w:color w:val="000000"/>
                <w:sz w:val="24"/>
                <w:highlight w:val="none"/>
              </w:rPr>
            </w:pPr>
            <w:r>
              <w:rPr>
                <w:rFonts w:hint="eastAsia" w:ascii="宋体" w:hAnsi="宋体" w:cs="Courier New"/>
                <w:color w:val="000000"/>
                <w:sz w:val="24"/>
                <w:highlight w:val="none"/>
              </w:rPr>
              <w:t>2.1.2</w:t>
            </w:r>
          </w:p>
        </w:tc>
        <w:tc>
          <w:tcPr>
            <w:tcW w:w="796" w:type="dxa"/>
            <w:vMerge w:val="restart"/>
            <w:vAlign w:val="center"/>
          </w:tcPr>
          <w:p w14:paraId="718CE7E6">
            <w:pPr>
              <w:widowControl/>
              <w:jc w:val="left"/>
              <w:rPr>
                <w:rFonts w:ascii="宋体" w:hAnsi="宋体"/>
                <w:color w:val="000000"/>
                <w:sz w:val="24"/>
                <w:highlight w:val="none"/>
              </w:rPr>
            </w:pPr>
            <w:r>
              <w:rPr>
                <w:rFonts w:hint="eastAsia" w:ascii="宋体" w:hAnsi="宋体"/>
                <w:color w:val="000000"/>
                <w:sz w:val="24"/>
                <w:highlight w:val="none"/>
              </w:rPr>
              <w:t>形式评审标准</w:t>
            </w:r>
          </w:p>
        </w:tc>
        <w:tc>
          <w:tcPr>
            <w:tcW w:w="2467" w:type="dxa"/>
            <w:vAlign w:val="center"/>
          </w:tcPr>
          <w:p w14:paraId="22A2F1E3">
            <w:pPr>
              <w:spacing w:line="271" w:lineRule="auto"/>
              <w:jc w:val="left"/>
              <w:rPr>
                <w:rFonts w:ascii="Courier New" w:hAnsi="宋体"/>
                <w:kern w:val="0"/>
                <w:sz w:val="24"/>
                <w:highlight w:val="none"/>
              </w:rPr>
            </w:pPr>
            <w:r>
              <w:rPr>
                <w:rFonts w:hint="eastAsia" w:ascii="Courier New" w:hAnsi="宋体"/>
                <w:kern w:val="0"/>
                <w:sz w:val="24"/>
                <w:highlight w:val="none"/>
              </w:rPr>
              <w:t>响应人名称</w:t>
            </w:r>
          </w:p>
        </w:tc>
        <w:tc>
          <w:tcPr>
            <w:tcW w:w="6348" w:type="dxa"/>
            <w:vAlign w:val="center"/>
          </w:tcPr>
          <w:p w14:paraId="32A12493">
            <w:pPr>
              <w:spacing w:line="271" w:lineRule="auto"/>
              <w:jc w:val="left"/>
              <w:rPr>
                <w:rFonts w:ascii="Courier New" w:hAnsi="宋体"/>
                <w:kern w:val="0"/>
                <w:sz w:val="24"/>
                <w:highlight w:val="none"/>
              </w:rPr>
            </w:pPr>
            <w:r>
              <w:rPr>
                <w:rFonts w:hint="eastAsia" w:ascii="Courier New" w:hAnsi="宋体"/>
                <w:kern w:val="0"/>
                <w:sz w:val="24"/>
                <w:highlight w:val="none"/>
              </w:rPr>
              <w:t>与营业执照一致</w:t>
            </w:r>
          </w:p>
        </w:tc>
      </w:tr>
      <w:tr w14:paraId="2472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vMerge w:val="continue"/>
            <w:vAlign w:val="center"/>
          </w:tcPr>
          <w:p w14:paraId="485746EC">
            <w:pPr>
              <w:widowControl/>
              <w:jc w:val="left"/>
              <w:rPr>
                <w:rFonts w:ascii="宋体" w:hAnsi="宋体" w:cs="Courier New"/>
                <w:color w:val="000000"/>
                <w:sz w:val="24"/>
                <w:highlight w:val="none"/>
              </w:rPr>
            </w:pPr>
          </w:p>
        </w:tc>
        <w:tc>
          <w:tcPr>
            <w:tcW w:w="796" w:type="dxa"/>
            <w:vMerge w:val="continue"/>
            <w:vAlign w:val="center"/>
          </w:tcPr>
          <w:p w14:paraId="4F3DCC11">
            <w:pPr>
              <w:widowControl/>
              <w:jc w:val="left"/>
              <w:rPr>
                <w:rFonts w:ascii="宋体" w:hAnsi="宋体"/>
                <w:color w:val="000000"/>
                <w:sz w:val="24"/>
                <w:highlight w:val="none"/>
              </w:rPr>
            </w:pPr>
          </w:p>
        </w:tc>
        <w:tc>
          <w:tcPr>
            <w:tcW w:w="2467" w:type="dxa"/>
            <w:vAlign w:val="center"/>
          </w:tcPr>
          <w:p w14:paraId="7587B20F">
            <w:pPr>
              <w:spacing w:line="271" w:lineRule="auto"/>
              <w:jc w:val="left"/>
              <w:rPr>
                <w:rFonts w:ascii="Courier New" w:hAnsi="宋体"/>
                <w:kern w:val="0"/>
                <w:sz w:val="24"/>
                <w:highlight w:val="none"/>
              </w:rPr>
            </w:pPr>
            <w:r>
              <w:rPr>
                <w:rFonts w:hint="eastAsia" w:ascii="Courier New" w:hAnsi="宋体"/>
                <w:kern w:val="0"/>
                <w:sz w:val="24"/>
                <w:highlight w:val="none"/>
              </w:rPr>
              <w:t>磋商函签字盖章</w:t>
            </w:r>
          </w:p>
        </w:tc>
        <w:tc>
          <w:tcPr>
            <w:tcW w:w="6348" w:type="dxa"/>
            <w:vAlign w:val="center"/>
          </w:tcPr>
          <w:p w14:paraId="0D92C128">
            <w:pPr>
              <w:spacing w:line="271" w:lineRule="auto"/>
              <w:jc w:val="left"/>
              <w:rPr>
                <w:rFonts w:ascii="Courier New" w:hAnsi="宋体"/>
                <w:kern w:val="0"/>
                <w:sz w:val="24"/>
                <w:highlight w:val="none"/>
              </w:rPr>
            </w:pPr>
            <w:r>
              <w:rPr>
                <w:rFonts w:hint="eastAsia" w:ascii="Courier New" w:hAnsi="宋体"/>
                <w:kern w:val="0"/>
                <w:sz w:val="24"/>
                <w:highlight w:val="none"/>
              </w:rPr>
              <w:t>有单位及法定代表人签电子章</w:t>
            </w:r>
          </w:p>
        </w:tc>
      </w:tr>
      <w:tr w14:paraId="2182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09" w:type="dxa"/>
            <w:vMerge w:val="continue"/>
            <w:vAlign w:val="center"/>
          </w:tcPr>
          <w:p w14:paraId="4C00A411">
            <w:pPr>
              <w:widowControl/>
              <w:jc w:val="left"/>
              <w:rPr>
                <w:rFonts w:ascii="宋体" w:hAnsi="宋体" w:cs="Courier New"/>
                <w:color w:val="000000"/>
                <w:sz w:val="24"/>
                <w:highlight w:val="none"/>
              </w:rPr>
            </w:pPr>
          </w:p>
        </w:tc>
        <w:tc>
          <w:tcPr>
            <w:tcW w:w="796" w:type="dxa"/>
            <w:vMerge w:val="continue"/>
            <w:vAlign w:val="center"/>
          </w:tcPr>
          <w:p w14:paraId="3AC5188D">
            <w:pPr>
              <w:widowControl/>
              <w:jc w:val="left"/>
              <w:rPr>
                <w:rFonts w:ascii="宋体" w:hAnsi="宋体"/>
                <w:color w:val="000000"/>
                <w:sz w:val="24"/>
                <w:highlight w:val="none"/>
              </w:rPr>
            </w:pPr>
          </w:p>
        </w:tc>
        <w:tc>
          <w:tcPr>
            <w:tcW w:w="2467" w:type="dxa"/>
            <w:vAlign w:val="center"/>
          </w:tcPr>
          <w:p w14:paraId="3158B140">
            <w:pPr>
              <w:spacing w:line="271" w:lineRule="auto"/>
              <w:jc w:val="left"/>
              <w:rPr>
                <w:rFonts w:ascii="Courier New" w:hAnsi="宋体"/>
                <w:kern w:val="0"/>
                <w:sz w:val="24"/>
                <w:highlight w:val="none"/>
              </w:rPr>
            </w:pPr>
            <w:r>
              <w:rPr>
                <w:rFonts w:hint="eastAsia" w:ascii="Courier New" w:hAnsi="宋体"/>
                <w:kern w:val="0"/>
                <w:sz w:val="24"/>
                <w:highlight w:val="none"/>
              </w:rPr>
              <w:t>报价唯一</w:t>
            </w:r>
          </w:p>
        </w:tc>
        <w:tc>
          <w:tcPr>
            <w:tcW w:w="6348" w:type="dxa"/>
            <w:vAlign w:val="center"/>
          </w:tcPr>
          <w:p w14:paraId="76960580">
            <w:pPr>
              <w:spacing w:line="271" w:lineRule="auto"/>
              <w:jc w:val="left"/>
              <w:rPr>
                <w:rFonts w:ascii="Courier New" w:hAnsi="宋体"/>
                <w:kern w:val="0"/>
                <w:sz w:val="24"/>
                <w:highlight w:val="none"/>
              </w:rPr>
            </w:pPr>
            <w:r>
              <w:rPr>
                <w:rFonts w:hint="eastAsia" w:ascii="Courier New" w:hAnsi="宋体"/>
                <w:kern w:val="0"/>
                <w:sz w:val="24"/>
                <w:highlight w:val="none"/>
              </w:rPr>
              <w:t>响应文件中只能有一个有效报价，且不超过采购预算价</w:t>
            </w:r>
          </w:p>
        </w:tc>
      </w:tr>
      <w:tr w14:paraId="3648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09" w:type="dxa"/>
            <w:vMerge w:val="restart"/>
            <w:vAlign w:val="center"/>
          </w:tcPr>
          <w:p w14:paraId="334E1DDF">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2.1.3</w:t>
            </w:r>
          </w:p>
        </w:tc>
        <w:tc>
          <w:tcPr>
            <w:tcW w:w="796" w:type="dxa"/>
            <w:vMerge w:val="restart"/>
            <w:vAlign w:val="center"/>
          </w:tcPr>
          <w:p w14:paraId="04AD3A37">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响应</w:t>
            </w:r>
          </w:p>
          <w:p w14:paraId="4AB68694">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性评</w:t>
            </w:r>
          </w:p>
          <w:p w14:paraId="1E547272">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审标</w:t>
            </w:r>
          </w:p>
          <w:p w14:paraId="69C4EC6A">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准</w:t>
            </w:r>
          </w:p>
        </w:tc>
        <w:tc>
          <w:tcPr>
            <w:tcW w:w="2467" w:type="dxa"/>
            <w:vAlign w:val="center"/>
          </w:tcPr>
          <w:p w14:paraId="1D32D1F0">
            <w:pPr>
              <w:spacing w:line="271" w:lineRule="auto"/>
              <w:jc w:val="left"/>
              <w:rPr>
                <w:rFonts w:ascii="Courier New" w:hAnsi="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供货期</w:t>
            </w:r>
            <w:r>
              <w:rPr>
                <w:rFonts w:hint="eastAsia" w:ascii="宋体" w:hAnsi="宋体" w:cs="宋体"/>
                <w:color w:val="000000" w:themeColor="text1"/>
                <w:sz w:val="24"/>
                <w:highlight w:val="none"/>
                <w:lang w:val="en-US" w:eastAsia="zh-CN"/>
                <w14:textFill>
                  <w14:solidFill>
                    <w14:schemeClr w14:val="tx1"/>
                  </w14:solidFill>
                </w14:textFill>
              </w:rPr>
              <w:t>/服务期</w:t>
            </w:r>
          </w:p>
        </w:tc>
        <w:tc>
          <w:tcPr>
            <w:tcW w:w="6348" w:type="dxa"/>
            <w:vAlign w:val="center"/>
          </w:tcPr>
          <w:p w14:paraId="0D52896C">
            <w:pPr>
              <w:spacing w:line="380" w:lineRule="exact"/>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合同签订之日起5日历天内完成</w:t>
            </w:r>
          </w:p>
        </w:tc>
      </w:tr>
      <w:tr w14:paraId="1703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09" w:type="dxa"/>
            <w:vMerge w:val="continue"/>
            <w:vAlign w:val="center"/>
          </w:tcPr>
          <w:p w14:paraId="1E575CCD">
            <w:pPr>
              <w:widowControl/>
              <w:jc w:val="left"/>
              <w:rPr>
                <w:rFonts w:ascii="宋体" w:hAnsi="宋体" w:cs="Courier New"/>
                <w:color w:val="000000"/>
                <w:sz w:val="24"/>
                <w:highlight w:val="none"/>
              </w:rPr>
            </w:pPr>
          </w:p>
        </w:tc>
        <w:tc>
          <w:tcPr>
            <w:tcW w:w="796" w:type="dxa"/>
            <w:vMerge w:val="continue"/>
            <w:vAlign w:val="center"/>
          </w:tcPr>
          <w:p w14:paraId="0510E5D3">
            <w:pPr>
              <w:widowControl/>
              <w:jc w:val="left"/>
              <w:rPr>
                <w:rFonts w:ascii="宋体" w:hAnsi="宋体" w:cs="Courier New"/>
                <w:color w:val="000000"/>
                <w:sz w:val="24"/>
                <w:highlight w:val="none"/>
              </w:rPr>
            </w:pPr>
          </w:p>
        </w:tc>
        <w:tc>
          <w:tcPr>
            <w:tcW w:w="2467" w:type="dxa"/>
            <w:vAlign w:val="center"/>
          </w:tcPr>
          <w:p w14:paraId="5F331A91">
            <w:pPr>
              <w:spacing w:line="271" w:lineRule="auto"/>
              <w:jc w:val="left"/>
              <w:rPr>
                <w:rFonts w:ascii="Courier New" w:hAnsi="宋体"/>
                <w:kern w:val="0"/>
                <w:sz w:val="24"/>
                <w:highlight w:val="none"/>
              </w:rPr>
            </w:pPr>
            <w:r>
              <w:rPr>
                <w:rFonts w:hint="eastAsia" w:ascii="Courier New" w:hAnsi="宋体"/>
                <w:kern w:val="0"/>
                <w:sz w:val="24"/>
                <w:highlight w:val="none"/>
              </w:rPr>
              <w:t>质量标准</w:t>
            </w:r>
          </w:p>
        </w:tc>
        <w:tc>
          <w:tcPr>
            <w:tcW w:w="6348" w:type="dxa"/>
            <w:vAlign w:val="center"/>
          </w:tcPr>
          <w:p w14:paraId="22981B97">
            <w:pPr>
              <w:spacing w:line="380" w:lineRule="exact"/>
              <w:jc w:val="left"/>
              <w:rPr>
                <w:rFonts w:hint="eastAsia" w:ascii="宋体" w:hAnsi="宋体" w:eastAsia="宋体"/>
                <w:sz w:val="24"/>
                <w:highlight w:val="none"/>
                <w:lang w:eastAsia="zh-CN"/>
              </w:rPr>
            </w:pPr>
            <w:r>
              <w:rPr>
                <w:rFonts w:hint="eastAsia" w:ascii="宋体" w:hAnsi="宋体"/>
                <w:sz w:val="24"/>
                <w:highlight w:val="none"/>
                <w:lang w:eastAsia="zh-CN"/>
              </w:rPr>
              <w:t>符合国家相关规范及标准要求</w:t>
            </w:r>
          </w:p>
        </w:tc>
      </w:tr>
      <w:tr w14:paraId="0467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09" w:type="dxa"/>
            <w:vMerge w:val="continue"/>
            <w:vAlign w:val="center"/>
          </w:tcPr>
          <w:p w14:paraId="5FA7031D">
            <w:pPr>
              <w:widowControl/>
              <w:jc w:val="left"/>
              <w:rPr>
                <w:rFonts w:ascii="宋体" w:hAnsi="宋体" w:cs="Courier New"/>
                <w:color w:val="000000"/>
                <w:sz w:val="24"/>
                <w:highlight w:val="none"/>
              </w:rPr>
            </w:pPr>
          </w:p>
        </w:tc>
        <w:tc>
          <w:tcPr>
            <w:tcW w:w="796" w:type="dxa"/>
            <w:vMerge w:val="continue"/>
            <w:vAlign w:val="center"/>
          </w:tcPr>
          <w:p w14:paraId="61E9E926">
            <w:pPr>
              <w:widowControl/>
              <w:jc w:val="left"/>
              <w:rPr>
                <w:rFonts w:ascii="宋体" w:hAnsi="宋体" w:cs="Courier New"/>
                <w:color w:val="000000"/>
                <w:sz w:val="24"/>
                <w:highlight w:val="none"/>
              </w:rPr>
            </w:pPr>
          </w:p>
        </w:tc>
        <w:tc>
          <w:tcPr>
            <w:tcW w:w="2467" w:type="dxa"/>
            <w:vAlign w:val="center"/>
          </w:tcPr>
          <w:p w14:paraId="429B5A68">
            <w:pPr>
              <w:spacing w:line="271" w:lineRule="auto"/>
              <w:jc w:val="left"/>
              <w:rPr>
                <w:rFonts w:ascii="Courier New" w:hAnsi="宋体"/>
                <w:kern w:val="0"/>
                <w:sz w:val="24"/>
                <w:highlight w:val="none"/>
              </w:rPr>
            </w:pPr>
            <w:r>
              <w:rPr>
                <w:rFonts w:hint="eastAsia" w:ascii="Courier New" w:hAnsi="宋体"/>
                <w:kern w:val="0"/>
                <w:sz w:val="24"/>
                <w:highlight w:val="none"/>
              </w:rPr>
              <w:t>采购预算价</w:t>
            </w:r>
          </w:p>
        </w:tc>
        <w:tc>
          <w:tcPr>
            <w:tcW w:w="6348" w:type="dxa"/>
            <w:vAlign w:val="center"/>
          </w:tcPr>
          <w:p w14:paraId="75749A23">
            <w:pPr>
              <w:jc w:val="left"/>
              <w:rPr>
                <w:rFonts w:ascii="Courier New" w:hAnsi="宋体"/>
                <w:kern w:val="0"/>
                <w:sz w:val="24"/>
                <w:highlight w:val="none"/>
              </w:rPr>
            </w:pPr>
            <w:r>
              <w:rPr>
                <w:rFonts w:hint="eastAsia" w:ascii="Courier New" w:hAnsi="宋体"/>
                <w:kern w:val="0"/>
                <w:sz w:val="24"/>
                <w:highlight w:val="none"/>
              </w:rPr>
              <w:t>本次采购为单价报价</w:t>
            </w:r>
            <w:r>
              <w:rPr>
                <w:rFonts w:hint="eastAsia" w:ascii="Courier New" w:hAnsi="宋体"/>
                <w:kern w:val="0"/>
                <w:sz w:val="24"/>
                <w:highlight w:val="none"/>
                <w:lang w:eastAsia="zh-CN"/>
              </w:rPr>
              <w:t>，</w:t>
            </w:r>
            <w:r>
              <w:rPr>
                <w:rFonts w:hint="eastAsia" w:ascii="Courier New" w:hAnsi="宋体"/>
                <w:kern w:val="0"/>
                <w:sz w:val="24"/>
                <w:highlight w:val="none"/>
              </w:rPr>
              <w:t>响应人投标报价不得高于采购人公布的采购预算价，否则其投标将予否决。</w:t>
            </w:r>
          </w:p>
        </w:tc>
      </w:tr>
      <w:tr w14:paraId="686C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09" w:type="dxa"/>
            <w:vMerge w:val="continue"/>
            <w:vAlign w:val="center"/>
          </w:tcPr>
          <w:p w14:paraId="031DFAE1">
            <w:pPr>
              <w:widowControl/>
              <w:jc w:val="left"/>
              <w:rPr>
                <w:rFonts w:ascii="宋体" w:hAnsi="宋体" w:cs="Courier New"/>
                <w:color w:val="000000"/>
                <w:sz w:val="24"/>
                <w:highlight w:val="none"/>
              </w:rPr>
            </w:pPr>
          </w:p>
        </w:tc>
        <w:tc>
          <w:tcPr>
            <w:tcW w:w="796" w:type="dxa"/>
            <w:vMerge w:val="continue"/>
            <w:vAlign w:val="center"/>
          </w:tcPr>
          <w:p w14:paraId="47A695A6">
            <w:pPr>
              <w:widowControl/>
              <w:jc w:val="left"/>
              <w:rPr>
                <w:rFonts w:ascii="宋体" w:hAnsi="宋体" w:cs="Courier New"/>
                <w:color w:val="000000"/>
                <w:sz w:val="24"/>
                <w:highlight w:val="none"/>
              </w:rPr>
            </w:pPr>
          </w:p>
        </w:tc>
        <w:tc>
          <w:tcPr>
            <w:tcW w:w="2467" w:type="dxa"/>
            <w:vAlign w:val="center"/>
          </w:tcPr>
          <w:p w14:paraId="7BB183FC">
            <w:pPr>
              <w:spacing w:line="271" w:lineRule="auto"/>
              <w:jc w:val="left"/>
              <w:rPr>
                <w:rFonts w:ascii="Courier New" w:hAnsi="宋体"/>
                <w:color w:val="000000"/>
                <w:kern w:val="0"/>
                <w:sz w:val="24"/>
                <w:highlight w:val="none"/>
              </w:rPr>
            </w:pPr>
            <w:r>
              <w:rPr>
                <w:rFonts w:hint="eastAsia" w:ascii="Courier New" w:hAnsi="宋体"/>
                <w:color w:val="000000"/>
                <w:kern w:val="0"/>
                <w:sz w:val="24"/>
                <w:highlight w:val="none"/>
              </w:rPr>
              <w:t>其他</w:t>
            </w:r>
          </w:p>
        </w:tc>
        <w:tc>
          <w:tcPr>
            <w:tcW w:w="6348" w:type="dxa"/>
            <w:vAlign w:val="center"/>
          </w:tcPr>
          <w:p w14:paraId="482D34BF">
            <w:pPr>
              <w:jc w:val="left"/>
              <w:rPr>
                <w:rFonts w:ascii="Courier New" w:hAnsi="宋体"/>
                <w:color w:val="000000"/>
                <w:kern w:val="0"/>
                <w:sz w:val="24"/>
                <w:highlight w:val="none"/>
              </w:rPr>
            </w:pPr>
            <w:r>
              <w:rPr>
                <w:rFonts w:hint="eastAsia" w:ascii="Courier New" w:hAnsi="宋体"/>
                <w:color w:val="000000"/>
                <w:kern w:val="0"/>
                <w:sz w:val="24"/>
                <w:highlight w:val="none"/>
              </w:rPr>
              <w:t>竞争性磋商文件要求的其他内容</w:t>
            </w:r>
          </w:p>
        </w:tc>
      </w:tr>
    </w:tbl>
    <w:p w14:paraId="7CD11A40">
      <w:pPr>
        <w:keepNext/>
        <w:keepLines/>
        <w:spacing w:after="360" w:line="500" w:lineRule="exact"/>
        <w:ind w:firstLine="482" w:firstLineChars="200"/>
        <w:outlineLvl w:val="1"/>
        <w:rPr>
          <w:rFonts w:ascii="宋体" w:hAnsi="宋体" w:cs="Arial"/>
          <w:color w:val="000000"/>
          <w:sz w:val="24"/>
          <w:highlight w:val="none"/>
        </w:rPr>
      </w:pPr>
      <w:r>
        <w:rPr>
          <w:rFonts w:hint="eastAsia" w:ascii="宋体" w:hAnsi="宋体" w:cs="Arial"/>
          <w:b/>
          <w:color w:val="000000"/>
          <w:sz w:val="24"/>
          <w:highlight w:val="none"/>
        </w:rPr>
        <w:br w:type="page"/>
      </w:r>
      <w:r>
        <w:rPr>
          <w:rFonts w:hint="eastAsia" w:ascii="宋体" w:hAnsi="宋体"/>
          <w:color w:val="000000"/>
          <w:sz w:val="24"/>
          <w:highlight w:val="none"/>
        </w:rPr>
        <w:t>附表2</w:t>
      </w:r>
      <w:r>
        <w:rPr>
          <w:rFonts w:hint="eastAsia" w:ascii="宋体" w:hAnsi="宋体" w:cs="Arial"/>
          <w:color w:val="000000"/>
          <w:sz w:val="24"/>
          <w:highlight w:val="none"/>
        </w:rPr>
        <w:t>详细评审标准</w:t>
      </w:r>
    </w:p>
    <w:tbl>
      <w:tblPr>
        <w:tblStyle w:val="13"/>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245"/>
        <w:gridCol w:w="1200"/>
        <w:gridCol w:w="6394"/>
      </w:tblGrid>
      <w:tr w14:paraId="08A2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jc w:val="center"/>
        </w:trPr>
        <w:tc>
          <w:tcPr>
            <w:tcW w:w="1009" w:type="dxa"/>
            <w:vAlign w:val="center"/>
          </w:tcPr>
          <w:p w14:paraId="3766ED95">
            <w:pPr>
              <w:widowControl/>
              <w:spacing w:line="312" w:lineRule="auto"/>
              <w:rPr>
                <w:rFonts w:ascii="宋体" w:hAnsi="宋体" w:cs="宋体"/>
                <w:sz w:val="24"/>
                <w:highlight w:val="none"/>
              </w:rPr>
            </w:pPr>
            <w:r>
              <w:rPr>
                <w:rFonts w:hint="eastAsia" w:ascii="宋体" w:hAnsi="宋体" w:cs="宋体"/>
                <w:sz w:val="24"/>
                <w:highlight w:val="none"/>
              </w:rPr>
              <w:t>详细磋商</w:t>
            </w:r>
          </w:p>
        </w:tc>
        <w:tc>
          <w:tcPr>
            <w:tcW w:w="1245" w:type="dxa"/>
            <w:vAlign w:val="center"/>
          </w:tcPr>
          <w:p w14:paraId="6B3DDF38">
            <w:pPr>
              <w:widowControl/>
              <w:spacing w:line="312" w:lineRule="auto"/>
              <w:rPr>
                <w:rFonts w:ascii="宋体" w:hAnsi="宋体" w:cs="宋体"/>
                <w:sz w:val="24"/>
                <w:highlight w:val="none"/>
              </w:rPr>
            </w:pPr>
          </w:p>
        </w:tc>
        <w:tc>
          <w:tcPr>
            <w:tcW w:w="7594" w:type="dxa"/>
            <w:gridSpan w:val="2"/>
            <w:vAlign w:val="center"/>
          </w:tcPr>
          <w:p w14:paraId="784C4DCF">
            <w:pPr>
              <w:spacing w:line="360" w:lineRule="auto"/>
              <w:ind w:firstLine="480" w:firstLineChars="200"/>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本次采购为单价报价</w:t>
            </w:r>
          </w:p>
          <w:p w14:paraId="6CCE6463">
            <w:pPr>
              <w:spacing w:line="360" w:lineRule="auto"/>
              <w:ind w:firstLine="480" w:firstLineChars="200"/>
              <w:rPr>
                <w:rFonts w:ascii="宋体" w:hAnsi="宋体" w:cs="宋体"/>
                <w:b/>
                <w:bCs/>
                <w:color w:val="000000"/>
                <w:sz w:val="24"/>
                <w:highlight w:val="none"/>
              </w:rPr>
            </w:pPr>
            <w:r>
              <w:rPr>
                <w:rFonts w:hint="eastAsia" w:ascii="宋体" w:hAnsi="宋体" w:cs="宋体"/>
                <w:kern w:val="0"/>
                <w:sz w:val="24"/>
                <w:highlight w:val="none"/>
                <w:lang w:val="en-US" w:eastAsia="zh-CN"/>
              </w:rPr>
              <w:t>2</w:t>
            </w:r>
            <w:r>
              <w:rPr>
                <w:rFonts w:hint="eastAsia" w:ascii="宋体" w:hAnsi="宋体" w:cs="宋体"/>
                <w:kern w:val="0"/>
                <w:sz w:val="24"/>
                <w:highlight w:val="none"/>
              </w:rPr>
              <w:t>.供应商对所参加磋商项目根据市场行情自主报价，分二次报价，一次报价须按照磋商文件的报价格式填报，</w:t>
            </w:r>
            <w:r>
              <w:rPr>
                <w:rFonts w:hint="eastAsia" w:ascii="宋体" w:hAnsi="宋体" w:cs="宋体"/>
                <w:sz w:val="24"/>
                <w:highlight w:val="none"/>
              </w:rPr>
              <w:t>第二次报价待磋商小组发出指令后供应商在规定的时间内进行远程报价,若未在规定的时间内进行二次报价或高于一次报价的，则视为第二次报价同等于第一次报价。</w:t>
            </w:r>
          </w:p>
          <w:p w14:paraId="5ECEAAD5">
            <w:pPr>
              <w:wordWrap w:val="0"/>
              <w:topLinePunct/>
              <w:autoSpaceDE w:val="0"/>
              <w:autoSpaceDN w:val="0"/>
              <w:adjustRightInd w:val="0"/>
              <w:spacing w:line="360" w:lineRule="auto"/>
              <w:jc w:val="left"/>
              <w:rPr>
                <w:rFonts w:ascii="宋体" w:hAnsi="宋体" w:cs="宋体"/>
                <w:sz w:val="24"/>
                <w:highlight w:val="none"/>
              </w:rPr>
            </w:pPr>
            <w:r>
              <w:rPr>
                <w:rFonts w:hint="eastAsia" w:ascii="宋体" w:hAnsi="宋体" w:cs="宋体"/>
                <w:b/>
                <w:bCs/>
                <w:kern w:val="0"/>
                <w:sz w:val="24"/>
                <w:highlight w:val="none"/>
              </w:rPr>
              <w:t>（</w:t>
            </w:r>
            <w:r>
              <w:rPr>
                <w:rFonts w:hint="eastAsia" w:ascii="宋体" w:hAnsi="宋体" w:cs="宋体"/>
                <w:b/>
                <w:bCs/>
                <w:sz w:val="24"/>
                <w:highlight w:val="none"/>
              </w:rPr>
              <w:t>注：1、最后报价不得超出采购预算金额；2、最后报价明显低于成本价的，供应商需做出合理说明，否则将承担不被接受的风险</w:t>
            </w:r>
            <w:r>
              <w:rPr>
                <w:rFonts w:hint="eastAsia" w:ascii="宋体" w:hAnsi="宋体" w:cs="宋体"/>
                <w:b/>
                <w:bCs/>
                <w:kern w:val="0"/>
                <w:sz w:val="24"/>
                <w:highlight w:val="none"/>
              </w:rPr>
              <w:t>）。</w:t>
            </w:r>
          </w:p>
          <w:p w14:paraId="05749C55">
            <w:pPr>
              <w:widowControl/>
              <w:spacing w:line="312" w:lineRule="auto"/>
              <w:ind w:firstLine="480" w:firstLineChars="200"/>
              <w:rPr>
                <w:rFonts w:ascii="宋体" w:hAnsi="宋体" w:cs="宋体"/>
                <w:sz w:val="24"/>
                <w:highlight w:val="none"/>
              </w:rPr>
            </w:pPr>
            <w:r>
              <w:rPr>
                <w:rFonts w:hint="eastAsia" w:ascii="宋体" w:hAnsi="宋体" w:cs="宋体"/>
                <w:bCs/>
                <w:kern w:val="0"/>
                <w:sz w:val="24"/>
                <w:highlight w:val="none"/>
                <w:lang w:val="en-US" w:eastAsia="zh-CN"/>
              </w:rPr>
              <w:t>3</w:t>
            </w:r>
            <w:r>
              <w:rPr>
                <w:rFonts w:hint="eastAsia" w:ascii="宋体" w:hAnsi="宋体" w:cs="宋体"/>
                <w:bCs/>
                <w:kern w:val="0"/>
                <w:sz w:val="24"/>
                <w:highlight w:val="none"/>
              </w:rPr>
              <w:t>.经磋商确定最终采购需求和提交最后报价的供应商后，由磋商小组采用综合评分法对提交最后报价的供应商的响应文件和最后报价按照本章第2.2款内容进行详细性评审。</w:t>
            </w:r>
          </w:p>
        </w:tc>
      </w:tr>
      <w:tr w14:paraId="4B13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009" w:type="dxa"/>
            <w:vAlign w:val="center"/>
          </w:tcPr>
          <w:p w14:paraId="14BCFC28">
            <w:pPr>
              <w:widowControl/>
              <w:spacing w:line="312" w:lineRule="auto"/>
              <w:rPr>
                <w:rFonts w:ascii="宋体" w:hAnsi="宋体" w:cs="宋体"/>
                <w:sz w:val="24"/>
                <w:highlight w:val="none"/>
              </w:rPr>
            </w:pPr>
            <w:r>
              <w:rPr>
                <w:rFonts w:hint="eastAsia" w:ascii="宋体" w:hAnsi="宋体" w:cs="宋体"/>
                <w:sz w:val="24"/>
                <w:highlight w:val="none"/>
              </w:rPr>
              <w:t>条款号</w:t>
            </w:r>
          </w:p>
        </w:tc>
        <w:tc>
          <w:tcPr>
            <w:tcW w:w="1245" w:type="dxa"/>
            <w:vAlign w:val="center"/>
          </w:tcPr>
          <w:p w14:paraId="7A9BCBF3">
            <w:pPr>
              <w:pStyle w:val="31"/>
              <w:tabs>
                <w:tab w:val="left" w:pos="6853"/>
                <w:tab w:val="left" w:pos="8587"/>
                <w:tab w:val="left" w:pos="8599"/>
              </w:tabs>
              <w:spacing w:line="600" w:lineRule="exact"/>
              <w:ind w:firstLine="0"/>
              <w:jc w:val="center"/>
              <w:rPr>
                <w:sz w:val="24"/>
                <w:szCs w:val="24"/>
                <w:highlight w:val="none"/>
              </w:rPr>
            </w:pPr>
            <w:r>
              <w:rPr>
                <w:rFonts w:hint="eastAsia"/>
                <w:color w:val="000000"/>
                <w:sz w:val="24"/>
                <w:szCs w:val="24"/>
                <w:highlight w:val="none"/>
              </w:rPr>
              <w:t>评标项目</w:t>
            </w:r>
          </w:p>
        </w:tc>
        <w:tc>
          <w:tcPr>
            <w:tcW w:w="1200" w:type="dxa"/>
            <w:vAlign w:val="center"/>
          </w:tcPr>
          <w:p w14:paraId="48727185">
            <w:pPr>
              <w:pStyle w:val="31"/>
              <w:tabs>
                <w:tab w:val="left" w:pos="6853"/>
                <w:tab w:val="left" w:pos="8587"/>
                <w:tab w:val="left" w:pos="8599"/>
              </w:tabs>
              <w:spacing w:line="600" w:lineRule="exact"/>
              <w:ind w:firstLine="0"/>
              <w:jc w:val="center"/>
              <w:rPr>
                <w:sz w:val="24"/>
                <w:szCs w:val="24"/>
                <w:highlight w:val="none"/>
              </w:rPr>
            </w:pPr>
            <w:r>
              <w:rPr>
                <w:rFonts w:hint="eastAsia"/>
                <w:color w:val="000000"/>
                <w:sz w:val="24"/>
                <w:szCs w:val="24"/>
                <w:highlight w:val="none"/>
              </w:rPr>
              <w:t>评标分值</w:t>
            </w:r>
          </w:p>
        </w:tc>
        <w:tc>
          <w:tcPr>
            <w:tcW w:w="6394" w:type="dxa"/>
            <w:vAlign w:val="center"/>
          </w:tcPr>
          <w:p w14:paraId="1363DD65">
            <w:pPr>
              <w:pStyle w:val="31"/>
              <w:tabs>
                <w:tab w:val="left" w:pos="6853"/>
                <w:tab w:val="left" w:pos="8587"/>
                <w:tab w:val="left" w:pos="8599"/>
              </w:tabs>
              <w:spacing w:line="600" w:lineRule="exact"/>
              <w:ind w:firstLine="0"/>
              <w:jc w:val="center"/>
              <w:rPr>
                <w:sz w:val="24"/>
                <w:szCs w:val="24"/>
                <w:highlight w:val="none"/>
              </w:rPr>
            </w:pPr>
            <w:r>
              <w:rPr>
                <w:rFonts w:hint="eastAsia"/>
                <w:color w:val="000000"/>
                <w:sz w:val="24"/>
                <w:szCs w:val="24"/>
                <w:highlight w:val="none"/>
              </w:rPr>
              <w:t>评标方法描述</w:t>
            </w:r>
          </w:p>
        </w:tc>
      </w:tr>
      <w:tr w14:paraId="20EA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1" w:hRule="atLeast"/>
          <w:jc w:val="center"/>
        </w:trPr>
        <w:tc>
          <w:tcPr>
            <w:tcW w:w="1009" w:type="dxa"/>
            <w:vAlign w:val="center"/>
          </w:tcPr>
          <w:p w14:paraId="428F7E80">
            <w:pPr>
              <w:widowControl/>
              <w:spacing w:line="312" w:lineRule="auto"/>
              <w:rPr>
                <w:rFonts w:ascii="宋体" w:hAnsi="宋体" w:cs="宋体"/>
                <w:sz w:val="24"/>
                <w:highlight w:val="none"/>
              </w:rPr>
            </w:pPr>
            <w:r>
              <w:rPr>
                <w:rFonts w:hint="eastAsia" w:ascii="宋体" w:hAnsi="宋体" w:cs="宋体"/>
                <w:sz w:val="24"/>
                <w:highlight w:val="none"/>
              </w:rPr>
              <w:t>2.2.1</w:t>
            </w:r>
          </w:p>
          <w:p w14:paraId="45B1618B">
            <w:pPr>
              <w:widowControl/>
              <w:spacing w:line="312" w:lineRule="auto"/>
              <w:rPr>
                <w:rFonts w:ascii="宋体" w:hAnsi="宋体" w:cs="宋体"/>
                <w:sz w:val="24"/>
                <w:highlight w:val="none"/>
              </w:rPr>
            </w:pPr>
          </w:p>
        </w:tc>
        <w:tc>
          <w:tcPr>
            <w:tcW w:w="1245" w:type="dxa"/>
            <w:vAlign w:val="center"/>
          </w:tcPr>
          <w:p w14:paraId="617D83A8">
            <w:pPr>
              <w:widowControl/>
              <w:spacing w:line="312" w:lineRule="auto"/>
              <w:rPr>
                <w:rFonts w:ascii="宋体" w:hAnsi="宋体" w:cs="宋体"/>
                <w:sz w:val="24"/>
                <w:highlight w:val="none"/>
              </w:rPr>
            </w:pPr>
            <w:r>
              <w:rPr>
                <w:rFonts w:hint="eastAsia" w:asciiTheme="minorEastAsia" w:hAnsiTheme="minorEastAsia" w:eastAsiaTheme="minorEastAsia" w:cstheme="minorEastAsia"/>
                <w:sz w:val="24"/>
                <w:highlight w:val="none"/>
              </w:rPr>
              <w:t>价格部分（</w:t>
            </w:r>
            <w:r>
              <w:rPr>
                <w:rFonts w:hint="eastAsia" w:ascii="宋体" w:hAnsi="宋体" w:cs="宋体"/>
                <w:sz w:val="24"/>
                <w:highlight w:val="none"/>
              </w:rPr>
              <w:t>30分）</w:t>
            </w:r>
          </w:p>
        </w:tc>
        <w:tc>
          <w:tcPr>
            <w:tcW w:w="1200" w:type="dxa"/>
            <w:vAlign w:val="center"/>
          </w:tcPr>
          <w:p w14:paraId="63E66416">
            <w:pPr>
              <w:widowControl/>
              <w:spacing w:line="312" w:lineRule="auto"/>
              <w:rPr>
                <w:rFonts w:ascii="宋体" w:hAnsi="宋体" w:cs="宋体"/>
                <w:sz w:val="24"/>
                <w:highlight w:val="none"/>
              </w:rPr>
            </w:pPr>
            <w:r>
              <w:rPr>
                <w:rFonts w:hint="eastAsia" w:ascii="宋体" w:hAnsi="宋体" w:cs="宋体"/>
                <w:sz w:val="24"/>
                <w:highlight w:val="none"/>
              </w:rPr>
              <w:t>磋商报价评分标准（30分）</w:t>
            </w:r>
          </w:p>
        </w:tc>
        <w:tc>
          <w:tcPr>
            <w:tcW w:w="6394" w:type="dxa"/>
            <w:vAlign w:val="center"/>
          </w:tcPr>
          <w:p w14:paraId="39476CE4">
            <w:pPr>
              <w:spacing w:after="25" w:line="277" w:lineRule="auto"/>
              <w:rPr>
                <w:rFonts w:ascii="宋体" w:hAnsi="宋体" w:cs="宋体"/>
                <w:sz w:val="24"/>
                <w:highlight w:val="none"/>
              </w:rPr>
            </w:pPr>
            <w:r>
              <w:rPr>
                <w:rFonts w:hint="eastAsia" w:ascii="宋体" w:hAnsi="宋体" w:cs="宋体"/>
                <w:sz w:val="24"/>
                <w:highlight w:val="none"/>
              </w:rPr>
              <w:t>价格分采用低价优先法计算，即满足磋商文件要求且二次磋商报价最低的为磋商基准价，其价格分为满分。其他供应商的价格分统一按照下列公式计算：</w:t>
            </w:r>
          </w:p>
          <w:p w14:paraId="4E67DD94">
            <w:pPr>
              <w:spacing w:after="25" w:line="277" w:lineRule="auto"/>
              <w:rPr>
                <w:rFonts w:ascii="宋体" w:hAnsi="宋体" w:cs="宋体"/>
                <w:sz w:val="24"/>
                <w:highlight w:val="none"/>
              </w:rPr>
            </w:pPr>
            <w:r>
              <w:rPr>
                <w:rFonts w:hint="eastAsia" w:ascii="宋体" w:hAnsi="宋体" w:cs="宋体"/>
                <w:sz w:val="24"/>
                <w:highlight w:val="none"/>
              </w:rPr>
              <w:t>磋商报价得分=(磋商基准价／最后磋商报价)×30</w:t>
            </w:r>
          </w:p>
          <w:p w14:paraId="1D076C22">
            <w:pPr>
              <w:spacing w:line="360" w:lineRule="auto"/>
              <w:rPr>
                <w:rFonts w:ascii="宋体" w:hAnsi="宋体" w:cs="宋体"/>
                <w:b/>
                <w:sz w:val="24"/>
                <w:highlight w:val="none"/>
              </w:rPr>
            </w:pPr>
            <w:r>
              <w:rPr>
                <w:rFonts w:hint="eastAsia" w:ascii="宋体" w:hAnsi="宋体"/>
                <w:sz w:val="24"/>
                <w:highlight w:val="none"/>
              </w:rPr>
              <w:t>1、</w:t>
            </w:r>
            <w:r>
              <w:rPr>
                <w:rFonts w:ascii="宋体" w:hAnsi="宋体"/>
                <w:sz w:val="24"/>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p w14:paraId="7CAD096E">
            <w:pPr>
              <w:spacing w:line="360" w:lineRule="auto"/>
              <w:rPr>
                <w:rFonts w:hint="eastAsia" w:asciiTheme="minorEastAsia" w:hAnsiTheme="minorEastAsia" w:eastAsiaTheme="minorEastAsia" w:cstheme="minorEastAsia"/>
                <w:sz w:val="24"/>
                <w:highlight w:val="none"/>
              </w:rPr>
            </w:pPr>
            <w:r>
              <w:rPr>
                <w:rFonts w:hint="eastAsia" w:ascii="宋体" w:hAnsi="宋体" w:eastAsiaTheme="minorEastAsia"/>
                <w:sz w:val="24"/>
                <w:highlight w:val="none"/>
              </w:rPr>
              <w:t>2</w:t>
            </w:r>
            <w:r>
              <w:rPr>
                <w:rFonts w:hint="eastAsia" w:asciiTheme="minorEastAsia" w:hAnsiTheme="minorEastAsia" w:eastAsiaTheme="minorEastAsia" w:cstheme="minorEastAsia"/>
                <w:sz w:val="24"/>
                <w:highlight w:val="none"/>
              </w:rPr>
              <w:t>、超出采购人预算价的响应报价为无效报价。</w:t>
            </w:r>
          </w:p>
          <w:p w14:paraId="4C49E3F4">
            <w:pPr>
              <w:spacing w:line="360" w:lineRule="auto"/>
              <w:ind w:firstLine="482" w:firstLineChars="200"/>
              <w:rPr>
                <w:rFonts w:ascii="宋体" w:hAnsi="宋体"/>
                <w:color w:val="000000"/>
                <w:sz w:val="24"/>
                <w:highlight w:val="none"/>
              </w:rPr>
            </w:pPr>
            <w:r>
              <w:rPr>
                <w:rFonts w:hint="eastAsia" w:ascii="宋体" w:hAnsi="宋体"/>
                <w:b/>
                <w:color w:val="000000"/>
                <w:sz w:val="24"/>
                <w:highlight w:val="none"/>
              </w:rPr>
              <w:t>【注：1、最终报价不得超出采购人预算金额；2、最终报价明显低于成本价的，供应商需做出合理说明，否则将承担不被接受的风险】</w:t>
            </w:r>
            <w:r>
              <w:rPr>
                <w:rFonts w:hint="eastAsia" w:ascii="宋体" w:hAnsi="宋体"/>
                <w:color w:val="000000"/>
                <w:sz w:val="24"/>
                <w:highlight w:val="none"/>
              </w:rPr>
              <w:t>。</w:t>
            </w:r>
          </w:p>
          <w:p w14:paraId="1A50D5CD">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小微企业扶持政策支持中小企业发展措施：</w:t>
            </w:r>
          </w:p>
          <w:p w14:paraId="16D9E684">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（一）价格扣除：</w:t>
            </w:r>
            <w:r>
              <w:rPr>
                <w:rFonts w:hint="eastAsia" w:ascii="宋体" w:hAnsi="宋体" w:eastAsia="宋体" w:cs="Times New Roman"/>
                <w:color w:val="000000"/>
                <w:sz w:val="24"/>
                <w:highlight w:val="none"/>
                <w:lang w:eastAsia="zh-CN"/>
              </w:rPr>
              <w:t>供应商</w:t>
            </w:r>
            <w:r>
              <w:rPr>
                <w:rFonts w:hint="eastAsia" w:ascii="宋体" w:hAnsi="宋体" w:eastAsia="宋体" w:cs="Times New Roman"/>
                <w:color w:val="000000"/>
                <w:sz w:val="24"/>
                <w:highlight w:val="none"/>
              </w:rPr>
              <w:t>为小微企业的，则给予该</w:t>
            </w:r>
            <w:r>
              <w:rPr>
                <w:rFonts w:hint="eastAsia" w:ascii="宋体" w:hAnsi="宋体" w:eastAsia="宋体" w:cs="Times New Roman"/>
                <w:color w:val="000000"/>
                <w:sz w:val="24"/>
                <w:highlight w:val="none"/>
                <w:lang w:eastAsia="zh-CN"/>
              </w:rPr>
              <w:t>服务</w:t>
            </w:r>
            <w:r>
              <w:rPr>
                <w:rFonts w:hint="eastAsia" w:ascii="宋体" w:hAnsi="宋体" w:eastAsia="宋体" w:cs="Times New Roman"/>
                <w:color w:val="000000"/>
                <w:sz w:val="24"/>
                <w:highlight w:val="none"/>
              </w:rPr>
              <w:t>报价</w:t>
            </w:r>
            <w:r>
              <w:rPr>
                <w:rFonts w:hint="eastAsia" w:ascii="宋体" w:hAnsi="宋体" w:cs="Times New Roman"/>
                <w:color w:val="000000"/>
                <w:sz w:val="24"/>
                <w:highlight w:val="none"/>
                <w:lang w:val="en-US" w:eastAsia="zh-CN"/>
              </w:rPr>
              <w:t>2</w:t>
            </w:r>
            <w:r>
              <w:rPr>
                <w:rFonts w:hint="eastAsia" w:ascii="宋体" w:hAnsi="宋体" w:eastAsia="宋体" w:cs="Times New Roman"/>
                <w:color w:val="000000"/>
                <w:sz w:val="24"/>
                <w:highlight w:val="none"/>
                <w:lang w:val="en-US" w:eastAsia="zh-CN"/>
              </w:rPr>
              <w:t>0</w:t>
            </w:r>
            <w:r>
              <w:rPr>
                <w:rFonts w:hint="eastAsia" w:ascii="宋体" w:hAnsi="宋体" w:eastAsia="宋体" w:cs="Times New Roman"/>
                <w:color w:val="000000"/>
                <w:sz w:val="24"/>
                <w:highlight w:val="none"/>
              </w:rPr>
              <w:t>%的扣除，用扣除后的价格参与评审。参加投标的小微企业，应当按照《政府采购促进中小企业发展</w:t>
            </w:r>
            <w:r>
              <w:rPr>
                <w:rFonts w:hint="eastAsia" w:ascii="宋体" w:hAnsi="宋体" w:eastAsia="宋体" w:cs="Times New Roman"/>
                <w:color w:val="000000"/>
                <w:sz w:val="24"/>
                <w:highlight w:val="none"/>
                <w:lang w:eastAsia="zh-CN"/>
              </w:rPr>
              <w:t>管理</w:t>
            </w:r>
            <w:r>
              <w:rPr>
                <w:rFonts w:hint="eastAsia" w:ascii="宋体" w:hAnsi="宋体" w:eastAsia="宋体" w:cs="Times New Roman"/>
                <w:color w:val="000000"/>
                <w:sz w:val="24"/>
                <w:highlight w:val="none"/>
              </w:rPr>
              <w:t>办法》（财库〔20</w:t>
            </w:r>
            <w:r>
              <w:rPr>
                <w:rFonts w:hint="eastAsia" w:ascii="宋体" w:hAnsi="宋体" w:eastAsia="宋体" w:cs="Times New Roman"/>
                <w:color w:val="000000"/>
                <w:sz w:val="24"/>
                <w:highlight w:val="none"/>
                <w:lang w:val="en-US" w:eastAsia="zh-CN"/>
              </w:rPr>
              <w:t>20</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val="en-US" w:eastAsia="zh-CN"/>
              </w:rPr>
              <w:t>46</w:t>
            </w:r>
            <w:r>
              <w:rPr>
                <w:rFonts w:hint="eastAsia" w:ascii="宋体" w:hAnsi="宋体" w:eastAsia="宋体" w:cs="Times New Roman"/>
                <w:color w:val="000000"/>
                <w:sz w:val="24"/>
                <w:highlight w:val="none"/>
              </w:rPr>
              <w:t>号）的规定提供《中小微企业声明函》（中小企业划型标准详见《关于印发中小企业划型标准规定的通知》工信部联企业〔2011〕300号）。</w:t>
            </w:r>
            <w:r>
              <w:rPr>
                <w:rFonts w:hint="eastAsia" w:ascii="宋体" w:hAnsi="宋体" w:eastAsia="宋体" w:cs="Times New Roman"/>
                <w:color w:val="000000"/>
                <w:sz w:val="24"/>
                <w:highlight w:val="none"/>
                <w:lang w:eastAsia="zh-CN"/>
              </w:rPr>
              <w:t>供应商</w:t>
            </w:r>
            <w:r>
              <w:rPr>
                <w:rFonts w:hint="eastAsia" w:ascii="宋体" w:hAnsi="宋体" w:eastAsia="宋体" w:cs="Times New Roman"/>
                <w:color w:val="000000"/>
                <w:sz w:val="24"/>
                <w:highlight w:val="none"/>
              </w:rPr>
              <w:t>为大型企业的不适用本款规定。</w:t>
            </w:r>
          </w:p>
          <w:p w14:paraId="59041082">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根据财政部司法部《关于政府采购支持监狱企业发展有关问题的通知》（财库〔2014〕68号）和财政部民政部中国残疾人联合会《关于促进残疾人就业政府采购政策的通知》（财库〔2017〕141号）规定，本项目对监狱企业、残疾人福利企业作为</w:t>
            </w:r>
            <w:r>
              <w:rPr>
                <w:rFonts w:hint="eastAsia" w:ascii="宋体" w:hAnsi="宋体" w:eastAsia="宋体" w:cs="Times New Roman"/>
                <w:color w:val="000000"/>
                <w:sz w:val="24"/>
                <w:highlight w:val="none"/>
                <w:lang w:eastAsia="zh-CN"/>
              </w:rPr>
              <w:t>供应商</w:t>
            </w:r>
            <w:r>
              <w:rPr>
                <w:rFonts w:hint="eastAsia" w:ascii="宋体" w:hAnsi="宋体" w:eastAsia="宋体" w:cs="Times New Roman"/>
                <w:color w:val="000000"/>
                <w:sz w:val="24"/>
                <w:highlight w:val="none"/>
              </w:rPr>
              <w:t>所提供的本企业的</w:t>
            </w:r>
            <w:r>
              <w:rPr>
                <w:rFonts w:hint="eastAsia" w:ascii="宋体" w:hAnsi="宋体" w:eastAsia="宋体" w:cs="Times New Roman"/>
                <w:color w:val="000000"/>
                <w:sz w:val="24"/>
                <w:highlight w:val="none"/>
                <w:lang w:eastAsia="zh-CN"/>
              </w:rPr>
              <w:t>服务</w:t>
            </w:r>
            <w:r>
              <w:rPr>
                <w:rFonts w:hint="eastAsia" w:ascii="宋体" w:hAnsi="宋体" w:eastAsia="宋体" w:cs="Times New Roman"/>
                <w:color w:val="000000"/>
                <w:sz w:val="24"/>
                <w:highlight w:val="none"/>
              </w:rPr>
              <w:t>价格给予</w:t>
            </w:r>
            <w:r>
              <w:rPr>
                <w:rFonts w:hint="eastAsia" w:ascii="宋体" w:hAnsi="宋体" w:eastAsia="宋体" w:cs="Times New Roman"/>
                <w:color w:val="000000"/>
                <w:sz w:val="24"/>
                <w:highlight w:val="none"/>
                <w:lang w:val="en-US" w:eastAsia="zh-CN"/>
              </w:rPr>
              <w:t>20</w:t>
            </w:r>
            <w:r>
              <w:rPr>
                <w:rFonts w:hint="eastAsia" w:ascii="宋体" w:hAnsi="宋体" w:eastAsia="宋体" w:cs="Times New Roman"/>
                <w:color w:val="000000"/>
                <w:sz w:val="24"/>
                <w:highlight w:val="none"/>
              </w:rPr>
              <w:t>%的扣除。</w:t>
            </w:r>
          </w:p>
          <w:p w14:paraId="2C854BBB">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所投小微（监狱、残疾人福利）企业报价=所投小微（监狱、残疾人福利）企业报价合计×（</w:t>
            </w:r>
            <w:r>
              <w:rPr>
                <w:rFonts w:hint="eastAsia" w:ascii="宋体" w:hAnsi="宋体" w:eastAsia="宋体" w:cs="Times New Roman"/>
                <w:color w:val="000000"/>
                <w:sz w:val="24"/>
                <w:highlight w:val="none"/>
                <w:lang w:val="en-US" w:eastAsia="zh-CN"/>
              </w:rPr>
              <w:t>20</w:t>
            </w:r>
            <w:r>
              <w:rPr>
                <w:rFonts w:hint="eastAsia" w:ascii="宋体" w:hAnsi="宋体" w:eastAsia="宋体" w:cs="Times New Roman"/>
                <w:color w:val="000000"/>
                <w:sz w:val="24"/>
                <w:highlight w:val="none"/>
              </w:rPr>
              <w:t>%）</w:t>
            </w:r>
          </w:p>
          <w:p w14:paraId="45FF07CD">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宋体" w:hAnsi="宋体" w:eastAsia="宋体" w:cs="Times New Roman"/>
                <w:color w:val="000000"/>
                <w:sz w:val="24"/>
                <w:highlight w:val="none"/>
              </w:rPr>
              <w:t>同一</w:t>
            </w:r>
            <w:r>
              <w:rPr>
                <w:rFonts w:hint="eastAsia" w:ascii="宋体" w:hAnsi="宋体" w:eastAsia="宋体" w:cs="Times New Roman"/>
                <w:color w:val="000000"/>
                <w:sz w:val="24"/>
                <w:highlight w:val="none"/>
                <w:lang w:eastAsia="zh-CN"/>
              </w:rPr>
              <w:t>供应商</w:t>
            </w:r>
            <w:r>
              <w:rPr>
                <w:rFonts w:hint="eastAsia" w:ascii="宋体" w:hAnsi="宋体" w:eastAsia="宋体" w:cs="Times New Roman"/>
                <w:color w:val="000000"/>
                <w:sz w:val="24"/>
                <w:highlight w:val="none"/>
              </w:rPr>
              <w:t>，小微企业价格扣除优惠只享受一次，不得重复享受。</w:t>
            </w:r>
          </w:p>
        </w:tc>
      </w:tr>
      <w:tr w14:paraId="651E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1" w:hRule="atLeast"/>
          <w:jc w:val="center"/>
        </w:trPr>
        <w:tc>
          <w:tcPr>
            <w:tcW w:w="1009" w:type="dxa"/>
            <w:vMerge w:val="restart"/>
            <w:vAlign w:val="bottom"/>
          </w:tcPr>
          <w:p w14:paraId="5585F2C9">
            <w:pPr>
              <w:spacing w:line="312" w:lineRule="auto"/>
              <w:jc w:val="center"/>
              <w:rPr>
                <w:rFonts w:ascii="宋体" w:hAnsi="宋体" w:cs="宋体"/>
                <w:sz w:val="24"/>
                <w:highlight w:val="none"/>
              </w:rPr>
            </w:pPr>
            <w:r>
              <w:rPr>
                <w:rFonts w:hint="eastAsia" w:ascii="宋体" w:hAnsi="宋体" w:cs="宋体"/>
                <w:sz w:val="24"/>
                <w:highlight w:val="none"/>
              </w:rPr>
              <w:t>2.2.2</w:t>
            </w:r>
          </w:p>
          <w:p w14:paraId="260CB08E">
            <w:pPr>
              <w:spacing w:line="312" w:lineRule="auto"/>
              <w:jc w:val="center"/>
              <w:rPr>
                <w:rFonts w:ascii="宋体" w:hAnsi="宋体" w:cs="宋体"/>
                <w:sz w:val="24"/>
                <w:highlight w:val="none"/>
              </w:rPr>
            </w:pPr>
          </w:p>
          <w:p w14:paraId="43C486DB">
            <w:pPr>
              <w:spacing w:line="312" w:lineRule="auto"/>
              <w:jc w:val="center"/>
              <w:rPr>
                <w:rFonts w:ascii="宋体" w:hAnsi="宋体" w:cs="宋体"/>
                <w:sz w:val="24"/>
                <w:highlight w:val="none"/>
              </w:rPr>
            </w:pPr>
          </w:p>
          <w:p w14:paraId="1A5DC437">
            <w:pPr>
              <w:spacing w:line="312" w:lineRule="auto"/>
              <w:jc w:val="center"/>
              <w:rPr>
                <w:rFonts w:ascii="宋体" w:hAnsi="宋体" w:cs="宋体"/>
                <w:sz w:val="24"/>
                <w:highlight w:val="none"/>
              </w:rPr>
            </w:pPr>
          </w:p>
          <w:p w14:paraId="7413795C">
            <w:pPr>
              <w:spacing w:line="312" w:lineRule="auto"/>
              <w:jc w:val="center"/>
              <w:rPr>
                <w:rFonts w:ascii="宋体" w:hAnsi="宋体" w:cs="宋体"/>
                <w:sz w:val="24"/>
                <w:highlight w:val="none"/>
              </w:rPr>
            </w:pPr>
          </w:p>
          <w:p w14:paraId="68E17AD8">
            <w:pPr>
              <w:spacing w:line="312" w:lineRule="auto"/>
              <w:jc w:val="center"/>
              <w:rPr>
                <w:rFonts w:ascii="宋体" w:hAnsi="宋体" w:cs="宋体"/>
                <w:sz w:val="24"/>
                <w:highlight w:val="none"/>
              </w:rPr>
            </w:pPr>
          </w:p>
          <w:p w14:paraId="6E3B2D97">
            <w:pPr>
              <w:spacing w:line="312" w:lineRule="auto"/>
              <w:jc w:val="center"/>
              <w:rPr>
                <w:rFonts w:ascii="宋体" w:hAnsi="宋体" w:cs="宋体"/>
                <w:sz w:val="24"/>
                <w:highlight w:val="none"/>
              </w:rPr>
            </w:pPr>
          </w:p>
          <w:p w14:paraId="48DDE98A">
            <w:pPr>
              <w:spacing w:line="312" w:lineRule="auto"/>
              <w:jc w:val="center"/>
              <w:rPr>
                <w:rFonts w:ascii="宋体" w:hAnsi="宋体" w:cs="宋体"/>
                <w:sz w:val="24"/>
                <w:highlight w:val="none"/>
              </w:rPr>
            </w:pPr>
          </w:p>
          <w:p w14:paraId="3F971252">
            <w:pPr>
              <w:spacing w:line="312" w:lineRule="auto"/>
              <w:jc w:val="center"/>
              <w:rPr>
                <w:rFonts w:ascii="宋体" w:hAnsi="宋体" w:cs="宋体"/>
                <w:sz w:val="24"/>
                <w:highlight w:val="none"/>
              </w:rPr>
            </w:pPr>
          </w:p>
          <w:p w14:paraId="5FA7EC60">
            <w:pPr>
              <w:spacing w:line="312" w:lineRule="auto"/>
              <w:jc w:val="center"/>
              <w:rPr>
                <w:rFonts w:ascii="宋体" w:hAnsi="宋体" w:cs="宋体"/>
                <w:sz w:val="24"/>
                <w:highlight w:val="none"/>
              </w:rPr>
            </w:pPr>
          </w:p>
          <w:p w14:paraId="05ECDD7A">
            <w:pPr>
              <w:spacing w:line="312" w:lineRule="auto"/>
              <w:jc w:val="center"/>
              <w:rPr>
                <w:rFonts w:asciiTheme="minorEastAsia" w:hAnsiTheme="minorEastAsia" w:eastAsiaTheme="minorEastAsia" w:cstheme="minorEastAsia"/>
                <w:sz w:val="24"/>
                <w:highlight w:val="none"/>
              </w:rPr>
            </w:pPr>
          </w:p>
          <w:p w14:paraId="22F0C7E7">
            <w:pPr>
              <w:spacing w:line="312" w:lineRule="auto"/>
              <w:jc w:val="center"/>
              <w:rPr>
                <w:rFonts w:asciiTheme="minorEastAsia" w:hAnsiTheme="minorEastAsia" w:eastAsiaTheme="minorEastAsia" w:cstheme="minorEastAsia"/>
                <w:sz w:val="24"/>
                <w:highlight w:val="none"/>
              </w:rPr>
            </w:pPr>
          </w:p>
          <w:p w14:paraId="3D7D2859">
            <w:pPr>
              <w:spacing w:line="312" w:lineRule="auto"/>
              <w:jc w:val="center"/>
              <w:rPr>
                <w:rFonts w:asciiTheme="minorEastAsia" w:hAnsiTheme="minorEastAsia" w:eastAsiaTheme="minorEastAsia" w:cstheme="minorEastAsia"/>
                <w:sz w:val="24"/>
                <w:highlight w:val="none"/>
              </w:rPr>
            </w:pPr>
          </w:p>
          <w:p w14:paraId="23296B9D">
            <w:pPr>
              <w:spacing w:line="312" w:lineRule="auto"/>
              <w:jc w:val="center"/>
              <w:rPr>
                <w:rFonts w:asciiTheme="minorEastAsia" w:hAnsiTheme="minorEastAsia" w:eastAsiaTheme="minorEastAsia" w:cstheme="minorEastAsia"/>
                <w:sz w:val="24"/>
                <w:highlight w:val="none"/>
              </w:rPr>
            </w:pPr>
          </w:p>
          <w:p w14:paraId="12D267C2">
            <w:pPr>
              <w:spacing w:line="312" w:lineRule="auto"/>
              <w:jc w:val="center"/>
              <w:rPr>
                <w:rFonts w:asciiTheme="minorEastAsia" w:hAnsiTheme="minorEastAsia" w:eastAsiaTheme="minorEastAsia" w:cstheme="minorEastAsia"/>
                <w:sz w:val="24"/>
                <w:highlight w:val="none"/>
              </w:rPr>
            </w:pPr>
          </w:p>
          <w:p w14:paraId="1515B0F3">
            <w:pPr>
              <w:spacing w:line="312" w:lineRule="auto"/>
              <w:jc w:val="center"/>
              <w:rPr>
                <w:rFonts w:ascii="宋体" w:hAnsi="宋体" w:cs="宋体"/>
                <w:sz w:val="24"/>
                <w:highlight w:val="none"/>
              </w:rPr>
            </w:pPr>
          </w:p>
        </w:tc>
        <w:tc>
          <w:tcPr>
            <w:tcW w:w="1245" w:type="dxa"/>
            <w:vMerge w:val="restart"/>
            <w:vAlign w:val="center"/>
          </w:tcPr>
          <w:p w14:paraId="0FC0EE19">
            <w:pPr>
              <w:spacing w:line="312" w:lineRule="auto"/>
              <w:jc w:val="center"/>
              <w:rPr>
                <w:rFonts w:ascii="宋体" w:hAnsi="宋体" w:cs="宋体"/>
                <w:sz w:val="24"/>
                <w:highlight w:val="none"/>
              </w:rPr>
            </w:pPr>
            <w:r>
              <w:rPr>
                <w:rFonts w:hint="eastAsia" w:ascii="宋体" w:hAnsi="宋体" w:cs="宋体"/>
                <w:sz w:val="24"/>
                <w:highlight w:val="none"/>
              </w:rPr>
              <w:t>技术部分（40分）</w:t>
            </w:r>
          </w:p>
        </w:tc>
        <w:tc>
          <w:tcPr>
            <w:tcW w:w="1200" w:type="dxa"/>
            <w:vAlign w:val="center"/>
          </w:tcPr>
          <w:p w14:paraId="650A9689">
            <w:pPr>
              <w:pStyle w:val="31"/>
              <w:tabs>
                <w:tab w:val="left" w:pos="6853"/>
                <w:tab w:val="left" w:pos="8587"/>
                <w:tab w:val="left" w:pos="8599"/>
              </w:tabs>
              <w:spacing w:line="600" w:lineRule="exact"/>
              <w:ind w:firstLine="0"/>
              <w:rPr>
                <w:rFonts w:asciiTheme="minorEastAsia" w:hAnsiTheme="minorEastAsia" w:eastAsiaTheme="minorEastAsia" w:cstheme="minorEastAsia"/>
                <w:color w:val="auto"/>
                <w:sz w:val="24"/>
                <w:szCs w:val="24"/>
                <w:highlight w:val="none"/>
                <w:lang w:val="en-US" w:eastAsia="zh-CN"/>
              </w:rPr>
            </w:pPr>
          </w:p>
          <w:p w14:paraId="5F0FDA42">
            <w:pPr>
              <w:pStyle w:val="31"/>
              <w:tabs>
                <w:tab w:val="left" w:pos="6853"/>
                <w:tab w:val="left" w:pos="8587"/>
                <w:tab w:val="left" w:pos="8599"/>
              </w:tabs>
              <w:spacing w:line="600" w:lineRule="exact"/>
              <w:ind w:firstLine="0"/>
              <w:rPr>
                <w:rFonts w:asciiTheme="minorEastAsia" w:hAnsiTheme="minorEastAsia" w:eastAsiaTheme="minorEastAsia" w:cstheme="minorEastAsia"/>
                <w:color w:val="auto"/>
                <w:sz w:val="24"/>
                <w:szCs w:val="24"/>
                <w:highlight w:val="none"/>
                <w:lang w:val="en-US" w:eastAsia="zh-CN"/>
              </w:rPr>
            </w:pPr>
          </w:p>
          <w:p w14:paraId="6E9179B2">
            <w:pPr>
              <w:pStyle w:val="31"/>
              <w:tabs>
                <w:tab w:val="left" w:pos="6853"/>
                <w:tab w:val="left" w:pos="8587"/>
                <w:tab w:val="left" w:pos="8599"/>
              </w:tabs>
              <w:spacing w:line="600" w:lineRule="exact"/>
              <w:ind w:firstLine="0"/>
              <w:rPr>
                <w:rFonts w:asciiTheme="minorEastAsia" w:hAnsiTheme="minorEastAsia" w:eastAsiaTheme="minorEastAsia" w:cstheme="minorEastAsia"/>
                <w:color w:val="auto"/>
                <w:sz w:val="24"/>
                <w:szCs w:val="24"/>
                <w:highlight w:val="none"/>
                <w:lang w:val="en-US" w:eastAsia="zh-CN"/>
              </w:rPr>
            </w:pPr>
          </w:p>
          <w:p w14:paraId="7FE0DB79">
            <w:pPr>
              <w:pStyle w:val="31"/>
              <w:tabs>
                <w:tab w:val="left" w:pos="6853"/>
                <w:tab w:val="left" w:pos="8587"/>
                <w:tab w:val="left" w:pos="8599"/>
              </w:tabs>
              <w:spacing w:line="240" w:lineRule="auto"/>
              <w:ind w:firstLine="0"/>
              <w:rPr>
                <w:color w:val="00000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服务方案（25分）</w:t>
            </w:r>
          </w:p>
        </w:tc>
        <w:tc>
          <w:tcPr>
            <w:tcW w:w="6394" w:type="dxa"/>
            <w:vAlign w:val="center"/>
          </w:tcPr>
          <w:p w14:paraId="4C1AAEC9">
            <w:pPr>
              <w:pStyle w:val="31"/>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1、服务方案针对本项目的特点，考虑周全、措施到位、条理清晰、思路明确、表述准确，方案技术含量高。</w:t>
            </w:r>
          </w:p>
          <w:p w14:paraId="0A6516C1">
            <w:pPr>
              <w:pStyle w:val="31"/>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注：服务方案全面、详尽、合理、有保障、完全满足项目要求的，得7-9分；方案不全面、或者不详尽的，得4-6分；</w:t>
            </w:r>
          </w:p>
          <w:p w14:paraId="0B796569">
            <w:pPr>
              <w:pStyle w:val="31"/>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方案不合理或者技术质量无保障的，得1-3分；缺项的不得分。</w:t>
            </w:r>
          </w:p>
          <w:p w14:paraId="1C8E74CC">
            <w:pPr>
              <w:pStyle w:val="31"/>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2、提供将货物统一进行送货或服务到指定地点的配送实施办法且供货前对各项目村统一组织技术培训措施、</w:t>
            </w:r>
            <w:r>
              <w:rPr>
                <w:rFonts w:hint="eastAsia"/>
                <w:color w:val="auto"/>
                <w:kern w:val="1"/>
                <w:sz w:val="24"/>
                <w:szCs w:val="24"/>
                <w:highlight w:val="none"/>
                <w:lang w:eastAsia="zh-CN"/>
              </w:rPr>
              <w:t>配合项目实施针对使用货物的单位和个人正确说明货物的用途、使用方法和注意事项等措施方案</w:t>
            </w:r>
          </w:p>
          <w:p w14:paraId="271BE1DA">
            <w:pPr>
              <w:pStyle w:val="31"/>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注：方案全面、详尽、合理、有保障、完全满足项目要求的，得7-8分；方案不全面、或者不详尽的，得4-6分；方案不合理或者技术质量无保障的，得1-3分；缺项的不得分。</w:t>
            </w:r>
          </w:p>
          <w:p w14:paraId="268EC88F">
            <w:pPr>
              <w:pStyle w:val="31"/>
              <w:numPr>
                <w:ilvl w:val="0"/>
                <w:numId w:val="3"/>
              </w:numPr>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因服务质量问题引起纠纷时提供的应急解决方案及实施过程中注意事项及中毒急救措施方案。</w:t>
            </w:r>
          </w:p>
          <w:p w14:paraId="1D90C1D8">
            <w:pPr>
              <w:pStyle w:val="31"/>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注：服务方案全面、详尽、合理、有保障、完全满足项目要求的，得7-8分；方案不全面、或者不详尽的，得4-6分；方案不合理或者技术质量无保障的，得1-3分；缺项的不得分。</w:t>
            </w:r>
          </w:p>
        </w:tc>
      </w:tr>
      <w:tr w14:paraId="7D63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jc w:val="center"/>
        </w:trPr>
        <w:tc>
          <w:tcPr>
            <w:tcW w:w="1009" w:type="dxa"/>
            <w:vMerge w:val="continue"/>
            <w:vAlign w:val="center"/>
          </w:tcPr>
          <w:p w14:paraId="1C60AE82">
            <w:pPr>
              <w:spacing w:line="312" w:lineRule="auto"/>
              <w:rPr>
                <w:rFonts w:ascii="宋体" w:hAnsi="宋体" w:cs="宋体"/>
                <w:sz w:val="24"/>
                <w:highlight w:val="none"/>
              </w:rPr>
            </w:pPr>
          </w:p>
        </w:tc>
        <w:tc>
          <w:tcPr>
            <w:tcW w:w="1245" w:type="dxa"/>
            <w:vMerge w:val="continue"/>
            <w:vAlign w:val="center"/>
          </w:tcPr>
          <w:p w14:paraId="4AE8137C">
            <w:pPr>
              <w:spacing w:line="312" w:lineRule="auto"/>
              <w:rPr>
                <w:rFonts w:ascii="宋体" w:hAnsi="宋体" w:cs="宋体"/>
                <w:sz w:val="24"/>
                <w:highlight w:val="none"/>
              </w:rPr>
            </w:pPr>
          </w:p>
        </w:tc>
        <w:tc>
          <w:tcPr>
            <w:tcW w:w="1200" w:type="dxa"/>
            <w:vAlign w:val="center"/>
          </w:tcPr>
          <w:p w14:paraId="5BB8FC25">
            <w:pPr>
              <w:pStyle w:val="31"/>
              <w:tabs>
                <w:tab w:val="left" w:pos="6853"/>
                <w:tab w:val="left" w:pos="8587"/>
                <w:tab w:val="left" w:pos="8599"/>
              </w:tabs>
              <w:spacing w:line="240" w:lineRule="auto"/>
              <w:ind w:firstLine="0"/>
              <w:rPr>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设备和专业技术能力</w:t>
            </w:r>
          </w:p>
          <w:p w14:paraId="59D37047">
            <w:pPr>
              <w:pStyle w:val="31"/>
              <w:tabs>
                <w:tab w:val="left" w:pos="6853"/>
                <w:tab w:val="left" w:pos="8587"/>
                <w:tab w:val="left" w:pos="8599"/>
              </w:tabs>
              <w:spacing w:line="240" w:lineRule="auto"/>
              <w:ind w:firstLine="0"/>
              <w:rPr>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（15分）</w:t>
            </w:r>
          </w:p>
        </w:tc>
        <w:tc>
          <w:tcPr>
            <w:tcW w:w="6394" w:type="dxa"/>
            <w:vAlign w:val="center"/>
          </w:tcPr>
          <w:p w14:paraId="40ACD79D">
            <w:pPr>
              <w:pStyle w:val="31"/>
              <w:tabs>
                <w:tab w:val="left" w:pos="6853"/>
                <w:tab w:val="left" w:pos="8587"/>
                <w:tab w:val="left" w:pos="8599"/>
              </w:tabs>
              <w:spacing w:line="240" w:lineRule="auto"/>
              <w:ind w:firstLine="0"/>
              <w:rPr>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具有履行合同所必需的设备和专业技术能力（需提供证明材料）</w:t>
            </w:r>
          </w:p>
          <w:p w14:paraId="42BA110B">
            <w:pPr>
              <w:pStyle w:val="31"/>
              <w:tabs>
                <w:tab w:val="left" w:pos="6853"/>
                <w:tab w:val="left" w:pos="8587"/>
                <w:tab w:val="left" w:pos="8599"/>
              </w:tabs>
              <w:spacing w:line="240" w:lineRule="auto"/>
              <w:ind w:firstLine="0"/>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注：设备和专业技术能力全面、详尽、合理、有保障、完全满足项目要求的，得9-15分；</w:t>
            </w:r>
          </w:p>
          <w:p w14:paraId="4A5F9147">
            <w:pPr>
              <w:pStyle w:val="31"/>
              <w:tabs>
                <w:tab w:val="left" w:pos="6853"/>
                <w:tab w:val="left" w:pos="8587"/>
                <w:tab w:val="left" w:pos="8599"/>
              </w:tabs>
              <w:spacing w:line="240" w:lineRule="auto"/>
              <w:ind w:firstLine="0"/>
              <w:rPr>
                <w:color w:val="000000" w:themeColor="text1"/>
                <w:sz w:val="24"/>
                <w:szCs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设备和专业技术能力</w:t>
            </w:r>
            <w:r>
              <w:rPr>
                <w:rFonts w:hint="eastAsia"/>
                <w:color w:val="000000" w:themeColor="text1"/>
                <w:sz w:val="24"/>
                <w:szCs w:val="24"/>
                <w:highlight w:val="none"/>
                <w:lang w:val="en-US" w:eastAsia="zh-CN"/>
                <w14:textFill>
                  <w14:solidFill>
                    <w14:schemeClr w14:val="tx1"/>
                  </w14:solidFill>
                </w14:textFill>
              </w:rPr>
              <w:t>不全面、或者不详尽的，得5-8分；</w:t>
            </w:r>
          </w:p>
          <w:p w14:paraId="26721180">
            <w:pPr>
              <w:pStyle w:val="31"/>
              <w:tabs>
                <w:tab w:val="left" w:pos="6853"/>
                <w:tab w:val="left" w:pos="8587"/>
                <w:tab w:val="left" w:pos="8599"/>
              </w:tabs>
              <w:spacing w:line="240" w:lineRule="auto"/>
              <w:ind w:firstLine="0"/>
              <w:rPr>
                <w:color w:val="000000" w:themeColor="text1"/>
                <w:sz w:val="24"/>
                <w:szCs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设备和专业技术能力</w:t>
            </w:r>
            <w:r>
              <w:rPr>
                <w:rFonts w:hint="eastAsia"/>
                <w:color w:val="000000" w:themeColor="text1"/>
                <w:sz w:val="24"/>
                <w:szCs w:val="24"/>
                <w:highlight w:val="none"/>
                <w:lang w:val="en-US" w:eastAsia="zh-CN"/>
                <w14:textFill>
                  <w14:solidFill>
                    <w14:schemeClr w14:val="tx1"/>
                  </w14:solidFill>
                </w14:textFill>
              </w:rPr>
              <w:t>无保障的，得1-4分；缺项的不得分。</w:t>
            </w:r>
          </w:p>
        </w:tc>
      </w:tr>
      <w:tr w14:paraId="18FB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9" w:type="dxa"/>
            <w:vMerge w:val="restart"/>
            <w:vAlign w:val="center"/>
          </w:tcPr>
          <w:p w14:paraId="59D6ED31">
            <w:pPr>
              <w:spacing w:line="312" w:lineRule="auto"/>
              <w:rPr>
                <w:rFonts w:ascii="宋体" w:hAnsi="宋体" w:cs="宋体"/>
                <w:sz w:val="24"/>
                <w:highlight w:val="none"/>
              </w:rPr>
            </w:pPr>
            <w:r>
              <w:rPr>
                <w:rFonts w:hint="eastAsia" w:ascii="宋体" w:hAnsi="宋体" w:cs="宋体"/>
                <w:sz w:val="24"/>
                <w:highlight w:val="none"/>
              </w:rPr>
              <w:t>2.2.3</w:t>
            </w:r>
          </w:p>
        </w:tc>
        <w:tc>
          <w:tcPr>
            <w:tcW w:w="1245" w:type="dxa"/>
            <w:vMerge w:val="restart"/>
            <w:vAlign w:val="center"/>
          </w:tcPr>
          <w:p w14:paraId="5B3C2F32">
            <w:pPr>
              <w:spacing w:line="312" w:lineRule="auto"/>
              <w:rPr>
                <w:rFonts w:ascii="宋体" w:hAnsi="宋体" w:cs="宋体"/>
                <w:sz w:val="24"/>
                <w:highlight w:val="none"/>
              </w:rPr>
            </w:pPr>
            <w:r>
              <w:rPr>
                <w:rFonts w:hint="eastAsia" w:ascii="宋体" w:hAnsi="宋体" w:cs="宋体"/>
                <w:sz w:val="24"/>
                <w:highlight w:val="none"/>
              </w:rPr>
              <w:t>商务部分（30分）</w:t>
            </w:r>
          </w:p>
        </w:tc>
        <w:tc>
          <w:tcPr>
            <w:tcW w:w="1200" w:type="dxa"/>
            <w:vAlign w:val="center"/>
          </w:tcPr>
          <w:p w14:paraId="3C0FC474">
            <w:pPr>
              <w:pStyle w:val="31"/>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售后服务方案（17分）</w:t>
            </w:r>
          </w:p>
        </w:tc>
        <w:tc>
          <w:tcPr>
            <w:tcW w:w="6394" w:type="dxa"/>
            <w:vAlign w:val="center"/>
          </w:tcPr>
          <w:p w14:paraId="00D3F011">
            <w:pPr>
              <w:pStyle w:val="31"/>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有优惠条件、良好的服务信誉，24小时服务热线、质保期内，出现任何问题，无条件负责、提供农药包装废弃物回收处理、产品质量保障等承诺。售后服务方案合理且可行得12-17分、基本合理、可行得5-11分，一般得1-4分，没有得0分。</w:t>
            </w:r>
          </w:p>
          <w:p w14:paraId="11D5D725">
            <w:pPr>
              <w:pStyle w:val="31"/>
              <w:tabs>
                <w:tab w:val="left" w:pos="6853"/>
                <w:tab w:val="left" w:pos="8587"/>
                <w:tab w:val="left" w:pos="8599"/>
              </w:tabs>
              <w:spacing w:line="240" w:lineRule="auto"/>
              <w:ind w:firstLine="0"/>
              <w:rPr>
                <w:color w:val="auto"/>
                <w:sz w:val="24"/>
                <w:szCs w:val="24"/>
                <w:highlight w:val="none"/>
                <w:lang w:val="en-US" w:eastAsia="zh-CN"/>
              </w:rPr>
            </w:pPr>
          </w:p>
        </w:tc>
      </w:tr>
      <w:tr w14:paraId="66BF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1009" w:type="dxa"/>
            <w:vMerge w:val="continue"/>
            <w:vAlign w:val="center"/>
          </w:tcPr>
          <w:p w14:paraId="345F58BF">
            <w:pPr>
              <w:spacing w:line="312" w:lineRule="auto"/>
              <w:rPr>
                <w:rFonts w:ascii="宋体" w:hAnsi="宋体" w:cs="宋体"/>
                <w:sz w:val="24"/>
                <w:highlight w:val="none"/>
              </w:rPr>
            </w:pPr>
          </w:p>
        </w:tc>
        <w:tc>
          <w:tcPr>
            <w:tcW w:w="1245" w:type="dxa"/>
            <w:vMerge w:val="continue"/>
            <w:vAlign w:val="center"/>
          </w:tcPr>
          <w:p w14:paraId="01919C87">
            <w:pPr>
              <w:spacing w:line="312" w:lineRule="auto"/>
              <w:rPr>
                <w:rFonts w:ascii="宋体" w:hAnsi="宋体" w:cs="宋体"/>
                <w:sz w:val="24"/>
                <w:highlight w:val="none"/>
              </w:rPr>
            </w:pPr>
          </w:p>
        </w:tc>
        <w:tc>
          <w:tcPr>
            <w:tcW w:w="1200" w:type="dxa"/>
            <w:vAlign w:val="center"/>
          </w:tcPr>
          <w:p w14:paraId="4EB828E1">
            <w:pPr>
              <w:pStyle w:val="31"/>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服务承诺（5分）</w:t>
            </w:r>
          </w:p>
        </w:tc>
        <w:tc>
          <w:tcPr>
            <w:tcW w:w="6394" w:type="dxa"/>
            <w:vAlign w:val="center"/>
          </w:tcPr>
          <w:p w14:paraId="3FFBA03E">
            <w:pPr>
              <w:pStyle w:val="31"/>
              <w:tabs>
                <w:tab w:val="left" w:pos="6853"/>
                <w:tab w:val="left" w:pos="8587"/>
                <w:tab w:val="left" w:pos="8599"/>
              </w:tabs>
              <w:spacing w:line="240" w:lineRule="auto"/>
              <w:ind w:firstLine="0"/>
              <w:rPr>
                <w:b/>
                <w:bCs/>
                <w:color w:val="auto"/>
                <w:sz w:val="24"/>
                <w:szCs w:val="24"/>
                <w:highlight w:val="none"/>
                <w:lang w:val="en-US" w:eastAsia="zh-CN"/>
              </w:rPr>
            </w:pPr>
            <w:r>
              <w:rPr>
                <w:rFonts w:hint="eastAsia"/>
                <w:color w:val="auto"/>
                <w:sz w:val="24"/>
                <w:szCs w:val="24"/>
                <w:highlight w:val="none"/>
                <w:lang w:val="en-US" w:eastAsia="zh-CN"/>
              </w:rPr>
              <w:t>服务承诺符合本项目特点，有详尽服务措施，健全的服务制度合理且可行得4-5分，基本合理、可行得2-3分，一般得1分，没有得0分。</w:t>
            </w:r>
          </w:p>
        </w:tc>
      </w:tr>
      <w:tr w14:paraId="6FEE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009" w:type="dxa"/>
            <w:vMerge w:val="continue"/>
            <w:vAlign w:val="center"/>
          </w:tcPr>
          <w:p w14:paraId="74613D20">
            <w:pPr>
              <w:spacing w:line="312" w:lineRule="auto"/>
              <w:rPr>
                <w:rFonts w:ascii="宋体" w:hAnsi="宋体" w:cs="宋体"/>
                <w:sz w:val="24"/>
                <w:highlight w:val="none"/>
              </w:rPr>
            </w:pPr>
          </w:p>
        </w:tc>
        <w:tc>
          <w:tcPr>
            <w:tcW w:w="1245" w:type="dxa"/>
            <w:vMerge w:val="continue"/>
            <w:vAlign w:val="center"/>
          </w:tcPr>
          <w:p w14:paraId="345505BB">
            <w:pPr>
              <w:spacing w:line="312" w:lineRule="auto"/>
              <w:rPr>
                <w:rFonts w:ascii="宋体" w:hAnsi="宋体" w:cs="宋体"/>
                <w:sz w:val="24"/>
                <w:highlight w:val="none"/>
              </w:rPr>
            </w:pPr>
          </w:p>
        </w:tc>
        <w:tc>
          <w:tcPr>
            <w:tcW w:w="1200" w:type="dxa"/>
            <w:vAlign w:val="center"/>
          </w:tcPr>
          <w:p w14:paraId="73DB7E3F">
            <w:pPr>
              <w:wordWrap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企业业绩（8分）</w:t>
            </w:r>
          </w:p>
        </w:tc>
        <w:tc>
          <w:tcPr>
            <w:tcW w:w="6394" w:type="dxa"/>
            <w:vAlign w:val="center"/>
          </w:tcPr>
          <w:p w14:paraId="06AA0010">
            <w:pPr>
              <w:pStyle w:val="31"/>
              <w:tabs>
                <w:tab w:val="left" w:pos="6853"/>
                <w:tab w:val="left" w:pos="8587"/>
                <w:tab w:val="left" w:pos="8599"/>
              </w:tabs>
              <w:spacing w:line="240" w:lineRule="auto"/>
              <w:ind w:firstLine="0"/>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供应商自2023年1月1日以来承接过类似项目的，每个得4分，最多得8分（投标文件中须提供中标通知书或合同协议书，以合同签订日期为准）</w:t>
            </w:r>
          </w:p>
        </w:tc>
      </w:tr>
      <w:tr w14:paraId="666B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9848" w:type="dxa"/>
            <w:gridSpan w:val="4"/>
            <w:vAlign w:val="center"/>
          </w:tcPr>
          <w:p w14:paraId="42E55276">
            <w:pPr>
              <w:widowControl/>
              <w:spacing w:line="312" w:lineRule="auto"/>
              <w:rPr>
                <w:rFonts w:ascii="宋体" w:hAnsi="宋体" w:cs="宋体"/>
                <w:bCs/>
                <w:sz w:val="24"/>
                <w:highlight w:val="none"/>
              </w:rPr>
            </w:pPr>
            <w:r>
              <w:rPr>
                <w:rFonts w:hint="eastAsia" w:ascii="宋体" w:hAnsi="宋体" w:cs="宋体"/>
                <w:bCs/>
                <w:sz w:val="24"/>
                <w:highlight w:val="none"/>
              </w:rPr>
              <w:t>1、投标综合得分＝磋商报价得分+技术部分得分+商务部分得分。</w:t>
            </w:r>
          </w:p>
          <w:p w14:paraId="36AFA5CF">
            <w:pPr>
              <w:widowControl/>
              <w:spacing w:line="312" w:lineRule="auto"/>
              <w:rPr>
                <w:rFonts w:ascii="宋体" w:hAnsi="宋体" w:cs="宋体"/>
                <w:b/>
                <w:sz w:val="24"/>
                <w:highlight w:val="none"/>
              </w:rPr>
            </w:pPr>
            <w:r>
              <w:rPr>
                <w:rFonts w:hint="eastAsia" w:ascii="宋体" w:hAnsi="宋体" w:cs="宋体"/>
                <w:bCs/>
                <w:sz w:val="24"/>
                <w:highlight w:val="none"/>
              </w:rPr>
              <w:t>2、本办法计算过程中分值按四舍五入保留两位小数，结果按四舍五入保留两位小数，所有评委打分的算术平均值即为供应商的最终得分。</w:t>
            </w:r>
          </w:p>
        </w:tc>
      </w:tr>
    </w:tbl>
    <w:p w14:paraId="5A6C43FB">
      <w:pPr>
        <w:keepNext/>
        <w:keepLines/>
        <w:spacing w:after="360" w:line="500" w:lineRule="exact"/>
        <w:ind w:firstLine="480" w:firstLineChars="200"/>
        <w:jc w:val="center"/>
        <w:rPr>
          <w:rFonts w:ascii="宋体" w:hAnsi="宋体"/>
          <w:color w:val="000000"/>
          <w:szCs w:val="28"/>
          <w:highlight w:val="none"/>
        </w:rPr>
      </w:pPr>
      <w:r>
        <w:rPr>
          <w:rFonts w:hint="eastAsia" w:ascii="宋体" w:hAnsi="宋体" w:cs="Arial"/>
          <w:color w:val="000000"/>
          <w:sz w:val="24"/>
          <w:highlight w:val="none"/>
        </w:rPr>
        <w:br w:type="page"/>
      </w:r>
      <w:bookmarkStart w:id="153" w:name="_Toc18684_WPSOffice_Level1"/>
      <w:bookmarkStart w:id="154" w:name="_Toc10927"/>
      <w:bookmarkStart w:id="155" w:name="_Toc1239_WPSOffice_Level1"/>
      <w:bookmarkStart w:id="156" w:name="_Toc9297_WPSOffice_Level1"/>
      <w:bookmarkStart w:id="157" w:name="_Toc12315"/>
      <w:bookmarkStart w:id="158" w:name="_Toc5821_WPSOffice_Level1"/>
      <w:r>
        <w:rPr>
          <w:rFonts w:hint="eastAsia" w:ascii="宋体" w:hAnsi="宋体"/>
          <w:b/>
          <w:bCs/>
          <w:color w:val="000000"/>
          <w:sz w:val="28"/>
          <w:szCs w:val="28"/>
          <w:highlight w:val="none"/>
        </w:rPr>
        <w:t>第四章 合同条款及格式</w:t>
      </w:r>
      <w:bookmarkEnd w:id="153"/>
      <w:bookmarkEnd w:id="154"/>
      <w:bookmarkEnd w:id="155"/>
      <w:bookmarkEnd w:id="156"/>
      <w:bookmarkEnd w:id="157"/>
      <w:bookmarkEnd w:id="158"/>
      <w:bookmarkStart w:id="159" w:name="_Toc267251442"/>
      <w:bookmarkEnd w:id="159"/>
    </w:p>
    <w:p w14:paraId="7F2E2E47">
      <w:pPr>
        <w:keepNext/>
        <w:keepLines/>
        <w:spacing w:after="360" w:line="500" w:lineRule="exact"/>
        <w:ind w:firstLine="562" w:firstLineChars="200"/>
        <w:jc w:val="center"/>
        <w:rPr>
          <w:rFonts w:ascii="宋体" w:hAnsi="宋体"/>
          <w:b/>
          <w:bCs/>
          <w:color w:val="000000"/>
          <w:sz w:val="28"/>
          <w:szCs w:val="28"/>
          <w:highlight w:val="none"/>
        </w:rPr>
      </w:pPr>
      <w:bookmarkStart w:id="160" w:name="_Toc375041753"/>
      <w:bookmarkEnd w:id="160"/>
      <w:bookmarkStart w:id="161" w:name="_Toc375040612"/>
      <w:bookmarkEnd w:id="161"/>
      <w:bookmarkStart w:id="162" w:name="_Toc445390634"/>
      <w:bookmarkEnd w:id="162"/>
      <w:bookmarkStart w:id="163" w:name="_Toc489024028"/>
      <w:bookmarkEnd w:id="163"/>
      <w:bookmarkStart w:id="164" w:name="_Toc498499550"/>
      <w:bookmarkEnd w:id="164"/>
      <w:bookmarkStart w:id="165" w:name="_Toc423959285"/>
      <w:bookmarkEnd w:id="165"/>
      <w:bookmarkStart w:id="166" w:name="_Toc384309409"/>
      <w:bookmarkEnd w:id="166"/>
      <w:bookmarkStart w:id="167" w:name="_Toc447871549"/>
      <w:bookmarkEnd w:id="167"/>
      <w:bookmarkStart w:id="168" w:name="_Toc374947236"/>
      <w:bookmarkEnd w:id="168"/>
      <w:bookmarkStart w:id="169" w:name="_Toc29427"/>
      <w:bookmarkEnd w:id="169"/>
      <w:bookmarkStart w:id="170" w:name="_Toc375041559"/>
      <w:bookmarkEnd w:id="170"/>
      <w:bookmarkStart w:id="171" w:name="_Toc375041310"/>
      <w:bookmarkEnd w:id="171"/>
      <w:bookmarkStart w:id="172" w:name="_Toc30729"/>
      <w:bookmarkStart w:id="173" w:name="_Toc18894"/>
      <w:bookmarkStart w:id="174" w:name="_Toc16486"/>
      <w:bookmarkStart w:id="175" w:name="_Toc14702_WPSOffice_Level1"/>
      <w:bookmarkStart w:id="176" w:name="_Toc20854_WPSOffice_Level1"/>
      <w:bookmarkStart w:id="177" w:name="_Toc31038_WPSOffice_Level1"/>
      <w:r>
        <w:rPr>
          <w:rFonts w:hint="eastAsia" w:ascii="宋体" w:hAnsi="宋体"/>
          <w:b/>
          <w:bCs/>
          <w:color w:val="000000"/>
          <w:sz w:val="28"/>
          <w:szCs w:val="28"/>
          <w:highlight w:val="none"/>
        </w:rPr>
        <w:t>（此格式仅供参考）</w:t>
      </w:r>
    </w:p>
    <w:p w14:paraId="3DC0D009">
      <w:pPr>
        <w:rPr>
          <w:highlight w:val="none"/>
        </w:rPr>
      </w:pPr>
      <w:r>
        <w:rPr>
          <w:rFonts w:hint="eastAsia"/>
          <w:highlight w:val="none"/>
        </w:rPr>
        <w:t xml:space="preserve">项目名称：                          招标编号：              </w:t>
      </w:r>
    </w:p>
    <w:p w14:paraId="722F84DE">
      <w:pPr>
        <w:rPr>
          <w:highlight w:val="none"/>
        </w:rPr>
      </w:pPr>
      <w:r>
        <w:rPr>
          <w:rFonts w:hint="eastAsia"/>
          <w:highlight w:val="none"/>
        </w:rPr>
        <w:t>甲方：                   （采购人）</w:t>
      </w:r>
    </w:p>
    <w:p w14:paraId="0C05B5F7">
      <w:pPr>
        <w:rPr>
          <w:highlight w:val="none"/>
        </w:rPr>
      </w:pPr>
      <w:r>
        <w:rPr>
          <w:rFonts w:hint="eastAsia"/>
          <w:highlight w:val="none"/>
        </w:rPr>
        <w:t>乙方：                   （成交供应商）</w:t>
      </w:r>
    </w:p>
    <w:p w14:paraId="2D949954">
      <w:pPr>
        <w:rPr>
          <w:highlight w:val="none"/>
        </w:rPr>
      </w:pPr>
      <w:r>
        <w:rPr>
          <w:rFonts w:hint="eastAsia"/>
          <w:highlight w:val="none"/>
        </w:rPr>
        <w:t>甲、乙双方根据《中华人民共和国政府采购法》、《中华人民共和国合同法》等法律法规的规定，按照          （项目名称）的招标结果签订本合同。</w:t>
      </w:r>
    </w:p>
    <w:p w14:paraId="1992F34C">
      <w:pPr>
        <w:rPr>
          <w:highlight w:val="none"/>
        </w:rPr>
      </w:pPr>
      <w:r>
        <w:rPr>
          <w:rFonts w:hint="eastAsia"/>
          <w:highlight w:val="none"/>
        </w:rPr>
        <w:t>1.货物内容</w:t>
      </w:r>
    </w:p>
    <w:p w14:paraId="18E7B878">
      <w:pPr>
        <w:rPr>
          <w:highlight w:val="none"/>
        </w:rPr>
      </w:pPr>
      <w:r>
        <w:rPr>
          <w:rFonts w:hint="eastAsia"/>
          <w:highlight w:val="none"/>
        </w:rPr>
        <w:t xml:space="preserve">1.1 货物名称：          </w:t>
      </w:r>
    </w:p>
    <w:p w14:paraId="1D97632F">
      <w:pPr>
        <w:rPr>
          <w:highlight w:val="none"/>
        </w:rPr>
      </w:pPr>
      <w:r>
        <w:rPr>
          <w:rFonts w:hint="eastAsia"/>
          <w:highlight w:val="none"/>
        </w:rPr>
        <w:t xml:space="preserve">1.2教材名称（版次）：          </w:t>
      </w:r>
    </w:p>
    <w:p w14:paraId="5CB1AC55">
      <w:pPr>
        <w:rPr>
          <w:highlight w:val="none"/>
        </w:rPr>
      </w:pPr>
      <w:r>
        <w:rPr>
          <w:rFonts w:hint="eastAsia"/>
          <w:highlight w:val="none"/>
        </w:rPr>
        <w:t xml:space="preserve">1.3数量（单位）：          </w:t>
      </w:r>
    </w:p>
    <w:p w14:paraId="7D04DD4C">
      <w:pPr>
        <w:rPr>
          <w:highlight w:val="none"/>
        </w:rPr>
      </w:pPr>
      <w:r>
        <w:rPr>
          <w:rFonts w:hint="eastAsia"/>
          <w:highlight w:val="none"/>
        </w:rPr>
        <w:t>2.合同金额：         。</w:t>
      </w:r>
    </w:p>
    <w:p w14:paraId="0D42A088">
      <w:pPr>
        <w:rPr>
          <w:highlight w:val="none"/>
        </w:rPr>
      </w:pPr>
      <w:r>
        <w:rPr>
          <w:rFonts w:hint="eastAsia"/>
          <w:highlight w:val="none"/>
        </w:rPr>
        <w:t>3.技术资料</w:t>
      </w:r>
    </w:p>
    <w:p w14:paraId="550675FC">
      <w:pPr>
        <w:rPr>
          <w:highlight w:val="none"/>
        </w:rPr>
      </w:pPr>
      <w:r>
        <w:rPr>
          <w:rFonts w:hint="eastAsia"/>
          <w:highlight w:val="none"/>
        </w:rPr>
        <w:t>3.1乙方按招标文件规定的时间向甲方提供使用货物的有关技术资料。</w:t>
      </w:r>
    </w:p>
    <w:p w14:paraId="70758858">
      <w:pPr>
        <w:rPr>
          <w:highlight w:val="none"/>
        </w:rPr>
      </w:pPr>
      <w:r>
        <w:rPr>
          <w:rFonts w:hint="eastAsia"/>
          <w:highlight w:val="none"/>
        </w:rPr>
        <w:t>3.2 没有甲方事先书面同意，乙方不得将由甲方提供的有关合同或任何合同条文、规格、计划、图纸、样品或资料提供给与履行本合同无关的任何其他人。</w:t>
      </w:r>
    </w:p>
    <w:p w14:paraId="09B9E62A">
      <w:pPr>
        <w:rPr>
          <w:highlight w:val="none"/>
        </w:rPr>
      </w:pPr>
      <w:r>
        <w:rPr>
          <w:rFonts w:hint="eastAsia"/>
          <w:highlight w:val="none"/>
        </w:rPr>
        <w:t>4.知识产权</w:t>
      </w:r>
    </w:p>
    <w:p w14:paraId="7672942C">
      <w:pPr>
        <w:rPr>
          <w:highlight w:val="none"/>
        </w:rPr>
      </w:pPr>
      <w:r>
        <w:rPr>
          <w:rFonts w:hint="eastAsia"/>
          <w:highlight w:val="none"/>
        </w:rPr>
        <w:t>乙方保证所提供的货物或其任何一部分均不会侵犯任何第三方的知识产权。</w:t>
      </w:r>
    </w:p>
    <w:p w14:paraId="64E010C3">
      <w:pPr>
        <w:rPr>
          <w:highlight w:val="none"/>
        </w:rPr>
      </w:pPr>
      <w:r>
        <w:rPr>
          <w:rFonts w:hint="eastAsia"/>
          <w:highlight w:val="none"/>
        </w:rPr>
        <w:t>5.产权担保</w:t>
      </w:r>
    </w:p>
    <w:p w14:paraId="43D66F25">
      <w:pPr>
        <w:rPr>
          <w:highlight w:val="none"/>
        </w:rPr>
      </w:pPr>
      <w:r>
        <w:rPr>
          <w:rFonts w:hint="eastAsia"/>
          <w:highlight w:val="none"/>
        </w:rPr>
        <w:t>乙方保证所交付的货物的所有权完全属于乙方且无任何抵押、查封等产权瑕疵。</w:t>
      </w:r>
    </w:p>
    <w:p w14:paraId="0F5A6DBD">
      <w:pPr>
        <w:rPr>
          <w:highlight w:val="none"/>
        </w:rPr>
      </w:pPr>
      <w:r>
        <w:rPr>
          <w:rFonts w:hint="eastAsia"/>
          <w:highlight w:val="none"/>
        </w:rPr>
        <w:t>6.转包或分包</w:t>
      </w:r>
    </w:p>
    <w:p w14:paraId="1A77E913">
      <w:pPr>
        <w:rPr>
          <w:highlight w:val="none"/>
        </w:rPr>
      </w:pPr>
      <w:r>
        <w:rPr>
          <w:rFonts w:hint="eastAsia"/>
          <w:highlight w:val="none"/>
        </w:rPr>
        <w:t>6.1本合同范围的货物，由乙方直接供应，不得转让他人供应。</w:t>
      </w:r>
    </w:p>
    <w:p w14:paraId="4EDD77B8">
      <w:pPr>
        <w:rPr>
          <w:highlight w:val="none"/>
        </w:rPr>
      </w:pPr>
      <w:r>
        <w:rPr>
          <w:rFonts w:hint="eastAsia"/>
          <w:highlight w:val="none"/>
        </w:rPr>
        <w:t>6.2 除非得到甲方的书面同意，乙方不得部分分包给他人供应。</w:t>
      </w:r>
    </w:p>
    <w:p w14:paraId="48FB9034">
      <w:pPr>
        <w:rPr>
          <w:highlight w:val="none"/>
        </w:rPr>
      </w:pPr>
      <w:r>
        <w:rPr>
          <w:rFonts w:hint="eastAsia"/>
          <w:highlight w:val="none"/>
        </w:rPr>
        <w:t>6.3如有转让和未经甲方同意的分包行为，甲方有权给予终止合同。</w:t>
      </w:r>
    </w:p>
    <w:p w14:paraId="6686A0A5">
      <w:pPr>
        <w:rPr>
          <w:highlight w:val="none"/>
        </w:rPr>
      </w:pPr>
      <w:r>
        <w:rPr>
          <w:rFonts w:hint="eastAsia"/>
          <w:highlight w:val="none"/>
        </w:rPr>
        <w:t>7.交货期、交货方式及交货地点</w:t>
      </w:r>
    </w:p>
    <w:p w14:paraId="2012F1F0">
      <w:pPr>
        <w:rPr>
          <w:highlight w:val="none"/>
        </w:rPr>
      </w:pPr>
      <w:r>
        <w:rPr>
          <w:rFonts w:hint="eastAsia"/>
          <w:highlight w:val="none"/>
        </w:rPr>
        <w:t>1、乙方于     年    月    日之前将货物按甲方要求在甲方指定地点交货，满足采购人需求并具备使用条件。</w:t>
      </w:r>
    </w:p>
    <w:p w14:paraId="3FCDB057">
      <w:pPr>
        <w:rPr>
          <w:highlight w:val="none"/>
        </w:rPr>
      </w:pPr>
      <w:r>
        <w:rPr>
          <w:rFonts w:hint="eastAsia"/>
          <w:highlight w:val="none"/>
        </w:rPr>
        <w:t>2、乙方负责所供货物包装、运输、安装和调试，并承担所发生的费用；甲方为乙方现场安装提供水、电等便利条件。</w:t>
      </w:r>
    </w:p>
    <w:p w14:paraId="099575FA">
      <w:pPr>
        <w:rPr>
          <w:highlight w:val="none"/>
        </w:rPr>
      </w:pPr>
      <w:r>
        <w:rPr>
          <w:rFonts w:hint="eastAsia"/>
          <w:highlight w:val="none"/>
        </w:rPr>
        <w:t>3、教材上架过程中若发生安全事故由乙方承担。</w:t>
      </w:r>
    </w:p>
    <w:p w14:paraId="44011ECF">
      <w:pPr>
        <w:rPr>
          <w:highlight w:val="none"/>
        </w:rPr>
      </w:pPr>
      <w:r>
        <w:rPr>
          <w:rFonts w:hint="eastAsia"/>
          <w:highlight w:val="none"/>
        </w:rPr>
        <w:t>4、乙方交货过程中应服从甲方的管理，遵守国家法律法规和学校相关制度，否则一切后果均由乙方承担。</w:t>
      </w:r>
    </w:p>
    <w:p w14:paraId="3B0D925A">
      <w:pPr>
        <w:rPr>
          <w:highlight w:val="none"/>
        </w:rPr>
      </w:pPr>
      <w:r>
        <w:rPr>
          <w:rFonts w:hint="eastAsia"/>
          <w:highlight w:val="none"/>
        </w:rPr>
        <w:t>5、货物交付使用前，乙方负责对提供货物进行看管，并承担货物的丢失、损毁等风险。</w:t>
      </w:r>
    </w:p>
    <w:p w14:paraId="115AF8F6">
      <w:pPr>
        <w:rPr>
          <w:highlight w:val="none"/>
        </w:rPr>
      </w:pPr>
      <w:r>
        <w:rPr>
          <w:rFonts w:hint="eastAsia"/>
          <w:highlight w:val="none"/>
        </w:rPr>
        <w:t>8.货款支付：双方协商。</w:t>
      </w:r>
    </w:p>
    <w:p w14:paraId="667787D5">
      <w:pPr>
        <w:rPr>
          <w:highlight w:val="none"/>
        </w:rPr>
      </w:pPr>
      <w:r>
        <w:rPr>
          <w:rFonts w:hint="eastAsia"/>
          <w:highlight w:val="none"/>
        </w:rPr>
        <w:t>9.税费</w:t>
      </w:r>
    </w:p>
    <w:p w14:paraId="0BEB57A5">
      <w:pPr>
        <w:rPr>
          <w:highlight w:val="none"/>
        </w:rPr>
      </w:pPr>
      <w:r>
        <w:rPr>
          <w:rFonts w:hint="eastAsia"/>
          <w:highlight w:val="none"/>
        </w:rPr>
        <w:t>本合同执行中相关的一切税费均由乙方负担。</w:t>
      </w:r>
    </w:p>
    <w:p w14:paraId="2EDA3D24">
      <w:pPr>
        <w:rPr>
          <w:highlight w:val="none"/>
        </w:rPr>
      </w:pPr>
      <w:r>
        <w:rPr>
          <w:rFonts w:hint="eastAsia"/>
          <w:highlight w:val="none"/>
        </w:rPr>
        <w:t>10.质量保证及售后服务</w:t>
      </w:r>
    </w:p>
    <w:p w14:paraId="2BA7A5A7">
      <w:pPr>
        <w:rPr>
          <w:highlight w:val="none"/>
        </w:rPr>
      </w:pPr>
      <w:r>
        <w:rPr>
          <w:rFonts w:hint="eastAsia"/>
          <w:highlight w:val="none"/>
        </w:rPr>
        <w:t>10.1、所有教材免费质保期为     年（自验收</w:t>
      </w:r>
      <w:r>
        <w:rPr>
          <w:rFonts w:hint="eastAsia"/>
          <w:highlight w:val="none"/>
          <w:lang w:eastAsia="zh-CN"/>
        </w:rPr>
        <w:t>符合国家相关规范及标准要求</w:t>
      </w:r>
      <w:r>
        <w:rPr>
          <w:rFonts w:hint="eastAsia"/>
          <w:highlight w:val="none"/>
        </w:rPr>
        <w:t>并交付给甲方之日起计算），终身维护、维修。</w:t>
      </w:r>
    </w:p>
    <w:p w14:paraId="23F1BD4A">
      <w:pPr>
        <w:rPr>
          <w:highlight w:val="none"/>
        </w:rPr>
      </w:pPr>
      <w:r>
        <w:rPr>
          <w:rFonts w:hint="eastAsia"/>
          <w:highlight w:val="none"/>
        </w:rPr>
        <w:t>10.2、在质保期内，因产品质量造成的问题，供货方免费维修。产品存在质量问题，甲方有权要求乙方换货。</w:t>
      </w:r>
    </w:p>
    <w:p w14:paraId="115021E7">
      <w:pPr>
        <w:rPr>
          <w:highlight w:val="none"/>
        </w:rPr>
      </w:pPr>
      <w:r>
        <w:rPr>
          <w:rFonts w:hint="eastAsia"/>
          <w:highlight w:val="none"/>
        </w:rPr>
        <w:t>10.3、其它。</w:t>
      </w:r>
    </w:p>
    <w:p w14:paraId="1E2246AE">
      <w:pPr>
        <w:rPr>
          <w:highlight w:val="none"/>
        </w:rPr>
      </w:pPr>
      <w:r>
        <w:rPr>
          <w:rFonts w:hint="eastAsia"/>
          <w:highlight w:val="none"/>
        </w:rPr>
        <w:t>11. 包装与运输</w:t>
      </w:r>
    </w:p>
    <w:p w14:paraId="6BE6C55E">
      <w:pPr>
        <w:rPr>
          <w:highlight w:val="none"/>
        </w:rPr>
      </w:pPr>
      <w:r>
        <w:rPr>
          <w:rFonts w:hint="eastAsia"/>
          <w:highlight w:val="none"/>
        </w:rPr>
        <w:t>教材交付使用前发生的所有与教材相关的运输、安装及安全保障事项等均由乙方负责；教材包装应符合抗震、防潮、防冻、防锈以及长途运输等要求，对由于包装不当或防护措施不力而导致的商品损坏、损失、腐蚀等损失均由乙方承担；在教材交付使用前所发生的所有与教材相关的经济纠纷及法律责任均与甲方无关。</w:t>
      </w:r>
    </w:p>
    <w:p w14:paraId="6A07B66F">
      <w:pPr>
        <w:rPr>
          <w:highlight w:val="none"/>
        </w:rPr>
      </w:pPr>
      <w:r>
        <w:rPr>
          <w:rFonts w:hint="eastAsia"/>
          <w:highlight w:val="none"/>
        </w:rPr>
        <w:t>12.索赔</w:t>
      </w:r>
    </w:p>
    <w:p w14:paraId="3D123A67">
      <w:pPr>
        <w:rPr>
          <w:highlight w:val="none"/>
        </w:rPr>
      </w:pPr>
      <w:r>
        <w:rPr>
          <w:rFonts w:hint="eastAsia"/>
          <w:highlight w:val="none"/>
        </w:rPr>
        <w:t>12.1 如果货物的质量、规格、数量等与合同不符，或在质保期内证实货物存有缺陷，包括潜在的缺陷或使用不符合要求的材料等，甲方有权根据有资质的权威质检机构的检验结果向乙方提出索赔(但责任应由保险公司或运输部门承担的除外)。</w:t>
      </w:r>
    </w:p>
    <w:p w14:paraId="45947141">
      <w:pPr>
        <w:rPr>
          <w:highlight w:val="none"/>
        </w:rPr>
      </w:pPr>
      <w:r>
        <w:rPr>
          <w:rFonts w:hint="eastAsia"/>
          <w:highlight w:val="none"/>
        </w:rPr>
        <w:t> 12.2 在根据合同第11条规定的检验期和质保期内，如果乙方对甲方提出的索赔负有责任，乙方应按照甲方同意的下列一种或多种方式解决索赔事宜：</w:t>
      </w:r>
    </w:p>
    <w:p w14:paraId="278AAC92">
      <w:pPr>
        <w:rPr>
          <w:highlight w:val="none"/>
        </w:rPr>
      </w:pPr>
      <w:r>
        <w:rPr>
          <w:rFonts w:hint="eastAsia"/>
          <w:highlight w:val="none"/>
        </w:rPr>
        <w:t> 12.2.1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28139CE7">
      <w:pPr>
        <w:rPr>
          <w:highlight w:val="none"/>
        </w:rPr>
      </w:pPr>
      <w:r>
        <w:rPr>
          <w:rFonts w:hint="eastAsia"/>
          <w:highlight w:val="none"/>
        </w:rPr>
        <w:t> 12.2.2 根据货物低劣程度、损坏程度以及甲方所遭受损失的数额，经双方商定降低货物的价格，或由有权的部门评估，以降低后的价格或评估价格为准。</w:t>
      </w:r>
    </w:p>
    <w:p w14:paraId="7ACE43F5">
      <w:pPr>
        <w:rPr>
          <w:highlight w:val="none"/>
        </w:rPr>
      </w:pPr>
      <w:r>
        <w:rPr>
          <w:rFonts w:hint="eastAsia"/>
          <w:highlight w:val="none"/>
        </w:rPr>
        <w:t>12.2.3 用符合规格、质量和性能要求的新零件、部件或货物来更换有缺陷的部分或/和修补缺陷部分，乙方承担一切费用和风险并负担甲方所发生的一切直接费用。同时，乙方方应按合同第12条规定，相应延长修补或更换件的质保期。</w:t>
      </w:r>
    </w:p>
    <w:p w14:paraId="55573134">
      <w:pPr>
        <w:rPr>
          <w:highlight w:val="none"/>
        </w:rPr>
      </w:pPr>
      <w:r>
        <w:rPr>
          <w:rFonts w:hint="eastAsia"/>
          <w:highlight w:val="none"/>
        </w:rPr>
        <w:t> 12.2.4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05234871">
      <w:pPr>
        <w:rPr>
          <w:highlight w:val="none"/>
        </w:rPr>
      </w:pPr>
      <w:r>
        <w:rPr>
          <w:rFonts w:hint="eastAsia"/>
          <w:highlight w:val="none"/>
        </w:rPr>
        <w:t>13.违约责任</w:t>
      </w:r>
    </w:p>
    <w:p w14:paraId="2DBB5C86">
      <w:pPr>
        <w:rPr>
          <w:highlight w:val="none"/>
        </w:rPr>
      </w:pPr>
      <w:r>
        <w:rPr>
          <w:rFonts w:hint="eastAsia"/>
          <w:highlight w:val="none"/>
        </w:rPr>
        <w:t>13.1 甲方无正当理由拒收货物的，甲方向乙方偿付拒收货款总值的百分之五违约金。</w:t>
      </w:r>
    </w:p>
    <w:p w14:paraId="479FEA27">
      <w:pPr>
        <w:rPr>
          <w:highlight w:val="none"/>
        </w:rPr>
      </w:pPr>
      <w:r>
        <w:rPr>
          <w:rFonts w:hint="eastAsia"/>
          <w:highlight w:val="none"/>
        </w:rPr>
        <w:t>13.2 甲方无故逾期验收和办理货款支付手续的,甲方按逾期付款总额每日万分之五向乙方支付违约金。</w:t>
      </w:r>
    </w:p>
    <w:p w14:paraId="61DCD86F">
      <w:pPr>
        <w:rPr>
          <w:highlight w:val="none"/>
        </w:rPr>
      </w:pPr>
      <w:r>
        <w:rPr>
          <w:rFonts w:hint="eastAsia"/>
          <w:highlight w:val="none"/>
        </w:rPr>
        <w:t>13.3 乙方逾期交付货物的，乙方按逾期交货总额每日万分之五向甲方支付违约金。逾期超过约定日期10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01CA5BC">
      <w:pPr>
        <w:rPr>
          <w:highlight w:val="none"/>
        </w:rPr>
      </w:pPr>
      <w:r>
        <w:rPr>
          <w:rFonts w:hint="eastAsia"/>
          <w:highlight w:val="none"/>
        </w:rPr>
        <w:t>14不可抗力事件处理</w:t>
      </w:r>
    </w:p>
    <w:p w14:paraId="3406D3D7">
      <w:pPr>
        <w:rPr>
          <w:highlight w:val="none"/>
        </w:rPr>
      </w:pPr>
      <w:r>
        <w:rPr>
          <w:rFonts w:hint="eastAsia"/>
          <w:highlight w:val="none"/>
        </w:rPr>
        <w:t>14.1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057F5CFD">
      <w:pPr>
        <w:rPr>
          <w:highlight w:val="none"/>
        </w:rPr>
      </w:pPr>
      <w:r>
        <w:rPr>
          <w:rFonts w:hint="eastAsia"/>
          <w:highlight w:val="none"/>
        </w:rPr>
        <w:t>14.2 本合同中的不可抗力指不能预见、不能避免并不能克服的客观情况。包括但不限于：自然灾害如地震、台风、洪水、火灾；政府行为、法律规定或其适用的变化或者其他任何无法预见、避免或者控制的事件。</w:t>
      </w:r>
    </w:p>
    <w:p w14:paraId="46C91DDD">
      <w:pPr>
        <w:rPr>
          <w:highlight w:val="none"/>
        </w:rPr>
      </w:pPr>
      <w:r>
        <w:rPr>
          <w:rFonts w:hint="eastAsia"/>
          <w:highlight w:val="none"/>
        </w:rPr>
        <w:t>15.合同纠纷处理</w:t>
      </w:r>
    </w:p>
    <w:p w14:paraId="28B1D171">
      <w:pPr>
        <w:rPr>
          <w:highlight w:val="none"/>
        </w:rPr>
      </w:pPr>
      <w:r>
        <w:rPr>
          <w:rFonts w:hint="eastAsia"/>
          <w:highlight w:val="none"/>
        </w:rPr>
        <w:t>因本合同或与本合同有关的一切事项发生争议，由双方友好协商解决。协商不成的，任何一方均可选择以下方式解决：</w:t>
      </w:r>
    </w:p>
    <w:p w14:paraId="47C3911A">
      <w:pPr>
        <w:rPr>
          <w:highlight w:val="none"/>
        </w:rPr>
      </w:pPr>
      <w:r>
        <w:rPr>
          <w:rFonts w:hint="eastAsia"/>
          <w:highlight w:val="none"/>
        </w:rPr>
        <w:t>15.1 向合同签订地人民法院提起诉讼。</w:t>
      </w:r>
    </w:p>
    <w:p w14:paraId="7B96E384">
      <w:pPr>
        <w:rPr>
          <w:highlight w:val="none"/>
        </w:rPr>
      </w:pPr>
      <w:r>
        <w:rPr>
          <w:rFonts w:hint="eastAsia"/>
          <w:highlight w:val="none"/>
        </w:rPr>
        <w:t>16.违约解除合同</w:t>
      </w:r>
    </w:p>
    <w:p w14:paraId="4A5E4F1E">
      <w:pPr>
        <w:rPr>
          <w:highlight w:val="none"/>
        </w:rPr>
      </w:pPr>
      <w:r>
        <w:rPr>
          <w:rFonts w:hint="eastAsia"/>
          <w:highlight w:val="none"/>
        </w:rPr>
        <w:t>16.1在乙方违约的情况下，甲方可向乙方发出书面通知，部分或全部终止合同，同时保留向对方追诉的权利。</w:t>
      </w:r>
    </w:p>
    <w:p w14:paraId="6F8C2CC2">
      <w:pPr>
        <w:rPr>
          <w:highlight w:val="none"/>
        </w:rPr>
      </w:pPr>
      <w:r>
        <w:rPr>
          <w:rFonts w:hint="eastAsia"/>
          <w:highlight w:val="none"/>
        </w:rPr>
        <w:t>16.1.1 乙方未能在合同规定的限期或甲方同意延长的限期内提供全部或部分货物，按合同第14.3的规定可以解除合同的。</w:t>
      </w:r>
    </w:p>
    <w:p w14:paraId="72FB22CD">
      <w:pPr>
        <w:rPr>
          <w:highlight w:val="none"/>
        </w:rPr>
      </w:pPr>
      <w:r>
        <w:rPr>
          <w:rFonts w:hint="eastAsia"/>
          <w:highlight w:val="none"/>
        </w:rPr>
        <w:t>16.1.2 乙方有转让和未经甲方同意的分包行为，按合同第7.3的规定可以解除合同的。</w:t>
      </w:r>
    </w:p>
    <w:p w14:paraId="19DC46E1">
      <w:pPr>
        <w:rPr>
          <w:highlight w:val="none"/>
        </w:rPr>
      </w:pPr>
      <w:r>
        <w:rPr>
          <w:rFonts w:hint="eastAsia"/>
          <w:highlight w:val="none"/>
        </w:rPr>
        <w:t>16.1.3 乙方未能履行合同规定的其它主要义务的。</w:t>
      </w:r>
    </w:p>
    <w:p w14:paraId="322D2F86">
      <w:pPr>
        <w:rPr>
          <w:highlight w:val="none"/>
        </w:rPr>
      </w:pPr>
      <w:r>
        <w:rPr>
          <w:rFonts w:hint="eastAsia"/>
          <w:highlight w:val="none"/>
        </w:rPr>
        <w:t>16.1.4 在本合同履行过程中有腐败和欺诈行为的。</w:t>
      </w:r>
    </w:p>
    <w:p w14:paraId="1C1D264C">
      <w:pPr>
        <w:rPr>
          <w:highlight w:val="none"/>
        </w:rPr>
      </w:pPr>
      <w:r>
        <w:rPr>
          <w:rFonts w:hint="eastAsia"/>
          <w:highlight w:val="none"/>
        </w:rPr>
        <w:t>16.2 在甲方根据上述第16.1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6DEACE68">
      <w:pPr>
        <w:rPr>
          <w:highlight w:val="none"/>
        </w:rPr>
      </w:pPr>
      <w:r>
        <w:rPr>
          <w:rFonts w:hint="eastAsia"/>
          <w:highlight w:val="none"/>
        </w:rPr>
        <w:t>17.其他约定</w:t>
      </w:r>
    </w:p>
    <w:p w14:paraId="7BFCA34F">
      <w:pPr>
        <w:rPr>
          <w:highlight w:val="none"/>
        </w:rPr>
      </w:pPr>
      <w:r>
        <w:rPr>
          <w:rFonts w:hint="eastAsia"/>
          <w:highlight w:val="none"/>
        </w:rPr>
        <w:t>17.1 本采购项目的招标文件、成交供应商的响应文件以及相关的澄清确认函（如果有的话）均为本合同不可分割的一部分，与本合同具有同等法律效力。</w:t>
      </w:r>
    </w:p>
    <w:p w14:paraId="37FC0D22">
      <w:pPr>
        <w:rPr>
          <w:highlight w:val="none"/>
        </w:rPr>
      </w:pPr>
      <w:r>
        <w:rPr>
          <w:rFonts w:hint="eastAsia"/>
          <w:highlight w:val="none"/>
        </w:rPr>
        <w:t>17.2 本合同未尽事宜，双方另行补充。</w:t>
      </w:r>
    </w:p>
    <w:p w14:paraId="6748C74B">
      <w:pPr>
        <w:rPr>
          <w:highlight w:val="none"/>
        </w:rPr>
      </w:pPr>
      <w:r>
        <w:rPr>
          <w:rFonts w:hint="eastAsia"/>
          <w:highlight w:val="none"/>
        </w:rPr>
        <w:t>17.3本合同正本一式 肆 份，具有同等法律效力，甲、乙双方各执 贰 份。自采购合同签订之日起7个工作日内，甲方按照有关规定将合同副本报同级财政部门备案。</w:t>
      </w:r>
    </w:p>
    <w:p w14:paraId="2C42D8C1">
      <w:pPr>
        <w:rPr>
          <w:highlight w:val="none"/>
        </w:rPr>
      </w:pPr>
      <w:r>
        <w:rPr>
          <w:rFonts w:hint="eastAsia"/>
          <w:highlight w:val="none"/>
        </w:rPr>
        <w:t xml:space="preserve">17.4 签定地点：                         </w:t>
      </w:r>
    </w:p>
    <w:p w14:paraId="564EC207">
      <w:pPr>
        <w:rPr>
          <w:highlight w:val="none"/>
        </w:rPr>
      </w:pPr>
    </w:p>
    <w:p w14:paraId="3AFD82EA">
      <w:pPr>
        <w:rPr>
          <w:highlight w:val="none"/>
        </w:rPr>
      </w:pPr>
      <w:r>
        <w:rPr>
          <w:rFonts w:hint="eastAsia"/>
          <w:highlight w:val="none"/>
        </w:rPr>
        <w:t>甲方：                            乙方：</w:t>
      </w:r>
    </w:p>
    <w:p w14:paraId="70B7495C">
      <w:pPr>
        <w:rPr>
          <w:highlight w:val="none"/>
        </w:rPr>
      </w:pPr>
      <w:r>
        <w:rPr>
          <w:rFonts w:hint="eastAsia"/>
          <w:highlight w:val="none"/>
        </w:rPr>
        <w:t>单位地址：                        单位地址：</w:t>
      </w:r>
    </w:p>
    <w:p w14:paraId="708F0848">
      <w:pPr>
        <w:rPr>
          <w:highlight w:val="none"/>
        </w:rPr>
      </w:pPr>
      <w:r>
        <w:rPr>
          <w:rFonts w:hint="eastAsia"/>
          <w:highlight w:val="none"/>
        </w:rPr>
        <w:t>法定代表人：                      法定代表人：</w:t>
      </w:r>
    </w:p>
    <w:p w14:paraId="6E41D803">
      <w:pPr>
        <w:rPr>
          <w:highlight w:val="none"/>
        </w:rPr>
      </w:pPr>
      <w:r>
        <w:rPr>
          <w:rFonts w:hint="eastAsia"/>
          <w:highlight w:val="none"/>
        </w:rPr>
        <w:t>委托代理人：                      委托代理人：</w:t>
      </w:r>
    </w:p>
    <w:p w14:paraId="2DB4A42A">
      <w:pPr>
        <w:rPr>
          <w:highlight w:val="none"/>
        </w:rPr>
      </w:pPr>
      <w:r>
        <w:rPr>
          <w:rFonts w:hint="eastAsia"/>
          <w:highlight w:val="none"/>
        </w:rPr>
        <w:t>电   话：                         电  话：</w:t>
      </w:r>
    </w:p>
    <w:p w14:paraId="18292CAF">
      <w:pPr>
        <w:rPr>
          <w:highlight w:val="none"/>
        </w:rPr>
      </w:pPr>
    </w:p>
    <w:p w14:paraId="696F4E99">
      <w:pPr>
        <w:rPr>
          <w:highlight w:val="none"/>
        </w:rPr>
      </w:pPr>
    </w:p>
    <w:p w14:paraId="3E45021A">
      <w:pPr>
        <w:rPr>
          <w:highlight w:val="none"/>
        </w:rPr>
      </w:pPr>
      <w:r>
        <w:rPr>
          <w:rFonts w:hint="eastAsia"/>
          <w:highlight w:val="none"/>
        </w:rPr>
        <w:t>签订日期：  年  月   日</w:t>
      </w:r>
    </w:p>
    <w:p w14:paraId="25C52574">
      <w:pPr>
        <w:wordWrap w:val="0"/>
        <w:spacing w:line="360" w:lineRule="auto"/>
        <w:jc w:val="center"/>
        <w:rPr>
          <w:rFonts w:ascii="宋体" w:hAnsi="宋体"/>
          <w:b/>
          <w:bCs/>
          <w:color w:val="000000"/>
          <w:kern w:val="44"/>
          <w:sz w:val="28"/>
          <w:highlight w:val="none"/>
        </w:rPr>
      </w:pPr>
      <w:r>
        <w:rPr>
          <w:rFonts w:hint="eastAsia" w:ascii="宋体" w:hAnsi="宋体"/>
          <w:b/>
          <w:bCs/>
          <w:color w:val="000000"/>
          <w:kern w:val="44"/>
          <w:sz w:val="28"/>
          <w:highlight w:val="none"/>
        </w:rPr>
        <w:br w:type="page"/>
      </w:r>
      <w:bookmarkEnd w:id="172"/>
      <w:bookmarkEnd w:id="173"/>
      <w:bookmarkEnd w:id="174"/>
      <w:bookmarkEnd w:id="175"/>
      <w:bookmarkEnd w:id="176"/>
      <w:bookmarkEnd w:id="177"/>
      <w:bookmarkStart w:id="178" w:name="_Toc25827"/>
    </w:p>
    <w:p w14:paraId="6D9B8F73">
      <w:pPr>
        <w:numPr>
          <w:ilvl w:val="0"/>
          <w:numId w:val="4"/>
        </w:numPr>
        <w:wordWrap w:val="0"/>
        <w:spacing w:line="360" w:lineRule="auto"/>
        <w:jc w:val="center"/>
        <w:rPr>
          <w:rFonts w:ascii="宋体" w:hAnsi="宋体"/>
          <w:b/>
          <w:bCs/>
          <w:color w:val="000000"/>
          <w:sz w:val="28"/>
          <w:szCs w:val="28"/>
          <w:highlight w:val="none"/>
        </w:rPr>
      </w:pPr>
      <w:r>
        <w:rPr>
          <w:rFonts w:hint="eastAsia" w:ascii="宋体" w:hAnsi="宋体"/>
          <w:b/>
          <w:bCs/>
          <w:color w:val="000000"/>
          <w:sz w:val="28"/>
          <w:szCs w:val="28"/>
          <w:highlight w:val="none"/>
        </w:rPr>
        <w:t xml:space="preserve"> 采购清单</w:t>
      </w:r>
    </w:p>
    <w:p w14:paraId="5C21D8AF">
      <w:pPr>
        <w:jc w:val="center"/>
        <w:rPr>
          <w:rFonts w:hint="eastAsia" w:ascii="宋体" w:hAnsi="宋体" w:eastAsia="宋体"/>
          <w:b/>
          <w:sz w:val="28"/>
          <w:szCs w:val="28"/>
          <w:highlight w:val="none"/>
          <w:lang w:eastAsia="zh-CN"/>
        </w:rPr>
      </w:pPr>
      <w:r>
        <w:rPr>
          <w:rFonts w:hint="eastAsia" w:ascii="宋体" w:hAnsi="宋体"/>
          <w:b/>
          <w:sz w:val="28"/>
          <w:szCs w:val="28"/>
          <w:highlight w:val="none"/>
          <w:lang w:eastAsia="zh-CN"/>
        </w:rPr>
        <w:t>陕州区2026年中央财政农业防灾减灾资金项目</w:t>
      </w:r>
    </w:p>
    <w:p w14:paraId="4B977C3B">
      <w:pPr>
        <w:jc w:val="center"/>
        <w:rPr>
          <w:rFonts w:hint="eastAsia" w:ascii="宋体" w:hAnsi="宋体" w:eastAsia="宋体"/>
          <w:b/>
          <w:sz w:val="28"/>
          <w:szCs w:val="28"/>
          <w:highlight w:val="none"/>
          <w:lang w:eastAsia="zh-CN"/>
        </w:rPr>
      </w:pPr>
      <w:r>
        <w:rPr>
          <w:rFonts w:hint="eastAsia" w:ascii="宋体" w:hAnsi="宋体" w:eastAsia="宋体"/>
          <w:b/>
          <w:sz w:val="28"/>
          <w:szCs w:val="28"/>
          <w:highlight w:val="none"/>
          <w:lang w:eastAsia="zh-CN"/>
        </w:rPr>
        <w:t>（一、二标段）</w:t>
      </w:r>
      <w:r>
        <w:rPr>
          <w:rFonts w:hint="eastAsia" w:ascii="宋体" w:hAnsi="宋体" w:eastAsia="宋体"/>
          <w:b/>
          <w:sz w:val="28"/>
          <w:szCs w:val="28"/>
          <w:highlight w:val="none"/>
        </w:rPr>
        <w:t>采购</w:t>
      </w:r>
      <w:r>
        <w:rPr>
          <w:rFonts w:hint="eastAsia" w:ascii="宋体" w:hAnsi="宋体" w:eastAsia="宋体"/>
          <w:b/>
          <w:sz w:val="28"/>
          <w:szCs w:val="28"/>
          <w:highlight w:val="none"/>
          <w:lang w:eastAsia="zh-CN"/>
        </w:rPr>
        <w:t>清单</w:t>
      </w:r>
    </w:p>
    <w:tbl>
      <w:tblPr>
        <w:tblStyle w:val="14"/>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13"/>
        <w:gridCol w:w="2019"/>
        <w:gridCol w:w="1933"/>
        <w:gridCol w:w="1884"/>
      </w:tblGrid>
      <w:tr w14:paraId="5ACB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970" w:type="dxa"/>
            <w:vAlign w:val="center"/>
          </w:tcPr>
          <w:p w14:paraId="0A499607">
            <w:pPr>
              <w:jc w:val="center"/>
              <w:rPr>
                <w:rFonts w:ascii="宋体" w:hAnsi="宋体"/>
                <w:sz w:val="28"/>
              </w:rPr>
            </w:pPr>
            <w:r>
              <w:rPr>
                <w:rFonts w:hint="eastAsia" w:ascii="宋体" w:hAnsi="宋体"/>
                <w:sz w:val="28"/>
              </w:rPr>
              <w:t>标段</w:t>
            </w:r>
          </w:p>
        </w:tc>
        <w:tc>
          <w:tcPr>
            <w:tcW w:w="1913" w:type="dxa"/>
            <w:vAlign w:val="center"/>
          </w:tcPr>
          <w:p w14:paraId="0748039B">
            <w:pPr>
              <w:jc w:val="center"/>
              <w:rPr>
                <w:rFonts w:ascii="宋体" w:hAnsi="宋体"/>
                <w:sz w:val="28"/>
              </w:rPr>
            </w:pPr>
            <w:r>
              <w:rPr>
                <w:rFonts w:hint="eastAsia" w:ascii="宋体" w:hAnsi="宋体"/>
                <w:sz w:val="28"/>
              </w:rPr>
              <w:t>采购内容</w:t>
            </w:r>
          </w:p>
        </w:tc>
        <w:tc>
          <w:tcPr>
            <w:tcW w:w="2019" w:type="dxa"/>
            <w:vAlign w:val="center"/>
          </w:tcPr>
          <w:p w14:paraId="46498535">
            <w:pPr>
              <w:jc w:val="center"/>
              <w:rPr>
                <w:rFonts w:ascii="宋体" w:hAnsi="宋体"/>
                <w:sz w:val="28"/>
              </w:rPr>
            </w:pPr>
            <w:r>
              <w:rPr>
                <w:rFonts w:hint="eastAsia" w:ascii="宋体" w:hAnsi="宋体"/>
                <w:sz w:val="28"/>
              </w:rPr>
              <w:t>单价（元</w:t>
            </w:r>
            <w:r>
              <w:rPr>
                <w:rFonts w:hint="eastAsia" w:ascii="宋体" w:hAnsi="宋体"/>
                <w:sz w:val="28"/>
                <w:lang w:val="en-US" w:eastAsia="zh-CN"/>
              </w:rPr>
              <w:t>/亩</w:t>
            </w:r>
            <w:r>
              <w:rPr>
                <w:rFonts w:hint="eastAsia" w:ascii="宋体" w:hAnsi="宋体"/>
                <w:sz w:val="28"/>
              </w:rPr>
              <w:t>）</w:t>
            </w:r>
          </w:p>
        </w:tc>
        <w:tc>
          <w:tcPr>
            <w:tcW w:w="1933" w:type="dxa"/>
            <w:vAlign w:val="center"/>
          </w:tcPr>
          <w:p w14:paraId="745E7A7D">
            <w:pPr>
              <w:jc w:val="center"/>
              <w:rPr>
                <w:rFonts w:ascii="宋体" w:hAnsi="宋体"/>
                <w:sz w:val="28"/>
              </w:rPr>
            </w:pPr>
            <w:r>
              <w:rPr>
                <w:rFonts w:hint="eastAsia" w:ascii="宋体" w:hAnsi="宋体"/>
                <w:sz w:val="28"/>
              </w:rPr>
              <w:t>金额（元）</w:t>
            </w:r>
          </w:p>
        </w:tc>
        <w:tc>
          <w:tcPr>
            <w:tcW w:w="1884" w:type="dxa"/>
            <w:vAlign w:val="center"/>
          </w:tcPr>
          <w:p w14:paraId="671C4842">
            <w:pPr>
              <w:jc w:val="center"/>
              <w:rPr>
                <w:rFonts w:ascii="宋体" w:hAnsi="宋体"/>
                <w:sz w:val="28"/>
              </w:rPr>
            </w:pPr>
            <w:r>
              <w:rPr>
                <w:rFonts w:hint="eastAsia" w:ascii="宋体" w:hAnsi="宋体"/>
                <w:sz w:val="28"/>
              </w:rPr>
              <w:t>备注</w:t>
            </w:r>
          </w:p>
        </w:tc>
      </w:tr>
      <w:tr w14:paraId="328A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970" w:type="dxa"/>
            <w:vAlign w:val="center"/>
          </w:tcPr>
          <w:p w14:paraId="4AF292D9">
            <w:pPr>
              <w:jc w:val="center"/>
              <w:rPr>
                <w:rFonts w:hint="eastAsia" w:eastAsiaTheme="minorEastAsia"/>
                <w:highlight w:val="none"/>
                <w:lang w:eastAsia="zh-CN"/>
              </w:rPr>
            </w:pPr>
            <w:r>
              <w:rPr>
                <w:rFonts w:hint="eastAsia"/>
                <w:highlight w:val="none"/>
                <w:lang w:eastAsia="zh-CN"/>
              </w:rPr>
              <w:t>一标段</w:t>
            </w:r>
          </w:p>
        </w:tc>
        <w:tc>
          <w:tcPr>
            <w:tcW w:w="1913" w:type="dxa"/>
            <w:vAlign w:val="center"/>
          </w:tcPr>
          <w:p w14:paraId="3ECA6AE3">
            <w:pPr>
              <w:jc w:val="center"/>
              <w:rPr>
                <w:highlight w:val="none"/>
              </w:rPr>
            </w:pPr>
            <w:r>
              <w:rPr>
                <w:rFonts w:hint="eastAsia"/>
                <w:highlight w:val="none"/>
              </w:rPr>
              <w:t>植保无人机防治</w:t>
            </w:r>
            <w:r>
              <w:rPr>
                <w:rFonts w:hint="eastAsia"/>
                <w:highlight w:val="none"/>
                <w:lang w:eastAsia="zh-CN"/>
              </w:rPr>
              <w:t>作业</w:t>
            </w:r>
            <w:r>
              <w:rPr>
                <w:rFonts w:hint="eastAsia"/>
                <w:highlight w:val="none"/>
              </w:rPr>
              <w:t>服务</w:t>
            </w:r>
            <w:r>
              <w:rPr>
                <w:rFonts w:hint="eastAsia"/>
                <w:highlight w:val="none"/>
                <w:lang w:eastAsia="zh-CN"/>
              </w:rPr>
              <w:t>费</w:t>
            </w:r>
          </w:p>
        </w:tc>
        <w:tc>
          <w:tcPr>
            <w:tcW w:w="2019" w:type="dxa"/>
            <w:vAlign w:val="center"/>
          </w:tcPr>
          <w:p w14:paraId="649DF53A">
            <w:pPr>
              <w:jc w:val="center"/>
              <w:rPr>
                <w:rFonts w:hint="default"/>
                <w:highlight w:val="none"/>
                <w:lang w:val="en-US"/>
              </w:rPr>
            </w:pPr>
          </w:p>
        </w:tc>
        <w:tc>
          <w:tcPr>
            <w:tcW w:w="1933" w:type="dxa"/>
            <w:vAlign w:val="center"/>
          </w:tcPr>
          <w:p w14:paraId="0E5E63B1">
            <w:pPr>
              <w:jc w:val="center"/>
              <w:rPr>
                <w:rFonts w:hint="default" w:eastAsiaTheme="minorEastAsia"/>
                <w:highlight w:val="none"/>
                <w:lang w:val="en-US" w:eastAsia="zh-CN"/>
              </w:rPr>
            </w:pPr>
            <w:r>
              <w:rPr>
                <w:rFonts w:hint="eastAsia"/>
                <w:highlight w:val="none"/>
                <w:lang w:val="en-US" w:eastAsia="zh-CN"/>
              </w:rPr>
              <w:t>210000</w:t>
            </w:r>
          </w:p>
        </w:tc>
        <w:tc>
          <w:tcPr>
            <w:tcW w:w="1884" w:type="dxa"/>
            <w:vAlign w:val="center"/>
          </w:tcPr>
          <w:p w14:paraId="0DF392B3">
            <w:pPr>
              <w:jc w:val="center"/>
              <w:rPr>
                <w:rFonts w:eastAsiaTheme="minorEastAsia"/>
                <w:highlight w:val="none"/>
              </w:rPr>
            </w:pPr>
          </w:p>
        </w:tc>
      </w:tr>
      <w:tr w14:paraId="5A3D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970" w:type="dxa"/>
            <w:vAlign w:val="center"/>
          </w:tcPr>
          <w:p w14:paraId="4315ACF0">
            <w:pPr>
              <w:jc w:val="center"/>
              <w:rPr>
                <w:rFonts w:ascii="宋体" w:hAnsi="宋体" w:eastAsiaTheme="minorEastAsia" w:cstheme="minorBidi"/>
                <w:kern w:val="2"/>
                <w:sz w:val="28"/>
                <w:szCs w:val="22"/>
                <w:highlight w:val="none"/>
                <w:lang w:val="en-US" w:eastAsia="zh-CN" w:bidi="ar-SA"/>
              </w:rPr>
            </w:pPr>
            <w:r>
              <w:rPr>
                <w:rFonts w:hint="eastAsia" w:ascii="宋体" w:hAnsi="宋体"/>
                <w:sz w:val="28"/>
                <w:highlight w:val="none"/>
              </w:rPr>
              <w:t>标段</w:t>
            </w:r>
          </w:p>
        </w:tc>
        <w:tc>
          <w:tcPr>
            <w:tcW w:w="1913" w:type="dxa"/>
            <w:vAlign w:val="center"/>
          </w:tcPr>
          <w:p w14:paraId="22359EC8">
            <w:pPr>
              <w:jc w:val="center"/>
              <w:rPr>
                <w:rFonts w:hint="eastAsia" w:ascii="宋体" w:hAnsi="宋体" w:eastAsiaTheme="minorEastAsia" w:cstheme="minorBidi"/>
                <w:kern w:val="2"/>
                <w:sz w:val="28"/>
                <w:szCs w:val="22"/>
                <w:highlight w:val="none"/>
                <w:lang w:val="en-US" w:eastAsia="zh-CN" w:bidi="ar-SA"/>
              </w:rPr>
            </w:pPr>
            <w:r>
              <w:rPr>
                <w:rFonts w:hint="eastAsia" w:ascii="宋体" w:hAnsi="宋体"/>
                <w:sz w:val="28"/>
                <w:highlight w:val="none"/>
              </w:rPr>
              <w:t>采购内容</w:t>
            </w:r>
          </w:p>
        </w:tc>
        <w:tc>
          <w:tcPr>
            <w:tcW w:w="2019" w:type="dxa"/>
            <w:vAlign w:val="center"/>
          </w:tcPr>
          <w:p w14:paraId="74F88971">
            <w:pPr>
              <w:jc w:val="center"/>
              <w:rPr>
                <w:rFonts w:hint="eastAsia" w:ascii="宋体" w:hAnsi="宋体" w:eastAsiaTheme="minorEastAsia" w:cstheme="minorBidi"/>
                <w:kern w:val="2"/>
                <w:sz w:val="28"/>
                <w:szCs w:val="22"/>
                <w:highlight w:val="none"/>
                <w:lang w:val="en-US" w:eastAsia="zh-CN" w:bidi="ar-SA"/>
              </w:rPr>
            </w:pPr>
            <w:r>
              <w:rPr>
                <w:rFonts w:hint="eastAsia" w:ascii="宋体" w:hAnsi="宋体"/>
                <w:sz w:val="28"/>
                <w:highlight w:val="none"/>
              </w:rPr>
              <w:t>单价（元</w:t>
            </w:r>
            <w:r>
              <w:rPr>
                <w:rFonts w:hint="eastAsia" w:ascii="宋体" w:hAnsi="宋体"/>
                <w:sz w:val="28"/>
                <w:highlight w:val="none"/>
                <w:lang w:val="en-US" w:eastAsia="zh-CN"/>
              </w:rPr>
              <w:t>/亩</w:t>
            </w:r>
            <w:r>
              <w:rPr>
                <w:rFonts w:hint="eastAsia" w:ascii="宋体" w:hAnsi="宋体"/>
                <w:sz w:val="28"/>
                <w:highlight w:val="none"/>
              </w:rPr>
              <w:t>）</w:t>
            </w:r>
          </w:p>
        </w:tc>
        <w:tc>
          <w:tcPr>
            <w:tcW w:w="1933" w:type="dxa"/>
            <w:vAlign w:val="center"/>
          </w:tcPr>
          <w:p w14:paraId="3926184E">
            <w:pPr>
              <w:jc w:val="center"/>
              <w:rPr>
                <w:rFonts w:hint="eastAsia" w:ascii="宋体" w:hAnsi="宋体" w:eastAsiaTheme="minorEastAsia" w:cstheme="minorBidi"/>
                <w:kern w:val="2"/>
                <w:sz w:val="28"/>
                <w:szCs w:val="22"/>
                <w:highlight w:val="none"/>
                <w:lang w:val="en-US" w:eastAsia="zh-CN" w:bidi="ar-SA"/>
              </w:rPr>
            </w:pPr>
            <w:r>
              <w:rPr>
                <w:rFonts w:hint="eastAsia" w:ascii="宋体" w:hAnsi="宋体"/>
                <w:sz w:val="28"/>
                <w:highlight w:val="none"/>
              </w:rPr>
              <w:t>金额（元）</w:t>
            </w:r>
          </w:p>
        </w:tc>
        <w:tc>
          <w:tcPr>
            <w:tcW w:w="1884" w:type="dxa"/>
            <w:vAlign w:val="center"/>
          </w:tcPr>
          <w:p w14:paraId="5642894D">
            <w:pPr>
              <w:jc w:val="center"/>
              <w:rPr>
                <w:rFonts w:hint="eastAsia" w:ascii="宋体" w:hAnsi="宋体" w:eastAsiaTheme="minorEastAsia" w:cstheme="minorBidi"/>
                <w:kern w:val="2"/>
                <w:sz w:val="28"/>
                <w:szCs w:val="22"/>
                <w:highlight w:val="none"/>
                <w:lang w:val="en-US" w:eastAsia="zh-CN" w:bidi="ar-SA"/>
              </w:rPr>
            </w:pPr>
            <w:r>
              <w:rPr>
                <w:rFonts w:hint="eastAsia" w:ascii="宋体" w:hAnsi="宋体"/>
                <w:sz w:val="28"/>
                <w:highlight w:val="none"/>
              </w:rPr>
              <w:t>备注</w:t>
            </w:r>
          </w:p>
        </w:tc>
      </w:tr>
      <w:tr w14:paraId="2597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970" w:type="dxa"/>
            <w:vMerge w:val="restart"/>
            <w:vAlign w:val="center"/>
          </w:tcPr>
          <w:p w14:paraId="5C371D46">
            <w:pPr>
              <w:jc w:val="center"/>
              <w:rPr>
                <w:rFonts w:hint="eastAsia"/>
                <w:highlight w:val="none"/>
                <w:lang w:eastAsia="zh-CN"/>
              </w:rPr>
            </w:pPr>
            <w:r>
              <w:rPr>
                <w:rFonts w:hint="eastAsia"/>
                <w:highlight w:val="none"/>
                <w:lang w:eastAsia="zh-CN"/>
              </w:rPr>
              <w:t>二标段</w:t>
            </w:r>
          </w:p>
          <w:p w14:paraId="44172C12">
            <w:pPr>
              <w:jc w:val="center"/>
              <w:rPr>
                <w:rFonts w:hint="eastAsia"/>
                <w:highlight w:val="none"/>
                <w:lang w:eastAsia="zh-CN"/>
              </w:rPr>
            </w:pPr>
          </w:p>
        </w:tc>
        <w:tc>
          <w:tcPr>
            <w:tcW w:w="1913" w:type="dxa"/>
            <w:vAlign w:val="center"/>
          </w:tcPr>
          <w:p w14:paraId="7F63CC7C">
            <w:pPr>
              <w:tabs>
                <w:tab w:val="left" w:pos="231"/>
              </w:tabs>
              <w:jc w:val="left"/>
              <w:rPr>
                <w:rFonts w:hint="eastAsia"/>
                <w:highlight w:val="none"/>
                <w:lang w:val="en-US" w:eastAsia="zh-CN"/>
              </w:rPr>
            </w:pPr>
            <w:r>
              <w:rPr>
                <w:rFonts w:hint="eastAsia"/>
                <w:highlight w:val="none"/>
                <w:lang w:val="en-US" w:eastAsia="zh-CN"/>
              </w:rPr>
              <w:t>40%丙硫菌唑·戊唑醇悬浮剂（亩使用40ml）</w:t>
            </w:r>
          </w:p>
        </w:tc>
        <w:tc>
          <w:tcPr>
            <w:tcW w:w="2019" w:type="dxa"/>
            <w:vMerge w:val="restart"/>
            <w:vAlign w:val="center"/>
          </w:tcPr>
          <w:p w14:paraId="1B6D721F">
            <w:pPr>
              <w:jc w:val="center"/>
              <w:rPr>
                <w:rFonts w:hint="default"/>
                <w:highlight w:val="none"/>
                <w:lang w:val="en-US" w:eastAsia="zh-CN"/>
              </w:rPr>
            </w:pPr>
          </w:p>
        </w:tc>
        <w:tc>
          <w:tcPr>
            <w:tcW w:w="1933" w:type="dxa"/>
            <w:vMerge w:val="restart"/>
            <w:vAlign w:val="center"/>
          </w:tcPr>
          <w:p w14:paraId="3E851D98">
            <w:pPr>
              <w:jc w:val="center"/>
              <w:rPr>
                <w:rFonts w:hint="default"/>
                <w:highlight w:val="none"/>
                <w:lang w:val="en-US" w:eastAsia="zh-CN"/>
              </w:rPr>
            </w:pPr>
            <w:r>
              <w:rPr>
                <w:rFonts w:hint="eastAsia"/>
                <w:highlight w:val="none"/>
                <w:lang w:val="en-US" w:eastAsia="zh-CN"/>
              </w:rPr>
              <w:t>200497.5</w:t>
            </w:r>
          </w:p>
        </w:tc>
        <w:tc>
          <w:tcPr>
            <w:tcW w:w="1884" w:type="dxa"/>
            <w:vMerge w:val="restart"/>
            <w:vAlign w:val="center"/>
          </w:tcPr>
          <w:p w14:paraId="3C4CAF94">
            <w:pPr>
              <w:tabs>
                <w:tab w:val="left" w:pos="231"/>
              </w:tabs>
              <w:jc w:val="left"/>
              <w:rPr>
                <w:rFonts w:hint="eastAsia" w:eastAsiaTheme="minorEastAsia"/>
                <w:highlight w:val="none"/>
                <w:lang w:eastAsia="zh-CN"/>
              </w:rPr>
            </w:pPr>
            <w:r>
              <w:rPr>
                <w:rFonts w:hint="eastAsia"/>
                <w:highlight w:val="none"/>
                <w:lang w:eastAsia="zh-CN"/>
              </w:rPr>
              <w:tab/>
            </w:r>
            <w:r>
              <w:rPr>
                <w:rFonts w:hint="eastAsia"/>
                <w:highlight w:val="none"/>
                <w:lang w:val="en-US" w:eastAsia="zh-CN"/>
              </w:rPr>
              <w:t>生产许可证或生产批准证、农药登记证、产品标准证“三证”齐全，并在有效期内；提供本批次生产企业检验合格报告。</w:t>
            </w:r>
          </w:p>
        </w:tc>
      </w:tr>
      <w:tr w14:paraId="5932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970" w:type="dxa"/>
            <w:vMerge w:val="continue"/>
            <w:vAlign w:val="center"/>
          </w:tcPr>
          <w:p w14:paraId="328EB1A5">
            <w:pPr>
              <w:jc w:val="center"/>
              <w:rPr>
                <w:rFonts w:hint="eastAsia" w:eastAsiaTheme="minorEastAsia"/>
                <w:highlight w:val="none"/>
                <w:lang w:eastAsia="zh-CN"/>
              </w:rPr>
            </w:pPr>
          </w:p>
        </w:tc>
        <w:tc>
          <w:tcPr>
            <w:tcW w:w="1913" w:type="dxa"/>
            <w:vAlign w:val="center"/>
          </w:tcPr>
          <w:p w14:paraId="79100FB5">
            <w:pPr>
              <w:tabs>
                <w:tab w:val="left" w:pos="231"/>
              </w:tabs>
              <w:jc w:val="left"/>
              <w:rPr>
                <w:rFonts w:hint="eastAsia"/>
                <w:highlight w:val="none"/>
                <w:lang w:val="en-US" w:eastAsia="zh-CN"/>
              </w:rPr>
            </w:pPr>
            <w:r>
              <w:rPr>
                <w:rFonts w:hint="default"/>
                <w:highlight w:val="none"/>
                <w:lang w:val="en-US" w:eastAsia="zh-CN"/>
              </w:rPr>
              <w:t>10%</w:t>
            </w:r>
            <w:r>
              <w:rPr>
                <w:rFonts w:hint="eastAsia"/>
                <w:highlight w:val="none"/>
                <w:lang w:val="en-US" w:eastAsia="zh-CN"/>
              </w:rPr>
              <w:t>联苯.噻虫胺悬浮剂（亩使用25ml）</w:t>
            </w:r>
          </w:p>
        </w:tc>
        <w:tc>
          <w:tcPr>
            <w:tcW w:w="2019" w:type="dxa"/>
            <w:vMerge w:val="continue"/>
            <w:vAlign w:val="center"/>
          </w:tcPr>
          <w:p w14:paraId="427B1634">
            <w:pPr>
              <w:rPr>
                <w:rFonts w:hint="default"/>
                <w:highlight w:val="none"/>
                <w:lang w:val="en-US" w:eastAsia="zh-CN"/>
              </w:rPr>
            </w:pPr>
          </w:p>
        </w:tc>
        <w:tc>
          <w:tcPr>
            <w:tcW w:w="1933" w:type="dxa"/>
            <w:vMerge w:val="continue"/>
            <w:vAlign w:val="center"/>
          </w:tcPr>
          <w:p w14:paraId="6B75B54B">
            <w:pPr>
              <w:jc w:val="center"/>
              <w:rPr>
                <w:rFonts w:hint="default" w:eastAsiaTheme="minorEastAsia"/>
                <w:highlight w:val="none"/>
                <w:lang w:val="en-US" w:eastAsia="zh-CN"/>
              </w:rPr>
            </w:pPr>
          </w:p>
        </w:tc>
        <w:tc>
          <w:tcPr>
            <w:tcW w:w="1884" w:type="dxa"/>
            <w:vMerge w:val="continue"/>
            <w:vAlign w:val="center"/>
          </w:tcPr>
          <w:p w14:paraId="65D786C6">
            <w:pPr>
              <w:jc w:val="center"/>
              <w:rPr>
                <w:rFonts w:eastAsiaTheme="minorEastAsia"/>
                <w:highlight w:val="none"/>
              </w:rPr>
            </w:pPr>
          </w:p>
        </w:tc>
      </w:tr>
      <w:tr w14:paraId="1BCD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970" w:type="dxa"/>
            <w:vMerge w:val="continue"/>
            <w:vAlign w:val="center"/>
          </w:tcPr>
          <w:p w14:paraId="598CBF10">
            <w:pPr>
              <w:jc w:val="center"/>
              <w:rPr>
                <w:rFonts w:hint="eastAsia"/>
                <w:highlight w:val="none"/>
                <w:lang w:eastAsia="zh-CN"/>
              </w:rPr>
            </w:pPr>
          </w:p>
        </w:tc>
        <w:tc>
          <w:tcPr>
            <w:tcW w:w="1913" w:type="dxa"/>
            <w:vAlign w:val="center"/>
          </w:tcPr>
          <w:p w14:paraId="5CBC8C37">
            <w:pPr>
              <w:tabs>
                <w:tab w:val="left" w:pos="231"/>
              </w:tabs>
              <w:jc w:val="left"/>
              <w:rPr>
                <w:rFonts w:hint="default"/>
                <w:highlight w:val="none"/>
                <w:lang w:val="en-US" w:eastAsia="zh-CN"/>
              </w:rPr>
            </w:pPr>
            <w:r>
              <w:rPr>
                <w:rFonts w:hint="eastAsia"/>
                <w:highlight w:val="none"/>
                <w:lang w:val="en-US" w:eastAsia="zh-CN"/>
              </w:rPr>
              <w:t>99%磷酸二氢钾（闪溶）(亩使用量100g)</w:t>
            </w:r>
          </w:p>
        </w:tc>
        <w:tc>
          <w:tcPr>
            <w:tcW w:w="2019" w:type="dxa"/>
            <w:vMerge w:val="continue"/>
            <w:vAlign w:val="center"/>
          </w:tcPr>
          <w:p w14:paraId="4BE9579F">
            <w:pPr>
              <w:rPr>
                <w:rFonts w:hint="default"/>
                <w:highlight w:val="none"/>
                <w:lang w:val="en-US" w:eastAsia="zh-CN"/>
              </w:rPr>
            </w:pPr>
          </w:p>
        </w:tc>
        <w:tc>
          <w:tcPr>
            <w:tcW w:w="1933" w:type="dxa"/>
            <w:vMerge w:val="continue"/>
            <w:vAlign w:val="center"/>
          </w:tcPr>
          <w:p w14:paraId="596A2C91">
            <w:pPr>
              <w:jc w:val="center"/>
              <w:rPr>
                <w:rFonts w:hint="default" w:eastAsiaTheme="minorEastAsia"/>
                <w:highlight w:val="none"/>
                <w:lang w:val="en-US" w:eastAsia="zh-CN"/>
              </w:rPr>
            </w:pPr>
          </w:p>
        </w:tc>
        <w:tc>
          <w:tcPr>
            <w:tcW w:w="1884" w:type="dxa"/>
            <w:vMerge w:val="continue"/>
            <w:vAlign w:val="center"/>
          </w:tcPr>
          <w:p w14:paraId="304FF173">
            <w:pPr>
              <w:jc w:val="center"/>
              <w:rPr>
                <w:rFonts w:eastAsiaTheme="minorEastAsia"/>
                <w:highlight w:val="none"/>
              </w:rPr>
            </w:pPr>
          </w:p>
        </w:tc>
      </w:tr>
      <w:tr w14:paraId="24D7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970" w:type="dxa"/>
            <w:vMerge w:val="continue"/>
            <w:vAlign w:val="center"/>
          </w:tcPr>
          <w:p w14:paraId="22C451A3">
            <w:pPr>
              <w:jc w:val="center"/>
              <w:rPr>
                <w:rFonts w:hint="eastAsia"/>
                <w:highlight w:val="none"/>
                <w:lang w:eastAsia="zh-CN"/>
              </w:rPr>
            </w:pPr>
          </w:p>
        </w:tc>
        <w:tc>
          <w:tcPr>
            <w:tcW w:w="1913" w:type="dxa"/>
            <w:vAlign w:val="center"/>
          </w:tcPr>
          <w:p w14:paraId="353058F3">
            <w:pPr>
              <w:tabs>
                <w:tab w:val="left" w:pos="231"/>
              </w:tabs>
              <w:jc w:val="left"/>
              <w:rPr>
                <w:rFonts w:hint="eastAsia"/>
                <w:highlight w:val="none"/>
                <w:lang w:val="en-US" w:eastAsia="zh-CN"/>
              </w:rPr>
            </w:pPr>
            <w:r>
              <w:rPr>
                <w:rFonts w:hint="eastAsia"/>
                <w:highlight w:val="none"/>
                <w:lang w:val="en-US" w:eastAsia="zh-CN"/>
              </w:rPr>
              <w:t>0.01%24表芸苔素内酯可溶液剂（亩使用量10ml）</w:t>
            </w:r>
          </w:p>
        </w:tc>
        <w:tc>
          <w:tcPr>
            <w:tcW w:w="2019" w:type="dxa"/>
            <w:vMerge w:val="continue"/>
            <w:vAlign w:val="center"/>
          </w:tcPr>
          <w:p w14:paraId="4D6B4004">
            <w:pPr>
              <w:rPr>
                <w:rFonts w:hint="default"/>
                <w:highlight w:val="none"/>
                <w:lang w:val="en-US" w:eastAsia="zh-CN"/>
              </w:rPr>
            </w:pPr>
          </w:p>
        </w:tc>
        <w:tc>
          <w:tcPr>
            <w:tcW w:w="1933" w:type="dxa"/>
            <w:vMerge w:val="continue"/>
            <w:vAlign w:val="center"/>
          </w:tcPr>
          <w:p w14:paraId="75DED590">
            <w:pPr>
              <w:jc w:val="center"/>
              <w:rPr>
                <w:rFonts w:hint="default" w:eastAsiaTheme="minorEastAsia"/>
                <w:highlight w:val="none"/>
                <w:lang w:val="en-US" w:eastAsia="zh-CN"/>
              </w:rPr>
            </w:pPr>
          </w:p>
        </w:tc>
        <w:tc>
          <w:tcPr>
            <w:tcW w:w="1884" w:type="dxa"/>
            <w:vMerge w:val="continue"/>
            <w:vAlign w:val="center"/>
          </w:tcPr>
          <w:p w14:paraId="4958FC7B">
            <w:pPr>
              <w:jc w:val="center"/>
              <w:rPr>
                <w:rFonts w:eastAsiaTheme="minorEastAsia"/>
                <w:highlight w:val="none"/>
              </w:rPr>
            </w:pPr>
          </w:p>
        </w:tc>
      </w:tr>
    </w:tbl>
    <w:p w14:paraId="5503838F">
      <w:pPr>
        <w:wordWrap w:val="0"/>
        <w:spacing w:line="480" w:lineRule="auto"/>
        <w:rPr>
          <w:rFonts w:ascii="宋体" w:hAnsi="宋体"/>
          <w:color w:val="000000"/>
          <w:sz w:val="24"/>
          <w:highlight w:val="none"/>
        </w:rPr>
      </w:pPr>
      <w:r>
        <w:rPr>
          <w:rFonts w:hint="eastAsia" w:asciiTheme="minorEastAsia" w:hAnsiTheme="minorEastAsia" w:eastAsiaTheme="minorEastAsia" w:cstheme="minorEastAsia"/>
          <w:sz w:val="28"/>
          <w:szCs w:val="21"/>
          <w:highlight w:val="none"/>
        </w:rPr>
        <w:t>注:采购预算价含货物费、运输费、技术指导费、税费等相关费用</w:t>
      </w:r>
      <w:r>
        <w:rPr>
          <w:rFonts w:hint="eastAsia" w:asciiTheme="minorEastAsia" w:hAnsiTheme="minorEastAsia" w:eastAsiaTheme="minorEastAsia" w:cstheme="minorEastAsia"/>
          <w:sz w:val="32"/>
          <w:szCs w:val="32"/>
          <w:highlight w:val="none"/>
        </w:rPr>
        <w:t>。</w:t>
      </w:r>
      <w:r>
        <w:rPr>
          <w:rFonts w:hint="eastAsia" w:ascii="宋体" w:hAnsi="宋体"/>
          <w:color w:val="000000"/>
          <w:sz w:val="24"/>
          <w:highlight w:val="none"/>
        </w:rPr>
        <w:br w:type="page"/>
      </w:r>
    </w:p>
    <w:bookmarkEnd w:id="178"/>
    <w:p w14:paraId="3698F3D5">
      <w:pPr>
        <w:wordWrap w:val="0"/>
        <w:spacing w:line="360" w:lineRule="auto"/>
        <w:jc w:val="center"/>
        <w:rPr>
          <w:rFonts w:ascii="宋体" w:hAnsi="宋体"/>
          <w:b/>
          <w:bCs/>
          <w:color w:val="000000"/>
          <w:kern w:val="44"/>
          <w:sz w:val="28"/>
          <w:highlight w:val="none"/>
        </w:rPr>
      </w:pPr>
      <w:bookmarkStart w:id="179" w:name="_Toc6104_WPSOffice_Level1"/>
      <w:bookmarkStart w:id="180" w:name="_Toc23111_WPSOffice_Level1"/>
      <w:bookmarkStart w:id="181" w:name="_Toc19658_WPSOffice_Level1"/>
      <w:bookmarkStart w:id="182" w:name="_Toc14552"/>
      <w:bookmarkStart w:id="183" w:name="_Toc11299"/>
      <w:bookmarkStart w:id="184" w:name="_Toc10775"/>
      <w:bookmarkStart w:id="185" w:name="_Toc24079"/>
      <w:r>
        <w:rPr>
          <w:rFonts w:hint="eastAsia" w:ascii="宋体" w:hAnsi="宋体"/>
          <w:b/>
          <w:bCs/>
          <w:color w:val="000000"/>
          <w:kern w:val="44"/>
          <w:sz w:val="28"/>
          <w:highlight w:val="none"/>
        </w:rPr>
        <w:t>响应文件格式</w:t>
      </w:r>
      <w:bookmarkEnd w:id="179"/>
      <w:bookmarkEnd w:id="180"/>
      <w:bookmarkEnd w:id="181"/>
      <w:bookmarkEnd w:id="182"/>
      <w:bookmarkEnd w:id="183"/>
      <w:bookmarkEnd w:id="184"/>
      <w:bookmarkEnd w:id="185"/>
    </w:p>
    <w:p w14:paraId="7FAFFCB6">
      <w:pPr>
        <w:rPr>
          <w:rFonts w:ascii="宋体" w:hAnsi="宋体"/>
          <w:color w:val="000000"/>
          <w:highlight w:val="none"/>
        </w:rPr>
      </w:pPr>
    </w:p>
    <w:p w14:paraId="5788A007">
      <w:pPr>
        <w:jc w:val="center"/>
        <w:rPr>
          <w:rFonts w:ascii="宋体" w:hAnsi="宋体"/>
          <w:color w:val="000000"/>
          <w:highlight w:val="none"/>
        </w:rPr>
      </w:pPr>
    </w:p>
    <w:p w14:paraId="59B81231">
      <w:pPr>
        <w:jc w:val="center"/>
        <w:rPr>
          <w:rFonts w:ascii="宋体" w:hAnsi="宋体"/>
          <w:color w:val="000000"/>
          <w:highlight w:val="none"/>
        </w:rPr>
      </w:pPr>
    </w:p>
    <w:p w14:paraId="3E69C702">
      <w:pPr>
        <w:jc w:val="center"/>
        <w:rPr>
          <w:rFonts w:ascii="宋体" w:hAnsi="宋体"/>
          <w:color w:val="000000"/>
          <w:highlight w:val="none"/>
        </w:rPr>
      </w:pPr>
    </w:p>
    <w:p w14:paraId="62FA25BF">
      <w:pPr>
        <w:jc w:val="center"/>
        <w:rPr>
          <w:rFonts w:ascii="宋体" w:hAnsi="宋体"/>
          <w:color w:val="000000"/>
          <w:highlight w:val="none"/>
        </w:rPr>
      </w:pPr>
    </w:p>
    <w:p w14:paraId="6D052A31">
      <w:pPr>
        <w:jc w:val="center"/>
        <w:rPr>
          <w:rFonts w:ascii="宋体" w:hAnsi="宋体"/>
          <w:b/>
          <w:bCs/>
          <w:color w:val="000000"/>
          <w:sz w:val="36"/>
          <w:szCs w:val="36"/>
          <w:highlight w:val="none"/>
          <w:u w:val="single"/>
        </w:rPr>
      </w:pPr>
      <w:bookmarkStart w:id="186" w:name="_Toc8780"/>
      <w:r>
        <w:rPr>
          <w:rFonts w:hint="eastAsia" w:ascii="宋体" w:hAnsi="宋体"/>
          <w:b/>
          <w:bCs/>
          <w:color w:val="000000"/>
          <w:sz w:val="36"/>
          <w:szCs w:val="36"/>
          <w:highlight w:val="none"/>
          <w:u w:val="single"/>
        </w:rPr>
        <w:t xml:space="preserve">        </w:t>
      </w:r>
      <w:r>
        <w:rPr>
          <w:rFonts w:hint="eastAsia" w:ascii="宋体" w:hAnsi="宋体"/>
          <w:b/>
          <w:bCs/>
          <w:color w:val="000000"/>
          <w:sz w:val="36"/>
          <w:szCs w:val="36"/>
          <w:highlight w:val="none"/>
        </w:rPr>
        <w:t xml:space="preserve">项目名称 </w:t>
      </w:r>
      <w:r>
        <w:rPr>
          <w:rFonts w:hint="eastAsia" w:ascii="宋体" w:hAnsi="宋体"/>
          <w:b/>
          <w:bCs/>
          <w:color w:val="000000"/>
          <w:sz w:val="36"/>
          <w:szCs w:val="36"/>
          <w:highlight w:val="none"/>
          <w:u w:val="single"/>
        </w:rPr>
        <w:t xml:space="preserve">     </w:t>
      </w:r>
      <w:r>
        <w:rPr>
          <w:rFonts w:hint="eastAsia" w:ascii="宋体" w:hAnsi="宋体"/>
          <w:b/>
          <w:bCs/>
          <w:color w:val="000000"/>
          <w:sz w:val="36"/>
          <w:szCs w:val="36"/>
          <w:highlight w:val="none"/>
        </w:rPr>
        <w:t>标段</w:t>
      </w:r>
    </w:p>
    <w:bookmarkEnd w:id="186"/>
    <w:p w14:paraId="31C794C5">
      <w:pPr>
        <w:spacing w:line="500" w:lineRule="exact"/>
        <w:ind w:firstLine="883" w:firstLineChars="200"/>
        <w:rPr>
          <w:rFonts w:ascii="宋体" w:hAnsi="宋体"/>
          <w:b/>
          <w:bCs/>
          <w:color w:val="000000"/>
          <w:kern w:val="0"/>
          <w:sz w:val="44"/>
          <w:szCs w:val="44"/>
          <w:highlight w:val="none"/>
        </w:rPr>
      </w:pPr>
      <w:bookmarkStart w:id="187" w:name="_Toc26968_WPSOffice_Level1"/>
      <w:bookmarkStart w:id="188" w:name="_Toc1593_WPSOffice_Level1"/>
    </w:p>
    <w:p w14:paraId="12064F01">
      <w:pPr>
        <w:spacing w:line="500" w:lineRule="exact"/>
        <w:ind w:firstLine="883" w:firstLineChars="200"/>
        <w:rPr>
          <w:rFonts w:ascii="宋体" w:hAnsi="宋体"/>
          <w:b/>
          <w:bCs/>
          <w:color w:val="000000"/>
          <w:kern w:val="0"/>
          <w:sz w:val="44"/>
          <w:szCs w:val="44"/>
          <w:highlight w:val="none"/>
        </w:rPr>
      </w:pPr>
    </w:p>
    <w:bookmarkEnd w:id="187"/>
    <w:bookmarkEnd w:id="188"/>
    <w:p w14:paraId="3F69673F">
      <w:pPr>
        <w:spacing w:line="360" w:lineRule="auto"/>
        <w:jc w:val="center"/>
        <w:rPr>
          <w:rFonts w:ascii="宋体" w:hAnsi="宋体"/>
          <w:b/>
          <w:bCs/>
          <w:color w:val="000000"/>
          <w:sz w:val="44"/>
          <w:szCs w:val="44"/>
          <w:highlight w:val="none"/>
        </w:rPr>
      </w:pPr>
      <w:r>
        <w:rPr>
          <w:rFonts w:hint="eastAsia" w:ascii="宋体" w:hAnsi="宋体"/>
          <w:b/>
          <w:bCs/>
          <w:color w:val="000000"/>
          <w:sz w:val="44"/>
          <w:szCs w:val="44"/>
          <w:highlight w:val="none"/>
        </w:rPr>
        <w:t>响 应 性 文 件</w:t>
      </w:r>
    </w:p>
    <w:p w14:paraId="01C50B0E">
      <w:pPr>
        <w:jc w:val="center"/>
        <w:rPr>
          <w:rFonts w:ascii="宋体" w:hAnsi="宋体"/>
          <w:color w:val="000000"/>
          <w:highlight w:val="none"/>
        </w:rPr>
      </w:pPr>
    </w:p>
    <w:p w14:paraId="212B3F85">
      <w:pPr>
        <w:jc w:val="center"/>
        <w:rPr>
          <w:rFonts w:ascii="宋体" w:hAnsi="宋体"/>
          <w:color w:val="000000"/>
          <w:highlight w:val="none"/>
        </w:rPr>
      </w:pPr>
    </w:p>
    <w:p w14:paraId="0C4B0F80">
      <w:pPr>
        <w:jc w:val="center"/>
        <w:rPr>
          <w:rFonts w:ascii="宋体" w:hAnsi="宋体"/>
          <w:color w:val="000000"/>
          <w:sz w:val="28"/>
          <w:szCs w:val="36"/>
          <w:highlight w:val="none"/>
        </w:rPr>
      </w:pPr>
      <w:bookmarkStart w:id="189" w:name="_Toc19063"/>
      <w:r>
        <w:rPr>
          <w:rFonts w:hint="eastAsia" w:ascii="宋体" w:hAnsi="宋体"/>
          <w:color w:val="000000"/>
          <w:sz w:val="28"/>
          <w:szCs w:val="36"/>
          <w:highlight w:val="none"/>
        </w:rPr>
        <w:t>项目编号：</w:t>
      </w:r>
      <w:bookmarkEnd w:id="189"/>
    </w:p>
    <w:p w14:paraId="3313CE97">
      <w:pPr>
        <w:jc w:val="center"/>
        <w:rPr>
          <w:rFonts w:ascii="宋体" w:hAnsi="宋体"/>
          <w:color w:val="000000"/>
          <w:highlight w:val="none"/>
        </w:rPr>
      </w:pPr>
    </w:p>
    <w:p w14:paraId="6EA74D6A">
      <w:pPr>
        <w:jc w:val="center"/>
        <w:rPr>
          <w:rFonts w:ascii="宋体" w:hAnsi="宋体"/>
          <w:color w:val="000000"/>
          <w:highlight w:val="none"/>
        </w:rPr>
      </w:pPr>
    </w:p>
    <w:p w14:paraId="4C5777D1">
      <w:pPr>
        <w:jc w:val="center"/>
        <w:rPr>
          <w:rFonts w:ascii="宋体" w:hAnsi="宋体"/>
          <w:color w:val="000000"/>
          <w:highlight w:val="none"/>
        </w:rPr>
      </w:pPr>
    </w:p>
    <w:p w14:paraId="3A7525FA">
      <w:pPr>
        <w:jc w:val="center"/>
        <w:rPr>
          <w:rFonts w:ascii="宋体" w:hAnsi="宋体"/>
          <w:color w:val="000000"/>
          <w:highlight w:val="none"/>
        </w:rPr>
      </w:pPr>
    </w:p>
    <w:p w14:paraId="7ACAA659">
      <w:pPr>
        <w:rPr>
          <w:rFonts w:ascii="宋体" w:hAnsi="宋体"/>
          <w:color w:val="000000"/>
          <w:highlight w:val="none"/>
        </w:rPr>
      </w:pPr>
    </w:p>
    <w:p w14:paraId="7712B89B">
      <w:pPr>
        <w:jc w:val="center"/>
        <w:rPr>
          <w:rFonts w:ascii="宋体" w:hAnsi="宋体"/>
          <w:color w:val="000000"/>
          <w:highlight w:val="none"/>
        </w:rPr>
      </w:pPr>
    </w:p>
    <w:p w14:paraId="5B07C2D7">
      <w:pPr>
        <w:jc w:val="center"/>
        <w:rPr>
          <w:rFonts w:ascii="宋体" w:hAnsi="宋体"/>
          <w:color w:val="000000"/>
          <w:highlight w:val="none"/>
        </w:rPr>
      </w:pPr>
    </w:p>
    <w:p w14:paraId="35018138">
      <w:pPr>
        <w:jc w:val="center"/>
        <w:rPr>
          <w:rFonts w:ascii="宋体" w:hAnsi="宋体"/>
          <w:color w:val="000000"/>
          <w:highlight w:val="none"/>
        </w:rPr>
      </w:pPr>
    </w:p>
    <w:p w14:paraId="61E1898D">
      <w:pPr>
        <w:spacing w:line="360" w:lineRule="auto"/>
        <w:jc w:val="center"/>
        <w:rPr>
          <w:rFonts w:ascii="宋体" w:hAnsi="宋体"/>
          <w:b/>
          <w:bCs/>
          <w:color w:val="000000"/>
          <w:sz w:val="24"/>
          <w:szCs w:val="32"/>
          <w:highlight w:val="none"/>
        </w:rPr>
      </w:pPr>
      <w:bookmarkStart w:id="190" w:name="_Toc19405_WPSOffice_Level1"/>
      <w:bookmarkStart w:id="191" w:name="_Toc26563"/>
      <w:bookmarkStart w:id="192" w:name="_Toc17571_WPSOffice_Level1"/>
      <w:r>
        <w:rPr>
          <w:rFonts w:hint="eastAsia" w:ascii="宋体" w:hAnsi="宋体"/>
          <w:b/>
          <w:bCs/>
          <w:color w:val="000000"/>
          <w:sz w:val="24"/>
          <w:szCs w:val="32"/>
          <w:highlight w:val="none"/>
        </w:rPr>
        <w:t>供应商：（电子签章）</w:t>
      </w:r>
      <w:bookmarkEnd w:id="190"/>
      <w:bookmarkEnd w:id="191"/>
      <w:bookmarkEnd w:id="192"/>
    </w:p>
    <w:p w14:paraId="0F11634C">
      <w:pPr>
        <w:spacing w:line="360" w:lineRule="auto"/>
        <w:jc w:val="center"/>
        <w:rPr>
          <w:rFonts w:ascii="宋体" w:hAnsi="宋体"/>
          <w:b/>
          <w:bCs/>
          <w:color w:val="000000"/>
          <w:sz w:val="24"/>
          <w:szCs w:val="32"/>
          <w:highlight w:val="none"/>
        </w:rPr>
      </w:pPr>
    </w:p>
    <w:p w14:paraId="7FE4D340">
      <w:pPr>
        <w:spacing w:line="360" w:lineRule="auto"/>
        <w:jc w:val="center"/>
        <w:rPr>
          <w:rFonts w:ascii="宋体" w:hAnsi="宋体"/>
          <w:b/>
          <w:bCs/>
          <w:color w:val="000000"/>
          <w:sz w:val="24"/>
          <w:szCs w:val="32"/>
          <w:highlight w:val="none"/>
        </w:rPr>
      </w:pPr>
      <w:bookmarkStart w:id="193" w:name="_Toc14380_WPSOffice_Level1"/>
      <w:bookmarkStart w:id="194" w:name="_Toc30056_WPSOffice_Level1"/>
      <w:bookmarkStart w:id="195" w:name="_Toc25492"/>
      <w:r>
        <w:rPr>
          <w:rFonts w:hint="eastAsia" w:ascii="宋体" w:hAnsi="宋体"/>
          <w:b/>
          <w:bCs/>
          <w:color w:val="000000"/>
          <w:sz w:val="24"/>
          <w:szCs w:val="32"/>
          <w:highlight w:val="none"/>
        </w:rPr>
        <w:t>法定代表人或其委托代理人：（电子签章）</w:t>
      </w:r>
      <w:bookmarkEnd w:id="193"/>
      <w:bookmarkEnd w:id="194"/>
      <w:bookmarkEnd w:id="195"/>
    </w:p>
    <w:p w14:paraId="35479895">
      <w:pPr>
        <w:jc w:val="center"/>
        <w:rPr>
          <w:rFonts w:ascii="宋体" w:hAnsi="宋体"/>
          <w:b/>
          <w:bCs/>
          <w:color w:val="000000"/>
          <w:highlight w:val="none"/>
        </w:rPr>
      </w:pPr>
    </w:p>
    <w:p w14:paraId="06ABC576">
      <w:pPr>
        <w:jc w:val="center"/>
        <w:rPr>
          <w:rFonts w:ascii="宋体" w:hAnsi="宋体"/>
          <w:b/>
          <w:bCs/>
          <w:color w:val="000000"/>
          <w:highlight w:val="none"/>
        </w:rPr>
      </w:pPr>
    </w:p>
    <w:p w14:paraId="1F31F205">
      <w:pPr>
        <w:jc w:val="center"/>
        <w:rPr>
          <w:rFonts w:ascii="宋体" w:hAnsi="宋体"/>
          <w:b/>
          <w:bCs/>
          <w:color w:val="000000"/>
          <w:highlight w:val="none"/>
        </w:rPr>
      </w:pPr>
      <w:bookmarkStart w:id="196" w:name="_Toc24324_WPSOffice_Level1"/>
      <w:bookmarkStart w:id="197" w:name="_Toc21318_WPSOffice_Level1"/>
      <w:r>
        <w:rPr>
          <w:rFonts w:hint="eastAsia" w:ascii="宋体" w:hAnsi="宋体"/>
          <w:b/>
          <w:bCs/>
          <w:color w:val="000000"/>
          <w:highlight w:val="none"/>
        </w:rPr>
        <w:t>年   月  日</w:t>
      </w:r>
      <w:bookmarkEnd w:id="196"/>
      <w:bookmarkEnd w:id="197"/>
    </w:p>
    <w:p w14:paraId="4897B5D6">
      <w:pPr>
        <w:rPr>
          <w:rFonts w:ascii="宋体" w:hAnsi="宋体"/>
          <w:b/>
          <w:bCs/>
          <w:color w:val="000000"/>
          <w:sz w:val="28"/>
          <w:szCs w:val="28"/>
          <w:highlight w:val="none"/>
        </w:rPr>
      </w:pPr>
      <w:bookmarkStart w:id="198" w:name="_Toc20232_WPSOffice_Level1"/>
      <w:bookmarkStart w:id="199" w:name="_Toc11929_WPSOffice_Level1"/>
      <w:r>
        <w:rPr>
          <w:rFonts w:hint="eastAsia" w:ascii="宋体" w:hAnsi="宋体"/>
          <w:b/>
          <w:bCs/>
          <w:color w:val="000000"/>
          <w:sz w:val="28"/>
          <w:szCs w:val="28"/>
          <w:highlight w:val="none"/>
        </w:rPr>
        <w:br w:type="page"/>
      </w:r>
    </w:p>
    <w:p w14:paraId="51B8B754">
      <w:pPr>
        <w:spacing w:before="317" w:beforeLines="100" w:after="317" w:afterLines="100"/>
        <w:jc w:val="center"/>
        <w:outlineLvl w:val="1"/>
        <w:rPr>
          <w:rFonts w:ascii="宋体" w:hAnsi="宋体"/>
          <w:b/>
          <w:bCs/>
          <w:color w:val="000000"/>
          <w:sz w:val="28"/>
          <w:szCs w:val="28"/>
          <w:highlight w:val="none"/>
        </w:rPr>
      </w:pPr>
      <w:r>
        <w:rPr>
          <w:rFonts w:hint="eastAsia" w:ascii="宋体" w:hAnsi="宋体"/>
          <w:b/>
          <w:bCs/>
          <w:color w:val="000000"/>
          <w:sz w:val="28"/>
          <w:szCs w:val="28"/>
          <w:highlight w:val="none"/>
        </w:rPr>
        <w:t>目    录</w:t>
      </w:r>
      <w:bookmarkEnd w:id="198"/>
      <w:bookmarkEnd w:id="199"/>
    </w:p>
    <w:p w14:paraId="495FC344">
      <w:pPr>
        <w:jc w:val="center"/>
        <w:rPr>
          <w:b/>
          <w:bCs/>
          <w:color w:val="000000"/>
          <w:sz w:val="24"/>
          <w:highlight w:val="none"/>
        </w:rPr>
      </w:pPr>
      <w:bookmarkStart w:id="200" w:name="_Toc375040687"/>
      <w:bookmarkEnd w:id="200"/>
      <w:bookmarkStart w:id="201" w:name="_Toc375040623"/>
      <w:bookmarkEnd w:id="201"/>
      <w:bookmarkStart w:id="202" w:name="_Toc375041763"/>
      <w:bookmarkEnd w:id="202"/>
      <w:bookmarkStart w:id="203" w:name="_Toc384309419"/>
      <w:bookmarkEnd w:id="203"/>
      <w:bookmarkStart w:id="204" w:name="_Toc375041569"/>
      <w:bookmarkEnd w:id="204"/>
      <w:bookmarkStart w:id="205" w:name="_Toc374947247"/>
      <w:bookmarkEnd w:id="205"/>
      <w:bookmarkStart w:id="206" w:name="_Toc375041320"/>
      <w:bookmarkStart w:id="207" w:name="_Toc23029"/>
      <w:r>
        <w:rPr>
          <w:rFonts w:hint="eastAsia" w:ascii="宋体" w:hAnsi="宋体"/>
          <w:b/>
          <w:bCs/>
          <w:color w:val="000000"/>
          <w:sz w:val="24"/>
          <w:highlight w:val="none"/>
        </w:rPr>
        <w:t>（自拟）</w:t>
      </w:r>
      <w:bookmarkEnd w:id="206"/>
      <w:bookmarkEnd w:id="207"/>
    </w:p>
    <w:p w14:paraId="2FCF5D9D">
      <w:pPr>
        <w:rPr>
          <w:color w:val="000000"/>
          <w:highlight w:val="none"/>
        </w:rPr>
      </w:pPr>
    </w:p>
    <w:p w14:paraId="748D91CE">
      <w:pPr>
        <w:rPr>
          <w:rFonts w:ascii="宋体" w:hAnsi="宋体"/>
          <w:b/>
          <w:bCs/>
          <w:color w:val="000000"/>
          <w:sz w:val="24"/>
          <w:highlight w:val="none"/>
        </w:rPr>
      </w:pPr>
    </w:p>
    <w:p w14:paraId="74613E53">
      <w:pPr>
        <w:jc w:val="center"/>
        <w:rPr>
          <w:rFonts w:ascii="宋体" w:hAnsi="宋体"/>
          <w:b/>
          <w:bCs/>
          <w:color w:val="000000"/>
          <w:sz w:val="24"/>
          <w:highlight w:val="none"/>
        </w:rPr>
      </w:pPr>
    </w:p>
    <w:p w14:paraId="712510A7">
      <w:pPr>
        <w:jc w:val="center"/>
        <w:rPr>
          <w:rFonts w:ascii="宋体" w:hAnsi="宋体"/>
          <w:b/>
          <w:bCs/>
          <w:color w:val="000000"/>
          <w:sz w:val="24"/>
          <w:highlight w:val="none"/>
        </w:rPr>
      </w:pPr>
    </w:p>
    <w:p w14:paraId="3445B8A2">
      <w:pPr>
        <w:jc w:val="center"/>
        <w:rPr>
          <w:rFonts w:ascii="宋体" w:hAnsi="宋体"/>
          <w:b/>
          <w:bCs/>
          <w:color w:val="000000"/>
          <w:sz w:val="24"/>
          <w:highlight w:val="none"/>
        </w:rPr>
      </w:pPr>
    </w:p>
    <w:p w14:paraId="4C4AFF2D">
      <w:pPr>
        <w:jc w:val="center"/>
        <w:rPr>
          <w:rFonts w:ascii="宋体" w:hAnsi="宋体"/>
          <w:b/>
          <w:bCs/>
          <w:color w:val="000000"/>
          <w:sz w:val="24"/>
          <w:highlight w:val="none"/>
        </w:rPr>
      </w:pPr>
    </w:p>
    <w:p w14:paraId="3871C426">
      <w:pPr>
        <w:jc w:val="center"/>
        <w:rPr>
          <w:rFonts w:ascii="宋体" w:hAnsi="宋体"/>
          <w:b/>
          <w:bCs/>
          <w:color w:val="000000"/>
          <w:sz w:val="24"/>
          <w:highlight w:val="none"/>
        </w:rPr>
      </w:pPr>
    </w:p>
    <w:p w14:paraId="7F900E22">
      <w:pPr>
        <w:rPr>
          <w:rFonts w:ascii="宋体" w:hAnsi="宋体"/>
          <w:b/>
          <w:bCs/>
          <w:color w:val="000000"/>
          <w:sz w:val="24"/>
          <w:highlight w:val="none"/>
        </w:rPr>
      </w:pPr>
    </w:p>
    <w:p w14:paraId="544B99F4">
      <w:pPr>
        <w:keepNext/>
        <w:keepLines/>
        <w:rPr>
          <w:color w:val="000000"/>
          <w:highlight w:val="none"/>
        </w:rPr>
      </w:pPr>
    </w:p>
    <w:p w14:paraId="3A7C5DDD">
      <w:pPr>
        <w:keepNext/>
        <w:keepLines/>
        <w:spacing w:line="660" w:lineRule="exact"/>
        <w:jc w:val="center"/>
        <w:outlineLvl w:val="0"/>
        <w:rPr>
          <w:b/>
          <w:bCs/>
          <w:color w:val="000000"/>
          <w:kern w:val="44"/>
          <w:sz w:val="28"/>
          <w:highlight w:val="none"/>
        </w:rPr>
      </w:pPr>
      <w:r>
        <w:rPr>
          <w:rFonts w:hint="eastAsia" w:ascii="宋体" w:hAnsi="宋体"/>
          <w:b/>
          <w:bCs/>
          <w:color w:val="000000"/>
          <w:kern w:val="44"/>
          <w:sz w:val="28"/>
          <w:highlight w:val="none"/>
        </w:rPr>
        <w:br w:type="page"/>
      </w:r>
      <w:bookmarkStart w:id="208" w:name="_Toc19376"/>
      <w:bookmarkStart w:id="209" w:name="_Toc7048_WPSOffice_Level1"/>
      <w:bookmarkStart w:id="210" w:name="_Toc18703"/>
      <w:bookmarkStart w:id="211" w:name="_Toc30927"/>
      <w:bookmarkStart w:id="212" w:name="_Toc19081"/>
      <w:bookmarkStart w:id="213" w:name="_Toc10757_WPSOffice_Level1"/>
      <w:r>
        <w:rPr>
          <w:rFonts w:hint="eastAsia" w:ascii="宋体" w:hAnsi="宋体"/>
          <w:b/>
          <w:bCs/>
          <w:color w:val="000000"/>
          <w:kern w:val="44"/>
          <w:sz w:val="28"/>
          <w:highlight w:val="none"/>
        </w:rPr>
        <w:t>一、磋商函</w:t>
      </w:r>
      <w:bookmarkEnd w:id="208"/>
      <w:bookmarkEnd w:id="209"/>
      <w:bookmarkEnd w:id="210"/>
      <w:bookmarkEnd w:id="211"/>
      <w:bookmarkEnd w:id="212"/>
      <w:bookmarkEnd w:id="213"/>
      <w:bookmarkStart w:id="214" w:name="_Toc375041321"/>
      <w:bookmarkEnd w:id="214"/>
      <w:bookmarkStart w:id="215" w:name="_Toc375041570"/>
      <w:bookmarkEnd w:id="215"/>
    </w:p>
    <w:p w14:paraId="4B8FF27B">
      <w:pPr>
        <w:spacing w:line="440" w:lineRule="exact"/>
        <w:jc w:val="left"/>
        <w:rPr>
          <w:rFonts w:ascii="宋体" w:hAnsi="宋体"/>
          <w:color w:val="000000"/>
          <w:sz w:val="24"/>
          <w:highlight w:val="none"/>
        </w:rPr>
      </w:pPr>
      <w:r>
        <w:rPr>
          <w:rFonts w:hint="eastAsia" w:ascii="宋体" w:hAnsi="宋体"/>
          <w:color w:val="000000"/>
          <w:sz w:val="24"/>
          <w:highlight w:val="none"/>
        </w:rPr>
        <w:t>致：（采购人名称）</w:t>
      </w:r>
    </w:p>
    <w:p w14:paraId="7A8A7326">
      <w:pPr>
        <w:spacing w:line="420" w:lineRule="exact"/>
        <w:ind w:firstLine="480" w:firstLineChars="200"/>
        <w:rPr>
          <w:rFonts w:ascii="宋体" w:hAnsi="宋体"/>
          <w:color w:val="000000"/>
          <w:sz w:val="24"/>
          <w:highlight w:val="none"/>
          <w:u w:val="single"/>
        </w:rPr>
      </w:pPr>
      <w:r>
        <w:rPr>
          <w:rFonts w:hint="eastAsia" w:ascii="宋体" w:hAnsi="宋体"/>
          <w:color w:val="000000"/>
          <w:sz w:val="24"/>
          <w:highlight w:val="none"/>
        </w:rPr>
        <w:t>1.我方已仔细研究了</w:t>
      </w:r>
      <w:r>
        <w:rPr>
          <w:rFonts w:hint="eastAsia" w:ascii="宋体" w:hAnsi="宋体"/>
          <w:color w:val="000000"/>
          <w:sz w:val="24"/>
          <w:highlight w:val="none"/>
          <w:u w:val="single"/>
        </w:rPr>
        <w:t xml:space="preserve">        </w:t>
      </w:r>
      <w:r>
        <w:rPr>
          <w:rFonts w:hint="eastAsia" w:ascii="宋体" w:hAnsi="宋体"/>
          <w:color w:val="000000"/>
          <w:sz w:val="24"/>
          <w:highlight w:val="none"/>
        </w:rPr>
        <w:t>（项目名称）</w:t>
      </w:r>
      <w:r>
        <w:rPr>
          <w:rFonts w:hint="eastAsia" w:ascii="宋体" w:hAnsi="宋体"/>
          <w:color w:val="000000"/>
          <w:sz w:val="24"/>
          <w:highlight w:val="none"/>
          <w:u w:val="single"/>
        </w:rPr>
        <w:t xml:space="preserve">      </w:t>
      </w:r>
      <w:r>
        <w:rPr>
          <w:rFonts w:hint="eastAsia" w:ascii="宋体" w:hAnsi="宋体"/>
          <w:color w:val="000000"/>
          <w:sz w:val="24"/>
          <w:highlight w:val="none"/>
        </w:rPr>
        <w:t>标段竞争性磋商文件的全部内容，愿以</w:t>
      </w:r>
      <w:r>
        <w:rPr>
          <w:rFonts w:hint="eastAsia" w:ascii="宋体" w:hAnsi="宋体"/>
          <w:color w:val="000000"/>
          <w:sz w:val="24"/>
          <w:highlight w:val="none"/>
          <w:lang w:eastAsia="zh-CN"/>
        </w:rPr>
        <w:t>单价</w:t>
      </w:r>
      <w:r>
        <w:rPr>
          <w:rFonts w:hint="eastAsia" w:ascii="宋体" w:hAnsi="宋体"/>
          <w:color w:val="000000"/>
          <w:sz w:val="24"/>
          <w:highlight w:val="none"/>
          <w:u w:val="single"/>
        </w:rPr>
        <w:t xml:space="preserve">（大写）    （小写）     </w:t>
      </w:r>
      <w:r>
        <w:rPr>
          <w:rFonts w:hint="eastAsia" w:ascii="宋体" w:hAnsi="宋体"/>
          <w:color w:val="000000"/>
          <w:sz w:val="24"/>
          <w:highlight w:val="none"/>
        </w:rPr>
        <w:t>元的投标报价。</w:t>
      </w:r>
      <w:r>
        <w:rPr>
          <w:rFonts w:hint="eastAsia" w:ascii="宋体" w:hAnsi="宋体"/>
          <w:color w:val="000000"/>
          <w:sz w:val="24"/>
          <w:highlight w:val="none"/>
          <w:lang w:eastAsia="zh-CN"/>
        </w:rPr>
        <w:t>服务期</w:t>
      </w:r>
      <w:r>
        <w:rPr>
          <w:rFonts w:hint="eastAsia" w:ascii="宋体" w:hAnsi="宋体"/>
          <w:color w:val="000000"/>
          <w:sz w:val="24"/>
          <w:highlight w:val="none"/>
          <w:lang w:val="en-US" w:eastAsia="zh-CN"/>
        </w:rPr>
        <w:t>/</w:t>
      </w:r>
      <w:r>
        <w:rPr>
          <w:rFonts w:hint="eastAsia" w:ascii="宋体" w:hAnsi="宋体"/>
          <w:color w:val="000000"/>
          <w:sz w:val="24"/>
          <w:highlight w:val="none"/>
        </w:rPr>
        <w:t>供货期</w:t>
      </w:r>
      <w:r>
        <w:rPr>
          <w:rFonts w:hint="eastAsia" w:ascii="宋体" w:hAnsi="宋体"/>
          <w:color w:val="000000"/>
          <w:sz w:val="24"/>
          <w:highlight w:val="none"/>
          <w:u w:val="single"/>
        </w:rPr>
        <w:t xml:space="preserve">          </w:t>
      </w:r>
      <w:r>
        <w:rPr>
          <w:rFonts w:hint="eastAsia" w:ascii="宋体" w:hAnsi="宋体"/>
          <w:color w:val="000000"/>
          <w:sz w:val="24"/>
          <w:highlight w:val="none"/>
        </w:rPr>
        <w:t>，</w:t>
      </w:r>
      <w:r>
        <w:rPr>
          <w:rFonts w:hint="eastAsia" w:ascii="宋体" w:hAnsi="宋体" w:cs="宋体"/>
          <w:color w:val="000000"/>
          <w:sz w:val="24"/>
          <w:highlight w:val="none"/>
        </w:rPr>
        <w:t>按采购磋商文件的条件要求供货并修补任何缺陷</w:t>
      </w:r>
      <w:r>
        <w:rPr>
          <w:rFonts w:hint="eastAsia" w:ascii="宋体" w:hAnsi="宋体"/>
          <w:color w:val="000000"/>
          <w:sz w:val="24"/>
          <w:highlight w:val="none"/>
        </w:rPr>
        <w:t>，质量标准</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502863CB">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2．我方承诺在投标有效期日历天内不修改、撤销响应文件。</w:t>
      </w:r>
    </w:p>
    <w:p w14:paraId="2C6E8E5B">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3．如我方中标：</w:t>
      </w:r>
    </w:p>
    <w:p w14:paraId="6603FC26">
      <w:pPr>
        <w:spacing w:line="440" w:lineRule="exact"/>
        <w:ind w:firstLine="540"/>
        <w:jc w:val="left"/>
        <w:rPr>
          <w:rFonts w:ascii="宋体" w:hAnsi="宋体"/>
          <w:color w:val="000000"/>
          <w:sz w:val="24"/>
          <w:highlight w:val="none"/>
        </w:rPr>
      </w:pPr>
      <w:r>
        <w:rPr>
          <w:rFonts w:hint="eastAsia" w:ascii="宋体" w:hAnsi="宋体"/>
          <w:color w:val="000000"/>
          <w:sz w:val="24"/>
          <w:highlight w:val="none"/>
        </w:rPr>
        <w:t>（1）我方承诺在收到通知后7日内领取中标通知书，并在中标通知书规定的期限内与你方签订合同，逾期可视为放弃中标。</w:t>
      </w:r>
    </w:p>
    <w:p w14:paraId="211C6CE8">
      <w:pPr>
        <w:spacing w:line="440" w:lineRule="exact"/>
        <w:ind w:firstLine="540"/>
        <w:jc w:val="left"/>
        <w:rPr>
          <w:rFonts w:ascii="宋体" w:hAnsi="宋体"/>
          <w:color w:val="000000"/>
          <w:sz w:val="24"/>
          <w:highlight w:val="none"/>
        </w:rPr>
      </w:pPr>
      <w:r>
        <w:rPr>
          <w:rFonts w:hint="eastAsia" w:ascii="宋体" w:hAnsi="宋体"/>
          <w:color w:val="000000"/>
          <w:sz w:val="24"/>
          <w:highlight w:val="none"/>
        </w:rPr>
        <w:t>（2）随同本投标函递交的投标函附录属于合同文件的组成部分。</w:t>
      </w:r>
    </w:p>
    <w:p w14:paraId="263C2CE0">
      <w:pPr>
        <w:spacing w:line="440" w:lineRule="exact"/>
        <w:ind w:firstLine="540"/>
        <w:jc w:val="left"/>
        <w:rPr>
          <w:rFonts w:ascii="宋体" w:hAnsi="宋体"/>
          <w:color w:val="000000"/>
          <w:sz w:val="24"/>
          <w:highlight w:val="none"/>
        </w:rPr>
      </w:pPr>
      <w:r>
        <w:rPr>
          <w:rFonts w:hint="eastAsia" w:ascii="宋体" w:hAnsi="宋体"/>
          <w:color w:val="000000"/>
          <w:sz w:val="24"/>
          <w:highlight w:val="none"/>
        </w:rPr>
        <w:t>（3）我方承诺在合同约定的期限内完成全部服务（采购）内容。</w:t>
      </w:r>
    </w:p>
    <w:p w14:paraId="379BCB12">
      <w:pPr>
        <w:spacing w:line="440" w:lineRule="exact"/>
        <w:ind w:firstLine="540"/>
        <w:jc w:val="left"/>
        <w:rPr>
          <w:rFonts w:ascii="宋体" w:hAnsi="宋体"/>
          <w:color w:val="000000"/>
          <w:sz w:val="24"/>
          <w:highlight w:val="none"/>
        </w:rPr>
      </w:pPr>
      <w:r>
        <w:rPr>
          <w:rFonts w:hint="eastAsia" w:ascii="宋体" w:hAnsi="宋体"/>
          <w:color w:val="000000"/>
          <w:sz w:val="24"/>
          <w:highlight w:val="none"/>
        </w:rPr>
        <w:t>（4）我方承诺并理解采购人不以最低投标价为中标价的唯一选择。</w:t>
      </w:r>
    </w:p>
    <w:p w14:paraId="5AEFB7DD">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4．我方在此声明，所递交的响应文件及有关资料内容完整、真实和准确。</w:t>
      </w:r>
    </w:p>
    <w:p w14:paraId="0BBDAF41">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5．    （其他补充说明）。</w:t>
      </w:r>
    </w:p>
    <w:p w14:paraId="79085B8A">
      <w:pPr>
        <w:wordWrap w:val="0"/>
        <w:spacing w:line="420" w:lineRule="exact"/>
        <w:rPr>
          <w:rFonts w:ascii="宋体" w:hAnsi="宋体"/>
          <w:color w:val="000000"/>
          <w:sz w:val="24"/>
          <w:highlight w:val="none"/>
        </w:rPr>
      </w:pPr>
    </w:p>
    <w:p w14:paraId="78CD5045">
      <w:pPr>
        <w:wordWrap w:val="0"/>
        <w:spacing w:line="420" w:lineRule="exact"/>
        <w:rPr>
          <w:rFonts w:ascii="宋体" w:hAnsi="宋体"/>
          <w:color w:val="000000"/>
          <w:sz w:val="24"/>
          <w:highlight w:val="none"/>
        </w:rPr>
      </w:pPr>
    </w:p>
    <w:p w14:paraId="7B3793F1">
      <w:pPr>
        <w:wordWrap w:val="0"/>
        <w:spacing w:line="420" w:lineRule="exact"/>
        <w:rPr>
          <w:rFonts w:ascii="宋体" w:hAnsi="宋体"/>
          <w:color w:val="000000"/>
          <w:sz w:val="24"/>
          <w:highlight w:val="none"/>
        </w:rPr>
      </w:pPr>
      <w:r>
        <w:rPr>
          <w:rFonts w:hint="eastAsia" w:ascii="宋体" w:hAnsi="宋体"/>
          <w:color w:val="000000"/>
          <w:sz w:val="24"/>
          <w:highlight w:val="none"/>
        </w:rPr>
        <w:t>供应商：  （电子签章）</w:t>
      </w:r>
    </w:p>
    <w:p w14:paraId="51ECC7BB">
      <w:pPr>
        <w:spacing w:line="480" w:lineRule="exact"/>
        <w:rPr>
          <w:rFonts w:ascii="宋体" w:hAnsi="宋体"/>
          <w:color w:val="000000"/>
          <w:sz w:val="24"/>
          <w:highlight w:val="none"/>
        </w:rPr>
      </w:pPr>
      <w:r>
        <w:rPr>
          <w:rFonts w:hint="eastAsia" w:ascii="宋体" w:hAnsi="宋体"/>
          <w:color w:val="000000"/>
          <w:sz w:val="24"/>
          <w:highlight w:val="none"/>
        </w:rPr>
        <w:t>法定代表人或其委托代理人： （电子签章）</w:t>
      </w:r>
    </w:p>
    <w:p w14:paraId="5A44BA61">
      <w:pPr>
        <w:spacing w:line="480" w:lineRule="exact"/>
        <w:rPr>
          <w:rFonts w:ascii="宋体" w:hAnsi="宋体" w:cs="宋体"/>
          <w:sz w:val="24"/>
          <w:szCs w:val="20"/>
          <w:highlight w:val="none"/>
          <w:u w:val="single"/>
        </w:rPr>
      </w:pPr>
      <w:r>
        <w:rPr>
          <w:rFonts w:hint="eastAsia" w:ascii="宋体" w:hAnsi="宋体" w:cs="宋体"/>
          <w:sz w:val="24"/>
          <w:szCs w:val="20"/>
          <w:highlight w:val="none"/>
        </w:rPr>
        <w:t>地    址：</w:t>
      </w:r>
      <w:r>
        <w:rPr>
          <w:rFonts w:hint="eastAsia" w:ascii="宋体" w:hAnsi="宋体" w:cs="宋体"/>
          <w:sz w:val="24"/>
          <w:szCs w:val="20"/>
          <w:highlight w:val="none"/>
          <w:u w:val="single"/>
        </w:rPr>
        <w:t xml:space="preserve">                                    </w:t>
      </w:r>
    </w:p>
    <w:p w14:paraId="3C73AA77">
      <w:pPr>
        <w:wordWrap w:val="0"/>
        <w:spacing w:line="420" w:lineRule="exact"/>
        <w:rPr>
          <w:rFonts w:ascii="宋体" w:hAnsi="宋体"/>
          <w:color w:val="000000"/>
          <w:sz w:val="24"/>
          <w:highlight w:val="none"/>
        </w:rPr>
      </w:pPr>
      <w:r>
        <w:rPr>
          <w:rFonts w:hint="eastAsia" w:ascii="宋体" w:hAnsi="宋体"/>
          <w:color w:val="000000"/>
          <w:sz w:val="24"/>
          <w:highlight w:val="none"/>
        </w:rPr>
        <w:t>日  期：  年  月  日</w:t>
      </w:r>
    </w:p>
    <w:p w14:paraId="4F704358">
      <w:pPr>
        <w:spacing w:line="420" w:lineRule="exact"/>
        <w:rPr>
          <w:color w:val="000000"/>
          <w:sz w:val="24"/>
          <w:highlight w:val="none"/>
        </w:rPr>
      </w:pPr>
    </w:p>
    <w:p w14:paraId="2F74413A">
      <w:pPr>
        <w:keepNext/>
        <w:keepLines/>
        <w:spacing w:line="660" w:lineRule="exact"/>
        <w:jc w:val="center"/>
        <w:outlineLvl w:val="0"/>
        <w:rPr>
          <w:b/>
          <w:bCs/>
          <w:color w:val="000000"/>
          <w:kern w:val="44"/>
          <w:sz w:val="28"/>
          <w:highlight w:val="none"/>
        </w:rPr>
      </w:pPr>
      <w:bookmarkStart w:id="216" w:name="_Toc19955_WPSOffice_Level1"/>
      <w:r>
        <w:rPr>
          <w:rFonts w:hint="eastAsia" w:ascii="宋体" w:hAnsi="宋体"/>
          <w:b/>
          <w:bCs/>
          <w:color w:val="000000"/>
          <w:kern w:val="44"/>
          <w:sz w:val="28"/>
          <w:highlight w:val="none"/>
        </w:rPr>
        <w:br w:type="page"/>
      </w:r>
      <w:bookmarkStart w:id="217" w:name="_Toc2580"/>
      <w:bookmarkStart w:id="218" w:name="_Toc32484_WPSOffice_Level1"/>
      <w:bookmarkStart w:id="219" w:name="_Toc15071"/>
      <w:bookmarkStart w:id="220" w:name="_Toc12006"/>
      <w:bookmarkStart w:id="221" w:name="_Toc7842"/>
      <w:r>
        <w:rPr>
          <w:rFonts w:hint="eastAsia" w:ascii="宋体" w:hAnsi="宋体"/>
          <w:b/>
          <w:bCs/>
          <w:color w:val="000000"/>
          <w:kern w:val="44"/>
          <w:sz w:val="28"/>
          <w:highlight w:val="none"/>
        </w:rPr>
        <w:t>二、磋商函附录</w:t>
      </w:r>
      <w:bookmarkEnd w:id="216"/>
      <w:bookmarkEnd w:id="217"/>
      <w:bookmarkEnd w:id="218"/>
      <w:bookmarkEnd w:id="219"/>
      <w:bookmarkEnd w:id="220"/>
      <w:bookmarkEnd w:id="221"/>
    </w:p>
    <w:tbl>
      <w:tblPr>
        <w:tblStyle w:val="13"/>
        <w:tblW w:w="9281" w:type="dxa"/>
        <w:jc w:val="center"/>
        <w:tblLayout w:type="fixed"/>
        <w:tblCellMar>
          <w:top w:w="0" w:type="dxa"/>
          <w:left w:w="108" w:type="dxa"/>
          <w:bottom w:w="0" w:type="dxa"/>
          <w:right w:w="108" w:type="dxa"/>
        </w:tblCellMar>
      </w:tblPr>
      <w:tblGrid>
        <w:gridCol w:w="3163"/>
        <w:gridCol w:w="6118"/>
      </w:tblGrid>
      <w:tr w14:paraId="1EE599C5">
        <w:tblPrEx>
          <w:tblCellMar>
            <w:top w:w="0" w:type="dxa"/>
            <w:left w:w="108" w:type="dxa"/>
            <w:bottom w:w="0" w:type="dxa"/>
            <w:right w:w="108" w:type="dxa"/>
          </w:tblCellMar>
        </w:tblPrEx>
        <w:trPr>
          <w:cantSplit/>
          <w:trHeight w:val="79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748C979D">
            <w:pPr>
              <w:spacing w:line="440" w:lineRule="exact"/>
              <w:jc w:val="center"/>
              <w:rPr>
                <w:rFonts w:ascii="宋体" w:hAnsi="宋体" w:cs="宋体"/>
                <w:sz w:val="24"/>
                <w:highlight w:val="none"/>
              </w:rPr>
            </w:pPr>
            <w:r>
              <w:rPr>
                <w:rFonts w:hint="eastAsia" w:ascii="宋体" w:hAnsi="宋体" w:cs="宋体"/>
                <w:sz w:val="24"/>
                <w:highlight w:val="none"/>
              </w:rPr>
              <w:t>项目名称及标段</w:t>
            </w:r>
          </w:p>
        </w:tc>
        <w:tc>
          <w:tcPr>
            <w:tcW w:w="6118" w:type="dxa"/>
            <w:tcBorders>
              <w:top w:val="single" w:color="auto" w:sz="4" w:space="0"/>
              <w:left w:val="nil"/>
              <w:bottom w:val="single" w:color="auto" w:sz="4" w:space="0"/>
              <w:right w:val="single" w:color="auto" w:sz="4" w:space="0"/>
            </w:tcBorders>
            <w:vAlign w:val="center"/>
          </w:tcPr>
          <w:p w14:paraId="3119304B">
            <w:pPr>
              <w:spacing w:line="440" w:lineRule="exact"/>
              <w:jc w:val="center"/>
              <w:rPr>
                <w:rFonts w:ascii="宋体" w:hAnsi="宋体" w:cs="宋体"/>
                <w:sz w:val="24"/>
                <w:highlight w:val="none"/>
              </w:rPr>
            </w:pPr>
          </w:p>
        </w:tc>
      </w:tr>
      <w:tr w14:paraId="0B5236E5">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7D8BA951">
            <w:pPr>
              <w:spacing w:line="440" w:lineRule="exact"/>
              <w:jc w:val="center"/>
              <w:rPr>
                <w:rFonts w:ascii="宋体" w:hAnsi="宋体" w:cs="宋体"/>
                <w:sz w:val="24"/>
                <w:highlight w:val="none"/>
              </w:rPr>
            </w:pPr>
            <w:r>
              <w:rPr>
                <w:rFonts w:hint="eastAsia" w:ascii="宋体" w:hAnsi="宋体" w:cs="宋体"/>
                <w:sz w:val="24"/>
                <w:highlight w:val="none"/>
              </w:rPr>
              <w:t>供应商名称</w:t>
            </w:r>
          </w:p>
        </w:tc>
        <w:tc>
          <w:tcPr>
            <w:tcW w:w="6118" w:type="dxa"/>
            <w:tcBorders>
              <w:top w:val="single" w:color="auto" w:sz="4" w:space="0"/>
              <w:left w:val="nil"/>
              <w:bottom w:val="single" w:color="auto" w:sz="4" w:space="0"/>
              <w:right w:val="single" w:color="auto" w:sz="4" w:space="0"/>
            </w:tcBorders>
          </w:tcPr>
          <w:p w14:paraId="7E87A364">
            <w:pPr>
              <w:spacing w:line="440" w:lineRule="exact"/>
              <w:jc w:val="left"/>
              <w:rPr>
                <w:rFonts w:ascii="宋体" w:hAnsi="宋体" w:cs="宋体"/>
                <w:sz w:val="24"/>
                <w:highlight w:val="none"/>
              </w:rPr>
            </w:pPr>
          </w:p>
        </w:tc>
      </w:tr>
      <w:tr w14:paraId="4D6E5F79">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955D59F">
            <w:pPr>
              <w:spacing w:line="440" w:lineRule="exact"/>
              <w:jc w:val="center"/>
              <w:rPr>
                <w:rFonts w:ascii="宋体" w:hAnsi="宋体" w:cs="宋体"/>
                <w:sz w:val="24"/>
                <w:highlight w:val="none"/>
              </w:rPr>
            </w:pPr>
            <w:r>
              <w:rPr>
                <w:rFonts w:hint="eastAsia" w:ascii="宋体" w:hAnsi="宋体" w:cs="宋体"/>
                <w:sz w:val="24"/>
                <w:highlight w:val="none"/>
              </w:rPr>
              <w:t>供应商地址</w:t>
            </w:r>
          </w:p>
        </w:tc>
        <w:tc>
          <w:tcPr>
            <w:tcW w:w="6118" w:type="dxa"/>
            <w:tcBorders>
              <w:top w:val="single" w:color="auto" w:sz="4" w:space="0"/>
              <w:left w:val="nil"/>
              <w:bottom w:val="single" w:color="auto" w:sz="4" w:space="0"/>
              <w:right w:val="single" w:color="auto" w:sz="4" w:space="0"/>
            </w:tcBorders>
          </w:tcPr>
          <w:p w14:paraId="734AEEE9">
            <w:pPr>
              <w:spacing w:line="440" w:lineRule="exact"/>
              <w:jc w:val="left"/>
              <w:rPr>
                <w:rFonts w:ascii="宋体" w:hAnsi="宋体" w:cs="宋体"/>
                <w:sz w:val="24"/>
                <w:highlight w:val="none"/>
              </w:rPr>
            </w:pPr>
          </w:p>
        </w:tc>
      </w:tr>
      <w:tr w14:paraId="3042C5CA">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7EC85898">
            <w:pPr>
              <w:spacing w:line="440" w:lineRule="exact"/>
              <w:jc w:val="center"/>
              <w:rPr>
                <w:rFonts w:ascii="宋体" w:hAnsi="宋体" w:cs="宋体"/>
                <w:sz w:val="24"/>
                <w:highlight w:val="none"/>
              </w:rPr>
            </w:pPr>
            <w:r>
              <w:rPr>
                <w:rFonts w:hint="eastAsia" w:ascii="宋体" w:hAnsi="宋体" w:cs="宋体"/>
                <w:sz w:val="24"/>
                <w:highlight w:val="none"/>
              </w:rPr>
              <w:t>供应商统一社会信用代码</w:t>
            </w:r>
          </w:p>
        </w:tc>
        <w:tc>
          <w:tcPr>
            <w:tcW w:w="6118" w:type="dxa"/>
            <w:tcBorders>
              <w:top w:val="single" w:color="auto" w:sz="4" w:space="0"/>
              <w:left w:val="nil"/>
              <w:bottom w:val="single" w:color="auto" w:sz="4" w:space="0"/>
              <w:right w:val="single" w:color="auto" w:sz="4" w:space="0"/>
            </w:tcBorders>
          </w:tcPr>
          <w:p w14:paraId="14B551B1">
            <w:pPr>
              <w:spacing w:line="440" w:lineRule="exact"/>
              <w:jc w:val="left"/>
              <w:rPr>
                <w:rFonts w:ascii="宋体" w:hAnsi="宋体" w:cs="宋体"/>
                <w:sz w:val="24"/>
                <w:highlight w:val="none"/>
              </w:rPr>
            </w:pPr>
          </w:p>
        </w:tc>
      </w:tr>
      <w:tr w14:paraId="3601C850">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72DFE7F5">
            <w:pPr>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rPr>
              <w:t>供应商</w:t>
            </w:r>
            <w:r>
              <w:rPr>
                <w:rFonts w:hint="eastAsia" w:ascii="宋体" w:hAnsi="宋体" w:cs="宋体"/>
                <w:sz w:val="24"/>
                <w:highlight w:val="none"/>
                <w:lang w:eastAsia="zh-CN"/>
              </w:rPr>
              <w:t>开户行及账号</w:t>
            </w:r>
          </w:p>
        </w:tc>
        <w:tc>
          <w:tcPr>
            <w:tcW w:w="6118" w:type="dxa"/>
            <w:tcBorders>
              <w:top w:val="single" w:color="auto" w:sz="4" w:space="0"/>
              <w:left w:val="nil"/>
              <w:bottom w:val="single" w:color="auto" w:sz="4" w:space="0"/>
              <w:right w:val="single" w:color="auto" w:sz="4" w:space="0"/>
            </w:tcBorders>
          </w:tcPr>
          <w:p w14:paraId="1915EBF3">
            <w:pPr>
              <w:spacing w:line="440" w:lineRule="exact"/>
              <w:jc w:val="left"/>
              <w:rPr>
                <w:rFonts w:ascii="宋体" w:hAnsi="宋体" w:cs="宋体"/>
                <w:sz w:val="24"/>
                <w:highlight w:val="none"/>
              </w:rPr>
            </w:pPr>
          </w:p>
        </w:tc>
      </w:tr>
      <w:tr w14:paraId="10AA9567">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3B386AD3">
            <w:pPr>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联系人及电话</w:t>
            </w:r>
          </w:p>
        </w:tc>
        <w:tc>
          <w:tcPr>
            <w:tcW w:w="6118" w:type="dxa"/>
            <w:tcBorders>
              <w:top w:val="single" w:color="auto" w:sz="4" w:space="0"/>
              <w:left w:val="nil"/>
              <w:bottom w:val="single" w:color="auto" w:sz="4" w:space="0"/>
              <w:right w:val="single" w:color="auto" w:sz="4" w:space="0"/>
            </w:tcBorders>
          </w:tcPr>
          <w:p w14:paraId="456B23E4">
            <w:pPr>
              <w:spacing w:line="440" w:lineRule="exact"/>
              <w:jc w:val="left"/>
              <w:rPr>
                <w:rFonts w:ascii="宋体" w:hAnsi="宋体" w:cs="宋体"/>
                <w:sz w:val="24"/>
                <w:highlight w:val="none"/>
              </w:rPr>
            </w:pPr>
          </w:p>
        </w:tc>
      </w:tr>
      <w:tr w14:paraId="790E012B">
        <w:tblPrEx>
          <w:tblCellMar>
            <w:top w:w="0" w:type="dxa"/>
            <w:left w:w="108" w:type="dxa"/>
            <w:bottom w:w="0" w:type="dxa"/>
            <w:right w:w="108" w:type="dxa"/>
          </w:tblCellMar>
        </w:tblPrEx>
        <w:trPr>
          <w:cantSplit/>
          <w:trHeight w:val="921" w:hRule="atLeast"/>
          <w:jc w:val="center"/>
        </w:trPr>
        <w:tc>
          <w:tcPr>
            <w:tcW w:w="3163" w:type="dxa"/>
            <w:vMerge w:val="restart"/>
            <w:tcBorders>
              <w:top w:val="nil"/>
              <w:left w:val="single" w:color="auto" w:sz="4" w:space="0"/>
              <w:bottom w:val="single" w:color="auto" w:sz="4" w:space="0"/>
              <w:right w:val="single" w:color="auto" w:sz="4" w:space="0"/>
            </w:tcBorders>
            <w:vAlign w:val="center"/>
          </w:tcPr>
          <w:p w14:paraId="4AAA4618">
            <w:pPr>
              <w:autoSpaceDE w:val="0"/>
              <w:autoSpaceDN w:val="0"/>
              <w:spacing w:line="500" w:lineRule="exact"/>
              <w:jc w:val="center"/>
              <w:rPr>
                <w:rFonts w:hint="eastAsia" w:ascii="宋体" w:hAnsi="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投标</w:t>
            </w:r>
            <w:r>
              <w:rPr>
                <w:rFonts w:hint="eastAsia" w:ascii="宋体" w:hAnsi="宋体"/>
                <w:color w:val="000000" w:themeColor="text1"/>
                <w:kern w:val="0"/>
                <w:sz w:val="24"/>
                <w:szCs w:val="24"/>
                <w:highlight w:val="none"/>
                <w:lang w:val="en-US" w:eastAsia="zh-CN"/>
                <w14:textFill>
                  <w14:solidFill>
                    <w14:schemeClr w14:val="tx1"/>
                  </w14:solidFill>
                </w14:textFill>
              </w:rPr>
              <w:t>报价</w:t>
            </w:r>
          </w:p>
          <w:p w14:paraId="06CD94F7">
            <w:pPr>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（元）</w:t>
            </w:r>
          </w:p>
        </w:tc>
        <w:tc>
          <w:tcPr>
            <w:tcW w:w="6118" w:type="dxa"/>
            <w:tcBorders>
              <w:top w:val="single" w:color="auto" w:sz="4" w:space="0"/>
              <w:left w:val="nil"/>
              <w:bottom w:val="single" w:color="auto" w:sz="4" w:space="0"/>
              <w:right w:val="single" w:color="auto" w:sz="4" w:space="0"/>
            </w:tcBorders>
            <w:vAlign w:val="center"/>
          </w:tcPr>
          <w:p w14:paraId="565C83E9">
            <w:pPr>
              <w:spacing w:line="440" w:lineRule="exact"/>
              <w:rPr>
                <w:rFonts w:ascii="宋体" w:hAnsi="宋体" w:cs="宋体"/>
                <w:sz w:val="24"/>
                <w:highlight w:val="none"/>
              </w:rPr>
            </w:pPr>
            <w:r>
              <w:rPr>
                <w:rFonts w:hint="eastAsia" w:ascii="宋体" w:hAnsi="宋体" w:cs="宋体"/>
                <w:sz w:val="24"/>
                <w:highlight w:val="none"/>
              </w:rPr>
              <w:t>大写：</w:t>
            </w:r>
          </w:p>
        </w:tc>
      </w:tr>
      <w:tr w14:paraId="2AE57149">
        <w:tblPrEx>
          <w:tblCellMar>
            <w:top w:w="0" w:type="dxa"/>
            <w:left w:w="108" w:type="dxa"/>
            <w:bottom w:w="0" w:type="dxa"/>
            <w:right w:w="108" w:type="dxa"/>
          </w:tblCellMar>
        </w:tblPrEx>
        <w:trPr>
          <w:cantSplit/>
          <w:trHeight w:val="822" w:hRule="atLeast"/>
          <w:jc w:val="center"/>
        </w:trPr>
        <w:tc>
          <w:tcPr>
            <w:tcW w:w="3163" w:type="dxa"/>
            <w:vMerge w:val="continue"/>
            <w:tcBorders>
              <w:top w:val="nil"/>
              <w:left w:val="single" w:color="auto" w:sz="4" w:space="0"/>
              <w:bottom w:val="single" w:color="auto" w:sz="4" w:space="0"/>
              <w:right w:val="single" w:color="auto" w:sz="4" w:space="0"/>
            </w:tcBorders>
            <w:vAlign w:val="center"/>
          </w:tcPr>
          <w:p w14:paraId="29436ED1">
            <w:pPr>
              <w:widowControl/>
              <w:spacing w:line="240" w:lineRule="auto"/>
              <w:jc w:val="left"/>
              <w:rPr>
                <w:rFonts w:ascii="宋体" w:hAnsi="宋体" w:cs="宋体"/>
                <w:sz w:val="24"/>
                <w:highlight w:val="none"/>
              </w:rPr>
            </w:pPr>
          </w:p>
        </w:tc>
        <w:tc>
          <w:tcPr>
            <w:tcW w:w="6118" w:type="dxa"/>
            <w:tcBorders>
              <w:top w:val="single" w:color="auto" w:sz="4" w:space="0"/>
              <w:left w:val="nil"/>
              <w:bottom w:val="single" w:color="auto" w:sz="4" w:space="0"/>
              <w:right w:val="single" w:color="auto" w:sz="4" w:space="0"/>
            </w:tcBorders>
            <w:vAlign w:val="center"/>
          </w:tcPr>
          <w:p w14:paraId="66037BD1">
            <w:pPr>
              <w:spacing w:line="440" w:lineRule="exact"/>
              <w:rPr>
                <w:rFonts w:ascii="宋体" w:hAnsi="宋体" w:cs="宋体"/>
                <w:sz w:val="24"/>
                <w:highlight w:val="none"/>
              </w:rPr>
            </w:pPr>
            <w:r>
              <w:rPr>
                <w:rFonts w:hint="eastAsia" w:ascii="宋体" w:hAnsi="宋体" w:cs="宋体"/>
                <w:sz w:val="24"/>
                <w:highlight w:val="none"/>
              </w:rPr>
              <w:t xml:space="preserve">小写：        </w:t>
            </w:r>
          </w:p>
        </w:tc>
      </w:tr>
      <w:tr w14:paraId="003916E2">
        <w:tblPrEx>
          <w:tblCellMar>
            <w:top w:w="0" w:type="dxa"/>
            <w:left w:w="108" w:type="dxa"/>
            <w:bottom w:w="0" w:type="dxa"/>
            <w:right w:w="108" w:type="dxa"/>
          </w:tblCellMar>
        </w:tblPrEx>
        <w:trPr>
          <w:trHeight w:val="771"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50C8961">
            <w:pPr>
              <w:spacing w:line="440" w:lineRule="exact"/>
              <w:jc w:val="center"/>
              <w:rPr>
                <w:rFonts w:ascii="宋体" w:hAnsi="宋体" w:cs="宋体"/>
                <w:sz w:val="24"/>
                <w:highlight w:val="none"/>
              </w:rPr>
            </w:pPr>
            <w:r>
              <w:rPr>
                <w:rFonts w:hint="eastAsia" w:ascii="宋体" w:hAnsi="宋体" w:cs="宋体"/>
                <w:sz w:val="24"/>
                <w:highlight w:val="none"/>
              </w:rPr>
              <w:t>质量标准</w:t>
            </w:r>
          </w:p>
        </w:tc>
        <w:tc>
          <w:tcPr>
            <w:tcW w:w="6118" w:type="dxa"/>
            <w:tcBorders>
              <w:top w:val="single" w:color="auto" w:sz="4" w:space="0"/>
              <w:left w:val="nil"/>
              <w:bottom w:val="single" w:color="auto" w:sz="4" w:space="0"/>
              <w:right w:val="single" w:color="auto" w:sz="4" w:space="0"/>
            </w:tcBorders>
          </w:tcPr>
          <w:p w14:paraId="7EDD5675">
            <w:pPr>
              <w:spacing w:line="440" w:lineRule="exact"/>
              <w:jc w:val="left"/>
              <w:rPr>
                <w:rFonts w:ascii="宋体" w:hAnsi="宋体" w:cs="宋体"/>
                <w:sz w:val="24"/>
                <w:highlight w:val="none"/>
              </w:rPr>
            </w:pPr>
          </w:p>
        </w:tc>
      </w:tr>
      <w:tr w14:paraId="62E8235B">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7A7043A8">
            <w:pPr>
              <w:spacing w:line="440" w:lineRule="exact"/>
              <w:ind w:left="79"/>
              <w:jc w:val="center"/>
              <w:rPr>
                <w:rFonts w:ascii="宋体" w:hAnsi="宋体" w:cs="宋体"/>
                <w:sz w:val="24"/>
                <w:highlight w:val="none"/>
              </w:rPr>
            </w:pPr>
            <w:r>
              <w:rPr>
                <w:rFonts w:hint="eastAsia" w:ascii="宋体" w:hAnsi="宋体" w:cs="宋体"/>
                <w:sz w:val="24"/>
                <w:highlight w:val="none"/>
              </w:rPr>
              <w:t>供货期</w:t>
            </w:r>
          </w:p>
        </w:tc>
        <w:tc>
          <w:tcPr>
            <w:tcW w:w="6118" w:type="dxa"/>
            <w:tcBorders>
              <w:top w:val="single" w:color="auto" w:sz="4" w:space="0"/>
              <w:left w:val="nil"/>
              <w:bottom w:val="single" w:color="auto" w:sz="4" w:space="0"/>
              <w:right w:val="single" w:color="auto" w:sz="4" w:space="0"/>
            </w:tcBorders>
          </w:tcPr>
          <w:p w14:paraId="55339D12">
            <w:pPr>
              <w:spacing w:line="440" w:lineRule="exact"/>
              <w:jc w:val="left"/>
              <w:rPr>
                <w:rFonts w:ascii="宋体" w:hAnsi="宋体" w:cs="宋体"/>
                <w:sz w:val="24"/>
                <w:highlight w:val="none"/>
              </w:rPr>
            </w:pPr>
          </w:p>
        </w:tc>
      </w:tr>
      <w:tr w14:paraId="39A9E561">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25408882">
            <w:pPr>
              <w:spacing w:line="440" w:lineRule="exact"/>
              <w:ind w:left="79"/>
              <w:jc w:val="center"/>
              <w:rPr>
                <w:rFonts w:ascii="宋体" w:hAnsi="宋体" w:cs="宋体"/>
                <w:sz w:val="24"/>
                <w:highlight w:val="none"/>
              </w:rPr>
            </w:pPr>
            <w:r>
              <w:rPr>
                <w:rFonts w:hint="eastAsia" w:ascii="宋体" w:hAnsi="宋体" w:cs="宋体"/>
                <w:sz w:val="24"/>
                <w:highlight w:val="none"/>
              </w:rPr>
              <w:t>供货（服务）地点</w:t>
            </w:r>
          </w:p>
        </w:tc>
        <w:tc>
          <w:tcPr>
            <w:tcW w:w="6118" w:type="dxa"/>
            <w:tcBorders>
              <w:top w:val="single" w:color="auto" w:sz="4" w:space="0"/>
              <w:left w:val="nil"/>
              <w:bottom w:val="single" w:color="auto" w:sz="4" w:space="0"/>
              <w:right w:val="single" w:color="auto" w:sz="4" w:space="0"/>
            </w:tcBorders>
          </w:tcPr>
          <w:p w14:paraId="3993E63C">
            <w:pPr>
              <w:spacing w:line="440" w:lineRule="exact"/>
              <w:jc w:val="left"/>
              <w:rPr>
                <w:rFonts w:ascii="宋体" w:hAnsi="宋体" w:cs="宋体"/>
                <w:sz w:val="24"/>
                <w:highlight w:val="none"/>
              </w:rPr>
            </w:pPr>
          </w:p>
        </w:tc>
      </w:tr>
      <w:tr w14:paraId="2EFEB371">
        <w:tblPrEx>
          <w:tblCellMar>
            <w:top w:w="0" w:type="dxa"/>
            <w:left w:w="108" w:type="dxa"/>
            <w:bottom w:w="0" w:type="dxa"/>
            <w:right w:w="108" w:type="dxa"/>
          </w:tblCellMar>
        </w:tblPrEx>
        <w:trPr>
          <w:trHeight w:val="815"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196E1A22">
            <w:pPr>
              <w:spacing w:line="440" w:lineRule="exact"/>
              <w:ind w:left="79"/>
              <w:jc w:val="center"/>
              <w:rPr>
                <w:rFonts w:ascii="宋体" w:hAnsi="宋体" w:cs="宋体"/>
                <w:sz w:val="24"/>
                <w:highlight w:val="none"/>
              </w:rPr>
            </w:pPr>
            <w:r>
              <w:rPr>
                <w:rFonts w:hint="eastAsia" w:ascii="宋体" w:hAnsi="宋体" w:cs="宋体"/>
                <w:sz w:val="24"/>
                <w:highlight w:val="none"/>
              </w:rPr>
              <w:t>磋商有效期（日历天）</w:t>
            </w:r>
          </w:p>
        </w:tc>
        <w:tc>
          <w:tcPr>
            <w:tcW w:w="6118" w:type="dxa"/>
            <w:tcBorders>
              <w:top w:val="single" w:color="auto" w:sz="4" w:space="0"/>
              <w:left w:val="nil"/>
              <w:bottom w:val="single" w:color="auto" w:sz="4" w:space="0"/>
              <w:right w:val="single" w:color="auto" w:sz="4" w:space="0"/>
            </w:tcBorders>
            <w:vAlign w:val="center"/>
          </w:tcPr>
          <w:p w14:paraId="014843AC">
            <w:pPr>
              <w:spacing w:line="440" w:lineRule="exact"/>
              <w:jc w:val="center"/>
              <w:rPr>
                <w:rFonts w:ascii="宋体" w:hAnsi="宋体" w:cs="宋体"/>
                <w:sz w:val="24"/>
                <w:highlight w:val="none"/>
              </w:rPr>
            </w:pPr>
          </w:p>
        </w:tc>
      </w:tr>
      <w:tr w14:paraId="51BA19B3">
        <w:tblPrEx>
          <w:tblCellMar>
            <w:top w:w="0" w:type="dxa"/>
            <w:left w:w="108" w:type="dxa"/>
            <w:bottom w:w="0" w:type="dxa"/>
            <w:right w:w="108" w:type="dxa"/>
          </w:tblCellMar>
        </w:tblPrEx>
        <w:trPr>
          <w:trHeight w:val="85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5E16D7FF">
            <w:pPr>
              <w:spacing w:line="440" w:lineRule="exact"/>
              <w:ind w:left="80"/>
              <w:jc w:val="center"/>
              <w:rPr>
                <w:rFonts w:ascii="宋体" w:hAnsi="宋体"/>
                <w:color w:val="000000"/>
                <w:sz w:val="24"/>
                <w:highlight w:val="none"/>
              </w:rPr>
            </w:pPr>
            <w:r>
              <w:rPr>
                <w:rFonts w:hint="eastAsia" w:ascii="宋体" w:hAnsi="宋体"/>
                <w:color w:val="000000"/>
                <w:sz w:val="24"/>
                <w:highlight w:val="none"/>
              </w:rPr>
              <w:t>备注</w:t>
            </w:r>
          </w:p>
        </w:tc>
        <w:tc>
          <w:tcPr>
            <w:tcW w:w="6118" w:type="dxa"/>
            <w:tcBorders>
              <w:top w:val="single" w:color="auto" w:sz="4" w:space="0"/>
              <w:left w:val="nil"/>
              <w:bottom w:val="single" w:color="auto" w:sz="4" w:space="0"/>
              <w:right w:val="single" w:color="auto" w:sz="4" w:space="0"/>
            </w:tcBorders>
          </w:tcPr>
          <w:p w14:paraId="531D2C4C">
            <w:pPr>
              <w:spacing w:line="440" w:lineRule="exact"/>
              <w:jc w:val="left"/>
              <w:rPr>
                <w:rFonts w:ascii="宋体" w:hAnsi="宋体" w:cs="宋体"/>
                <w:sz w:val="24"/>
                <w:highlight w:val="none"/>
              </w:rPr>
            </w:pPr>
          </w:p>
        </w:tc>
      </w:tr>
    </w:tbl>
    <w:p w14:paraId="4C794EB0">
      <w:pPr>
        <w:spacing w:line="440" w:lineRule="exact"/>
        <w:ind w:firstLine="241" w:firstLineChars="100"/>
        <w:jc w:val="lef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注：</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1、投标报价包含货物费、人工费、运输费、包装费、装卸费、税费、售后服务及相关伴随服务等与项目相关的所有费用；</w:t>
      </w:r>
    </w:p>
    <w:p w14:paraId="07771197">
      <w:pPr>
        <w:spacing w:line="440" w:lineRule="exact"/>
        <w:ind w:firstLine="723" w:firstLineChars="300"/>
        <w:jc w:val="left"/>
        <w:rPr>
          <w:rFonts w:hint="eastAsia" w:ascii="宋体" w:hAnsi="宋体" w:eastAsia="宋体" w:cs="宋体"/>
          <w:color w:val="FF0000"/>
          <w:sz w:val="24"/>
          <w:szCs w:val="24"/>
          <w:highlight w:val="none"/>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2、本次采购为单价报价。</w:t>
      </w:r>
    </w:p>
    <w:p w14:paraId="191A249E">
      <w:pPr>
        <w:rPr>
          <w:rFonts w:ascii="宋体" w:hAnsi="宋体"/>
          <w:color w:val="000000"/>
          <w:sz w:val="24"/>
          <w:highlight w:val="none"/>
        </w:rPr>
      </w:pPr>
    </w:p>
    <w:p w14:paraId="0D7B7E48">
      <w:pPr>
        <w:jc w:val="right"/>
        <w:rPr>
          <w:rFonts w:ascii="宋体" w:hAnsi="宋体"/>
          <w:color w:val="000000"/>
          <w:sz w:val="24"/>
          <w:highlight w:val="none"/>
        </w:rPr>
      </w:pPr>
      <w:r>
        <w:rPr>
          <w:rFonts w:hint="eastAsia" w:ascii="宋体" w:hAnsi="宋体"/>
          <w:color w:val="000000"/>
          <w:sz w:val="24"/>
          <w:highlight w:val="none"/>
        </w:rPr>
        <w:t>供应商：（电子签章）</w:t>
      </w:r>
    </w:p>
    <w:p w14:paraId="1B268398">
      <w:pPr>
        <w:jc w:val="right"/>
        <w:rPr>
          <w:rFonts w:ascii="宋体" w:hAnsi="宋体"/>
          <w:color w:val="000000"/>
          <w:sz w:val="24"/>
          <w:highlight w:val="none"/>
        </w:rPr>
      </w:pPr>
      <w:r>
        <w:rPr>
          <w:rFonts w:hint="eastAsia" w:ascii="宋体" w:hAnsi="宋体"/>
          <w:color w:val="000000"/>
          <w:sz w:val="24"/>
          <w:highlight w:val="none"/>
        </w:rPr>
        <w:t>法定代表人或其委托代理人：（电子签章）</w:t>
      </w:r>
    </w:p>
    <w:p w14:paraId="3FCCB188">
      <w:pPr>
        <w:jc w:val="center"/>
        <w:rPr>
          <w:rFonts w:ascii="宋体" w:hAnsi="宋体"/>
          <w:b/>
          <w:bCs/>
          <w:color w:val="000000"/>
          <w:kern w:val="44"/>
          <w:sz w:val="32"/>
          <w:szCs w:val="32"/>
          <w:highlight w:val="none"/>
        </w:rPr>
      </w:pPr>
      <w:r>
        <w:rPr>
          <w:rFonts w:hint="eastAsia" w:ascii="宋体" w:hAnsi="宋体"/>
          <w:color w:val="000000"/>
          <w:sz w:val="24"/>
          <w:highlight w:val="none"/>
        </w:rPr>
        <w:t xml:space="preserve">                                                     年   月   日</w:t>
      </w:r>
    </w:p>
    <w:p w14:paraId="6F1D8914">
      <w:pPr>
        <w:spacing w:line="396" w:lineRule="auto"/>
        <w:jc w:val="center"/>
        <w:outlineLvl w:val="0"/>
        <w:rPr>
          <w:b/>
          <w:bCs/>
          <w:color w:val="000000"/>
          <w:kern w:val="44"/>
          <w:sz w:val="32"/>
          <w:szCs w:val="32"/>
          <w:highlight w:val="none"/>
        </w:rPr>
      </w:pPr>
      <w:bookmarkStart w:id="222" w:name="_Toc9326_WPSOffice_Level1"/>
      <w:bookmarkStart w:id="223" w:name="_Toc24265_WPSOffice_Level1"/>
      <w:r>
        <w:rPr>
          <w:rFonts w:hint="eastAsia" w:ascii="宋体" w:hAnsi="宋体"/>
          <w:b/>
          <w:bCs/>
          <w:color w:val="000000"/>
          <w:kern w:val="44"/>
          <w:sz w:val="32"/>
          <w:szCs w:val="32"/>
          <w:highlight w:val="none"/>
        </w:rPr>
        <w:br w:type="page"/>
      </w:r>
      <w:bookmarkStart w:id="224" w:name="_Toc12878"/>
      <w:r>
        <w:rPr>
          <w:rFonts w:hint="eastAsia" w:ascii="宋体" w:hAnsi="宋体"/>
          <w:b/>
          <w:bCs/>
          <w:color w:val="000000"/>
          <w:kern w:val="44"/>
          <w:sz w:val="32"/>
          <w:szCs w:val="32"/>
          <w:highlight w:val="none"/>
        </w:rPr>
        <w:t>三、法定代表人身份证明</w:t>
      </w:r>
      <w:bookmarkEnd w:id="222"/>
      <w:bookmarkEnd w:id="223"/>
      <w:bookmarkEnd w:id="224"/>
    </w:p>
    <w:p w14:paraId="185BFF94">
      <w:pPr>
        <w:spacing w:line="500" w:lineRule="exact"/>
        <w:rPr>
          <w:rFonts w:ascii="宋体" w:hAnsi="宋体"/>
          <w:color w:val="000000"/>
          <w:highlight w:val="none"/>
        </w:rPr>
      </w:pPr>
    </w:p>
    <w:p w14:paraId="6CD9E0B1">
      <w:pPr>
        <w:spacing w:line="500" w:lineRule="exact"/>
        <w:rPr>
          <w:rFonts w:ascii="宋体" w:hAnsi="宋体"/>
          <w:color w:val="000000"/>
          <w:sz w:val="24"/>
          <w:highlight w:val="none"/>
          <w:u w:val="single"/>
        </w:rPr>
      </w:pPr>
      <w:r>
        <w:rPr>
          <w:rFonts w:hint="eastAsia" w:ascii="宋体" w:hAnsi="宋体"/>
          <w:color w:val="000000"/>
          <w:sz w:val="24"/>
          <w:highlight w:val="none"/>
        </w:rPr>
        <w:t>供应商：</w:t>
      </w:r>
    </w:p>
    <w:p w14:paraId="7D8066B9">
      <w:pPr>
        <w:spacing w:line="500" w:lineRule="exact"/>
        <w:rPr>
          <w:rFonts w:ascii="宋体" w:hAnsi="宋体"/>
          <w:color w:val="000000"/>
          <w:sz w:val="24"/>
          <w:highlight w:val="none"/>
          <w:u w:val="single"/>
        </w:rPr>
      </w:pPr>
      <w:r>
        <w:rPr>
          <w:rFonts w:hint="eastAsia" w:ascii="宋体" w:hAnsi="宋体"/>
          <w:color w:val="000000"/>
          <w:sz w:val="24"/>
          <w:highlight w:val="none"/>
        </w:rPr>
        <w:t>单位性质：</w:t>
      </w:r>
    </w:p>
    <w:p w14:paraId="19604AFF">
      <w:pPr>
        <w:spacing w:line="500" w:lineRule="exact"/>
        <w:rPr>
          <w:rFonts w:ascii="宋体" w:hAnsi="宋体"/>
          <w:color w:val="000000"/>
          <w:sz w:val="24"/>
          <w:highlight w:val="none"/>
        </w:rPr>
      </w:pPr>
      <w:r>
        <w:rPr>
          <w:rFonts w:hint="eastAsia" w:ascii="宋体" w:hAnsi="宋体"/>
          <w:color w:val="000000"/>
          <w:sz w:val="24"/>
          <w:highlight w:val="none"/>
        </w:rPr>
        <w:t>地    址：</w:t>
      </w:r>
    </w:p>
    <w:p w14:paraId="5F11EE02">
      <w:pPr>
        <w:spacing w:line="500" w:lineRule="exact"/>
        <w:rPr>
          <w:rFonts w:ascii="宋体" w:hAnsi="宋体"/>
          <w:color w:val="000000"/>
          <w:sz w:val="24"/>
          <w:highlight w:val="none"/>
        </w:rPr>
      </w:pPr>
      <w:r>
        <w:rPr>
          <w:rFonts w:hint="eastAsia" w:ascii="宋体" w:hAnsi="宋体"/>
          <w:color w:val="000000"/>
          <w:sz w:val="24"/>
          <w:highlight w:val="none"/>
        </w:rPr>
        <w:t>成立时间：</w:t>
      </w:r>
    </w:p>
    <w:p w14:paraId="25E357BA">
      <w:pPr>
        <w:spacing w:line="500" w:lineRule="exact"/>
        <w:rPr>
          <w:rFonts w:ascii="宋体" w:hAnsi="宋体"/>
          <w:color w:val="000000"/>
          <w:sz w:val="24"/>
          <w:highlight w:val="none"/>
        </w:rPr>
      </w:pPr>
      <w:r>
        <w:rPr>
          <w:rFonts w:hint="eastAsia" w:ascii="宋体" w:hAnsi="宋体"/>
          <w:color w:val="000000"/>
          <w:sz w:val="24"/>
          <w:highlight w:val="none"/>
        </w:rPr>
        <w:t>经营期限：</w:t>
      </w:r>
    </w:p>
    <w:p w14:paraId="28977E44">
      <w:pPr>
        <w:spacing w:line="500" w:lineRule="exact"/>
        <w:rPr>
          <w:rFonts w:ascii="宋体" w:hAnsi="宋体"/>
          <w:color w:val="000000"/>
          <w:sz w:val="24"/>
          <w:highlight w:val="none"/>
          <w:u w:val="single"/>
        </w:rPr>
      </w:pPr>
      <w:r>
        <w:rPr>
          <w:rFonts w:hint="eastAsia" w:ascii="宋体" w:hAnsi="宋体"/>
          <w:color w:val="000000"/>
          <w:sz w:val="24"/>
          <w:highlight w:val="none"/>
        </w:rPr>
        <w:t>姓    名：性        别：</w:t>
      </w:r>
    </w:p>
    <w:p w14:paraId="6CBBB9AC">
      <w:pPr>
        <w:spacing w:line="500" w:lineRule="exact"/>
        <w:rPr>
          <w:rFonts w:ascii="宋体" w:hAnsi="宋体"/>
          <w:color w:val="000000"/>
          <w:sz w:val="24"/>
          <w:highlight w:val="none"/>
          <w:u w:val="single"/>
        </w:rPr>
      </w:pPr>
      <w:r>
        <w:rPr>
          <w:rFonts w:hint="eastAsia" w:ascii="宋体" w:hAnsi="宋体"/>
          <w:color w:val="000000"/>
          <w:sz w:val="24"/>
          <w:highlight w:val="none"/>
        </w:rPr>
        <w:t>年    龄：职        务：</w:t>
      </w:r>
    </w:p>
    <w:p w14:paraId="46564B5A">
      <w:pPr>
        <w:spacing w:line="500" w:lineRule="exact"/>
        <w:rPr>
          <w:rFonts w:ascii="宋体" w:hAnsi="宋体"/>
          <w:color w:val="000000"/>
          <w:sz w:val="24"/>
          <w:highlight w:val="none"/>
        </w:rPr>
      </w:pPr>
      <w:r>
        <w:rPr>
          <w:rFonts w:hint="eastAsia" w:ascii="宋体" w:hAnsi="宋体"/>
          <w:color w:val="000000"/>
          <w:sz w:val="24"/>
          <w:highlight w:val="none"/>
        </w:rPr>
        <w:t>系      （</w:t>
      </w:r>
      <w:r>
        <w:rPr>
          <w:rFonts w:hint="eastAsia" w:ascii="宋体" w:hAnsi="宋体" w:cs="宋体"/>
          <w:sz w:val="24"/>
          <w:highlight w:val="none"/>
        </w:rPr>
        <w:t>供应商</w:t>
      </w:r>
      <w:r>
        <w:rPr>
          <w:rFonts w:hint="eastAsia" w:ascii="宋体" w:hAnsi="宋体"/>
          <w:color w:val="000000"/>
          <w:sz w:val="24"/>
          <w:highlight w:val="none"/>
        </w:rPr>
        <w:t>名称）的法定代表人。</w:t>
      </w:r>
    </w:p>
    <w:p w14:paraId="000B786B">
      <w:pPr>
        <w:spacing w:line="500" w:lineRule="exact"/>
        <w:rPr>
          <w:rFonts w:ascii="宋体" w:hAnsi="宋体"/>
          <w:color w:val="000000"/>
          <w:sz w:val="24"/>
          <w:highlight w:val="none"/>
        </w:rPr>
      </w:pPr>
      <w:r>
        <w:rPr>
          <w:rFonts w:hint="eastAsia" w:ascii="宋体" w:hAnsi="宋体"/>
          <w:color w:val="000000"/>
          <w:sz w:val="24"/>
          <w:highlight w:val="none"/>
        </w:rPr>
        <w:t>特此证明。</w:t>
      </w:r>
    </w:p>
    <w:p w14:paraId="348E9259">
      <w:pPr>
        <w:spacing w:line="500" w:lineRule="exact"/>
        <w:rPr>
          <w:rFonts w:ascii="宋体" w:hAnsi="宋体"/>
          <w:color w:val="000000"/>
          <w:sz w:val="24"/>
          <w:highlight w:val="none"/>
        </w:rPr>
      </w:pPr>
    </w:p>
    <w:p w14:paraId="081A833C">
      <w:pPr>
        <w:spacing w:line="500" w:lineRule="exact"/>
        <w:rPr>
          <w:rFonts w:ascii="宋体" w:hAnsi="宋体"/>
          <w:color w:val="000000"/>
          <w:sz w:val="24"/>
          <w:highlight w:val="none"/>
        </w:rPr>
      </w:pPr>
    </w:p>
    <w:p w14:paraId="0775EF9C">
      <w:pPr>
        <w:wordWrap w:val="0"/>
        <w:spacing w:line="500" w:lineRule="exact"/>
        <w:jc w:val="right"/>
        <w:rPr>
          <w:rFonts w:ascii="宋体" w:hAnsi="宋体"/>
          <w:color w:val="000000"/>
          <w:sz w:val="24"/>
          <w:highlight w:val="none"/>
        </w:rPr>
      </w:pPr>
      <w:r>
        <w:rPr>
          <w:rFonts w:hint="eastAsia" w:ascii="宋体" w:hAnsi="宋体"/>
          <w:color w:val="000000"/>
          <w:sz w:val="24"/>
          <w:highlight w:val="none"/>
        </w:rPr>
        <w:t>供应商：（电子签章）</w:t>
      </w:r>
    </w:p>
    <w:p w14:paraId="77E8CC48">
      <w:pPr>
        <w:wordWrap w:val="0"/>
        <w:spacing w:line="500" w:lineRule="exact"/>
        <w:jc w:val="right"/>
        <w:rPr>
          <w:rFonts w:ascii="宋体" w:hAnsi="宋体"/>
          <w:color w:val="000000"/>
          <w:sz w:val="24"/>
          <w:highlight w:val="none"/>
        </w:rPr>
      </w:pPr>
    </w:p>
    <w:p w14:paraId="01217280">
      <w:pPr>
        <w:wordWrap w:val="0"/>
        <w:spacing w:line="500" w:lineRule="exact"/>
        <w:jc w:val="right"/>
        <w:rPr>
          <w:rFonts w:ascii="宋体" w:hAnsi="宋体"/>
          <w:color w:val="000000"/>
          <w:sz w:val="24"/>
          <w:highlight w:val="none"/>
        </w:rPr>
      </w:pPr>
      <w:r>
        <w:rPr>
          <w:rFonts w:hint="eastAsia" w:ascii="宋体" w:hAnsi="宋体"/>
          <w:color w:val="000000"/>
          <w:sz w:val="24"/>
          <w:highlight w:val="none"/>
        </w:rPr>
        <w:t xml:space="preserve">年    月   日          </w:t>
      </w:r>
    </w:p>
    <w:p w14:paraId="4AEC0253">
      <w:pPr>
        <w:rPr>
          <w:color w:val="000000"/>
          <w:sz w:val="24"/>
          <w:highlight w:val="none"/>
        </w:rPr>
      </w:pPr>
      <w:bookmarkStart w:id="225" w:name="_Toc466566719"/>
      <w:bookmarkEnd w:id="225"/>
      <w:bookmarkStart w:id="226" w:name="_Toc466566809"/>
      <w:bookmarkEnd w:id="226"/>
    </w:p>
    <w:p w14:paraId="089CF8D7">
      <w:pPr>
        <w:rPr>
          <w:color w:val="000000"/>
          <w:highlight w:val="none"/>
        </w:rPr>
      </w:pPr>
    </w:p>
    <w:p w14:paraId="1481B994">
      <w:pPr>
        <w:rPr>
          <w:color w:val="000000"/>
          <w:highlight w:val="none"/>
        </w:rPr>
      </w:pPr>
    </w:p>
    <w:p w14:paraId="7BCE00C0">
      <w:pPr>
        <w:rPr>
          <w:color w:val="000000"/>
          <w:highlight w:val="none"/>
        </w:rPr>
      </w:pPr>
    </w:p>
    <w:p w14:paraId="434C1C56">
      <w:pPr>
        <w:rPr>
          <w:color w:val="000000"/>
          <w:highlight w:val="none"/>
        </w:rPr>
      </w:pPr>
    </w:p>
    <w:p w14:paraId="4AD1AA5C">
      <w:pPr>
        <w:rPr>
          <w:color w:val="000000"/>
          <w:highlight w:val="none"/>
        </w:rPr>
      </w:pPr>
    </w:p>
    <w:p w14:paraId="58E17905">
      <w:pPr>
        <w:rPr>
          <w:color w:val="000000"/>
          <w:highlight w:val="none"/>
        </w:rPr>
      </w:pPr>
    </w:p>
    <w:p w14:paraId="56227940">
      <w:pPr>
        <w:rPr>
          <w:color w:val="000000"/>
          <w:highlight w:val="none"/>
        </w:rPr>
      </w:pPr>
    </w:p>
    <w:p w14:paraId="10CAF1DF">
      <w:pPr>
        <w:rPr>
          <w:color w:val="000000"/>
          <w:highlight w:val="none"/>
        </w:rPr>
      </w:pPr>
    </w:p>
    <w:p w14:paraId="6DFB3A4D">
      <w:pPr>
        <w:rPr>
          <w:color w:val="000000"/>
          <w:highlight w:val="none"/>
        </w:rPr>
      </w:pPr>
    </w:p>
    <w:p w14:paraId="0419260E">
      <w:pPr>
        <w:rPr>
          <w:color w:val="000000"/>
          <w:highlight w:val="none"/>
        </w:rPr>
      </w:pPr>
    </w:p>
    <w:p w14:paraId="5E061B4A">
      <w:pPr>
        <w:rPr>
          <w:color w:val="000000"/>
          <w:highlight w:val="none"/>
        </w:rPr>
      </w:pPr>
    </w:p>
    <w:p w14:paraId="6458BDC9">
      <w:pPr>
        <w:rPr>
          <w:color w:val="000000"/>
          <w:highlight w:val="none"/>
        </w:rPr>
      </w:pPr>
    </w:p>
    <w:p w14:paraId="2A60F60D">
      <w:pPr>
        <w:keepNext/>
        <w:keepLines/>
        <w:spacing w:line="660" w:lineRule="exact"/>
        <w:jc w:val="center"/>
        <w:outlineLvl w:val="0"/>
        <w:rPr>
          <w:b/>
          <w:bCs/>
          <w:color w:val="000000"/>
          <w:kern w:val="44"/>
          <w:sz w:val="28"/>
          <w:highlight w:val="none"/>
        </w:rPr>
      </w:pPr>
      <w:r>
        <w:rPr>
          <w:rFonts w:hint="eastAsia"/>
          <w:b/>
          <w:bCs/>
          <w:color w:val="000000"/>
          <w:kern w:val="44"/>
          <w:sz w:val="28"/>
          <w:highlight w:val="none"/>
        </w:rPr>
        <w:br w:type="page"/>
      </w:r>
      <w:bookmarkStart w:id="227" w:name="_Toc12151"/>
      <w:bookmarkStart w:id="228" w:name="_Toc20977"/>
      <w:bookmarkStart w:id="229" w:name="_Toc30554_WPSOffice_Level1"/>
      <w:bookmarkStart w:id="230" w:name="_Toc29951"/>
      <w:bookmarkStart w:id="231" w:name="_Toc27519"/>
      <w:bookmarkStart w:id="232" w:name="_Toc18398_WPSOffice_Level1"/>
      <w:r>
        <w:rPr>
          <w:rFonts w:hint="eastAsia" w:ascii="宋体" w:hAnsi="宋体"/>
          <w:b/>
          <w:bCs/>
          <w:color w:val="000000"/>
          <w:kern w:val="44"/>
          <w:sz w:val="28"/>
          <w:highlight w:val="none"/>
        </w:rPr>
        <w:t>四、授权委托书</w:t>
      </w:r>
      <w:bookmarkEnd w:id="227"/>
      <w:bookmarkEnd w:id="228"/>
      <w:bookmarkEnd w:id="229"/>
      <w:bookmarkEnd w:id="230"/>
      <w:bookmarkEnd w:id="231"/>
      <w:bookmarkEnd w:id="232"/>
    </w:p>
    <w:p w14:paraId="13815E67">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本人</w:t>
      </w:r>
      <w:r>
        <w:rPr>
          <w:rFonts w:hint="eastAsia" w:ascii="宋体" w:hAnsi="宋体"/>
          <w:color w:val="000000"/>
          <w:sz w:val="24"/>
          <w:highlight w:val="none"/>
          <w:u w:val="single"/>
        </w:rPr>
        <w:t xml:space="preserve">      </w:t>
      </w:r>
      <w:r>
        <w:rPr>
          <w:rFonts w:hint="eastAsia" w:ascii="宋体" w:hAnsi="宋体"/>
          <w:color w:val="000000"/>
          <w:sz w:val="24"/>
          <w:highlight w:val="none"/>
        </w:rPr>
        <w:t>（姓名）系</w:t>
      </w:r>
      <w:r>
        <w:rPr>
          <w:rFonts w:hint="eastAsia" w:ascii="宋体" w:hAnsi="宋体"/>
          <w:color w:val="000000"/>
          <w:sz w:val="24"/>
          <w:highlight w:val="none"/>
          <w:u w:val="single"/>
        </w:rPr>
        <w:t xml:space="preserve">       </w:t>
      </w:r>
      <w:r>
        <w:rPr>
          <w:rFonts w:hint="eastAsia" w:ascii="宋体" w:hAnsi="宋体"/>
          <w:color w:val="000000"/>
          <w:sz w:val="24"/>
          <w:highlight w:val="none"/>
        </w:rPr>
        <w:t>（</w:t>
      </w:r>
      <w:r>
        <w:rPr>
          <w:rFonts w:hint="eastAsia" w:ascii="宋体" w:hAnsi="宋体" w:cs="宋体"/>
          <w:sz w:val="24"/>
          <w:highlight w:val="none"/>
        </w:rPr>
        <w:t>供应商</w:t>
      </w:r>
      <w:r>
        <w:rPr>
          <w:rFonts w:hint="eastAsia" w:ascii="宋体" w:hAnsi="宋体"/>
          <w:color w:val="000000"/>
          <w:sz w:val="24"/>
          <w:highlight w:val="none"/>
        </w:rPr>
        <w:t>名称）的法定代表人，现委托</w:t>
      </w:r>
      <w:r>
        <w:rPr>
          <w:rFonts w:hint="eastAsia" w:ascii="宋体" w:hAnsi="宋体"/>
          <w:color w:val="000000"/>
          <w:sz w:val="24"/>
          <w:highlight w:val="none"/>
          <w:u w:val="single"/>
        </w:rPr>
        <w:t xml:space="preserve">     </w:t>
      </w:r>
      <w:r>
        <w:rPr>
          <w:rFonts w:hint="eastAsia" w:ascii="宋体" w:hAnsi="宋体"/>
          <w:color w:val="000000"/>
          <w:sz w:val="24"/>
          <w:highlight w:val="none"/>
        </w:rPr>
        <w:t>（姓名）为我方代理人。代理人根据授权，以我方名义签署、澄清、说明、补正、递交、撤回、修改</w:t>
      </w:r>
      <w:r>
        <w:rPr>
          <w:rFonts w:hint="eastAsia" w:ascii="宋体" w:hAnsi="宋体"/>
          <w:color w:val="000000"/>
          <w:sz w:val="24"/>
          <w:highlight w:val="none"/>
          <w:u w:val="single"/>
        </w:rPr>
        <w:t xml:space="preserve">         </w:t>
      </w:r>
      <w:r>
        <w:rPr>
          <w:rFonts w:hint="eastAsia" w:ascii="宋体" w:hAnsi="宋体"/>
          <w:color w:val="000000"/>
          <w:sz w:val="24"/>
          <w:highlight w:val="none"/>
        </w:rPr>
        <w:t>（项目名称）</w:t>
      </w:r>
      <w:r>
        <w:rPr>
          <w:rFonts w:hint="eastAsia" w:ascii="宋体" w:hAnsi="宋体"/>
          <w:color w:val="000000"/>
          <w:sz w:val="24"/>
          <w:highlight w:val="none"/>
          <w:u w:val="single"/>
        </w:rPr>
        <w:t xml:space="preserve">         </w:t>
      </w:r>
      <w:r>
        <w:rPr>
          <w:rFonts w:hint="eastAsia" w:ascii="宋体" w:hAnsi="宋体"/>
          <w:color w:val="000000"/>
          <w:sz w:val="24"/>
          <w:highlight w:val="none"/>
        </w:rPr>
        <w:t>标段（所投标段）响应文件、签订合同和处理有关事宜，其法律后果由我方承担。</w:t>
      </w:r>
    </w:p>
    <w:p w14:paraId="365C0A1F">
      <w:pPr>
        <w:spacing w:before="317" w:beforeLines="100" w:after="317" w:afterLines="100" w:line="500" w:lineRule="exact"/>
        <w:ind w:firstLine="480" w:firstLineChars="200"/>
        <w:rPr>
          <w:rFonts w:ascii="宋体" w:hAnsi="宋体"/>
          <w:color w:val="000000"/>
          <w:sz w:val="24"/>
          <w:highlight w:val="none"/>
        </w:rPr>
      </w:pPr>
      <w:r>
        <w:rPr>
          <w:rFonts w:hint="eastAsia" w:ascii="宋体" w:hAnsi="宋体"/>
          <w:color w:val="000000"/>
          <w:sz w:val="24"/>
          <w:highlight w:val="none"/>
        </w:rPr>
        <w:t>代理人无转委托权。</w:t>
      </w:r>
    </w:p>
    <w:p w14:paraId="114E308B">
      <w:pPr>
        <w:spacing w:after="317" w:afterLines="100" w:line="500" w:lineRule="exact"/>
        <w:ind w:firstLine="480" w:firstLineChars="200"/>
        <w:rPr>
          <w:rFonts w:ascii="宋体" w:hAnsi="宋体"/>
          <w:color w:val="000000"/>
          <w:sz w:val="24"/>
          <w:highlight w:val="none"/>
        </w:rPr>
      </w:pPr>
      <w:r>
        <w:rPr>
          <w:rFonts w:hint="eastAsia" w:ascii="宋体" w:hAnsi="宋体"/>
          <w:color w:val="000000"/>
          <w:sz w:val="24"/>
          <w:highlight w:val="none"/>
        </w:rPr>
        <w:t>附：法定代表人身份证复印件、被授权委托人身份证复印件</w:t>
      </w:r>
    </w:p>
    <w:p w14:paraId="3A0F1072">
      <w:pPr>
        <w:spacing w:line="500" w:lineRule="exact"/>
        <w:rPr>
          <w:rFonts w:ascii="宋体" w:hAnsi="宋体"/>
          <w:color w:val="000000"/>
          <w:sz w:val="24"/>
          <w:highlight w:val="none"/>
        </w:rPr>
      </w:pPr>
    </w:p>
    <w:p w14:paraId="373C331E">
      <w:pPr>
        <w:ind w:firstLine="2700" w:firstLineChars="1125"/>
        <w:rPr>
          <w:rFonts w:ascii="宋体" w:hAnsi="宋体"/>
          <w:color w:val="000000"/>
          <w:sz w:val="24"/>
          <w:highlight w:val="none"/>
        </w:rPr>
      </w:pPr>
      <w:r>
        <w:rPr>
          <w:rFonts w:hint="eastAsia" w:ascii="宋体" w:hAnsi="宋体"/>
          <w:color w:val="000000"/>
          <w:sz w:val="24"/>
          <w:highlight w:val="none"/>
        </w:rPr>
        <w:t>供应商：（电子签章）</w:t>
      </w:r>
    </w:p>
    <w:p w14:paraId="6A7E457E">
      <w:pPr>
        <w:ind w:firstLine="2700" w:firstLineChars="1125"/>
        <w:rPr>
          <w:rFonts w:ascii="宋体" w:hAnsi="宋体"/>
          <w:color w:val="000000"/>
          <w:sz w:val="24"/>
          <w:highlight w:val="none"/>
        </w:rPr>
      </w:pPr>
    </w:p>
    <w:p w14:paraId="35233201">
      <w:pPr>
        <w:ind w:firstLine="2700" w:firstLineChars="1125"/>
        <w:rPr>
          <w:rFonts w:ascii="宋体" w:hAnsi="宋体"/>
          <w:color w:val="000000"/>
          <w:sz w:val="24"/>
          <w:highlight w:val="none"/>
        </w:rPr>
      </w:pPr>
      <w:r>
        <w:rPr>
          <w:rFonts w:hint="eastAsia" w:ascii="宋体" w:hAnsi="宋体"/>
          <w:color w:val="000000"/>
          <w:sz w:val="24"/>
          <w:highlight w:val="none"/>
        </w:rPr>
        <w:t>法定代表人或其委托代理人：（电子签章）</w:t>
      </w:r>
    </w:p>
    <w:p w14:paraId="04622D2A">
      <w:pPr>
        <w:ind w:firstLine="2700" w:firstLineChars="1125"/>
        <w:rPr>
          <w:rFonts w:ascii="宋体" w:hAnsi="宋体"/>
          <w:color w:val="000000"/>
          <w:sz w:val="24"/>
          <w:highlight w:val="none"/>
        </w:rPr>
      </w:pPr>
    </w:p>
    <w:p w14:paraId="5F429194">
      <w:pPr>
        <w:ind w:firstLine="2700" w:firstLineChars="1125"/>
        <w:rPr>
          <w:rFonts w:ascii="宋体" w:hAnsi="宋体"/>
          <w:color w:val="000000"/>
          <w:sz w:val="24"/>
          <w:highlight w:val="none"/>
        </w:rPr>
      </w:pPr>
    </w:p>
    <w:p w14:paraId="54728301">
      <w:pPr>
        <w:ind w:firstLine="4380" w:firstLineChars="1825"/>
        <w:rPr>
          <w:rFonts w:ascii="宋体" w:hAnsi="宋体"/>
          <w:color w:val="000000"/>
          <w:sz w:val="24"/>
          <w:highlight w:val="none"/>
        </w:rPr>
      </w:pPr>
      <w:r>
        <w:rPr>
          <w:rFonts w:hint="eastAsia" w:ascii="宋体" w:hAnsi="宋体"/>
          <w:color w:val="000000"/>
          <w:sz w:val="24"/>
          <w:highlight w:val="none"/>
        </w:rPr>
        <w:t>年  月  日</w:t>
      </w:r>
    </w:p>
    <w:p w14:paraId="5BB86ED0">
      <w:pPr>
        <w:widowControl/>
        <w:jc w:val="left"/>
        <w:rPr>
          <w:rFonts w:ascii="宋体" w:hAnsi="宋体"/>
          <w:color w:val="000000"/>
          <w:kern w:val="0"/>
          <w:sz w:val="24"/>
          <w:highlight w:val="none"/>
        </w:rPr>
      </w:pPr>
    </w:p>
    <w:p w14:paraId="2C59F348">
      <w:pPr>
        <w:widowControl/>
        <w:jc w:val="left"/>
        <w:rPr>
          <w:rFonts w:ascii="宋体" w:hAnsi="宋体"/>
          <w:color w:val="000000"/>
          <w:kern w:val="0"/>
          <w:sz w:val="24"/>
          <w:highlight w:val="none"/>
        </w:rPr>
      </w:pPr>
    </w:p>
    <w:p w14:paraId="61DF4C52">
      <w:pPr>
        <w:widowControl/>
        <w:jc w:val="left"/>
        <w:rPr>
          <w:rFonts w:ascii="宋体" w:hAnsi="宋体"/>
          <w:color w:val="000000"/>
          <w:kern w:val="0"/>
          <w:sz w:val="24"/>
          <w:highlight w:val="none"/>
        </w:rPr>
      </w:pPr>
    </w:p>
    <w:p w14:paraId="105C6CCD">
      <w:pPr>
        <w:rPr>
          <w:rFonts w:ascii="宋体" w:hAnsi="宋体"/>
          <w:color w:val="000000"/>
          <w:highlight w:val="none"/>
        </w:rPr>
        <w:sectPr>
          <w:footerReference r:id="rId6" w:type="first"/>
          <w:footerReference r:id="rId5" w:type="default"/>
          <w:pgSz w:w="11906" w:h="16838"/>
          <w:pgMar w:top="1440" w:right="1361" w:bottom="1440" w:left="1587" w:header="851" w:footer="992" w:gutter="0"/>
          <w:pgNumType w:start="1"/>
          <w:cols w:space="720" w:num="1"/>
          <w:docGrid w:type="lines" w:linePitch="317" w:charSpace="0"/>
        </w:sectPr>
      </w:pPr>
    </w:p>
    <w:p w14:paraId="3C0F40B6">
      <w:pPr>
        <w:spacing w:line="540" w:lineRule="exact"/>
        <w:jc w:val="center"/>
        <w:rPr>
          <w:rFonts w:ascii="宋体" w:hAnsi="宋体" w:cs="宋体"/>
          <w:b/>
          <w:sz w:val="32"/>
          <w:szCs w:val="32"/>
          <w:highlight w:val="none"/>
        </w:rPr>
      </w:pPr>
      <w:bookmarkStart w:id="233" w:name="_Toc27298"/>
      <w:bookmarkStart w:id="234" w:name="_Toc27393"/>
      <w:bookmarkStart w:id="235" w:name="_Toc8764_WPSOffice_Level1"/>
      <w:bookmarkStart w:id="236" w:name="_Toc29941_WPSOffice_Level1"/>
      <w:bookmarkStart w:id="237" w:name="_Toc5638"/>
      <w:bookmarkStart w:id="238" w:name="_Toc466566721"/>
      <w:bookmarkStart w:id="239" w:name="_Toc23737"/>
      <w:r>
        <w:rPr>
          <w:rFonts w:hint="eastAsia" w:ascii="宋体" w:hAnsi="宋体" w:cs="宋体"/>
          <w:b/>
          <w:bCs/>
          <w:sz w:val="32"/>
          <w:szCs w:val="32"/>
          <w:highlight w:val="none"/>
        </w:rPr>
        <w:t>五、</w:t>
      </w:r>
      <w:r>
        <w:rPr>
          <w:rFonts w:hint="eastAsia" w:ascii="宋体" w:hAnsi="宋体" w:cs="宋体"/>
          <w:b/>
          <w:sz w:val="32"/>
          <w:szCs w:val="32"/>
          <w:highlight w:val="none"/>
        </w:rPr>
        <w:t>磋商承诺函</w:t>
      </w:r>
    </w:p>
    <w:p w14:paraId="4A43A9B2">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致（采购人及采购代理机构）：</w:t>
      </w:r>
    </w:p>
    <w:p w14:paraId="0944B3D7">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我公司作为本次采购项目的供应商，根据招标文件要求，现郑重承诺如下：</w:t>
      </w:r>
    </w:p>
    <w:p w14:paraId="04965E3B">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一、具备《中华人民共和国政府采购法》第二十二条第一款和本项目规定的条件：</w:t>
      </w:r>
    </w:p>
    <w:p w14:paraId="116AB9C5">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（一）具有独立承担民事责任的能力；</w:t>
      </w:r>
    </w:p>
    <w:p w14:paraId="14D4EBC9">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（二）具有良好的商业信誉和健全的财务会计制度；</w:t>
      </w:r>
    </w:p>
    <w:p w14:paraId="66244D25">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（三）具有履行合同所必需的设备和专业技术能力；</w:t>
      </w:r>
    </w:p>
    <w:p w14:paraId="2C14F172">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（四）有依法缴纳税收和社会保障资金的良好记录；</w:t>
      </w:r>
    </w:p>
    <w:p w14:paraId="17805127">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（五）参加政府采购活动前三年内，在经营活动中没有重大违法记录；</w:t>
      </w:r>
    </w:p>
    <w:p w14:paraId="61FFBB30">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（六）法律、行政法规规定的其他条件；</w:t>
      </w:r>
    </w:p>
    <w:p w14:paraId="1FD8708A">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（七）根据采购项目提出的特殊条件。</w:t>
      </w:r>
    </w:p>
    <w:p w14:paraId="1B781AF0">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970A01F">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三、参加本次招标采购活动，不存在与单位负责人为同一人或者存在直接控股、管理关系的其他供应商参与同一合同项下的政府采购活动的行为。</w:t>
      </w:r>
    </w:p>
    <w:p w14:paraId="5E9B9467">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四、参加本次招标采购活动，不存在为采购项目提供整体设计、规范编制或者项目管理、监理、检测等服务的行为。</w:t>
      </w:r>
    </w:p>
    <w:p w14:paraId="67FA9689">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五、参加本次招标采购活动，不存在和其他供应商在同一合同项下的采购项目中，同时委托同一个自然人、同一家庭的人员、同一单位的人员作为代理人的行为。</w:t>
      </w:r>
    </w:p>
    <w:p w14:paraId="292F48F6">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六、供应商参加本次政府采购活动要求在近三年内供应商和其法定代表人没有行贿犯罪行为。</w:t>
      </w:r>
    </w:p>
    <w:p w14:paraId="5B8263B0">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七、参加本次招标采购活动，不存在联合体投标。</w:t>
      </w:r>
    </w:p>
    <w:p w14:paraId="62BB6E74">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八、投标文件中提供的能够给予我公司带来优惠、好处的任何材料资料和技术、服务、商务等响应承诺情况都是真实的、有效的、合法的。</w:t>
      </w:r>
    </w:p>
    <w:p w14:paraId="4CD721CE">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19CEBC38">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十、存在以下行为之一的愿意接受相关部门的处理：</w:t>
      </w:r>
    </w:p>
    <w:p w14:paraId="2C7E2975">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（一）磋商有效期内撤销投标文件的；</w:t>
      </w:r>
    </w:p>
    <w:p w14:paraId="12A88B3B">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（二）在采购人确定中标人以前放弃中标候选资格的；</w:t>
      </w:r>
    </w:p>
    <w:p w14:paraId="2EA1D2AD">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（三）由于中标人的原因未能按照招标文件的规定与采购人签订合同；</w:t>
      </w:r>
    </w:p>
    <w:p w14:paraId="1D30C8B0">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（四）在投标文件中提供虚假材料谋取中标；</w:t>
      </w:r>
    </w:p>
    <w:p w14:paraId="48770FE6">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（五）与采购人、其他供应商或者采购代理机构恶意串通的；</w:t>
      </w:r>
    </w:p>
    <w:p w14:paraId="6ED05F56">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（六）磋商有效期内，供应商在政府采购活动中有违法、违规、违纪行为。</w:t>
      </w:r>
    </w:p>
    <w:p w14:paraId="7845D84E">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由此产生的一切法律后果和责任由我公司承担。我公司声明放弃对此提出任何异议和追索的权利。</w:t>
      </w:r>
    </w:p>
    <w:p w14:paraId="31EE04DF">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本公司对上述承诺的内容事项真实性负责。如经查实上述承诺的内容事项存在虚假，我公司愿意接受以提供虚假材料谋取中标追究法律责任。</w:t>
      </w:r>
    </w:p>
    <w:p w14:paraId="781F1B55">
      <w:pPr>
        <w:spacing w:line="360" w:lineRule="auto"/>
        <w:ind w:firstLine="480" w:firstLineChars="200"/>
        <w:rPr>
          <w:rFonts w:ascii="宋体" w:hAnsi="宋体" w:cs="宋体"/>
          <w:sz w:val="24"/>
          <w:szCs w:val="32"/>
          <w:highlight w:val="none"/>
        </w:rPr>
      </w:pPr>
    </w:p>
    <w:p w14:paraId="0BAF246E">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供应商名称：（</w:t>
      </w:r>
      <w:r>
        <w:rPr>
          <w:rFonts w:hint="eastAsia" w:ascii="宋体" w:hAnsi="宋体"/>
          <w:color w:val="000000"/>
          <w:sz w:val="24"/>
          <w:highlight w:val="none"/>
        </w:rPr>
        <w:t>电子签章</w:t>
      </w:r>
      <w:r>
        <w:rPr>
          <w:rFonts w:hint="eastAsia" w:ascii="宋体" w:hAnsi="宋体" w:cs="宋体"/>
          <w:sz w:val="24"/>
          <w:szCs w:val="32"/>
          <w:highlight w:val="none"/>
        </w:rPr>
        <w:t>）</w:t>
      </w:r>
    </w:p>
    <w:p w14:paraId="5DD83F00">
      <w:pPr>
        <w:spacing w:line="360" w:lineRule="auto"/>
        <w:ind w:firstLine="480" w:firstLineChars="200"/>
        <w:rPr>
          <w:rFonts w:ascii="宋体" w:hAnsi="宋体" w:cs="宋体"/>
          <w:sz w:val="24"/>
          <w:szCs w:val="32"/>
          <w:highlight w:val="none"/>
        </w:rPr>
      </w:pPr>
      <w:r>
        <w:rPr>
          <w:rFonts w:hint="eastAsia" w:ascii="宋体" w:hAnsi="宋体"/>
          <w:color w:val="000000"/>
          <w:sz w:val="24"/>
          <w:highlight w:val="none"/>
        </w:rPr>
        <w:t>法定代表人或其委托代理人</w:t>
      </w:r>
      <w:r>
        <w:rPr>
          <w:rFonts w:hint="eastAsia" w:ascii="宋体" w:hAnsi="宋体" w:cs="宋体"/>
          <w:sz w:val="24"/>
          <w:szCs w:val="32"/>
          <w:highlight w:val="none"/>
        </w:rPr>
        <w:t>：（</w:t>
      </w:r>
      <w:r>
        <w:rPr>
          <w:rFonts w:hint="eastAsia" w:ascii="宋体" w:hAnsi="宋体"/>
          <w:color w:val="000000"/>
          <w:sz w:val="24"/>
          <w:highlight w:val="none"/>
        </w:rPr>
        <w:t>电子签章</w:t>
      </w:r>
      <w:r>
        <w:rPr>
          <w:rFonts w:hint="eastAsia" w:ascii="宋体" w:hAnsi="宋体" w:cs="宋体"/>
          <w:sz w:val="24"/>
          <w:szCs w:val="32"/>
          <w:highlight w:val="none"/>
        </w:rPr>
        <w:t>）</w:t>
      </w:r>
    </w:p>
    <w:p w14:paraId="349079C3">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日期：</w:t>
      </w:r>
    </w:p>
    <w:p w14:paraId="5A5275CF">
      <w:pPr>
        <w:rPr>
          <w:rFonts w:ascii="宋体" w:hAnsi="宋体"/>
          <w:b/>
          <w:bCs/>
          <w:color w:val="000000"/>
          <w:kern w:val="44"/>
          <w:sz w:val="28"/>
          <w:highlight w:val="none"/>
        </w:rPr>
      </w:pPr>
    </w:p>
    <w:p w14:paraId="10047B2C">
      <w:pPr>
        <w:rPr>
          <w:rFonts w:ascii="宋体" w:hAnsi="宋体"/>
          <w:b/>
          <w:bCs/>
          <w:color w:val="000000"/>
          <w:kern w:val="44"/>
          <w:sz w:val="28"/>
          <w:highlight w:val="none"/>
        </w:rPr>
      </w:pPr>
      <w:r>
        <w:rPr>
          <w:rFonts w:hint="eastAsia" w:ascii="宋体" w:hAnsi="宋体"/>
          <w:b/>
          <w:bCs/>
          <w:color w:val="000000"/>
          <w:kern w:val="44"/>
          <w:sz w:val="28"/>
          <w:highlight w:val="none"/>
        </w:rPr>
        <w:br w:type="page"/>
      </w:r>
    </w:p>
    <w:p w14:paraId="24E22893">
      <w:pPr>
        <w:jc w:val="center"/>
        <w:rPr>
          <w:rFonts w:ascii="宋体" w:hAnsi="宋体"/>
          <w:b/>
          <w:bCs/>
          <w:color w:val="000000"/>
          <w:kern w:val="44"/>
          <w:sz w:val="28"/>
          <w:highlight w:val="none"/>
        </w:rPr>
      </w:pPr>
      <w:r>
        <w:rPr>
          <w:rFonts w:hint="eastAsia" w:ascii="宋体" w:hAnsi="宋体"/>
          <w:b/>
          <w:bCs/>
          <w:color w:val="000000"/>
          <w:kern w:val="44"/>
          <w:sz w:val="28"/>
          <w:highlight w:val="none"/>
        </w:rPr>
        <w:t>六、供应商资格审查资料</w:t>
      </w:r>
    </w:p>
    <w:p w14:paraId="1B4673CF">
      <w:pPr>
        <w:widowControl/>
        <w:spacing w:line="480" w:lineRule="exact"/>
        <w:ind w:firstLine="480" w:firstLineChars="200"/>
        <w:rPr>
          <w:rFonts w:ascii="宋体" w:hAnsi="宋体" w:cs="宋体"/>
          <w:bCs/>
          <w:sz w:val="24"/>
          <w:highlight w:val="none"/>
        </w:rPr>
      </w:pPr>
    </w:p>
    <w:p w14:paraId="28DC0E80">
      <w:pP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br w:type="page"/>
      </w:r>
    </w:p>
    <w:p w14:paraId="0A44A5EF">
      <w:pPr>
        <w:keepNext/>
        <w:keepLines/>
        <w:spacing w:line="660" w:lineRule="exact"/>
        <w:jc w:val="center"/>
        <w:outlineLvl w:val="0"/>
        <w:rPr>
          <w:rFonts w:ascii="宋体" w:hAnsi="宋体"/>
          <w:b/>
          <w:bCs/>
          <w:color w:val="000000"/>
          <w:kern w:val="44"/>
          <w:sz w:val="28"/>
          <w:highlight w:val="none"/>
        </w:rPr>
      </w:pPr>
      <w:r>
        <w:rPr>
          <w:rFonts w:hint="eastAsia" w:ascii="宋体" w:hAnsi="宋体"/>
          <w:b/>
          <w:bCs/>
          <w:color w:val="000000"/>
          <w:kern w:val="44"/>
          <w:sz w:val="28"/>
          <w:highlight w:val="none"/>
        </w:rPr>
        <w:t>七、</w:t>
      </w:r>
      <w:bookmarkEnd w:id="233"/>
      <w:bookmarkEnd w:id="234"/>
      <w:bookmarkEnd w:id="235"/>
      <w:bookmarkEnd w:id="236"/>
      <w:bookmarkEnd w:id="237"/>
      <w:bookmarkEnd w:id="238"/>
      <w:bookmarkEnd w:id="239"/>
      <w:r>
        <w:rPr>
          <w:rFonts w:hint="eastAsia" w:ascii="宋体" w:hAnsi="宋体"/>
          <w:b/>
          <w:bCs/>
          <w:color w:val="000000"/>
          <w:kern w:val="44"/>
          <w:sz w:val="28"/>
          <w:highlight w:val="none"/>
        </w:rPr>
        <w:t>报价明细表</w:t>
      </w:r>
      <w:r>
        <w:rPr>
          <w:rFonts w:hint="eastAsia" w:ascii="宋体" w:hAnsi="宋体"/>
          <w:b/>
          <w:bCs/>
          <w:color w:val="000000"/>
          <w:kern w:val="44"/>
          <w:sz w:val="28"/>
          <w:highlight w:val="none"/>
        </w:rPr>
        <w:br w:type="textWrapping"/>
      </w:r>
    </w:p>
    <w:tbl>
      <w:tblPr>
        <w:tblStyle w:val="14"/>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740"/>
        <w:gridCol w:w="2192"/>
        <w:gridCol w:w="1933"/>
        <w:gridCol w:w="1884"/>
      </w:tblGrid>
      <w:tr w14:paraId="1493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970" w:type="dxa"/>
            <w:vAlign w:val="center"/>
          </w:tcPr>
          <w:p w14:paraId="4107D755">
            <w:pPr>
              <w:jc w:val="center"/>
              <w:rPr>
                <w:rFonts w:ascii="宋体" w:hAnsi="宋体"/>
                <w:sz w:val="28"/>
                <w:highlight w:val="none"/>
              </w:rPr>
            </w:pPr>
            <w:r>
              <w:rPr>
                <w:rFonts w:hint="eastAsia" w:ascii="宋体" w:hAnsi="宋体"/>
                <w:sz w:val="28"/>
                <w:highlight w:val="none"/>
              </w:rPr>
              <w:t>标段</w:t>
            </w:r>
          </w:p>
        </w:tc>
        <w:tc>
          <w:tcPr>
            <w:tcW w:w="1740" w:type="dxa"/>
            <w:vAlign w:val="center"/>
          </w:tcPr>
          <w:p w14:paraId="2D3E08C3">
            <w:pPr>
              <w:jc w:val="center"/>
              <w:rPr>
                <w:rFonts w:ascii="宋体" w:hAnsi="宋体"/>
                <w:sz w:val="28"/>
                <w:highlight w:val="none"/>
              </w:rPr>
            </w:pPr>
            <w:r>
              <w:rPr>
                <w:rFonts w:hint="eastAsia" w:ascii="宋体" w:hAnsi="宋体"/>
                <w:sz w:val="28"/>
                <w:highlight w:val="none"/>
              </w:rPr>
              <w:t>采购内容</w:t>
            </w:r>
          </w:p>
        </w:tc>
        <w:tc>
          <w:tcPr>
            <w:tcW w:w="2192" w:type="dxa"/>
            <w:vAlign w:val="center"/>
          </w:tcPr>
          <w:p w14:paraId="176AAA9F">
            <w:pPr>
              <w:jc w:val="center"/>
              <w:rPr>
                <w:rFonts w:ascii="宋体" w:hAnsi="宋体"/>
                <w:sz w:val="28"/>
                <w:highlight w:val="none"/>
              </w:rPr>
            </w:pPr>
            <w:r>
              <w:rPr>
                <w:rFonts w:hint="eastAsia" w:ascii="宋体" w:hAnsi="宋体"/>
                <w:sz w:val="28"/>
                <w:highlight w:val="none"/>
              </w:rPr>
              <w:t>单价（元</w:t>
            </w:r>
            <w:r>
              <w:rPr>
                <w:rFonts w:hint="eastAsia" w:ascii="宋体" w:hAnsi="宋体"/>
                <w:sz w:val="28"/>
                <w:highlight w:val="none"/>
                <w:lang w:val="en-US" w:eastAsia="zh-CN"/>
              </w:rPr>
              <w:t>/亩</w:t>
            </w:r>
            <w:r>
              <w:rPr>
                <w:rFonts w:hint="eastAsia" w:ascii="宋体" w:hAnsi="宋体"/>
                <w:sz w:val="28"/>
                <w:highlight w:val="none"/>
              </w:rPr>
              <w:t>）</w:t>
            </w:r>
          </w:p>
        </w:tc>
        <w:tc>
          <w:tcPr>
            <w:tcW w:w="1933" w:type="dxa"/>
            <w:vAlign w:val="center"/>
          </w:tcPr>
          <w:p w14:paraId="4731E3B8">
            <w:pPr>
              <w:jc w:val="center"/>
              <w:rPr>
                <w:rFonts w:ascii="宋体" w:hAnsi="宋体"/>
                <w:sz w:val="28"/>
                <w:highlight w:val="none"/>
              </w:rPr>
            </w:pPr>
            <w:r>
              <w:rPr>
                <w:rFonts w:hint="eastAsia" w:ascii="宋体" w:hAnsi="宋体"/>
                <w:sz w:val="28"/>
                <w:highlight w:val="none"/>
              </w:rPr>
              <w:t>金额（元）</w:t>
            </w:r>
          </w:p>
        </w:tc>
        <w:tc>
          <w:tcPr>
            <w:tcW w:w="1884" w:type="dxa"/>
            <w:vAlign w:val="center"/>
          </w:tcPr>
          <w:p w14:paraId="79D3A8B6">
            <w:pPr>
              <w:jc w:val="center"/>
              <w:rPr>
                <w:rFonts w:ascii="宋体" w:hAnsi="宋体"/>
                <w:sz w:val="28"/>
                <w:highlight w:val="none"/>
              </w:rPr>
            </w:pPr>
            <w:r>
              <w:rPr>
                <w:rFonts w:hint="eastAsia" w:ascii="宋体" w:hAnsi="宋体"/>
                <w:sz w:val="28"/>
                <w:highlight w:val="none"/>
              </w:rPr>
              <w:t>备注</w:t>
            </w:r>
          </w:p>
        </w:tc>
      </w:tr>
      <w:tr w14:paraId="49BE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trPr>
        <w:tc>
          <w:tcPr>
            <w:tcW w:w="970" w:type="dxa"/>
            <w:vAlign w:val="center"/>
          </w:tcPr>
          <w:p w14:paraId="0B02CFC4">
            <w:pPr>
              <w:jc w:val="center"/>
              <w:rPr>
                <w:rFonts w:hint="eastAsia" w:eastAsiaTheme="minorEastAsia"/>
                <w:highlight w:val="none"/>
                <w:lang w:eastAsia="zh-CN"/>
              </w:rPr>
            </w:pPr>
          </w:p>
        </w:tc>
        <w:tc>
          <w:tcPr>
            <w:tcW w:w="1740" w:type="dxa"/>
            <w:vAlign w:val="center"/>
          </w:tcPr>
          <w:p w14:paraId="2C01FAAB">
            <w:pPr>
              <w:jc w:val="center"/>
              <w:rPr>
                <w:highlight w:val="none"/>
              </w:rPr>
            </w:pPr>
          </w:p>
        </w:tc>
        <w:tc>
          <w:tcPr>
            <w:tcW w:w="2192" w:type="dxa"/>
            <w:vAlign w:val="center"/>
          </w:tcPr>
          <w:p w14:paraId="24787512">
            <w:pPr>
              <w:jc w:val="center"/>
              <w:rPr>
                <w:rFonts w:hint="default"/>
                <w:highlight w:val="none"/>
                <w:lang w:val="en-US"/>
              </w:rPr>
            </w:pPr>
          </w:p>
        </w:tc>
        <w:tc>
          <w:tcPr>
            <w:tcW w:w="1933" w:type="dxa"/>
            <w:vAlign w:val="center"/>
          </w:tcPr>
          <w:p w14:paraId="36682B71">
            <w:pPr>
              <w:jc w:val="center"/>
              <w:rPr>
                <w:rFonts w:hint="default" w:eastAsiaTheme="minorEastAsia"/>
                <w:highlight w:val="none"/>
                <w:lang w:val="en-US" w:eastAsia="zh-CN"/>
              </w:rPr>
            </w:pPr>
          </w:p>
        </w:tc>
        <w:tc>
          <w:tcPr>
            <w:tcW w:w="1884" w:type="dxa"/>
            <w:vAlign w:val="center"/>
          </w:tcPr>
          <w:p w14:paraId="634B4C4F">
            <w:pPr>
              <w:jc w:val="center"/>
              <w:rPr>
                <w:rFonts w:eastAsiaTheme="minorEastAsia"/>
                <w:highlight w:val="none"/>
              </w:rPr>
            </w:pPr>
          </w:p>
        </w:tc>
      </w:tr>
    </w:tbl>
    <w:p w14:paraId="025BFBE8">
      <w:pPr>
        <w:adjustRightInd w:val="0"/>
        <w:spacing w:line="560" w:lineRule="exact"/>
        <w:rPr>
          <w:rFonts w:ascii="宋体" w:hAnsi="宋体" w:cs="宋体"/>
          <w:kern w:val="0"/>
          <w:sz w:val="24"/>
          <w:szCs w:val="20"/>
          <w:highlight w:val="none"/>
        </w:rPr>
      </w:pPr>
    </w:p>
    <w:p w14:paraId="7F684DEC">
      <w:pPr>
        <w:numPr>
          <w:ilvl w:val="0"/>
          <w:numId w:val="0"/>
        </w:numPr>
        <w:ind w:firstLine="480" w:firstLineChars="200"/>
        <w:jc w:val="left"/>
        <w:rPr>
          <w:rFonts w:hint="eastAsia" w:ascii="宋体" w:hAnsi="宋体" w:eastAsia="Calibri" w:cs="黑体"/>
          <w:b w:val="0"/>
          <w:bCs w:val="0"/>
          <w:sz w:val="24"/>
          <w:szCs w:val="24"/>
          <w:highlight w:val="none"/>
          <w:u w:val="none"/>
          <w:vertAlign w:val="baseline"/>
          <w:lang w:val="en-US" w:eastAsia="zh-CN" w:bidi="ar-SA"/>
        </w:rPr>
      </w:pPr>
      <w:r>
        <w:rPr>
          <w:rFonts w:hint="eastAsia" w:ascii="宋体" w:hAnsi="宋体" w:eastAsia="Calibri" w:cs="黑体"/>
          <w:b w:val="0"/>
          <w:bCs w:val="0"/>
          <w:sz w:val="24"/>
          <w:szCs w:val="24"/>
          <w:highlight w:val="none"/>
          <w:u w:val="none"/>
          <w:vertAlign w:val="baseline"/>
          <w:lang w:val="en-US" w:eastAsia="zh-CN" w:bidi="ar-SA"/>
        </w:rPr>
        <w:t>注：</w:t>
      </w:r>
      <w:r>
        <w:rPr>
          <w:rFonts w:hint="default" w:ascii="宋体" w:hAnsi="宋体" w:eastAsia="Calibri" w:cs="黑体"/>
          <w:b w:val="0"/>
          <w:bCs w:val="0"/>
          <w:sz w:val="24"/>
          <w:szCs w:val="24"/>
          <w:highlight w:val="none"/>
          <w:u w:val="none"/>
          <w:vertAlign w:val="baseline"/>
          <w:lang w:val="en-US" w:eastAsia="zh-CN" w:bidi="ar-SA"/>
        </w:rPr>
        <w:t>1、</w:t>
      </w:r>
      <w:r>
        <w:rPr>
          <w:rFonts w:hint="eastAsia" w:ascii="宋体" w:hAnsi="宋体" w:eastAsia="Calibri" w:cs="黑体"/>
          <w:b w:val="0"/>
          <w:bCs w:val="0"/>
          <w:sz w:val="24"/>
          <w:szCs w:val="24"/>
          <w:highlight w:val="none"/>
          <w:u w:val="none"/>
          <w:vertAlign w:val="baseline"/>
          <w:lang w:val="en-US" w:eastAsia="zh-CN" w:bidi="ar-SA"/>
        </w:rPr>
        <w:t>表格内容可自行扩充。</w:t>
      </w:r>
    </w:p>
    <w:p w14:paraId="56442908">
      <w:pPr>
        <w:spacing w:line="440" w:lineRule="atLeast"/>
        <w:ind w:firstLine="420" w:firstLineChars="200"/>
        <w:jc w:val="center"/>
        <w:rPr>
          <w:rFonts w:ascii="宋体" w:hAnsi="宋体"/>
          <w:color w:val="000000"/>
          <w:highlight w:val="none"/>
        </w:rPr>
      </w:pPr>
    </w:p>
    <w:p w14:paraId="13B1E731">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供应商名称：（</w:t>
      </w:r>
      <w:r>
        <w:rPr>
          <w:rFonts w:hint="eastAsia" w:ascii="宋体" w:hAnsi="宋体"/>
          <w:color w:val="000000"/>
          <w:sz w:val="24"/>
          <w:highlight w:val="none"/>
        </w:rPr>
        <w:t>电子签章</w:t>
      </w:r>
      <w:r>
        <w:rPr>
          <w:rFonts w:hint="eastAsia" w:ascii="宋体" w:hAnsi="宋体" w:cs="宋体"/>
          <w:sz w:val="24"/>
          <w:szCs w:val="32"/>
          <w:highlight w:val="none"/>
        </w:rPr>
        <w:t>）</w:t>
      </w:r>
    </w:p>
    <w:p w14:paraId="41DBB30C">
      <w:pPr>
        <w:spacing w:line="360" w:lineRule="auto"/>
        <w:ind w:firstLine="480" w:firstLineChars="200"/>
        <w:rPr>
          <w:rFonts w:ascii="宋体" w:hAnsi="宋体" w:cs="宋体"/>
          <w:sz w:val="24"/>
          <w:szCs w:val="32"/>
          <w:highlight w:val="none"/>
        </w:rPr>
      </w:pPr>
      <w:r>
        <w:rPr>
          <w:rFonts w:hint="eastAsia" w:ascii="宋体" w:hAnsi="宋体"/>
          <w:color w:val="000000"/>
          <w:sz w:val="24"/>
          <w:highlight w:val="none"/>
        </w:rPr>
        <w:t>法定代表人或其委托代理人</w:t>
      </w:r>
      <w:r>
        <w:rPr>
          <w:rFonts w:hint="eastAsia" w:ascii="宋体" w:hAnsi="宋体" w:cs="宋体"/>
          <w:sz w:val="24"/>
          <w:szCs w:val="32"/>
          <w:highlight w:val="none"/>
        </w:rPr>
        <w:t>：（</w:t>
      </w:r>
      <w:r>
        <w:rPr>
          <w:rFonts w:hint="eastAsia" w:ascii="宋体" w:hAnsi="宋体"/>
          <w:color w:val="000000"/>
          <w:sz w:val="24"/>
          <w:highlight w:val="none"/>
        </w:rPr>
        <w:t>电子签章</w:t>
      </w:r>
      <w:r>
        <w:rPr>
          <w:rFonts w:hint="eastAsia" w:ascii="宋体" w:hAnsi="宋体" w:cs="宋体"/>
          <w:sz w:val="24"/>
          <w:szCs w:val="32"/>
          <w:highlight w:val="none"/>
        </w:rPr>
        <w:t>）</w:t>
      </w:r>
    </w:p>
    <w:p w14:paraId="0445D441">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日期：年  月   日</w:t>
      </w:r>
    </w:p>
    <w:p w14:paraId="1CECAE3A">
      <w:pPr>
        <w:rPr>
          <w:rFonts w:ascii="宋体" w:hAnsi="宋体"/>
          <w:color w:val="000000"/>
          <w:highlight w:val="none"/>
        </w:rPr>
      </w:pPr>
      <w:r>
        <w:rPr>
          <w:rFonts w:hint="eastAsia" w:ascii="宋体" w:hAnsi="宋体" w:cs="宋体"/>
          <w:sz w:val="24"/>
          <w:szCs w:val="32"/>
          <w:highlight w:val="none"/>
        </w:rPr>
        <w:br w:type="page"/>
      </w:r>
    </w:p>
    <w:p w14:paraId="67627F9C">
      <w:pPr>
        <w:jc w:val="center"/>
        <w:rPr>
          <w:rFonts w:ascii="宋体" w:hAnsi="宋体"/>
          <w:b/>
          <w:bCs/>
          <w:color w:val="000000"/>
          <w:kern w:val="44"/>
          <w:sz w:val="28"/>
          <w:szCs w:val="28"/>
          <w:highlight w:val="none"/>
        </w:rPr>
      </w:pPr>
      <w:r>
        <w:rPr>
          <w:rFonts w:hint="eastAsia" w:ascii="宋体" w:hAnsi="宋体"/>
          <w:b/>
          <w:bCs/>
          <w:color w:val="000000"/>
          <w:kern w:val="44"/>
          <w:sz w:val="28"/>
          <w:szCs w:val="28"/>
          <w:highlight w:val="none"/>
        </w:rPr>
        <w:t>八、技术部分</w:t>
      </w:r>
    </w:p>
    <w:p w14:paraId="3269887D">
      <w:pPr>
        <w:jc w:val="center"/>
        <w:rPr>
          <w:rFonts w:ascii="宋体" w:hAnsi="宋体"/>
          <w:b/>
          <w:bCs/>
          <w:color w:val="000000"/>
          <w:kern w:val="44"/>
          <w:sz w:val="28"/>
          <w:szCs w:val="28"/>
          <w:highlight w:val="none"/>
        </w:rPr>
      </w:pPr>
      <w:r>
        <w:rPr>
          <w:rFonts w:hint="eastAsia" w:ascii="宋体" w:hAnsi="宋体"/>
          <w:b/>
          <w:bCs/>
          <w:color w:val="000000"/>
          <w:kern w:val="44"/>
          <w:sz w:val="28"/>
          <w:szCs w:val="28"/>
          <w:highlight w:val="none"/>
        </w:rPr>
        <w:br w:type="page"/>
      </w:r>
    </w:p>
    <w:p w14:paraId="108EF24A">
      <w:pPr>
        <w:jc w:val="center"/>
        <w:rPr>
          <w:rFonts w:ascii="宋体" w:hAnsi="宋体"/>
          <w:b/>
          <w:bCs/>
          <w:color w:val="000000"/>
          <w:kern w:val="44"/>
          <w:sz w:val="28"/>
          <w:szCs w:val="28"/>
          <w:highlight w:val="none"/>
        </w:rPr>
      </w:pPr>
      <w:r>
        <w:rPr>
          <w:rFonts w:hint="eastAsia" w:ascii="宋体" w:hAnsi="宋体"/>
          <w:b/>
          <w:bCs/>
          <w:color w:val="000000"/>
          <w:kern w:val="44"/>
          <w:sz w:val="28"/>
          <w:szCs w:val="28"/>
          <w:highlight w:val="none"/>
        </w:rPr>
        <w:t>九、</w:t>
      </w:r>
      <w:bookmarkStart w:id="240" w:name="_Toc16770593"/>
      <w:r>
        <w:rPr>
          <w:rFonts w:hint="eastAsia" w:ascii="宋体" w:hAnsi="宋体"/>
          <w:b/>
          <w:bCs/>
          <w:color w:val="000000"/>
          <w:kern w:val="44"/>
          <w:sz w:val="28"/>
          <w:szCs w:val="28"/>
          <w:highlight w:val="none"/>
        </w:rPr>
        <w:t>商务部分</w:t>
      </w:r>
    </w:p>
    <w:p w14:paraId="15973EAF">
      <w:pPr>
        <w:jc w:val="center"/>
        <w:rPr>
          <w:rFonts w:ascii="宋体" w:hAnsi="宋体"/>
          <w:b/>
          <w:bCs/>
          <w:color w:val="000000"/>
          <w:kern w:val="44"/>
          <w:sz w:val="28"/>
          <w:szCs w:val="28"/>
          <w:highlight w:val="none"/>
        </w:rPr>
      </w:pPr>
    </w:p>
    <w:p w14:paraId="7CCF21D6">
      <w:pPr>
        <w:jc w:val="center"/>
        <w:rPr>
          <w:rFonts w:ascii="宋体" w:hAnsi="宋体"/>
          <w:b/>
          <w:bCs/>
          <w:color w:val="000000"/>
          <w:kern w:val="44"/>
          <w:sz w:val="28"/>
          <w:szCs w:val="28"/>
          <w:highlight w:val="none"/>
        </w:rPr>
      </w:pPr>
    </w:p>
    <w:p w14:paraId="5A2BBECE">
      <w:pPr>
        <w:rPr>
          <w:rFonts w:ascii="宋体" w:hAnsi="宋体"/>
          <w:b/>
          <w:bCs/>
          <w:color w:val="000000"/>
          <w:kern w:val="44"/>
          <w:sz w:val="28"/>
          <w:szCs w:val="28"/>
          <w:highlight w:val="none"/>
        </w:rPr>
      </w:pPr>
      <w:r>
        <w:rPr>
          <w:rFonts w:hint="eastAsia" w:ascii="宋体" w:hAnsi="宋体"/>
          <w:b/>
          <w:bCs/>
          <w:color w:val="000000"/>
          <w:kern w:val="44"/>
          <w:sz w:val="28"/>
          <w:szCs w:val="28"/>
          <w:highlight w:val="none"/>
        </w:rPr>
        <w:br w:type="page"/>
      </w:r>
    </w:p>
    <w:p w14:paraId="0BAAFEAA">
      <w:pPr>
        <w:spacing w:before="312" w:beforeLines="100" w:after="312" w:afterLines="100" w:line="360" w:lineRule="auto"/>
        <w:jc w:val="center"/>
        <w:outlineLvl w:val="1"/>
        <w:rPr>
          <w:rFonts w:ascii="宋体" w:hAnsi="宋体" w:cs="宋体"/>
          <w:color w:val="000000"/>
          <w:kern w:val="0"/>
          <w:sz w:val="28"/>
          <w:szCs w:val="28"/>
          <w:highlight w:val="none"/>
        </w:rPr>
      </w:pPr>
      <w:r>
        <w:rPr>
          <w:rFonts w:hint="eastAsia" w:ascii="宋体" w:hAnsi="宋体" w:cs="宋体"/>
          <w:b/>
          <w:color w:val="000000"/>
          <w:kern w:val="10"/>
          <w:sz w:val="32"/>
          <w:szCs w:val="32"/>
          <w:highlight w:val="none"/>
          <w:lang w:eastAsia="zh-CN"/>
        </w:rPr>
        <w:t>十</w:t>
      </w:r>
      <w:r>
        <w:rPr>
          <w:rFonts w:hint="eastAsia" w:ascii="宋体" w:hAnsi="宋体" w:cs="宋体"/>
          <w:b/>
          <w:color w:val="000000"/>
          <w:kern w:val="10"/>
          <w:sz w:val="32"/>
          <w:szCs w:val="32"/>
          <w:highlight w:val="none"/>
        </w:rPr>
        <w:t>、</w:t>
      </w:r>
      <w:r>
        <w:rPr>
          <w:rFonts w:hint="eastAsia" w:ascii="宋体" w:hAnsi="宋体" w:cs="宋体"/>
          <w:b/>
          <w:bCs/>
          <w:color w:val="000000"/>
          <w:kern w:val="0"/>
          <w:sz w:val="36"/>
          <w:szCs w:val="36"/>
          <w:highlight w:val="none"/>
        </w:rPr>
        <w:t>享受政府采购政策扶持的证明材料</w:t>
      </w:r>
    </w:p>
    <w:p w14:paraId="60EED218">
      <w:pPr>
        <w:keepNext/>
        <w:keepLines/>
        <w:spacing w:line="415" w:lineRule="auto"/>
        <w:jc w:val="center"/>
        <w:rPr>
          <w:rFonts w:ascii="宋体" w:hAnsi="宋体" w:cs="宋体"/>
          <w:b/>
          <w:bCs/>
          <w:sz w:val="28"/>
          <w:szCs w:val="28"/>
          <w:highlight w:val="none"/>
        </w:rPr>
      </w:pPr>
      <w:bookmarkStart w:id="241" w:name="_Toc109465630"/>
      <w:bookmarkStart w:id="242" w:name="_Toc3802"/>
      <w:bookmarkStart w:id="243" w:name="_Toc116401619"/>
      <w:bookmarkStart w:id="244" w:name="_Toc144905420"/>
      <w:r>
        <w:rPr>
          <w:rFonts w:hint="eastAsia" w:ascii="宋体" w:hAnsi="宋体" w:cs="宋体"/>
          <w:b/>
          <w:bCs/>
          <w:sz w:val="28"/>
          <w:szCs w:val="28"/>
          <w:highlight w:val="none"/>
        </w:rPr>
        <w:t>1、中小企业声明函</w:t>
      </w:r>
      <w:bookmarkEnd w:id="241"/>
      <w:bookmarkEnd w:id="242"/>
      <w:bookmarkEnd w:id="243"/>
      <w:bookmarkEnd w:id="244"/>
    </w:p>
    <w:p w14:paraId="7EE1634A">
      <w:pPr>
        <w:jc w:val="center"/>
        <w:rPr>
          <w:rFonts w:ascii="宋体" w:hAnsi="宋体" w:cs="宋体"/>
          <w:b/>
          <w:bCs/>
          <w:iCs/>
          <w:sz w:val="24"/>
          <w:szCs w:val="24"/>
          <w:highlight w:val="none"/>
        </w:rPr>
      </w:pPr>
      <w:r>
        <w:rPr>
          <w:rFonts w:hint="eastAsia" w:ascii="宋体" w:hAnsi="宋体" w:cs="宋体"/>
          <w:b/>
          <w:bCs/>
          <w:iCs/>
          <w:sz w:val="24"/>
          <w:szCs w:val="24"/>
          <w:highlight w:val="none"/>
        </w:rPr>
        <w:t>（属于中小微企业的填写，不属于的无需填写此项内容）</w:t>
      </w:r>
    </w:p>
    <w:p w14:paraId="59C881F2">
      <w:pPr>
        <w:spacing w:line="360" w:lineRule="auto"/>
        <w:ind w:firstLine="480" w:firstLineChars="200"/>
        <w:rPr>
          <w:rFonts w:ascii="宋体" w:hAnsi="宋体"/>
          <w:sz w:val="24"/>
          <w:szCs w:val="24"/>
          <w:highlight w:val="none"/>
        </w:rPr>
      </w:pPr>
    </w:p>
    <w:p w14:paraId="642DCB9C">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本公司（联合体）郑重声明，根据《政府采购促进中小企业发展管理办法》（财库﹝2020﹞46号）的规定，本公司（联合体）参加</w:t>
      </w:r>
      <w:r>
        <w:rPr>
          <w:rFonts w:hint="eastAsia" w:ascii="宋体" w:hAnsi="宋体" w:cs="宋体"/>
          <w:kern w:val="0"/>
          <w:sz w:val="24"/>
          <w:szCs w:val="24"/>
          <w:highlight w:val="none"/>
          <w:u w:val="single"/>
        </w:rPr>
        <w:t>（单位名称）</w:t>
      </w:r>
      <w:r>
        <w:rPr>
          <w:rFonts w:hint="eastAsia" w:ascii="宋体" w:hAnsi="宋体" w:cs="宋体"/>
          <w:kern w:val="0"/>
          <w:sz w:val="24"/>
          <w:szCs w:val="24"/>
          <w:highlight w:val="none"/>
        </w:rPr>
        <w:t>的</w:t>
      </w:r>
      <w:r>
        <w:rPr>
          <w:rFonts w:hint="eastAsia" w:ascii="宋体" w:hAnsi="宋体" w:cs="宋体"/>
          <w:kern w:val="0"/>
          <w:sz w:val="24"/>
          <w:szCs w:val="24"/>
          <w:highlight w:val="none"/>
          <w:u w:val="single"/>
        </w:rPr>
        <w:t>（项目名称）</w:t>
      </w:r>
      <w:r>
        <w:rPr>
          <w:rFonts w:hint="eastAsia" w:ascii="宋体" w:hAnsi="宋体" w:cs="宋体"/>
          <w:kern w:val="0"/>
          <w:sz w:val="24"/>
          <w:szCs w:val="24"/>
          <w:highlight w:val="none"/>
          <w:u w:val="single"/>
          <w:lang w:eastAsia="zh-CN"/>
        </w:rPr>
        <w:t>（标段）</w:t>
      </w:r>
      <w:r>
        <w:rPr>
          <w:rFonts w:hint="eastAsia" w:ascii="宋体" w:hAnsi="宋体" w:cs="宋体"/>
          <w:kern w:val="0"/>
          <w:sz w:val="24"/>
          <w:szCs w:val="24"/>
          <w:highlight w:val="none"/>
        </w:rPr>
        <w:t>采购活动，提供的货物全部由符合政策要求的中小企业制造。相关企业（含联合体中的中小企业、签订分包意向协议的中小企业）的具体情况如下：</w:t>
      </w:r>
    </w:p>
    <w:p w14:paraId="03A65E24">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u w:val="single"/>
        </w:rPr>
        <w:t>（标的名称）</w:t>
      </w:r>
      <w:r>
        <w:rPr>
          <w:rFonts w:hint="eastAsia" w:ascii="宋体" w:hAnsi="宋体" w:cs="宋体"/>
          <w:kern w:val="0"/>
          <w:sz w:val="24"/>
          <w:szCs w:val="24"/>
          <w:highlight w:val="none"/>
        </w:rPr>
        <w:t xml:space="preserve">，属于 </w:t>
      </w:r>
      <w:r>
        <w:rPr>
          <w:rFonts w:hint="eastAsia" w:ascii="宋体" w:hAnsi="宋体" w:cs="宋体"/>
          <w:kern w:val="0"/>
          <w:sz w:val="24"/>
          <w:szCs w:val="24"/>
          <w:highlight w:val="none"/>
          <w:u w:val="single"/>
        </w:rPr>
        <w:t xml:space="preserve">（采购文件中明确的所属行业）  </w:t>
      </w:r>
      <w:r>
        <w:rPr>
          <w:rFonts w:hint="eastAsia" w:ascii="宋体" w:hAnsi="宋体" w:cs="宋体"/>
          <w:kern w:val="0"/>
          <w:sz w:val="24"/>
          <w:szCs w:val="24"/>
          <w:highlight w:val="none"/>
        </w:rPr>
        <w:t>行业；制造商为</w:t>
      </w:r>
      <w:r>
        <w:rPr>
          <w:rFonts w:hint="eastAsia" w:ascii="宋体" w:hAnsi="宋体" w:cs="宋体"/>
          <w:kern w:val="0"/>
          <w:sz w:val="24"/>
          <w:szCs w:val="24"/>
          <w:highlight w:val="none"/>
          <w:u w:val="single"/>
        </w:rPr>
        <w:t xml:space="preserve"> （企业名称）  </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万元，属于</w:t>
      </w:r>
      <w:r>
        <w:rPr>
          <w:rFonts w:hint="eastAsia" w:ascii="宋体" w:hAnsi="宋体" w:cs="宋体"/>
          <w:kern w:val="0"/>
          <w:sz w:val="24"/>
          <w:szCs w:val="24"/>
          <w:highlight w:val="none"/>
          <w:u w:val="single"/>
        </w:rPr>
        <w:t xml:space="preserve"> （中型企业、小型企业、微型企业）</w:t>
      </w:r>
      <w:r>
        <w:rPr>
          <w:rFonts w:hint="eastAsia" w:ascii="宋体" w:hAnsi="宋体" w:cs="宋体"/>
          <w:kern w:val="0"/>
          <w:sz w:val="24"/>
          <w:szCs w:val="24"/>
          <w:highlight w:val="none"/>
        </w:rPr>
        <w:t xml:space="preserve"> ；</w:t>
      </w:r>
    </w:p>
    <w:p w14:paraId="64A7F426">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u w:val="single"/>
        </w:rPr>
        <w:t>（标的名称）</w:t>
      </w:r>
      <w:r>
        <w:rPr>
          <w:rFonts w:hint="eastAsia" w:ascii="宋体" w:hAnsi="宋体" w:cs="宋体"/>
          <w:kern w:val="0"/>
          <w:sz w:val="24"/>
          <w:szCs w:val="24"/>
          <w:highlight w:val="none"/>
        </w:rPr>
        <w:t xml:space="preserve">，属于 </w:t>
      </w:r>
      <w:r>
        <w:rPr>
          <w:rFonts w:hint="eastAsia" w:ascii="宋体" w:hAnsi="宋体" w:cs="宋体"/>
          <w:kern w:val="0"/>
          <w:sz w:val="24"/>
          <w:szCs w:val="24"/>
          <w:highlight w:val="none"/>
          <w:u w:val="single"/>
        </w:rPr>
        <w:t xml:space="preserve">（采购文件中明确的所属行业）  </w:t>
      </w:r>
      <w:r>
        <w:rPr>
          <w:rFonts w:hint="eastAsia" w:ascii="宋体" w:hAnsi="宋体" w:cs="宋体"/>
          <w:kern w:val="0"/>
          <w:sz w:val="24"/>
          <w:szCs w:val="24"/>
          <w:highlight w:val="none"/>
        </w:rPr>
        <w:t>行业；制造商为</w:t>
      </w:r>
      <w:r>
        <w:rPr>
          <w:rFonts w:hint="eastAsia" w:ascii="宋体" w:hAnsi="宋体" w:cs="宋体"/>
          <w:kern w:val="0"/>
          <w:sz w:val="24"/>
          <w:szCs w:val="24"/>
          <w:highlight w:val="none"/>
          <w:u w:val="single"/>
        </w:rPr>
        <w:t xml:space="preserve"> （企业名称）  </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万元，属于</w:t>
      </w:r>
      <w:r>
        <w:rPr>
          <w:rFonts w:hint="eastAsia" w:ascii="宋体" w:hAnsi="宋体" w:cs="宋体"/>
          <w:kern w:val="0"/>
          <w:sz w:val="24"/>
          <w:szCs w:val="24"/>
          <w:highlight w:val="none"/>
          <w:u w:val="single"/>
        </w:rPr>
        <w:t xml:space="preserve"> （中型企业、小型企业、微型企业）</w:t>
      </w:r>
      <w:r>
        <w:rPr>
          <w:rFonts w:hint="eastAsia" w:ascii="宋体" w:hAnsi="宋体" w:cs="宋体"/>
          <w:kern w:val="0"/>
          <w:sz w:val="24"/>
          <w:szCs w:val="24"/>
          <w:highlight w:val="none"/>
        </w:rPr>
        <w:t xml:space="preserve"> ；</w:t>
      </w:r>
    </w:p>
    <w:p w14:paraId="44245E68">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w:t>
      </w:r>
    </w:p>
    <w:p w14:paraId="2F60C50B">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以上企业，不属于大企业的分支机构，不存在控股股东为大企业的情形，也不存在与大企业的负责人为同一人的情形。</w:t>
      </w:r>
    </w:p>
    <w:p w14:paraId="12AF43FA">
      <w:pPr>
        <w:autoSpaceDE w:val="0"/>
        <w:autoSpaceDN w:val="0"/>
        <w:spacing w:line="360" w:lineRule="auto"/>
        <w:ind w:firstLine="480" w:firstLineChars="200"/>
        <w:rPr>
          <w:rFonts w:ascii="宋体" w:hAnsi="宋体" w:cs="宋体"/>
          <w:kern w:val="0"/>
          <w:sz w:val="24"/>
          <w:szCs w:val="24"/>
          <w:highlight w:val="none"/>
        </w:rPr>
      </w:pPr>
    </w:p>
    <w:p w14:paraId="76CF3D67">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本企业对上述声明内容的真实性负责。如有虚假，将依法承担相应责任。</w:t>
      </w:r>
    </w:p>
    <w:p w14:paraId="0BA44918">
      <w:pPr>
        <w:autoSpaceDE w:val="0"/>
        <w:autoSpaceDN w:val="0"/>
        <w:spacing w:line="360" w:lineRule="auto"/>
        <w:ind w:firstLine="480" w:firstLineChars="200"/>
        <w:rPr>
          <w:rFonts w:ascii="宋体" w:hAnsi="宋体" w:cs="宋体"/>
          <w:kern w:val="0"/>
          <w:sz w:val="24"/>
          <w:szCs w:val="24"/>
          <w:highlight w:val="none"/>
        </w:rPr>
      </w:pPr>
    </w:p>
    <w:p w14:paraId="1234D864">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企业名称（</w:t>
      </w:r>
      <w:r>
        <w:rPr>
          <w:rFonts w:hint="eastAsia" w:ascii="宋体" w:hAnsi="宋体"/>
          <w:color w:val="000000"/>
          <w:sz w:val="24"/>
          <w:szCs w:val="28"/>
          <w:highlight w:val="none"/>
        </w:rPr>
        <w:t>电子签章</w:t>
      </w:r>
      <w:r>
        <w:rPr>
          <w:rFonts w:hint="eastAsia" w:ascii="宋体" w:hAnsi="宋体" w:cs="宋体"/>
          <w:kern w:val="0"/>
          <w:sz w:val="24"/>
          <w:szCs w:val="24"/>
          <w:highlight w:val="none"/>
        </w:rPr>
        <w:t>）：</w:t>
      </w:r>
      <w:r>
        <w:rPr>
          <w:rFonts w:hint="eastAsia" w:ascii="宋体" w:hAnsi="宋体"/>
          <w:color w:val="000000"/>
          <w:kern w:val="0"/>
          <w:sz w:val="24"/>
          <w:szCs w:val="24"/>
          <w:highlight w:val="none"/>
          <w:u w:val="single"/>
        </w:rPr>
        <w:t xml:space="preserve">          </w:t>
      </w:r>
    </w:p>
    <w:p w14:paraId="24A008FB">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日期：</w:t>
      </w:r>
      <w:r>
        <w:rPr>
          <w:rFonts w:hint="eastAsia" w:ascii="宋体" w:hAnsi="宋体"/>
          <w:color w:val="000000"/>
          <w:kern w:val="0"/>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olor w:val="000000"/>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olor w:val="000000"/>
          <w:kern w:val="0"/>
          <w:sz w:val="24"/>
          <w:szCs w:val="24"/>
          <w:highlight w:val="none"/>
          <w:u w:val="single"/>
        </w:rPr>
        <w:t xml:space="preserve">     </w:t>
      </w:r>
      <w:r>
        <w:rPr>
          <w:rFonts w:hint="eastAsia" w:ascii="宋体" w:hAnsi="宋体" w:cs="宋体"/>
          <w:kern w:val="0"/>
          <w:sz w:val="24"/>
          <w:szCs w:val="24"/>
          <w:highlight w:val="none"/>
        </w:rPr>
        <w:t>日</w:t>
      </w:r>
    </w:p>
    <w:p w14:paraId="19FB3C82">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说明：</w:t>
      </w:r>
    </w:p>
    <w:p w14:paraId="0792008A">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1、填写前请认真阅读《财政部、工业和信息化部关于印发《政府采购促进中小企业发展管理办法》的通知（财库[2020]46 号）相关规定。</w:t>
      </w:r>
    </w:p>
    <w:p w14:paraId="294AEBB6">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2、从业人员、营业收入、资产总额填报上一年度数据，无上一年度数据的新成立企业可不填报。</w:t>
      </w:r>
    </w:p>
    <w:p w14:paraId="10E6BBE5">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3、未按上述要求提供、填写的，评审时不予以考虑。</w:t>
      </w:r>
    </w:p>
    <w:p w14:paraId="68A144F8">
      <w:pPr>
        <w:spacing w:line="360" w:lineRule="auto"/>
        <w:jc w:val="center"/>
        <w:rPr>
          <w:rFonts w:ascii="宋体" w:hAnsi="宋体" w:cs="宋体"/>
          <w:b/>
          <w:bCs/>
          <w:sz w:val="32"/>
          <w:szCs w:val="32"/>
          <w:highlight w:val="none"/>
        </w:rPr>
      </w:pPr>
      <w:r>
        <w:rPr>
          <w:rFonts w:ascii="宋体" w:hAnsi="宋体"/>
          <w:b/>
          <w:bCs/>
          <w:sz w:val="28"/>
          <w:szCs w:val="32"/>
          <w:highlight w:val="none"/>
        </w:rPr>
        <w:br w:type="page"/>
      </w:r>
      <w:r>
        <w:rPr>
          <w:rFonts w:hint="eastAsia" w:ascii="宋体" w:hAnsi="宋体"/>
          <w:b/>
          <w:bCs/>
          <w:sz w:val="28"/>
          <w:szCs w:val="32"/>
          <w:highlight w:val="none"/>
        </w:rPr>
        <w:t>2、</w:t>
      </w:r>
      <w:r>
        <w:rPr>
          <w:rFonts w:ascii="宋体" w:hAnsi="宋体" w:cs="宋体"/>
          <w:b/>
          <w:bCs/>
          <w:sz w:val="28"/>
          <w:szCs w:val="32"/>
          <w:highlight w:val="none"/>
        </w:rPr>
        <w:t>残疾人福利性单位声明函</w:t>
      </w:r>
    </w:p>
    <w:p w14:paraId="5EAAB736">
      <w:pPr>
        <w:jc w:val="center"/>
        <w:rPr>
          <w:rFonts w:ascii="宋体" w:hAnsi="宋体" w:cs="宋体"/>
          <w:b/>
          <w:bCs/>
          <w:iCs/>
          <w:sz w:val="24"/>
          <w:szCs w:val="24"/>
          <w:highlight w:val="none"/>
        </w:rPr>
      </w:pPr>
      <w:r>
        <w:rPr>
          <w:rFonts w:hint="eastAsia" w:ascii="宋体" w:hAnsi="宋体" w:cs="宋体"/>
          <w:b/>
          <w:bCs/>
          <w:iCs/>
          <w:sz w:val="24"/>
          <w:szCs w:val="24"/>
          <w:highlight w:val="none"/>
        </w:rPr>
        <w:t>（属于残疾人福利性单位的填写，不属于的无需填写此项内容）</w:t>
      </w:r>
    </w:p>
    <w:p w14:paraId="4F7A7CEE">
      <w:pPr>
        <w:spacing w:line="360" w:lineRule="auto"/>
        <w:jc w:val="center"/>
        <w:rPr>
          <w:rFonts w:ascii="宋体" w:hAnsi="宋体" w:cs="宋体"/>
          <w:b/>
          <w:bCs/>
          <w:sz w:val="32"/>
          <w:szCs w:val="32"/>
          <w:highlight w:val="none"/>
        </w:rPr>
      </w:pPr>
    </w:p>
    <w:p w14:paraId="35FEA783">
      <w:pPr>
        <w:snapToGrid w:val="0"/>
        <w:spacing w:line="520" w:lineRule="exact"/>
        <w:ind w:left="1177" w:leftChars="-72" w:right="84" w:rightChars="40" w:hanging="1328" w:hangingChars="415"/>
        <w:jc w:val="center"/>
        <w:rPr>
          <w:rFonts w:ascii="宋体" w:hAnsi="宋体" w:cs="宋体"/>
          <w:sz w:val="32"/>
          <w:szCs w:val="32"/>
          <w:highlight w:val="none"/>
        </w:rPr>
      </w:pPr>
    </w:p>
    <w:p w14:paraId="047551E7">
      <w:pPr>
        <w:spacing w:line="360" w:lineRule="auto"/>
        <w:ind w:firstLine="480" w:firstLineChars="200"/>
        <w:rPr>
          <w:rFonts w:ascii="Calibri" w:hAnsi="Calibri" w:cs="宋体"/>
          <w:sz w:val="24"/>
          <w:szCs w:val="24"/>
          <w:highlight w:val="none"/>
        </w:rPr>
      </w:pPr>
      <w:r>
        <w:rPr>
          <w:rFonts w:ascii="Calibri" w:hAnsi="Calibri" w:cs="宋体"/>
          <w:sz w:val="24"/>
          <w:szCs w:val="24"/>
          <w:highlight w:val="none"/>
        </w:rPr>
        <w:t>本单位郑重声明，根据《财政部 民政部 中国残疾人联合会关于促进残疾人就业政府采购政策的通知》（财库</w:t>
      </w:r>
      <w:r>
        <w:rPr>
          <w:rFonts w:ascii="宋体" w:hAnsi="宋体" w:cs="宋体"/>
          <w:sz w:val="24"/>
          <w:szCs w:val="24"/>
          <w:highlight w:val="none"/>
        </w:rPr>
        <w:t>〔2017〕 141</w:t>
      </w:r>
      <w:r>
        <w:rPr>
          <w:rFonts w:ascii="Calibri" w:hAnsi="Calibri" w:cs="宋体"/>
          <w:sz w:val="24"/>
          <w:szCs w:val="24"/>
          <w:highlight w:val="none"/>
        </w:rPr>
        <w:t>号）的规定，本单位为符合条件的残疾人福利性单位，且本单位参加______单位的______项目采购活动，</w:t>
      </w:r>
      <w:r>
        <w:rPr>
          <w:rFonts w:hint="eastAsia" w:ascii="Calibri" w:hAnsi="Calibri" w:cs="宋体"/>
          <w:sz w:val="24"/>
          <w:szCs w:val="24"/>
          <w:highlight w:val="none"/>
        </w:rPr>
        <w:t>提供本</w:t>
      </w:r>
      <w:r>
        <w:rPr>
          <w:rFonts w:ascii="Calibri" w:hAnsi="Calibri" w:cs="宋体"/>
          <w:sz w:val="24"/>
          <w:szCs w:val="24"/>
          <w:highlight w:val="none"/>
        </w:rPr>
        <w:t>单位制造的货物</w:t>
      </w:r>
      <w:r>
        <w:rPr>
          <w:rFonts w:hint="eastAsia" w:ascii="Calibri" w:hAnsi="Calibri" w:cs="宋体"/>
          <w:sz w:val="24"/>
          <w:szCs w:val="24"/>
          <w:highlight w:val="none"/>
        </w:rPr>
        <w:t>，</w:t>
      </w:r>
      <w:r>
        <w:rPr>
          <w:rFonts w:ascii="Calibri" w:hAnsi="Calibri" w:cs="宋体"/>
          <w:sz w:val="24"/>
          <w:szCs w:val="24"/>
          <w:highlight w:val="none"/>
        </w:rPr>
        <w:t>或者提供其他残疾人福利性单位制造的货物（</w:t>
      </w:r>
      <w:r>
        <w:rPr>
          <w:rFonts w:hint="eastAsia" w:ascii="Calibri" w:hAnsi="Calibri" w:cs="宋体"/>
          <w:sz w:val="24"/>
          <w:szCs w:val="24"/>
          <w:highlight w:val="none"/>
        </w:rPr>
        <w:t>不</w:t>
      </w:r>
      <w:r>
        <w:rPr>
          <w:rFonts w:ascii="Calibri" w:hAnsi="Calibri" w:cs="宋体"/>
          <w:sz w:val="24"/>
          <w:szCs w:val="24"/>
          <w:highlight w:val="none"/>
        </w:rPr>
        <w:t>包括使用非残疾人福利性单位注册商标的货物）。</w:t>
      </w:r>
    </w:p>
    <w:p w14:paraId="10DD5A37">
      <w:pPr>
        <w:spacing w:line="360" w:lineRule="auto"/>
        <w:ind w:firstLine="480" w:firstLineChars="200"/>
        <w:rPr>
          <w:rFonts w:ascii="宋体" w:hAnsi="宋体" w:cs="宋体"/>
          <w:b/>
          <w:bCs/>
          <w:sz w:val="32"/>
          <w:szCs w:val="32"/>
          <w:highlight w:val="none"/>
        </w:rPr>
      </w:pPr>
      <w:r>
        <w:rPr>
          <w:rFonts w:ascii="Calibri" w:hAnsi="Calibri" w:cs="宋体"/>
          <w:sz w:val="24"/>
          <w:szCs w:val="24"/>
          <w:highlight w:val="none"/>
        </w:rPr>
        <w:t>本单位对上述声明的真实性负责。如有虚假，将依法承担相应责任。</w:t>
      </w:r>
    </w:p>
    <w:p w14:paraId="5F8AD66D">
      <w:pPr>
        <w:spacing w:line="360" w:lineRule="auto"/>
        <w:jc w:val="center"/>
        <w:rPr>
          <w:rFonts w:ascii="宋体" w:hAnsi="宋体" w:cs="宋体"/>
          <w:b/>
          <w:bCs/>
          <w:sz w:val="32"/>
          <w:szCs w:val="32"/>
          <w:highlight w:val="none"/>
        </w:rPr>
      </w:pPr>
    </w:p>
    <w:p w14:paraId="42909174">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企业名称（</w:t>
      </w:r>
      <w:r>
        <w:rPr>
          <w:rFonts w:hint="eastAsia" w:ascii="宋体" w:hAnsi="宋体"/>
          <w:color w:val="000000"/>
          <w:sz w:val="24"/>
          <w:szCs w:val="28"/>
          <w:highlight w:val="none"/>
        </w:rPr>
        <w:t>电子签章</w:t>
      </w:r>
      <w:r>
        <w:rPr>
          <w:rFonts w:hint="eastAsia" w:ascii="宋体" w:hAnsi="宋体" w:cs="宋体"/>
          <w:kern w:val="0"/>
          <w:sz w:val="24"/>
          <w:szCs w:val="24"/>
          <w:highlight w:val="none"/>
        </w:rPr>
        <w:t>）：</w:t>
      </w:r>
      <w:r>
        <w:rPr>
          <w:rFonts w:hint="eastAsia" w:ascii="宋体" w:hAnsi="宋体"/>
          <w:color w:val="000000"/>
          <w:kern w:val="0"/>
          <w:sz w:val="24"/>
          <w:szCs w:val="24"/>
          <w:highlight w:val="none"/>
          <w:u w:val="single"/>
        </w:rPr>
        <w:t xml:space="preserve">          </w:t>
      </w:r>
    </w:p>
    <w:p w14:paraId="03D8A328">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日期：</w:t>
      </w:r>
      <w:r>
        <w:rPr>
          <w:rFonts w:hint="eastAsia" w:ascii="宋体" w:hAnsi="宋体"/>
          <w:color w:val="000000"/>
          <w:kern w:val="0"/>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olor w:val="000000"/>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olor w:val="000000"/>
          <w:kern w:val="0"/>
          <w:sz w:val="24"/>
          <w:szCs w:val="24"/>
          <w:highlight w:val="none"/>
          <w:u w:val="single"/>
        </w:rPr>
        <w:t xml:space="preserve">     </w:t>
      </w:r>
      <w:r>
        <w:rPr>
          <w:rFonts w:hint="eastAsia" w:ascii="宋体" w:hAnsi="宋体" w:cs="宋体"/>
          <w:kern w:val="0"/>
          <w:sz w:val="24"/>
          <w:szCs w:val="24"/>
          <w:highlight w:val="none"/>
        </w:rPr>
        <w:t>日</w:t>
      </w:r>
    </w:p>
    <w:p w14:paraId="2B816E80">
      <w:pPr>
        <w:spacing w:line="400" w:lineRule="exact"/>
        <w:jc w:val="center"/>
        <w:rPr>
          <w:rFonts w:ascii="宋体" w:hAnsi="宋体"/>
          <w:bCs/>
          <w:color w:val="000000"/>
          <w:sz w:val="32"/>
          <w:szCs w:val="24"/>
          <w:highlight w:val="none"/>
        </w:rPr>
      </w:pPr>
    </w:p>
    <w:p w14:paraId="00845C32">
      <w:pPr>
        <w:pStyle w:val="4"/>
        <w:ind w:firstLine="640"/>
        <w:rPr>
          <w:rFonts w:ascii="宋体" w:hAnsi="宋体"/>
          <w:bCs/>
          <w:color w:val="000000"/>
          <w:sz w:val="32"/>
          <w:szCs w:val="24"/>
          <w:highlight w:val="none"/>
        </w:rPr>
      </w:pPr>
    </w:p>
    <w:p w14:paraId="52EE5673">
      <w:pPr>
        <w:pStyle w:val="4"/>
        <w:ind w:firstLine="640"/>
        <w:rPr>
          <w:rFonts w:ascii="宋体" w:hAnsi="宋体"/>
          <w:bCs/>
          <w:color w:val="000000"/>
          <w:sz w:val="32"/>
          <w:szCs w:val="24"/>
          <w:highlight w:val="none"/>
        </w:rPr>
      </w:pPr>
    </w:p>
    <w:p w14:paraId="4B3ED1B4">
      <w:pPr>
        <w:pStyle w:val="4"/>
        <w:ind w:firstLine="640"/>
        <w:rPr>
          <w:rFonts w:ascii="宋体" w:hAnsi="宋体"/>
          <w:bCs/>
          <w:color w:val="000000"/>
          <w:sz w:val="32"/>
          <w:szCs w:val="24"/>
          <w:highlight w:val="none"/>
        </w:rPr>
      </w:pPr>
    </w:p>
    <w:p w14:paraId="64FC507F">
      <w:pPr>
        <w:pStyle w:val="4"/>
        <w:ind w:firstLine="640"/>
        <w:rPr>
          <w:rFonts w:ascii="宋体" w:hAnsi="宋体"/>
          <w:bCs/>
          <w:color w:val="000000"/>
          <w:sz w:val="32"/>
          <w:szCs w:val="24"/>
          <w:highlight w:val="none"/>
        </w:rPr>
      </w:pPr>
    </w:p>
    <w:p w14:paraId="40458006">
      <w:pPr>
        <w:pStyle w:val="4"/>
        <w:ind w:firstLine="640"/>
        <w:rPr>
          <w:rFonts w:ascii="宋体" w:hAnsi="宋体"/>
          <w:bCs/>
          <w:color w:val="000000"/>
          <w:sz w:val="32"/>
          <w:szCs w:val="24"/>
          <w:highlight w:val="none"/>
        </w:rPr>
      </w:pPr>
    </w:p>
    <w:p w14:paraId="7EFEDB1D">
      <w:pPr>
        <w:pStyle w:val="4"/>
        <w:ind w:firstLine="640"/>
        <w:rPr>
          <w:rFonts w:ascii="宋体" w:hAnsi="宋体"/>
          <w:bCs/>
          <w:color w:val="000000"/>
          <w:sz w:val="32"/>
          <w:szCs w:val="24"/>
          <w:highlight w:val="none"/>
        </w:rPr>
      </w:pPr>
    </w:p>
    <w:p w14:paraId="2A730C76">
      <w:pPr>
        <w:pStyle w:val="4"/>
        <w:ind w:firstLine="640"/>
        <w:rPr>
          <w:rFonts w:ascii="宋体" w:hAnsi="宋体"/>
          <w:bCs/>
          <w:color w:val="000000"/>
          <w:sz w:val="32"/>
          <w:szCs w:val="24"/>
          <w:highlight w:val="none"/>
        </w:rPr>
      </w:pPr>
    </w:p>
    <w:p w14:paraId="313503B5">
      <w:pPr>
        <w:pStyle w:val="4"/>
        <w:ind w:firstLine="640"/>
        <w:rPr>
          <w:rFonts w:ascii="宋体" w:hAnsi="宋体"/>
          <w:bCs/>
          <w:color w:val="000000"/>
          <w:sz w:val="32"/>
          <w:szCs w:val="24"/>
          <w:highlight w:val="none"/>
        </w:rPr>
      </w:pPr>
    </w:p>
    <w:p w14:paraId="4840D6B3">
      <w:pPr>
        <w:pStyle w:val="4"/>
        <w:ind w:firstLine="640"/>
        <w:rPr>
          <w:rFonts w:ascii="宋体" w:hAnsi="宋体"/>
          <w:bCs/>
          <w:color w:val="000000"/>
          <w:sz w:val="32"/>
          <w:szCs w:val="24"/>
          <w:highlight w:val="none"/>
        </w:rPr>
      </w:pPr>
    </w:p>
    <w:p w14:paraId="7FA85502">
      <w:pPr>
        <w:pStyle w:val="4"/>
        <w:ind w:firstLine="640"/>
        <w:rPr>
          <w:rFonts w:ascii="宋体" w:hAnsi="宋体"/>
          <w:bCs/>
          <w:color w:val="000000"/>
          <w:sz w:val="32"/>
          <w:szCs w:val="24"/>
          <w:highlight w:val="none"/>
        </w:rPr>
      </w:pPr>
    </w:p>
    <w:p w14:paraId="5519224D">
      <w:pPr>
        <w:pStyle w:val="4"/>
        <w:ind w:firstLine="640"/>
        <w:rPr>
          <w:rFonts w:ascii="宋体" w:hAnsi="宋体"/>
          <w:bCs/>
          <w:color w:val="000000"/>
          <w:sz w:val="32"/>
          <w:szCs w:val="24"/>
          <w:highlight w:val="none"/>
        </w:rPr>
      </w:pPr>
    </w:p>
    <w:p w14:paraId="46AC3539">
      <w:pPr>
        <w:jc w:val="center"/>
        <w:rPr>
          <w:rFonts w:hint="eastAsia" w:ascii="宋体" w:hAnsi="宋体"/>
          <w:b/>
          <w:bCs/>
          <w:color w:val="000000"/>
          <w:kern w:val="44"/>
          <w:sz w:val="28"/>
          <w:szCs w:val="28"/>
          <w:highlight w:val="none"/>
        </w:rPr>
      </w:pPr>
    </w:p>
    <w:p w14:paraId="0314D260">
      <w:pPr>
        <w:jc w:val="center"/>
        <w:rPr>
          <w:rFonts w:hint="eastAsia" w:ascii="宋体" w:hAnsi="宋体"/>
          <w:b/>
          <w:bCs/>
          <w:color w:val="000000"/>
          <w:kern w:val="44"/>
          <w:sz w:val="28"/>
          <w:szCs w:val="28"/>
          <w:highlight w:val="none"/>
        </w:rPr>
      </w:pPr>
    </w:p>
    <w:p w14:paraId="745A19EB">
      <w:pPr>
        <w:jc w:val="center"/>
        <w:rPr>
          <w:rFonts w:hint="eastAsia" w:ascii="宋体" w:hAnsi="宋体"/>
          <w:b/>
          <w:bCs/>
          <w:color w:val="000000"/>
          <w:kern w:val="44"/>
          <w:sz w:val="28"/>
          <w:szCs w:val="28"/>
          <w:highlight w:val="none"/>
        </w:rPr>
      </w:pPr>
    </w:p>
    <w:p w14:paraId="7C2FF91E">
      <w:pPr>
        <w:jc w:val="center"/>
        <w:rPr>
          <w:rFonts w:hint="eastAsia" w:ascii="宋体" w:hAnsi="宋体"/>
          <w:b/>
          <w:bCs/>
          <w:color w:val="000000"/>
          <w:kern w:val="44"/>
          <w:sz w:val="28"/>
          <w:szCs w:val="28"/>
          <w:highlight w:val="none"/>
        </w:rPr>
      </w:pPr>
    </w:p>
    <w:p w14:paraId="16702716">
      <w:pPr>
        <w:jc w:val="center"/>
        <w:rPr>
          <w:rFonts w:hint="eastAsia" w:ascii="宋体" w:hAnsi="宋体"/>
          <w:b/>
          <w:bCs/>
          <w:color w:val="000000"/>
          <w:kern w:val="44"/>
          <w:sz w:val="28"/>
          <w:szCs w:val="28"/>
          <w:highlight w:val="none"/>
        </w:rPr>
      </w:pPr>
    </w:p>
    <w:p w14:paraId="64830597">
      <w:pPr>
        <w:jc w:val="center"/>
        <w:rPr>
          <w:rFonts w:hint="eastAsia" w:ascii="宋体" w:hAnsi="宋体"/>
          <w:b/>
          <w:bCs/>
          <w:color w:val="000000"/>
          <w:kern w:val="44"/>
          <w:sz w:val="28"/>
          <w:szCs w:val="28"/>
          <w:highlight w:val="none"/>
        </w:rPr>
      </w:pPr>
    </w:p>
    <w:p w14:paraId="036D3DF9">
      <w:pPr>
        <w:jc w:val="center"/>
        <w:rPr>
          <w:rFonts w:hint="eastAsia" w:ascii="宋体" w:hAnsi="宋体"/>
          <w:b/>
          <w:bCs/>
          <w:color w:val="000000"/>
          <w:kern w:val="44"/>
          <w:sz w:val="28"/>
          <w:szCs w:val="28"/>
          <w:highlight w:val="none"/>
        </w:rPr>
      </w:pPr>
    </w:p>
    <w:p w14:paraId="6808B820">
      <w:pPr>
        <w:jc w:val="center"/>
        <w:rPr>
          <w:rFonts w:ascii="宋体" w:hAnsi="宋体"/>
          <w:b/>
          <w:bCs/>
          <w:color w:val="000000"/>
          <w:kern w:val="44"/>
          <w:sz w:val="28"/>
          <w:szCs w:val="28"/>
          <w:highlight w:val="none"/>
        </w:rPr>
      </w:pPr>
      <w:r>
        <w:rPr>
          <w:rFonts w:hint="eastAsia" w:ascii="宋体" w:hAnsi="宋体"/>
          <w:b/>
          <w:bCs/>
          <w:color w:val="000000"/>
          <w:kern w:val="44"/>
          <w:sz w:val="28"/>
          <w:szCs w:val="28"/>
          <w:highlight w:val="none"/>
        </w:rPr>
        <w:t>十</w:t>
      </w:r>
      <w:r>
        <w:rPr>
          <w:rFonts w:hint="eastAsia" w:ascii="宋体" w:hAnsi="宋体"/>
          <w:b/>
          <w:bCs/>
          <w:color w:val="000000"/>
          <w:kern w:val="44"/>
          <w:sz w:val="28"/>
          <w:szCs w:val="28"/>
          <w:highlight w:val="none"/>
          <w:lang w:eastAsia="zh-CN"/>
        </w:rPr>
        <w:t>一</w:t>
      </w:r>
      <w:r>
        <w:rPr>
          <w:rFonts w:hint="eastAsia" w:ascii="宋体" w:hAnsi="宋体"/>
          <w:b/>
          <w:bCs/>
          <w:color w:val="000000"/>
          <w:kern w:val="44"/>
          <w:sz w:val="28"/>
          <w:szCs w:val="28"/>
          <w:highlight w:val="none"/>
        </w:rPr>
        <w:t>、供应商认为有必要提供的其他资料</w:t>
      </w:r>
      <w:bookmarkEnd w:id="240"/>
    </w:p>
    <w:p w14:paraId="44893A45">
      <w:pPr>
        <w:pStyle w:val="5"/>
        <w:rPr>
          <w:rFonts w:ascii="宋体" w:hAnsi="宋体" w:cs="宋体"/>
          <w:sz w:val="24"/>
          <w:szCs w:val="24"/>
          <w:highlight w:val="none"/>
        </w:rPr>
      </w:pPr>
      <w:r>
        <w:rPr>
          <w:rFonts w:hint="eastAsia" w:ascii="宋体" w:hAnsi="宋体" w:cs="宋体"/>
          <w:sz w:val="24"/>
          <w:szCs w:val="24"/>
          <w:highlight w:val="none"/>
        </w:rPr>
        <w:t>（一）招标文件要求提供的其他材料</w:t>
      </w:r>
    </w:p>
    <w:p w14:paraId="75B04253">
      <w:pPr>
        <w:pStyle w:val="5"/>
        <w:rPr>
          <w:rFonts w:ascii="宋体" w:hAnsi="宋体" w:cs="宋体"/>
          <w:sz w:val="24"/>
          <w:szCs w:val="24"/>
          <w:highlight w:val="none"/>
        </w:rPr>
      </w:pPr>
      <w:r>
        <w:rPr>
          <w:rFonts w:hint="eastAsia" w:ascii="宋体" w:hAnsi="宋体" w:cs="宋体"/>
          <w:sz w:val="24"/>
          <w:szCs w:val="24"/>
          <w:highlight w:val="none"/>
        </w:rPr>
        <w:t>（二）供应商认为需要提供的其他材料</w:t>
      </w:r>
    </w:p>
    <w:p w14:paraId="598E85FF">
      <w:pPr>
        <w:rPr>
          <w:highlight w:val="none"/>
        </w:rPr>
      </w:pPr>
    </w:p>
    <w:sectPr>
      <w:headerReference r:id="rId7" w:type="default"/>
      <w:footerReference r:id="rId8" w:type="default"/>
      <w:pgSz w:w="11906" w:h="16838"/>
      <w:pgMar w:top="1440" w:right="1361" w:bottom="1440" w:left="1587" w:header="851" w:footer="454" w:gutter="0"/>
      <w:cols w:space="720" w:num="1"/>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B058">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DC2C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9DC2C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7343">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6088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C56088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0FA8B">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D9A4E">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5BD9A4E">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9BD0">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left"/>
      <w:pPr>
        <w:ind w:left="1800" w:firstLine="0"/>
      </w:pPr>
      <w:rPr>
        <w:rFonts w:hint="eastAsia" w:ascii="黑体" w:hAnsi="Times New Roman" w:eastAsia="黑体"/>
        <w:sz w:val="32"/>
      </w:rPr>
    </w:lvl>
    <w:lvl w:ilvl="1" w:tentative="0">
      <w:start w:val="1"/>
      <w:numFmt w:val="upperLetter"/>
      <w:pStyle w:val="2"/>
      <w:suff w:val="nothing"/>
      <w:lvlText w:val="%2"/>
      <w:lvlJc w:val="left"/>
      <w:pPr>
        <w:ind w:left="1680" w:firstLine="0"/>
      </w:pPr>
      <w:rPr>
        <w:rFonts w:hint="eastAsia" w:ascii="CG Times" w:hAnsi="CG Times"/>
        <w:b/>
        <w:i w:val="0"/>
        <w:sz w:val="28"/>
      </w:rPr>
    </w:lvl>
    <w:lvl w:ilvl="2" w:tentative="0">
      <w:start w:val="1"/>
      <w:numFmt w:val="decimal"/>
      <w:suff w:val="nothing"/>
      <w:lvlText w:val="%3"/>
      <w:lvlJc w:val="left"/>
      <w:pPr>
        <w:ind w:left="1800" w:firstLine="0"/>
      </w:pPr>
      <w:rPr>
        <w:rFonts w:hint="eastAsia" w:ascii="宋体" w:hAnsi="Times New Roman" w:eastAsia="宋体"/>
        <w:b/>
        <w:i w:val="0"/>
        <w:sz w:val="28"/>
      </w:rPr>
    </w:lvl>
    <w:lvl w:ilvl="3" w:tentative="0">
      <w:start w:val="1"/>
      <w:numFmt w:val="none"/>
      <w:suff w:val="nothing"/>
      <w:lvlText w:val=""/>
      <w:lvlJc w:val="left"/>
      <w:pPr>
        <w:ind w:left="1800" w:firstLine="0"/>
      </w:pPr>
      <w:rPr>
        <w:rFonts w:hint="eastAsia"/>
      </w:rPr>
    </w:lvl>
    <w:lvl w:ilvl="4" w:tentative="0">
      <w:start w:val="1"/>
      <w:numFmt w:val="none"/>
      <w:suff w:val="nothing"/>
      <w:lvlText w:val=""/>
      <w:lvlJc w:val="left"/>
      <w:pPr>
        <w:ind w:left="1800" w:firstLine="0"/>
      </w:pPr>
      <w:rPr>
        <w:rFonts w:hint="eastAsia"/>
      </w:rPr>
    </w:lvl>
    <w:lvl w:ilvl="5" w:tentative="0">
      <w:start w:val="1"/>
      <w:numFmt w:val="none"/>
      <w:suff w:val="nothing"/>
      <w:lvlText w:val=""/>
      <w:lvlJc w:val="left"/>
      <w:pPr>
        <w:ind w:left="1800" w:firstLine="0"/>
      </w:pPr>
      <w:rPr>
        <w:rFonts w:hint="eastAsia"/>
      </w:rPr>
    </w:lvl>
    <w:lvl w:ilvl="6" w:tentative="0">
      <w:start w:val="1"/>
      <w:numFmt w:val="none"/>
      <w:suff w:val="nothing"/>
      <w:lvlText w:val=""/>
      <w:lvlJc w:val="left"/>
      <w:pPr>
        <w:ind w:left="1800" w:firstLine="0"/>
      </w:pPr>
      <w:rPr>
        <w:rFonts w:hint="eastAsia"/>
      </w:rPr>
    </w:lvl>
    <w:lvl w:ilvl="7" w:tentative="0">
      <w:start w:val="1"/>
      <w:numFmt w:val="none"/>
      <w:suff w:val="nothing"/>
      <w:lvlText w:val=""/>
      <w:lvlJc w:val="left"/>
      <w:pPr>
        <w:ind w:left="1800" w:firstLine="0"/>
      </w:pPr>
      <w:rPr>
        <w:rFonts w:hint="eastAsia"/>
      </w:rPr>
    </w:lvl>
    <w:lvl w:ilvl="8" w:tentative="0">
      <w:start w:val="1"/>
      <w:numFmt w:val="none"/>
      <w:suff w:val="nothing"/>
      <w:lvlText w:val=""/>
      <w:lvlJc w:val="left"/>
      <w:pPr>
        <w:ind w:left="1800" w:firstLine="0"/>
      </w:pPr>
      <w:rPr>
        <w:rFonts w:hint="eastAsia"/>
      </w:rPr>
    </w:lvl>
  </w:abstractNum>
  <w:abstractNum w:abstractNumId="1">
    <w:nsid w:val="27F1030B"/>
    <w:multiLevelType w:val="singleLevel"/>
    <w:tmpl w:val="27F1030B"/>
    <w:lvl w:ilvl="0" w:tentative="0">
      <w:start w:val="3"/>
      <w:numFmt w:val="decimal"/>
      <w:suff w:val="nothing"/>
      <w:lvlText w:val="%1、"/>
      <w:lvlJc w:val="left"/>
    </w:lvl>
  </w:abstractNum>
  <w:abstractNum w:abstractNumId="2">
    <w:nsid w:val="2F1DA5BA"/>
    <w:multiLevelType w:val="singleLevel"/>
    <w:tmpl w:val="2F1DA5BA"/>
    <w:lvl w:ilvl="0" w:tentative="0">
      <w:start w:val="5"/>
      <w:numFmt w:val="chineseCounting"/>
      <w:suff w:val="space"/>
      <w:lvlText w:val="第%1章"/>
      <w:lvlJc w:val="left"/>
      <w:rPr>
        <w:rFonts w:hint="eastAsia"/>
      </w:rPr>
    </w:lvl>
  </w:abstractNum>
  <w:abstractNum w:abstractNumId="3">
    <w:nsid w:val="4F3FF634"/>
    <w:multiLevelType w:val="singleLevel"/>
    <w:tmpl w:val="4F3FF634"/>
    <w:lvl w:ilvl="0" w:tentative="0">
      <w:start w:val="2"/>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I1YjI0ZGFkNDc3YTdkZGVmNzIyNGE4ODY5ZjMifQ=="/>
  </w:docVars>
  <w:rsids>
    <w:rsidRoot w:val="00172A27"/>
    <w:rsid w:val="00172A27"/>
    <w:rsid w:val="002F7E91"/>
    <w:rsid w:val="004C3503"/>
    <w:rsid w:val="00AE7FE2"/>
    <w:rsid w:val="00E92234"/>
    <w:rsid w:val="018F2EE2"/>
    <w:rsid w:val="01B50CD4"/>
    <w:rsid w:val="01D54ECF"/>
    <w:rsid w:val="038F6958"/>
    <w:rsid w:val="039F2BD8"/>
    <w:rsid w:val="03B40087"/>
    <w:rsid w:val="040D7A92"/>
    <w:rsid w:val="043528F0"/>
    <w:rsid w:val="046935B2"/>
    <w:rsid w:val="04DC52CD"/>
    <w:rsid w:val="064F2C3F"/>
    <w:rsid w:val="06CE2492"/>
    <w:rsid w:val="07C974BA"/>
    <w:rsid w:val="0815450F"/>
    <w:rsid w:val="08713341"/>
    <w:rsid w:val="0A5661A7"/>
    <w:rsid w:val="0ADE033B"/>
    <w:rsid w:val="0AE778EA"/>
    <w:rsid w:val="0B8205BE"/>
    <w:rsid w:val="0CF12CA2"/>
    <w:rsid w:val="0DFE5677"/>
    <w:rsid w:val="0E9B1423"/>
    <w:rsid w:val="0EFE16F2"/>
    <w:rsid w:val="0FB06207"/>
    <w:rsid w:val="0FEF7E67"/>
    <w:rsid w:val="101C7A12"/>
    <w:rsid w:val="10523A58"/>
    <w:rsid w:val="10AC30D2"/>
    <w:rsid w:val="13F74C74"/>
    <w:rsid w:val="14321BD6"/>
    <w:rsid w:val="15AC6F30"/>
    <w:rsid w:val="15D867EB"/>
    <w:rsid w:val="166E07F2"/>
    <w:rsid w:val="16CA259A"/>
    <w:rsid w:val="17EF431F"/>
    <w:rsid w:val="1A2B3E85"/>
    <w:rsid w:val="1B323353"/>
    <w:rsid w:val="1BD23E31"/>
    <w:rsid w:val="1BF07F59"/>
    <w:rsid w:val="1C19181A"/>
    <w:rsid w:val="1CC334CA"/>
    <w:rsid w:val="1E18187B"/>
    <w:rsid w:val="1E764BA4"/>
    <w:rsid w:val="1EE00481"/>
    <w:rsid w:val="1F050C35"/>
    <w:rsid w:val="1F1951D4"/>
    <w:rsid w:val="1FB93013"/>
    <w:rsid w:val="1FC30797"/>
    <w:rsid w:val="2179348A"/>
    <w:rsid w:val="219F28F6"/>
    <w:rsid w:val="22360110"/>
    <w:rsid w:val="231A3FCD"/>
    <w:rsid w:val="238C6426"/>
    <w:rsid w:val="23F52C20"/>
    <w:rsid w:val="27427F2B"/>
    <w:rsid w:val="274A3DA9"/>
    <w:rsid w:val="274A5031"/>
    <w:rsid w:val="274E4B21"/>
    <w:rsid w:val="29073217"/>
    <w:rsid w:val="291A2C18"/>
    <w:rsid w:val="293027CD"/>
    <w:rsid w:val="294D1F58"/>
    <w:rsid w:val="296040B0"/>
    <w:rsid w:val="2B1C0D4E"/>
    <w:rsid w:val="2BAF34DE"/>
    <w:rsid w:val="2C74081C"/>
    <w:rsid w:val="2D9D2B31"/>
    <w:rsid w:val="30792583"/>
    <w:rsid w:val="319C0B7F"/>
    <w:rsid w:val="32731DB1"/>
    <w:rsid w:val="32AC4DF2"/>
    <w:rsid w:val="32DC56D7"/>
    <w:rsid w:val="332D2530"/>
    <w:rsid w:val="338531C9"/>
    <w:rsid w:val="343706EB"/>
    <w:rsid w:val="34481BD7"/>
    <w:rsid w:val="38517C85"/>
    <w:rsid w:val="386C3D8E"/>
    <w:rsid w:val="3A4678DA"/>
    <w:rsid w:val="3C5C6F51"/>
    <w:rsid w:val="3CD613E9"/>
    <w:rsid w:val="3DC116A6"/>
    <w:rsid w:val="3DC9292C"/>
    <w:rsid w:val="3E321602"/>
    <w:rsid w:val="3E5608DA"/>
    <w:rsid w:val="3E9B7103"/>
    <w:rsid w:val="40BA7295"/>
    <w:rsid w:val="40EE3A49"/>
    <w:rsid w:val="41374AB5"/>
    <w:rsid w:val="41E70FD0"/>
    <w:rsid w:val="42306E93"/>
    <w:rsid w:val="424F2038"/>
    <w:rsid w:val="427B7848"/>
    <w:rsid w:val="42EE59C9"/>
    <w:rsid w:val="432B6CC3"/>
    <w:rsid w:val="43966C7B"/>
    <w:rsid w:val="43E35F70"/>
    <w:rsid w:val="45004ECC"/>
    <w:rsid w:val="45CA5C05"/>
    <w:rsid w:val="45DE61D5"/>
    <w:rsid w:val="47163D7B"/>
    <w:rsid w:val="47B02F47"/>
    <w:rsid w:val="47E769A3"/>
    <w:rsid w:val="48223458"/>
    <w:rsid w:val="482956CE"/>
    <w:rsid w:val="49200EFF"/>
    <w:rsid w:val="49987240"/>
    <w:rsid w:val="49DC7359"/>
    <w:rsid w:val="4A2523B4"/>
    <w:rsid w:val="4A301A0D"/>
    <w:rsid w:val="4A9625C6"/>
    <w:rsid w:val="4B007631"/>
    <w:rsid w:val="4B0C1A68"/>
    <w:rsid w:val="4B46721A"/>
    <w:rsid w:val="4BA02BCB"/>
    <w:rsid w:val="4BE3519F"/>
    <w:rsid w:val="4C5B2226"/>
    <w:rsid w:val="4D551FDE"/>
    <w:rsid w:val="4DE12DCB"/>
    <w:rsid w:val="4E1C29D4"/>
    <w:rsid w:val="4F17685E"/>
    <w:rsid w:val="4F1B1A78"/>
    <w:rsid w:val="4FC44DB3"/>
    <w:rsid w:val="508036EE"/>
    <w:rsid w:val="50D21A70"/>
    <w:rsid w:val="50F27A58"/>
    <w:rsid w:val="51120B65"/>
    <w:rsid w:val="525B061E"/>
    <w:rsid w:val="52A37E9A"/>
    <w:rsid w:val="55780F88"/>
    <w:rsid w:val="563B7430"/>
    <w:rsid w:val="56AF1BFD"/>
    <w:rsid w:val="56B62747"/>
    <w:rsid w:val="576113C5"/>
    <w:rsid w:val="586A79B6"/>
    <w:rsid w:val="5AEE6B56"/>
    <w:rsid w:val="5C024577"/>
    <w:rsid w:val="5D9C4A3C"/>
    <w:rsid w:val="5E0D49C3"/>
    <w:rsid w:val="5E207EFE"/>
    <w:rsid w:val="5F323016"/>
    <w:rsid w:val="60347691"/>
    <w:rsid w:val="606D5311"/>
    <w:rsid w:val="60DB2B05"/>
    <w:rsid w:val="61083D46"/>
    <w:rsid w:val="611F6193"/>
    <w:rsid w:val="615351A9"/>
    <w:rsid w:val="61677C92"/>
    <w:rsid w:val="62422200"/>
    <w:rsid w:val="62585B87"/>
    <w:rsid w:val="62E3632F"/>
    <w:rsid w:val="630B4D17"/>
    <w:rsid w:val="63367C3C"/>
    <w:rsid w:val="63FE69AC"/>
    <w:rsid w:val="640B10C9"/>
    <w:rsid w:val="65500FBB"/>
    <w:rsid w:val="6557682B"/>
    <w:rsid w:val="65593EFD"/>
    <w:rsid w:val="65CB2089"/>
    <w:rsid w:val="67FC364E"/>
    <w:rsid w:val="69B55D5F"/>
    <w:rsid w:val="6A5512F0"/>
    <w:rsid w:val="6A8D4C80"/>
    <w:rsid w:val="6AA62E9E"/>
    <w:rsid w:val="6AEA6B50"/>
    <w:rsid w:val="6B12488F"/>
    <w:rsid w:val="6B4A24D7"/>
    <w:rsid w:val="6B914D59"/>
    <w:rsid w:val="6BE446D9"/>
    <w:rsid w:val="6C9248FC"/>
    <w:rsid w:val="6CAF5B7C"/>
    <w:rsid w:val="6D111675"/>
    <w:rsid w:val="6D7B7DF7"/>
    <w:rsid w:val="6DA7761A"/>
    <w:rsid w:val="6E4C21AC"/>
    <w:rsid w:val="6F267A47"/>
    <w:rsid w:val="710F1453"/>
    <w:rsid w:val="71215823"/>
    <w:rsid w:val="72905789"/>
    <w:rsid w:val="7451325C"/>
    <w:rsid w:val="75100DF4"/>
    <w:rsid w:val="76202D2F"/>
    <w:rsid w:val="77024937"/>
    <w:rsid w:val="77EF5AEB"/>
    <w:rsid w:val="788E31EC"/>
    <w:rsid w:val="79434D70"/>
    <w:rsid w:val="7C0114D8"/>
    <w:rsid w:val="7C6838C5"/>
    <w:rsid w:val="7C9D386B"/>
    <w:rsid w:val="7D3E6C4C"/>
    <w:rsid w:val="7EA321D2"/>
    <w:rsid w:val="7F6C3854"/>
    <w:rsid w:val="7FF476D6"/>
    <w:rsid w:val="7FF95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line="413" w:lineRule="auto"/>
      <w:outlineLvl w:val="1"/>
    </w:pPr>
    <w:rPr>
      <w:rFonts w:ascii="Arial" w:hAnsi="Arial" w:eastAsia="黑体" w:cs="Times New Roman"/>
      <w:b/>
      <w:sz w:val="32"/>
    </w:rPr>
  </w:style>
  <w:style w:type="paragraph" w:styleId="3">
    <w:name w:val="heading 3"/>
    <w:basedOn w:val="1"/>
    <w:next w:val="1"/>
    <w:qFormat/>
    <w:uiPriority w:val="99"/>
    <w:pPr>
      <w:keepNext/>
      <w:keepLines/>
      <w:jc w:val="left"/>
      <w:outlineLvl w:val="2"/>
    </w:pPr>
    <w:rPr>
      <w:rFonts w:ascii="宋体" w:hAnsi="宋体" w:cs="宋体"/>
      <w:b/>
      <w:bC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3"/>
    <w:basedOn w:val="1"/>
    <w:qFormat/>
    <w:uiPriority w:val="0"/>
    <w:pPr>
      <w:spacing w:after="120"/>
    </w:pPr>
    <w:rPr>
      <w:sz w:val="16"/>
      <w:szCs w:val="16"/>
    </w:rPr>
  </w:style>
  <w:style w:type="paragraph" w:styleId="6">
    <w:name w:val="Body Text"/>
    <w:basedOn w:val="1"/>
    <w:unhideWhenUsed/>
    <w:qFormat/>
    <w:uiPriority w:val="99"/>
    <w:pPr>
      <w:spacing w:after="120"/>
    </w:pPr>
  </w:style>
  <w:style w:type="paragraph" w:styleId="7">
    <w:name w:val="Plain Text"/>
    <w:basedOn w:val="1"/>
    <w:unhideWhenUsed/>
    <w:qFormat/>
    <w:uiPriority w:val="0"/>
    <w:rPr>
      <w:rFonts w:ascii="宋体" w:hAnsi="Courier New" w:eastAsia="仿宋"/>
      <w:sz w:val="20"/>
    </w:rPr>
  </w:style>
  <w:style w:type="paragraph" w:styleId="8">
    <w:name w:val="footer"/>
    <w:basedOn w:val="1"/>
    <w:unhideWhenUsed/>
    <w:qFormat/>
    <w:uiPriority w:val="99"/>
    <w:pPr>
      <w:snapToGrid w:val="0"/>
      <w:jc w:val="left"/>
    </w:pPr>
    <w:rPr>
      <w:sz w:val="18"/>
      <w:szCs w:val="18"/>
    </w:rPr>
  </w:style>
  <w:style w:type="paragraph" w:styleId="9">
    <w:name w:val="header"/>
    <w:basedOn w:val="1"/>
    <w:unhideWhenUsed/>
    <w:qFormat/>
    <w:uiPriority w:val="0"/>
    <w:pPr>
      <w:pBdr>
        <w:bottom w:val="single" w:color="auto" w:sz="6" w:space="1"/>
      </w:pBdr>
      <w:snapToGrid w:val="0"/>
      <w:jc w:val="center"/>
    </w:pPr>
    <w:rPr>
      <w:sz w:val="18"/>
      <w:szCs w:val="18"/>
    </w:rPr>
  </w:style>
  <w:style w:type="paragraph" w:styleId="10">
    <w:name w:val="Body Text 2"/>
    <w:basedOn w:val="1"/>
    <w:next w:val="7"/>
    <w:qFormat/>
    <w:uiPriority w:val="0"/>
    <w:pPr>
      <w:widowControl/>
      <w:spacing w:before="100" w:beforeAutospacing="1" w:after="100" w:afterAutospacing="1"/>
    </w:pPr>
    <w:rPr>
      <w:kern w:val="0"/>
    </w:rPr>
  </w:style>
  <w:style w:type="paragraph" w:styleId="11">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paragraph" w:styleId="12">
    <w:name w:val="Normal (Web)"/>
    <w:basedOn w:val="1"/>
    <w:qFormat/>
    <w:uiPriority w:val="0"/>
    <w:pPr>
      <w:jc w:val="left"/>
    </w:pPr>
    <w:rPr>
      <w:kern w:val="0"/>
      <w:sz w:val="24"/>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bCs/>
    </w:rPr>
  </w:style>
  <w:style w:type="character" w:styleId="17">
    <w:name w:val="FollowedHyperlink"/>
    <w:basedOn w:val="15"/>
    <w:qFormat/>
    <w:uiPriority w:val="0"/>
    <w:rPr>
      <w:color w:val="800080"/>
      <w:u w:val="none"/>
    </w:rPr>
  </w:style>
  <w:style w:type="character" w:styleId="18">
    <w:name w:val="Emphasis"/>
    <w:basedOn w:val="15"/>
    <w:qFormat/>
    <w:uiPriority w:val="0"/>
    <w:rPr>
      <w:b/>
      <w:bCs/>
    </w:rPr>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rPr>
      <w:bdr w:val="single" w:color="888888" w:sz="2" w:space="0"/>
      <w:shd w:val="clear" w:color="auto" w:fill="F2F4F9"/>
    </w:rPr>
  </w:style>
  <w:style w:type="character" w:styleId="23">
    <w:name w:val="Hyperlink"/>
    <w:basedOn w:val="15"/>
    <w:qFormat/>
    <w:uiPriority w:val="0"/>
    <w:rPr>
      <w:color w:val="0000FF"/>
      <w:u w:val="none"/>
    </w:rPr>
  </w:style>
  <w:style w:type="character" w:styleId="24">
    <w:name w:val="HTML Code"/>
    <w:basedOn w:val="15"/>
    <w:qFormat/>
    <w:uiPriority w:val="0"/>
    <w:rPr>
      <w:rFonts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paragraph" w:customStyle="1" w:styleId="28">
    <w:name w:val="Default"/>
    <w:basedOn w:val="7"/>
    <w:next w:val="1"/>
    <w:qFormat/>
    <w:uiPriority w:val="0"/>
    <w:pPr>
      <w:autoSpaceDE w:val="0"/>
      <w:autoSpaceDN w:val="0"/>
      <w:adjustRightInd w:val="0"/>
    </w:pPr>
    <w:rPr>
      <w:rFonts w:hAnsi="Times New Roman" w:eastAsia="宋体"/>
      <w:color w:val="000000"/>
      <w:sz w:val="24"/>
      <w:szCs w:val="22"/>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样式 标题 3 + (中文) 黑体 小四 非加粗 段前: 7.8 磅 段后: 0 磅 行距: 固定值 20 磅"/>
    <w:basedOn w:val="3"/>
    <w:qFormat/>
    <w:uiPriority w:val="0"/>
    <w:rPr>
      <w:rFonts w:eastAsia="黑体"/>
      <w:b w:val="0"/>
      <w:bCs w:val="0"/>
    </w:rPr>
  </w:style>
  <w:style w:type="paragraph" w:customStyle="1" w:styleId="31">
    <w:name w:val="Body text|1"/>
    <w:basedOn w:val="1"/>
    <w:qFormat/>
    <w:uiPriority w:val="0"/>
    <w:pPr>
      <w:spacing w:line="389" w:lineRule="auto"/>
      <w:ind w:firstLine="400"/>
    </w:pPr>
    <w:rPr>
      <w:rFonts w:ascii="宋体" w:hAnsi="宋体" w:cs="宋体"/>
      <w:color w:val="4C5F6E"/>
      <w:sz w:val="28"/>
      <w:szCs w:val="28"/>
      <w:lang w:val="zh-TW" w:eastAsia="zh-TW" w:bidi="zh-TW"/>
    </w:rPr>
  </w:style>
  <w:style w:type="paragraph" w:customStyle="1" w:styleId="32">
    <w:name w:val="Table Paragraph"/>
    <w:basedOn w:val="1"/>
    <w:qFormat/>
    <w:uiPriority w:val="1"/>
  </w:style>
  <w:style w:type="table" w:customStyle="1" w:styleId="33">
    <w:name w:val="Table Normal"/>
    <w:semiHidden/>
    <w:unhideWhenUsed/>
    <w:qFormat/>
    <w:uiPriority w:val="2"/>
    <w:tblPr>
      <w:tblCellMar>
        <w:top w:w="0" w:type="dxa"/>
        <w:left w:w="0" w:type="dxa"/>
        <w:bottom w:w="0" w:type="dxa"/>
        <w:right w:w="0" w:type="dxa"/>
      </w:tblCellMar>
    </w:tblPr>
  </w:style>
  <w:style w:type="character" w:customStyle="1" w:styleId="34">
    <w:name w:val="font11"/>
    <w:basedOn w:val="15"/>
    <w:qFormat/>
    <w:uiPriority w:val="0"/>
    <w:rPr>
      <w:rFonts w:hint="eastAsia" w:ascii="宋体" w:hAnsi="宋体" w:eastAsia="宋体" w:cs="宋体"/>
      <w:color w:val="000000"/>
      <w:sz w:val="24"/>
      <w:szCs w:val="24"/>
      <w:u w:val="none"/>
    </w:rPr>
  </w:style>
  <w:style w:type="character" w:customStyle="1" w:styleId="35">
    <w:name w:val="font21"/>
    <w:basedOn w:val="15"/>
    <w:qFormat/>
    <w:uiPriority w:val="0"/>
    <w:rPr>
      <w:rFonts w:ascii="微软雅黑" w:hAnsi="微软雅黑" w:eastAsia="微软雅黑" w:cs="微软雅黑"/>
      <w:color w:val="000000"/>
      <w:sz w:val="24"/>
      <w:szCs w:val="24"/>
      <w:u w:val="none"/>
    </w:rPr>
  </w:style>
  <w:style w:type="paragraph" w:customStyle="1" w:styleId="36">
    <w:name w:val="Heading #3|1"/>
    <w:basedOn w:val="1"/>
    <w:qFormat/>
    <w:uiPriority w:val="0"/>
    <w:pPr>
      <w:spacing w:after="60"/>
      <w:jc w:val="center"/>
      <w:outlineLvl w:val="2"/>
    </w:pPr>
    <w:rPr>
      <w:rFonts w:ascii="宋体" w:hAnsi="宋体" w:cs="宋体"/>
      <w:sz w:val="28"/>
      <w:szCs w:val="28"/>
      <w:lang w:val="zh-TW" w:eastAsia="zh-TW" w:bidi="zh-TW"/>
    </w:rPr>
  </w:style>
  <w:style w:type="character" w:customStyle="1" w:styleId="37">
    <w:name w:val="hover1"/>
    <w:basedOn w:val="15"/>
    <w:qFormat/>
    <w:uiPriority w:val="0"/>
    <w:rPr>
      <w:color w:val="2590EB"/>
    </w:rPr>
  </w:style>
  <w:style w:type="character" w:customStyle="1" w:styleId="38">
    <w:name w:val="hover2"/>
    <w:basedOn w:val="15"/>
    <w:qFormat/>
    <w:uiPriority w:val="0"/>
    <w:rPr>
      <w:color w:val="2590EB"/>
    </w:rPr>
  </w:style>
  <w:style w:type="character" w:customStyle="1" w:styleId="39">
    <w:name w:val="hover3"/>
    <w:basedOn w:val="15"/>
    <w:qFormat/>
    <w:uiPriority w:val="0"/>
  </w:style>
  <w:style w:type="character" w:customStyle="1" w:styleId="40">
    <w:name w:val="mini-outputtext1"/>
    <w:basedOn w:val="15"/>
    <w:qFormat/>
    <w:uiPriority w:val="0"/>
  </w:style>
  <w:style w:type="character" w:customStyle="1" w:styleId="41">
    <w:name w:val="hover"/>
    <w:basedOn w:val="15"/>
    <w:qFormat/>
    <w:uiPriority w:val="0"/>
    <w:rPr>
      <w:color w:val="2590EB"/>
    </w:rPr>
  </w:style>
  <w:style w:type="character" w:customStyle="1" w:styleId="42">
    <w:name w:val="font01"/>
    <w:basedOn w:val="15"/>
    <w:qFormat/>
    <w:uiPriority w:val="0"/>
    <w:rPr>
      <w:rFonts w:hint="eastAsia" w:ascii="宋体" w:hAnsi="宋体" w:eastAsia="宋体" w:cs="宋体"/>
      <w:color w:val="000000"/>
      <w:sz w:val="24"/>
      <w:szCs w:val="24"/>
      <w:u w:val="none"/>
    </w:rPr>
  </w:style>
  <w:style w:type="paragraph" w:styleId="43">
    <w:name w:val="List Paragraph"/>
    <w:basedOn w:val="1"/>
    <w:next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27472</Words>
  <Characters>30121</Characters>
  <Lines>195</Lines>
  <Paragraphs>55</Paragraphs>
  <TotalTime>0</TotalTime>
  <ScaleCrop>false</ScaleCrop>
  <LinksUpToDate>false</LinksUpToDate>
  <CharactersWithSpaces>30925</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2024-03-28T01:16:00Z</dcterms:created>
  <dc:creator>25187</dc:creator>
  <cp:lastModifiedBy>附肛难删献</cp:lastModifiedBy>
  <dcterms:modified xsi:type="dcterms:W3CDTF">2026-04-17T07:05:37Z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41D813586B3942B390A1C4D716C5AC97_13</vt:lpwstr>
  </property>
  <property fmtid="{D5CDD505-2E9C-101B-9397-08002B2CF9AE}" pid="4" name="KSOTemplateDocerSaveRecord">
    <vt:lpwstr>eyJoZGlkIjoiMzBlMDlhM2Y4YmVlNmQyZDAxYTFkZDJhZmQwMzhmYWUiLCJ1c2VySWQiOiIxODE5NzM5NTI0In0=</vt:lpwstr>
  </property>
</Properties>
</file>