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5F630">
      <w:pPr>
        <w:spacing w:line="720" w:lineRule="auto"/>
        <w:jc w:val="center"/>
        <w:rPr>
          <w:rFonts w:hint="eastAsia"/>
          <w:color w:val="auto"/>
          <w:sz w:val="44"/>
          <w:szCs w:val="44"/>
          <w:lang w:val="en-US" w:eastAsia="zh-CN"/>
        </w:rPr>
      </w:pPr>
      <w:bookmarkStart w:id="27" w:name="_GoBack"/>
      <w:bookmarkEnd w:id="27"/>
      <w:r>
        <w:rPr>
          <w:rFonts w:hint="eastAsia"/>
          <w:color w:val="auto"/>
          <w:sz w:val="44"/>
          <w:szCs w:val="44"/>
          <w:lang w:val="en-US" w:eastAsia="zh-CN"/>
        </w:rPr>
        <w:t>卢氏县乡镇空气自动监测站运维服务项目</w:t>
      </w:r>
    </w:p>
    <w:p w14:paraId="692D9AA8">
      <w:pPr>
        <w:spacing w:line="720" w:lineRule="auto"/>
        <w:jc w:val="center"/>
        <w:rPr>
          <w:rFonts w:hint="eastAsia"/>
          <w:color w:val="auto"/>
          <w:sz w:val="44"/>
          <w:szCs w:val="44"/>
          <w:lang w:val="en-US" w:eastAsia="zh-CN"/>
        </w:rPr>
      </w:pPr>
    </w:p>
    <w:p w14:paraId="52DCB947">
      <w:pPr>
        <w:spacing w:line="720" w:lineRule="auto"/>
        <w:jc w:val="center"/>
        <w:rPr>
          <w:rFonts w:hint="eastAsia" w:ascii="宋体" w:hAnsi="宋体"/>
          <w:b/>
          <w:color w:val="auto"/>
          <w:sz w:val="36"/>
          <w:szCs w:val="36"/>
          <w:lang w:eastAsia="zh-CN"/>
        </w:rPr>
      </w:pPr>
      <w:r>
        <w:rPr>
          <w:rFonts w:hint="eastAsia" w:ascii="宋体" w:hAnsi="宋体"/>
          <w:b/>
          <w:color w:val="auto"/>
          <w:sz w:val="72"/>
          <w:szCs w:val="72"/>
          <w:lang w:eastAsia="zh-CN"/>
        </w:rPr>
        <w:t>招标文件</w:t>
      </w:r>
    </w:p>
    <w:p w14:paraId="1AD5E8B6">
      <w:pPr>
        <w:spacing w:line="720" w:lineRule="auto"/>
        <w:jc w:val="both"/>
        <w:rPr>
          <w:rFonts w:hint="default" w:ascii="宋体" w:hAnsi="宋体" w:eastAsia="宋体"/>
          <w:b w:val="0"/>
          <w:bCs/>
          <w:color w:val="auto"/>
          <w:sz w:val="32"/>
          <w:szCs w:val="32"/>
          <w:lang w:val="en-US" w:eastAsia="zh-CN"/>
        </w:rPr>
      </w:pPr>
      <w:r>
        <w:rPr>
          <w:rFonts w:hint="eastAsia" w:ascii="宋体" w:hAnsi="宋体"/>
          <w:b w:val="0"/>
          <w:bCs/>
          <w:color w:val="auto"/>
          <w:sz w:val="32"/>
          <w:szCs w:val="32"/>
          <w:lang w:eastAsia="zh-CN"/>
        </w:rPr>
        <w:t>项目编号：</w:t>
      </w:r>
      <w:r>
        <w:rPr>
          <w:rFonts w:hint="eastAsia" w:ascii="宋体" w:hAnsi="宋体"/>
          <w:b w:val="0"/>
          <w:bCs/>
          <w:color w:val="auto"/>
          <w:sz w:val="32"/>
          <w:szCs w:val="32"/>
          <w:lang w:val="en-US" w:eastAsia="zh-CN"/>
        </w:rPr>
        <w:t xml:space="preserve"> LSGZ[2026]059-ZC045、三卢公开采购-2026-13</w:t>
      </w:r>
    </w:p>
    <w:p w14:paraId="6105F98E">
      <w:pPr>
        <w:spacing w:line="720" w:lineRule="auto"/>
        <w:jc w:val="center"/>
        <w:rPr>
          <w:rFonts w:hint="default" w:ascii="宋体" w:hAnsi="宋体"/>
          <w:b/>
          <w:color w:val="auto"/>
          <w:sz w:val="48"/>
          <w:szCs w:val="48"/>
          <w:lang w:val="en-US"/>
        </w:rPr>
      </w:pPr>
    </w:p>
    <w:p w14:paraId="119ACE59">
      <w:pPr>
        <w:snapToGrid w:val="0"/>
        <w:spacing w:line="360" w:lineRule="auto"/>
        <w:jc w:val="center"/>
        <w:rPr>
          <w:rFonts w:hint="eastAsia" w:ascii="宋体" w:hAnsi="宋体"/>
          <w:b/>
          <w:bCs/>
          <w:color w:val="auto"/>
          <w:kern w:val="0"/>
          <w:sz w:val="30"/>
          <w:szCs w:val="30"/>
          <w:lang w:val="en-US" w:eastAsia="zh-CN"/>
        </w:rPr>
      </w:pPr>
    </w:p>
    <w:p w14:paraId="33C1344A">
      <w:pPr>
        <w:snapToGrid w:val="0"/>
        <w:spacing w:line="360" w:lineRule="auto"/>
        <w:jc w:val="both"/>
        <w:rPr>
          <w:rFonts w:hint="eastAsia" w:ascii="宋体" w:hAnsi="宋体"/>
          <w:b/>
          <w:bCs/>
          <w:color w:val="auto"/>
          <w:kern w:val="0"/>
          <w:sz w:val="30"/>
          <w:szCs w:val="30"/>
          <w:lang w:val="en-US" w:eastAsia="zh-CN"/>
        </w:rPr>
      </w:pPr>
    </w:p>
    <w:p w14:paraId="5168877C">
      <w:pPr>
        <w:pStyle w:val="7"/>
        <w:rPr>
          <w:rFonts w:hint="eastAsia"/>
          <w:color w:val="auto"/>
          <w:lang w:val="en-US" w:eastAsia="zh-CN"/>
        </w:rPr>
      </w:pPr>
      <w:r>
        <w:rPr>
          <w:rFonts w:hint="eastAsia" w:ascii="宋体" w:hAnsi="宋体" w:eastAsia="宋体"/>
          <w:lang w:eastAsia="zh-CN"/>
        </w:rPr>
        <w:drawing>
          <wp:anchor distT="0" distB="0" distL="114300" distR="114300" simplePos="0" relativeHeight="251659264" behindDoc="1" locked="0" layoutInCell="1" allowOverlap="1">
            <wp:simplePos x="0" y="0"/>
            <wp:positionH relativeFrom="column">
              <wp:posOffset>217170</wp:posOffset>
            </wp:positionH>
            <wp:positionV relativeFrom="paragraph">
              <wp:posOffset>-589915</wp:posOffset>
            </wp:positionV>
            <wp:extent cx="4880610" cy="1564640"/>
            <wp:effectExtent l="0" t="0" r="11430" b="5080"/>
            <wp:wrapTight wrapText="bothSides">
              <wp:wrapPolygon>
                <wp:start x="0" y="0"/>
                <wp:lineTo x="0" y="21460"/>
                <wp:lineTo x="21516" y="21460"/>
                <wp:lineTo x="21516" y="0"/>
                <wp:lineTo x="0" y="0"/>
              </wp:wrapPolygon>
            </wp:wrapTight>
            <wp:docPr id="9" name="图片 2" descr="dcd7c3b69238327f569f23fa622b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dcd7c3b69238327f569f23fa622b4f4"/>
                    <pic:cNvPicPr>
                      <a:picLocks noChangeAspect="1"/>
                    </pic:cNvPicPr>
                  </pic:nvPicPr>
                  <pic:blipFill>
                    <a:blip r:embed="rId7"/>
                    <a:stretch>
                      <a:fillRect/>
                    </a:stretch>
                  </pic:blipFill>
                  <pic:spPr>
                    <a:xfrm>
                      <a:off x="0" y="0"/>
                      <a:ext cx="4880610" cy="1564640"/>
                    </a:xfrm>
                    <a:prstGeom prst="rect">
                      <a:avLst/>
                    </a:prstGeom>
                    <a:noFill/>
                    <a:ln>
                      <a:noFill/>
                    </a:ln>
                  </pic:spPr>
                </pic:pic>
              </a:graphicData>
            </a:graphic>
          </wp:anchor>
        </w:drawing>
      </w:r>
    </w:p>
    <w:p w14:paraId="319B3916">
      <w:pPr>
        <w:snapToGrid w:val="0"/>
        <w:spacing w:line="360" w:lineRule="auto"/>
        <w:jc w:val="center"/>
        <w:rPr>
          <w:rFonts w:hint="eastAsia" w:ascii="宋体" w:hAnsi="宋体"/>
          <w:b/>
          <w:bCs/>
          <w:color w:val="auto"/>
          <w:kern w:val="0"/>
          <w:sz w:val="30"/>
          <w:szCs w:val="30"/>
          <w:lang w:val="en-US" w:eastAsia="zh-CN"/>
        </w:rPr>
      </w:pPr>
    </w:p>
    <w:p w14:paraId="55541C9B">
      <w:pPr>
        <w:snapToGrid w:val="0"/>
        <w:spacing w:line="360" w:lineRule="auto"/>
        <w:jc w:val="center"/>
        <w:rPr>
          <w:rFonts w:hint="eastAsia" w:ascii="宋体" w:hAnsi="宋体"/>
          <w:b/>
          <w:bCs/>
          <w:color w:val="auto"/>
          <w:kern w:val="0"/>
          <w:sz w:val="30"/>
          <w:szCs w:val="30"/>
          <w:lang w:val="en-US" w:eastAsia="zh-CN"/>
        </w:rPr>
      </w:pPr>
    </w:p>
    <w:p w14:paraId="74313B5F">
      <w:pPr>
        <w:snapToGrid w:val="0"/>
        <w:spacing w:line="360" w:lineRule="auto"/>
        <w:jc w:val="center"/>
        <w:rPr>
          <w:rFonts w:hint="eastAsia" w:ascii="宋体" w:hAnsi="宋体"/>
          <w:b/>
          <w:bCs/>
          <w:color w:val="auto"/>
          <w:kern w:val="0"/>
          <w:sz w:val="30"/>
          <w:szCs w:val="30"/>
          <w:lang w:val="en-US" w:eastAsia="zh-CN"/>
        </w:rPr>
      </w:pPr>
    </w:p>
    <w:p w14:paraId="0582CADE">
      <w:pPr>
        <w:snapToGrid w:val="0"/>
        <w:spacing w:line="360" w:lineRule="auto"/>
        <w:jc w:val="center"/>
        <w:rPr>
          <w:rFonts w:hint="eastAsia" w:ascii="宋体" w:hAnsi="宋体"/>
          <w:b/>
          <w:bCs/>
          <w:color w:val="auto"/>
          <w:kern w:val="0"/>
          <w:sz w:val="30"/>
          <w:szCs w:val="30"/>
          <w:lang w:val="en-US" w:eastAsia="zh-CN"/>
        </w:rPr>
      </w:pPr>
    </w:p>
    <w:p w14:paraId="6EE638AF">
      <w:pPr>
        <w:snapToGrid w:val="0"/>
        <w:spacing w:line="360" w:lineRule="auto"/>
        <w:jc w:val="center"/>
        <w:rPr>
          <w:rFonts w:hint="eastAsia" w:ascii="宋体" w:hAnsi="宋体"/>
          <w:b/>
          <w:bCs/>
          <w:color w:val="auto"/>
          <w:kern w:val="0"/>
          <w:sz w:val="30"/>
          <w:szCs w:val="30"/>
          <w:lang w:val="en-US" w:eastAsia="zh-CN"/>
        </w:rPr>
      </w:pPr>
    </w:p>
    <w:p w14:paraId="2329CEB4">
      <w:pPr>
        <w:snapToGrid w:val="0"/>
        <w:spacing w:line="360" w:lineRule="auto"/>
        <w:jc w:val="center"/>
        <w:rPr>
          <w:rFonts w:hint="eastAsia" w:ascii="宋体" w:hAnsi="宋体"/>
          <w:b/>
          <w:bCs/>
          <w:color w:val="auto"/>
          <w:kern w:val="0"/>
          <w:sz w:val="30"/>
          <w:szCs w:val="30"/>
          <w:lang w:val="en-US" w:eastAsia="zh-CN"/>
        </w:rPr>
      </w:pPr>
    </w:p>
    <w:p w14:paraId="118AAD55">
      <w:pPr>
        <w:snapToGrid w:val="0"/>
        <w:spacing w:line="360" w:lineRule="auto"/>
        <w:jc w:val="center"/>
        <w:rPr>
          <w:rFonts w:hint="eastAsia" w:ascii="宋体" w:hAnsi="宋体"/>
          <w:b/>
          <w:bCs/>
          <w:color w:val="auto"/>
          <w:kern w:val="0"/>
          <w:sz w:val="30"/>
          <w:szCs w:val="30"/>
          <w:lang w:val="en-US" w:eastAsia="zh-CN"/>
        </w:rPr>
      </w:pPr>
    </w:p>
    <w:p w14:paraId="713944FA">
      <w:pPr>
        <w:snapToGrid w:val="0"/>
        <w:spacing w:line="360" w:lineRule="auto"/>
        <w:jc w:val="center"/>
        <w:rPr>
          <w:rFonts w:hint="eastAsia" w:ascii="宋体" w:hAnsi="宋体"/>
          <w:b/>
          <w:bCs/>
          <w:color w:val="auto"/>
          <w:sz w:val="30"/>
          <w:szCs w:val="30"/>
          <w:lang w:eastAsia="zh-CN"/>
        </w:rPr>
      </w:pPr>
      <w:r>
        <w:rPr>
          <w:rFonts w:hint="eastAsia" w:ascii="宋体" w:hAnsi="宋体"/>
          <w:b/>
          <w:bCs/>
          <w:color w:val="auto"/>
          <w:kern w:val="0"/>
          <w:sz w:val="30"/>
          <w:szCs w:val="30"/>
          <w:lang w:val="en-US" w:eastAsia="zh-CN"/>
        </w:rPr>
        <w:t>采购人</w:t>
      </w:r>
      <w:r>
        <w:rPr>
          <w:rFonts w:hint="eastAsia" w:ascii="宋体" w:hAnsi="宋体"/>
          <w:b/>
          <w:bCs/>
          <w:color w:val="auto"/>
          <w:sz w:val="30"/>
          <w:szCs w:val="30"/>
        </w:rPr>
        <w:t>：</w:t>
      </w:r>
      <w:r>
        <w:rPr>
          <w:rFonts w:hint="eastAsia" w:ascii="宋体" w:hAnsi="宋体"/>
          <w:b/>
          <w:bCs/>
          <w:color w:val="auto"/>
          <w:sz w:val="30"/>
          <w:szCs w:val="30"/>
          <w:lang w:eastAsia="zh-CN"/>
        </w:rPr>
        <w:t>三门峡市生态环境局卢氏分局</w:t>
      </w:r>
    </w:p>
    <w:p w14:paraId="2484C41E">
      <w:pPr>
        <w:snapToGrid w:val="0"/>
        <w:spacing w:line="360" w:lineRule="auto"/>
        <w:jc w:val="center"/>
        <w:rPr>
          <w:rFonts w:hint="eastAsia" w:ascii="宋体" w:hAnsi="宋体"/>
          <w:b/>
          <w:bCs/>
          <w:color w:val="auto"/>
          <w:sz w:val="30"/>
          <w:szCs w:val="30"/>
        </w:rPr>
      </w:pPr>
      <w:r>
        <w:rPr>
          <w:rFonts w:hint="eastAsia" w:ascii="宋体" w:hAnsi="宋体"/>
          <w:b/>
          <w:bCs/>
          <w:color w:val="auto"/>
          <w:sz w:val="30"/>
          <w:szCs w:val="30"/>
        </w:rPr>
        <w:t>代理机构：</w:t>
      </w:r>
      <w:r>
        <w:rPr>
          <w:rFonts w:hint="eastAsia" w:ascii="宋体" w:hAnsi="宋体"/>
          <w:b/>
          <w:bCs/>
          <w:color w:val="auto"/>
          <w:sz w:val="30"/>
          <w:szCs w:val="30"/>
          <w:lang w:eastAsia="zh-CN"/>
        </w:rPr>
        <w:t>河南展杰工程管理有限公司</w:t>
      </w:r>
    </w:p>
    <w:p w14:paraId="36CF82A3">
      <w:pPr>
        <w:spacing w:line="360" w:lineRule="auto"/>
        <w:jc w:val="center"/>
        <w:rPr>
          <w:rFonts w:hint="eastAsia" w:ascii="宋体" w:hAnsi="宋体"/>
          <w:b/>
          <w:color w:val="auto"/>
          <w:sz w:val="36"/>
          <w:szCs w:val="36"/>
        </w:rPr>
      </w:pPr>
      <w:r>
        <w:rPr>
          <w:rFonts w:hint="eastAsia" w:ascii="宋体" w:hAnsi="宋体"/>
          <w:b/>
          <w:color w:val="auto"/>
          <w:sz w:val="36"/>
          <w:szCs w:val="36"/>
          <w:lang w:val="en-US" w:eastAsia="zh-CN"/>
        </w:rPr>
        <w:t xml:space="preserve"> </w:t>
      </w:r>
      <w:r>
        <w:rPr>
          <w:rFonts w:hint="eastAsia" w:ascii="宋体" w:hAnsi="宋体"/>
          <w:b/>
          <w:color w:val="auto"/>
          <w:sz w:val="36"/>
          <w:szCs w:val="36"/>
        </w:rPr>
        <w:t>二〇</w:t>
      </w:r>
      <w:r>
        <w:rPr>
          <w:rFonts w:hint="eastAsia" w:ascii="宋体" w:hAnsi="宋体"/>
          <w:b/>
          <w:color w:val="auto"/>
          <w:sz w:val="36"/>
          <w:szCs w:val="36"/>
          <w:lang w:eastAsia="zh-CN"/>
        </w:rPr>
        <w:t>二</w:t>
      </w:r>
      <w:r>
        <w:rPr>
          <w:rFonts w:hint="eastAsia" w:ascii="宋体" w:hAnsi="宋体"/>
          <w:b/>
          <w:color w:val="auto"/>
          <w:sz w:val="36"/>
          <w:szCs w:val="36"/>
          <w:lang w:val="en-US" w:eastAsia="zh-CN"/>
        </w:rPr>
        <w:t>六</w:t>
      </w:r>
      <w:r>
        <w:rPr>
          <w:rFonts w:hint="eastAsia" w:ascii="宋体" w:hAnsi="宋体"/>
          <w:b/>
          <w:color w:val="auto"/>
          <w:sz w:val="36"/>
          <w:szCs w:val="36"/>
        </w:rPr>
        <w:t>年</w:t>
      </w:r>
      <w:r>
        <w:rPr>
          <w:rFonts w:hint="eastAsia" w:ascii="宋体" w:hAnsi="宋体"/>
          <w:b/>
          <w:color w:val="auto"/>
          <w:sz w:val="36"/>
          <w:szCs w:val="36"/>
          <w:lang w:val="en-US" w:eastAsia="zh-CN"/>
        </w:rPr>
        <w:t>四</w:t>
      </w:r>
      <w:r>
        <w:rPr>
          <w:rFonts w:hint="eastAsia" w:ascii="宋体" w:hAnsi="宋体"/>
          <w:b/>
          <w:color w:val="auto"/>
          <w:sz w:val="36"/>
          <w:szCs w:val="36"/>
        </w:rPr>
        <w:t>月</w:t>
      </w:r>
    </w:p>
    <w:p w14:paraId="7E16C78F">
      <w:pPr>
        <w:spacing w:line="600" w:lineRule="auto"/>
        <w:jc w:val="both"/>
        <w:rPr>
          <w:rFonts w:hint="default" w:ascii="宋体" w:hAnsi="宋体" w:eastAsia="宋体" w:cs="宋体"/>
          <w:b/>
          <w:bCs/>
          <w:color w:val="auto"/>
          <w:sz w:val="44"/>
          <w:szCs w:val="44"/>
          <w:lang w:val="en-US" w:eastAsia="zh-CN"/>
        </w:rPr>
      </w:pPr>
    </w:p>
    <w:p w14:paraId="69E52672">
      <w:pPr>
        <w:spacing w:line="600" w:lineRule="auto"/>
        <w:jc w:val="both"/>
        <w:rPr>
          <w:rFonts w:hint="default" w:ascii="宋体" w:hAnsi="宋体" w:eastAsia="宋体" w:cs="宋体"/>
          <w:b/>
          <w:bCs/>
          <w:color w:val="auto"/>
          <w:sz w:val="44"/>
          <w:szCs w:val="44"/>
          <w:lang w:val="en-US" w:eastAsia="zh-CN"/>
        </w:rPr>
        <w:sectPr>
          <w:footnotePr>
            <w:pos w:val="beneathText"/>
          </w:footnotePr>
          <w:pgSz w:w="11906" w:h="16838"/>
          <w:pgMar w:top="1440" w:right="1274" w:bottom="1440" w:left="1800" w:header="851" w:footer="992" w:gutter="0"/>
          <w:pgNumType w:fmt="numberInDash" w:start="1"/>
          <w:cols w:space="720" w:num="1"/>
          <w:titlePg/>
          <w:docGrid w:type="lines" w:linePitch="312" w:charSpace="0"/>
        </w:sectPr>
      </w:pPr>
    </w:p>
    <w:p w14:paraId="2A717CAA">
      <w:pPr>
        <w:spacing w:line="600" w:lineRule="auto"/>
        <w:ind w:firstLine="3975" w:firstLineChars="900"/>
        <w:jc w:val="both"/>
        <w:rPr>
          <w:rFonts w:ascii="宋体" w:hAnsi="宋体" w:cs="宋体"/>
          <w:color w:val="auto"/>
          <w:sz w:val="36"/>
          <w:szCs w:val="36"/>
        </w:rPr>
      </w:pPr>
      <w:r>
        <w:rPr>
          <w:rFonts w:hint="eastAsia" w:ascii="宋体" w:hAnsi="宋体" w:cs="宋体"/>
          <w:b/>
          <w:bCs/>
          <w:color w:val="auto"/>
          <w:sz w:val="44"/>
          <w:szCs w:val="44"/>
        </w:rPr>
        <w:t>目</w:t>
      </w:r>
      <w:r>
        <w:rPr>
          <w:rFonts w:hint="eastAsia" w:ascii="宋体" w:hAnsi="宋体" w:cs="宋体"/>
          <w:b/>
          <w:bCs/>
          <w:color w:val="auto"/>
          <w:sz w:val="44"/>
          <w:szCs w:val="44"/>
          <w:lang w:val="en-US" w:eastAsia="zh-CN"/>
        </w:rPr>
        <w:t xml:space="preserve">   </w:t>
      </w:r>
      <w:r>
        <w:rPr>
          <w:rFonts w:hint="eastAsia" w:ascii="宋体" w:hAnsi="宋体" w:cs="宋体"/>
          <w:b/>
          <w:bCs/>
          <w:color w:val="auto"/>
          <w:sz w:val="44"/>
          <w:szCs w:val="44"/>
        </w:rPr>
        <w:t>录</w:t>
      </w:r>
      <w:r>
        <w:rPr>
          <w:rFonts w:hint="eastAsia" w:ascii="宋体" w:hAnsi="宋体" w:cs="宋体"/>
          <w:color w:val="auto"/>
          <w:sz w:val="36"/>
          <w:szCs w:val="36"/>
        </w:rPr>
        <w:fldChar w:fldCharType="begin"/>
      </w:r>
      <w:r>
        <w:rPr>
          <w:rFonts w:hint="eastAsia" w:ascii="宋体" w:hAnsi="宋体" w:cs="宋体"/>
          <w:color w:val="auto"/>
          <w:sz w:val="36"/>
          <w:szCs w:val="36"/>
        </w:rPr>
        <w:instrText xml:space="preserve">TOC \o "1-1" \h \u </w:instrText>
      </w:r>
      <w:r>
        <w:rPr>
          <w:rFonts w:hint="eastAsia" w:ascii="宋体" w:hAnsi="宋体" w:cs="宋体"/>
          <w:color w:val="auto"/>
          <w:sz w:val="36"/>
          <w:szCs w:val="36"/>
        </w:rPr>
        <w:fldChar w:fldCharType="separate"/>
      </w:r>
    </w:p>
    <w:p w14:paraId="50F3736F">
      <w:pPr>
        <w:pStyle w:val="35"/>
        <w:tabs>
          <w:tab w:val="right" w:leader="dot" w:pos="8306"/>
        </w:tabs>
        <w:spacing w:line="600" w:lineRule="auto"/>
        <w:rPr>
          <w:rFonts w:ascii="宋体" w:hAnsi="宋体" w:cs="宋体"/>
          <w:color w:val="auto"/>
          <w:sz w:val="36"/>
          <w:szCs w:val="36"/>
        </w:rPr>
      </w:pPr>
      <w:r>
        <w:rPr>
          <w:color w:val="auto"/>
        </w:rPr>
        <w:fldChar w:fldCharType="begin"/>
      </w:r>
      <w:r>
        <w:rPr>
          <w:color w:val="auto"/>
        </w:rPr>
        <w:instrText xml:space="preserve"> HYPERLINK \l "_Toc1141" </w:instrText>
      </w:r>
      <w:r>
        <w:rPr>
          <w:color w:val="auto"/>
        </w:rPr>
        <w:fldChar w:fldCharType="separate"/>
      </w:r>
      <w:r>
        <w:rPr>
          <w:rFonts w:hint="eastAsia" w:ascii="宋体" w:hAnsi="宋体" w:cs="宋体"/>
          <w:bCs/>
          <w:color w:val="auto"/>
          <w:sz w:val="36"/>
          <w:szCs w:val="36"/>
        </w:rPr>
        <w:t>第一章 招标公告</w:t>
      </w:r>
      <w:r>
        <w:rPr>
          <w:rFonts w:hint="eastAsia" w:ascii="宋体" w:hAnsi="宋体" w:cs="宋体"/>
          <w:color w:val="auto"/>
          <w:sz w:val="36"/>
          <w:szCs w:val="36"/>
        </w:rPr>
        <w:tab/>
      </w:r>
      <w:r>
        <w:rPr>
          <w:rFonts w:hint="eastAsia" w:ascii="宋体" w:hAnsi="宋体" w:cs="宋体"/>
          <w:color w:val="auto"/>
          <w:sz w:val="36"/>
          <w:szCs w:val="36"/>
        </w:rPr>
        <w:fldChar w:fldCharType="begin"/>
      </w:r>
      <w:r>
        <w:rPr>
          <w:rFonts w:hint="eastAsia" w:ascii="宋体" w:hAnsi="宋体" w:cs="宋体"/>
          <w:color w:val="auto"/>
          <w:sz w:val="36"/>
          <w:szCs w:val="36"/>
        </w:rPr>
        <w:instrText xml:space="preserve"> PAGEREF _Toc1141 \h </w:instrText>
      </w:r>
      <w:r>
        <w:rPr>
          <w:rFonts w:hint="eastAsia" w:ascii="宋体" w:hAnsi="宋体" w:cs="宋体"/>
          <w:color w:val="auto"/>
          <w:sz w:val="36"/>
          <w:szCs w:val="36"/>
        </w:rPr>
        <w:fldChar w:fldCharType="separate"/>
      </w:r>
      <w:r>
        <w:rPr>
          <w:rFonts w:hint="eastAsia" w:ascii="宋体" w:hAnsi="宋体" w:cs="宋体"/>
          <w:color w:val="auto"/>
          <w:sz w:val="36"/>
          <w:szCs w:val="36"/>
        </w:rPr>
        <w:t>2</w:t>
      </w:r>
      <w:r>
        <w:rPr>
          <w:rFonts w:hint="eastAsia" w:ascii="宋体" w:hAnsi="宋体" w:cs="宋体"/>
          <w:color w:val="auto"/>
          <w:sz w:val="36"/>
          <w:szCs w:val="36"/>
        </w:rPr>
        <w:fldChar w:fldCharType="end"/>
      </w:r>
      <w:r>
        <w:rPr>
          <w:rFonts w:hint="eastAsia" w:ascii="宋体" w:hAnsi="宋体" w:cs="宋体"/>
          <w:color w:val="auto"/>
          <w:sz w:val="36"/>
          <w:szCs w:val="36"/>
        </w:rPr>
        <w:fldChar w:fldCharType="end"/>
      </w:r>
    </w:p>
    <w:p w14:paraId="15D57B1A">
      <w:pPr>
        <w:pStyle w:val="35"/>
        <w:tabs>
          <w:tab w:val="right" w:leader="dot" w:pos="8306"/>
        </w:tabs>
        <w:spacing w:line="600" w:lineRule="auto"/>
        <w:rPr>
          <w:rFonts w:ascii="宋体" w:hAnsi="宋体" w:cs="宋体"/>
          <w:color w:val="auto"/>
          <w:sz w:val="36"/>
          <w:szCs w:val="36"/>
        </w:rPr>
      </w:pPr>
      <w:r>
        <w:rPr>
          <w:color w:val="auto"/>
        </w:rPr>
        <w:fldChar w:fldCharType="begin"/>
      </w:r>
      <w:r>
        <w:rPr>
          <w:color w:val="auto"/>
        </w:rPr>
        <w:instrText xml:space="preserve"> HYPERLINK \l "_Toc18822" </w:instrText>
      </w:r>
      <w:r>
        <w:rPr>
          <w:color w:val="auto"/>
        </w:rPr>
        <w:fldChar w:fldCharType="separate"/>
      </w:r>
      <w:r>
        <w:rPr>
          <w:rFonts w:hint="eastAsia" w:ascii="宋体" w:hAnsi="宋体" w:cs="宋体"/>
          <w:bCs/>
          <w:color w:val="auto"/>
          <w:sz w:val="36"/>
          <w:szCs w:val="36"/>
        </w:rPr>
        <w:t>第二章 投标供应商须知</w:t>
      </w:r>
      <w:r>
        <w:rPr>
          <w:rFonts w:hint="eastAsia" w:ascii="宋体" w:hAnsi="宋体" w:cs="宋体"/>
          <w:color w:val="auto"/>
          <w:sz w:val="36"/>
          <w:szCs w:val="36"/>
        </w:rPr>
        <w:tab/>
      </w:r>
      <w:r>
        <w:rPr>
          <w:rFonts w:hint="eastAsia" w:ascii="宋体" w:hAnsi="宋体" w:cs="宋体"/>
          <w:color w:val="auto"/>
          <w:sz w:val="36"/>
          <w:szCs w:val="36"/>
          <w:lang w:val="en-US" w:eastAsia="zh-CN"/>
        </w:rPr>
        <w:t>8</w:t>
      </w:r>
      <w:r>
        <w:rPr>
          <w:rFonts w:hint="eastAsia" w:ascii="宋体" w:hAnsi="宋体" w:cs="宋体"/>
          <w:color w:val="auto"/>
          <w:sz w:val="36"/>
          <w:szCs w:val="36"/>
        </w:rPr>
        <w:fldChar w:fldCharType="end"/>
      </w:r>
    </w:p>
    <w:p w14:paraId="6A1EEE58">
      <w:pPr>
        <w:pStyle w:val="35"/>
        <w:tabs>
          <w:tab w:val="right" w:leader="dot" w:pos="8306"/>
        </w:tabs>
        <w:spacing w:line="600" w:lineRule="auto"/>
        <w:rPr>
          <w:rFonts w:hint="default" w:ascii="宋体" w:hAnsi="宋体" w:eastAsia="宋体" w:cs="宋体"/>
          <w:color w:val="auto"/>
          <w:sz w:val="36"/>
          <w:szCs w:val="36"/>
          <w:lang w:val="en-US" w:eastAsia="zh-CN"/>
        </w:rPr>
      </w:pPr>
      <w:r>
        <w:rPr>
          <w:color w:val="auto"/>
        </w:rPr>
        <w:fldChar w:fldCharType="begin"/>
      </w:r>
      <w:r>
        <w:rPr>
          <w:color w:val="auto"/>
        </w:rPr>
        <w:instrText xml:space="preserve"> HYPERLINK \l "_Toc21858" </w:instrText>
      </w:r>
      <w:r>
        <w:rPr>
          <w:color w:val="auto"/>
        </w:rPr>
        <w:fldChar w:fldCharType="separate"/>
      </w:r>
      <w:r>
        <w:rPr>
          <w:rFonts w:hint="eastAsia" w:ascii="宋体" w:hAnsi="宋体" w:cs="宋体"/>
          <w:bCs/>
          <w:color w:val="auto"/>
          <w:sz w:val="36"/>
          <w:szCs w:val="36"/>
        </w:rPr>
        <w:t xml:space="preserve">第三章 </w:t>
      </w:r>
      <w:r>
        <w:rPr>
          <w:rFonts w:hint="eastAsia" w:ascii="宋体" w:hAnsi="宋体" w:cs="宋体"/>
          <w:bCs/>
          <w:color w:val="auto"/>
          <w:sz w:val="36"/>
          <w:szCs w:val="36"/>
          <w:lang w:val="en-US" w:eastAsia="zh-CN"/>
        </w:rPr>
        <w:t>服务内容及要求</w:t>
      </w:r>
      <w:r>
        <w:rPr>
          <w:rFonts w:hint="eastAsia" w:ascii="宋体" w:hAnsi="宋体" w:cs="宋体"/>
          <w:color w:val="auto"/>
          <w:sz w:val="36"/>
          <w:szCs w:val="36"/>
        </w:rPr>
        <w:tab/>
      </w:r>
      <w:r>
        <w:rPr>
          <w:rFonts w:hint="eastAsia" w:ascii="宋体" w:hAnsi="宋体" w:cs="宋体"/>
          <w:color w:val="auto"/>
          <w:sz w:val="36"/>
          <w:szCs w:val="36"/>
        </w:rPr>
        <w:fldChar w:fldCharType="end"/>
      </w:r>
      <w:r>
        <w:rPr>
          <w:rFonts w:hint="eastAsia" w:ascii="宋体" w:hAnsi="宋体" w:cs="宋体"/>
          <w:color w:val="auto"/>
          <w:sz w:val="36"/>
          <w:szCs w:val="36"/>
          <w:lang w:val="en-US" w:eastAsia="zh-CN"/>
        </w:rPr>
        <w:t>29</w:t>
      </w:r>
    </w:p>
    <w:p w14:paraId="48F2164E">
      <w:pPr>
        <w:pStyle w:val="35"/>
        <w:tabs>
          <w:tab w:val="right" w:leader="dot" w:pos="8306"/>
        </w:tabs>
        <w:spacing w:line="600" w:lineRule="auto"/>
        <w:rPr>
          <w:rFonts w:hint="eastAsia" w:ascii="宋体" w:hAnsi="宋体" w:eastAsia="宋体" w:cs="宋体"/>
          <w:color w:val="auto"/>
          <w:sz w:val="36"/>
          <w:szCs w:val="36"/>
          <w:lang w:val="en-US" w:eastAsia="zh-CN"/>
        </w:rPr>
      </w:pPr>
      <w:r>
        <w:rPr>
          <w:color w:val="auto"/>
        </w:rPr>
        <w:fldChar w:fldCharType="begin"/>
      </w:r>
      <w:r>
        <w:rPr>
          <w:color w:val="auto"/>
        </w:rPr>
        <w:instrText xml:space="preserve"> HYPERLINK \l "_Toc11346" </w:instrText>
      </w:r>
      <w:r>
        <w:rPr>
          <w:color w:val="auto"/>
        </w:rPr>
        <w:fldChar w:fldCharType="separate"/>
      </w:r>
      <w:r>
        <w:rPr>
          <w:rFonts w:hint="eastAsia" w:ascii="宋体" w:hAnsi="宋体" w:cs="宋体"/>
          <w:bCs/>
          <w:color w:val="auto"/>
          <w:sz w:val="36"/>
          <w:szCs w:val="36"/>
        </w:rPr>
        <w:t>第四章 评标办法</w:t>
      </w:r>
      <w:r>
        <w:rPr>
          <w:rFonts w:hint="eastAsia" w:ascii="宋体" w:hAnsi="宋体" w:cs="宋体"/>
          <w:color w:val="auto"/>
          <w:sz w:val="36"/>
          <w:szCs w:val="36"/>
        </w:rPr>
        <w:tab/>
      </w:r>
      <w:r>
        <w:rPr>
          <w:rFonts w:hint="eastAsia" w:ascii="宋体" w:hAnsi="宋体" w:cs="宋体"/>
          <w:color w:val="auto"/>
          <w:sz w:val="36"/>
          <w:szCs w:val="36"/>
          <w:lang w:val="en-US" w:eastAsia="zh-CN"/>
        </w:rPr>
        <w:t>4</w:t>
      </w:r>
      <w:r>
        <w:rPr>
          <w:rFonts w:hint="eastAsia" w:ascii="宋体" w:hAnsi="宋体" w:cs="宋体"/>
          <w:color w:val="auto"/>
          <w:sz w:val="36"/>
          <w:szCs w:val="36"/>
        </w:rPr>
        <w:fldChar w:fldCharType="end"/>
      </w:r>
      <w:r>
        <w:rPr>
          <w:rFonts w:hint="eastAsia" w:ascii="宋体" w:hAnsi="宋体" w:cs="宋体"/>
          <w:color w:val="auto"/>
          <w:sz w:val="36"/>
          <w:szCs w:val="36"/>
          <w:lang w:val="en-US" w:eastAsia="zh-CN"/>
        </w:rPr>
        <w:t>1</w:t>
      </w:r>
    </w:p>
    <w:p w14:paraId="5D1E6A15">
      <w:pPr>
        <w:pStyle w:val="35"/>
        <w:tabs>
          <w:tab w:val="right" w:leader="dot" w:pos="8306"/>
        </w:tabs>
        <w:spacing w:line="600" w:lineRule="auto"/>
        <w:rPr>
          <w:rFonts w:hint="eastAsia" w:ascii="宋体" w:hAnsi="宋体" w:eastAsia="宋体" w:cs="宋体"/>
          <w:color w:val="auto"/>
          <w:sz w:val="36"/>
          <w:szCs w:val="36"/>
          <w:lang w:val="en-US" w:eastAsia="zh-CN"/>
        </w:rPr>
      </w:pPr>
      <w:r>
        <w:rPr>
          <w:color w:val="auto"/>
        </w:rPr>
        <w:fldChar w:fldCharType="begin"/>
      </w:r>
      <w:r>
        <w:rPr>
          <w:color w:val="auto"/>
        </w:rPr>
        <w:instrText xml:space="preserve"> HYPERLINK \l "_Toc21738" </w:instrText>
      </w:r>
      <w:r>
        <w:rPr>
          <w:color w:val="auto"/>
        </w:rPr>
        <w:fldChar w:fldCharType="separate"/>
      </w:r>
      <w:r>
        <w:rPr>
          <w:rFonts w:hint="eastAsia" w:ascii="宋体" w:hAnsi="宋体" w:cs="宋体"/>
          <w:bCs/>
          <w:color w:val="auto"/>
          <w:sz w:val="36"/>
          <w:szCs w:val="36"/>
        </w:rPr>
        <w:t>第五章 合同条款及格式</w:t>
      </w:r>
      <w:r>
        <w:rPr>
          <w:rFonts w:hint="eastAsia" w:ascii="宋体" w:hAnsi="宋体" w:cs="宋体"/>
          <w:color w:val="auto"/>
          <w:sz w:val="36"/>
          <w:szCs w:val="36"/>
        </w:rPr>
        <w:tab/>
      </w:r>
      <w:r>
        <w:rPr>
          <w:rFonts w:hint="eastAsia" w:ascii="宋体" w:hAnsi="宋体" w:cs="宋体"/>
          <w:color w:val="auto"/>
          <w:sz w:val="36"/>
          <w:szCs w:val="36"/>
          <w:lang w:val="en-US" w:eastAsia="zh-CN"/>
        </w:rPr>
        <w:t>4</w:t>
      </w:r>
      <w:r>
        <w:rPr>
          <w:rFonts w:hint="eastAsia" w:ascii="宋体" w:hAnsi="宋体" w:cs="宋体"/>
          <w:color w:val="auto"/>
          <w:sz w:val="36"/>
          <w:szCs w:val="36"/>
        </w:rPr>
        <w:fldChar w:fldCharType="end"/>
      </w:r>
      <w:r>
        <w:rPr>
          <w:rFonts w:hint="eastAsia" w:ascii="宋体" w:hAnsi="宋体" w:cs="宋体"/>
          <w:color w:val="auto"/>
          <w:sz w:val="36"/>
          <w:szCs w:val="36"/>
          <w:lang w:val="en-US" w:eastAsia="zh-CN"/>
        </w:rPr>
        <w:t>8</w:t>
      </w:r>
    </w:p>
    <w:p w14:paraId="4E00E1E0">
      <w:pPr>
        <w:pStyle w:val="35"/>
        <w:tabs>
          <w:tab w:val="right" w:leader="dot" w:pos="8306"/>
        </w:tabs>
        <w:spacing w:line="600" w:lineRule="auto"/>
        <w:rPr>
          <w:rFonts w:hint="default" w:ascii="宋体" w:hAnsi="宋体" w:eastAsia="宋体" w:cs="宋体"/>
          <w:color w:val="auto"/>
          <w:sz w:val="36"/>
          <w:szCs w:val="36"/>
          <w:lang w:val="en-US" w:eastAsia="zh-CN"/>
        </w:rPr>
      </w:pPr>
      <w:r>
        <w:rPr>
          <w:color w:val="auto"/>
        </w:rPr>
        <w:fldChar w:fldCharType="begin"/>
      </w:r>
      <w:r>
        <w:rPr>
          <w:color w:val="auto"/>
        </w:rPr>
        <w:instrText xml:space="preserve"> HYPERLINK \l "_Toc15385" </w:instrText>
      </w:r>
      <w:r>
        <w:rPr>
          <w:color w:val="auto"/>
        </w:rPr>
        <w:fldChar w:fldCharType="separate"/>
      </w:r>
      <w:r>
        <w:rPr>
          <w:rFonts w:hint="eastAsia" w:ascii="宋体" w:hAnsi="宋体" w:cs="宋体"/>
          <w:bCs/>
          <w:color w:val="auto"/>
          <w:sz w:val="36"/>
          <w:szCs w:val="36"/>
        </w:rPr>
        <w:t xml:space="preserve">第六章 </w:t>
      </w:r>
      <w:r>
        <w:rPr>
          <w:rFonts w:hint="eastAsia" w:ascii="宋体" w:hAnsi="宋体" w:cs="宋体"/>
          <w:bCs/>
          <w:color w:val="auto"/>
          <w:sz w:val="36"/>
          <w:szCs w:val="36"/>
          <w:lang w:val="en-US" w:eastAsia="zh-CN"/>
        </w:rPr>
        <w:t>投标</w:t>
      </w:r>
      <w:r>
        <w:rPr>
          <w:rFonts w:hint="eastAsia" w:ascii="宋体" w:hAnsi="宋体" w:cs="宋体"/>
          <w:bCs/>
          <w:color w:val="auto"/>
          <w:sz w:val="36"/>
          <w:szCs w:val="36"/>
        </w:rPr>
        <w:t>文件格式</w:t>
      </w:r>
      <w:r>
        <w:rPr>
          <w:rFonts w:hint="eastAsia" w:ascii="宋体" w:hAnsi="宋体" w:cs="宋体"/>
          <w:color w:val="auto"/>
          <w:sz w:val="36"/>
          <w:szCs w:val="36"/>
        </w:rPr>
        <w:tab/>
      </w:r>
      <w:r>
        <w:rPr>
          <w:rFonts w:hint="eastAsia" w:ascii="宋体" w:hAnsi="宋体" w:cs="宋体"/>
          <w:color w:val="auto"/>
          <w:sz w:val="36"/>
          <w:szCs w:val="36"/>
        </w:rPr>
        <w:fldChar w:fldCharType="end"/>
      </w:r>
      <w:r>
        <w:rPr>
          <w:rFonts w:hint="eastAsia" w:ascii="宋体" w:hAnsi="宋体" w:cs="宋体"/>
          <w:color w:val="auto"/>
          <w:sz w:val="36"/>
          <w:szCs w:val="36"/>
          <w:lang w:val="en-US" w:eastAsia="zh-CN"/>
        </w:rPr>
        <w:t>51</w:t>
      </w:r>
    </w:p>
    <w:p w14:paraId="5B835711">
      <w:pPr>
        <w:pStyle w:val="35"/>
        <w:tabs>
          <w:tab w:val="right" w:leader="dot" w:pos="8306"/>
        </w:tabs>
        <w:spacing w:line="600" w:lineRule="auto"/>
        <w:rPr>
          <w:rFonts w:ascii="宋体" w:hAnsi="宋体" w:cs="宋体"/>
          <w:color w:val="auto"/>
          <w:sz w:val="36"/>
          <w:szCs w:val="36"/>
        </w:rPr>
      </w:pPr>
    </w:p>
    <w:p w14:paraId="17FB6E54">
      <w:pPr>
        <w:pStyle w:val="9"/>
        <w:spacing w:line="600" w:lineRule="auto"/>
        <w:rPr>
          <w:color w:val="auto"/>
        </w:rPr>
      </w:pPr>
      <w:r>
        <w:rPr>
          <w:rFonts w:hint="eastAsia" w:ascii="宋体" w:hAnsi="宋体" w:cs="宋体"/>
          <w:color w:val="auto"/>
          <w:sz w:val="36"/>
          <w:szCs w:val="36"/>
        </w:rPr>
        <w:fldChar w:fldCharType="end"/>
      </w:r>
    </w:p>
    <w:p w14:paraId="182E4A95">
      <w:pPr>
        <w:widowControl/>
        <w:tabs>
          <w:tab w:val="left" w:pos="5917"/>
        </w:tabs>
        <w:spacing w:line="720" w:lineRule="auto"/>
        <w:ind w:firstLine="720"/>
        <w:rPr>
          <w:rFonts w:ascii="宋体" w:hAnsi="宋体"/>
          <w:color w:val="auto"/>
          <w:kern w:val="0"/>
          <w:sz w:val="20"/>
        </w:rPr>
      </w:pPr>
      <w:r>
        <w:rPr>
          <w:rFonts w:hint="eastAsia" w:ascii="宋体" w:hAnsi="宋体" w:cs="宋体"/>
          <w:b/>
          <w:bCs/>
          <w:color w:val="auto"/>
          <w:kern w:val="0"/>
          <w:sz w:val="24"/>
          <w:szCs w:val="24"/>
        </w:rPr>
        <w:tab/>
      </w:r>
    </w:p>
    <w:p w14:paraId="7662E526">
      <w:pPr>
        <w:widowControl/>
        <w:spacing w:line="720" w:lineRule="auto"/>
        <w:ind w:firstLine="720"/>
        <w:rPr>
          <w:rFonts w:ascii="宋体" w:hAnsi="宋体" w:eastAsia="宋体"/>
          <w:color w:val="auto"/>
          <w:kern w:val="0"/>
          <w:sz w:val="20"/>
        </w:rPr>
      </w:pPr>
    </w:p>
    <w:p w14:paraId="049B5707">
      <w:pPr>
        <w:widowControl/>
        <w:spacing w:line="720" w:lineRule="auto"/>
        <w:ind w:firstLine="720"/>
        <w:rPr>
          <w:rFonts w:ascii="宋体" w:hAnsi="宋体" w:eastAsia="宋体"/>
          <w:color w:val="auto"/>
          <w:kern w:val="0"/>
          <w:sz w:val="20"/>
        </w:rPr>
      </w:pPr>
    </w:p>
    <w:p w14:paraId="6826F419">
      <w:pPr>
        <w:widowControl/>
        <w:spacing w:line="720" w:lineRule="auto"/>
        <w:ind w:firstLine="720"/>
        <w:rPr>
          <w:rFonts w:ascii="宋体" w:hAnsi="宋体" w:eastAsia="宋体"/>
          <w:color w:val="auto"/>
          <w:kern w:val="0"/>
          <w:sz w:val="20"/>
        </w:rPr>
      </w:pPr>
    </w:p>
    <w:p w14:paraId="0CDE43E7">
      <w:pPr>
        <w:widowControl/>
        <w:jc w:val="left"/>
        <w:rPr>
          <w:rFonts w:ascii="宋体" w:hAnsi="宋体" w:eastAsia="宋体" w:cs="宋体"/>
          <w:b/>
          <w:bCs/>
          <w:color w:val="auto"/>
          <w:kern w:val="0"/>
          <w:sz w:val="44"/>
          <w:szCs w:val="44"/>
        </w:rPr>
        <w:sectPr>
          <w:footerReference r:id="rId4" w:type="first"/>
          <w:footerReference r:id="rId3" w:type="default"/>
          <w:footnotePr>
            <w:pos w:val="beneathText"/>
          </w:footnotePr>
          <w:pgSz w:w="11906" w:h="16838"/>
          <w:pgMar w:top="1440" w:right="1274" w:bottom="1440" w:left="1800" w:header="851" w:footer="992" w:gutter="0"/>
          <w:pgNumType w:fmt="decimal" w:start="1"/>
          <w:cols w:space="720" w:num="1"/>
          <w:titlePg/>
          <w:docGrid w:type="lines" w:linePitch="312" w:charSpace="0"/>
        </w:sectPr>
      </w:pPr>
    </w:p>
    <w:p w14:paraId="45702D30">
      <w:pPr>
        <w:widowControl/>
        <w:spacing w:line="720" w:lineRule="auto"/>
        <w:ind w:firstLine="2620"/>
        <w:outlineLvl w:val="0"/>
        <w:rPr>
          <w:rFonts w:ascii="宋体" w:hAnsi="宋体" w:eastAsia="宋体"/>
          <w:color w:val="auto"/>
          <w:kern w:val="0"/>
          <w:sz w:val="20"/>
        </w:rPr>
      </w:pPr>
      <w:bookmarkStart w:id="0" w:name="_Toc1141"/>
      <w:r>
        <w:rPr>
          <w:rFonts w:hint="eastAsia" w:ascii="宋体" w:hAnsi="宋体" w:eastAsia="宋体"/>
          <w:b/>
          <w:bCs/>
          <w:color w:val="auto"/>
          <w:kern w:val="0"/>
          <w:sz w:val="44"/>
          <w:szCs w:val="44"/>
        </w:rPr>
        <w:t xml:space="preserve">第一章 </w:t>
      </w:r>
      <w:bookmarkStart w:id="1" w:name="招标公告"/>
      <w:r>
        <w:rPr>
          <w:rFonts w:hint="eastAsia" w:ascii="宋体" w:hAnsi="宋体" w:eastAsia="宋体"/>
          <w:b/>
          <w:bCs/>
          <w:color w:val="auto"/>
          <w:kern w:val="0"/>
          <w:sz w:val="44"/>
          <w:szCs w:val="44"/>
        </w:rPr>
        <w:t>招标公告</w:t>
      </w:r>
      <w:bookmarkEnd w:id="0"/>
      <w:bookmarkEnd w:id="1"/>
    </w:p>
    <w:p w14:paraId="314BFA0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color w:val="auto"/>
          <w:sz w:val="28"/>
          <w:szCs w:val="28"/>
          <w:lang w:eastAsia="zh-CN"/>
        </w:rPr>
      </w:pPr>
      <w:r>
        <w:rPr>
          <w:rFonts w:hint="eastAsia" w:ascii="宋体" w:hAnsi="宋体"/>
          <w:color w:val="auto"/>
          <w:sz w:val="28"/>
          <w:szCs w:val="28"/>
          <w:lang w:eastAsia="zh-CN"/>
        </w:rPr>
        <w:t>河南展杰工程管理有限公司受三门峡市生态环境局卢氏分局的委托，就卢氏县乡镇空气自动监测站运维服务项目进行公开招标，现欢迎符合资格条件的供应商参加投标。</w:t>
      </w:r>
    </w:p>
    <w:p w14:paraId="092CF013">
      <w:pPr>
        <w:widowControl w:val="0"/>
        <w:wordWrap/>
        <w:adjustRightInd/>
        <w:snapToGrid/>
        <w:spacing w:line="600" w:lineRule="exact"/>
        <w:ind w:firstLine="560" w:firstLineChars="200"/>
        <w:jc w:val="left"/>
        <w:textAlignment w:val="auto"/>
        <w:rPr>
          <w:rFonts w:hint="eastAsia" w:ascii="宋体" w:hAnsi="宋体"/>
          <w:color w:val="auto"/>
          <w:sz w:val="28"/>
          <w:szCs w:val="28"/>
          <w:lang w:eastAsia="zh-CN"/>
        </w:rPr>
      </w:pPr>
      <w:r>
        <w:rPr>
          <w:rFonts w:hint="eastAsia" w:ascii="宋体" w:hAnsi="宋体"/>
          <w:color w:val="auto"/>
          <w:sz w:val="28"/>
          <w:szCs w:val="28"/>
          <w:lang w:eastAsia="zh-CN"/>
        </w:rPr>
        <w:t>一、项目概况与</w:t>
      </w:r>
      <w:r>
        <w:rPr>
          <w:rFonts w:hint="eastAsia" w:ascii="宋体" w:hAnsi="宋体"/>
          <w:color w:val="auto"/>
          <w:sz w:val="28"/>
          <w:szCs w:val="28"/>
          <w:lang w:val="en-US" w:eastAsia="zh-CN"/>
        </w:rPr>
        <w:t>服务</w:t>
      </w:r>
      <w:r>
        <w:rPr>
          <w:rFonts w:hint="eastAsia" w:ascii="宋体" w:hAnsi="宋体"/>
          <w:color w:val="auto"/>
          <w:sz w:val="28"/>
          <w:szCs w:val="28"/>
          <w:lang w:eastAsia="zh-CN"/>
        </w:rPr>
        <w:t>范围：</w:t>
      </w:r>
    </w:p>
    <w:p w14:paraId="14D2AF1D">
      <w:pPr>
        <w:widowControl w:val="0"/>
        <w:wordWrap/>
        <w:adjustRightInd/>
        <w:snapToGrid/>
        <w:spacing w:line="600" w:lineRule="exact"/>
        <w:ind w:firstLine="560" w:firstLineChars="200"/>
        <w:jc w:val="left"/>
        <w:textAlignment w:val="auto"/>
        <w:rPr>
          <w:rFonts w:hint="eastAsia" w:ascii="宋体" w:hAnsi="宋体"/>
          <w:color w:val="auto"/>
          <w:sz w:val="28"/>
          <w:szCs w:val="28"/>
          <w:lang w:eastAsia="zh-CN"/>
        </w:rPr>
      </w:pPr>
      <w:r>
        <w:rPr>
          <w:rFonts w:hint="eastAsia" w:ascii="宋体" w:hAnsi="宋体"/>
          <w:color w:val="auto"/>
          <w:sz w:val="28"/>
          <w:szCs w:val="28"/>
          <w:lang w:eastAsia="zh-CN"/>
        </w:rPr>
        <w:t>1、采购人：三门峡市生态环境局卢氏分局</w:t>
      </w:r>
    </w:p>
    <w:p w14:paraId="621FA692">
      <w:pPr>
        <w:widowControl w:val="0"/>
        <w:wordWrap/>
        <w:adjustRightInd/>
        <w:snapToGrid/>
        <w:spacing w:line="600" w:lineRule="exact"/>
        <w:ind w:firstLine="560" w:firstLineChars="200"/>
        <w:jc w:val="left"/>
        <w:textAlignment w:val="auto"/>
        <w:rPr>
          <w:rFonts w:hint="eastAsia" w:ascii="宋体" w:hAnsi="宋体"/>
          <w:color w:val="auto"/>
          <w:sz w:val="28"/>
          <w:szCs w:val="28"/>
          <w:lang w:val="en-US" w:eastAsia="zh-CN"/>
        </w:rPr>
      </w:pPr>
      <w:r>
        <w:rPr>
          <w:rFonts w:hint="eastAsia" w:ascii="宋体" w:hAnsi="宋体"/>
          <w:color w:val="auto"/>
          <w:sz w:val="28"/>
          <w:szCs w:val="28"/>
          <w:lang w:eastAsia="zh-CN"/>
        </w:rPr>
        <w:t>2、项目名称：</w:t>
      </w:r>
      <w:r>
        <w:rPr>
          <w:rFonts w:hint="eastAsia" w:ascii="新宋体" w:hAnsi="新宋体" w:eastAsia="新宋体" w:cs="新宋体"/>
          <w:color w:val="auto"/>
          <w:kern w:val="0"/>
          <w:sz w:val="28"/>
          <w:szCs w:val="28"/>
          <w:highlight w:val="none"/>
          <w:lang w:eastAsia="zh-CN"/>
        </w:rPr>
        <w:t>卢氏县乡镇空气自动监测站运维服务项目</w:t>
      </w:r>
    </w:p>
    <w:p w14:paraId="773EB524">
      <w:pPr>
        <w:widowControl w:val="0"/>
        <w:wordWrap/>
        <w:adjustRightInd/>
        <w:snapToGrid/>
        <w:spacing w:line="600" w:lineRule="exact"/>
        <w:ind w:firstLine="560" w:firstLineChars="200"/>
        <w:jc w:val="both"/>
        <w:textAlignment w:val="auto"/>
        <w:rPr>
          <w:rFonts w:hint="default" w:ascii="宋体" w:hAnsi="宋体"/>
          <w:color w:val="auto"/>
          <w:sz w:val="28"/>
          <w:szCs w:val="28"/>
          <w:lang w:val="en-US" w:eastAsia="zh-CN"/>
        </w:rPr>
      </w:pPr>
      <w:r>
        <w:rPr>
          <w:rFonts w:hint="eastAsia" w:ascii="宋体" w:hAnsi="宋体"/>
          <w:color w:val="auto"/>
          <w:sz w:val="28"/>
          <w:szCs w:val="28"/>
          <w:lang w:eastAsia="zh-CN"/>
        </w:rPr>
        <w:t>3、项目编号：</w:t>
      </w:r>
      <w:r>
        <w:rPr>
          <w:rFonts w:hint="eastAsia" w:ascii="宋体" w:hAnsi="宋体"/>
          <w:color w:val="auto"/>
          <w:sz w:val="28"/>
          <w:szCs w:val="28"/>
          <w:lang w:val="en-US" w:eastAsia="zh-CN"/>
        </w:rPr>
        <w:t xml:space="preserve">LSGZ[2026]059-ZC045、三卢公开采购-2026-13 </w:t>
      </w:r>
    </w:p>
    <w:p w14:paraId="10CACEE9">
      <w:pPr>
        <w:widowControl w:val="0"/>
        <w:wordWrap/>
        <w:adjustRightInd/>
        <w:snapToGrid/>
        <w:spacing w:line="600" w:lineRule="exact"/>
        <w:ind w:firstLine="560" w:firstLineChars="200"/>
        <w:jc w:val="left"/>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4、服务内容</w:t>
      </w:r>
      <w:r>
        <w:rPr>
          <w:rFonts w:hint="eastAsia" w:ascii="宋体" w:hAnsi="宋体"/>
          <w:color w:val="auto"/>
          <w:sz w:val="28"/>
          <w:szCs w:val="28"/>
          <w:lang w:eastAsia="zh-CN"/>
        </w:rPr>
        <w:t>：</w:t>
      </w:r>
      <w:r>
        <w:rPr>
          <w:rFonts w:hint="eastAsia" w:ascii="宋体" w:hAnsi="宋体"/>
          <w:color w:val="auto"/>
          <w:sz w:val="28"/>
          <w:szCs w:val="28"/>
          <w:lang w:val="en-US" w:eastAsia="zh-CN"/>
        </w:rPr>
        <w:t>按照环境空气自动监测站运维条例，完成卢氏县17个乡镇空气站的运维服务</w:t>
      </w:r>
      <w:r>
        <w:rPr>
          <w:rFonts w:hint="eastAsia" w:ascii="宋体" w:hAnsi="宋体"/>
          <w:color w:val="auto"/>
          <w:sz w:val="28"/>
          <w:szCs w:val="28"/>
          <w:lang w:eastAsia="zh-CN"/>
        </w:rPr>
        <w:t>。</w:t>
      </w:r>
      <w:r>
        <w:rPr>
          <w:rFonts w:hint="eastAsia" w:ascii="宋体" w:hAnsi="宋体"/>
          <w:color w:val="auto"/>
          <w:sz w:val="28"/>
          <w:szCs w:val="28"/>
          <w:lang w:val="en-US" w:eastAsia="zh-CN"/>
        </w:rPr>
        <w:t>（具体详见招标文件第三章服务内容及要求）；</w:t>
      </w:r>
    </w:p>
    <w:p w14:paraId="6CD8099E">
      <w:pPr>
        <w:widowControl w:val="0"/>
        <w:wordWrap/>
        <w:adjustRightInd/>
        <w:snapToGrid/>
        <w:spacing w:line="600" w:lineRule="exact"/>
        <w:ind w:firstLine="560" w:firstLineChars="200"/>
        <w:jc w:val="left"/>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5</w:t>
      </w:r>
      <w:r>
        <w:rPr>
          <w:rFonts w:hint="eastAsia" w:ascii="宋体" w:hAnsi="宋体"/>
          <w:color w:val="auto"/>
          <w:sz w:val="28"/>
          <w:szCs w:val="28"/>
          <w:lang w:eastAsia="zh-CN"/>
        </w:rPr>
        <w:t>、标段划分：</w:t>
      </w:r>
      <w:r>
        <w:rPr>
          <w:rFonts w:hint="eastAsia" w:ascii="宋体" w:hAnsi="宋体"/>
          <w:color w:val="auto"/>
          <w:sz w:val="28"/>
          <w:szCs w:val="28"/>
          <w:lang w:val="en-US" w:eastAsia="zh-CN"/>
        </w:rPr>
        <w:t>本项目不划分标段</w:t>
      </w:r>
    </w:p>
    <w:p w14:paraId="748A4FC3">
      <w:pPr>
        <w:widowControl w:val="0"/>
        <w:wordWrap/>
        <w:adjustRightInd/>
        <w:snapToGrid/>
        <w:spacing w:line="600" w:lineRule="exact"/>
        <w:ind w:firstLine="560" w:firstLineChars="200"/>
        <w:jc w:val="left"/>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6、预算金额：¥2333675.00元</w:t>
      </w:r>
    </w:p>
    <w:p w14:paraId="5FBA6BD2">
      <w:pPr>
        <w:widowControl w:val="0"/>
        <w:wordWrap/>
        <w:adjustRightInd/>
        <w:snapToGrid/>
        <w:spacing w:line="600" w:lineRule="exact"/>
        <w:ind w:firstLine="560" w:firstLineChars="200"/>
        <w:jc w:val="left"/>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7</w:t>
      </w:r>
      <w:r>
        <w:rPr>
          <w:rFonts w:hint="eastAsia" w:ascii="宋体" w:hAnsi="宋体"/>
          <w:color w:val="auto"/>
          <w:sz w:val="28"/>
          <w:szCs w:val="28"/>
          <w:lang w:eastAsia="zh-CN"/>
        </w:rPr>
        <w:t>、资金来源：</w:t>
      </w:r>
      <w:r>
        <w:rPr>
          <w:rFonts w:hint="eastAsia" w:ascii="宋体" w:hAnsi="宋体"/>
          <w:color w:val="auto"/>
          <w:sz w:val="28"/>
          <w:szCs w:val="28"/>
          <w:lang w:val="en-US" w:eastAsia="zh-CN"/>
        </w:rPr>
        <w:t>财政资金，已落实</w:t>
      </w:r>
    </w:p>
    <w:p w14:paraId="2139E039">
      <w:pPr>
        <w:widowControl w:val="0"/>
        <w:wordWrap/>
        <w:adjustRightInd/>
        <w:snapToGrid/>
        <w:spacing w:line="600" w:lineRule="exact"/>
        <w:ind w:firstLine="560" w:firstLineChars="200"/>
        <w:jc w:val="left"/>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8</w:t>
      </w:r>
      <w:r>
        <w:rPr>
          <w:rFonts w:hint="eastAsia" w:ascii="宋体" w:hAnsi="宋体"/>
          <w:color w:val="auto"/>
          <w:sz w:val="28"/>
          <w:szCs w:val="28"/>
          <w:lang w:eastAsia="zh-CN"/>
        </w:rPr>
        <w:t>、</w:t>
      </w:r>
      <w:r>
        <w:rPr>
          <w:rFonts w:hint="eastAsia" w:ascii="宋体" w:hAnsi="宋体"/>
          <w:color w:val="auto"/>
          <w:sz w:val="28"/>
          <w:szCs w:val="28"/>
          <w:lang w:val="en-US" w:eastAsia="zh-CN"/>
        </w:rPr>
        <w:t>服务周期：一年</w:t>
      </w:r>
    </w:p>
    <w:p w14:paraId="22C959EF">
      <w:pPr>
        <w:widowControl w:val="0"/>
        <w:wordWrap/>
        <w:adjustRightInd/>
        <w:snapToGrid/>
        <w:spacing w:line="600" w:lineRule="exact"/>
        <w:ind w:firstLine="560" w:firstLineChars="200"/>
        <w:jc w:val="left"/>
        <w:textAlignment w:val="auto"/>
        <w:rPr>
          <w:rFonts w:hint="eastAsia" w:ascii="新宋体" w:hAnsi="新宋体" w:eastAsia="新宋体" w:cs="新宋体"/>
          <w:color w:val="auto"/>
          <w:kern w:val="0"/>
          <w:sz w:val="28"/>
          <w:szCs w:val="28"/>
          <w:highlight w:val="none"/>
          <w:lang w:eastAsia="zh-CN"/>
        </w:rPr>
      </w:pPr>
      <w:r>
        <w:rPr>
          <w:rFonts w:hint="eastAsia" w:ascii="宋体" w:hAnsi="宋体"/>
          <w:color w:val="auto"/>
          <w:sz w:val="28"/>
          <w:szCs w:val="28"/>
          <w:lang w:val="en-US" w:eastAsia="zh-CN"/>
        </w:rPr>
        <w:t>9</w:t>
      </w:r>
      <w:r>
        <w:rPr>
          <w:rFonts w:hint="eastAsia" w:ascii="宋体" w:hAnsi="宋体"/>
          <w:color w:val="auto"/>
          <w:sz w:val="28"/>
          <w:szCs w:val="28"/>
          <w:lang w:eastAsia="zh-CN"/>
        </w:rPr>
        <w:t>、</w:t>
      </w:r>
      <w:r>
        <w:rPr>
          <w:rFonts w:hint="eastAsia" w:ascii="宋体" w:hAnsi="宋体"/>
          <w:color w:val="auto"/>
          <w:sz w:val="28"/>
          <w:szCs w:val="28"/>
          <w:lang w:val="en-US" w:eastAsia="zh-CN"/>
        </w:rPr>
        <w:t>服务地点：</w:t>
      </w:r>
      <w:r>
        <w:rPr>
          <w:rFonts w:hint="eastAsia" w:ascii="新宋体" w:hAnsi="新宋体" w:eastAsia="新宋体" w:cs="新宋体"/>
          <w:color w:val="auto"/>
          <w:kern w:val="0"/>
          <w:sz w:val="28"/>
          <w:szCs w:val="28"/>
          <w:highlight w:val="none"/>
          <w:lang w:eastAsia="zh-CN"/>
        </w:rPr>
        <w:t>卢氏县</w:t>
      </w:r>
      <w:r>
        <w:rPr>
          <w:rFonts w:hint="eastAsia" w:ascii="新宋体" w:hAnsi="新宋体" w:eastAsia="新宋体" w:cs="新宋体"/>
          <w:color w:val="auto"/>
          <w:kern w:val="0"/>
          <w:sz w:val="28"/>
          <w:szCs w:val="28"/>
          <w:highlight w:val="none"/>
          <w:lang w:val="en-US" w:eastAsia="zh-CN"/>
        </w:rPr>
        <w:t xml:space="preserve"> </w:t>
      </w:r>
    </w:p>
    <w:p w14:paraId="4DDBA2FD">
      <w:pPr>
        <w:widowControl w:val="0"/>
        <w:wordWrap/>
        <w:adjustRightInd/>
        <w:snapToGrid/>
        <w:spacing w:line="600" w:lineRule="exact"/>
        <w:ind w:firstLine="560" w:firstLineChars="200"/>
        <w:jc w:val="left"/>
        <w:textAlignment w:val="auto"/>
        <w:rPr>
          <w:rFonts w:hint="eastAsia"/>
          <w:color w:val="auto"/>
          <w:lang w:val="en-US" w:eastAsia="zh-CN"/>
        </w:rPr>
      </w:pPr>
      <w:r>
        <w:rPr>
          <w:rFonts w:hint="eastAsia" w:ascii="宋体" w:hAnsi="宋体"/>
          <w:color w:val="auto"/>
          <w:sz w:val="28"/>
          <w:szCs w:val="28"/>
          <w:lang w:val="en-US" w:eastAsia="zh-CN"/>
        </w:rPr>
        <w:t>10</w:t>
      </w:r>
      <w:r>
        <w:rPr>
          <w:rFonts w:hint="eastAsia" w:ascii="宋体" w:hAnsi="宋体"/>
          <w:color w:val="auto"/>
          <w:sz w:val="28"/>
          <w:szCs w:val="28"/>
          <w:lang w:eastAsia="zh-CN"/>
        </w:rPr>
        <w:t>、质量要求：</w:t>
      </w:r>
      <w:r>
        <w:rPr>
          <w:rFonts w:hint="eastAsia" w:ascii="宋体" w:hAnsi="宋体"/>
          <w:color w:val="auto"/>
          <w:sz w:val="28"/>
          <w:szCs w:val="28"/>
          <w:lang w:val="en-US" w:eastAsia="zh-CN"/>
        </w:rPr>
        <w:t>满足国家或行业标准要求</w:t>
      </w:r>
    </w:p>
    <w:p w14:paraId="7A647CB1">
      <w:pPr>
        <w:widowControl w:val="0"/>
        <w:wordWrap/>
        <w:adjustRightInd/>
        <w:snapToGrid/>
        <w:spacing w:line="600" w:lineRule="exact"/>
        <w:ind w:firstLine="560" w:firstLineChars="200"/>
        <w:jc w:val="left"/>
        <w:textAlignment w:val="auto"/>
        <w:rPr>
          <w:rFonts w:hint="eastAsia" w:ascii="宋体" w:hAnsi="宋体"/>
          <w:color w:val="auto"/>
          <w:sz w:val="28"/>
          <w:szCs w:val="28"/>
          <w:lang w:eastAsia="zh-CN"/>
        </w:rPr>
      </w:pPr>
      <w:r>
        <w:rPr>
          <w:rFonts w:hint="eastAsia" w:ascii="宋体" w:hAnsi="宋体"/>
          <w:color w:val="auto"/>
          <w:sz w:val="28"/>
          <w:szCs w:val="28"/>
          <w:lang w:eastAsia="zh-CN"/>
        </w:rPr>
        <w:t>二、供应商资格要求：</w:t>
      </w:r>
    </w:p>
    <w:p w14:paraId="2FEB74EF">
      <w:pPr>
        <w:widowControl w:val="0"/>
        <w:wordWrap/>
        <w:adjustRightInd/>
        <w:snapToGrid/>
        <w:spacing w:line="600" w:lineRule="exact"/>
        <w:ind w:firstLine="560" w:firstLineChars="200"/>
        <w:jc w:val="left"/>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1、满足《中华人民共和国政府采购法》第二十二条规定；</w:t>
      </w:r>
    </w:p>
    <w:p w14:paraId="24AE5CE1">
      <w:pPr>
        <w:widowControl w:val="0"/>
        <w:wordWrap/>
        <w:adjustRightInd/>
        <w:snapToGrid/>
        <w:spacing w:line="600" w:lineRule="exact"/>
        <w:ind w:firstLine="560" w:firstLineChars="200"/>
        <w:jc w:val="left"/>
        <w:textAlignment w:val="auto"/>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2、落实政府采购政策满足的资格要求：本项目执行促进中小型企业发展政策（残疾人福利性企业、监狱企业视同小微企业）、优先采购节能环保产品等政府采购政策；</w:t>
      </w:r>
    </w:p>
    <w:p w14:paraId="7987702A">
      <w:pPr>
        <w:widowControl w:val="0"/>
        <w:wordWrap/>
        <w:adjustRightInd/>
        <w:snapToGrid/>
        <w:spacing w:line="600" w:lineRule="exact"/>
        <w:ind w:firstLine="560" w:firstLineChars="200"/>
        <w:jc w:val="left"/>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3、本项目的特定资格要求：</w:t>
      </w:r>
    </w:p>
    <w:p w14:paraId="31B93F8B">
      <w:pPr>
        <w:widowControl w:val="0"/>
        <w:wordWrap/>
        <w:adjustRightInd/>
        <w:snapToGrid/>
        <w:spacing w:line="600" w:lineRule="exact"/>
        <w:ind w:firstLine="560" w:firstLineChars="200"/>
        <w:jc w:val="left"/>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3.1、供应商须具有独立承担民事责任的能力（提供有效的营业执照或其他法人证明材料）；</w:t>
      </w:r>
    </w:p>
    <w:p w14:paraId="67728D44">
      <w:pPr>
        <w:widowControl w:val="0"/>
        <w:wordWrap/>
        <w:adjustRightInd/>
        <w:snapToGrid/>
        <w:spacing w:line="600" w:lineRule="exact"/>
        <w:ind w:firstLine="560" w:firstLineChars="200"/>
        <w:jc w:val="left"/>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3.2供应商的业务范围具备空气自动监测站运维资质。</w:t>
      </w:r>
    </w:p>
    <w:p w14:paraId="2E5A9D16">
      <w:pPr>
        <w:widowControl w:val="0"/>
        <w:wordWrap/>
        <w:adjustRightInd/>
        <w:snapToGrid/>
        <w:spacing w:line="600" w:lineRule="exact"/>
        <w:ind w:firstLine="560" w:firstLineChars="200"/>
        <w:jc w:val="left"/>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3.3、拟派的项目负责人须具备环境类中级及以上职称，并提供本单位缴纳的社保证明或劳动合同；</w:t>
      </w:r>
    </w:p>
    <w:p w14:paraId="623AC06C">
      <w:pPr>
        <w:widowControl w:val="0"/>
        <w:wordWrap/>
        <w:adjustRightInd/>
        <w:snapToGrid/>
        <w:spacing w:line="600" w:lineRule="exact"/>
        <w:ind w:firstLine="560" w:firstLineChars="200"/>
        <w:jc w:val="left"/>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3.4、具有健全的财务会计制度和良好的财务状况，投标人须提供近一年的年度财务报表（财务状况说明书、资产负债表、损益表、现金流量表及相关会计报表附注）；</w:t>
      </w:r>
    </w:p>
    <w:p w14:paraId="73280383">
      <w:pPr>
        <w:widowControl w:val="0"/>
        <w:wordWrap/>
        <w:adjustRightInd/>
        <w:snapToGrid/>
        <w:spacing w:line="600" w:lineRule="exact"/>
        <w:ind w:firstLine="560" w:firstLineChars="200"/>
        <w:jc w:val="left"/>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3.5、依法缴纳社会保障资金，提供项目负责人近三个月（新成立企业从成立之日起计算）的社保缴纳证明材料；依法缴纳税收近三个月（新成立企业从成立之日起计算）任意一个月缴税证明材料；</w:t>
      </w:r>
    </w:p>
    <w:p w14:paraId="5264A7EB">
      <w:pPr>
        <w:widowControl w:val="0"/>
        <w:wordWrap/>
        <w:adjustRightInd/>
        <w:snapToGrid/>
        <w:spacing w:line="600" w:lineRule="exact"/>
        <w:ind w:firstLine="560" w:firstLineChars="200"/>
        <w:jc w:val="left"/>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3.6、参加政府采购活动前3年内无行贿犯罪记录、商业贿赂、不正当竞争行为、骗取中标、严重违约及重大工程质量等问题；开标时提供企业无行贿犯罪记录在中国裁判文书网自行查询或自行承诺（查询对象：企业、法定代表人）及工商部门出具的无商业贿赂和不正当竞争证明，若当地工商部门不出具此证明，供应商自行承诺无商业贿赂和不正当竞争行为；</w:t>
      </w:r>
    </w:p>
    <w:p w14:paraId="532BDB42">
      <w:pPr>
        <w:widowControl w:val="0"/>
        <w:wordWrap/>
        <w:adjustRightInd/>
        <w:snapToGrid/>
        <w:spacing w:line="600" w:lineRule="exact"/>
        <w:ind w:firstLine="560" w:firstLineChars="200"/>
        <w:jc w:val="left"/>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3.7、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w:t>
      </w:r>
    </w:p>
    <w:p w14:paraId="544080A9">
      <w:pPr>
        <w:widowControl w:val="0"/>
        <w:wordWrap/>
        <w:adjustRightInd/>
        <w:snapToGrid/>
        <w:spacing w:line="600" w:lineRule="exact"/>
        <w:ind w:firstLine="560" w:firstLineChars="200"/>
        <w:jc w:val="left"/>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3.8、单位负责人为同一人或者存在控股、管理关系的不同供应商，不得同时参加本项目政府采购活动（投标文件内附加盖投标人公章的“国家企业信用信息”中公示的公司信息、股东或投资人信息）；</w:t>
      </w:r>
    </w:p>
    <w:p w14:paraId="11E0A9E3">
      <w:pPr>
        <w:widowControl w:val="0"/>
        <w:wordWrap/>
        <w:adjustRightInd/>
        <w:snapToGrid/>
        <w:spacing w:line="600" w:lineRule="exact"/>
        <w:ind w:firstLine="560" w:firstLineChars="200"/>
        <w:jc w:val="left"/>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3.9、本项目不接受联合体投标。</w:t>
      </w:r>
    </w:p>
    <w:p w14:paraId="06599B42">
      <w:pPr>
        <w:widowControl w:val="0"/>
        <w:wordWrap/>
        <w:adjustRightInd/>
        <w:snapToGrid/>
        <w:spacing w:line="600" w:lineRule="exact"/>
        <w:ind w:firstLine="560" w:firstLineChars="200"/>
        <w:jc w:val="left"/>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注：被列入失信被执行人及重大税收违法失信主体的企业做无效标处理。采购人或采购代理机构有权对供应商信用记录进行甄别和复查。</w:t>
      </w:r>
    </w:p>
    <w:p w14:paraId="3B6C750F">
      <w:pPr>
        <w:widowControl w:val="0"/>
        <w:wordWrap/>
        <w:adjustRightInd/>
        <w:snapToGrid/>
        <w:spacing w:line="600" w:lineRule="exact"/>
        <w:ind w:firstLine="560" w:firstLineChars="200"/>
        <w:jc w:val="left"/>
        <w:textAlignment w:val="auto"/>
        <w:rPr>
          <w:rFonts w:hint="eastAsia" w:ascii="宋体" w:hAnsi="宋体"/>
          <w:color w:val="auto"/>
          <w:sz w:val="28"/>
          <w:szCs w:val="28"/>
          <w:lang w:eastAsia="zh-CN"/>
        </w:rPr>
      </w:pPr>
      <w:r>
        <w:rPr>
          <w:rFonts w:hint="eastAsia" w:ascii="宋体" w:hAnsi="宋体"/>
          <w:color w:val="auto"/>
          <w:sz w:val="28"/>
          <w:szCs w:val="28"/>
          <w:lang w:eastAsia="zh-CN"/>
        </w:rPr>
        <w:t>三、招标文件获取方式：</w:t>
      </w:r>
    </w:p>
    <w:p w14:paraId="363B34AF">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jc w:val="left"/>
        <w:textAlignment w:val="auto"/>
        <w:rPr>
          <w:rFonts w:hint="eastAsia" w:ascii="宋体" w:hAnsi="宋体"/>
          <w:color w:val="auto"/>
          <w:sz w:val="28"/>
          <w:szCs w:val="28"/>
          <w:lang w:eastAsia="zh-CN"/>
        </w:rPr>
      </w:pPr>
      <w:r>
        <w:rPr>
          <w:rFonts w:hint="eastAsia" w:ascii="宋体" w:hAnsi="宋体"/>
          <w:color w:val="auto"/>
          <w:sz w:val="28"/>
          <w:szCs w:val="28"/>
          <w:lang w:val="en-US" w:eastAsia="zh-CN"/>
        </w:rPr>
        <w:t>1、</w:t>
      </w:r>
      <w:r>
        <w:rPr>
          <w:rFonts w:hint="eastAsia" w:ascii="宋体" w:hAnsi="宋体"/>
          <w:color w:val="auto"/>
          <w:sz w:val="28"/>
          <w:szCs w:val="28"/>
          <w:lang w:eastAsia="zh-CN"/>
        </w:rPr>
        <w:t>招标文件获取方式：本项目没有报名环节，供应商凭CA数字证书通过三门峡市公共资源交易中心网（网址：http://gzjy.smx.gov.cn/），点击交易平台选择“交易主体登录”，在所参与项目右侧点击参与投标，即可直接下载本项目招标文件及其相关资料。</w:t>
      </w:r>
    </w:p>
    <w:p w14:paraId="4B760CB8">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jc w:val="left"/>
        <w:textAlignment w:val="auto"/>
        <w:rPr>
          <w:rFonts w:hint="eastAsia" w:ascii="宋体" w:hAnsi="宋体"/>
          <w:color w:val="auto"/>
          <w:sz w:val="28"/>
          <w:szCs w:val="28"/>
          <w:lang w:eastAsia="zh-CN"/>
        </w:rPr>
      </w:pPr>
      <w:r>
        <w:rPr>
          <w:rFonts w:hint="eastAsia" w:ascii="宋体" w:hAnsi="宋体"/>
          <w:color w:val="auto"/>
          <w:sz w:val="28"/>
          <w:szCs w:val="28"/>
          <w:lang w:eastAsia="zh-CN"/>
        </w:rPr>
        <w:t>具体操作请查看以下链接：</w:t>
      </w:r>
      <w:r>
        <w:rPr>
          <w:rFonts w:hint="eastAsia" w:ascii="宋体" w:hAnsi="宋体"/>
          <w:color w:val="auto"/>
          <w:sz w:val="28"/>
          <w:szCs w:val="28"/>
          <w:lang w:val="en-US" w:eastAsia="zh-CN"/>
        </w:rPr>
        <w:t>http://gzjy.smx.gov.cn/bzzx/008001/moreinfo.html</w:t>
      </w:r>
    </w:p>
    <w:p w14:paraId="51C2247E">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jc w:val="left"/>
        <w:textAlignment w:val="auto"/>
        <w:rPr>
          <w:rFonts w:hint="eastAsia" w:ascii="宋体" w:hAnsi="宋体"/>
          <w:color w:val="auto"/>
          <w:sz w:val="28"/>
          <w:szCs w:val="28"/>
          <w:lang w:eastAsia="zh-CN"/>
        </w:rPr>
      </w:pPr>
      <w:r>
        <w:rPr>
          <w:rFonts w:hint="eastAsia" w:ascii="宋体" w:hAnsi="宋体"/>
          <w:color w:val="auto"/>
          <w:sz w:val="28"/>
          <w:szCs w:val="28"/>
          <w:lang w:eastAsia="zh-CN"/>
        </w:rPr>
        <w:t>办理CA证书：</w:t>
      </w:r>
      <w:r>
        <w:rPr>
          <w:rFonts w:hint="eastAsia" w:ascii="宋体" w:hAnsi="宋体"/>
          <w:color w:val="auto"/>
          <w:sz w:val="28"/>
          <w:szCs w:val="28"/>
          <w:lang w:val="en-US" w:eastAsia="zh-CN"/>
        </w:rPr>
        <w:t>http://gzjy.smx.gov.cn/bzzx/008001/moreinfo.html</w:t>
      </w:r>
    </w:p>
    <w:p w14:paraId="44B9AEE7">
      <w:pPr>
        <w:widowControl w:val="0"/>
        <w:wordWrap/>
        <w:adjustRightInd/>
        <w:snapToGrid/>
        <w:spacing w:line="600" w:lineRule="exact"/>
        <w:ind w:left="279" w:leftChars="133" w:firstLine="280" w:firstLineChars="100"/>
        <w:jc w:val="left"/>
        <w:textAlignment w:val="auto"/>
        <w:rPr>
          <w:rFonts w:hint="eastAsia" w:ascii="宋体" w:hAnsi="宋体"/>
          <w:color w:val="FF0000"/>
          <w:sz w:val="28"/>
          <w:szCs w:val="28"/>
          <w:lang w:eastAsia="zh-CN"/>
        </w:rPr>
      </w:pPr>
      <w:r>
        <w:rPr>
          <w:rFonts w:hint="eastAsia" w:ascii="宋体" w:hAnsi="宋体"/>
          <w:color w:val="auto"/>
          <w:sz w:val="28"/>
          <w:szCs w:val="28"/>
          <w:lang w:eastAsia="zh-CN"/>
        </w:rPr>
        <w:t>2、招标文件下载时间：202</w:t>
      </w:r>
      <w:r>
        <w:rPr>
          <w:rFonts w:hint="eastAsia" w:ascii="宋体" w:hAnsi="宋体"/>
          <w:color w:val="auto"/>
          <w:sz w:val="28"/>
          <w:szCs w:val="28"/>
          <w:lang w:val="en-US" w:eastAsia="zh-CN"/>
        </w:rPr>
        <w:t>6</w:t>
      </w:r>
      <w:r>
        <w:rPr>
          <w:rFonts w:hint="eastAsia" w:ascii="宋体" w:hAnsi="宋体"/>
          <w:color w:val="auto"/>
          <w:sz w:val="28"/>
          <w:szCs w:val="28"/>
          <w:lang w:eastAsia="zh-CN"/>
        </w:rPr>
        <w:t>年</w:t>
      </w:r>
      <w:r>
        <w:rPr>
          <w:rFonts w:hint="eastAsia" w:ascii="宋体" w:hAnsi="宋体"/>
          <w:color w:val="auto"/>
          <w:sz w:val="28"/>
          <w:szCs w:val="28"/>
          <w:lang w:val="en-US" w:eastAsia="zh-CN"/>
        </w:rPr>
        <w:t>04</w:t>
      </w:r>
      <w:r>
        <w:rPr>
          <w:rFonts w:hint="eastAsia" w:ascii="宋体" w:hAnsi="宋体"/>
          <w:color w:val="auto"/>
          <w:sz w:val="28"/>
          <w:szCs w:val="28"/>
          <w:lang w:eastAsia="zh-CN"/>
        </w:rPr>
        <w:t>月</w:t>
      </w:r>
      <w:r>
        <w:rPr>
          <w:rFonts w:hint="eastAsia" w:ascii="宋体" w:hAnsi="宋体"/>
          <w:color w:val="auto"/>
          <w:sz w:val="28"/>
          <w:szCs w:val="28"/>
          <w:lang w:val="en-US" w:eastAsia="zh-CN"/>
        </w:rPr>
        <w:t>11</w:t>
      </w:r>
      <w:r>
        <w:rPr>
          <w:rFonts w:hint="eastAsia" w:ascii="宋体" w:hAnsi="宋体"/>
          <w:color w:val="auto"/>
          <w:sz w:val="28"/>
          <w:szCs w:val="28"/>
          <w:lang w:eastAsia="zh-CN"/>
        </w:rPr>
        <w:t>日</w:t>
      </w:r>
      <w:r>
        <w:rPr>
          <w:rFonts w:hint="eastAsia" w:ascii="宋体" w:hAnsi="宋体"/>
          <w:color w:val="auto"/>
          <w:sz w:val="28"/>
          <w:szCs w:val="28"/>
          <w:lang w:val="en-US" w:eastAsia="zh-CN"/>
        </w:rPr>
        <w:t>08</w:t>
      </w:r>
      <w:r>
        <w:rPr>
          <w:rFonts w:hint="eastAsia" w:ascii="宋体" w:hAnsi="宋体"/>
          <w:color w:val="auto"/>
          <w:sz w:val="28"/>
          <w:szCs w:val="28"/>
          <w:lang w:eastAsia="zh-CN"/>
        </w:rPr>
        <w:t>时00分至202</w:t>
      </w:r>
      <w:r>
        <w:rPr>
          <w:rFonts w:hint="eastAsia" w:ascii="宋体" w:hAnsi="宋体"/>
          <w:color w:val="auto"/>
          <w:sz w:val="28"/>
          <w:szCs w:val="28"/>
          <w:lang w:val="en-US" w:eastAsia="zh-CN"/>
        </w:rPr>
        <w:t>6</w:t>
      </w:r>
      <w:r>
        <w:rPr>
          <w:rFonts w:hint="eastAsia" w:ascii="宋体" w:hAnsi="宋体"/>
          <w:color w:val="auto"/>
          <w:sz w:val="28"/>
          <w:szCs w:val="28"/>
          <w:lang w:eastAsia="zh-CN"/>
        </w:rPr>
        <w:t>年</w:t>
      </w:r>
      <w:r>
        <w:rPr>
          <w:rFonts w:hint="eastAsia" w:ascii="宋体" w:hAnsi="宋体"/>
          <w:color w:val="auto"/>
          <w:sz w:val="28"/>
          <w:szCs w:val="28"/>
          <w:lang w:val="en-US" w:eastAsia="zh-CN"/>
        </w:rPr>
        <w:t>05月06日</w:t>
      </w:r>
      <w:r>
        <w:rPr>
          <w:rFonts w:hint="eastAsia" w:ascii="宋体" w:hAnsi="宋体"/>
          <w:color w:val="auto"/>
          <w:sz w:val="28"/>
          <w:szCs w:val="28"/>
          <w:lang w:eastAsia="zh-CN"/>
        </w:rPr>
        <w:t>08时40分；</w:t>
      </w:r>
    </w:p>
    <w:p w14:paraId="0AE4B7A4">
      <w:pPr>
        <w:widowControl w:val="0"/>
        <w:wordWrap/>
        <w:adjustRightInd/>
        <w:snapToGrid/>
        <w:spacing w:line="600" w:lineRule="exact"/>
        <w:ind w:firstLine="560" w:firstLineChars="200"/>
        <w:jc w:val="left"/>
        <w:textAlignment w:val="auto"/>
        <w:rPr>
          <w:rFonts w:hint="eastAsia" w:ascii="宋体" w:hAnsi="宋体"/>
          <w:color w:val="auto"/>
          <w:sz w:val="28"/>
          <w:szCs w:val="28"/>
          <w:lang w:eastAsia="zh-CN"/>
        </w:rPr>
      </w:pPr>
      <w:r>
        <w:rPr>
          <w:rFonts w:hint="eastAsia" w:ascii="宋体" w:hAnsi="宋体"/>
          <w:color w:val="auto"/>
          <w:sz w:val="28"/>
          <w:szCs w:val="28"/>
          <w:lang w:eastAsia="zh-CN"/>
        </w:rPr>
        <w:t>3、</w:t>
      </w:r>
      <w:r>
        <w:rPr>
          <w:rFonts w:hint="eastAsia" w:ascii="宋体" w:hAnsi="宋体"/>
          <w:color w:val="auto"/>
          <w:sz w:val="28"/>
          <w:szCs w:val="28"/>
          <w:lang w:val="en-US" w:eastAsia="zh-CN"/>
        </w:rPr>
        <w:t>开标方式：</w:t>
      </w:r>
    </w:p>
    <w:p w14:paraId="2C32C4EE">
      <w:pPr>
        <w:widowControl w:val="0"/>
        <w:wordWrap/>
        <w:adjustRightInd/>
        <w:snapToGrid/>
        <w:spacing w:line="600" w:lineRule="exact"/>
        <w:ind w:firstLine="560" w:firstLineChars="200"/>
        <w:jc w:val="left"/>
        <w:textAlignment w:val="auto"/>
        <w:rPr>
          <w:rFonts w:hint="eastAsia" w:ascii="宋体" w:hAnsi="宋体"/>
          <w:color w:val="auto"/>
          <w:sz w:val="28"/>
          <w:szCs w:val="28"/>
          <w:lang w:eastAsia="zh-CN"/>
        </w:rPr>
      </w:pPr>
      <w:r>
        <w:rPr>
          <w:rFonts w:hint="eastAsia" w:ascii="宋体" w:hAnsi="宋体"/>
          <w:color w:val="auto"/>
          <w:sz w:val="28"/>
          <w:szCs w:val="28"/>
          <w:lang w:eastAsia="zh-CN"/>
        </w:rPr>
        <w:t>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035DF9C">
      <w:pPr>
        <w:widowControl w:val="0"/>
        <w:wordWrap/>
        <w:adjustRightInd/>
        <w:snapToGrid/>
        <w:spacing w:line="600" w:lineRule="exact"/>
        <w:ind w:firstLine="560" w:firstLineChars="200"/>
        <w:jc w:val="left"/>
        <w:textAlignment w:val="auto"/>
        <w:rPr>
          <w:rFonts w:hint="eastAsia" w:ascii="宋体" w:hAnsi="宋体"/>
          <w:color w:val="auto"/>
          <w:sz w:val="28"/>
          <w:szCs w:val="28"/>
          <w:lang w:eastAsia="zh-CN"/>
        </w:rPr>
      </w:pPr>
      <w:r>
        <w:rPr>
          <w:rFonts w:hint="eastAsia" w:ascii="宋体" w:hAnsi="宋体"/>
          <w:color w:val="auto"/>
          <w:sz w:val="28"/>
          <w:szCs w:val="28"/>
          <w:lang w:eastAsia="zh-CN"/>
        </w:rPr>
        <w:t>4、本项目为全电子招标，不再收取招标文件费用。</w:t>
      </w:r>
    </w:p>
    <w:p w14:paraId="33837503">
      <w:pPr>
        <w:widowControl w:val="0"/>
        <w:wordWrap/>
        <w:adjustRightInd/>
        <w:snapToGrid/>
        <w:spacing w:line="600" w:lineRule="exact"/>
        <w:ind w:firstLine="560" w:firstLineChars="200"/>
        <w:jc w:val="left"/>
        <w:textAlignment w:val="auto"/>
        <w:rPr>
          <w:rFonts w:hint="eastAsia" w:ascii="宋体" w:hAnsi="宋体"/>
          <w:color w:val="auto"/>
          <w:sz w:val="28"/>
          <w:szCs w:val="28"/>
          <w:lang w:val="en-US" w:eastAsia="zh-CN"/>
        </w:rPr>
      </w:pPr>
      <w:r>
        <w:rPr>
          <w:rFonts w:hint="eastAsia" w:ascii="宋体" w:hAnsi="宋体"/>
          <w:color w:val="auto"/>
          <w:sz w:val="28"/>
          <w:szCs w:val="28"/>
          <w:lang w:eastAsia="zh-CN"/>
        </w:rPr>
        <w:t>四、</w:t>
      </w:r>
      <w:r>
        <w:rPr>
          <w:rFonts w:hint="eastAsia" w:ascii="宋体" w:hAnsi="宋体"/>
          <w:color w:val="auto"/>
          <w:sz w:val="28"/>
          <w:szCs w:val="28"/>
          <w:lang w:val="en-US" w:eastAsia="zh-CN"/>
        </w:rPr>
        <w:t>投标资料的提交</w:t>
      </w:r>
    </w:p>
    <w:p w14:paraId="6FA9E99D">
      <w:pPr>
        <w:widowControl w:val="0"/>
        <w:wordWrap/>
        <w:adjustRightInd/>
        <w:snapToGrid/>
        <w:spacing w:line="600" w:lineRule="exact"/>
        <w:ind w:firstLine="560" w:firstLineChars="200"/>
        <w:jc w:val="left"/>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本项目实行资格后审，审查内容以投标截止时间前在三门峡市公共资源交易中心网提交的投标文件的信息为准。其上传资料真实性由投标人自行承担，同时，投标人要完善主体库。原件扫描件清晰可辨。否则，由此造成应得分而未得分或资格审查不合格等情况的，由供应商承担责任。</w:t>
      </w:r>
    </w:p>
    <w:p w14:paraId="45AB83C5">
      <w:pPr>
        <w:widowControl w:val="0"/>
        <w:wordWrap/>
        <w:adjustRightInd/>
        <w:snapToGrid/>
        <w:spacing w:line="600" w:lineRule="exact"/>
        <w:ind w:firstLine="560" w:firstLineChars="200"/>
        <w:jc w:val="left"/>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五、</w:t>
      </w:r>
      <w:r>
        <w:rPr>
          <w:rFonts w:hint="eastAsia" w:ascii="宋体" w:hAnsi="宋体"/>
          <w:color w:val="auto"/>
          <w:sz w:val="28"/>
          <w:szCs w:val="28"/>
          <w:lang w:eastAsia="zh-CN"/>
        </w:rPr>
        <w:t>投标文件</w:t>
      </w:r>
      <w:r>
        <w:rPr>
          <w:rFonts w:hint="eastAsia" w:ascii="宋体" w:hAnsi="宋体"/>
          <w:color w:val="auto"/>
          <w:sz w:val="28"/>
          <w:szCs w:val="28"/>
          <w:lang w:val="en-US" w:eastAsia="zh-CN"/>
        </w:rPr>
        <w:t>的</w:t>
      </w:r>
      <w:r>
        <w:rPr>
          <w:rFonts w:hint="eastAsia" w:ascii="宋体" w:hAnsi="宋体"/>
          <w:color w:val="auto"/>
          <w:sz w:val="28"/>
          <w:szCs w:val="28"/>
          <w:lang w:eastAsia="zh-CN"/>
        </w:rPr>
        <w:t>递交截止时间及开</w:t>
      </w:r>
      <w:r>
        <w:rPr>
          <w:rFonts w:hint="eastAsia" w:ascii="宋体" w:hAnsi="宋体"/>
          <w:color w:val="auto"/>
          <w:sz w:val="28"/>
          <w:szCs w:val="28"/>
          <w:lang w:val="en-US" w:eastAsia="zh-CN"/>
        </w:rPr>
        <w:t>评</w:t>
      </w:r>
      <w:r>
        <w:rPr>
          <w:rFonts w:hint="eastAsia" w:ascii="宋体" w:hAnsi="宋体"/>
          <w:color w:val="auto"/>
          <w:sz w:val="28"/>
          <w:szCs w:val="28"/>
          <w:lang w:eastAsia="zh-CN"/>
        </w:rPr>
        <w:t>标</w:t>
      </w:r>
      <w:r>
        <w:rPr>
          <w:rFonts w:hint="eastAsia" w:ascii="宋体" w:hAnsi="宋体"/>
          <w:color w:val="auto"/>
          <w:sz w:val="28"/>
          <w:szCs w:val="28"/>
          <w:lang w:val="en-US" w:eastAsia="zh-CN"/>
        </w:rPr>
        <w:t>地点</w:t>
      </w:r>
    </w:p>
    <w:p w14:paraId="01391E33">
      <w:pPr>
        <w:widowControl w:val="0"/>
        <w:wordWrap/>
        <w:adjustRightInd/>
        <w:snapToGrid/>
        <w:spacing w:line="600" w:lineRule="exact"/>
        <w:ind w:firstLine="560" w:firstLineChars="200"/>
        <w:jc w:val="left"/>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1、投标文件递交截止时间及开标时间：</w:t>
      </w:r>
      <w:r>
        <w:rPr>
          <w:rFonts w:hint="eastAsia" w:ascii="宋体" w:hAnsi="宋体"/>
          <w:color w:val="auto"/>
          <w:sz w:val="28"/>
          <w:szCs w:val="28"/>
          <w:lang w:eastAsia="zh-CN"/>
        </w:rPr>
        <w:t>202</w:t>
      </w:r>
      <w:r>
        <w:rPr>
          <w:rFonts w:hint="eastAsia" w:ascii="宋体" w:hAnsi="宋体"/>
          <w:color w:val="auto"/>
          <w:sz w:val="28"/>
          <w:szCs w:val="28"/>
          <w:lang w:val="en-US" w:eastAsia="zh-CN"/>
        </w:rPr>
        <w:t>6</w:t>
      </w:r>
      <w:r>
        <w:rPr>
          <w:rFonts w:hint="eastAsia" w:ascii="宋体" w:hAnsi="宋体"/>
          <w:color w:val="auto"/>
          <w:sz w:val="28"/>
          <w:szCs w:val="28"/>
          <w:lang w:eastAsia="zh-CN"/>
        </w:rPr>
        <w:t>年</w:t>
      </w:r>
      <w:r>
        <w:rPr>
          <w:rFonts w:hint="eastAsia" w:ascii="宋体" w:hAnsi="宋体"/>
          <w:color w:val="auto"/>
          <w:sz w:val="28"/>
          <w:szCs w:val="28"/>
          <w:lang w:val="en-US" w:eastAsia="zh-CN"/>
        </w:rPr>
        <w:t>05月06日</w:t>
      </w:r>
      <w:r>
        <w:rPr>
          <w:rFonts w:hint="eastAsia" w:ascii="宋体" w:hAnsi="宋体"/>
          <w:color w:val="auto"/>
          <w:sz w:val="28"/>
          <w:szCs w:val="28"/>
          <w:lang w:eastAsia="zh-CN"/>
        </w:rPr>
        <w:t>08时40分</w:t>
      </w:r>
    </w:p>
    <w:p w14:paraId="05EEF2A7">
      <w:pPr>
        <w:widowControl w:val="0"/>
        <w:wordWrap/>
        <w:adjustRightInd/>
        <w:snapToGrid/>
        <w:spacing w:line="600" w:lineRule="exact"/>
        <w:ind w:firstLine="560" w:firstLineChars="200"/>
        <w:jc w:val="left"/>
        <w:textAlignment w:val="auto"/>
        <w:rPr>
          <w:rFonts w:hint="eastAsia" w:ascii="宋体" w:hAnsi="宋体"/>
          <w:color w:val="auto"/>
          <w:sz w:val="28"/>
          <w:szCs w:val="28"/>
          <w:highlight w:val="none"/>
          <w:lang w:val="en-US" w:eastAsia="zh-CN"/>
        </w:rPr>
      </w:pPr>
      <w:r>
        <w:rPr>
          <w:rFonts w:hint="eastAsia" w:ascii="宋体" w:hAnsi="宋体"/>
          <w:color w:val="auto"/>
          <w:sz w:val="28"/>
          <w:szCs w:val="28"/>
          <w:lang w:val="en-US" w:eastAsia="zh-CN"/>
        </w:rPr>
        <w:t>2、开标地点：卢氏县公共资</w:t>
      </w:r>
      <w:r>
        <w:rPr>
          <w:rFonts w:hint="eastAsia" w:ascii="宋体" w:hAnsi="宋体"/>
          <w:color w:val="auto"/>
          <w:sz w:val="28"/>
          <w:szCs w:val="28"/>
          <w:highlight w:val="none"/>
          <w:lang w:val="en-US" w:eastAsia="zh-CN"/>
        </w:rPr>
        <w:t>源交易中心四楼第一开标室</w:t>
      </w:r>
    </w:p>
    <w:p w14:paraId="339C5587">
      <w:pPr>
        <w:widowControl w:val="0"/>
        <w:wordWrap/>
        <w:adjustRightInd/>
        <w:snapToGrid/>
        <w:spacing w:line="600" w:lineRule="exact"/>
        <w:ind w:firstLine="560" w:firstLineChars="200"/>
        <w:jc w:val="left"/>
        <w:textAlignment w:val="auto"/>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3、评标地点：卢氏县公共资源交易中心二楼第一评标室</w:t>
      </w:r>
    </w:p>
    <w:p w14:paraId="5DD94766">
      <w:pPr>
        <w:widowControl w:val="0"/>
        <w:wordWrap/>
        <w:adjustRightInd/>
        <w:snapToGrid/>
        <w:spacing w:line="600" w:lineRule="exact"/>
        <w:ind w:firstLine="560" w:firstLineChars="200"/>
        <w:jc w:val="left"/>
        <w:textAlignment w:val="auto"/>
        <w:rPr>
          <w:rFonts w:hint="eastAsia" w:ascii="宋体" w:hAnsi="宋体"/>
          <w:color w:val="auto"/>
          <w:sz w:val="28"/>
          <w:szCs w:val="28"/>
          <w:lang w:eastAsia="zh-CN"/>
        </w:rPr>
      </w:pPr>
      <w:r>
        <w:rPr>
          <w:rFonts w:hint="eastAsia" w:ascii="宋体" w:hAnsi="宋体"/>
          <w:color w:val="auto"/>
          <w:sz w:val="28"/>
          <w:szCs w:val="28"/>
          <w:lang w:val="en-US" w:eastAsia="zh-CN"/>
        </w:rPr>
        <w:t>六、</w:t>
      </w:r>
      <w:r>
        <w:rPr>
          <w:rFonts w:hint="eastAsia" w:ascii="宋体" w:hAnsi="宋体"/>
          <w:color w:val="auto"/>
          <w:sz w:val="28"/>
          <w:szCs w:val="28"/>
          <w:lang w:eastAsia="zh-CN"/>
        </w:rPr>
        <w:t>投标保证金：</w:t>
      </w:r>
    </w:p>
    <w:p w14:paraId="083AC631">
      <w:pPr>
        <w:widowControl w:val="0"/>
        <w:wordWrap/>
        <w:adjustRightInd/>
        <w:snapToGrid/>
        <w:spacing w:line="600" w:lineRule="exact"/>
        <w:ind w:firstLine="560" w:firstLineChars="200"/>
        <w:jc w:val="left"/>
        <w:textAlignment w:val="auto"/>
        <w:rPr>
          <w:rFonts w:hint="eastAsia" w:ascii="宋体" w:hAnsi="宋体"/>
          <w:color w:val="auto"/>
          <w:sz w:val="28"/>
          <w:szCs w:val="28"/>
          <w:lang w:eastAsia="zh-CN"/>
        </w:rPr>
      </w:pPr>
      <w:r>
        <w:rPr>
          <w:rFonts w:hint="eastAsia" w:ascii="宋体" w:hAnsi="宋体"/>
          <w:color w:val="auto"/>
          <w:sz w:val="28"/>
          <w:szCs w:val="28"/>
          <w:lang w:eastAsia="zh-CN"/>
        </w:rPr>
        <w:t>按照《河南省财政厅关于优化政府采购营商环境有关问题的通知》（豫财购[2019]4号文）的要求本项目不再收取投标保证金。</w:t>
      </w:r>
    </w:p>
    <w:p w14:paraId="0C204FBD">
      <w:pPr>
        <w:widowControl w:val="0"/>
        <w:wordWrap/>
        <w:adjustRightInd/>
        <w:snapToGrid/>
        <w:spacing w:line="600" w:lineRule="exact"/>
        <w:ind w:firstLine="560" w:firstLineChars="200"/>
        <w:jc w:val="left"/>
        <w:textAlignment w:val="auto"/>
        <w:rPr>
          <w:rFonts w:hint="eastAsia" w:ascii="宋体" w:hAnsi="宋体"/>
          <w:color w:val="auto"/>
          <w:sz w:val="28"/>
          <w:szCs w:val="28"/>
          <w:lang w:eastAsia="zh-CN"/>
        </w:rPr>
      </w:pPr>
      <w:r>
        <w:rPr>
          <w:rFonts w:hint="eastAsia" w:ascii="宋体" w:hAnsi="宋体"/>
          <w:color w:val="auto"/>
          <w:sz w:val="28"/>
          <w:szCs w:val="28"/>
          <w:lang w:val="en-US" w:eastAsia="zh-CN"/>
        </w:rPr>
        <w:t>七</w:t>
      </w:r>
      <w:r>
        <w:rPr>
          <w:rFonts w:hint="eastAsia" w:ascii="宋体" w:hAnsi="宋体"/>
          <w:color w:val="auto"/>
          <w:sz w:val="28"/>
          <w:szCs w:val="28"/>
          <w:lang w:eastAsia="zh-CN"/>
        </w:rPr>
        <w:t>、其他事项：</w:t>
      </w:r>
    </w:p>
    <w:p w14:paraId="36246EA7">
      <w:pPr>
        <w:widowControl w:val="0"/>
        <w:wordWrap/>
        <w:adjustRightInd/>
        <w:snapToGrid/>
        <w:spacing w:line="600" w:lineRule="exact"/>
        <w:ind w:firstLine="560" w:firstLineChars="200"/>
        <w:jc w:val="left"/>
        <w:textAlignment w:val="auto"/>
        <w:rPr>
          <w:rFonts w:hint="eastAsia" w:ascii="宋体" w:hAnsi="宋体"/>
          <w:color w:val="auto"/>
          <w:sz w:val="28"/>
          <w:szCs w:val="28"/>
          <w:lang w:eastAsia="zh-CN"/>
        </w:rPr>
      </w:pPr>
      <w:r>
        <w:rPr>
          <w:rFonts w:hint="eastAsia" w:ascii="宋体" w:hAnsi="宋体"/>
          <w:color w:val="auto"/>
          <w:sz w:val="28"/>
          <w:szCs w:val="28"/>
          <w:lang w:eastAsia="zh-CN"/>
        </w:rPr>
        <w:t>1、投标供应商应仔细阅读操作手册，在本公告中要求的截止时间前完成招标文件下载等工作。并充分考虑人为操作和时间等因素，因投标供应商操作不当造成的无法下载招标文件、无法投标等一切后果，由投标供应商自行承担。</w:t>
      </w:r>
    </w:p>
    <w:p w14:paraId="6638A932">
      <w:pPr>
        <w:widowControl w:val="0"/>
        <w:wordWrap/>
        <w:adjustRightInd/>
        <w:snapToGrid/>
        <w:spacing w:line="600" w:lineRule="exact"/>
        <w:ind w:firstLine="560" w:firstLineChars="200"/>
        <w:jc w:val="left"/>
        <w:textAlignment w:val="auto"/>
        <w:rPr>
          <w:rFonts w:hint="eastAsia" w:ascii="宋体" w:hAnsi="宋体"/>
          <w:color w:val="auto"/>
          <w:sz w:val="28"/>
          <w:szCs w:val="28"/>
          <w:lang w:eastAsia="zh-CN"/>
        </w:rPr>
      </w:pPr>
      <w:r>
        <w:rPr>
          <w:rFonts w:hint="eastAsia" w:ascii="宋体" w:hAnsi="宋体"/>
          <w:color w:val="auto"/>
          <w:sz w:val="28"/>
          <w:szCs w:val="28"/>
          <w:lang w:eastAsia="zh-CN"/>
        </w:rPr>
        <w:t>2、采购人不组织投标供应商踏勘现场。</w:t>
      </w:r>
    </w:p>
    <w:p w14:paraId="62D03DB7">
      <w:pPr>
        <w:widowControl w:val="0"/>
        <w:wordWrap/>
        <w:adjustRightInd/>
        <w:snapToGrid/>
        <w:spacing w:line="600" w:lineRule="exact"/>
        <w:ind w:firstLine="560" w:firstLineChars="200"/>
        <w:jc w:val="left"/>
        <w:textAlignment w:val="auto"/>
        <w:rPr>
          <w:rFonts w:hint="eastAsia" w:ascii="宋体" w:hAnsi="宋体"/>
          <w:color w:val="auto"/>
          <w:sz w:val="28"/>
          <w:szCs w:val="28"/>
          <w:lang w:val="en-US" w:eastAsia="zh-CN"/>
        </w:rPr>
      </w:pPr>
      <w:r>
        <w:rPr>
          <w:rFonts w:hint="eastAsia" w:ascii="宋体" w:hAnsi="宋体"/>
          <w:color w:val="auto"/>
          <w:sz w:val="28"/>
          <w:szCs w:val="28"/>
          <w:lang w:eastAsia="zh-CN"/>
        </w:rPr>
        <w:t>3、供应商递交的投标文件不论中标与否均不予退还。</w:t>
      </w:r>
      <w:r>
        <w:rPr>
          <w:rFonts w:hint="eastAsia" w:ascii="宋体" w:hAnsi="宋体"/>
          <w:color w:val="auto"/>
          <w:sz w:val="28"/>
          <w:szCs w:val="28"/>
          <w:lang w:val="en-US" w:eastAsia="zh-CN"/>
        </w:rPr>
        <w:t xml:space="preserve"> </w:t>
      </w:r>
    </w:p>
    <w:p w14:paraId="0D5AF6A2">
      <w:pPr>
        <w:widowControl w:val="0"/>
        <w:wordWrap/>
        <w:adjustRightInd/>
        <w:snapToGrid/>
        <w:spacing w:line="600" w:lineRule="exact"/>
        <w:ind w:firstLine="560" w:firstLineChars="200"/>
        <w:jc w:val="left"/>
        <w:textAlignment w:val="auto"/>
        <w:rPr>
          <w:rFonts w:hint="eastAsia" w:ascii="宋体" w:hAnsi="宋体"/>
          <w:color w:val="auto"/>
          <w:sz w:val="28"/>
          <w:szCs w:val="28"/>
          <w:lang w:eastAsia="zh-CN"/>
        </w:rPr>
      </w:pPr>
      <w:r>
        <w:rPr>
          <w:rFonts w:hint="eastAsia" w:ascii="宋体" w:hAnsi="宋体"/>
          <w:color w:val="auto"/>
          <w:sz w:val="28"/>
          <w:szCs w:val="28"/>
          <w:lang w:eastAsia="zh-CN"/>
        </w:rPr>
        <w:t>温馨提示：本项目为电子化、无纸化交易项目，开标时不再接受任何纸质资料，为保证您能投标成功，请需仔细阅读招标文件和三门峡市公共资源交易中心官网业务办理指南。</w:t>
      </w:r>
    </w:p>
    <w:p w14:paraId="50B874A8">
      <w:pPr>
        <w:widowControl w:val="0"/>
        <w:wordWrap/>
        <w:adjustRightInd/>
        <w:snapToGrid/>
        <w:spacing w:line="600" w:lineRule="exact"/>
        <w:ind w:firstLine="560" w:firstLineChars="200"/>
        <w:jc w:val="left"/>
        <w:textAlignment w:val="auto"/>
        <w:rPr>
          <w:rFonts w:hint="eastAsia" w:ascii="宋体" w:hAnsi="宋体"/>
          <w:color w:val="auto"/>
          <w:sz w:val="28"/>
          <w:szCs w:val="28"/>
          <w:lang w:eastAsia="zh-CN"/>
        </w:rPr>
      </w:pPr>
      <w:r>
        <w:rPr>
          <w:rFonts w:hint="eastAsia" w:ascii="宋体" w:hAnsi="宋体"/>
          <w:color w:val="auto"/>
          <w:sz w:val="28"/>
          <w:szCs w:val="28"/>
          <w:lang w:val="en-US" w:eastAsia="zh-CN"/>
        </w:rPr>
        <w:t>八</w:t>
      </w:r>
      <w:r>
        <w:rPr>
          <w:rFonts w:hint="eastAsia" w:ascii="宋体" w:hAnsi="宋体"/>
          <w:color w:val="auto"/>
          <w:sz w:val="28"/>
          <w:szCs w:val="28"/>
          <w:lang w:eastAsia="zh-CN"/>
        </w:rPr>
        <w:t>、发布公告的媒介：</w:t>
      </w:r>
    </w:p>
    <w:p w14:paraId="378E77AA">
      <w:pPr>
        <w:widowControl w:val="0"/>
        <w:wordWrap/>
        <w:adjustRightInd/>
        <w:snapToGrid/>
        <w:spacing w:line="600" w:lineRule="exact"/>
        <w:ind w:firstLine="560" w:firstLineChars="200"/>
        <w:jc w:val="left"/>
        <w:textAlignment w:val="auto"/>
        <w:rPr>
          <w:rFonts w:hint="eastAsia" w:ascii="宋体" w:hAnsi="宋体"/>
          <w:color w:val="auto"/>
          <w:sz w:val="28"/>
          <w:szCs w:val="28"/>
          <w:lang w:eastAsia="zh-CN"/>
        </w:rPr>
      </w:pPr>
      <w:r>
        <w:rPr>
          <w:rFonts w:hint="eastAsia" w:ascii="宋体" w:hAnsi="宋体"/>
          <w:color w:val="auto"/>
          <w:sz w:val="28"/>
          <w:szCs w:val="28"/>
          <w:lang w:eastAsia="zh-CN"/>
        </w:rPr>
        <w:t>本次招标公告同时在《中国招标投标公共服务平台》、《河南省政府采购网》和《三门峡市公共资源交易中心网》上发布。</w:t>
      </w:r>
    </w:p>
    <w:p w14:paraId="6B616188">
      <w:pPr>
        <w:widowControl w:val="0"/>
        <w:wordWrap/>
        <w:adjustRightInd/>
        <w:snapToGrid/>
        <w:spacing w:line="600" w:lineRule="exact"/>
        <w:ind w:firstLine="560" w:firstLineChars="200"/>
        <w:jc w:val="left"/>
        <w:textAlignment w:val="auto"/>
        <w:rPr>
          <w:rFonts w:hint="eastAsia" w:ascii="宋体" w:hAnsi="宋体"/>
          <w:color w:val="auto"/>
          <w:sz w:val="28"/>
          <w:szCs w:val="28"/>
          <w:lang w:eastAsia="zh-CN"/>
        </w:rPr>
      </w:pPr>
      <w:r>
        <w:rPr>
          <w:rFonts w:hint="eastAsia" w:ascii="宋体" w:hAnsi="宋体"/>
          <w:color w:val="auto"/>
          <w:sz w:val="28"/>
          <w:szCs w:val="28"/>
          <w:lang w:val="en-US" w:eastAsia="zh-CN"/>
        </w:rPr>
        <w:t>九</w:t>
      </w:r>
      <w:r>
        <w:rPr>
          <w:rFonts w:hint="eastAsia" w:ascii="宋体" w:hAnsi="宋体"/>
          <w:color w:val="auto"/>
          <w:sz w:val="28"/>
          <w:szCs w:val="28"/>
          <w:lang w:eastAsia="zh-CN"/>
        </w:rPr>
        <w:t>、联系方式</w:t>
      </w:r>
    </w:p>
    <w:p w14:paraId="5D2836EA">
      <w:pPr>
        <w:widowControl w:val="0"/>
        <w:wordWrap/>
        <w:adjustRightInd/>
        <w:snapToGrid/>
        <w:spacing w:line="600" w:lineRule="exact"/>
        <w:ind w:firstLine="560" w:firstLineChars="200"/>
        <w:jc w:val="left"/>
        <w:textAlignment w:val="auto"/>
        <w:rPr>
          <w:rFonts w:hint="eastAsia" w:ascii="宋体" w:hAnsi="宋体" w:eastAsia="宋体"/>
          <w:b w:val="0"/>
          <w:bCs w:val="0"/>
          <w:color w:val="auto"/>
          <w:kern w:val="2"/>
          <w:sz w:val="28"/>
          <w:szCs w:val="28"/>
          <w:lang w:val="en-US" w:eastAsia="zh-CN"/>
        </w:rPr>
      </w:pPr>
      <w:r>
        <w:rPr>
          <w:rFonts w:hint="eastAsia" w:ascii="宋体" w:hAnsi="宋体" w:eastAsia="宋体"/>
          <w:b w:val="0"/>
          <w:bCs w:val="0"/>
          <w:color w:val="auto"/>
          <w:kern w:val="2"/>
          <w:sz w:val="28"/>
          <w:szCs w:val="28"/>
          <w:lang w:val="en-US" w:eastAsia="zh-CN"/>
        </w:rPr>
        <w:t>监督单位：卢氏县政府采购办公室</w:t>
      </w:r>
    </w:p>
    <w:p w14:paraId="5C8747E2">
      <w:pPr>
        <w:widowControl w:val="0"/>
        <w:wordWrap/>
        <w:adjustRightInd/>
        <w:snapToGrid/>
        <w:spacing w:line="600" w:lineRule="exact"/>
        <w:ind w:firstLine="560" w:firstLineChars="200"/>
        <w:jc w:val="left"/>
        <w:textAlignment w:val="auto"/>
        <w:rPr>
          <w:rFonts w:hint="eastAsia" w:ascii="宋体" w:hAnsi="宋体" w:eastAsia="宋体"/>
          <w:b w:val="0"/>
          <w:bCs w:val="0"/>
          <w:color w:val="auto"/>
          <w:kern w:val="2"/>
          <w:sz w:val="28"/>
          <w:szCs w:val="28"/>
          <w:lang w:val="en-US" w:eastAsia="zh-CN"/>
        </w:rPr>
      </w:pPr>
      <w:r>
        <w:rPr>
          <w:rFonts w:hint="eastAsia" w:ascii="宋体" w:hAnsi="宋体" w:eastAsia="宋体"/>
          <w:b w:val="0"/>
          <w:bCs w:val="0"/>
          <w:color w:val="auto"/>
          <w:kern w:val="2"/>
          <w:sz w:val="28"/>
          <w:szCs w:val="28"/>
          <w:lang w:val="en-US" w:eastAsia="zh-CN"/>
        </w:rPr>
        <w:t>电话：0398-7863556</w:t>
      </w:r>
    </w:p>
    <w:p w14:paraId="710C51A7">
      <w:pPr>
        <w:widowControl w:val="0"/>
        <w:wordWrap/>
        <w:adjustRightInd/>
        <w:snapToGrid/>
        <w:spacing w:line="600" w:lineRule="exact"/>
        <w:ind w:firstLine="560" w:firstLineChars="200"/>
        <w:jc w:val="left"/>
        <w:textAlignment w:val="auto"/>
        <w:rPr>
          <w:rFonts w:hint="eastAsia" w:ascii="宋体" w:hAnsi="宋体" w:eastAsia="宋体"/>
          <w:b w:val="0"/>
          <w:bCs w:val="0"/>
          <w:color w:val="auto"/>
          <w:kern w:val="2"/>
          <w:sz w:val="28"/>
          <w:szCs w:val="28"/>
          <w:lang w:val="en-US" w:eastAsia="zh-CN"/>
        </w:rPr>
      </w:pPr>
      <w:r>
        <w:rPr>
          <w:rFonts w:hint="eastAsia" w:ascii="宋体" w:hAnsi="宋体" w:eastAsia="宋体"/>
          <w:b w:val="0"/>
          <w:bCs w:val="0"/>
          <w:color w:val="auto"/>
          <w:kern w:val="2"/>
          <w:sz w:val="28"/>
          <w:szCs w:val="28"/>
          <w:lang w:val="en-US" w:eastAsia="zh-CN"/>
        </w:rPr>
        <w:t>地址：卢氏县城关镇解放路中段</w:t>
      </w:r>
    </w:p>
    <w:p w14:paraId="56A9A32B">
      <w:pPr>
        <w:widowControl w:val="0"/>
        <w:wordWrap/>
        <w:adjustRightInd/>
        <w:snapToGrid/>
        <w:spacing w:line="600" w:lineRule="exact"/>
        <w:ind w:firstLine="560" w:firstLineChars="200"/>
        <w:jc w:val="left"/>
        <w:textAlignment w:val="auto"/>
        <w:rPr>
          <w:rFonts w:hint="eastAsia" w:ascii="宋体" w:hAnsi="宋体" w:eastAsia="宋体"/>
          <w:b w:val="0"/>
          <w:bCs w:val="0"/>
          <w:color w:val="auto"/>
          <w:kern w:val="2"/>
          <w:sz w:val="28"/>
          <w:szCs w:val="28"/>
          <w:lang w:val="en-US" w:eastAsia="zh-CN"/>
        </w:rPr>
      </w:pPr>
      <w:r>
        <w:rPr>
          <w:rFonts w:hint="eastAsia" w:ascii="宋体" w:hAnsi="宋体" w:eastAsia="宋体"/>
          <w:b w:val="0"/>
          <w:bCs w:val="0"/>
          <w:color w:val="auto"/>
          <w:kern w:val="2"/>
          <w:sz w:val="28"/>
          <w:szCs w:val="28"/>
          <w:lang w:val="en-US" w:eastAsia="zh-CN"/>
        </w:rPr>
        <w:t>监督单位：三门峡市生态环境局卢氏分局</w:t>
      </w:r>
    </w:p>
    <w:p w14:paraId="4A9EECC8">
      <w:pPr>
        <w:widowControl w:val="0"/>
        <w:wordWrap/>
        <w:adjustRightInd/>
        <w:snapToGrid/>
        <w:spacing w:line="600" w:lineRule="exact"/>
        <w:ind w:firstLine="560" w:firstLineChars="200"/>
        <w:jc w:val="left"/>
        <w:textAlignment w:val="auto"/>
        <w:rPr>
          <w:rFonts w:hint="eastAsia" w:ascii="宋体" w:hAnsi="宋体" w:eastAsia="宋体"/>
          <w:b w:val="0"/>
          <w:bCs w:val="0"/>
          <w:color w:val="auto"/>
          <w:kern w:val="2"/>
          <w:sz w:val="28"/>
          <w:szCs w:val="28"/>
          <w:lang w:val="en-US" w:eastAsia="zh-CN"/>
        </w:rPr>
      </w:pPr>
      <w:r>
        <w:rPr>
          <w:rFonts w:hint="eastAsia" w:ascii="宋体" w:hAnsi="宋体" w:eastAsia="宋体"/>
          <w:b w:val="0"/>
          <w:bCs w:val="0"/>
          <w:color w:val="auto"/>
          <w:kern w:val="2"/>
          <w:sz w:val="28"/>
          <w:szCs w:val="28"/>
          <w:lang w:val="en-US" w:eastAsia="zh-CN"/>
        </w:rPr>
        <w:t>联系人：</w:t>
      </w:r>
      <w:r>
        <w:rPr>
          <w:rFonts w:hint="eastAsia" w:ascii="宋体" w:hAnsi="宋体"/>
          <w:b w:val="0"/>
          <w:bCs w:val="0"/>
          <w:color w:val="auto"/>
          <w:kern w:val="2"/>
          <w:sz w:val="28"/>
          <w:szCs w:val="28"/>
          <w:lang w:val="en-US" w:eastAsia="zh-CN"/>
        </w:rPr>
        <w:t>李强</w:t>
      </w:r>
    </w:p>
    <w:p w14:paraId="38DCCD8A">
      <w:pPr>
        <w:widowControl w:val="0"/>
        <w:wordWrap/>
        <w:adjustRightInd/>
        <w:snapToGrid/>
        <w:spacing w:line="600" w:lineRule="exact"/>
        <w:ind w:firstLine="560" w:firstLineChars="200"/>
        <w:jc w:val="left"/>
        <w:textAlignment w:val="auto"/>
        <w:rPr>
          <w:rFonts w:hint="default" w:ascii="宋体" w:hAnsi="宋体" w:eastAsia="宋体"/>
          <w:b w:val="0"/>
          <w:bCs w:val="0"/>
          <w:color w:val="auto"/>
          <w:kern w:val="2"/>
          <w:sz w:val="28"/>
          <w:szCs w:val="28"/>
          <w:lang w:val="en-US" w:eastAsia="zh-CN"/>
        </w:rPr>
      </w:pPr>
      <w:r>
        <w:rPr>
          <w:rFonts w:hint="eastAsia" w:ascii="宋体" w:hAnsi="宋体" w:eastAsia="宋体"/>
          <w:b w:val="0"/>
          <w:bCs w:val="0"/>
          <w:color w:val="auto"/>
          <w:kern w:val="2"/>
          <w:sz w:val="28"/>
          <w:szCs w:val="28"/>
          <w:lang w:val="en-US" w:eastAsia="zh-CN"/>
        </w:rPr>
        <w:t>电话：</w:t>
      </w:r>
      <w:r>
        <w:rPr>
          <w:rFonts w:hint="eastAsia" w:ascii="宋体" w:hAnsi="宋体"/>
          <w:b w:val="0"/>
          <w:bCs w:val="0"/>
          <w:color w:val="auto"/>
          <w:kern w:val="2"/>
          <w:sz w:val="28"/>
          <w:szCs w:val="28"/>
          <w:lang w:val="en-US" w:eastAsia="zh-CN"/>
        </w:rPr>
        <w:t>13707641609</w:t>
      </w:r>
    </w:p>
    <w:p w14:paraId="091A457F">
      <w:pPr>
        <w:widowControl w:val="0"/>
        <w:wordWrap/>
        <w:adjustRightInd/>
        <w:snapToGrid/>
        <w:spacing w:line="600" w:lineRule="exact"/>
        <w:ind w:firstLine="560" w:firstLineChars="200"/>
        <w:jc w:val="left"/>
        <w:textAlignment w:val="auto"/>
        <w:rPr>
          <w:rFonts w:hint="eastAsia" w:ascii="宋体" w:hAnsi="宋体" w:eastAsia="宋体"/>
          <w:b w:val="0"/>
          <w:bCs w:val="0"/>
          <w:color w:val="auto"/>
          <w:kern w:val="2"/>
          <w:sz w:val="28"/>
          <w:szCs w:val="28"/>
          <w:lang w:val="en-US" w:eastAsia="zh-CN"/>
        </w:rPr>
      </w:pPr>
      <w:r>
        <w:rPr>
          <w:rFonts w:hint="eastAsia" w:ascii="宋体" w:hAnsi="宋体" w:eastAsia="宋体"/>
          <w:b w:val="0"/>
          <w:bCs w:val="0"/>
          <w:color w:val="auto"/>
          <w:kern w:val="2"/>
          <w:sz w:val="28"/>
          <w:szCs w:val="28"/>
          <w:lang w:val="en-US" w:eastAsia="zh-CN"/>
        </w:rPr>
        <w:t>地址：卢氏县莘源路西段</w:t>
      </w:r>
    </w:p>
    <w:p w14:paraId="0977B0DC">
      <w:pPr>
        <w:widowControl w:val="0"/>
        <w:wordWrap/>
        <w:adjustRightInd/>
        <w:snapToGrid/>
        <w:spacing w:line="600" w:lineRule="exact"/>
        <w:ind w:firstLine="560" w:firstLineChars="200"/>
        <w:jc w:val="left"/>
        <w:textAlignment w:val="auto"/>
        <w:rPr>
          <w:rFonts w:hint="eastAsia" w:ascii="宋体" w:hAnsi="宋体" w:eastAsia="宋体"/>
          <w:b w:val="0"/>
          <w:bCs w:val="0"/>
          <w:color w:val="auto"/>
          <w:kern w:val="2"/>
          <w:sz w:val="28"/>
          <w:szCs w:val="28"/>
          <w:lang w:val="en-US" w:eastAsia="zh-CN"/>
        </w:rPr>
      </w:pPr>
      <w:r>
        <w:rPr>
          <w:rFonts w:hint="eastAsia" w:ascii="宋体" w:hAnsi="宋体" w:eastAsia="宋体"/>
          <w:b w:val="0"/>
          <w:bCs w:val="0"/>
          <w:color w:val="auto"/>
          <w:kern w:val="2"/>
          <w:sz w:val="28"/>
          <w:szCs w:val="28"/>
          <w:lang w:val="en-US" w:eastAsia="zh-CN"/>
        </w:rPr>
        <w:t>采购人：三门峡市生态环境局卢氏分局</w:t>
      </w:r>
    </w:p>
    <w:p w14:paraId="6837A365">
      <w:pPr>
        <w:widowControl w:val="0"/>
        <w:wordWrap/>
        <w:adjustRightInd/>
        <w:snapToGrid/>
        <w:spacing w:line="600" w:lineRule="exact"/>
        <w:ind w:firstLine="560" w:firstLineChars="200"/>
        <w:jc w:val="left"/>
        <w:textAlignment w:val="auto"/>
        <w:rPr>
          <w:rFonts w:hint="eastAsia" w:ascii="宋体" w:hAnsi="宋体" w:eastAsia="宋体"/>
          <w:b w:val="0"/>
          <w:bCs w:val="0"/>
          <w:color w:val="auto"/>
          <w:kern w:val="2"/>
          <w:sz w:val="28"/>
          <w:szCs w:val="28"/>
          <w:lang w:val="en-US" w:eastAsia="zh-CN"/>
        </w:rPr>
      </w:pPr>
      <w:r>
        <w:rPr>
          <w:rFonts w:hint="eastAsia" w:ascii="宋体" w:hAnsi="宋体" w:eastAsia="宋体"/>
          <w:b w:val="0"/>
          <w:bCs w:val="0"/>
          <w:color w:val="auto"/>
          <w:kern w:val="2"/>
          <w:sz w:val="28"/>
          <w:szCs w:val="28"/>
          <w:lang w:val="en-US" w:eastAsia="zh-CN"/>
        </w:rPr>
        <w:t>联系人：顾文辉</w:t>
      </w:r>
    </w:p>
    <w:p w14:paraId="7A5A162F">
      <w:pPr>
        <w:widowControl w:val="0"/>
        <w:wordWrap/>
        <w:adjustRightInd/>
        <w:snapToGrid/>
        <w:spacing w:line="600" w:lineRule="exact"/>
        <w:ind w:firstLine="560" w:firstLineChars="200"/>
        <w:jc w:val="left"/>
        <w:textAlignment w:val="auto"/>
        <w:rPr>
          <w:rFonts w:hint="eastAsia" w:ascii="宋体" w:hAnsi="宋体" w:eastAsia="宋体"/>
          <w:b w:val="0"/>
          <w:bCs w:val="0"/>
          <w:color w:val="auto"/>
          <w:kern w:val="2"/>
          <w:sz w:val="28"/>
          <w:szCs w:val="28"/>
          <w:lang w:val="en-US" w:eastAsia="zh-CN"/>
        </w:rPr>
      </w:pPr>
      <w:r>
        <w:rPr>
          <w:rFonts w:hint="eastAsia" w:ascii="宋体" w:hAnsi="宋体" w:eastAsia="宋体"/>
          <w:b w:val="0"/>
          <w:bCs w:val="0"/>
          <w:color w:val="auto"/>
          <w:kern w:val="2"/>
          <w:sz w:val="28"/>
          <w:szCs w:val="28"/>
          <w:lang w:val="en-US" w:eastAsia="zh-CN"/>
        </w:rPr>
        <w:t>电话：18239885655</w:t>
      </w:r>
      <w:r>
        <w:rPr>
          <w:rFonts w:hint="eastAsia" w:ascii="宋体" w:hAnsi="宋体"/>
          <w:b w:val="0"/>
          <w:bCs w:val="0"/>
          <w:color w:val="auto"/>
          <w:kern w:val="2"/>
          <w:sz w:val="28"/>
          <w:szCs w:val="28"/>
          <w:lang w:val="en-US" w:eastAsia="zh-CN"/>
        </w:rPr>
        <w:t>、03987873774</w:t>
      </w:r>
    </w:p>
    <w:p w14:paraId="178ACE77">
      <w:pPr>
        <w:widowControl w:val="0"/>
        <w:wordWrap/>
        <w:adjustRightInd/>
        <w:snapToGrid/>
        <w:spacing w:line="600" w:lineRule="exact"/>
        <w:ind w:firstLine="560" w:firstLineChars="200"/>
        <w:jc w:val="left"/>
        <w:textAlignment w:val="auto"/>
        <w:rPr>
          <w:rFonts w:hint="eastAsia" w:ascii="宋体" w:hAnsi="宋体" w:eastAsia="宋体"/>
          <w:b w:val="0"/>
          <w:bCs w:val="0"/>
          <w:color w:val="auto"/>
          <w:kern w:val="2"/>
          <w:sz w:val="28"/>
          <w:szCs w:val="28"/>
          <w:lang w:val="en-US" w:eastAsia="zh-CN"/>
        </w:rPr>
      </w:pPr>
      <w:r>
        <w:rPr>
          <w:rFonts w:hint="eastAsia" w:ascii="宋体" w:hAnsi="宋体" w:eastAsia="宋体"/>
          <w:b w:val="0"/>
          <w:bCs w:val="0"/>
          <w:color w:val="auto"/>
          <w:kern w:val="2"/>
          <w:sz w:val="28"/>
          <w:szCs w:val="28"/>
          <w:lang w:val="en-US" w:eastAsia="zh-CN"/>
        </w:rPr>
        <w:t>地址：卢氏县莘源路西段</w:t>
      </w:r>
    </w:p>
    <w:p w14:paraId="7D00C83F">
      <w:pPr>
        <w:widowControl w:val="0"/>
        <w:wordWrap/>
        <w:adjustRightInd/>
        <w:snapToGrid/>
        <w:spacing w:line="600" w:lineRule="exact"/>
        <w:ind w:firstLine="560" w:firstLineChars="200"/>
        <w:jc w:val="left"/>
        <w:textAlignment w:val="auto"/>
        <w:rPr>
          <w:rFonts w:hint="eastAsia" w:ascii="宋体" w:hAnsi="宋体" w:eastAsia="宋体"/>
          <w:b w:val="0"/>
          <w:bCs w:val="0"/>
          <w:color w:val="auto"/>
          <w:kern w:val="2"/>
          <w:sz w:val="28"/>
          <w:szCs w:val="28"/>
        </w:rPr>
      </w:pPr>
      <w:r>
        <w:rPr>
          <w:rFonts w:hint="eastAsia" w:ascii="宋体" w:hAnsi="宋体" w:eastAsia="宋体"/>
          <w:b w:val="0"/>
          <w:bCs w:val="0"/>
          <w:color w:val="auto"/>
          <w:kern w:val="2"/>
          <w:sz w:val="28"/>
          <w:szCs w:val="28"/>
        </w:rPr>
        <w:t>招标代理：河南展杰工程管理有限公司</w:t>
      </w:r>
    </w:p>
    <w:p w14:paraId="1AD6C64F">
      <w:pPr>
        <w:widowControl w:val="0"/>
        <w:wordWrap/>
        <w:adjustRightInd/>
        <w:snapToGrid/>
        <w:spacing w:line="600" w:lineRule="exact"/>
        <w:ind w:firstLine="560" w:firstLineChars="200"/>
        <w:jc w:val="left"/>
        <w:textAlignment w:val="auto"/>
        <w:rPr>
          <w:rFonts w:hint="eastAsia" w:ascii="宋体" w:hAnsi="宋体" w:eastAsia="宋体"/>
          <w:b w:val="0"/>
          <w:bCs w:val="0"/>
          <w:color w:val="auto"/>
          <w:kern w:val="2"/>
          <w:sz w:val="28"/>
          <w:szCs w:val="28"/>
        </w:rPr>
      </w:pPr>
      <w:r>
        <w:rPr>
          <w:rFonts w:hint="eastAsia" w:ascii="宋体" w:hAnsi="宋体" w:eastAsia="宋体"/>
          <w:b w:val="0"/>
          <w:bCs w:val="0"/>
          <w:color w:val="auto"/>
          <w:kern w:val="2"/>
          <w:sz w:val="28"/>
          <w:szCs w:val="28"/>
        </w:rPr>
        <w:t>联系人：王琼</w:t>
      </w:r>
    </w:p>
    <w:p w14:paraId="24B0B15B">
      <w:pPr>
        <w:widowControl w:val="0"/>
        <w:wordWrap/>
        <w:adjustRightInd/>
        <w:snapToGrid/>
        <w:spacing w:line="600" w:lineRule="exact"/>
        <w:ind w:firstLine="560" w:firstLineChars="200"/>
        <w:jc w:val="left"/>
        <w:textAlignment w:val="auto"/>
        <w:rPr>
          <w:rFonts w:hint="eastAsia" w:ascii="宋体" w:hAnsi="宋体" w:eastAsia="宋体"/>
          <w:b w:val="0"/>
          <w:bCs w:val="0"/>
          <w:color w:val="auto"/>
          <w:kern w:val="2"/>
          <w:sz w:val="28"/>
          <w:szCs w:val="28"/>
        </w:rPr>
      </w:pPr>
      <w:r>
        <w:rPr>
          <w:rFonts w:hint="eastAsia" w:ascii="宋体" w:hAnsi="宋体" w:eastAsia="宋体"/>
          <w:b w:val="0"/>
          <w:bCs w:val="0"/>
          <w:color w:val="auto"/>
          <w:kern w:val="2"/>
          <w:sz w:val="28"/>
          <w:szCs w:val="28"/>
        </w:rPr>
        <w:t>电话：15539875589</w:t>
      </w:r>
    </w:p>
    <w:p w14:paraId="2D4B917C">
      <w:pPr>
        <w:widowControl w:val="0"/>
        <w:wordWrap/>
        <w:adjustRightInd/>
        <w:snapToGrid/>
        <w:spacing w:line="600" w:lineRule="exact"/>
        <w:ind w:firstLine="560" w:firstLineChars="200"/>
        <w:jc w:val="left"/>
        <w:textAlignment w:val="auto"/>
        <w:rPr>
          <w:rFonts w:hint="eastAsia" w:ascii="宋体" w:hAnsi="宋体" w:eastAsia="宋体"/>
          <w:b w:val="0"/>
          <w:bCs w:val="0"/>
          <w:color w:val="auto"/>
          <w:kern w:val="2"/>
          <w:sz w:val="28"/>
          <w:szCs w:val="28"/>
        </w:rPr>
      </w:pPr>
      <w:r>
        <w:rPr>
          <w:rFonts w:hint="eastAsia" w:ascii="宋体" w:hAnsi="宋体" w:eastAsia="宋体"/>
          <w:b w:val="0"/>
          <w:bCs w:val="0"/>
          <w:color w:val="auto"/>
          <w:kern w:val="2"/>
          <w:sz w:val="28"/>
          <w:szCs w:val="28"/>
        </w:rPr>
        <w:t>地址：河南省三门峡市卢氏县城关镇虢都路与靖华西路交叉路口150米</w:t>
      </w:r>
    </w:p>
    <w:p w14:paraId="6BB15083">
      <w:pPr>
        <w:rPr>
          <w:rFonts w:hint="eastAsia" w:ascii="宋体" w:hAnsi="宋体" w:eastAsia="宋体"/>
          <w:b/>
          <w:bCs/>
          <w:color w:val="auto"/>
          <w:kern w:val="0"/>
          <w:sz w:val="44"/>
          <w:szCs w:val="44"/>
        </w:rPr>
      </w:pPr>
      <w:bookmarkStart w:id="2" w:name="_Toc18822"/>
      <w:r>
        <w:rPr>
          <w:rFonts w:hint="eastAsia" w:ascii="宋体" w:hAnsi="宋体" w:eastAsia="宋体"/>
          <w:b/>
          <w:bCs/>
          <w:color w:val="auto"/>
          <w:kern w:val="0"/>
          <w:sz w:val="44"/>
          <w:szCs w:val="44"/>
        </w:rPr>
        <w:br w:type="page"/>
      </w:r>
    </w:p>
    <w:p w14:paraId="086596E6">
      <w:pPr>
        <w:wordWrap/>
        <w:adjustRightInd/>
        <w:snapToGrid/>
        <w:spacing w:before="0" w:beforeLines="0" w:after="0" w:afterLines="0" w:line="600" w:lineRule="exact"/>
        <w:ind w:right="0" w:firstLine="1767" w:firstLineChars="400"/>
        <w:jc w:val="both"/>
        <w:textAlignment w:val="auto"/>
        <w:outlineLvl w:val="0"/>
        <w:rPr>
          <w:rFonts w:ascii="宋体" w:hAnsi="宋体" w:eastAsia="宋体"/>
          <w:color w:val="auto"/>
          <w:szCs w:val="21"/>
        </w:rPr>
      </w:pPr>
      <w:r>
        <w:rPr>
          <w:rFonts w:hint="eastAsia" w:ascii="宋体" w:hAnsi="宋体" w:eastAsia="宋体"/>
          <w:b/>
          <w:bCs/>
          <w:color w:val="auto"/>
          <w:kern w:val="0"/>
          <w:sz w:val="44"/>
          <w:szCs w:val="44"/>
        </w:rPr>
        <w:t xml:space="preserve">第二章 </w:t>
      </w:r>
      <w:bookmarkStart w:id="3" w:name="投标供应商须知"/>
      <w:r>
        <w:rPr>
          <w:rFonts w:hint="eastAsia" w:ascii="宋体" w:hAnsi="宋体" w:eastAsia="宋体"/>
          <w:b/>
          <w:bCs/>
          <w:color w:val="auto"/>
          <w:kern w:val="0"/>
          <w:sz w:val="44"/>
          <w:szCs w:val="44"/>
        </w:rPr>
        <w:t>投标供应商须知</w:t>
      </w:r>
      <w:bookmarkEnd w:id="2"/>
      <w:bookmarkEnd w:id="3"/>
    </w:p>
    <w:p w14:paraId="0E6C1D07">
      <w:pPr>
        <w:widowControl/>
        <w:wordWrap/>
        <w:adjustRightInd/>
        <w:snapToGrid/>
        <w:spacing w:before="0" w:beforeLines="0" w:after="0" w:afterLines="0" w:line="600" w:lineRule="exact"/>
        <w:ind w:left="220" w:right="0" w:hanging="220"/>
        <w:jc w:val="center"/>
        <w:textAlignment w:val="auto"/>
        <w:rPr>
          <w:rFonts w:hint="eastAsia" w:ascii="宋体" w:hAnsi="宋体" w:eastAsia="宋体"/>
          <w:b/>
          <w:bCs/>
          <w:color w:val="auto"/>
          <w:kern w:val="0"/>
          <w:sz w:val="28"/>
          <w:szCs w:val="28"/>
        </w:rPr>
      </w:pPr>
      <w:r>
        <w:rPr>
          <w:rFonts w:hint="eastAsia" w:ascii="宋体" w:hAnsi="宋体" w:eastAsia="宋体"/>
          <w:b/>
          <w:bCs/>
          <w:color w:val="auto"/>
          <w:kern w:val="0"/>
          <w:sz w:val="28"/>
          <w:szCs w:val="28"/>
        </w:rPr>
        <w:t>供应商须知前附表</w:t>
      </w:r>
    </w:p>
    <w:tbl>
      <w:tblPr>
        <w:tblStyle w:val="19"/>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426"/>
        <w:gridCol w:w="6879"/>
      </w:tblGrid>
      <w:tr w14:paraId="4287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75" w:type="dxa"/>
            <w:noWrap w:val="0"/>
            <w:vAlign w:val="center"/>
          </w:tcPr>
          <w:p w14:paraId="5A0FD8FE">
            <w:pPr>
              <w:widowControl/>
              <w:spacing w:line="360" w:lineRule="auto"/>
              <w:jc w:val="center"/>
              <w:rPr>
                <w:rFonts w:ascii="宋体" w:hAnsi="宋体" w:eastAsia="宋体"/>
                <w:color w:val="auto"/>
                <w:kern w:val="0"/>
                <w:sz w:val="24"/>
                <w:szCs w:val="24"/>
              </w:rPr>
            </w:pPr>
            <w:r>
              <w:rPr>
                <w:rFonts w:hint="eastAsia" w:ascii="宋体" w:hAnsi="宋体" w:eastAsia="宋体"/>
                <w:color w:val="auto"/>
                <w:kern w:val="0"/>
                <w:sz w:val="24"/>
                <w:szCs w:val="24"/>
              </w:rPr>
              <w:t>条款号</w:t>
            </w:r>
          </w:p>
        </w:tc>
        <w:tc>
          <w:tcPr>
            <w:tcW w:w="1426" w:type="dxa"/>
            <w:noWrap w:val="0"/>
            <w:vAlign w:val="center"/>
          </w:tcPr>
          <w:p w14:paraId="619164AC">
            <w:pPr>
              <w:widowControl/>
              <w:spacing w:line="360" w:lineRule="auto"/>
              <w:jc w:val="center"/>
              <w:rPr>
                <w:rFonts w:ascii="宋体" w:hAnsi="宋体" w:eastAsia="宋体"/>
                <w:color w:val="auto"/>
                <w:kern w:val="0"/>
                <w:sz w:val="24"/>
                <w:szCs w:val="24"/>
              </w:rPr>
            </w:pPr>
            <w:r>
              <w:rPr>
                <w:rFonts w:hint="eastAsia" w:ascii="宋体" w:hAnsi="宋体" w:eastAsia="宋体"/>
                <w:color w:val="auto"/>
                <w:kern w:val="0"/>
                <w:sz w:val="24"/>
                <w:szCs w:val="24"/>
              </w:rPr>
              <w:t>条款</w:t>
            </w:r>
          </w:p>
          <w:p w14:paraId="04A73634">
            <w:pPr>
              <w:widowControl/>
              <w:spacing w:line="360" w:lineRule="auto"/>
              <w:jc w:val="center"/>
              <w:rPr>
                <w:rFonts w:ascii="宋体" w:hAnsi="宋体" w:eastAsia="宋体"/>
                <w:color w:val="auto"/>
                <w:kern w:val="0"/>
                <w:sz w:val="24"/>
                <w:szCs w:val="24"/>
              </w:rPr>
            </w:pPr>
            <w:r>
              <w:rPr>
                <w:rFonts w:hint="eastAsia" w:ascii="宋体" w:hAnsi="宋体" w:eastAsia="宋体"/>
                <w:color w:val="auto"/>
                <w:kern w:val="0"/>
                <w:sz w:val="24"/>
                <w:szCs w:val="24"/>
              </w:rPr>
              <w:t>名称</w:t>
            </w:r>
          </w:p>
        </w:tc>
        <w:tc>
          <w:tcPr>
            <w:tcW w:w="6879" w:type="dxa"/>
            <w:noWrap w:val="0"/>
            <w:vAlign w:val="center"/>
          </w:tcPr>
          <w:p w14:paraId="38376070">
            <w:pPr>
              <w:widowControl/>
              <w:spacing w:line="360" w:lineRule="auto"/>
              <w:jc w:val="center"/>
              <w:rPr>
                <w:rFonts w:ascii="宋体" w:hAnsi="宋体" w:eastAsia="宋体"/>
                <w:color w:val="auto"/>
                <w:kern w:val="0"/>
                <w:sz w:val="24"/>
                <w:szCs w:val="24"/>
              </w:rPr>
            </w:pPr>
            <w:r>
              <w:rPr>
                <w:rFonts w:hint="eastAsia" w:ascii="宋体" w:hAnsi="宋体" w:eastAsia="宋体"/>
                <w:color w:val="auto"/>
                <w:kern w:val="0"/>
                <w:sz w:val="24"/>
                <w:szCs w:val="24"/>
              </w:rPr>
              <w:t>编列内容</w:t>
            </w:r>
          </w:p>
        </w:tc>
      </w:tr>
      <w:tr w14:paraId="266E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75" w:type="dxa"/>
            <w:noWrap w:val="0"/>
            <w:vAlign w:val="center"/>
          </w:tcPr>
          <w:p w14:paraId="131D3FC4">
            <w:pPr>
              <w:widowControl/>
              <w:spacing w:line="360" w:lineRule="auto"/>
              <w:jc w:val="center"/>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rPr>
              <w:t>1.</w:t>
            </w:r>
            <w:r>
              <w:rPr>
                <w:rFonts w:hint="eastAsia" w:ascii="宋体" w:hAnsi="宋体"/>
                <w:color w:val="auto"/>
                <w:kern w:val="0"/>
                <w:sz w:val="24"/>
                <w:szCs w:val="24"/>
                <w:lang w:val="en-US" w:eastAsia="zh-CN"/>
              </w:rPr>
              <w:t>0</w:t>
            </w:r>
          </w:p>
        </w:tc>
        <w:tc>
          <w:tcPr>
            <w:tcW w:w="1426" w:type="dxa"/>
            <w:noWrap w:val="0"/>
            <w:vAlign w:val="center"/>
          </w:tcPr>
          <w:p w14:paraId="3D0EAED2">
            <w:pPr>
              <w:widowControl/>
              <w:spacing w:line="360" w:lineRule="auto"/>
              <w:jc w:val="center"/>
              <w:rPr>
                <w:rFonts w:hint="eastAsia" w:ascii="宋体" w:hAnsi="宋体" w:eastAsia="宋体"/>
                <w:color w:val="auto"/>
                <w:kern w:val="0"/>
                <w:sz w:val="24"/>
                <w:szCs w:val="24"/>
                <w:lang w:eastAsia="zh-CN"/>
              </w:rPr>
            </w:pPr>
            <w:r>
              <w:rPr>
                <w:rFonts w:hint="eastAsia" w:ascii="宋体" w:hAnsi="宋体"/>
                <w:color w:val="auto"/>
                <w:kern w:val="0"/>
                <w:sz w:val="24"/>
                <w:szCs w:val="24"/>
                <w:lang w:eastAsia="zh-CN"/>
              </w:rPr>
              <w:t>采购人</w:t>
            </w:r>
          </w:p>
        </w:tc>
        <w:tc>
          <w:tcPr>
            <w:tcW w:w="6879" w:type="dxa"/>
            <w:noWrap w:val="0"/>
            <w:vAlign w:val="center"/>
          </w:tcPr>
          <w:p w14:paraId="4A5972A0">
            <w:pPr>
              <w:widowControl/>
              <w:spacing w:line="360" w:lineRule="auto"/>
              <w:jc w:val="left"/>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采购人：三门峡市生态环境局卢氏分局</w:t>
            </w:r>
          </w:p>
          <w:p w14:paraId="214D5A40">
            <w:pPr>
              <w:widowControl/>
              <w:spacing w:line="360" w:lineRule="auto"/>
              <w:jc w:val="left"/>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联系人：顾文辉</w:t>
            </w:r>
          </w:p>
          <w:p w14:paraId="2F158FED">
            <w:pPr>
              <w:widowControl/>
              <w:spacing w:line="360" w:lineRule="auto"/>
              <w:jc w:val="left"/>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电话：18239885655、03987873774</w:t>
            </w:r>
          </w:p>
          <w:p w14:paraId="424E6691">
            <w:pPr>
              <w:widowControl/>
              <w:spacing w:line="360" w:lineRule="auto"/>
              <w:jc w:val="left"/>
              <w:rPr>
                <w:rFonts w:hint="eastAsia" w:ascii="宋体" w:hAnsi="宋体" w:eastAsia="宋体"/>
                <w:color w:val="auto"/>
                <w:kern w:val="0"/>
                <w:sz w:val="24"/>
                <w:szCs w:val="24"/>
                <w:lang w:eastAsia="zh-CN"/>
              </w:rPr>
            </w:pPr>
            <w:r>
              <w:rPr>
                <w:rFonts w:hint="eastAsia" w:ascii="宋体" w:hAnsi="宋体" w:eastAsia="宋体"/>
                <w:color w:val="auto"/>
                <w:kern w:val="0"/>
                <w:sz w:val="24"/>
                <w:szCs w:val="24"/>
                <w:lang w:val="en-US" w:eastAsia="zh-CN"/>
              </w:rPr>
              <w:t>地址：卢氏县莘源路西段</w:t>
            </w:r>
          </w:p>
        </w:tc>
      </w:tr>
      <w:tr w14:paraId="42AA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75" w:type="dxa"/>
            <w:noWrap w:val="0"/>
            <w:vAlign w:val="center"/>
          </w:tcPr>
          <w:p w14:paraId="618FBA5F">
            <w:pPr>
              <w:widowControl/>
              <w:spacing w:line="360" w:lineRule="auto"/>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1.1</w:t>
            </w:r>
          </w:p>
        </w:tc>
        <w:tc>
          <w:tcPr>
            <w:tcW w:w="1426" w:type="dxa"/>
            <w:noWrap w:val="0"/>
            <w:vAlign w:val="center"/>
          </w:tcPr>
          <w:p w14:paraId="54EED8BC">
            <w:pPr>
              <w:widowControl/>
              <w:spacing w:line="360" w:lineRule="auto"/>
              <w:jc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监督人</w:t>
            </w:r>
          </w:p>
        </w:tc>
        <w:tc>
          <w:tcPr>
            <w:tcW w:w="6879" w:type="dxa"/>
            <w:noWrap w:val="0"/>
            <w:vAlign w:val="center"/>
          </w:tcPr>
          <w:p w14:paraId="0BAAD8A8">
            <w:pPr>
              <w:widowControl/>
              <w:spacing w:line="360" w:lineRule="auto"/>
              <w:jc w:val="left"/>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监督单位：卢氏县政府采购办公室</w:t>
            </w:r>
          </w:p>
          <w:p w14:paraId="0F4BD8B2">
            <w:pPr>
              <w:widowControl/>
              <w:spacing w:line="360" w:lineRule="auto"/>
              <w:jc w:val="left"/>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电话：0398-7863556</w:t>
            </w:r>
          </w:p>
          <w:p w14:paraId="52019E1E">
            <w:pPr>
              <w:widowControl/>
              <w:spacing w:line="360" w:lineRule="auto"/>
              <w:jc w:val="left"/>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地址：卢氏县城关镇解放路中段</w:t>
            </w:r>
          </w:p>
          <w:p w14:paraId="4434C30E">
            <w:pPr>
              <w:widowControl/>
              <w:spacing w:line="360" w:lineRule="auto"/>
              <w:jc w:val="left"/>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监督单位：三门峡市生态环境局卢氏分局</w:t>
            </w:r>
          </w:p>
          <w:p w14:paraId="581D8EF3">
            <w:pPr>
              <w:widowControl/>
              <w:spacing w:line="360" w:lineRule="auto"/>
              <w:jc w:val="left"/>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联系人：</w:t>
            </w:r>
            <w:r>
              <w:rPr>
                <w:rFonts w:hint="eastAsia" w:ascii="宋体" w:hAnsi="宋体"/>
                <w:color w:val="auto"/>
                <w:kern w:val="0"/>
                <w:sz w:val="24"/>
                <w:szCs w:val="24"/>
                <w:lang w:val="en-US" w:eastAsia="zh-CN"/>
              </w:rPr>
              <w:t>李强</w:t>
            </w:r>
          </w:p>
          <w:p w14:paraId="06C7CDCF">
            <w:pPr>
              <w:widowControl/>
              <w:spacing w:line="360" w:lineRule="auto"/>
              <w:jc w:val="left"/>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电话：</w:t>
            </w:r>
            <w:r>
              <w:rPr>
                <w:rFonts w:hint="eastAsia" w:ascii="宋体" w:hAnsi="宋体"/>
                <w:color w:val="auto"/>
                <w:kern w:val="0"/>
                <w:sz w:val="24"/>
                <w:szCs w:val="24"/>
                <w:lang w:val="en-US" w:eastAsia="zh-CN"/>
              </w:rPr>
              <w:t>13707641609</w:t>
            </w:r>
          </w:p>
          <w:p w14:paraId="0734764B">
            <w:pPr>
              <w:widowControl/>
              <w:spacing w:line="360" w:lineRule="auto"/>
              <w:jc w:val="left"/>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地址：卢氏县莘源路西段</w:t>
            </w:r>
          </w:p>
        </w:tc>
      </w:tr>
      <w:tr w14:paraId="5411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975" w:type="dxa"/>
            <w:noWrap w:val="0"/>
            <w:vAlign w:val="center"/>
          </w:tcPr>
          <w:p w14:paraId="0C72749B">
            <w:pPr>
              <w:widowControl/>
              <w:spacing w:line="360" w:lineRule="auto"/>
              <w:jc w:val="center"/>
              <w:rPr>
                <w:rFonts w:ascii="宋体" w:hAnsi="宋体" w:eastAsia="宋体"/>
                <w:color w:val="auto"/>
                <w:kern w:val="0"/>
                <w:sz w:val="24"/>
                <w:szCs w:val="24"/>
              </w:rPr>
            </w:pPr>
            <w:r>
              <w:rPr>
                <w:rFonts w:hint="eastAsia" w:ascii="宋体" w:hAnsi="宋体" w:eastAsia="宋体"/>
                <w:color w:val="auto"/>
                <w:kern w:val="0"/>
                <w:sz w:val="24"/>
                <w:szCs w:val="24"/>
              </w:rPr>
              <w:t>1.2</w:t>
            </w:r>
          </w:p>
        </w:tc>
        <w:tc>
          <w:tcPr>
            <w:tcW w:w="1426" w:type="dxa"/>
            <w:noWrap w:val="0"/>
            <w:vAlign w:val="center"/>
          </w:tcPr>
          <w:p w14:paraId="7DEBE51E">
            <w:pPr>
              <w:widowControl/>
              <w:spacing w:line="360" w:lineRule="auto"/>
              <w:jc w:val="center"/>
              <w:rPr>
                <w:rFonts w:ascii="宋体" w:hAnsi="宋体" w:eastAsia="宋体"/>
                <w:color w:val="auto"/>
                <w:kern w:val="0"/>
                <w:sz w:val="24"/>
                <w:szCs w:val="24"/>
              </w:rPr>
            </w:pPr>
            <w:r>
              <w:rPr>
                <w:rFonts w:hint="eastAsia" w:ascii="宋体" w:hAnsi="宋体" w:eastAsia="宋体"/>
                <w:color w:val="auto"/>
                <w:kern w:val="0"/>
                <w:sz w:val="24"/>
                <w:szCs w:val="24"/>
              </w:rPr>
              <w:t>代理机构</w:t>
            </w:r>
          </w:p>
        </w:tc>
        <w:tc>
          <w:tcPr>
            <w:tcW w:w="6879" w:type="dxa"/>
            <w:noWrap w:val="0"/>
            <w:vAlign w:val="center"/>
          </w:tcPr>
          <w:p w14:paraId="0A9194AE">
            <w:pPr>
              <w:widowControl/>
              <w:spacing w:line="360" w:lineRule="auto"/>
              <w:jc w:val="left"/>
              <w:rPr>
                <w:rFonts w:hint="default" w:ascii="宋体" w:hAnsi="宋体" w:eastAsia="宋体"/>
                <w:color w:val="auto"/>
                <w:kern w:val="0"/>
                <w:sz w:val="24"/>
                <w:szCs w:val="24"/>
                <w:lang w:val="en-US" w:eastAsia="zh-CN"/>
              </w:rPr>
            </w:pPr>
            <w:r>
              <w:rPr>
                <w:rFonts w:hint="default" w:ascii="宋体" w:hAnsi="宋体" w:eastAsia="宋体"/>
                <w:color w:val="auto"/>
                <w:kern w:val="0"/>
                <w:sz w:val="24"/>
                <w:szCs w:val="24"/>
                <w:lang w:val="en-US" w:eastAsia="zh-CN"/>
              </w:rPr>
              <w:t>招标代理：河南展杰工程管理有限公司</w:t>
            </w:r>
          </w:p>
          <w:p w14:paraId="58DE705F">
            <w:pPr>
              <w:widowControl/>
              <w:spacing w:line="360" w:lineRule="auto"/>
              <w:jc w:val="left"/>
              <w:rPr>
                <w:rFonts w:hint="default" w:ascii="宋体" w:hAnsi="宋体" w:eastAsia="宋体"/>
                <w:color w:val="auto"/>
                <w:kern w:val="0"/>
                <w:sz w:val="24"/>
                <w:szCs w:val="24"/>
                <w:lang w:val="en-US" w:eastAsia="zh-CN"/>
              </w:rPr>
            </w:pPr>
            <w:r>
              <w:rPr>
                <w:rFonts w:hint="default" w:ascii="宋体" w:hAnsi="宋体" w:eastAsia="宋体"/>
                <w:color w:val="auto"/>
                <w:kern w:val="0"/>
                <w:sz w:val="24"/>
                <w:szCs w:val="24"/>
                <w:lang w:val="en-US" w:eastAsia="zh-CN"/>
              </w:rPr>
              <w:t>联系人：王琼</w:t>
            </w:r>
          </w:p>
          <w:p w14:paraId="17E9E0D5">
            <w:pPr>
              <w:widowControl/>
              <w:spacing w:line="360" w:lineRule="auto"/>
              <w:jc w:val="left"/>
              <w:rPr>
                <w:rFonts w:hint="default" w:ascii="宋体" w:hAnsi="宋体" w:eastAsia="宋体"/>
                <w:color w:val="auto"/>
                <w:kern w:val="0"/>
                <w:sz w:val="24"/>
                <w:szCs w:val="24"/>
                <w:lang w:val="en-US" w:eastAsia="zh-CN"/>
              </w:rPr>
            </w:pPr>
            <w:r>
              <w:rPr>
                <w:rFonts w:hint="default" w:ascii="宋体" w:hAnsi="宋体" w:eastAsia="宋体"/>
                <w:color w:val="auto"/>
                <w:kern w:val="0"/>
                <w:sz w:val="24"/>
                <w:szCs w:val="24"/>
                <w:lang w:val="en-US" w:eastAsia="zh-CN"/>
              </w:rPr>
              <w:t>电话：15539875589</w:t>
            </w:r>
          </w:p>
          <w:p w14:paraId="4416FF6C">
            <w:pPr>
              <w:widowControl/>
              <w:spacing w:line="360" w:lineRule="auto"/>
              <w:jc w:val="left"/>
              <w:rPr>
                <w:rFonts w:hint="default" w:ascii="宋体" w:hAnsi="宋体" w:eastAsia="宋体"/>
                <w:color w:val="auto"/>
                <w:kern w:val="0"/>
                <w:sz w:val="24"/>
                <w:szCs w:val="24"/>
                <w:lang w:val="en-US" w:eastAsia="zh-CN"/>
              </w:rPr>
            </w:pPr>
            <w:r>
              <w:rPr>
                <w:rFonts w:hint="default" w:ascii="宋体" w:hAnsi="宋体" w:eastAsia="宋体"/>
                <w:color w:val="auto"/>
                <w:kern w:val="0"/>
                <w:sz w:val="24"/>
                <w:szCs w:val="24"/>
                <w:lang w:val="en-US" w:eastAsia="zh-CN"/>
              </w:rPr>
              <w:t>地址：河南省三门峡市卢氏县城关镇虢都路与靖华西路交叉路口150米</w:t>
            </w:r>
          </w:p>
        </w:tc>
      </w:tr>
      <w:tr w14:paraId="6735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75" w:type="dxa"/>
            <w:noWrap w:val="0"/>
            <w:vAlign w:val="center"/>
          </w:tcPr>
          <w:p w14:paraId="0F802602">
            <w:pPr>
              <w:widowControl/>
              <w:spacing w:line="360" w:lineRule="auto"/>
              <w:jc w:val="center"/>
              <w:rPr>
                <w:rFonts w:ascii="宋体" w:hAnsi="宋体" w:eastAsia="宋体"/>
                <w:color w:val="auto"/>
                <w:kern w:val="0"/>
                <w:sz w:val="24"/>
                <w:szCs w:val="24"/>
              </w:rPr>
            </w:pPr>
            <w:r>
              <w:rPr>
                <w:rFonts w:hint="eastAsia" w:ascii="宋体" w:hAnsi="宋体" w:eastAsia="宋体"/>
                <w:color w:val="auto"/>
                <w:kern w:val="0"/>
                <w:sz w:val="24"/>
                <w:szCs w:val="24"/>
              </w:rPr>
              <w:t>1.3</w:t>
            </w:r>
          </w:p>
        </w:tc>
        <w:tc>
          <w:tcPr>
            <w:tcW w:w="1426" w:type="dxa"/>
            <w:noWrap w:val="0"/>
            <w:vAlign w:val="center"/>
          </w:tcPr>
          <w:p w14:paraId="7AC71AF1">
            <w:pPr>
              <w:widowControl/>
              <w:spacing w:line="360" w:lineRule="auto"/>
              <w:jc w:val="center"/>
              <w:rPr>
                <w:rFonts w:ascii="宋体" w:hAnsi="宋体" w:eastAsia="宋体"/>
                <w:color w:val="auto"/>
                <w:kern w:val="0"/>
                <w:sz w:val="24"/>
                <w:szCs w:val="24"/>
              </w:rPr>
            </w:pPr>
            <w:r>
              <w:rPr>
                <w:rFonts w:hint="eastAsia" w:ascii="宋体" w:hAnsi="宋体" w:eastAsia="宋体"/>
                <w:color w:val="auto"/>
                <w:kern w:val="0"/>
                <w:sz w:val="24"/>
                <w:szCs w:val="24"/>
              </w:rPr>
              <w:t>项目名称</w:t>
            </w:r>
          </w:p>
        </w:tc>
        <w:tc>
          <w:tcPr>
            <w:tcW w:w="6879" w:type="dxa"/>
            <w:noWrap w:val="0"/>
            <w:vAlign w:val="center"/>
          </w:tcPr>
          <w:p w14:paraId="683DE6FF">
            <w:pPr>
              <w:widowControl/>
              <w:spacing w:line="360" w:lineRule="auto"/>
              <w:jc w:val="left"/>
              <w:rPr>
                <w:rFonts w:hint="eastAsia" w:ascii="宋体" w:hAnsi="宋体" w:eastAsia="宋体"/>
                <w:color w:val="auto"/>
                <w:sz w:val="24"/>
                <w:szCs w:val="24"/>
                <w:lang w:eastAsia="zh-CN"/>
              </w:rPr>
            </w:pPr>
            <w:r>
              <w:rPr>
                <w:rFonts w:hint="eastAsia" w:ascii="宋体" w:hAnsi="宋体"/>
                <w:color w:val="auto"/>
                <w:sz w:val="24"/>
                <w:szCs w:val="24"/>
                <w:lang w:val="en-US" w:eastAsia="zh-CN"/>
              </w:rPr>
              <w:t>卢氏县乡镇空气自动监测站运维服务项目</w:t>
            </w:r>
          </w:p>
        </w:tc>
      </w:tr>
      <w:tr w14:paraId="1C9F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noWrap w:val="0"/>
            <w:vAlign w:val="center"/>
          </w:tcPr>
          <w:p w14:paraId="5B9FB55F">
            <w:pPr>
              <w:widowControl/>
              <w:spacing w:line="360" w:lineRule="auto"/>
              <w:jc w:val="center"/>
              <w:rPr>
                <w:rFonts w:hint="eastAsia" w:ascii="宋体" w:hAnsi="宋体" w:eastAsia="宋体"/>
                <w:color w:val="auto"/>
                <w:kern w:val="0"/>
                <w:sz w:val="24"/>
                <w:szCs w:val="24"/>
                <w:lang w:eastAsia="zh-CN"/>
              </w:rPr>
            </w:pPr>
            <w:r>
              <w:rPr>
                <w:rFonts w:hint="eastAsia" w:ascii="宋体" w:hAnsi="宋体" w:eastAsia="宋体"/>
                <w:color w:val="auto"/>
                <w:kern w:val="0"/>
                <w:sz w:val="24"/>
                <w:szCs w:val="24"/>
              </w:rPr>
              <w:t>1.</w:t>
            </w:r>
            <w:r>
              <w:rPr>
                <w:rFonts w:hint="eastAsia" w:ascii="宋体" w:hAnsi="宋体"/>
                <w:color w:val="auto"/>
                <w:kern w:val="0"/>
                <w:sz w:val="24"/>
                <w:szCs w:val="24"/>
                <w:lang w:val="en-US" w:eastAsia="zh-CN"/>
              </w:rPr>
              <w:t>4</w:t>
            </w:r>
          </w:p>
        </w:tc>
        <w:tc>
          <w:tcPr>
            <w:tcW w:w="1426" w:type="dxa"/>
            <w:noWrap w:val="0"/>
            <w:vAlign w:val="center"/>
          </w:tcPr>
          <w:p w14:paraId="473B88B7">
            <w:pPr>
              <w:widowControl/>
              <w:spacing w:line="360" w:lineRule="auto"/>
              <w:jc w:val="center"/>
              <w:rPr>
                <w:rFonts w:ascii="宋体" w:hAnsi="宋体" w:eastAsia="宋体"/>
                <w:color w:val="auto"/>
                <w:kern w:val="0"/>
                <w:sz w:val="24"/>
                <w:szCs w:val="24"/>
              </w:rPr>
            </w:pPr>
            <w:r>
              <w:rPr>
                <w:rFonts w:hint="eastAsia" w:ascii="宋体" w:hAnsi="宋体" w:eastAsia="宋体"/>
                <w:color w:val="auto"/>
                <w:kern w:val="0"/>
                <w:sz w:val="24"/>
                <w:szCs w:val="24"/>
              </w:rPr>
              <w:t>资金来源</w:t>
            </w:r>
          </w:p>
        </w:tc>
        <w:tc>
          <w:tcPr>
            <w:tcW w:w="6879" w:type="dxa"/>
            <w:noWrap w:val="0"/>
            <w:vAlign w:val="center"/>
          </w:tcPr>
          <w:p w14:paraId="62423C46">
            <w:pPr>
              <w:widowControl/>
              <w:spacing w:line="360" w:lineRule="auto"/>
              <w:jc w:val="left"/>
              <w:rPr>
                <w:rFonts w:ascii="宋体" w:hAnsi="宋体" w:eastAsia="宋体"/>
                <w:color w:val="auto"/>
                <w:kern w:val="0"/>
                <w:sz w:val="24"/>
                <w:szCs w:val="24"/>
              </w:rPr>
            </w:pPr>
            <w:r>
              <w:rPr>
                <w:rFonts w:hint="eastAsia" w:ascii="宋体" w:hAnsi="宋体"/>
                <w:color w:val="auto"/>
                <w:kern w:val="0"/>
                <w:sz w:val="24"/>
                <w:szCs w:val="24"/>
                <w:lang w:val="en-US" w:eastAsia="zh-CN"/>
              </w:rPr>
              <w:t>财政资金</w:t>
            </w:r>
            <w:r>
              <w:rPr>
                <w:rFonts w:hint="eastAsia" w:ascii="宋体" w:hAnsi="宋体" w:eastAsia="宋体"/>
                <w:color w:val="auto"/>
                <w:kern w:val="0"/>
                <w:sz w:val="24"/>
                <w:szCs w:val="24"/>
              </w:rPr>
              <w:t>，已落实</w:t>
            </w:r>
          </w:p>
        </w:tc>
      </w:tr>
      <w:tr w14:paraId="78F4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noWrap w:val="0"/>
            <w:vAlign w:val="center"/>
          </w:tcPr>
          <w:p w14:paraId="049BE955">
            <w:pPr>
              <w:widowControl/>
              <w:spacing w:line="360" w:lineRule="auto"/>
              <w:jc w:val="center"/>
              <w:rPr>
                <w:rFonts w:hint="eastAsia" w:ascii="宋体" w:hAnsi="宋体" w:eastAsia="宋体"/>
                <w:color w:val="auto"/>
                <w:kern w:val="0"/>
                <w:sz w:val="24"/>
                <w:szCs w:val="24"/>
                <w:lang w:eastAsia="zh-CN"/>
              </w:rPr>
            </w:pPr>
            <w:r>
              <w:rPr>
                <w:rFonts w:hint="eastAsia" w:ascii="宋体" w:hAnsi="宋体" w:eastAsia="宋体"/>
                <w:color w:val="auto"/>
                <w:kern w:val="0"/>
                <w:sz w:val="24"/>
                <w:szCs w:val="24"/>
              </w:rPr>
              <w:t>1.</w:t>
            </w:r>
            <w:r>
              <w:rPr>
                <w:rFonts w:hint="eastAsia" w:ascii="宋体" w:hAnsi="宋体"/>
                <w:color w:val="auto"/>
                <w:kern w:val="0"/>
                <w:sz w:val="24"/>
                <w:szCs w:val="24"/>
                <w:lang w:val="en-US" w:eastAsia="zh-CN"/>
              </w:rPr>
              <w:t>5</w:t>
            </w:r>
          </w:p>
        </w:tc>
        <w:tc>
          <w:tcPr>
            <w:tcW w:w="1426" w:type="dxa"/>
            <w:noWrap w:val="0"/>
            <w:vAlign w:val="center"/>
          </w:tcPr>
          <w:p w14:paraId="787ED00F">
            <w:pPr>
              <w:widowControl/>
              <w:spacing w:line="360" w:lineRule="auto"/>
              <w:jc w:val="both"/>
              <w:rPr>
                <w:rFonts w:ascii="宋体" w:hAnsi="宋体" w:eastAsia="宋体"/>
                <w:color w:val="auto"/>
                <w:kern w:val="0"/>
                <w:sz w:val="24"/>
                <w:szCs w:val="24"/>
              </w:rPr>
            </w:pPr>
            <w:r>
              <w:rPr>
                <w:rFonts w:hint="eastAsia" w:ascii="宋体" w:hAnsi="宋体"/>
                <w:color w:val="auto"/>
                <w:kern w:val="0"/>
                <w:sz w:val="24"/>
                <w:szCs w:val="24"/>
                <w:lang w:val="en-US" w:eastAsia="zh-CN"/>
              </w:rPr>
              <w:t>服务内容</w:t>
            </w:r>
          </w:p>
        </w:tc>
        <w:tc>
          <w:tcPr>
            <w:tcW w:w="6879" w:type="dxa"/>
            <w:noWrap w:val="0"/>
            <w:vAlign w:val="center"/>
          </w:tcPr>
          <w:p w14:paraId="5624C9DC">
            <w:pPr>
              <w:spacing w:line="360" w:lineRule="auto"/>
              <w:rPr>
                <w:rFonts w:ascii="宋体" w:hAnsi="宋体" w:eastAsia="宋体"/>
                <w:color w:val="auto"/>
                <w:sz w:val="24"/>
                <w:szCs w:val="24"/>
              </w:rPr>
            </w:pPr>
            <w:r>
              <w:rPr>
                <w:rFonts w:hint="eastAsia" w:ascii="宋体" w:hAnsi="宋体" w:eastAsia="宋体"/>
                <w:color w:val="auto"/>
                <w:sz w:val="24"/>
                <w:szCs w:val="24"/>
                <w:lang w:val="en-US" w:eastAsia="zh-CN"/>
              </w:rPr>
              <w:t>按照环境空气自动监测站运维条例，完成卢氏县17个乡镇空气站的运维服务。（具体详见招标文件第三章</w:t>
            </w:r>
            <w:r>
              <w:rPr>
                <w:rFonts w:hint="eastAsia" w:ascii="宋体" w:hAnsi="宋体"/>
                <w:color w:val="auto"/>
                <w:sz w:val="24"/>
                <w:szCs w:val="24"/>
                <w:lang w:val="en-US" w:eastAsia="zh-CN"/>
              </w:rPr>
              <w:t>服务内容及要求</w:t>
            </w:r>
            <w:r>
              <w:rPr>
                <w:rFonts w:hint="eastAsia" w:ascii="宋体" w:hAnsi="宋体" w:eastAsia="宋体"/>
                <w:color w:val="auto"/>
                <w:sz w:val="24"/>
                <w:szCs w:val="24"/>
                <w:lang w:val="en-US" w:eastAsia="zh-CN"/>
              </w:rPr>
              <w:t>）</w:t>
            </w:r>
            <w:r>
              <w:rPr>
                <w:rFonts w:hint="eastAsia" w:ascii="宋体" w:hAnsi="宋体"/>
                <w:color w:val="auto"/>
                <w:sz w:val="24"/>
                <w:szCs w:val="24"/>
                <w:lang w:val="en-US" w:eastAsia="zh-CN"/>
              </w:rPr>
              <w:t>；</w:t>
            </w:r>
          </w:p>
        </w:tc>
      </w:tr>
      <w:tr w14:paraId="7B4C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5" w:type="dxa"/>
            <w:noWrap w:val="0"/>
            <w:vAlign w:val="center"/>
          </w:tcPr>
          <w:p w14:paraId="00C66684">
            <w:pPr>
              <w:widowControl/>
              <w:spacing w:line="360" w:lineRule="auto"/>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1.6</w:t>
            </w:r>
          </w:p>
        </w:tc>
        <w:tc>
          <w:tcPr>
            <w:tcW w:w="1426" w:type="dxa"/>
            <w:noWrap w:val="0"/>
            <w:vAlign w:val="center"/>
          </w:tcPr>
          <w:p w14:paraId="5E5083A8">
            <w:pPr>
              <w:spacing w:line="600" w:lineRule="exact"/>
              <w:ind w:firstLine="240" w:firstLineChars="100"/>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标段划分</w:t>
            </w:r>
          </w:p>
        </w:tc>
        <w:tc>
          <w:tcPr>
            <w:tcW w:w="6879" w:type="dxa"/>
            <w:noWrap w:val="0"/>
            <w:vAlign w:val="center"/>
          </w:tcPr>
          <w:p w14:paraId="28108DBA">
            <w:pPr>
              <w:spacing w:line="600" w:lineRule="exact"/>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本项目不划分标段</w:t>
            </w:r>
          </w:p>
        </w:tc>
      </w:tr>
      <w:tr w14:paraId="24B7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5" w:type="dxa"/>
            <w:noWrap w:val="0"/>
            <w:vAlign w:val="center"/>
          </w:tcPr>
          <w:p w14:paraId="549B56C9">
            <w:pPr>
              <w:widowControl/>
              <w:spacing w:line="360" w:lineRule="auto"/>
              <w:jc w:val="center"/>
              <w:rPr>
                <w:rFonts w:hint="eastAsia" w:ascii="宋体" w:hAnsi="宋体" w:eastAsia="宋体"/>
                <w:color w:val="auto"/>
                <w:kern w:val="0"/>
                <w:sz w:val="24"/>
                <w:szCs w:val="24"/>
                <w:lang w:eastAsia="zh-CN"/>
              </w:rPr>
            </w:pPr>
            <w:r>
              <w:rPr>
                <w:rFonts w:hint="eastAsia" w:ascii="宋体" w:hAnsi="宋体" w:eastAsia="宋体"/>
                <w:color w:val="auto"/>
                <w:kern w:val="0"/>
                <w:sz w:val="24"/>
                <w:szCs w:val="24"/>
              </w:rPr>
              <w:t>1.</w:t>
            </w:r>
            <w:r>
              <w:rPr>
                <w:rFonts w:hint="eastAsia" w:ascii="宋体" w:hAnsi="宋体"/>
                <w:color w:val="auto"/>
                <w:kern w:val="0"/>
                <w:sz w:val="24"/>
                <w:szCs w:val="24"/>
                <w:lang w:val="en-US" w:eastAsia="zh-CN"/>
              </w:rPr>
              <w:t>7</w:t>
            </w:r>
          </w:p>
        </w:tc>
        <w:tc>
          <w:tcPr>
            <w:tcW w:w="1426" w:type="dxa"/>
            <w:noWrap w:val="0"/>
            <w:vAlign w:val="center"/>
          </w:tcPr>
          <w:p w14:paraId="07A07153">
            <w:pPr>
              <w:spacing w:line="600" w:lineRule="exact"/>
              <w:ind w:firstLine="240" w:firstLineChars="10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服务周期</w:t>
            </w:r>
          </w:p>
        </w:tc>
        <w:tc>
          <w:tcPr>
            <w:tcW w:w="6879" w:type="dxa"/>
            <w:noWrap w:val="0"/>
            <w:vAlign w:val="center"/>
          </w:tcPr>
          <w:p w14:paraId="77D66D1A">
            <w:pPr>
              <w:spacing w:line="600" w:lineRule="exact"/>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一年</w:t>
            </w:r>
          </w:p>
        </w:tc>
      </w:tr>
      <w:tr w14:paraId="6E40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75" w:type="dxa"/>
            <w:noWrap w:val="0"/>
            <w:vAlign w:val="center"/>
          </w:tcPr>
          <w:p w14:paraId="1B6CD672">
            <w:pPr>
              <w:widowControl/>
              <w:spacing w:line="360" w:lineRule="auto"/>
              <w:jc w:val="center"/>
              <w:rPr>
                <w:rFonts w:hint="eastAsia" w:ascii="宋体" w:hAnsi="宋体" w:eastAsia="宋体"/>
                <w:color w:val="auto"/>
                <w:kern w:val="0"/>
                <w:sz w:val="24"/>
                <w:szCs w:val="24"/>
                <w:lang w:eastAsia="zh-CN"/>
              </w:rPr>
            </w:pPr>
            <w:r>
              <w:rPr>
                <w:rFonts w:hint="eastAsia" w:ascii="宋体" w:hAnsi="宋体" w:eastAsia="宋体"/>
                <w:color w:val="auto"/>
                <w:kern w:val="0"/>
                <w:sz w:val="24"/>
                <w:szCs w:val="24"/>
              </w:rPr>
              <w:t>1.</w:t>
            </w:r>
            <w:r>
              <w:rPr>
                <w:rFonts w:hint="eastAsia" w:ascii="宋体" w:hAnsi="宋体"/>
                <w:color w:val="auto"/>
                <w:kern w:val="0"/>
                <w:sz w:val="24"/>
                <w:szCs w:val="24"/>
                <w:lang w:val="en-US" w:eastAsia="zh-CN"/>
              </w:rPr>
              <w:t>8</w:t>
            </w:r>
          </w:p>
        </w:tc>
        <w:tc>
          <w:tcPr>
            <w:tcW w:w="1426" w:type="dxa"/>
            <w:noWrap w:val="0"/>
            <w:vAlign w:val="center"/>
          </w:tcPr>
          <w:p w14:paraId="4F2BD778">
            <w:pPr>
              <w:spacing w:line="600" w:lineRule="exact"/>
              <w:ind w:firstLine="240" w:firstLineChars="100"/>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服务</w:t>
            </w:r>
            <w:r>
              <w:rPr>
                <w:rFonts w:hint="eastAsia" w:ascii="宋体" w:hAnsi="宋体" w:eastAsia="宋体"/>
                <w:color w:val="auto"/>
                <w:sz w:val="24"/>
                <w:szCs w:val="24"/>
                <w:lang w:val="en-US" w:eastAsia="zh-CN"/>
              </w:rPr>
              <w:t>地点</w:t>
            </w:r>
          </w:p>
        </w:tc>
        <w:tc>
          <w:tcPr>
            <w:tcW w:w="6879" w:type="dxa"/>
            <w:noWrap w:val="0"/>
            <w:vAlign w:val="center"/>
          </w:tcPr>
          <w:p w14:paraId="341C0E1D">
            <w:pPr>
              <w:spacing w:line="600" w:lineRule="exact"/>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卢氏县</w:t>
            </w:r>
          </w:p>
        </w:tc>
      </w:tr>
      <w:tr w14:paraId="6EC1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75" w:type="dxa"/>
            <w:noWrap w:val="0"/>
            <w:vAlign w:val="center"/>
          </w:tcPr>
          <w:p w14:paraId="3950E748">
            <w:pPr>
              <w:widowControl/>
              <w:spacing w:line="360" w:lineRule="auto"/>
              <w:jc w:val="center"/>
              <w:rPr>
                <w:rFonts w:hint="eastAsia" w:ascii="宋体" w:hAnsi="宋体" w:eastAsia="宋体"/>
                <w:color w:val="auto"/>
                <w:kern w:val="0"/>
                <w:sz w:val="24"/>
                <w:szCs w:val="24"/>
                <w:lang w:eastAsia="zh-CN"/>
              </w:rPr>
            </w:pPr>
            <w:r>
              <w:rPr>
                <w:rFonts w:hint="eastAsia" w:ascii="宋体" w:hAnsi="宋体" w:eastAsia="宋体"/>
                <w:color w:val="auto"/>
                <w:kern w:val="0"/>
                <w:sz w:val="24"/>
                <w:szCs w:val="24"/>
              </w:rPr>
              <w:t>1.</w:t>
            </w:r>
            <w:r>
              <w:rPr>
                <w:rFonts w:hint="eastAsia" w:ascii="宋体" w:hAnsi="宋体"/>
                <w:color w:val="auto"/>
                <w:kern w:val="0"/>
                <w:sz w:val="24"/>
                <w:szCs w:val="24"/>
                <w:lang w:val="en-US" w:eastAsia="zh-CN"/>
              </w:rPr>
              <w:t>9</w:t>
            </w:r>
          </w:p>
        </w:tc>
        <w:tc>
          <w:tcPr>
            <w:tcW w:w="1426" w:type="dxa"/>
            <w:noWrap w:val="0"/>
            <w:vAlign w:val="center"/>
          </w:tcPr>
          <w:p w14:paraId="278BD854">
            <w:pPr>
              <w:widowControl/>
              <w:spacing w:line="360" w:lineRule="auto"/>
              <w:jc w:val="center"/>
              <w:rPr>
                <w:rFonts w:ascii="宋体" w:hAnsi="宋体" w:eastAsia="宋体"/>
                <w:color w:val="auto"/>
                <w:kern w:val="0"/>
                <w:sz w:val="24"/>
                <w:szCs w:val="24"/>
                <w:highlight w:val="yellow"/>
              </w:rPr>
            </w:pPr>
            <w:r>
              <w:rPr>
                <w:rFonts w:hint="eastAsia" w:ascii="宋体" w:hAnsi="宋体" w:eastAsia="宋体"/>
                <w:color w:val="auto"/>
                <w:sz w:val="24"/>
                <w:szCs w:val="24"/>
              </w:rPr>
              <w:t>质量要求</w:t>
            </w:r>
          </w:p>
        </w:tc>
        <w:tc>
          <w:tcPr>
            <w:tcW w:w="6879" w:type="dxa"/>
            <w:noWrap w:val="0"/>
            <w:vAlign w:val="center"/>
          </w:tcPr>
          <w:p w14:paraId="24BA8A26">
            <w:pPr>
              <w:widowControl/>
              <w:spacing w:line="360" w:lineRule="auto"/>
              <w:jc w:val="left"/>
              <w:rPr>
                <w:rFonts w:hint="eastAsia" w:ascii="宋体" w:hAnsi="宋体" w:eastAsia="宋体"/>
                <w:color w:val="auto"/>
                <w:kern w:val="0"/>
                <w:sz w:val="24"/>
                <w:szCs w:val="24"/>
                <w:highlight w:val="yellow"/>
                <w:lang w:eastAsia="zh-CN"/>
              </w:rPr>
            </w:pPr>
            <w:r>
              <w:rPr>
                <w:rFonts w:hint="eastAsia" w:ascii="宋体" w:hAnsi="宋体"/>
                <w:color w:val="auto"/>
                <w:sz w:val="24"/>
                <w:szCs w:val="24"/>
                <w:lang w:val="en-US" w:eastAsia="zh-CN"/>
              </w:rPr>
              <w:t>满足国家或行业标准要求</w:t>
            </w:r>
          </w:p>
        </w:tc>
      </w:tr>
      <w:tr w14:paraId="39CD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noWrap w:val="0"/>
            <w:vAlign w:val="center"/>
          </w:tcPr>
          <w:p w14:paraId="6A9D30C0">
            <w:pPr>
              <w:widowControl/>
              <w:spacing w:line="360" w:lineRule="auto"/>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2.0</w:t>
            </w:r>
          </w:p>
        </w:tc>
        <w:tc>
          <w:tcPr>
            <w:tcW w:w="1426" w:type="dxa"/>
            <w:noWrap w:val="0"/>
            <w:vAlign w:val="center"/>
          </w:tcPr>
          <w:p w14:paraId="5699E4E7">
            <w:pPr>
              <w:widowControl/>
              <w:spacing w:line="360" w:lineRule="auto"/>
              <w:jc w:val="center"/>
              <w:rPr>
                <w:rFonts w:ascii="宋体" w:hAnsi="宋体" w:eastAsia="宋体"/>
                <w:color w:val="auto"/>
                <w:kern w:val="0"/>
                <w:sz w:val="24"/>
                <w:szCs w:val="24"/>
              </w:rPr>
            </w:pPr>
            <w:r>
              <w:rPr>
                <w:rFonts w:hint="eastAsia" w:ascii="宋体" w:hAnsi="宋体" w:eastAsia="宋体"/>
                <w:color w:val="auto"/>
                <w:kern w:val="0"/>
                <w:sz w:val="24"/>
                <w:szCs w:val="24"/>
              </w:rPr>
              <w:t>供应商资格要求</w:t>
            </w:r>
          </w:p>
        </w:tc>
        <w:tc>
          <w:tcPr>
            <w:tcW w:w="6879" w:type="dxa"/>
            <w:noWrap w:val="0"/>
            <w:vAlign w:val="center"/>
          </w:tcPr>
          <w:p w14:paraId="62E02140">
            <w:pPr>
              <w:wordWrap w:val="0"/>
              <w:spacing w:line="600" w:lineRule="exact"/>
              <w:jc w:val="left"/>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详见公告部分</w:t>
            </w:r>
          </w:p>
        </w:tc>
      </w:tr>
      <w:tr w14:paraId="5B7C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975" w:type="dxa"/>
            <w:noWrap w:val="0"/>
            <w:vAlign w:val="center"/>
          </w:tcPr>
          <w:p w14:paraId="52383A97">
            <w:pPr>
              <w:widowControl/>
              <w:spacing w:line="360" w:lineRule="auto"/>
              <w:jc w:val="center"/>
              <w:rPr>
                <w:rFonts w:hint="eastAsia" w:ascii="宋体" w:hAnsi="宋体" w:eastAsia="宋体"/>
                <w:color w:val="auto"/>
                <w:kern w:val="0"/>
                <w:sz w:val="24"/>
                <w:szCs w:val="24"/>
                <w:lang w:eastAsia="zh-CN"/>
              </w:rPr>
            </w:pPr>
            <w:r>
              <w:rPr>
                <w:rFonts w:hint="eastAsia" w:ascii="宋体" w:hAnsi="宋体" w:eastAsia="宋体"/>
                <w:color w:val="auto"/>
                <w:kern w:val="0"/>
                <w:sz w:val="24"/>
                <w:szCs w:val="24"/>
              </w:rPr>
              <w:t>2.</w:t>
            </w:r>
            <w:r>
              <w:rPr>
                <w:rFonts w:hint="eastAsia" w:ascii="宋体" w:hAnsi="宋体"/>
                <w:color w:val="auto"/>
                <w:kern w:val="0"/>
                <w:sz w:val="24"/>
                <w:szCs w:val="24"/>
                <w:lang w:val="en-US" w:eastAsia="zh-CN"/>
              </w:rPr>
              <w:t>1</w:t>
            </w:r>
          </w:p>
        </w:tc>
        <w:tc>
          <w:tcPr>
            <w:tcW w:w="1426" w:type="dxa"/>
            <w:noWrap w:val="0"/>
            <w:vAlign w:val="center"/>
          </w:tcPr>
          <w:p w14:paraId="2DFAD16A">
            <w:pPr>
              <w:widowControl/>
              <w:spacing w:line="360" w:lineRule="auto"/>
              <w:jc w:val="center"/>
              <w:rPr>
                <w:rFonts w:ascii="宋体" w:hAnsi="宋体" w:eastAsia="宋体"/>
                <w:color w:val="auto"/>
                <w:kern w:val="0"/>
                <w:sz w:val="24"/>
                <w:szCs w:val="24"/>
              </w:rPr>
            </w:pPr>
            <w:r>
              <w:rPr>
                <w:rFonts w:hint="eastAsia" w:ascii="宋体" w:hAnsi="宋体" w:eastAsia="宋体"/>
                <w:color w:val="auto"/>
                <w:kern w:val="0"/>
                <w:sz w:val="24"/>
                <w:szCs w:val="24"/>
              </w:rPr>
              <w:t>投标供应商提出问题的截止时间</w:t>
            </w:r>
          </w:p>
        </w:tc>
        <w:tc>
          <w:tcPr>
            <w:tcW w:w="6879" w:type="dxa"/>
            <w:noWrap w:val="0"/>
            <w:vAlign w:val="center"/>
          </w:tcPr>
          <w:p w14:paraId="4B9D103C">
            <w:pPr>
              <w:widowControl/>
              <w:spacing w:line="360" w:lineRule="auto"/>
              <w:jc w:val="left"/>
              <w:rPr>
                <w:rFonts w:ascii="宋体" w:hAnsi="宋体" w:eastAsia="宋体"/>
                <w:color w:val="auto"/>
                <w:kern w:val="0"/>
                <w:sz w:val="24"/>
                <w:szCs w:val="24"/>
              </w:rPr>
            </w:pPr>
            <w:r>
              <w:rPr>
                <w:rFonts w:hint="eastAsia" w:ascii="宋体" w:hAnsi="宋体" w:eastAsia="宋体"/>
                <w:color w:val="auto"/>
                <w:kern w:val="0"/>
                <w:sz w:val="24"/>
                <w:szCs w:val="24"/>
              </w:rPr>
              <w:t>投标截止时间15日前</w:t>
            </w:r>
          </w:p>
        </w:tc>
      </w:tr>
      <w:tr w14:paraId="0DDF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975" w:type="dxa"/>
            <w:noWrap w:val="0"/>
            <w:vAlign w:val="center"/>
          </w:tcPr>
          <w:p w14:paraId="2C7D0085">
            <w:pPr>
              <w:widowControl/>
              <w:spacing w:line="360" w:lineRule="auto"/>
              <w:jc w:val="center"/>
              <w:rPr>
                <w:rFonts w:hint="eastAsia" w:ascii="宋体" w:hAnsi="宋体" w:eastAsia="宋体"/>
                <w:color w:val="auto"/>
                <w:kern w:val="0"/>
                <w:sz w:val="24"/>
                <w:szCs w:val="24"/>
                <w:lang w:eastAsia="zh-CN"/>
              </w:rPr>
            </w:pPr>
            <w:r>
              <w:rPr>
                <w:rFonts w:hint="eastAsia" w:ascii="宋体" w:hAnsi="宋体" w:eastAsia="宋体"/>
                <w:color w:val="auto"/>
                <w:kern w:val="0"/>
                <w:sz w:val="24"/>
                <w:szCs w:val="24"/>
              </w:rPr>
              <w:t>2.</w:t>
            </w:r>
            <w:r>
              <w:rPr>
                <w:rFonts w:hint="eastAsia" w:ascii="宋体" w:hAnsi="宋体"/>
                <w:color w:val="auto"/>
                <w:kern w:val="0"/>
                <w:sz w:val="24"/>
                <w:szCs w:val="24"/>
                <w:lang w:val="en-US" w:eastAsia="zh-CN"/>
              </w:rPr>
              <w:t>2</w:t>
            </w:r>
          </w:p>
        </w:tc>
        <w:tc>
          <w:tcPr>
            <w:tcW w:w="1426" w:type="dxa"/>
            <w:noWrap w:val="0"/>
            <w:vAlign w:val="center"/>
          </w:tcPr>
          <w:p w14:paraId="50F941B2">
            <w:pPr>
              <w:widowControl/>
              <w:spacing w:line="360" w:lineRule="auto"/>
              <w:jc w:val="center"/>
              <w:rPr>
                <w:rFonts w:ascii="宋体" w:hAnsi="宋体" w:eastAsia="宋体"/>
                <w:color w:val="auto"/>
                <w:kern w:val="0"/>
                <w:sz w:val="24"/>
                <w:szCs w:val="24"/>
              </w:rPr>
            </w:pPr>
            <w:r>
              <w:rPr>
                <w:rFonts w:hint="eastAsia" w:ascii="宋体" w:hAnsi="宋体"/>
                <w:color w:val="auto"/>
                <w:kern w:val="0"/>
                <w:sz w:val="24"/>
                <w:szCs w:val="24"/>
                <w:lang w:eastAsia="zh-CN"/>
              </w:rPr>
              <w:t>采购人</w:t>
            </w:r>
            <w:r>
              <w:rPr>
                <w:rFonts w:hint="eastAsia" w:ascii="宋体" w:hAnsi="宋体" w:eastAsia="宋体"/>
                <w:color w:val="auto"/>
                <w:kern w:val="0"/>
                <w:sz w:val="24"/>
                <w:szCs w:val="24"/>
              </w:rPr>
              <w:t>澄清的时间</w:t>
            </w:r>
          </w:p>
        </w:tc>
        <w:tc>
          <w:tcPr>
            <w:tcW w:w="6879" w:type="dxa"/>
            <w:noWrap w:val="0"/>
            <w:vAlign w:val="center"/>
          </w:tcPr>
          <w:p w14:paraId="0FE9AC63">
            <w:pPr>
              <w:widowControl/>
              <w:spacing w:line="360" w:lineRule="auto"/>
              <w:jc w:val="left"/>
              <w:rPr>
                <w:rFonts w:ascii="宋体" w:hAnsi="宋体" w:eastAsia="宋体"/>
                <w:color w:val="auto"/>
                <w:kern w:val="0"/>
                <w:sz w:val="24"/>
                <w:szCs w:val="24"/>
              </w:rPr>
            </w:pPr>
            <w:r>
              <w:rPr>
                <w:rFonts w:hint="eastAsia" w:ascii="宋体" w:hAnsi="宋体" w:eastAsia="宋体"/>
                <w:color w:val="auto"/>
                <w:kern w:val="0"/>
                <w:sz w:val="24"/>
                <w:szCs w:val="24"/>
              </w:rPr>
              <w:t>投标截止时间15日前</w:t>
            </w:r>
          </w:p>
        </w:tc>
      </w:tr>
      <w:tr w14:paraId="1DC1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75" w:type="dxa"/>
            <w:noWrap w:val="0"/>
            <w:vAlign w:val="center"/>
          </w:tcPr>
          <w:p w14:paraId="5D2AC5C5">
            <w:pPr>
              <w:widowControl/>
              <w:spacing w:line="360" w:lineRule="auto"/>
              <w:jc w:val="center"/>
              <w:rPr>
                <w:rFonts w:hint="eastAsia" w:ascii="宋体" w:hAnsi="宋体" w:eastAsia="宋体"/>
                <w:color w:val="auto"/>
                <w:kern w:val="0"/>
                <w:sz w:val="24"/>
                <w:szCs w:val="24"/>
                <w:lang w:eastAsia="zh-CN"/>
              </w:rPr>
            </w:pPr>
            <w:r>
              <w:rPr>
                <w:rFonts w:hint="eastAsia" w:ascii="宋体" w:hAnsi="宋体" w:eastAsia="宋体"/>
                <w:color w:val="auto"/>
                <w:kern w:val="0"/>
                <w:sz w:val="24"/>
                <w:szCs w:val="24"/>
              </w:rPr>
              <w:t>2.</w:t>
            </w:r>
            <w:r>
              <w:rPr>
                <w:rFonts w:hint="eastAsia" w:ascii="宋体" w:hAnsi="宋体"/>
                <w:color w:val="auto"/>
                <w:kern w:val="0"/>
                <w:sz w:val="24"/>
                <w:szCs w:val="24"/>
                <w:lang w:val="en-US" w:eastAsia="zh-CN"/>
              </w:rPr>
              <w:t>3</w:t>
            </w:r>
          </w:p>
        </w:tc>
        <w:tc>
          <w:tcPr>
            <w:tcW w:w="1426" w:type="dxa"/>
            <w:noWrap w:val="0"/>
            <w:vAlign w:val="center"/>
          </w:tcPr>
          <w:p w14:paraId="514F87C1">
            <w:pPr>
              <w:widowControl/>
              <w:spacing w:line="360" w:lineRule="auto"/>
              <w:jc w:val="center"/>
              <w:rPr>
                <w:rFonts w:ascii="宋体" w:hAnsi="宋体" w:eastAsia="宋体"/>
                <w:color w:val="auto"/>
                <w:kern w:val="0"/>
                <w:sz w:val="24"/>
                <w:szCs w:val="24"/>
              </w:rPr>
            </w:pPr>
            <w:r>
              <w:rPr>
                <w:rFonts w:hint="eastAsia" w:ascii="宋体" w:hAnsi="宋体" w:eastAsia="宋体"/>
                <w:color w:val="auto"/>
                <w:kern w:val="0"/>
                <w:sz w:val="24"/>
                <w:szCs w:val="24"/>
              </w:rPr>
              <w:t>偏离</w:t>
            </w:r>
          </w:p>
        </w:tc>
        <w:tc>
          <w:tcPr>
            <w:tcW w:w="6879" w:type="dxa"/>
            <w:noWrap w:val="0"/>
            <w:vAlign w:val="center"/>
          </w:tcPr>
          <w:p w14:paraId="56E25226">
            <w:pPr>
              <w:widowControl/>
              <w:spacing w:line="360" w:lineRule="auto"/>
              <w:jc w:val="left"/>
              <w:rPr>
                <w:rFonts w:hint="eastAsia" w:ascii="宋体" w:hAnsi="宋体" w:eastAsia="宋体"/>
                <w:color w:val="auto"/>
                <w:kern w:val="0"/>
                <w:sz w:val="24"/>
                <w:szCs w:val="24"/>
                <w:lang w:eastAsia="zh-CN"/>
              </w:rPr>
            </w:pPr>
            <w:r>
              <w:rPr>
                <w:rFonts w:hint="eastAsia" w:ascii="宋体" w:hAnsi="宋体"/>
                <w:color w:val="auto"/>
                <w:kern w:val="0"/>
                <w:sz w:val="24"/>
                <w:szCs w:val="24"/>
                <w:lang w:eastAsia="zh-CN"/>
              </w:rPr>
              <w:t>不允许</w:t>
            </w:r>
          </w:p>
        </w:tc>
      </w:tr>
      <w:tr w14:paraId="6F7A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975" w:type="dxa"/>
            <w:noWrap w:val="0"/>
            <w:vAlign w:val="center"/>
          </w:tcPr>
          <w:p w14:paraId="2E66CEF3">
            <w:pPr>
              <w:widowControl/>
              <w:spacing w:line="360" w:lineRule="auto"/>
              <w:jc w:val="center"/>
              <w:rPr>
                <w:rFonts w:hint="eastAsia" w:ascii="宋体" w:hAnsi="宋体" w:eastAsia="宋体"/>
                <w:color w:val="auto"/>
                <w:sz w:val="24"/>
                <w:szCs w:val="24"/>
                <w:lang w:eastAsia="zh-CN"/>
              </w:rPr>
            </w:pPr>
            <w:r>
              <w:rPr>
                <w:rFonts w:hint="eastAsia" w:ascii="宋体" w:hAnsi="宋体" w:eastAsia="宋体"/>
                <w:color w:val="auto"/>
                <w:sz w:val="24"/>
                <w:szCs w:val="24"/>
              </w:rPr>
              <w:t>2</w:t>
            </w:r>
            <w:r>
              <w:rPr>
                <w:rFonts w:hint="eastAsia" w:ascii="宋体" w:hAnsi="宋体"/>
                <w:color w:val="auto"/>
                <w:sz w:val="24"/>
                <w:szCs w:val="24"/>
                <w:lang w:val="en-US" w:eastAsia="zh-CN"/>
              </w:rPr>
              <w:t>.4</w:t>
            </w:r>
          </w:p>
        </w:tc>
        <w:tc>
          <w:tcPr>
            <w:tcW w:w="1426" w:type="dxa"/>
            <w:noWrap w:val="0"/>
            <w:vAlign w:val="center"/>
          </w:tcPr>
          <w:p w14:paraId="1200CD9D">
            <w:pPr>
              <w:widowControl/>
              <w:spacing w:line="360" w:lineRule="auto"/>
              <w:jc w:val="center"/>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投标截止时间</w:t>
            </w:r>
          </w:p>
        </w:tc>
        <w:tc>
          <w:tcPr>
            <w:tcW w:w="6879" w:type="dxa"/>
            <w:noWrap w:val="0"/>
            <w:vAlign w:val="center"/>
          </w:tcPr>
          <w:p w14:paraId="121012DE">
            <w:pPr>
              <w:widowControl/>
              <w:spacing w:line="360" w:lineRule="auto"/>
              <w:jc w:val="left"/>
              <w:rPr>
                <w:rFonts w:ascii="宋体" w:hAnsi="宋体" w:eastAsia="宋体"/>
                <w:color w:val="auto"/>
                <w:kern w:val="0"/>
                <w:sz w:val="24"/>
                <w:szCs w:val="24"/>
                <w:highlight w:val="none"/>
              </w:rPr>
            </w:pPr>
            <w:r>
              <w:rPr>
                <w:rFonts w:hint="eastAsia" w:ascii="宋体" w:hAnsi="宋体"/>
                <w:color w:val="auto"/>
                <w:sz w:val="24"/>
                <w:szCs w:val="24"/>
                <w:lang w:val="en-US" w:eastAsia="zh-CN"/>
              </w:rPr>
              <w:t>详见公告部分</w:t>
            </w:r>
          </w:p>
        </w:tc>
      </w:tr>
      <w:tr w14:paraId="2726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75" w:type="dxa"/>
            <w:noWrap w:val="0"/>
            <w:vAlign w:val="center"/>
          </w:tcPr>
          <w:p w14:paraId="78815691">
            <w:pPr>
              <w:widowControl/>
              <w:spacing w:line="360" w:lineRule="auto"/>
              <w:jc w:val="center"/>
              <w:rPr>
                <w:rFonts w:hint="eastAsia" w:ascii="宋体" w:hAnsi="宋体" w:eastAsia="宋体"/>
                <w:color w:val="auto"/>
                <w:sz w:val="24"/>
                <w:szCs w:val="24"/>
                <w:lang w:eastAsia="zh-CN"/>
              </w:rPr>
            </w:pPr>
            <w:r>
              <w:rPr>
                <w:rFonts w:hint="eastAsia" w:ascii="宋体" w:hAnsi="宋体" w:eastAsia="宋体"/>
                <w:color w:val="auto"/>
                <w:sz w:val="24"/>
                <w:szCs w:val="24"/>
              </w:rPr>
              <w:t>2.</w:t>
            </w:r>
            <w:r>
              <w:rPr>
                <w:rFonts w:hint="eastAsia" w:ascii="宋体" w:hAnsi="宋体"/>
                <w:color w:val="auto"/>
                <w:sz w:val="24"/>
                <w:szCs w:val="24"/>
                <w:lang w:val="en-US" w:eastAsia="zh-CN"/>
              </w:rPr>
              <w:t>5</w:t>
            </w:r>
          </w:p>
        </w:tc>
        <w:tc>
          <w:tcPr>
            <w:tcW w:w="1426" w:type="dxa"/>
            <w:noWrap w:val="0"/>
            <w:vAlign w:val="center"/>
          </w:tcPr>
          <w:p w14:paraId="268A5038">
            <w:pPr>
              <w:widowControl/>
              <w:spacing w:line="360" w:lineRule="auto"/>
              <w:jc w:val="center"/>
              <w:rPr>
                <w:rFonts w:ascii="宋体" w:hAnsi="宋体" w:eastAsia="宋体"/>
                <w:color w:val="auto"/>
                <w:sz w:val="24"/>
                <w:szCs w:val="24"/>
              </w:rPr>
            </w:pPr>
            <w:r>
              <w:rPr>
                <w:rFonts w:hint="eastAsia" w:ascii="宋体" w:hAnsi="宋体" w:eastAsia="宋体"/>
                <w:color w:val="auto"/>
                <w:sz w:val="24"/>
                <w:szCs w:val="24"/>
              </w:rPr>
              <w:t>投标有效期</w:t>
            </w:r>
          </w:p>
        </w:tc>
        <w:tc>
          <w:tcPr>
            <w:tcW w:w="6879" w:type="dxa"/>
            <w:noWrap w:val="0"/>
            <w:vAlign w:val="center"/>
          </w:tcPr>
          <w:p w14:paraId="3C277C69">
            <w:pPr>
              <w:widowControl/>
              <w:spacing w:line="360" w:lineRule="auto"/>
              <w:jc w:val="left"/>
              <w:rPr>
                <w:rFonts w:hint="eastAsia" w:ascii="宋体" w:hAnsi="宋体" w:eastAsia="宋体"/>
                <w:color w:val="auto"/>
                <w:sz w:val="24"/>
                <w:szCs w:val="24"/>
                <w:lang w:eastAsia="zh-CN"/>
              </w:rPr>
            </w:pPr>
            <w:r>
              <w:rPr>
                <w:rFonts w:hint="eastAsia" w:ascii="宋体" w:hAnsi="宋体" w:eastAsia="宋体"/>
                <w:color w:val="auto"/>
                <w:sz w:val="24"/>
                <w:szCs w:val="24"/>
              </w:rPr>
              <w:t>60日历天</w:t>
            </w:r>
            <w:r>
              <w:rPr>
                <w:rFonts w:hint="eastAsia" w:ascii="宋体" w:hAnsi="宋体"/>
                <w:color w:val="auto"/>
                <w:sz w:val="24"/>
                <w:szCs w:val="24"/>
                <w:lang w:eastAsia="zh-CN"/>
              </w:rPr>
              <w:t>（从投标截止之日起）</w:t>
            </w:r>
          </w:p>
        </w:tc>
      </w:tr>
      <w:tr w14:paraId="6169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75" w:type="dxa"/>
            <w:noWrap w:val="0"/>
            <w:vAlign w:val="center"/>
          </w:tcPr>
          <w:p w14:paraId="41229DA0">
            <w:pPr>
              <w:widowControl/>
              <w:spacing w:line="360" w:lineRule="auto"/>
              <w:jc w:val="center"/>
              <w:rPr>
                <w:rFonts w:hint="eastAsia" w:ascii="宋体" w:hAnsi="宋体" w:eastAsia="宋体"/>
                <w:color w:val="auto"/>
                <w:sz w:val="24"/>
                <w:szCs w:val="24"/>
                <w:lang w:eastAsia="zh-CN"/>
              </w:rPr>
            </w:pPr>
            <w:r>
              <w:rPr>
                <w:rFonts w:hint="eastAsia" w:ascii="宋体" w:hAnsi="宋体" w:eastAsia="宋体"/>
                <w:color w:val="auto"/>
                <w:sz w:val="24"/>
                <w:szCs w:val="24"/>
              </w:rPr>
              <w:t>2.</w:t>
            </w:r>
            <w:r>
              <w:rPr>
                <w:rFonts w:hint="eastAsia" w:ascii="宋体" w:hAnsi="宋体"/>
                <w:color w:val="auto"/>
                <w:sz w:val="24"/>
                <w:szCs w:val="24"/>
                <w:lang w:val="en-US" w:eastAsia="zh-CN"/>
              </w:rPr>
              <w:t>6</w:t>
            </w:r>
          </w:p>
        </w:tc>
        <w:tc>
          <w:tcPr>
            <w:tcW w:w="1426" w:type="dxa"/>
            <w:noWrap w:val="0"/>
            <w:vAlign w:val="center"/>
          </w:tcPr>
          <w:p w14:paraId="52437878">
            <w:pPr>
              <w:widowControl/>
              <w:spacing w:line="360" w:lineRule="auto"/>
              <w:jc w:val="center"/>
              <w:rPr>
                <w:rFonts w:ascii="宋体" w:hAnsi="宋体" w:eastAsia="宋体"/>
                <w:color w:val="auto"/>
                <w:sz w:val="24"/>
                <w:szCs w:val="24"/>
              </w:rPr>
            </w:pPr>
            <w:r>
              <w:rPr>
                <w:rFonts w:hint="eastAsia" w:ascii="宋体" w:hAnsi="宋体" w:eastAsia="宋体"/>
                <w:color w:val="auto"/>
                <w:sz w:val="24"/>
                <w:szCs w:val="24"/>
              </w:rPr>
              <w:t>投标保证金</w:t>
            </w:r>
          </w:p>
        </w:tc>
        <w:tc>
          <w:tcPr>
            <w:tcW w:w="6879" w:type="dxa"/>
            <w:noWrap w:val="0"/>
            <w:vAlign w:val="top"/>
          </w:tcPr>
          <w:p w14:paraId="49CAD3FA">
            <w:pPr>
              <w:widowControl/>
              <w:spacing w:line="360" w:lineRule="auto"/>
              <w:rPr>
                <w:rFonts w:ascii="宋体" w:hAnsi="宋体" w:eastAsia="宋体"/>
                <w:color w:val="auto"/>
                <w:sz w:val="24"/>
                <w:szCs w:val="24"/>
              </w:rPr>
            </w:pPr>
            <w:r>
              <w:rPr>
                <w:rFonts w:hint="eastAsia" w:ascii="宋体" w:hAnsi="宋体" w:eastAsia="宋体"/>
                <w:color w:val="auto"/>
                <w:sz w:val="24"/>
                <w:szCs w:val="24"/>
              </w:rPr>
              <w:t>按照《河南省财政厅</w:t>
            </w:r>
            <w:r>
              <w:rPr>
                <w:rFonts w:ascii="宋体" w:hAnsi="宋体" w:eastAsia="宋体"/>
                <w:color w:val="auto"/>
                <w:sz w:val="24"/>
                <w:szCs w:val="24"/>
              </w:rPr>
              <w:t>关于优化政府采购营商环境有关问题的通知</w:t>
            </w:r>
            <w:r>
              <w:rPr>
                <w:rFonts w:hint="eastAsia" w:ascii="宋体" w:hAnsi="宋体" w:eastAsia="宋体"/>
                <w:color w:val="auto"/>
                <w:sz w:val="24"/>
                <w:szCs w:val="24"/>
              </w:rPr>
              <w:t>》（豫财购[2019]4号文）的要求本项目不再收取投标保证金</w:t>
            </w:r>
            <w:r>
              <w:rPr>
                <w:rFonts w:hint="eastAsia" w:ascii="宋体" w:hAnsi="宋体" w:eastAsia="宋体"/>
                <w:bCs/>
                <w:color w:val="auto"/>
                <w:sz w:val="24"/>
                <w:szCs w:val="24"/>
              </w:rPr>
              <w:t>，供应商须提供投标承诺函（详见招标文件 第六章“投标文件格式”）</w:t>
            </w:r>
          </w:p>
        </w:tc>
      </w:tr>
      <w:tr w14:paraId="095B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975" w:type="dxa"/>
            <w:noWrap w:val="0"/>
            <w:vAlign w:val="center"/>
          </w:tcPr>
          <w:p w14:paraId="2ED2DBF6">
            <w:pPr>
              <w:widowControl/>
              <w:spacing w:line="360" w:lineRule="auto"/>
              <w:jc w:val="center"/>
              <w:rPr>
                <w:rFonts w:hint="eastAsia" w:ascii="宋体" w:hAnsi="宋体" w:eastAsia="宋体"/>
                <w:color w:val="auto"/>
                <w:kern w:val="0"/>
                <w:sz w:val="24"/>
                <w:szCs w:val="24"/>
                <w:lang w:eastAsia="zh-CN"/>
              </w:rPr>
            </w:pPr>
            <w:r>
              <w:rPr>
                <w:rFonts w:hint="eastAsia" w:ascii="宋体" w:hAnsi="宋体" w:eastAsia="宋体"/>
                <w:color w:val="auto"/>
                <w:sz w:val="24"/>
                <w:szCs w:val="24"/>
              </w:rPr>
              <w:t>2.</w:t>
            </w:r>
            <w:r>
              <w:rPr>
                <w:rFonts w:hint="eastAsia" w:ascii="宋体" w:hAnsi="宋体"/>
                <w:color w:val="auto"/>
                <w:sz w:val="24"/>
                <w:szCs w:val="24"/>
                <w:lang w:val="en-US" w:eastAsia="zh-CN"/>
              </w:rPr>
              <w:t>7</w:t>
            </w:r>
          </w:p>
        </w:tc>
        <w:tc>
          <w:tcPr>
            <w:tcW w:w="1426" w:type="dxa"/>
            <w:noWrap w:val="0"/>
            <w:vAlign w:val="center"/>
          </w:tcPr>
          <w:p w14:paraId="0420FEEF">
            <w:pPr>
              <w:widowControl/>
              <w:spacing w:line="360" w:lineRule="auto"/>
              <w:jc w:val="center"/>
              <w:rPr>
                <w:rFonts w:ascii="宋体" w:hAnsi="宋体" w:eastAsia="宋体"/>
                <w:color w:val="auto"/>
                <w:kern w:val="0"/>
                <w:sz w:val="24"/>
                <w:szCs w:val="24"/>
              </w:rPr>
            </w:pPr>
            <w:r>
              <w:rPr>
                <w:rFonts w:hint="eastAsia" w:ascii="宋体" w:hAnsi="宋体" w:eastAsia="宋体"/>
                <w:color w:val="auto"/>
                <w:kern w:val="0"/>
                <w:sz w:val="24"/>
                <w:szCs w:val="24"/>
              </w:rPr>
              <w:t>递交投标文件地点</w:t>
            </w:r>
          </w:p>
        </w:tc>
        <w:tc>
          <w:tcPr>
            <w:tcW w:w="6879" w:type="dxa"/>
            <w:noWrap w:val="0"/>
            <w:vAlign w:val="center"/>
          </w:tcPr>
          <w:p w14:paraId="4DC68A03">
            <w:pPr>
              <w:widowControl/>
              <w:spacing w:line="360" w:lineRule="auto"/>
              <w:jc w:val="left"/>
              <w:rPr>
                <w:rFonts w:ascii="宋体" w:hAnsi="宋体" w:eastAsia="宋体"/>
                <w:color w:val="auto"/>
                <w:kern w:val="0"/>
                <w:sz w:val="24"/>
                <w:szCs w:val="24"/>
                <w:shd w:val="clear" w:color="auto" w:fill="FFFFFF"/>
              </w:rPr>
            </w:pPr>
            <w:r>
              <w:rPr>
                <w:rFonts w:hint="eastAsia" w:ascii="宋体" w:hAnsi="宋体" w:eastAsia="宋体"/>
                <w:color w:val="auto"/>
                <w:kern w:val="0"/>
                <w:sz w:val="24"/>
                <w:szCs w:val="24"/>
                <w:shd w:val="clear" w:color="auto" w:fill="FFFFFF"/>
              </w:rPr>
              <w:t>1、电子投标文件的电子版用企业和法人CA数字证书在开标截止时间前上传至“三门峡市公共资源交易中心网站”</w:t>
            </w:r>
          </w:p>
        </w:tc>
      </w:tr>
      <w:tr w14:paraId="1EBC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noWrap w:val="0"/>
            <w:vAlign w:val="center"/>
          </w:tcPr>
          <w:p w14:paraId="34683C86">
            <w:pPr>
              <w:widowControl/>
              <w:spacing w:line="360" w:lineRule="auto"/>
              <w:jc w:val="center"/>
              <w:rPr>
                <w:rFonts w:hint="eastAsia" w:ascii="宋体" w:hAnsi="宋体" w:eastAsia="宋体"/>
                <w:color w:val="auto"/>
                <w:kern w:val="0"/>
                <w:sz w:val="24"/>
                <w:szCs w:val="24"/>
                <w:lang w:eastAsia="zh-CN"/>
              </w:rPr>
            </w:pPr>
            <w:r>
              <w:rPr>
                <w:rFonts w:hint="eastAsia" w:ascii="宋体" w:hAnsi="宋体" w:eastAsia="宋体"/>
                <w:color w:val="auto"/>
                <w:kern w:val="0"/>
                <w:sz w:val="24"/>
                <w:szCs w:val="24"/>
              </w:rPr>
              <w:t>2.</w:t>
            </w:r>
            <w:r>
              <w:rPr>
                <w:rFonts w:hint="eastAsia" w:ascii="宋体" w:hAnsi="宋体"/>
                <w:color w:val="auto"/>
                <w:kern w:val="0"/>
                <w:sz w:val="24"/>
                <w:szCs w:val="24"/>
                <w:lang w:val="en-US" w:eastAsia="zh-CN"/>
              </w:rPr>
              <w:t>8</w:t>
            </w:r>
          </w:p>
        </w:tc>
        <w:tc>
          <w:tcPr>
            <w:tcW w:w="1426" w:type="dxa"/>
            <w:noWrap w:val="0"/>
            <w:vAlign w:val="center"/>
          </w:tcPr>
          <w:p w14:paraId="6BFC70E5">
            <w:pPr>
              <w:widowControl/>
              <w:spacing w:line="360" w:lineRule="auto"/>
              <w:jc w:val="center"/>
              <w:rPr>
                <w:rFonts w:ascii="宋体" w:hAnsi="宋体" w:eastAsia="宋体"/>
                <w:color w:val="auto"/>
                <w:kern w:val="0"/>
                <w:sz w:val="24"/>
                <w:szCs w:val="24"/>
              </w:rPr>
            </w:pPr>
            <w:r>
              <w:rPr>
                <w:rFonts w:hint="eastAsia" w:ascii="宋体" w:hAnsi="宋体" w:eastAsia="宋体"/>
                <w:color w:val="auto"/>
                <w:kern w:val="0"/>
                <w:sz w:val="24"/>
                <w:szCs w:val="24"/>
              </w:rPr>
              <w:t>投标报价及费用</w:t>
            </w:r>
          </w:p>
        </w:tc>
        <w:tc>
          <w:tcPr>
            <w:tcW w:w="6879" w:type="dxa"/>
            <w:noWrap w:val="0"/>
            <w:vAlign w:val="center"/>
          </w:tcPr>
          <w:p w14:paraId="688AC24E">
            <w:pPr>
              <w:widowControl/>
              <w:spacing w:line="360" w:lineRule="auto"/>
              <w:jc w:val="left"/>
              <w:rPr>
                <w:rFonts w:ascii="宋体" w:hAnsi="宋体" w:eastAsia="宋体"/>
                <w:color w:val="auto"/>
                <w:kern w:val="0"/>
                <w:sz w:val="24"/>
                <w:szCs w:val="24"/>
              </w:rPr>
            </w:pPr>
            <w:r>
              <w:rPr>
                <w:rFonts w:hint="eastAsia" w:ascii="宋体" w:hAnsi="宋体" w:eastAsia="宋体"/>
                <w:color w:val="auto"/>
                <w:kern w:val="0"/>
                <w:sz w:val="24"/>
                <w:szCs w:val="24"/>
              </w:rPr>
              <w:t>投标供应商应按 “投标函附表”中所载的各项货物的单价及价格合计</w:t>
            </w:r>
          </w:p>
          <w:p w14:paraId="175E6C6C">
            <w:pPr>
              <w:widowControl/>
              <w:spacing w:line="360" w:lineRule="auto"/>
              <w:jc w:val="left"/>
              <w:rPr>
                <w:rFonts w:ascii="宋体" w:hAnsi="宋体" w:eastAsia="宋体"/>
                <w:color w:val="auto"/>
                <w:kern w:val="0"/>
                <w:sz w:val="24"/>
                <w:szCs w:val="24"/>
              </w:rPr>
            </w:pPr>
            <w:r>
              <w:rPr>
                <w:rFonts w:hint="eastAsia" w:ascii="宋体" w:hAnsi="宋体" w:eastAsia="宋体"/>
                <w:color w:val="auto"/>
                <w:kern w:val="0"/>
                <w:sz w:val="24"/>
                <w:szCs w:val="24"/>
              </w:rPr>
              <w:t>1）投标报价应完全包括招标文件规定的货物和服务范围，不得任意分割或合并所规定的分项；</w:t>
            </w:r>
          </w:p>
          <w:p w14:paraId="126793DE">
            <w:pPr>
              <w:widowControl/>
              <w:spacing w:line="360" w:lineRule="auto"/>
              <w:jc w:val="left"/>
              <w:rPr>
                <w:rFonts w:ascii="宋体" w:hAnsi="宋体" w:eastAsia="宋体"/>
                <w:color w:val="auto"/>
                <w:kern w:val="0"/>
                <w:sz w:val="24"/>
                <w:szCs w:val="24"/>
              </w:rPr>
            </w:pPr>
            <w:r>
              <w:rPr>
                <w:rFonts w:hint="eastAsia" w:ascii="宋体" w:hAnsi="宋体" w:eastAsia="宋体"/>
                <w:color w:val="auto"/>
                <w:kern w:val="0"/>
                <w:sz w:val="24"/>
                <w:szCs w:val="24"/>
              </w:rPr>
              <w:t>2）投标供应商对每项只允许有一个报价，</w:t>
            </w:r>
            <w:r>
              <w:rPr>
                <w:rFonts w:hint="eastAsia" w:ascii="宋体" w:hAnsi="宋体"/>
                <w:color w:val="auto"/>
                <w:kern w:val="0"/>
                <w:sz w:val="24"/>
                <w:szCs w:val="24"/>
                <w:lang w:eastAsia="zh-CN"/>
              </w:rPr>
              <w:t>采购人</w:t>
            </w:r>
            <w:r>
              <w:rPr>
                <w:rFonts w:hint="eastAsia" w:ascii="宋体" w:hAnsi="宋体" w:eastAsia="宋体"/>
                <w:color w:val="auto"/>
                <w:kern w:val="0"/>
                <w:sz w:val="24"/>
                <w:szCs w:val="24"/>
              </w:rPr>
              <w:t>和采购代理机构不接受有任何选择报价的投标。（注：单价的合计须等于各项物的价格之和，本项目不允许提交备选方案）；</w:t>
            </w:r>
          </w:p>
          <w:p w14:paraId="7041E43D">
            <w:pPr>
              <w:widowControl/>
              <w:spacing w:line="360" w:lineRule="auto"/>
              <w:jc w:val="left"/>
              <w:rPr>
                <w:rFonts w:ascii="宋体" w:hAnsi="宋体" w:eastAsia="宋体"/>
                <w:color w:val="auto"/>
                <w:kern w:val="0"/>
                <w:sz w:val="24"/>
                <w:szCs w:val="24"/>
              </w:rPr>
            </w:pPr>
            <w:r>
              <w:rPr>
                <w:rFonts w:hint="eastAsia" w:ascii="宋体" w:hAnsi="宋体" w:eastAsia="宋体"/>
                <w:color w:val="auto"/>
                <w:kern w:val="0"/>
                <w:sz w:val="24"/>
                <w:szCs w:val="24"/>
              </w:rPr>
              <w:t>3）投标供应商不得以任何理由在开标后对投标报价予以修改，报价在投标有效期内是固定的，不因任何原因而改变。任何包含价格调整要求和条件的投标，将被视为非实质性响应投标而予以拒绝；</w:t>
            </w:r>
          </w:p>
          <w:p w14:paraId="039CC20C">
            <w:pPr>
              <w:widowControl/>
              <w:spacing w:line="360" w:lineRule="auto"/>
              <w:jc w:val="left"/>
              <w:rPr>
                <w:rFonts w:ascii="宋体" w:hAnsi="宋体" w:eastAsia="宋体"/>
                <w:color w:val="auto"/>
                <w:kern w:val="0"/>
                <w:sz w:val="24"/>
                <w:szCs w:val="24"/>
              </w:rPr>
            </w:pPr>
            <w:r>
              <w:rPr>
                <w:rFonts w:hint="eastAsia" w:ascii="宋体" w:hAnsi="宋体" w:eastAsia="宋体"/>
                <w:color w:val="auto"/>
                <w:kern w:val="0"/>
                <w:sz w:val="24"/>
                <w:szCs w:val="24"/>
              </w:rPr>
              <w:t>4）供应商所投产品的总价包含税费、劳务费等一切相关费用。</w:t>
            </w:r>
          </w:p>
        </w:tc>
      </w:tr>
      <w:tr w14:paraId="59DD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975" w:type="dxa"/>
            <w:noWrap w:val="0"/>
            <w:vAlign w:val="center"/>
          </w:tcPr>
          <w:p w14:paraId="391390D6">
            <w:pPr>
              <w:widowControl/>
              <w:spacing w:line="360" w:lineRule="auto"/>
              <w:jc w:val="center"/>
              <w:rPr>
                <w:rFonts w:hint="eastAsia" w:ascii="宋体" w:hAnsi="宋体" w:eastAsia="宋体"/>
                <w:color w:val="auto"/>
                <w:kern w:val="0"/>
                <w:sz w:val="24"/>
                <w:szCs w:val="24"/>
                <w:lang w:eastAsia="zh-CN"/>
              </w:rPr>
            </w:pPr>
            <w:r>
              <w:rPr>
                <w:rFonts w:hint="eastAsia" w:ascii="宋体" w:hAnsi="宋体" w:eastAsia="宋体"/>
                <w:color w:val="auto"/>
                <w:kern w:val="0"/>
                <w:sz w:val="24"/>
                <w:szCs w:val="24"/>
              </w:rPr>
              <w:t>2.</w:t>
            </w:r>
            <w:r>
              <w:rPr>
                <w:rFonts w:hint="eastAsia" w:ascii="宋体" w:hAnsi="宋体"/>
                <w:color w:val="auto"/>
                <w:kern w:val="0"/>
                <w:sz w:val="24"/>
                <w:szCs w:val="24"/>
                <w:lang w:val="en-US" w:eastAsia="zh-CN"/>
              </w:rPr>
              <w:t>9</w:t>
            </w:r>
          </w:p>
        </w:tc>
        <w:tc>
          <w:tcPr>
            <w:tcW w:w="1426" w:type="dxa"/>
            <w:noWrap w:val="0"/>
            <w:vAlign w:val="center"/>
          </w:tcPr>
          <w:p w14:paraId="69FD9A24">
            <w:pPr>
              <w:widowControl/>
              <w:spacing w:line="360" w:lineRule="auto"/>
              <w:jc w:val="center"/>
              <w:rPr>
                <w:rFonts w:ascii="宋体" w:hAnsi="宋体" w:eastAsia="宋体"/>
                <w:color w:val="auto"/>
                <w:kern w:val="0"/>
                <w:sz w:val="24"/>
                <w:szCs w:val="24"/>
              </w:rPr>
            </w:pPr>
            <w:r>
              <w:rPr>
                <w:rFonts w:hint="eastAsia" w:ascii="宋体" w:hAnsi="宋体" w:eastAsia="宋体"/>
                <w:color w:val="auto"/>
                <w:kern w:val="0"/>
                <w:sz w:val="24"/>
                <w:szCs w:val="24"/>
              </w:rPr>
              <w:t>开标时间和地点</w:t>
            </w:r>
          </w:p>
        </w:tc>
        <w:tc>
          <w:tcPr>
            <w:tcW w:w="6879" w:type="dxa"/>
            <w:noWrap w:val="0"/>
            <w:vAlign w:val="center"/>
          </w:tcPr>
          <w:p w14:paraId="3E69CD81">
            <w:pPr>
              <w:widowControl/>
              <w:spacing w:line="360" w:lineRule="auto"/>
              <w:jc w:val="left"/>
              <w:rPr>
                <w:rFonts w:hint="eastAsia" w:ascii="宋体" w:hAnsi="宋体" w:eastAsia="宋体"/>
                <w:color w:val="auto"/>
                <w:kern w:val="0"/>
                <w:sz w:val="24"/>
                <w:szCs w:val="24"/>
                <w:lang w:val="en-US" w:eastAsia="zh-CN"/>
              </w:rPr>
            </w:pPr>
            <w:r>
              <w:rPr>
                <w:rFonts w:hint="eastAsia" w:ascii="宋体" w:hAnsi="宋体"/>
                <w:color w:val="auto"/>
                <w:kern w:val="0"/>
                <w:sz w:val="24"/>
                <w:szCs w:val="24"/>
                <w:lang w:val="en-US" w:eastAsia="zh-CN"/>
              </w:rPr>
              <w:t>详见公告部分</w:t>
            </w:r>
          </w:p>
        </w:tc>
      </w:tr>
      <w:tr w14:paraId="2966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975" w:type="dxa"/>
            <w:noWrap w:val="0"/>
            <w:vAlign w:val="center"/>
          </w:tcPr>
          <w:p w14:paraId="38FA8F11">
            <w:pPr>
              <w:widowControl/>
              <w:spacing w:line="360" w:lineRule="auto"/>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3.0</w:t>
            </w:r>
          </w:p>
        </w:tc>
        <w:tc>
          <w:tcPr>
            <w:tcW w:w="1426" w:type="dxa"/>
            <w:noWrap w:val="0"/>
            <w:vAlign w:val="center"/>
          </w:tcPr>
          <w:p w14:paraId="2596E2B2">
            <w:pPr>
              <w:widowControl/>
              <w:spacing w:line="360" w:lineRule="auto"/>
              <w:jc w:val="center"/>
              <w:rPr>
                <w:rFonts w:ascii="宋体" w:hAnsi="宋体" w:eastAsia="宋体"/>
                <w:color w:val="auto"/>
                <w:kern w:val="0"/>
                <w:sz w:val="24"/>
                <w:szCs w:val="24"/>
              </w:rPr>
            </w:pPr>
            <w:r>
              <w:rPr>
                <w:rFonts w:hint="eastAsia" w:ascii="宋体" w:hAnsi="宋体" w:eastAsia="宋体"/>
                <w:color w:val="auto"/>
                <w:kern w:val="0"/>
                <w:sz w:val="24"/>
                <w:szCs w:val="24"/>
              </w:rPr>
              <w:t>开标</w:t>
            </w:r>
          </w:p>
          <w:p w14:paraId="6D3A3D91">
            <w:pPr>
              <w:widowControl/>
              <w:spacing w:line="360" w:lineRule="auto"/>
              <w:jc w:val="center"/>
              <w:rPr>
                <w:rFonts w:ascii="宋体" w:hAnsi="宋体" w:eastAsia="宋体"/>
                <w:color w:val="auto"/>
                <w:kern w:val="0"/>
                <w:sz w:val="24"/>
                <w:szCs w:val="24"/>
              </w:rPr>
            </w:pPr>
            <w:r>
              <w:rPr>
                <w:rFonts w:hint="eastAsia" w:ascii="宋体" w:hAnsi="宋体" w:eastAsia="宋体"/>
                <w:color w:val="auto"/>
                <w:kern w:val="0"/>
                <w:sz w:val="24"/>
                <w:szCs w:val="24"/>
              </w:rPr>
              <w:t>程序</w:t>
            </w:r>
          </w:p>
        </w:tc>
        <w:tc>
          <w:tcPr>
            <w:tcW w:w="6879" w:type="dxa"/>
            <w:noWrap w:val="0"/>
            <w:vAlign w:val="center"/>
          </w:tcPr>
          <w:p w14:paraId="434D511C">
            <w:pPr>
              <w:widowControl/>
              <w:wordWrap w:val="0"/>
              <w:spacing w:line="360" w:lineRule="auto"/>
              <w:jc w:val="left"/>
              <w:rPr>
                <w:rFonts w:ascii="宋体" w:hAnsi="宋体" w:eastAsia="宋体"/>
                <w:color w:val="auto"/>
                <w:kern w:val="0"/>
                <w:sz w:val="24"/>
                <w:szCs w:val="24"/>
              </w:rPr>
            </w:pPr>
            <w:r>
              <w:rPr>
                <w:rFonts w:hint="eastAsia" w:ascii="宋体" w:hAnsi="宋体" w:eastAsia="宋体"/>
                <w:color w:val="auto"/>
                <w:kern w:val="0"/>
                <w:sz w:val="24"/>
                <w:szCs w:val="24"/>
              </w:rPr>
              <w:t>1、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6D1955D0">
            <w:pPr>
              <w:widowControl/>
              <w:spacing w:line="360" w:lineRule="auto"/>
              <w:jc w:val="left"/>
              <w:rPr>
                <w:rFonts w:ascii="宋体" w:hAnsi="宋体" w:eastAsia="宋体"/>
                <w:color w:val="auto"/>
                <w:kern w:val="0"/>
                <w:sz w:val="24"/>
                <w:szCs w:val="24"/>
              </w:rPr>
            </w:pPr>
            <w:r>
              <w:rPr>
                <w:rFonts w:hint="eastAsia" w:ascii="宋体" w:hAnsi="宋体" w:eastAsia="宋体"/>
                <w:color w:val="auto"/>
                <w:kern w:val="0"/>
                <w:sz w:val="24"/>
                <w:szCs w:val="24"/>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分钟内，如在规定时间内未完成解密的，其投标文件不予开标、唱标。每位投标供应商的解密时间为开标时间起30分钟内完成。</w:t>
            </w:r>
          </w:p>
          <w:p w14:paraId="6F254BAA">
            <w:pPr>
              <w:widowControl/>
              <w:spacing w:line="360" w:lineRule="auto"/>
              <w:jc w:val="left"/>
              <w:rPr>
                <w:rFonts w:ascii="宋体" w:hAnsi="宋体" w:eastAsia="宋体"/>
                <w:color w:val="auto"/>
                <w:kern w:val="0"/>
                <w:sz w:val="24"/>
                <w:szCs w:val="24"/>
              </w:rPr>
            </w:pPr>
            <w:r>
              <w:rPr>
                <w:rFonts w:hint="eastAsia" w:ascii="宋体" w:hAnsi="宋体" w:eastAsia="宋体"/>
                <w:color w:val="auto"/>
                <w:kern w:val="0"/>
                <w:sz w:val="24"/>
                <w:szCs w:val="24"/>
              </w:rPr>
              <w:t>3</w:t>
            </w:r>
            <w:r>
              <w:rPr>
                <w:rFonts w:hint="eastAsia" w:ascii="宋体" w:hAnsi="宋体"/>
                <w:color w:val="auto"/>
                <w:kern w:val="0"/>
                <w:sz w:val="24"/>
                <w:szCs w:val="24"/>
                <w:lang w:eastAsia="zh-CN"/>
              </w:rPr>
              <w:t>、</w:t>
            </w:r>
            <w:r>
              <w:rPr>
                <w:rFonts w:hint="eastAsia" w:ascii="宋体" w:hAnsi="宋体" w:eastAsia="宋体"/>
                <w:color w:val="auto"/>
                <w:kern w:val="0"/>
                <w:sz w:val="24"/>
                <w:szCs w:val="24"/>
              </w:rPr>
              <w:t>电子化投标文件解密异常的处理</w:t>
            </w:r>
          </w:p>
          <w:p w14:paraId="256FDABD">
            <w:pPr>
              <w:widowControl/>
              <w:spacing w:line="360" w:lineRule="auto"/>
              <w:jc w:val="left"/>
              <w:rPr>
                <w:rFonts w:ascii="宋体" w:hAnsi="宋体" w:eastAsia="宋体"/>
                <w:color w:val="auto"/>
                <w:kern w:val="0"/>
                <w:sz w:val="24"/>
                <w:szCs w:val="24"/>
              </w:rPr>
            </w:pPr>
            <w:r>
              <w:rPr>
                <w:rFonts w:hint="eastAsia" w:ascii="宋体" w:hAnsi="宋体" w:eastAsia="宋体"/>
                <w:color w:val="auto"/>
                <w:kern w:val="0"/>
                <w:sz w:val="24"/>
                <w:szCs w:val="24"/>
              </w:rPr>
              <w:t>如出现投标供应商的电子投标文件无法解密等异常情况，投标供应商应及时致电中介服务机构说明。投标文件异常，按以下步骤进行处理：</w:t>
            </w:r>
          </w:p>
          <w:p w14:paraId="12D5BFB3">
            <w:pPr>
              <w:widowControl/>
              <w:spacing w:line="360" w:lineRule="auto"/>
              <w:jc w:val="left"/>
              <w:rPr>
                <w:rFonts w:ascii="宋体" w:hAnsi="宋体" w:eastAsia="宋体"/>
                <w:color w:val="auto"/>
                <w:kern w:val="0"/>
                <w:sz w:val="24"/>
                <w:szCs w:val="24"/>
              </w:rPr>
            </w:pPr>
            <w:r>
              <w:rPr>
                <w:rFonts w:hint="eastAsia" w:ascii="宋体" w:hAnsi="宋体" w:eastAsia="宋体"/>
                <w:color w:val="auto"/>
                <w:kern w:val="0"/>
                <w:sz w:val="24"/>
                <w:szCs w:val="24"/>
              </w:rPr>
              <w:t>（1）首先由技术人员进行问题排查。</w:t>
            </w:r>
          </w:p>
          <w:p w14:paraId="6EF6CB67">
            <w:pPr>
              <w:widowControl/>
              <w:spacing w:line="360" w:lineRule="auto"/>
              <w:jc w:val="left"/>
              <w:rPr>
                <w:rFonts w:ascii="宋体" w:hAnsi="宋体" w:eastAsia="宋体"/>
                <w:color w:val="auto"/>
                <w:kern w:val="0"/>
                <w:sz w:val="24"/>
                <w:szCs w:val="24"/>
              </w:rPr>
            </w:pPr>
            <w:r>
              <w:rPr>
                <w:rFonts w:hint="eastAsia" w:ascii="宋体" w:hAnsi="宋体" w:eastAsia="宋体"/>
                <w:color w:val="auto"/>
                <w:kern w:val="0"/>
                <w:sz w:val="24"/>
                <w:szCs w:val="24"/>
              </w:rPr>
              <w:t>（2）经技术人员排查后，是投标供应商文件自身问题导致投标文件无法解密的，该投标文件将不予接收、解密和唱标。开标会议继续进行。</w:t>
            </w:r>
          </w:p>
          <w:p w14:paraId="44CE3C9A">
            <w:pPr>
              <w:widowControl/>
              <w:spacing w:line="360" w:lineRule="auto"/>
              <w:jc w:val="left"/>
              <w:rPr>
                <w:rFonts w:ascii="宋体" w:hAnsi="宋体" w:eastAsia="宋体"/>
                <w:color w:val="auto"/>
                <w:kern w:val="0"/>
                <w:sz w:val="24"/>
                <w:szCs w:val="24"/>
              </w:rPr>
            </w:pPr>
            <w:r>
              <w:rPr>
                <w:rFonts w:hint="eastAsia" w:ascii="宋体" w:hAnsi="宋体" w:eastAsia="宋体"/>
                <w:color w:val="auto"/>
                <w:kern w:val="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C9BE134">
            <w:pPr>
              <w:widowControl/>
              <w:spacing w:line="360" w:lineRule="auto"/>
              <w:jc w:val="left"/>
              <w:rPr>
                <w:rFonts w:ascii="宋体" w:hAnsi="宋体" w:eastAsia="宋体"/>
                <w:color w:val="auto"/>
                <w:kern w:val="0"/>
                <w:sz w:val="24"/>
                <w:szCs w:val="24"/>
              </w:rPr>
            </w:pPr>
            <w:r>
              <w:rPr>
                <w:rFonts w:hint="eastAsia" w:ascii="宋体" w:hAnsi="宋体" w:eastAsia="宋体"/>
                <w:color w:val="auto"/>
                <w:kern w:val="0"/>
                <w:sz w:val="24"/>
                <w:szCs w:val="24"/>
              </w:rPr>
              <w:t>4</w:t>
            </w:r>
            <w:r>
              <w:rPr>
                <w:rFonts w:hint="eastAsia" w:ascii="宋体" w:hAnsi="宋体"/>
                <w:color w:val="auto"/>
                <w:kern w:val="0"/>
                <w:sz w:val="24"/>
                <w:szCs w:val="24"/>
                <w:lang w:eastAsia="zh-CN"/>
              </w:rPr>
              <w:t>、</w:t>
            </w:r>
            <w:r>
              <w:rPr>
                <w:rFonts w:hint="eastAsia" w:ascii="宋体" w:hAnsi="宋体" w:eastAsia="宋体"/>
                <w:color w:val="auto"/>
                <w:kern w:val="0"/>
                <w:sz w:val="24"/>
                <w:szCs w:val="24"/>
              </w:rPr>
              <w:t>待所有投标供应商投标文件解密完成后，由中介服务机构操作，对所有已解密投标文件进行唱标。</w:t>
            </w:r>
          </w:p>
          <w:p w14:paraId="06999BE0">
            <w:pPr>
              <w:widowControl/>
              <w:spacing w:line="360" w:lineRule="auto"/>
              <w:ind w:firstLine="480" w:firstLineChars="200"/>
              <w:jc w:val="left"/>
              <w:rPr>
                <w:rFonts w:ascii="宋体" w:hAnsi="宋体" w:eastAsia="宋体"/>
                <w:color w:val="auto"/>
                <w:kern w:val="0"/>
                <w:sz w:val="24"/>
                <w:szCs w:val="24"/>
              </w:rPr>
            </w:pPr>
            <w:r>
              <w:rPr>
                <w:rFonts w:hint="eastAsia" w:ascii="宋体" w:hAnsi="宋体" w:eastAsia="宋体"/>
                <w:color w:val="auto"/>
                <w:kern w:val="0"/>
                <w:sz w:val="24"/>
                <w:szCs w:val="24"/>
              </w:rPr>
              <w:t>投标供应商应保证在开标期间电话、电脑、网络能够正常工作，投标人因停电、电脑病毒、网络堵塞等原因，未在规定的解密时间内对投标文件进行解密的，其投标文件不予接收、唱标。</w:t>
            </w:r>
          </w:p>
          <w:p w14:paraId="50012D75">
            <w:pPr>
              <w:widowControl/>
              <w:spacing w:line="360" w:lineRule="auto"/>
              <w:jc w:val="left"/>
              <w:rPr>
                <w:rFonts w:ascii="宋体" w:hAnsi="宋体" w:eastAsia="宋体"/>
                <w:color w:val="auto"/>
                <w:kern w:val="0"/>
                <w:sz w:val="24"/>
                <w:szCs w:val="24"/>
              </w:rPr>
            </w:pPr>
            <w:r>
              <w:rPr>
                <w:rFonts w:hint="eastAsia" w:ascii="宋体" w:hAnsi="宋体" w:eastAsia="宋体"/>
                <w:color w:val="auto"/>
                <w:kern w:val="0"/>
                <w:sz w:val="24"/>
                <w:szCs w:val="24"/>
              </w:rPr>
              <w:t>5、开标时投标人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人的质疑并做好书面记录。投标人未在规定时间内提出质疑的，视为认可唱标内容。</w:t>
            </w:r>
          </w:p>
        </w:tc>
      </w:tr>
      <w:tr w14:paraId="1CE1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75" w:type="dxa"/>
            <w:noWrap w:val="0"/>
            <w:vAlign w:val="center"/>
          </w:tcPr>
          <w:p w14:paraId="27C9E1FE">
            <w:pPr>
              <w:widowControl/>
              <w:spacing w:line="360" w:lineRule="auto"/>
              <w:jc w:val="center"/>
              <w:rPr>
                <w:rFonts w:hint="eastAsia" w:ascii="宋体" w:hAnsi="宋体" w:eastAsia="宋体"/>
                <w:color w:val="auto"/>
                <w:kern w:val="0"/>
                <w:sz w:val="24"/>
                <w:szCs w:val="24"/>
                <w:lang w:eastAsia="zh-CN"/>
              </w:rPr>
            </w:pPr>
            <w:r>
              <w:rPr>
                <w:rFonts w:hint="eastAsia" w:ascii="宋体" w:hAnsi="宋体" w:eastAsia="宋体"/>
                <w:color w:val="auto"/>
                <w:kern w:val="0"/>
                <w:sz w:val="24"/>
                <w:szCs w:val="24"/>
              </w:rPr>
              <w:t>3.</w:t>
            </w:r>
            <w:r>
              <w:rPr>
                <w:rFonts w:hint="eastAsia" w:ascii="宋体" w:hAnsi="宋体"/>
                <w:color w:val="auto"/>
                <w:kern w:val="0"/>
                <w:sz w:val="24"/>
                <w:szCs w:val="24"/>
                <w:lang w:val="en-US" w:eastAsia="zh-CN"/>
              </w:rPr>
              <w:t>1</w:t>
            </w:r>
          </w:p>
        </w:tc>
        <w:tc>
          <w:tcPr>
            <w:tcW w:w="1426" w:type="dxa"/>
            <w:noWrap w:val="0"/>
            <w:vAlign w:val="center"/>
          </w:tcPr>
          <w:p w14:paraId="4501C267">
            <w:pPr>
              <w:widowControl/>
              <w:spacing w:line="360" w:lineRule="auto"/>
              <w:jc w:val="center"/>
              <w:rPr>
                <w:rFonts w:ascii="宋体" w:hAnsi="宋体" w:eastAsia="宋体"/>
                <w:color w:val="auto"/>
                <w:kern w:val="0"/>
                <w:sz w:val="24"/>
                <w:szCs w:val="24"/>
              </w:rPr>
            </w:pPr>
            <w:r>
              <w:rPr>
                <w:rFonts w:hint="eastAsia" w:ascii="宋体" w:hAnsi="宋体" w:eastAsia="宋体"/>
                <w:color w:val="auto"/>
                <w:kern w:val="0"/>
                <w:sz w:val="24"/>
                <w:szCs w:val="24"/>
              </w:rPr>
              <w:t>评标委员会的组建</w:t>
            </w:r>
          </w:p>
        </w:tc>
        <w:tc>
          <w:tcPr>
            <w:tcW w:w="6879" w:type="dxa"/>
            <w:noWrap w:val="0"/>
            <w:vAlign w:val="center"/>
          </w:tcPr>
          <w:p w14:paraId="16515E1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olor w:val="auto"/>
                <w:kern w:val="0"/>
                <w:sz w:val="24"/>
                <w:szCs w:val="24"/>
              </w:rPr>
              <w:t>评标委员会成员为5人，</w:t>
            </w:r>
            <w:r>
              <w:rPr>
                <w:rFonts w:hint="eastAsia" w:ascii="宋体" w:hAnsi="宋体"/>
                <w:color w:val="auto"/>
                <w:kern w:val="0"/>
                <w:sz w:val="24"/>
                <w:szCs w:val="24"/>
                <w:lang w:eastAsia="zh-CN"/>
              </w:rPr>
              <w:t>采购人</w:t>
            </w:r>
            <w:r>
              <w:rPr>
                <w:rFonts w:hint="eastAsia" w:ascii="宋体" w:hAnsi="宋体" w:eastAsia="宋体"/>
                <w:color w:val="auto"/>
                <w:kern w:val="0"/>
                <w:sz w:val="24"/>
                <w:szCs w:val="24"/>
              </w:rPr>
              <w:t>代表1人，其余专家4人。</w:t>
            </w:r>
            <w:r>
              <w:rPr>
                <w:rFonts w:hint="eastAsia" w:ascii="宋体" w:hAnsi="宋体" w:eastAsia="宋体" w:cs="宋体"/>
                <w:color w:val="auto"/>
                <w:spacing w:val="6"/>
                <w:kern w:val="2"/>
                <w:sz w:val="24"/>
                <w:szCs w:val="24"/>
                <w:lang w:eastAsia="zh-CN"/>
              </w:rPr>
              <w:t>开标后</w:t>
            </w:r>
            <w:r>
              <w:rPr>
                <w:rFonts w:hint="eastAsia" w:ascii="宋体" w:hAnsi="宋体" w:cs="宋体"/>
                <w:color w:val="auto"/>
                <w:spacing w:val="6"/>
                <w:kern w:val="2"/>
                <w:sz w:val="24"/>
                <w:szCs w:val="24"/>
                <w:lang w:val="en-US" w:eastAsia="zh-CN"/>
              </w:rPr>
              <w:t>在三门峡市</w:t>
            </w:r>
            <w:r>
              <w:rPr>
                <w:rFonts w:hint="eastAsia" w:ascii="宋体" w:hAnsi="宋体" w:cs="宋体"/>
                <w:color w:val="auto"/>
                <w:spacing w:val="6"/>
                <w:kern w:val="2"/>
                <w:sz w:val="24"/>
                <w:szCs w:val="24"/>
                <w:lang w:eastAsia="zh-CN"/>
              </w:rPr>
              <w:t>卢氏</w:t>
            </w:r>
            <w:r>
              <w:rPr>
                <w:rFonts w:hint="eastAsia" w:ascii="宋体" w:hAnsi="宋体" w:cs="宋体"/>
                <w:color w:val="auto"/>
                <w:spacing w:val="6"/>
                <w:kern w:val="2"/>
                <w:sz w:val="24"/>
                <w:szCs w:val="24"/>
                <w:lang w:val="en-US" w:eastAsia="zh-CN"/>
              </w:rPr>
              <w:t>县抽取</w:t>
            </w:r>
            <w:r>
              <w:rPr>
                <w:rFonts w:hint="eastAsia" w:ascii="宋体" w:hAnsi="宋体" w:cs="宋体"/>
                <w:color w:val="auto"/>
                <w:spacing w:val="6"/>
                <w:kern w:val="2"/>
                <w:sz w:val="24"/>
                <w:szCs w:val="24"/>
                <w:lang w:eastAsia="zh-CN"/>
              </w:rPr>
              <w:t>终端</w:t>
            </w:r>
            <w:r>
              <w:rPr>
                <w:rFonts w:hint="eastAsia" w:ascii="宋体" w:hAnsi="宋体" w:cs="宋体"/>
                <w:color w:val="auto"/>
                <w:spacing w:val="6"/>
                <w:kern w:val="2"/>
                <w:sz w:val="24"/>
                <w:szCs w:val="24"/>
                <w:lang w:val="en-US" w:eastAsia="zh-CN"/>
              </w:rPr>
              <w:t>通过河南省政府采购评审专家库</w:t>
            </w:r>
            <w:r>
              <w:rPr>
                <w:rFonts w:hint="eastAsia" w:ascii="宋体" w:hAnsi="宋体" w:eastAsia="宋体" w:cs="宋体"/>
                <w:color w:val="auto"/>
                <w:spacing w:val="6"/>
                <w:kern w:val="2"/>
                <w:sz w:val="24"/>
                <w:szCs w:val="24"/>
              </w:rPr>
              <w:t>中随机抽取。</w:t>
            </w:r>
          </w:p>
          <w:p w14:paraId="5A641823">
            <w:pPr>
              <w:widowControl/>
              <w:spacing w:line="360" w:lineRule="auto"/>
              <w:jc w:val="left"/>
              <w:rPr>
                <w:rFonts w:ascii="宋体" w:hAnsi="宋体" w:eastAsia="宋体"/>
                <w:color w:val="auto"/>
                <w:kern w:val="0"/>
                <w:sz w:val="24"/>
                <w:szCs w:val="24"/>
              </w:rPr>
            </w:pPr>
            <w:r>
              <w:rPr>
                <w:rFonts w:hint="eastAsia" w:ascii="宋体" w:hAnsi="宋体" w:eastAsia="宋体" w:cs="宋体"/>
                <w:color w:val="auto"/>
                <w:spacing w:val="6"/>
                <w:kern w:val="2"/>
                <w:sz w:val="24"/>
                <w:szCs w:val="24"/>
              </w:rPr>
              <w:t>评标专家确定方</w:t>
            </w:r>
            <w:r>
              <w:rPr>
                <w:rFonts w:hint="eastAsia" w:ascii="宋体" w:hAnsi="宋体" w:cs="宋体"/>
                <w:color w:val="auto"/>
                <w:spacing w:val="6"/>
                <w:kern w:val="2"/>
                <w:sz w:val="24"/>
                <w:szCs w:val="24"/>
                <w:lang w:eastAsia="zh-CN"/>
              </w:rPr>
              <w:t>法</w:t>
            </w:r>
            <w:r>
              <w:rPr>
                <w:rFonts w:hint="eastAsia" w:ascii="宋体" w:hAnsi="宋体" w:eastAsia="宋体" w:cs="宋体"/>
                <w:color w:val="auto"/>
                <w:spacing w:val="6"/>
                <w:kern w:val="2"/>
                <w:sz w:val="24"/>
                <w:szCs w:val="24"/>
              </w:rPr>
              <w:t>：评标专家库随机抽取</w:t>
            </w:r>
            <w:r>
              <w:rPr>
                <w:rFonts w:hint="eastAsia" w:ascii="宋体" w:hAnsi="宋体" w:eastAsia="宋体"/>
                <w:color w:val="auto"/>
                <w:kern w:val="0"/>
                <w:sz w:val="24"/>
                <w:szCs w:val="24"/>
              </w:rPr>
              <w:t>。</w:t>
            </w:r>
          </w:p>
        </w:tc>
      </w:tr>
      <w:tr w14:paraId="6273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5" w:type="dxa"/>
            <w:noWrap w:val="0"/>
            <w:vAlign w:val="center"/>
          </w:tcPr>
          <w:p w14:paraId="156C5AA8">
            <w:pPr>
              <w:widowControl/>
              <w:spacing w:line="360" w:lineRule="auto"/>
              <w:jc w:val="center"/>
              <w:rPr>
                <w:rFonts w:hint="eastAsia" w:ascii="宋体" w:hAnsi="宋体" w:eastAsia="宋体"/>
                <w:color w:val="auto"/>
                <w:kern w:val="0"/>
                <w:sz w:val="24"/>
                <w:szCs w:val="24"/>
                <w:lang w:eastAsia="zh-CN"/>
              </w:rPr>
            </w:pPr>
            <w:r>
              <w:rPr>
                <w:rFonts w:hint="eastAsia" w:ascii="宋体" w:hAnsi="宋体" w:eastAsia="宋体"/>
                <w:color w:val="auto"/>
                <w:kern w:val="0"/>
                <w:sz w:val="24"/>
                <w:szCs w:val="24"/>
              </w:rPr>
              <w:t>3.</w:t>
            </w:r>
            <w:r>
              <w:rPr>
                <w:rFonts w:hint="eastAsia" w:ascii="宋体" w:hAnsi="宋体"/>
                <w:color w:val="auto"/>
                <w:kern w:val="0"/>
                <w:sz w:val="24"/>
                <w:szCs w:val="24"/>
                <w:lang w:val="en-US" w:eastAsia="zh-CN"/>
              </w:rPr>
              <w:t>2</w:t>
            </w:r>
          </w:p>
        </w:tc>
        <w:tc>
          <w:tcPr>
            <w:tcW w:w="1426" w:type="dxa"/>
            <w:noWrap w:val="0"/>
            <w:vAlign w:val="center"/>
          </w:tcPr>
          <w:p w14:paraId="46D16065">
            <w:pPr>
              <w:widowControl/>
              <w:spacing w:line="360" w:lineRule="auto"/>
              <w:jc w:val="center"/>
              <w:rPr>
                <w:rFonts w:ascii="宋体" w:hAnsi="宋体" w:eastAsia="宋体"/>
                <w:color w:val="auto"/>
                <w:kern w:val="0"/>
                <w:sz w:val="24"/>
                <w:szCs w:val="24"/>
              </w:rPr>
            </w:pPr>
            <w:r>
              <w:rPr>
                <w:rFonts w:hint="eastAsia" w:ascii="宋体" w:hAnsi="宋体" w:eastAsia="宋体"/>
                <w:color w:val="auto"/>
                <w:kern w:val="0"/>
                <w:sz w:val="24"/>
                <w:szCs w:val="24"/>
              </w:rPr>
              <w:t>是否授权评标委员会确定中标供应商</w:t>
            </w:r>
          </w:p>
        </w:tc>
        <w:tc>
          <w:tcPr>
            <w:tcW w:w="6879" w:type="dxa"/>
            <w:noWrap w:val="0"/>
            <w:vAlign w:val="center"/>
          </w:tcPr>
          <w:p w14:paraId="4870098F">
            <w:pPr>
              <w:widowControl/>
              <w:spacing w:line="360" w:lineRule="auto"/>
              <w:jc w:val="left"/>
              <w:rPr>
                <w:rFonts w:ascii="宋体" w:hAnsi="宋体" w:eastAsia="宋体"/>
                <w:color w:val="auto"/>
                <w:kern w:val="0"/>
                <w:sz w:val="24"/>
                <w:szCs w:val="24"/>
              </w:rPr>
            </w:pPr>
            <w:r>
              <w:rPr>
                <w:rFonts w:hint="eastAsia" w:ascii="宋体" w:hAnsi="宋体" w:eastAsia="宋体"/>
                <w:color w:val="auto"/>
                <w:kern w:val="0"/>
                <w:sz w:val="24"/>
                <w:szCs w:val="24"/>
              </w:rPr>
              <w:t>否，推荐3名候选供应商。</w:t>
            </w:r>
            <w:r>
              <w:rPr>
                <w:rFonts w:hint="eastAsia" w:ascii="宋体" w:hAnsi="宋体" w:eastAsia="宋体" w:cs="宋体"/>
                <w:color w:val="auto"/>
                <w:sz w:val="24"/>
                <w:szCs w:val="24"/>
                <w:highlight w:val="none"/>
              </w:rPr>
              <w:t>招标人确定评标委员会推荐的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14:paraId="3B1A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75" w:type="dxa"/>
            <w:noWrap w:val="0"/>
            <w:vAlign w:val="center"/>
          </w:tcPr>
          <w:p w14:paraId="01BF40BA">
            <w:pPr>
              <w:widowControl/>
              <w:spacing w:line="360" w:lineRule="auto"/>
              <w:jc w:val="center"/>
              <w:rPr>
                <w:rFonts w:hint="eastAsia" w:ascii="宋体" w:hAnsi="宋体" w:eastAsia="宋体"/>
                <w:color w:val="auto"/>
                <w:kern w:val="0"/>
                <w:sz w:val="24"/>
                <w:szCs w:val="24"/>
                <w:lang w:eastAsia="zh-CN"/>
              </w:rPr>
            </w:pPr>
            <w:r>
              <w:rPr>
                <w:rFonts w:hint="eastAsia" w:ascii="宋体" w:hAnsi="宋体" w:eastAsia="宋体"/>
                <w:color w:val="auto"/>
                <w:kern w:val="0"/>
                <w:sz w:val="24"/>
                <w:szCs w:val="24"/>
              </w:rPr>
              <w:t>3.</w:t>
            </w:r>
            <w:r>
              <w:rPr>
                <w:rFonts w:hint="eastAsia" w:ascii="宋体" w:hAnsi="宋体"/>
                <w:color w:val="auto"/>
                <w:kern w:val="0"/>
                <w:sz w:val="24"/>
                <w:szCs w:val="24"/>
                <w:lang w:val="en-US" w:eastAsia="zh-CN"/>
              </w:rPr>
              <w:t>3</w:t>
            </w:r>
          </w:p>
        </w:tc>
        <w:tc>
          <w:tcPr>
            <w:tcW w:w="1426" w:type="dxa"/>
            <w:noWrap w:val="0"/>
            <w:vAlign w:val="center"/>
          </w:tcPr>
          <w:p w14:paraId="1781D85C">
            <w:pPr>
              <w:widowControl/>
              <w:spacing w:line="360" w:lineRule="auto"/>
              <w:jc w:val="center"/>
              <w:rPr>
                <w:rFonts w:ascii="宋体" w:hAnsi="宋体" w:eastAsia="宋体"/>
                <w:color w:val="auto"/>
                <w:kern w:val="0"/>
                <w:sz w:val="24"/>
                <w:szCs w:val="24"/>
              </w:rPr>
            </w:pPr>
            <w:r>
              <w:rPr>
                <w:rFonts w:hint="eastAsia" w:ascii="宋体" w:hAnsi="宋体" w:eastAsia="宋体"/>
                <w:color w:val="auto"/>
                <w:kern w:val="0"/>
                <w:sz w:val="24"/>
                <w:szCs w:val="24"/>
              </w:rPr>
              <w:t>付款方式</w:t>
            </w:r>
          </w:p>
        </w:tc>
        <w:tc>
          <w:tcPr>
            <w:tcW w:w="6879" w:type="dxa"/>
            <w:noWrap w:val="0"/>
            <w:vAlign w:val="center"/>
          </w:tcPr>
          <w:p w14:paraId="71909E41">
            <w:pPr>
              <w:widowControl/>
              <w:spacing w:line="360" w:lineRule="auto"/>
              <w:jc w:val="left"/>
              <w:rPr>
                <w:rFonts w:hint="eastAsia" w:ascii="宋体" w:hAnsi="宋体" w:eastAsia="宋体"/>
                <w:color w:val="auto"/>
                <w:kern w:val="0"/>
                <w:sz w:val="24"/>
                <w:szCs w:val="24"/>
                <w:lang w:eastAsia="zh-CN"/>
              </w:rPr>
            </w:pPr>
            <w:r>
              <w:rPr>
                <w:rFonts w:hint="eastAsia" w:ascii="宋体" w:hAnsi="宋体" w:eastAsia="宋体"/>
                <w:color w:val="auto"/>
                <w:kern w:val="0"/>
                <w:sz w:val="24"/>
                <w:szCs w:val="24"/>
                <w:lang w:eastAsia="zh-CN"/>
              </w:rPr>
              <w:t>合同签订后，根据完成任务量季度结算，乙方按照实际运维工作开展情况向甲方提交运维报告等资料。每季度乙方提供结算清单，甲方收到结算单之后十个工作日内支付季度费用。</w:t>
            </w:r>
          </w:p>
        </w:tc>
      </w:tr>
      <w:tr w14:paraId="1B21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75" w:type="dxa"/>
            <w:noWrap w:val="0"/>
            <w:vAlign w:val="center"/>
          </w:tcPr>
          <w:p w14:paraId="2DE9C79A">
            <w:pPr>
              <w:widowControl/>
              <w:spacing w:line="360" w:lineRule="auto"/>
              <w:jc w:val="center"/>
              <w:rPr>
                <w:rFonts w:hint="eastAsia" w:ascii="宋体" w:hAnsi="宋体" w:eastAsia="宋体"/>
                <w:color w:val="auto"/>
                <w:kern w:val="0"/>
                <w:sz w:val="24"/>
                <w:szCs w:val="24"/>
                <w:lang w:eastAsia="zh-CN"/>
              </w:rPr>
            </w:pPr>
            <w:r>
              <w:rPr>
                <w:rFonts w:hint="eastAsia" w:ascii="宋体" w:hAnsi="宋体" w:eastAsia="宋体"/>
                <w:color w:val="auto"/>
                <w:kern w:val="0"/>
                <w:sz w:val="24"/>
                <w:szCs w:val="24"/>
              </w:rPr>
              <w:t>3.</w:t>
            </w:r>
            <w:r>
              <w:rPr>
                <w:rFonts w:hint="eastAsia" w:ascii="宋体" w:hAnsi="宋体"/>
                <w:color w:val="auto"/>
                <w:kern w:val="0"/>
                <w:sz w:val="24"/>
                <w:szCs w:val="24"/>
                <w:lang w:val="en-US" w:eastAsia="zh-CN"/>
              </w:rPr>
              <w:t>4</w:t>
            </w:r>
          </w:p>
        </w:tc>
        <w:tc>
          <w:tcPr>
            <w:tcW w:w="1426" w:type="dxa"/>
            <w:noWrap w:val="0"/>
            <w:vAlign w:val="center"/>
          </w:tcPr>
          <w:p w14:paraId="483DD5AD">
            <w:pPr>
              <w:widowControl/>
              <w:spacing w:line="360" w:lineRule="auto"/>
              <w:jc w:val="center"/>
              <w:rPr>
                <w:rFonts w:ascii="宋体" w:hAnsi="宋体" w:eastAsia="宋体"/>
                <w:color w:val="auto"/>
                <w:kern w:val="0"/>
                <w:sz w:val="24"/>
                <w:szCs w:val="24"/>
              </w:rPr>
            </w:pPr>
            <w:r>
              <w:rPr>
                <w:rFonts w:hint="eastAsia" w:ascii="宋体" w:hAnsi="宋体" w:eastAsia="宋体"/>
                <w:color w:val="auto"/>
                <w:kern w:val="0"/>
                <w:sz w:val="24"/>
                <w:szCs w:val="24"/>
              </w:rPr>
              <w:t>履约保证金</w:t>
            </w:r>
          </w:p>
        </w:tc>
        <w:tc>
          <w:tcPr>
            <w:tcW w:w="6879" w:type="dxa"/>
            <w:noWrap w:val="0"/>
            <w:vAlign w:val="center"/>
          </w:tcPr>
          <w:p w14:paraId="2E173B0C">
            <w:pPr>
              <w:widowControl/>
              <w:spacing w:line="360" w:lineRule="auto"/>
              <w:jc w:val="left"/>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无</w:t>
            </w:r>
          </w:p>
        </w:tc>
      </w:tr>
      <w:tr w14:paraId="698B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75" w:type="dxa"/>
            <w:noWrap w:val="0"/>
            <w:vAlign w:val="center"/>
          </w:tcPr>
          <w:p w14:paraId="7A5D459F">
            <w:pPr>
              <w:widowControl/>
              <w:spacing w:line="360" w:lineRule="auto"/>
              <w:jc w:val="center"/>
              <w:rPr>
                <w:rFonts w:hint="eastAsia" w:ascii="宋体" w:hAnsi="宋体" w:eastAsia="宋体"/>
                <w:color w:val="auto"/>
                <w:kern w:val="0"/>
                <w:sz w:val="24"/>
                <w:szCs w:val="24"/>
                <w:lang w:eastAsia="zh-CN"/>
              </w:rPr>
            </w:pPr>
            <w:r>
              <w:rPr>
                <w:rFonts w:hint="eastAsia" w:ascii="宋体" w:hAnsi="宋体" w:eastAsia="宋体"/>
                <w:color w:val="auto"/>
                <w:kern w:val="0"/>
                <w:sz w:val="24"/>
                <w:szCs w:val="24"/>
              </w:rPr>
              <w:t>3.</w:t>
            </w:r>
            <w:r>
              <w:rPr>
                <w:rFonts w:hint="eastAsia" w:ascii="宋体" w:hAnsi="宋体"/>
                <w:color w:val="auto"/>
                <w:kern w:val="0"/>
                <w:sz w:val="24"/>
                <w:szCs w:val="24"/>
                <w:lang w:val="en-US" w:eastAsia="zh-CN"/>
              </w:rPr>
              <w:t>5</w:t>
            </w:r>
          </w:p>
        </w:tc>
        <w:tc>
          <w:tcPr>
            <w:tcW w:w="1426" w:type="dxa"/>
            <w:noWrap w:val="0"/>
            <w:vAlign w:val="center"/>
          </w:tcPr>
          <w:p w14:paraId="0E689899">
            <w:pPr>
              <w:widowControl/>
              <w:spacing w:line="360" w:lineRule="auto"/>
              <w:jc w:val="center"/>
              <w:rPr>
                <w:rFonts w:ascii="宋体" w:hAnsi="宋体" w:eastAsia="宋体"/>
                <w:color w:val="auto"/>
                <w:kern w:val="0"/>
                <w:sz w:val="24"/>
                <w:szCs w:val="24"/>
              </w:rPr>
            </w:pPr>
            <w:r>
              <w:rPr>
                <w:rFonts w:hint="eastAsia" w:ascii="宋体" w:hAnsi="宋体" w:eastAsia="宋体"/>
                <w:color w:val="auto"/>
                <w:kern w:val="0"/>
                <w:sz w:val="24"/>
                <w:szCs w:val="24"/>
              </w:rPr>
              <w:t>招标代理费</w:t>
            </w:r>
          </w:p>
        </w:tc>
        <w:tc>
          <w:tcPr>
            <w:tcW w:w="6879" w:type="dxa"/>
            <w:noWrap w:val="0"/>
            <w:vAlign w:val="center"/>
          </w:tcPr>
          <w:p w14:paraId="3DA5A7CC">
            <w:pPr>
              <w:widowControl/>
              <w:spacing w:line="360" w:lineRule="auto"/>
              <w:jc w:val="left"/>
              <w:rPr>
                <w:rFonts w:ascii="宋体" w:hAnsi="宋体" w:eastAsia="宋体"/>
                <w:color w:val="auto"/>
                <w:kern w:val="0"/>
                <w:sz w:val="24"/>
                <w:szCs w:val="24"/>
              </w:rPr>
            </w:pPr>
            <w:r>
              <w:rPr>
                <w:rFonts w:hint="eastAsia" w:ascii="宋体" w:hAnsi="宋体" w:eastAsia="宋体"/>
                <w:color w:val="auto"/>
                <w:kern w:val="0"/>
                <w:sz w:val="24"/>
                <w:szCs w:val="24"/>
              </w:rPr>
              <w:t>1、招标代理服务收费参照豫招协[2023]002号河南省招标投标协会关于印发《河南省招标代理服务收费指导意见》规定的收费标准收取中标服务费。由中标人领取中标通知书时支付。</w:t>
            </w:r>
          </w:p>
        </w:tc>
      </w:tr>
      <w:tr w14:paraId="2885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75" w:type="dxa"/>
            <w:noWrap w:val="0"/>
            <w:vAlign w:val="center"/>
          </w:tcPr>
          <w:p w14:paraId="522326EE">
            <w:pPr>
              <w:widowControl/>
              <w:spacing w:line="360" w:lineRule="auto"/>
              <w:jc w:val="center"/>
              <w:rPr>
                <w:rFonts w:hint="eastAsia" w:ascii="宋体" w:hAnsi="宋体" w:eastAsia="宋体"/>
                <w:color w:val="auto"/>
                <w:kern w:val="0"/>
                <w:sz w:val="24"/>
                <w:szCs w:val="24"/>
                <w:lang w:eastAsia="zh-CN"/>
              </w:rPr>
            </w:pPr>
            <w:r>
              <w:rPr>
                <w:rFonts w:hint="eastAsia" w:ascii="宋体" w:hAnsi="宋体" w:eastAsia="宋体"/>
                <w:color w:val="auto"/>
                <w:kern w:val="0"/>
                <w:sz w:val="24"/>
                <w:szCs w:val="24"/>
              </w:rPr>
              <w:t>3.</w:t>
            </w:r>
            <w:r>
              <w:rPr>
                <w:rFonts w:hint="eastAsia" w:ascii="宋体" w:hAnsi="宋体"/>
                <w:color w:val="auto"/>
                <w:kern w:val="0"/>
                <w:sz w:val="24"/>
                <w:szCs w:val="24"/>
                <w:lang w:val="en-US" w:eastAsia="zh-CN"/>
              </w:rPr>
              <w:t>6</w:t>
            </w:r>
          </w:p>
        </w:tc>
        <w:tc>
          <w:tcPr>
            <w:tcW w:w="1426" w:type="dxa"/>
            <w:noWrap w:val="0"/>
            <w:vAlign w:val="center"/>
          </w:tcPr>
          <w:p w14:paraId="3AD7B138">
            <w:pPr>
              <w:jc w:val="center"/>
              <w:rPr>
                <w:rFonts w:ascii="宋体" w:hAnsi="宋体" w:eastAsia="宋体"/>
                <w:color w:val="auto"/>
                <w:sz w:val="24"/>
                <w:szCs w:val="24"/>
              </w:rPr>
            </w:pPr>
            <w:r>
              <w:rPr>
                <w:rFonts w:hint="eastAsia" w:ascii="宋体" w:hAnsi="宋体" w:eastAsia="宋体"/>
                <w:color w:val="auto"/>
                <w:sz w:val="24"/>
                <w:szCs w:val="24"/>
              </w:rPr>
              <w:t>预算金额</w:t>
            </w:r>
          </w:p>
        </w:tc>
        <w:tc>
          <w:tcPr>
            <w:tcW w:w="6879" w:type="dxa"/>
            <w:noWrap w:val="0"/>
            <w:vAlign w:val="center"/>
          </w:tcPr>
          <w:p w14:paraId="4F0D95F5">
            <w:pPr>
              <w:widowControl/>
              <w:spacing w:line="360" w:lineRule="auto"/>
              <w:jc w:val="left"/>
              <w:rPr>
                <w:rFonts w:ascii="宋体" w:hAnsi="宋体" w:eastAsia="宋体"/>
                <w:color w:val="auto"/>
                <w:sz w:val="24"/>
                <w:szCs w:val="24"/>
              </w:rPr>
            </w:pPr>
            <w:r>
              <w:rPr>
                <w:rFonts w:hint="eastAsia" w:ascii="宋体" w:hAnsi="宋体" w:eastAsia="宋体"/>
                <w:color w:val="auto"/>
                <w:kern w:val="0"/>
                <w:sz w:val="24"/>
                <w:szCs w:val="24"/>
                <w:lang w:val="en-US" w:eastAsia="zh-CN"/>
              </w:rPr>
              <w:t>¥</w:t>
            </w:r>
            <w:r>
              <w:rPr>
                <w:rFonts w:hint="eastAsia" w:ascii="宋体" w:hAnsi="宋体"/>
                <w:color w:val="auto"/>
                <w:kern w:val="0"/>
                <w:sz w:val="24"/>
                <w:szCs w:val="24"/>
                <w:lang w:val="en-US" w:eastAsia="zh-CN"/>
              </w:rPr>
              <w:t>2333675.00</w:t>
            </w:r>
            <w:r>
              <w:rPr>
                <w:rFonts w:hint="eastAsia" w:ascii="宋体" w:hAnsi="宋体" w:eastAsia="宋体"/>
                <w:color w:val="auto"/>
                <w:kern w:val="0"/>
                <w:sz w:val="24"/>
                <w:szCs w:val="24"/>
                <w:lang w:val="en-US" w:eastAsia="zh-CN"/>
              </w:rPr>
              <w:t>元，</w:t>
            </w:r>
            <w:r>
              <w:rPr>
                <w:rFonts w:hint="eastAsia" w:ascii="宋体" w:hAnsi="宋体" w:eastAsia="宋体"/>
                <w:color w:val="auto"/>
                <w:kern w:val="0"/>
                <w:sz w:val="24"/>
                <w:szCs w:val="24"/>
              </w:rPr>
              <w:t>投标供应商投标报价超出“预算金额”的，该投标供应商的投标按无效处理。</w:t>
            </w:r>
          </w:p>
        </w:tc>
      </w:tr>
      <w:tr w14:paraId="552C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75" w:type="dxa"/>
            <w:noWrap w:val="0"/>
            <w:vAlign w:val="center"/>
          </w:tcPr>
          <w:p w14:paraId="5F87D516">
            <w:pPr>
              <w:widowControl/>
              <w:spacing w:line="360" w:lineRule="auto"/>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3.7</w:t>
            </w:r>
          </w:p>
        </w:tc>
        <w:tc>
          <w:tcPr>
            <w:tcW w:w="1426" w:type="dxa"/>
            <w:noWrap w:val="0"/>
            <w:vAlign w:val="center"/>
          </w:tcPr>
          <w:p w14:paraId="6A541D51">
            <w:pPr>
              <w:jc w:val="center"/>
              <w:rPr>
                <w:rFonts w:hint="eastAsia" w:ascii="宋体" w:hAnsi="宋体" w:eastAsia="宋体"/>
                <w:color w:val="auto"/>
                <w:sz w:val="24"/>
                <w:szCs w:val="24"/>
              </w:rPr>
            </w:pPr>
            <w:r>
              <w:rPr>
                <w:rFonts w:hint="eastAsia" w:ascii="宋体" w:hAnsi="宋体" w:eastAsia="宋体" w:cs="宋体"/>
                <w:color w:val="auto"/>
                <w:sz w:val="24"/>
                <w:szCs w:val="24"/>
                <w:highlight w:val="none"/>
              </w:rPr>
              <w:t>重新招标的其他情形</w:t>
            </w:r>
          </w:p>
        </w:tc>
        <w:tc>
          <w:tcPr>
            <w:tcW w:w="6879" w:type="dxa"/>
            <w:noWrap w:val="0"/>
            <w:vAlign w:val="center"/>
          </w:tcPr>
          <w:p w14:paraId="72D5BC95">
            <w:pPr>
              <w:widowControl/>
              <w:spacing w:line="360" w:lineRule="auto"/>
              <w:jc w:val="left"/>
              <w:rPr>
                <w:rFonts w:hint="eastAsia" w:ascii="宋体" w:hAnsi="宋体" w:eastAsia="宋体"/>
                <w:color w:val="auto"/>
                <w:kern w:val="0"/>
                <w:sz w:val="24"/>
                <w:szCs w:val="24"/>
              </w:rPr>
            </w:pPr>
            <w:r>
              <w:rPr>
                <w:rFonts w:hint="eastAsia" w:ascii="宋体" w:hAnsi="宋体" w:eastAsia="宋体" w:cs="宋体"/>
                <w:color w:val="auto"/>
                <w:sz w:val="24"/>
                <w:szCs w:val="24"/>
                <w:highlight w:val="none"/>
              </w:rPr>
              <w:t>除投标人须知正文规定的情形外，除非已经产生中标候选人，在投标有效期内同意延长投标有效期的投标人少于三个的，招标人应当依法重新招标。</w:t>
            </w:r>
          </w:p>
        </w:tc>
      </w:tr>
      <w:tr w14:paraId="54DA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75" w:type="dxa"/>
            <w:noWrap w:val="0"/>
            <w:vAlign w:val="center"/>
          </w:tcPr>
          <w:p w14:paraId="6AF3114C">
            <w:pPr>
              <w:widowControl/>
              <w:jc w:val="center"/>
              <w:rPr>
                <w:rFonts w:hint="eastAsia" w:ascii="宋体" w:hAnsi="宋体" w:eastAsia="宋体"/>
                <w:color w:val="auto"/>
                <w:kern w:val="0"/>
                <w:sz w:val="24"/>
                <w:szCs w:val="24"/>
                <w:lang w:eastAsia="zh-CN"/>
              </w:rPr>
            </w:pPr>
            <w:r>
              <w:rPr>
                <w:rFonts w:hint="eastAsia" w:ascii="宋体" w:hAnsi="宋体" w:eastAsia="宋体"/>
                <w:color w:val="auto"/>
                <w:kern w:val="0"/>
                <w:sz w:val="24"/>
                <w:szCs w:val="24"/>
              </w:rPr>
              <w:t>3.</w:t>
            </w:r>
            <w:r>
              <w:rPr>
                <w:rFonts w:hint="eastAsia" w:ascii="宋体" w:hAnsi="宋体"/>
                <w:color w:val="auto"/>
                <w:kern w:val="0"/>
                <w:sz w:val="24"/>
                <w:szCs w:val="24"/>
                <w:lang w:val="en-US" w:eastAsia="zh-CN"/>
              </w:rPr>
              <w:t>8</w:t>
            </w:r>
          </w:p>
        </w:tc>
        <w:tc>
          <w:tcPr>
            <w:tcW w:w="1426" w:type="dxa"/>
            <w:noWrap w:val="0"/>
            <w:vAlign w:val="center"/>
          </w:tcPr>
          <w:p w14:paraId="537F5045">
            <w:pPr>
              <w:widowControl/>
              <w:spacing w:line="360" w:lineRule="auto"/>
              <w:jc w:val="center"/>
              <w:rPr>
                <w:rFonts w:ascii="宋体" w:hAnsi="宋体" w:eastAsia="宋体"/>
                <w:b/>
                <w:bCs/>
                <w:color w:val="auto"/>
                <w:kern w:val="0"/>
                <w:sz w:val="24"/>
                <w:szCs w:val="24"/>
              </w:rPr>
            </w:pPr>
            <w:r>
              <w:rPr>
                <w:rFonts w:hint="eastAsia" w:ascii="宋体" w:hAnsi="宋体" w:eastAsia="宋体"/>
                <w:b/>
                <w:bCs/>
                <w:color w:val="auto"/>
                <w:kern w:val="0"/>
                <w:sz w:val="24"/>
                <w:szCs w:val="24"/>
              </w:rPr>
              <w:t>电子化注意事项</w:t>
            </w:r>
          </w:p>
        </w:tc>
        <w:tc>
          <w:tcPr>
            <w:tcW w:w="6879" w:type="dxa"/>
            <w:noWrap w:val="0"/>
            <w:vAlign w:val="center"/>
          </w:tcPr>
          <w:p w14:paraId="7C4FCED6">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Times New Roman"/>
                <w:color w:val="auto"/>
                <w:kern w:val="2"/>
                <w:sz w:val="24"/>
                <w:szCs w:val="24"/>
              </w:rPr>
              <w:t>本</w:t>
            </w:r>
            <w:r>
              <w:rPr>
                <w:rFonts w:hint="eastAsia" w:ascii="宋体" w:hAnsi="宋体" w:eastAsia="宋体" w:cs="宋体"/>
                <w:color w:val="auto"/>
                <w:sz w:val="24"/>
                <w:szCs w:val="24"/>
                <w:highlight w:val="none"/>
              </w:rPr>
              <w:t>项目为电子化、无纸化交易项目，投标文件是投标人、供应商 （ 以下简称 “ 投标人 ”）通过中心投标文件制作系统制作，并经过电子签章和加密后生成的电子版投标文件。投标人投标时，将不再接受任何纸质文件资料。</w:t>
            </w:r>
          </w:p>
          <w:p w14:paraId="56330E70">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电子化投标文件具体制作教材请投标人通过CA证书登录三门峡市公共资源电子交易系统在“组件下载”中查看。</w:t>
            </w:r>
          </w:p>
          <w:p w14:paraId="5F92F162">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温馨提示：本项目为电子化、无纸化交易项目，开标时不接受任何纸质资料，为保证您能投标成功，请需仔细阅读以下条款。</w:t>
            </w:r>
          </w:p>
          <w:p w14:paraId="6A34DF50">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一、电子化投标</w:t>
            </w:r>
          </w:p>
          <w:p w14:paraId="68D910D8">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（一）电子化投标文件的签章</w:t>
            </w:r>
          </w:p>
          <w:p w14:paraId="4FBD34BE">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1、投标人在生成电子化投标文件后，应对电子化投标文件进行签章，未进行签章的视为无效投标。</w:t>
            </w:r>
          </w:p>
          <w:p w14:paraId="3F4FC090">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2、招标文件中要求法定代表人或授权委托人签字或盖章的，投标人在进行电子化投标文件签章时，以签盖法定代表人签章为准 。电子化投标文件具体制作教材请投标人通过CA证书登录三门峡市公共资源电子化交易系统在右上角“组件下载”中查看。</w:t>
            </w:r>
          </w:p>
          <w:p w14:paraId="0AB82A6C">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（二）电子化投标文件的格式及上传投标</w:t>
            </w:r>
          </w:p>
          <w:p w14:paraId="296A57AD">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1、投标人所上传的电子化投标文件，应是通过中心投标文件制作系统制作的（投标文件制作工具下载地址：http://t.cn/A6ZvtVob），经过签章和加密后生成的电子版投标文件。</w:t>
            </w:r>
          </w:p>
          <w:p w14:paraId="44CF62F4">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注：（1）投标人投报多个标段的，所生成的电子化投标文件仍为一个电子文件，投标人制作电子化投标文件时应将所报标段全部勾选后制作生成。</w:t>
            </w:r>
          </w:p>
          <w:p w14:paraId="7404752C">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2、电子化投标文件应在投标截止时间前成功上传至三门峡市公共资源电子化交易系统。至投标截止时间止，仍未上传成功的电子化投标文件将不予接收。</w:t>
            </w:r>
          </w:p>
          <w:p w14:paraId="538CB24A">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 ：如按照电子化投标操作教材制作完成的电子化投标文件无法上传的，投标人应在投标截止时间前尽早的联系中心技术人员，以便有充分的时间进行处理。 投标人应充分考虑到处理技术问题和上传数据等工作所需的时间问题，投标文件未在投标截止时间前成功上传的，其投标文件不予接收。</w:t>
            </w:r>
          </w:p>
          <w:p w14:paraId="468144FC">
            <w:pPr>
              <w:widowControl/>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技术联系电话：</w:t>
            </w:r>
            <w:r>
              <w:rPr>
                <w:rFonts w:hint="eastAsia" w:ascii="宋体" w:hAnsi="宋体" w:eastAsia="宋体" w:cs="宋体"/>
                <w:color w:val="auto"/>
                <w:sz w:val="24"/>
                <w:szCs w:val="24"/>
                <w:highlight w:val="none"/>
                <w:lang w:val="en-US" w:eastAsia="zh-CN"/>
              </w:rPr>
              <w:t>400 998 0000</w:t>
            </w:r>
          </w:p>
          <w:p w14:paraId="48B77E8F">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（四）电子化项目开标、解密、唱标、评标</w:t>
            </w:r>
          </w:p>
          <w:p w14:paraId="2DE785E3">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1、本项目采用电子化、无纸化进行招标，开标当日，投标人无需到开标现场参加开标会议。</w:t>
            </w:r>
          </w:p>
          <w:p w14:paraId="7496ABB3">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当在投标截止时间前，登陆不见面开标大厅选择登陆三门峡市公共资源电子招投标系统进行登陆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20626674">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3、电子化投标文件解密异常的处理</w:t>
            </w:r>
          </w:p>
          <w:p w14:paraId="28CCDF96">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如出现投标人的电子投标文件无法解密的情况，投标人应及时致电中介服务机构说明。投标文件解密异常，按以下步骤进行处理：</w:t>
            </w:r>
          </w:p>
          <w:p w14:paraId="1C23F8F2">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780E002D">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（2）经技术人员排查后，是投标人文件自身问题导致投标文件无法解密的，该投标文件将不予接收、解密和唱标。开标会议继续进行。</w:t>
            </w:r>
          </w:p>
          <w:p w14:paraId="0E7EF252">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3542B0E">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4、待所有投标人投标文件解密完成后，由中介服务机构操作，对所有已解密投标文件进行唱标。</w:t>
            </w:r>
          </w:p>
          <w:p w14:paraId="232F5310">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投标人应保证在开标期间电话、电脑、网络能够正常工作，投标人因停电、电脑病毒、网络堵塞等原因，未在规定的解密时间内对投标文件进行解密的，其投标文件不予接收、唱标。</w:t>
            </w:r>
          </w:p>
          <w:p w14:paraId="444BF133">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标时投标人可登录到交易系统中在开标大厅中点击开标一览表查看自己的投标报价。如对自己的唱标内容有异议的，应在唱标内容显示后10分钟内向中介服务机构电话质疑。中介服务机构接受投标人的质疑并做好书面记录。投标人未在规定时间内提出质疑的，视为认可唱标内容。</w:t>
            </w:r>
          </w:p>
          <w:p w14:paraId="064D83A8">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6、评标时，</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对电子化投标文件有质疑的，将通过电子化交易系统对投标人发起质疑，投标人的回复文件必须以经过投标人和其法定代表人签章的PDF 格式文件为准，并通过电子化交易系统提交至</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w:t>
            </w:r>
          </w:p>
          <w:p w14:paraId="09BCB768">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7、需要回复的投标人</w:t>
            </w:r>
            <w:r>
              <w:rPr>
                <w:rFonts w:hint="eastAsia" w:ascii="宋体" w:hAnsi="宋体" w:cs="宋体"/>
                <w:color w:val="auto"/>
                <w:sz w:val="24"/>
                <w:szCs w:val="24"/>
                <w:highlight w:val="none"/>
                <w:lang w:eastAsia="zh-CN"/>
              </w:rPr>
              <w:t>在规定的时间内未回复的</w:t>
            </w:r>
            <w:r>
              <w:rPr>
                <w:rFonts w:hint="eastAsia" w:ascii="宋体" w:hAnsi="宋体" w:eastAsia="宋体" w:cs="宋体"/>
                <w:color w:val="auto"/>
                <w:sz w:val="24"/>
                <w:szCs w:val="24"/>
                <w:highlight w:val="none"/>
              </w:rPr>
              <w:t>，视为投标人放弃回复，</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将自行对需要回复的内容进行认定。</w:t>
            </w:r>
          </w:p>
          <w:p w14:paraId="11E446C4">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 相关证书原件的提交</w:t>
            </w:r>
          </w:p>
          <w:p w14:paraId="274E6530">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本项目实行资格后审，</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文件中要求</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提交资质、业绩、荣誉及单位人员等相关资料原件的，</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需将原件扫描件制作到电子</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文件中，其上传资料真实性由</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自行承担，同时，</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要完善主体库。</w:t>
            </w:r>
            <w:r>
              <w:rPr>
                <w:rFonts w:hint="eastAsia" w:ascii="宋体" w:hAnsi="宋体" w:eastAsia="宋体" w:cs="宋体"/>
                <w:color w:val="auto"/>
                <w:sz w:val="24"/>
                <w:szCs w:val="24"/>
                <w:highlight w:val="none"/>
                <w:lang w:eastAsia="zh-CN"/>
              </w:rPr>
              <w:t>评标小组</w:t>
            </w:r>
            <w:r>
              <w:rPr>
                <w:rFonts w:hint="eastAsia" w:ascii="宋体" w:hAnsi="宋体" w:eastAsia="宋体" w:cs="宋体"/>
                <w:color w:val="auto"/>
                <w:sz w:val="24"/>
                <w:szCs w:val="24"/>
                <w:highlight w:val="none"/>
              </w:rPr>
              <w:t>对原件的核验工作按以下条款进行：</w:t>
            </w:r>
          </w:p>
          <w:p w14:paraId="6857572F">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评标时，评委先查阅</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文件中是否具有该资料的原件扫描件，其上传资料真实性由</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自行承担，同时，</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需要完善主体库信息。本项目需要提交的原件扫描件以</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截止时间前在以</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自行上传到</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文件中的相应内容为准。规定时间外上传或更改的信息不作为评标依据。评标时不接受</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所提交的任何原件</w:t>
            </w:r>
            <w:r>
              <w:rPr>
                <w:rFonts w:hint="eastAsia" w:ascii="宋体" w:hAnsi="宋体" w:eastAsia="宋体" w:cs="宋体"/>
                <w:color w:val="auto"/>
                <w:sz w:val="24"/>
                <w:szCs w:val="24"/>
                <w:highlight w:val="none"/>
                <w:lang w:eastAsia="zh-CN"/>
              </w:rPr>
              <w:t>。</w:t>
            </w:r>
          </w:p>
          <w:p w14:paraId="6BCC5637">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需应仔细阅读操作手册，保证上传内容齐全，真实有效，原件扫描件清晰可辨。因</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上传原因导致应得分项而未得分或资格审查不合格等情况的，由</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自行承担责任。</w:t>
            </w:r>
          </w:p>
          <w:p w14:paraId="2E1F527D">
            <w:pPr>
              <w:widowControl/>
              <w:spacing w:line="360" w:lineRule="auto"/>
              <w:jc w:val="left"/>
              <w:rPr>
                <w:rFonts w:ascii="宋体" w:hAnsi="宋体" w:eastAsia="宋体"/>
                <w:color w:val="auto"/>
                <w:sz w:val="24"/>
                <w:szCs w:val="24"/>
              </w:rPr>
            </w:pPr>
            <w:r>
              <w:rPr>
                <w:rFonts w:hint="eastAsia" w:ascii="宋体" w:hAnsi="宋体" w:eastAsia="宋体" w:cs="宋体"/>
                <w:color w:val="auto"/>
                <w:sz w:val="24"/>
                <w:szCs w:val="24"/>
                <w:highlight w:val="none"/>
              </w:rPr>
              <w:t>提示：本项目为电子化、无纸化交易项目，开标时不再接受任何纸质资料，为保证您能</w:t>
            </w:r>
            <w:r>
              <w:rPr>
                <w:rFonts w:hint="eastAsia" w:ascii="宋体" w:hAnsi="宋体" w:eastAsia="宋体" w:cs="宋体"/>
                <w:color w:val="auto"/>
                <w:sz w:val="24"/>
                <w:szCs w:val="24"/>
                <w:highlight w:val="none"/>
                <w:lang w:eastAsia="zh-CN"/>
              </w:rPr>
              <w:t>开</w:t>
            </w:r>
            <w:r>
              <w:rPr>
                <w:rFonts w:hint="eastAsia" w:ascii="宋体" w:hAnsi="宋体" w:eastAsia="宋体" w:cs="宋体"/>
                <w:color w:val="auto"/>
                <w:sz w:val="24"/>
                <w:szCs w:val="24"/>
                <w:highlight w:val="none"/>
              </w:rPr>
              <w:t>标成功，请需仔细阅读以上条款。</w:t>
            </w:r>
          </w:p>
        </w:tc>
      </w:tr>
    </w:tbl>
    <w:p w14:paraId="22D731D9">
      <w:pPr>
        <w:widowControl/>
        <w:jc w:val="center"/>
        <w:rPr>
          <w:rFonts w:ascii="宋体" w:hAnsi="宋体" w:eastAsia="宋体"/>
          <w:color w:val="auto"/>
          <w:kern w:val="0"/>
          <w:sz w:val="16"/>
          <w:szCs w:val="16"/>
        </w:rPr>
      </w:pPr>
      <w:r>
        <w:rPr>
          <w:rFonts w:hint="eastAsia" w:ascii="宋体" w:hAnsi="宋体" w:eastAsia="宋体"/>
          <w:b/>
          <w:bCs/>
          <w:color w:val="auto"/>
          <w:kern w:val="0"/>
          <w:sz w:val="28"/>
          <w:szCs w:val="28"/>
        </w:rPr>
        <w:t>一、总则</w:t>
      </w:r>
    </w:p>
    <w:p w14:paraId="1B999B18">
      <w:pPr>
        <w:widowControl/>
        <w:ind w:firstLine="442" w:firstLineChars="200"/>
        <w:rPr>
          <w:rFonts w:ascii="宋体" w:hAnsi="宋体" w:eastAsia="宋体"/>
          <w:color w:val="auto"/>
          <w:kern w:val="0"/>
          <w:sz w:val="22"/>
          <w:szCs w:val="22"/>
        </w:rPr>
      </w:pPr>
      <w:r>
        <w:rPr>
          <w:rFonts w:hint="eastAsia" w:ascii="宋体" w:hAnsi="宋体" w:eastAsia="宋体"/>
          <w:b/>
          <w:bCs/>
          <w:color w:val="auto"/>
          <w:kern w:val="0"/>
          <w:sz w:val="22"/>
          <w:szCs w:val="22"/>
        </w:rPr>
        <w:t>1、项目概况</w:t>
      </w:r>
    </w:p>
    <w:p w14:paraId="2141E693">
      <w:pPr>
        <w:pStyle w:val="36"/>
        <w:pageBreakBefore w:val="0"/>
        <w:kinsoku/>
        <w:overflowPunct/>
        <w:bidi w:val="0"/>
        <w:snapToGrid w:val="0"/>
        <w:spacing w:line="5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根据有关法律、法规和规章的规定，本项目已具备</w:t>
      </w:r>
      <w:r>
        <w:rPr>
          <w:rFonts w:hint="eastAsia" w:asciiTheme="minorEastAsia" w:hAnsiTheme="minorEastAsia" w:eastAsiaTheme="minorEastAsia" w:cstheme="minorEastAsia"/>
          <w:color w:val="auto"/>
          <w:sz w:val="28"/>
          <w:szCs w:val="28"/>
          <w:highlight w:val="none"/>
          <w:lang w:eastAsia="zh-CN"/>
        </w:rPr>
        <w:t>招标</w:t>
      </w:r>
      <w:r>
        <w:rPr>
          <w:rFonts w:hint="eastAsia" w:asciiTheme="minorEastAsia" w:hAnsiTheme="minorEastAsia" w:eastAsiaTheme="minorEastAsia" w:cstheme="minorEastAsia"/>
          <w:color w:val="auto"/>
          <w:sz w:val="28"/>
          <w:szCs w:val="28"/>
          <w:highlight w:val="none"/>
        </w:rPr>
        <w:t>条件，现对本项目进行</w:t>
      </w:r>
      <w:r>
        <w:rPr>
          <w:rFonts w:hint="eastAsia" w:asciiTheme="minorEastAsia" w:hAnsiTheme="minorEastAsia" w:eastAsiaTheme="minorEastAsia" w:cstheme="minorEastAsia"/>
          <w:color w:val="auto"/>
          <w:sz w:val="28"/>
          <w:szCs w:val="28"/>
          <w:highlight w:val="none"/>
          <w:lang w:eastAsia="zh-CN"/>
        </w:rPr>
        <w:t>公开招标</w:t>
      </w:r>
      <w:r>
        <w:rPr>
          <w:rFonts w:hint="eastAsia" w:asciiTheme="minorEastAsia" w:hAnsiTheme="minorEastAsia" w:eastAsiaTheme="minorEastAsia" w:cstheme="minorEastAsia"/>
          <w:color w:val="auto"/>
          <w:sz w:val="28"/>
          <w:szCs w:val="28"/>
          <w:highlight w:val="none"/>
        </w:rPr>
        <w:t>。</w:t>
      </w:r>
    </w:p>
    <w:p w14:paraId="0DDF367C">
      <w:pPr>
        <w:pStyle w:val="36"/>
        <w:pageBreakBefore w:val="0"/>
        <w:tabs>
          <w:tab w:val="left" w:pos="540"/>
        </w:tabs>
        <w:kinsoku/>
        <w:overflowPunct/>
        <w:bidi w:val="0"/>
        <w:snapToGrid w:val="0"/>
        <w:spacing w:line="500" w:lineRule="exact"/>
        <w:ind w:left="54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1.1.1 本次项目采购人：见供应商须知前附表。</w:t>
      </w:r>
    </w:p>
    <w:p w14:paraId="2A43D569">
      <w:pPr>
        <w:pStyle w:val="36"/>
        <w:pageBreakBefore w:val="0"/>
        <w:tabs>
          <w:tab w:val="left" w:pos="540"/>
        </w:tabs>
        <w:kinsoku/>
        <w:overflowPunct/>
        <w:bidi w:val="0"/>
        <w:snapToGrid w:val="0"/>
        <w:spacing w:line="500" w:lineRule="exact"/>
        <w:ind w:left="54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1.1.2 本次代理机构：见供应商须知前附表</w:t>
      </w:r>
    </w:p>
    <w:p w14:paraId="214550D5">
      <w:pPr>
        <w:pStyle w:val="36"/>
        <w:pageBreakBefore w:val="0"/>
        <w:numPr>
          <w:ilvl w:val="2"/>
          <w:numId w:val="1"/>
        </w:numPr>
        <w:tabs>
          <w:tab w:val="left" w:pos="540"/>
        </w:tabs>
        <w:kinsoku/>
        <w:overflowPunct/>
        <w:bidi w:val="0"/>
        <w:snapToGrid w:val="0"/>
        <w:spacing w:line="500" w:lineRule="exact"/>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本次项目名称：见供应商须知前附表。</w:t>
      </w:r>
    </w:p>
    <w:p w14:paraId="6A92D145">
      <w:pPr>
        <w:widowControl/>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2、投标费用</w:t>
      </w:r>
    </w:p>
    <w:p w14:paraId="087EF979">
      <w:pPr>
        <w:widowControl/>
        <w:spacing w:line="360" w:lineRule="auto"/>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投标供应商承担其投标文件编制与递交所涉及的一切费用。在任何情况下</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和采购代理机构对上述费用均不承担任何责任。</w:t>
      </w:r>
    </w:p>
    <w:p w14:paraId="4BEE4429">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3、定义及解释</w:t>
      </w:r>
    </w:p>
    <w:p w14:paraId="0422D18B">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3.1</w:t>
      </w:r>
      <w:r>
        <w:rPr>
          <w:rFonts w:hint="eastAsia" w:asciiTheme="minorEastAsia" w:hAnsiTheme="minorEastAsia" w:eastAsiaTheme="minorEastAsia" w:cstheme="minorEastAsia"/>
          <w:color w:val="auto"/>
          <w:kern w:val="0"/>
          <w:sz w:val="28"/>
          <w:szCs w:val="28"/>
        </w:rPr>
        <w:t>货物：系指投标供应商按招标文件规定而提供的设备、机械、仪器仪表、备品备件、工具、手册及其它有关技术资料和材料。</w:t>
      </w:r>
    </w:p>
    <w:p w14:paraId="593A459B">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3.2</w:t>
      </w:r>
      <w:r>
        <w:rPr>
          <w:rFonts w:hint="eastAsia" w:asciiTheme="minorEastAsia" w:hAnsiTheme="minorEastAsia" w:eastAsiaTheme="minorEastAsia" w:cstheme="minorEastAsia"/>
          <w:color w:val="auto"/>
          <w:kern w:val="0"/>
          <w:sz w:val="28"/>
          <w:szCs w:val="28"/>
        </w:rPr>
        <w:t xml:space="preserve"> 服务：系指投标供应商提供的安装、调试、验收、培训、保修期服务、与货物有关的运输和保险及其他伴随服务。</w:t>
      </w:r>
    </w:p>
    <w:p w14:paraId="23EFAF7E">
      <w:pPr>
        <w:widowControl/>
        <w:spacing w:line="360" w:lineRule="auto"/>
        <w:ind w:right="-480" w:firstLine="562" w:firstLineChars="200"/>
        <w:jc w:val="left"/>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b/>
          <w:bCs/>
          <w:color w:val="auto"/>
          <w:kern w:val="0"/>
          <w:sz w:val="28"/>
          <w:szCs w:val="28"/>
        </w:rPr>
        <w:t xml:space="preserve">3.3 </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w:t>
      </w:r>
      <w:r>
        <w:rPr>
          <w:rFonts w:hint="eastAsia" w:asciiTheme="minorEastAsia" w:hAnsiTheme="minorEastAsia" w:eastAsiaTheme="minorEastAsia" w:cstheme="minorEastAsia"/>
          <w:bCs/>
          <w:color w:val="auto"/>
          <w:sz w:val="28"/>
          <w:szCs w:val="28"/>
          <w:lang w:eastAsia="zh-CN"/>
        </w:rPr>
        <w:t>三门峡市生态环境局卢氏分局</w:t>
      </w:r>
    </w:p>
    <w:p w14:paraId="4E5A199F">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3.4</w:t>
      </w:r>
      <w:r>
        <w:rPr>
          <w:rFonts w:hint="eastAsia" w:asciiTheme="minorEastAsia" w:hAnsiTheme="minorEastAsia" w:eastAsiaTheme="minorEastAsia" w:cstheme="minorEastAsia"/>
          <w:color w:val="auto"/>
          <w:kern w:val="0"/>
          <w:sz w:val="28"/>
          <w:szCs w:val="28"/>
        </w:rPr>
        <w:t xml:space="preserve"> 投标供应商：是指响应招标、参加投标竞争的法人。</w:t>
      </w:r>
    </w:p>
    <w:p w14:paraId="69C38469">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 xml:space="preserve">3.5 </w:t>
      </w:r>
      <w:r>
        <w:rPr>
          <w:rFonts w:hint="eastAsia" w:asciiTheme="minorEastAsia" w:hAnsiTheme="minorEastAsia" w:eastAsiaTheme="minorEastAsia" w:cstheme="minorEastAsia"/>
          <w:color w:val="auto"/>
          <w:kern w:val="0"/>
          <w:sz w:val="28"/>
          <w:szCs w:val="28"/>
        </w:rPr>
        <w:t>采购代理机构：</w:t>
      </w:r>
      <w:r>
        <w:rPr>
          <w:rFonts w:hint="eastAsia" w:asciiTheme="minorEastAsia" w:hAnsiTheme="minorEastAsia" w:eastAsiaTheme="minorEastAsia" w:cstheme="minorEastAsia"/>
          <w:color w:val="auto"/>
          <w:kern w:val="0"/>
          <w:sz w:val="28"/>
          <w:szCs w:val="28"/>
          <w:lang w:eastAsia="zh-CN"/>
        </w:rPr>
        <w:t>河南展杰工程管理有限公司</w:t>
      </w:r>
      <w:r>
        <w:rPr>
          <w:rFonts w:hint="eastAsia" w:asciiTheme="minorEastAsia" w:hAnsiTheme="minorEastAsia" w:eastAsiaTheme="minorEastAsia" w:cstheme="minorEastAsia"/>
          <w:color w:val="auto"/>
          <w:kern w:val="0"/>
          <w:sz w:val="28"/>
          <w:szCs w:val="28"/>
        </w:rPr>
        <w:t xml:space="preserve">  </w:t>
      </w:r>
    </w:p>
    <w:p w14:paraId="4B8D0EAF">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3.6</w:t>
      </w:r>
      <w:r>
        <w:rPr>
          <w:rFonts w:hint="eastAsia" w:asciiTheme="minorEastAsia" w:hAnsiTheme="minorEastAsia" w:eastAsiaTheme="minorEastAsia" w:cstheme="minorEastAsia"/>
          <w:color w:val="auto"/>
          <w:kern w:val="0"/>
          <w:sz w:val="28"/>
          <w:szCs w:val="28"/>
        </w:rPr>
        <w:t xml:space="preserve"> 评标委员会：是指按照《中华人民共和国政府采购法》和《评标委员会和评标方法暂行规定》的规定组建的专门负责本次招标的评标工作的临时机构。</w:t>
      </w:r>
    </w:p>
    <w:p w14:paraId="05359B83">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 xml:space="preserve">3.7 </w:t>
      </w:r>
      <w:r>
        <w:rPr>
          <w:rFonts w:hint="eastAsia" w:asciiTheme="minorEastAsia" w:hAnsiTheme="minorEastAsia" w:eastAsiaTheme="minorEastAsia" w:cstheme="minorEastAsia"/>
          <w:color w:val="auto"/>
          <w:kern w:val="0"/>
          <w:sz w:val="28"/>
          <w:szCs w:val="28"/>
        </w:rPr>
        <w:t>日期：指公历日。</w:t>
      </w:r>
    </w:p>
    <w:p w14:paraId="44602901">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4、合格的投标供应商（详见投标供应商须知前附表2.0）</w:t>
      </w:r>
    </w:p>
    <w:p w14:paraId="102AD7C4">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5、保证</w:t>
      </w:r>
    </w:p>
    <w:p w14:paraId="6AF29D24">
      <w:pPr>
        <w:widowControl/>
        <w:spacing w:line="360" w:lineRule="auto"/>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投标供应商应保证在投标文件中所提交的资料和数据是真实的。</w:t>
      </w:r>
    </w:p>
    <w:p w14:paraId="57AAD315">
      <w:pPr>
        <w:widowControl/>
        <w:ind w:firstLine="2235" w:firstLineChars="795"/>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二、招 标 文 件</w:t>
      </w:r>
    </w:p>
    <w:p w14:paraId="0785987A">
      <w:pPr>
        <w:widowControl/>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6、招标文件的组成</w:t>
      </w:r>
    </w:p>
    <w:p w14:paraId="2F389080">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 xml:space="preserve">6.1 </w:t>
      </w:r>
      <w:r>
        <w:rPr>
          <w:rFonts w:hint="eastAsia" w:asciiTheme="minorEastAsia" w:hAnsiTheme="minorEastAsia" w:eastAsiaTheme="minorEastAsia" w:cstheme="minorEastAsia"/>
          <w:color w:val="auto"/>
          <w:kern w:val="0"/>
          <w:sz w:val="28"/>
          <w:szCs w:val="28"/>
        </w:rPr>
        <w:t>招标文件包括下列内容及按投标供应商须知第2.1条款内容发出的答疑文件和第2.2条款内容发出的补充文件。</w:t>
      </w:r>
    </w:p>
    <w:p w14:paraId="77340A06">
      <w:pPr>
        <w:widowControl/>
        <w:spacing w:line="360" w:lineRule="auto"/>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xml:space="preserve">第一章 招标公告 </w:t>
      </w:r>
    </w:p>
    <w:p w14:paraId="21D96354">
      <w:pPr>
        <w:widowControl/>
        <w:spacing w:line="360" w:lineRule="auto"/>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第二章 投标供应商须知</w:t>
      </w:r>
    </w:p>
    <w:p w14:paraId="493F2DDD">
      <w:pPr>
        <w:widowControl/>
        <w:spacing w:line="360" w:lineRule="auto"/>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xml:space="preserve">第三章 </w:t>
      </w:r>
      <w:r>
        <w:rPr>
          <w:rFonts w:hint="eastAsia" w:asciiTheme="minorEastAsia" w:hAnsiTheme="minorEastAsia" w:eastAsiaTheme="minorEastAsia" w:cstheme="minorEastAsia"/>
          <w:color w:val="auto"/>
          <w:kern w:val="0"/>
          <w:sz w:val="28"/>
          <w:szCs w:val="28"/>
          <w:lang w:val="en-US" w:eastAsia="zh-CN"/>
        </w:rPr>
        <w:t>服务内容及要求</w:t>
      </w:r>
    </w:p>
    <w:p w14:paraId="096C8FEB">
      <w:pPr>
        <w:widowControl/>
        <w:spacing w:line="360" w:lineRule="auto"/>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第四章 评标办法</w:t>
      </w:r>
    </w:p>
    <w:p w14:paraId="4E53F646">
      <w:pPr>
        <w:widowControl/>
        <w:spacing w:line="360" w:lineRule="auto"/>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第五章 合同条款及格式</w:t>
      </w:r>
    </w:p>
    <w:p w14:paraId="7BAC1F87">
      <w:pPr>
        <w:widowControl/>
        <w:spacing w:line="360" w:lineRule="auto"/>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第六章 投标文件格式</w:t>
      </w:r>
    </w:p>
    <w:p w14:paraId="0D4A9C07">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6.2</w:t>
      </w:r>
      <w:r>
        <w:rPr>
          <w:rFonts w:hint="eastAsia" w:asciiTheme="minorEastAsia" w:hAnsiTheme="minorEastAsia" w:eastAsiaTheme="minorEastAsia" w:cstheme="minorEastAsia"/>
          <w:color w:val="auto"/>
          <w:kern w:val="0"/>
          <w:sz w:val="28"/>
          <w:szCs w:val="28"/>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544BFCDF">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7、招标文件的澄清</w:t>
      </w:r>
    </w:p>
    <w:p w14:paraId="1DBA51AD">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7.1</w:t>
      </w:r>
      <w:r>
        <w:rPr>
          <w:rFonts w:hint="eastAsia" w:asciiTheme="minorEastAsia" w:hAnsiTheme="minorEastAsia" w:eastAsiaTheme="minorEastAsia" w:cstheme="minorEastAsia"/>
          <w:color w:val="auto"/>
          <w:kern w:val="0"/>
          <w:sz w:val="28"/>
          <w:szCs w:val="28"/>
        </w:rPr>
        <w:t>投标供应商应仔细阅读和检查招标文件的全部内容。如发现缺页或附件不全，应及时向</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提出，以便补齐。如有疑问，应在投标供应商须知前附表规定的时间前要求</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对招标文件予以澄清。</w:t>
      </w:r>
    </w:p>
    <w:p w14:paraId="2B032806">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7.2</w:t>
      </w:r>
      <w:r>
        <w:rPr>
          <w:rFonts w:hint="eastAsia" w:asciiTheme="minorEastAsia" w:hAnsiTheme="minorEastAsia" w:eastAsiaTheme="minorEastAsia" w:cstheme="minorEastAsia"/>
          <w:color w:val="auto"/>
          <w:kern w:val="0"/>
          <w:sz w:val="28"/>
          <w:szCs w:val="28"/>
        </w:rPr>
        <w:t>招标文件的澄清将在投标供应商须知前附表规定的时间前发给所有购买招标文件的投标供应商，但不指明澄清问题的来源。如果澄清发出的时间距投标截止时间不足15天，相应延长投标截止时间。</w:t>
      </w:r>
    </w:p>
    <w:p w14:paraId="0D164D18">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7.3</w:t>
      </w:r>
      <w:r>
        <w:rPr>
          <w:rFonts w:hint="eastAsia" w:asciiTheme="minorEastAsia" w:hAnsiTheme="minorEastAsia" w:eastAsiaTheme="minorEastAsia" w:cstheme="minorEastAsia"/>
          <w:color w:val="auto"/>
          <w:kern w:val="0"/>
          <w:sz w:val="28"/>
          <w:szCs w:val="28"/>
        </w:rPr>
        <w:t xml:space="preserve"> 投标供应商在收到澄清后，应在24小时内通知</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，确认已收到该澄清。</w:t>
      </w:r>
    </w:p>
    <w:p w14:paraId="660765B8">
      <w:pPr>
        <w:widowControl/>
        <w:spacing w:line="360" w:lineRule="auto"/>
        <w:ind w:firstLine="562"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8、招标文件的修改</w:t>
      </w:r>
    </w:p>
    <w:p w14:paraId="3F93C201">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8.1</w:t>
      </w:r>
      <w:r>
        <w:rPr>
          <w:rFonts w:hint="eastAsia" w:asciiTheme="minorEastAsia" w:hAnsiTheme="minorEastAsia" w:eastAsiaTheme="minorEastAsia" w:cstheme="minorEastAsia"/>
          <w:color w:val="auto"/>
          <w:kern w:val="0"/>
          <w:sz w:val="28"/>
          <w:szCs w:val="28"/>
        </w:rPr>
        <w:t>在投标截止时间15天前，</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 xml:space="preserve">可修改招标文件，并通知所有已购买招标文件的投标供应商。如果修改招标文件的时间距投标截止时间不足15天，相应延长投标截止时间。 </w:t>
      </w:r>
    </w:p>
    <w:p w14:paraId="48CC9F68">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8.2</w:t>
      </w:r>
      <w:r>
        <w:rPr>
          <w:rFonts w:hint="eastAsia" w:asciiTheme="minorEastAsia" w:hAnsiTheme="minorEastAsia" w:eastAsiaTheme="minorEastAsia" w:cstheme="minorEastAsia"/>
          <w:color w:val="auto"/>
          <w:kern w:val="0"/>
          <w:sz w:val="28"/>
          <w:szCs w:val="28"/>
        </w:rPr>
        <w:t xml:space="preserve"> 投标供应商收到修改内容后，应在24小时内通知</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，确认已收到该澄清。</w:t>
      </w:r>
    </w:p>
    <w:p w14:paraId="560B8ADD">
      <w:pPr>
        <w:widowControl/>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三、投标文件的编制</w:t>
      </w:r>
    </w:p>
    <w:p w14:paraId="2AB8DA6B">
      <w:pPr>
        <w:pStyle w:val="37"/>
        <w:widowControl/>
        <w:snapToGrid w:val="0"/>
        <w:spacing w:line="560" w:lineRule="exact"/>
        <w:ind w:firstLine="562" w:firstLineChars="200"/>
        <w:jc w:val="left"/>
        <w:rPr>
          <w:rFonts w:hint="eastAsia"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b/>
          <w:bCs/>
          <w:color w:val="auto"/>
          <w:kern w:val="0"/>
          <w:sz w:val="28"/>
          <w:szCs w:val="28"/>
        </w:rPr>
        <w:t>9.1投标文件的组成</w:t>
      </w:r>
    </w:p>
    <w:p w14:paraId="40B59BB3">
      <w:pPr>
        <w:pStyle w:val="37"/>
        <w:widowControl/>
        <w:snapToGrid w:val="0"/>
        <w:spacing w:line="560" w:lineRule="exac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详见招标文件第六章投标文件格式</w:t>
      </w:r>
    </w:p>
    <w:p w14:paraId="070AA78B">
      <w:pPr>
        <w:pStyle w:val="37"/>
        <w:widowControl/>
        <w:snapToGrid w:val="0"/>
        <w:spacing w:line="560" w:lineRule="exact"/>
        <w:ind w:firstLine="562" w:firstLineChars="200"/>
        <w:jc w:val="left"/>
        <w:rPr>
          <w:rFonts w:hint="eastAsia"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b/>
          <w:bCs/>
          <w:color w:val="auto"/>
          <w:kern w:val="0"/>
          <w:sz w:val="28"/>
          <w:szCs w:val="28"/>
        </w:rPr>
        <w:t>9.2投标文件编制要求</w:t>
      </w:r>
    </w:p>
    <w:p w14:paraId="66984CAA">
      <w:pPr>
        <w:pStyle w:val="37"/>
        <w:widowControl/>
        <w:snapToGrid w:val="0"/>
        <w:spacing w:line="560" w:lineRule="exac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本项目为电子化、无纸化交易项目，投标文件是投标人、供应商（以下简称“投标人”）通过中心投标文件制作系统制作，并经过电子签章和加密后生成的电子版投标文件。投标人投标时，将不再接受任何纸质文件资料。</w:t>
      </w:r>
    </w:p>
    <w:p w14:paraId="62387845">
      <w:pPr>
        <w:pStyle w:val="37"/>
        <w:widowControl/>
        <w:snapToGrid w:val="0"/>
        <w:spacing w:line="560" w:lineRule="exac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电子化投标文件具体制作教材请投标人通过 CA 证书登录三门峡市公共资源电子化交易系统在“组建下载”中查看。</w:t>
      </w:r>
    </w:p>
    <w:p w14:paraId="16F63D8C">
      <w:pPr>
        <w:pStyle w:val="37"/>
        <w:widowControl/>
        <w:snapToGrid w:val="0"/>
        <w:spacing w:line="560" w:lineRule="exact"/>
        <w:ind w:firstLine="562" w:firstLineChars="200"/>
        <w:jc w:val="left"/>
        <w:rPr>
          <w:rFonts w:hint="eastAsia"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b/>
          <w:bCs/>
          <w:color w:val="auto"/>
          <w:kern w:val="0"/>
          <w:sz w:val="28"/>
          <w:szCs w:val="28"/>
        </w:rPr>
        <w:t>9.3特别说明</w:t>
      </w:r>
    </w:p>
    <w:p w14:paraId="51E57123">
      <w:pPr>
        <w:pStyle w:val="37"/>
        <w:widowControl/>
        <w:snapToGrid w:val="0"/>
        <w:spacing w:line="560" w:lineRule="exac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9.3.1投标语言</w:t>
      </w:r>
    </w:p>
    <w:p w14:paraId="353B0BF6">
      <w:pPr>
        <w:pStyle w:val="37"/>
        <w:widowControl/>
        <w:snapToGrid w:val="0"/>
        <w:spacing w:line="560" w:lineRule="exac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投标供应商提交的投标文件以及投标供应商与采购代理机构就有关投标的所有往来函电均应使用中文。投标供应商提供的文件可以用英文，但相应内容应附有中文翻译本，在解释时以中文翻译本为准。</w:t>
      </w:r>
    </w:p>
    <w:p w14:paraId="5E2240CF">
      <w:pPr>
        <w:pStyle w:val="37"/>
        <w:widowControl/>
        <w:snapToGrid w:val="0"/>
        <w:spacing w:line="560" w:lineRule="exac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9.3.2计量</w:t>
      </w:r>
    </w:p>
    <w:p w14:paraId="3BF9159B">
      <w:pPr>
        <w:pStyle w:val="37"/>
        <w:widowControl/>
        <w:snapToGrid w:val="0"/>
        <w:spacing w:line="560" w:lineRule="exac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在投标文件所有计量单位均采用中华人民共和国法定计量单位。</w:t>
      </w:r>
    </w:p>
    <w:p w14:paraId="1FFAD285">
      <w:pPr>
        <w:pStyle w:val="37"/>
        <w:widowControl/>
        <w:snapToGrid w:val="0"/>
        <w:spacing w:line="560" w:lineRule="exac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投标供应商在投标文件中所提交的所有资料和文件均应是真实的和有效的，如有作假，则将该投标供应商的投标作无效标处理，若成交后被发现有上述行为的，则</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有权取消其成交资格，并且该投标供应商应承担由此而造成的一切损失（包括经济损失和法律责任）。</w:t>
      </w:r>
    </w:p>
    <w:p w14:paraId="5E5B4213">
      <w:pPr>
        <w:pStyle w:val="37"/>
        <w:widowControl/>
        <w:snapToGrid w:val="0"/>
        <w:spacing w:line="560" w:lineRule="exact"/>
        <w:ind w:firstLine="562" w:firstLineChars="200"/>
        <w:jc w:val="left"/>
        <w:rPr>
          <w:rFonts w:hint="eastAsia"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b/>
          <w:bCs/>
          <w:color w:val="auto"/>
          <w:kern w:val="0"/>
          <w:sz w:val="28"/>
          <w:szCs w:val="28"/>
        </w:rPr>
        <w:t>9.4投标服务的报价</w:t>
      </w:r>
    </w:p>
    <w:p w14:paraId="763941E2">
      <w:pPr>
        <w:pStyle w:val="37"/>
        <w:widowControl/>
        <w:snapToGrid w:val="0"/>
        <w:spacing w:line="560" w:lineRule="exac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9.4.1 供应商所投</w:t>
      </w:r>
      <w:r>
        <w:rPr>
          <w:rFonts w:hint="eastAsia" w:asciiTheme="minorEastAsia" w:hAnsiTheme="minorEastAsia" w:eastAsiaTheme="minorEastAsia" w:cstheme="minorEastAsia"/>
          <w:color w:val="auto"/>
          <w:kern w:val="0"/>
          <w:sz w:val="28"/>
          <w:szCs w:val="28"/>
          <w:lang w:eastAsia="zh-CN"/>
        </w:rPr>
        <w:t>服务</w:t>
      </w:r>
      <w:r>
        <w:rPr>
          <w:rFonts w:hint="eastAsia" w:asciiTheme="minorEastAsia" w:hAnsiTheme="minorEastAsia" w:eastAsiaTheme="minorEastAsia" w:cstheme="minorEastAsia"/>
          <w:color w:val="auto"/>
          <w:kern w:val="0"/>
          <w:sz w:val="28"/>
          <w:szCs w:val="28"/>
        </w:rPr>
        <w:t>的总价包含劳务费</w:t>
      </w:r>
      <w:r>
        <w:rPr>
          <w:rFonts w:hint="eastAsia" w:asciiTheme="minorEastAsia" w:hAnsiTheme="minorEastAsia" w:eastAsiaTheme="minorEastAsia" w:cstheme="minorEastAsia"/>
          <w:color w:val="auto"/>
          <w:kern w:val="0"/>
          <w:sz w:val="28"/>
          <w:szCs w:val="28"/>
          <w:lang w:eastAsia="zh-CN"/>
        </w:rPr>
        <w:t>、检测工具</w:t>
      </w:r>
      <w:r>
        <w:rPr>
          <w:rFonts w:hint="eastAsia" w:asciiTheme="minorEastAsia" w:hAnsiTheme="minorEastAsia" w:eastAsiaTheme="minorEastAsia" w:cstheme="minorEastAsia"/>
          <w:color w:val="auto"/>
          <w:kern w:val="0"/>
          <w:sz w:val="28"/>
          <w:szCs w:val="28"/>
        </w:rPr>
        <w:t>运输费、安装费、税费等一切相关费用</w:t>
      </w:r>
      <w:r>
        <w:rPr>
          <w:rFonts w:hint="eastAsia" w:asciiTheme="minorEastAsia" w:hAnsiTheme="minorEastAsia" w:eastAsiaTheme="minorEastAsia" w:cstheme="minorEastAsia"/>
          <w:color w:val="auto"/>
          <w:kern w:val="0"/>
          <w:sz w:val="28"/>
          <w:szCs w:val="28"/>
          <w:lang w:eastAsia="zh-CN"/>
        </w:rPr>
        <w:t>。</w:t>
      </w:r>
    </w:p>
    <w:p w14:paraId="7035B7E3">
      <w:pPr>
        <w:pStyle w:val="37"/>
        <w:widowControl/>
        <w:snapToGrid w:val="0"/>
        <w:spacing w:line="560" w:lineRule="exac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9.4.2投标供应商的投标报价应包含</w:t>
      </w:r>
      <w:r>
        <w:rPr>
          <w:rFonts w:hint="eastAsia" w:asciiTheme="minorEastAsia" w:hAnsiTheme="minorEastAsia" w:eastAsiaTheme="minorEastAsia" w:cstheme="minorEastAsia"/>
          <w:color w:val="auto"/>
          <w:kern w:val="0"/>
          <w:sz w:val="28"/>
          <w:szCs w:val="28"/>
          <w:lang w:eastAsia="zh-CN"/>
        </w:rPr>
        <w:t>出具检测报告</w:t>
      </w:r>
      <w:r>
        <w:rPr>
          <w:rFonts w:hint="eastAsia" w:asciiTheme="minorEastAsia" w:hAnsiTheme="minorEastAsia" w:eastAsiaTheme="minorEastAsia" w:cstheme="minorEastAsia"/>
          <w:color w:val="auto"/>
          <w:kern w:val="0"/>
          <w:sz w:val="28"/>
          <w:szCs w:val="28"/>
        </w:rPr>
        <w:t>前所发生的一切费用，且投标供应商只能提出一个不变价格，</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不接受任何选择报价。</w:t>
      </w:r>
    </w:p>
    <w:p w14:paraId="7C244A47">
      <w:pPr>
        <w:pStyle w:val="37"/>
        <w:widowControl/>
        <w:snapToGrid w:val="0"/>
        <w:spacing w:line="560" w:lineRule="exac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9.4.3该项目类别及取费标准按照国家相关规定执行。</w:t>
      </w:r>
    </w:p>
    <w:p w14:paraId="12F2A92A">
      <w:pPr>
        <w:pStyle w:val="37"/>
        <w:widowControl/>
        <w:snapToGrid w:val="0"/>
        <w:spacing w:line="560" w:lineRule="exac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9.4.4投标文件的投标报价，应是完成本文件所列招标范围的全部内容。投标供应商应认真阅读招标文件，如果投标供应商对预算中任何子目和报价遗漏或未计，均被认为已包含在其他子目中，</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不另行支付。</w:t>
      </w:r>
    </w:p>
    <w:p w14:paraId="1108CA26">
      <w:pPr>
        <w:pStyle w:val="37"/>
        <w:widowControl/>
        <w:snapToGrid w:val="0"/>
        <w:spacing w:line="560" w:lineRule="exac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9.4.5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7E9543CD">
      <w:pPr>
        <w:pStyle w:val="37"/>
        <w:widowControl/>
        <w:snapToGrid w:val="0"/>
        <w:spacing w:line="560" w:lineRule="exac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9.4.6全部报价均应以人民币为计量币种，并以人民币进行结算。</w:t>
      </w:r>
    </w:p>
    <w:p w14:paraId="5FEB1CBC">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10投标保证金</w:t>
      </w:r>
    </w:p>
    <w:p w14:paraId="690C050E">
      <w:pPr>
        <w:spacing w:line="600" w:lineRule="exact"/>
        <w:ind w:firstLine="562"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10.1</w:t>
      </w:r>
      <w:r>
        <w:rPr>
          <w:rFonts w:hint="eastAsia" w:asciiTheme="minorEastAsia" w:hAnsiTheme="minorEastAsia" w:eastAsiaTheme="minorEastAsia" w:cstheme="minorEastAsia"/>
          <w:bCs/>
          <w:color w:val="auto"/>
          <w:kern w:val="0"/>
          <w:sz w:val="28"/>
          <w:szCs w:val="28"/>
        </w:rPr>
        <w:t>按照《河南省财政厅关于优化政府采购营商环境有关问题的通知》（豫财购[2019]4号文）的要求本项目不再收取投标保证金，供应商须提供投标承诺函（详见招标文件 第六章“投标文件格式”），作为投标文件的组成部分。</w:t>
      </w:r>
    </w:p>
    <w:p w14:paraId="2C4ADF2B">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 xml:space="preserve">10.2 </w:t>
      </w:r>
      <w:r>
        <w:rPr>
          <w:rFonts w:hint="eastAsia" w:asciiTheme="minorEastAsia" w:hAnsiTheme="minorEastAsia" w:eastAsiaTheme="minorEastAsia" w:cstheme="minorEastAsia"/>
          <w:color w:val="auto"/>
          <w:kern w:val="0"/>
          <w:sz w:val="28"/>
          <w:szCs w:val="28"/>
        </w:rPr>
        <w:t>未按招标文件规定提供</w:t>
      </w:r>
      <w:r>
        <w:rPr>
          <w:rFonts w:hint="eastAsia" w:asciiTheme="minorEastAsia" w:hAnsiTheme="minorEastAsia" w:eastAsiaTheme="minorEastAsia" w:cstheme="minorEastAsia"/>
          <w:bCs/>
          <w:color w:val="auto"/>
          <w:kern w:val="0"/>
          <w:sz w:val="28"/>
          <w:szCs w:val="28"/>
        </w:rPr>
        <w:t>投标承诺函</w:t>
      </w:r>
      <w:r>
        <w:rPr>
          <w:rFonts w:hint="eastAsia" w:asciiTheme="minorEastAsia" w:hAnsiTheme="minorEastAsia" w:eastAsiaTheme="minorEastAsia" w:cstheme="minorEastAsia"/>
          <w:color w:val="auto"/>
          <w:kern w:val="0"/>
          <w:sz w:val="28"/>
          <w:szCs w:val="28"/>
        </w:rPr>
        <w:t>的投标文件，其投标无效。</w:t>
      </w:r>
    </w:p>
    <w:p w14:paraId="741E4D14">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11、投标有效期</w:t>
      </w:r>
    </w:p>
    <w:p w14:paraId="535DE4FA">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11.1</w:t>
      </w:r>
      <w:r>
        <w:rPr>
          <w:rFonts w:hint="eastAsia" w:asciiTheme="minorEastAsia" w:hAnsiTheme="minorEastAsia" w:eastAsiaTheme="minorEastAsia" w:cstheme="minorEastAsia"/>
          <w:color w:val="auto"/>
          <w:kern w:val="0"/>
          <w:sz w:val="28"/>
          <w:szCs w:val="28"/>
        </w:rPr>
        <w:t>投标文件从开标之时起开始生效，投标有效期为60日历天。</w:t>
      </w:r>
    </w:p>
    <w:p w14:paraId="69904939">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11.2</w:t>
      </w:r>
      <w:r>
        <w:rPr>
          <w:rFonts w:hint="eastAsia" w:asciiTheme="minorEastAsia" w:hAnsiTheme="minorEastAsia" w:eastAsiaTheme="minorEastAsia" w:cstheme="minorEastAsia"/>
          <w:color w:val="auto"/>
          <w:kern w:val="0"/>
          <w:sz w:val="28"/>
          <w:szCs w:val="28"/>
        </w:rPr>
        <w:t>在特殊情况下，</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可征求投标供应商同意延长投标有效期，这种要求和答复均应以信函、传真等形式提交。投标供应商可以拒绝</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的这种要求。同意延长投标有效期的投标供应商不需要也不允许修改其投标文件。</w:t>
      </w:r>
    </w:p>
    <w:p w14:paraId="4C579522">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12、投标文件的组成</w:t>
      </w:r>
    </w:p>
    <w:p w14:paraId="5034B22E">
      <w:pPr>
        <w:spacing w:line="360" w:lineRule="auto"/>
        <w:ind w:firstLine="480"/>
        <w:outlineLvl w:val="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一、</w:t>
      </w:r>
      <w:r>
        <w:rPr>
          <w:rFonts w:hint="eastAsia" w:asciiTheme="minorEastAsia" w:hAnsiTheme="minorEastAsia" w:eastAsiaTheme="minorEastAsia" w:cstheme="minorEastAsia"/>
          <w:color w:val="auto"/>
          <w:sz w:val="28"/>
          <w:szCs w:val="28"/>
        </w:rPr>
        <w:t>投</w:t>
      </w:r>
      <w:r>
        <w:rPr>
          <w:rFonts w:hint="eastAsia" w:asciiTheme="minorEastAsia" w:hAnsiTheme="minorEastAsia" w:eastAsiaTheme="minorEastAsia" w:cstheme="minorEastAsia"/>
          <w:color w:val="auto"/>
          <w:sz w:val="28"/>
          <w:szCs w:val="28"/>
          <w:lang w:eastAsia="zh-CN"/>
        </w:rPr>
        <w:t>标</w:t>
      </w:r>
      <w:r>
        <w:rPr>
          <w:rFonts w:hint="eastAsia" w:asciiTheme="minorEastAsia" w:hAnsiTheme="minorEastAsia" w:eastAsiaTheme="minorEastAsia" w:cstheme="minorEastAsia"/>
          <w:color w:val="auto"/>
          <w:sz w:val="28"/>
          <w:szCs w:val="28"/>
        </w:rPr>
        <w:t>函</w:t>
      </w:r>
    </w:p>
    <w:p w14:paraId="562C58E5">
      <w:pPr>
        <w:spacing w:line="360" w:lineRule="auto"/>
        <w:ind w:firstLine="480"/>
        <w:outlineLvl w:val="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二、</w:t>
      </w:r>
      <w:r>
        <w:rPr>
          <w:rFonts w:hint="eastAsia" w:asciiTheme="minorEastAsia" w:hAnsiTheme="minorEastAsia" w:eastAsiaTheme="minorEastAsia" w:cstheme="minorEastAsia"/>
          <w:color w:val="auto"/>
          <w:sz w:val="28"/>
          <w:szCs w:val="28"/>
        </w:rPr>
        <w:t>投标报价</w:t>
      </w:r>
    </w:p>
    <w:p w14:paraId="0284C9E6">
      <w:pPr>
        <w:spacing w:line="360" w:lineRule="auto"/>
        <w:ind w:firstLine="480"/>
        <w:outlineLvl w:val="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三、法定代表人身份证明</w:t>
      </w:r>
    </w:p>
    <w:p w14:paraId="69068239">
      <w:pPr>
        <w:spacing w:line="360" w:lineRule="auto"/>
        <w:ind w:firstLine="480"/>
        <w:outlineLvl w:val="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四、授权委托书</w:t>
      </w:r>
    </w:p>
    <w:p w14:paraId="01A7FEBA">
      <w:pPr>
        <w:spacing w:line="360" w:lineRule="auto"/>
        <w:ind w:firstLine="480"/>
        <w:outlineLvl w:val="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五、业绩一览表及证明材料</w:t>
      </w:r>
    </w:p>
    <w:p w14:paraId="0106BF3B">
      <w:pPr>
        <w:spacing w:line="360" w:lineRule="auto"/>
        <w:ind w:firstLine="480"/>
        <w:outlineLvl w:val="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六、投标承诺函</w:t>
      </w:r>
    </w:p>
    <w:p w14:paraId="3B935ED8">
      <w:pPr>
        <w:spacing w:line="360" w:lineRule="auto"/>
        <w:ind w:firstLine="480"/>
        <w:outlineLvl w:val="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七、供应商</w:t>
      </w:r>
      <w:r>
        <w:rPr>
          <w:rFonts w:hint="eastAsia" w:asciiTheme="minorEastAsia" w:hAnsiTheme="minorEastAsia" w:eastAsiaTheme="minorEastAsia" w:cstheme="minorEastAsia"/>
          <w:color w:val="auto"/>
          <w:sz w:val="28"/>
          <w:szCs w:val="28"/>
        </w:rPr>
        <w:t>资格审查</w:t>
      </w:r>
      <w:r>
        <w:rPr>
          <w:rFonts w:hint="eastAsia" w:asciiTheme="minorEastAsia" w:hAnsiTheme="minorEastAsia" w:eastAsiaTheme="minorEastAsia" w:cstheme="minorEastAsia"/>
          <w:color w:val="auto"/>
          <w:sz w:val="28"/>
          <w:szCs w:val="28"/>
          <w:lang w:eastAsia="zh-CN"/>
        </w:rPr>
        <w:t>资料</w:t>
      </w:r>
    </w:p>
    <w:p w14:paraId="3D42B522">
      <w:pPr>
        <w:spacing w:line="360" w:lineRule="auto"/>
        <w:ind w:firstLine="480"/>
        <w:outlineLvl w:val="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八、技术标</w:t>
      </w:r>
    </w:p>
    <w:p w14:paraId="042E32BC">
      <w:pPr>
        <w:spacing w:line="360" w:lineRule="auto"/>
        <w:ind w:firstLine="480"/>
        <w:outlineLvl w:val="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九、</w:t>
      </w:r>
      <w:r>
        <w:rPr>
          <w:rFonts w:hint="eastAsia" w:asciiTheme="minorEastAsia" w:hAnsiTheme="minorEastAsia" w:eastAsiaTheme="minorEastAsia" w:cstheme="minorEastAsia"/>
          <w:color w:val="auto"/>
          <w:sz w:val="28"/>
          <w:szCs w:val="28"/>
        </w:rPr>
        <w:t>商务标</w:t>
      </w:r>
    </w:p>
    <w:p w14:paraId="4179C5CA">
      <w:pPr>
        <w:spacing w:line="360" w:lineRule="auto"/>
        <w:ind w:firstLine="480"/>
        <w:outlineLvl w:val="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w:t>
      </w:r>
      <w:r>
        <w:rPr>
          <w:rFonts w:hint="eastAsia" w:asciiTheme="minorEastAsia" w:hAnsiTheme="minorEastAsia" w:eastAsiaTheme="minorEastAsia" w:cstheme="minorEastAsia"/>
          <w:color w:val="auto"/>
          <w:sz w:val="28"/>
          <w:szCs w:val="28"/>
          <w:lang w:eastAsia="zh-CN"/>
        </w:rPr>
        <w:t>供应商认为</w:t>
      </w:r>
      <w:r>
        <w:rPr>
          <w:rFonts w:hint="eastAsia" w:asciiTheme="minorEastAsia" w:hAnsiTheme="minorEastAsia" w:eastAsiaTheme="minorEastAsia" w:cstheme="minorEastAsia"/>
          <w:color w:val="auto"/>
          <w:sz w:val="28"/>
          <w:szCs w:val="28"/>
        </w:rPr>
        <w:t>可提交的其他资料</w:t>
      </w:r>
    </w:p>
    <w:p w14:paraId="6D61A0C3">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17、投标文件的签署</w:t>
      </w:r>
    </w:p>
    <w:p w14:paraId="353CBC6E">
      <w:pPr>
        <w:widowControl/>
        <w:spacing w:line="360" w:lineRule="auto"/>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17.1投标文件投标函应加盖投标供应商单位公章并经法定代表人盖章。</w:t>
      </w:r>
    </w:p>
    <w:p w14:paraId="435A4BF3">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18、投标文件格式</w:t>
      </w:r>
    </w:p>
    <w:p w14:paraId="09ADDC17">
      <w:pPr>
        <w:widowControl/>
        <w:spacing w:line="360" w:lineRule="auto"/>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投标文件应包括本须知第16条中规定的全部内容，投标供应商提交的投标文件应当使用招标文件所提供的投标文件全部格式（表格可以按同样格式扩展）。</w:t>
      </w:r>
    </w:p>
    <w:p w14:paraId="40D3EF05">
      <w:pPr>
        <w:widowControl/>
        <w:spacing w:line="360" w:lineRule="auto"/>
        <w:ind w:firstLine="37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四、投标文件的递交</w:t>
      </w:r>
    </w:p>
    <w:p w14:paraId="4E6FE52B">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19、投标文件的递交</w:t>
      </w:r>
    </w:p>
    <w:p w14:paraId="54F8FB41">
      <w:pPr>
        <w:widowControl/>
        <w:spacing w:line="360" w:lineRule="auto"/>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19.1 在规定时间内，上传投标文件至三门峡市公共资源交易中心平台。</w:t>
      </w:r>
    </w:p>
    <w:p w14:paraId="3E8B9EDA">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 xml:space="preserve">20、投标截止时间 </w:t>
      </w:r>
    </w:p>
    <w:p w14:paraId="52DF1EC0">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20.1.1</w:t>
      </w:r>
      <w:r>
        <w:rPr>
          <w:rFonts w:hint="eastAsia" w:asciiTheme="minorEastAsia" w:hAnsiTheme="minorEastAsia" w:eastAsiaTheme="minorEastAsia" w:cstheme="minorEastAsia"/>
          <w:color w:val="auto"/>
          <w:kern w:val="0"/>
          <w:sz w:val="28"/>
          <w:szCs w:val="28"/>
        </w:rPr>
        <w:t>投标文件的截止时间见本须知前附表规定。</w:t>
      </w:r>
    </w:p>
    <w:p w14:paraId="43B693F2">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20.1.2</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可按本须知第2.2条规定以修改补充通知的方式，酌情延长递交投标文件的截止时间。在此情况下，投标供应商的所有权利和义务以及投标供应商受制约的截止时间，均以延长后新的投标截止时间为准。</w:t>
      </w:r>
    </w:p>
    <w:p w14:paraId="7C12F2C9">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20.1.3</w:t>
      </w:r>
      <w:r>
        <w:rPr>
          <w:rFonts w:hint="eastAsia" w:asciiTheme="minorEastAsia" w:hAnsiTheme="minorEastAsia" w:eastAsiaTheme="minorEastAsia" w:cstheme="minorEastAsia"/>
          <w:color w:val="auto"/>
          <w:kern w:val="0"/>
          <w:sz w:val="28"/>
          <w:szCs w:val="28"/>
        </w:rPr>
        <w:t>到投标截止时间止，</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收到的投标文件少于3家的，</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将依法重新组织招标。</w:t>
      </w:r>
    </w:p>
    <w:p w14:paraId="33EF66C1">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20.2</w:t>
      </w:r>
      <w:r>
        <w:rPr>
          <w:rFonts w:hint="eastAsia" w:asciiTheme="minorEastAsia" w:hAnsiTheme="minorEastAsia" w:eastAsiaTheme="minorEastAsia" w:cstheme="minorEastAsia"/>
          <w:color w:val="auto"/>
          <w:kern w:val="0"/>
          <w:sz w:val="28"/>
          <w:szCs w:val="28"/>
        </w:rPr>
        <w:t>迟交的投标文件</w:t>
      </w:r>
    </w:p>
    <w:p w14:paraId="65A5D22F">
      <w:pPr>
        <w:widowControl/>
        <w:spacing w:line="360" w:lineRule="auto"/>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逾期上传并签到的投标文件，</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不予受理。</w:t>
      </w:r>
    </w:p>
    <w:p w14:paraId="7A386C08">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20.3</w:t>
      </w:r>
      <w:r>
        <w:rPr>
          <w:rFonts w:hint="eastAsia" w:asciiTheme="minorEastAsia" w:hAnsiTheme="minorEastAsia" w:eastAsiaTheme="minorEastAsia" w:cstheme="minorEastAsia"/>
          <w:color w:val="auto"/>
          <w:kern w:val="0"/>
          <w:sz w:val="28"/>
          <w:szCs w:val="28"/>
        </w:rPr>
        <w:t>投标文件的补充、修改与撤回</w:t>
      </w:r>
    </w:p>
    <w:p w14:paraId="2F624C92">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20.3.1</w:t>
      </w:r>
      <w:r>
        <w:rPr>
          <w:rFonts w:hint="eastAsia" w:asciiTheme="minorEastAsia" w:hAnsiTheme="minorEastAsia" w:eastAsiaTheme="minorEastAsia" w:cstheme="minorEastAsia"/>
          <w:color w:val="auto"/>
          <w:kern w:val="0"/>
          <w:sz w:val="28"/>
          <w:szCs w:val="28"/>
        </w:rPr>
        <w:t>投标供应商在递交投标文件以后，在规定的投标截止时间之前，可以补充修改或撤回已递交的投标文件，并通知</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。补充、修改的内容为投标文件的组成部分。</w:t>
      </w:r>
    </w:p>
    <w:p w14:paraId="0BA58858">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20.3.2</w:t>
      </w:r>
      <w:r>
        <w:rPr>
          <w:rFonts w:hint="eastAsia" w:asciiTheme="minorEastAsia" w:hAnsiTheme="minorEastAsia" w:eastAsiaTheme="minorEastAsia" w:cstheme="minorEastAsia"/>
          <w:color w:val="auto"/>
          <w:kern w:val="0"/>
          <w:sz w:val="28"/>
          <w:szCs w:val="28"/>
        </w:rPr>
        <w:t>在投标截止时间之后，投标供应商不得补充、修改投标文件。</w:t>
      </w:r>
    </w:p>
    <w:p w14:paraId="30F4C455">
      <w:pPr>
        <w:widowControl/>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五、开标</w:t>
      </w:r>
    </w:p>
    <w:p w14:paraId="560F81EF">
      <w:pPr>
        <w:widowControl/>
        <w:spacing w:line="360" w:lineRule="auto"/>
        <w:ind w:firstLine="562"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21、开标</w:t>
      </w:r>
    </w:p>
    <w:p w14:paraId="7DFAFD78">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21.1</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按本须知前附表所规定的时间和地点公开开标，开标会议由采购代理机构主持，在有关部门监督下进行。</w:t>
      </w:r>
    </w:p>
    <w:p w14:paraId="1689520A">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21.2开标程序：</w:t>
      </w:r>
    </w:p>
    <w:p w14:paraId="1F5B57D6">
      <w:pPr>
        <w:widowControl/>
        <w:wordWrap w:val="0"/>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本项目采用电子化、无纸化进行招标，开标当日，投标供应商无需到开标现场参加开标会议，投标供应商应当在投标截止时间前，登陆不见面开标大厅选择登陆三门峡市公共资源电子招投标系统进行登陆（网址为</w:t>
      </w:r>
      <w:r>
        <w:rPr>
          <w:rFonts w:hint="eastAsia" w:asciiTheme="minorEastAsia" w:hAnsiTheme="minorEastAsia" w:eastAsiaTheme="minorEastAsia" w:cstheme="minorEastAsia"/>
          <w:bCs/>
          <w:color w:val="auto"/>
          <w:kern w:val="0"/>
          <w:sz w:val="28"/>
          <w:szCs w:val="28"/>
        </w:rPr>
        <w:t>http://120.194.249.36:10094/BidOpening/bidopeninghallaction/hall/login</w:t>
      </w:r>
      <w:r>
        <w:rPr>
          <w:rFonts w:hint="eastAsia" w:asciiTheme="minorEastAsia" w:hAnsiTheme="minorEastAsia" w:eastAsiaTheme="minorEastAsia" w:cstheme="minorEastAsia"/>
          <w:color w:val="auto"/>
          <w:kern w:val="0"/>
          <w:sz w:val="28"/>
          <w:szCs w:val="28"/>
        </w:rPr>
        <w:t>）,在线准时参加开标活动并进行投标文件解密等。</w:t>
      </w:r>
    </w:p>
    <w:p w14:paraId="1919DE85">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电子化投标文件采用一次加密方式。开标时，由投标供应商使用CA 证书，在规定时间内对其电子化投标文件进行解密。每位投标供应商的解密时间为开标时间起30分钟内，如在规定时间内未完成解密的，其投标文件不予开标、唱标。每位投标供应商的解密时间为开标时间起30分钟内完成。</w:t>
      </w:r>
    </w:p>
    <w:p w14:paraId="7D304822">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21.3电子化投标文件解密异常的处理</w:t>
      </w:r>
    </w:p>
    <w:p w14:paraId="614640B9">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如出现投标供应商的电子投标文件无法解密等异常情况，投标供应商应及时致电中介服务机构说明。投标文件异常，按以下步骤进行处理：</w:t>
      </w:r>
    </w:p>
    <w:p w14:paraId="3CBD6478">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（1）首先由技术人员进行问题排查。</w:t>
      </w:r>
    </w:p>
    <w:p w14:paraId="163B4743">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（2）经技术人员排查后，是投标供应商文件自身问题导致投标文件无法解密的，该投标文件将不予接收、解密和唱标。开标会议继续进行。</w:t>
      </w:r>
    </w:p>
    <w:p w14:paraId="5987370B">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698BA36">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21.4待所有投标供应商投标文件解密完成后，由中介服务机构操作，对所有已解密投标文件进行唱标。</w:t>
      </w:r>
    </w:p>
    <w:p w14:paraId="0555BBBD">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投标供应商应保证在开标期间电话、电脑、网络能够正常工作，投标供应商因停电、电脑病毒、网络堵塞等原因，未在规定的解密时间内对投标文件进行解密的，其投标文件不予接收、唱标。</w:t>
      </w:r>
    </w:p>
    <w:p w14:paraId="6CC8D039">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Cs/>
          <w:color w:val="auto"/>
          <w:kern w:val="0"/>
          <w:sz w:val="28"/>
          <w:szCs w:val="28"/>
        </w:rPr>
        <w:t>21.5 开标时投标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r>
        <w:rPr>
          <w:rFonts w:hint="eastAsia" w:asciiTheme="minorEastAsia" w:hAnsiTheme="minorEastAsia" w:eastAsiaTheme="minorEastAsia" w:cstheme="minorEastAsia"/>
          <w:color w:val="auto"/>
          <w:kern w:val="0"/>
          <w:sz w:val="28"/>
          <w:szCs w:val="28"/>
        </w:rPr>
        <w:t>。</w:t>
      </w:r>
    </w:p>
    <w:p w14:paraId="4E81EB58">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21.6投标文件的有效性</w:t>
      </w:r>
    </w:p>
    <w:p w14:paraId="1F7784D0">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21.6.1投标文件有下列情形之一的为无效投标文件，</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不予受理：</w:t>
      </w:r>
    </w:p>
    <w:p w14:paraId="7166564F">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 逾期上传的或者未上传指定平台的；</w:t>
      </w:r>
    </w:p>
    <w:p w14:paraId="48BD43D1">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 未按规定递交投标承诺函的。</w:t>
      </w:r>
    </w:p>
    <w:p w14:paraId="669BF6E9">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xml:space="preserve">21.6.2 </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将有效投标文件，送评标委员会进行评审、比较。</w:t>
      </w:r>
    </w:p>
    <w:p w14:paraId="266A2D9B">
      <w:pPr>
        <w:widowControl/>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六、评标与定标</w:t>
      </w:r>
    </w:p>
    <w:p w14:paraId="6661EF92">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22.评标委员会</w:t>
      </w:r>
    </w:p>
    <w:p w14:paraId="2C5A4572">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22.1</w:t>
      </w:r>
      <w:r>
        <w:rPr>
          <w:rFonts w:hint="eastAsia" w:asciiTheme="minorEastAsia" w:hAnsiTheme="minorEastAsia" w:eastAsiaTheme="minorEastAsia" w:cstheme="minorEastAsia"/>
          <w:color w:val="auto"/>
          <w:kern w:val="0"/>
          <w:sz w:val="28"/>
          <w:szCs w:val="28"/>
        </w:rPr>
        <w:t>评标由</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依法组建的评标委员会负责。评标委员会由</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熟悉相关业务的代表，以及有关方面的专家组成。评标委员会成员人数以及专家的确定方式见投标供应商须知前附表。</w:t>
      </w:r>
    </w:p>
    <w:p w14:paraId="0F842CA9">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22.2</w:t>
      </w:r>
      <w:r>
        <w:rPr>
          <w:rFonts w:hint="eastAsia" w:asciiTheme="minorEastAsia" w:hAnsiTheme="minorEastAsia" w:eastAsiaTheme="minorEastAsia" w:cstheme="minorEastAsia"/>
          <w:color w:val="auto"/>
          <w:kern w:val="0"/>
          <w:sz w:val="28"/>
          <w:szCs w:val="28"/>
        </w:rPr>
        <w:t>评标委员会成员有下列情形之一的，应当回避：</w:t>
      </w:r>
    </w:p>
    <w:p w14:paraId="2F25FBD8">
      <w:pPr>
        <w:widowControl/>
        <w:spacing w:line="360" w:lineRule="auto"/>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或投标供应商的主要负责人的近亲属；</w:t>
      </w:r>
    </w:p>
    <w:p w14:paraId="67B75F4D">
      <w:pPr>
        <w:widowControl/>
        <w:spacing w:line="360" w:lineRule="auto"/>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（2）项目主管部门或者行政监督部门的人员；</w:t>
      </w:r>
    </w:p>
    <w:p w14:paraId="496404D5">
      <w:pPr>
        <w:widowControl/>
        <w:spacing w:line="360" w:lineRule="auto"/>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（3）与投标供应商有经济利益关系，可能影响对投标公正评审的；</w:t>
      </w:r>
    </w:p>
    <w:p w14:paraId="1CA8EA8D">
      <w:pPr>
        <w:widowControl/>
        <w:spacing w:line="360" w:lineRule="auto"/>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（4）曾因在招标、评标以及其他与招标投标有关活动中从事违法行为而受过行政处罚或刑事处罚的。</w:t>
      </w:r>
    </w:p>
    <w:p w14:paraId="73BE7FBB">
      <w:pPr>
        <w:widowControl/>
        <w:spacing w:line="360" w:lineRule="auto"/>
        <w:ind w:firstLine="562"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23.评标过程的保密</w:t>
      </w:r>
    </w:p>
    <w:p w14:paraId="3BAAFF65">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23.1开标后，直至授予中标供应商合同为止，凡属于对投标文件的审查、澄清、评价和比较有关的资料，中标候选人的推荐情况，及其他任何与评标有关的情况均应严格保密。</w:t>
      </w:r>
    </w:p>
    <w:p w14:paraId="5AC41D86">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23.2在投标文件的评审和比较、中标候选人推荐以及授予合同的过程中，投标供应商向</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和评标委员会施加影响的任何行为，都将会导致其投标被拒绝。</w:t>
      </w:r>
    </w:p>
    <w:p w14:paraId="14002671">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23.3中标供应商确定后，</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不对未中标供应商就评标过程以及未能成交原因作出任何解释。未中标供应商不得向评标委员会组成人员或其他有关人员索问评标过程的情况和材料。</w:t>
      </w:r>
    </w:p>
    <w:p w14:paraId="3EECC38A">
      <w:pPr>
        <w:widowControl/>
        <w:spacing w:line="360" w:lineRule="auto"/>
        <w:ind w:firstLine="562"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24. 评标原则</w:t>
      </w:r>
      <w:r>
        <w:rPr>
          <w:rFonts w:hint="eastAsia" w:asciiTheme="minorEastAsia" w:hAnsiTheme="minorEastAsia" w:eastAsiaTheme="minorEastAsia" w:cstheme="minorEastAsia"/>
          <w:b/>
          <w:bCs/>
          <w:color w:val="auto"/>
          <w:kern w:val="0"/>
          <w:sz w:val="28"/>
          <w:szCs w:val="28"/>
        </w:rPr>
        <w:tab/>
      </w:r>
    </w:p>
    <w:p w14:paraId="4FAC56C8">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评标活动遵循公平、公正、科学和择优的原则。</w:t>
      </w:r>
    </w:p>
    <w:p w14:paraId="1A0423A8">
      <w:pPr>
        <w:widowControl/>
        <w:spacing w:line="360" w:lineRule="auto"/>
        <w:ind w:firstLine="562"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25、投标文件的澄清</w:t>
      </w:r>
    </w:p>
    <w:p w14:paraId="256EBFA1">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为有助于投标文件的审查、评价和比较，评标委员会可以通知投标供应商对投标文件含义不明确的内容作必要的澄清或说明，投标供应商应进行澄清或说明，但不得超出投标文件的范围或改变投标文件的实质性内容。根据本须知规定，凡属于评标委员会在评标中发现的计算错误并进行核实的修改不在此列。</w:t>
      </w:r>
    </w:p>
    <w:p w14:paraId="3E9E92A2">
      <w:pPr>
        <w:widowControl/>
        <w:spacing w:line="360" w:lineRule="auto"/>
        <w:ind w:firstLine="562"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26、投标文件的初步评审</w:t>
      </w:r>
    </w:p>
    <w:p w14:paraId="6726C091">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26.1评标委员会应当对符合资格的投标供应商的投标文件进行符合性审查，以确定其是否满足招标文件的实质性要求。</w:t>
      </w:r>
    </w:p>
    <w:p w14:paraId="4A59218D">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26.2投标价超出</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预算的投标将会被拒绝。</w:t>
      </w:r>
    </w:p>
    <w:p w14:paraId="595A4A07">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26.3实质上没有响应招标文件要求的投标将被拒绝，投标供应商不得通过修正或撤消不符之处而使其投标成为实质上响应投标。</w:t>
      </w:r>
    </w:p>
    <w:p w14:paraId="259FC90A">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26.4评标中有下列情形之一的，其投标将会被拒绝：</w:t>
      </w:r>
    </w:p>
    <w:p w14:paraId="1E3948D0">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 投标供应商未按照招标文件的规定提交投标承诺函的；</w:t>
      </w:r>
    </w:p>
    <w:p w14:paraId="7B12E103">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 投标文件未按招标文件要求签署、盖章的；</w:t>
      </w:r>
    </w:p>
    <w:p w14:paraId="1EEEE2C1">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 不具备招标文件中规定的资质要求的；</w:t>
      </w:r>
    </w:p>
    <w:p w14:paraId="63F8091D">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(4) 报价超过招标文件中规定的预算金额或者最高限价的；</w:t>
      </w:r>
    </w:p>
    <w:p w14:paraId="2FA5C788">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(5)投标文件含有</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不能接受的附加条件的；</w:t>
      </w:r>
    </w:p>
    <w:p w14:paraId="1571C262">
      <w:pPr>
        <w:widowControl/>
        <w:spacing w:line="360" w:lineRule="auto"/>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(6)法律、法规和招标文件规定的其他无效情形。</w:t>
      </w:r>
    </w:p>
    <w:p w14:paraId="60FF2B4A">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27、投标文件计算错误的修正</w:t>
      </w:r>
    </w:p>
    <w:p w14:paraId="64EDC876">
      <w:pPr>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27.1</w:t>
      </w:r>
      <w:r>
        <w:rPr>
          <w:rFonts w:hint="eastAsia" w:asciiTheme="minorEastAsia" w:hAnsiTheme="minorEastAsia" w:eastAsiaTheme="minorEastAsia" w:cstheme="minorEastAsia"/>
          <w:color w:val="auto"/>
          <w:kern w:val="0"/>
          <w:sz w:val="28"/>
          <w:szCs w:val="28"/>
        </w:rPr>
        <w:t>对于投标文件中含义不明确、同类问题表述不一致或者有明显文字和计算错误的内容，评标委员会应当以书面形式要求投标供应商作出必要的澄清、说明或者补正。投标文件报价出现前后不一致的按以下方法修正：</w:t>
      </w:r>
    </w:p>
    <w:p w14:paraId="420A29B0">
      <w:pPr>
        <w:widowControl/>
        <w:spacing w:line="360" w:lineRule="auto"/>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27.1.1</w:t>
      </w:r>
      <w:r>
        <w:rPr>
          <w:rFonts w:hint="eastAsia" w:asciiTheme="minorEastAsia" w:hAnsiTheme="minorEastAsia" w:eastAsiaTheme="minorEastAsia" w:cstheme="minorEastAsia"/>
          <w:color w:val="auto"/>
          <w:sz w:val="28"/>
          <w:szCs w:val="28"/>
        </w:rPr>
        <w:t>投标文件中投标函附表（报价表）内容与投标文件中相应内容不一致的，以投标函附表（报价表）为准；</w:t>
      </w:r>
    </w:p>
    <w:p w14:paraId="692B6116">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sz w:val="28"/>
          <w:szCs w:val="28"/>
        </w:rPr>
        <w:t>27.1.2</w:t>
      </w:r>
      <w:r>
        <w:rPr>
          <w:rFonts w:hint="eastAsia" w:asciiTheme="minorEastAsia" w:hAnsiTheme="minorEastAsia" w:eastAsiaTheme="minorEastAsia" w:cstheme="minorEastAsia"/>
          <w:color w:val="auto"/>
          <w:kern w:val="0"/>
          <w:sz w:val="28"/>
          <w:szCs w:val="28"/>
        </w:rPr>
        <w:t>大写金额和小写金额不一致的，以大写金额为准；</w:t>
      </w:r>
    </w:p>
    <w:p w14:paraId="011DC1E9">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27.1.3单价金额小数点或者百分比有明显错位的，以开标一览表的总价为准，并修改单价；</w:t>
      </w:r>
    </w:p>
    <w:p w14:paraId="6CFF730D">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27.1.4总价金额与按单价汇总金额不一致的，以单价金额计算结果为准。</w:t>
      </w:r>
    </w:p>
    <w:p w14:paraId="2D393F61">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同时出现两种以上不一致的，按照顺序修正。投标供应商不确认的，其投标无效。</w:t>
      </w:r>
    </w:p>
    <w:p w14:paraId="0E1D885D">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28. 投标文件的评审、比较和否决</w:t>
      </w:r>
    </w:p>
    <w:p w14:paraId="1FB8E608">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28.1</w:t>
      </w:r>
      <w:r>
        <w:rPr>
          <w:rFonts w:hint="eastAsia" w:asciiTheme="minorEastAsia" w:hAnsiTheme="minorEastAsia" w:eastAsiaTheme="minorEastAsia" w:cstheme="minorEastAsia"/>
          <w:color w:val="auto"/>
          <w:kern w:val="0"/>
          <w:sz w:val="28"/>
          <w:szCs w:val="28"/>
        </w:rPr>
        <w:t>评标委员会将按照招标文件的规定，仅对在实质上响应招标文件要求的投标文件进行评估和比较。</w:t>
      </w:r>
    </w:p>
    <w:p w14:paraId="35A82D84">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28.2</w:t>
      </w:r>
      <w:r>
        <w:rPr>
          <w:rFonts w:hint="eastAsia" w:asciiTheme="minorEastAsia" w:hAnsiTheme="minorEastAsia" w:eastAsiaTheme="minorEastAsia" w:cstheme="minorEastAsia"/>
          <w:color w:val="auto"/>
          <w:kern w:val="0"/>
          <w:sz w:val="28"/>
          <w:szCs w:val="28"/>
        </w:rPr>
        <w:t>根据相关法律法规，结合本项目具体情况，制定本次招标评标办法。并按照“公平、公正、科学、择优”的原则进行评标。</w:t>
      </w:r>
    </w:p>
    <w:p w14:paraId="3C66B632">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28.3</w:t>
      </w:r>
      <w:r>
        <w:rPr>
          <w:rFonts w:hint="eastAsia" w:asciiTheme="minorEastAsia" w:hAnsiTheme="minorEastAsia" w:eastAsiaTheme="minorEastAsia" w:cstheme="minorEastAsia"/>
          <w:color w:val="auto"/>
          <w:kern w:val="0"/>
          <w:sz w:val="28"/>
          <w:szCs w:val="28"/>
        </w:rPr>
        <w:t>在评审过程中，评标委员会可以要求投标供应商就投标文件中含义不明确的内容进行说明并提供相关材料。</w:t>
      </w:r>
    </w:p>
    <w:p w14:paraId="7DE782D0">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28.4</w:t>
      </w:r>
      <w:r>
        <w:rPr>
          <w:rFonts w:hint="eastAsia" w:asciiTheme="minorEastAsia" w:hAnsiTheme="minorEastAsia" w:eastAsiaTheme="minorEastAsia" w:cstheme="minorEastAsia"/>
          <w:color w:val="auto"/>
          <w:kern w:val="0"/>
          <w:sz w:val="28"/>
          <w:szCs w:val="28"/>
        </w:rPr>
        <w:t>评标时，投标报价是评标的重要依据，但不是唯一依据，</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不承诺将合同授予报价最低或最高的投标供应商。</w:t>
      </w:r>
    </w:p>
    <w:p w14:paraId="3DA7561A">
      <w:pPr>
        <w:widowControl/>
        <w:spacing w:line="360" w:lineRule="auto"/>
        <w:ind w:firstLine="562"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28.5</w:t>
      </w:r>
      <w:r>
        <w:rPr>
          <w:rFonts w:hint="eastAsia" w:asciiTheme="minorEastAsia" w:hAnsiTheme="minorEastAsia" w:eastAsiaTheme="minorEastAsia" w:cstheme="minorEastAsia"/>
          <w:color w:val="auto"/>
          <w:kern w:val="0"/>
          <w:sz w:val="28"/>
          <w:szCs w:val="28"/>
        </w:rPr>
        <w:t>评标委员会依据本须知规定的评标标准和方法，对投标文件进行评审和比较，向</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提出书面评标报告，并推荐合格的中标候选人。</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根据评标委员会提出的书面评标报告和推荐的中标候选人按序确定中标供应商。</w:t>
      </w:r>
    </w:p>
    <w:p w14:paraId="41EC8A75">
      <w:pPr>
        <w:widowControl/>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七、授予合同</w:t>
      </w:r>
    </w:p>
    <w:p w14:paraId="769FECFA">
      <w:pPr>
        <w:widowControl/>
        <w:spacing w:line="360" w:lineRule="auto"/>
        <w:ind w:firstLine="562"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29、合同授予标准</w:t>
      </w:r>
    </w:p>
    <w:p w14:paraId="3D387BBE">
      <w:pPr>
        <w:widowControl/>
        <w:spacing w:line="360" w:lineRule="auto"/>
        <w:ind w:firstLine="562"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29.1</w:t>
      </w:r>
      <w:r>
        <w:rPr>
          <w:rFonts w:hint="eastAsia" w:asciiTheme="minorEastAsia" w:hAnsiTheme="minorEastAsia" w:eastAsiaTheme="minorEastAsia" w:cstheme="minorEastAsia"/>
          <w:color w:val="auto"/>
          <w:kern w:val="0"/>
          <w:sz w:val="28"/>
          <w:szCs w:val="28"/>
        </w:rPr>
        <w:t>本招标项目的合同将授予按本评标办法确定的中标供应商。</w:t>
      </w:r>
    </w:p>
    <w:p w14:paraId="215211E2">
      <w:pPr>
        <w:widowControl/>
        <w:spacing w:line="360" w:lineRule="auto"/>
        <w:ind w:firstLine="562" w:firstLineChars="200"/>
        <w:jc w:val="left"/>
        <w:rPr>
          <w:rFonts w:hint="eastAsia"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b/>
          <w:bCs/>
          <w:color w:val="auto"/>
          <w:kern w:val="0"/>
          <w:sz w:val="28"/>
          <w:szCs w:val="28"/>
        </w:rPr>
        <w:t>29.2</w:t>
      </w:r>
      <w:r>
        <w:rPr>
          <w:rFonts w:hint="eastAsia" w:asciiTheme="minorEastAsia" w:hAnsiTheme="minorEastAsia" w:eastAsiaTheme="minorEastAsia" w:cstheme="minorEastAsia"/>
          <w:bCs/>
          <w:color w:val="auto"/>
          <w:kern w:val="0"/>
          <w:sz w:val="28"/>
          <w:szCs w:val="28"/>
        </w:rPr>
        <w:t>评标结束</w:t>
      </w:r>
      <w:r>
        <w:rPr>
          <w:rFonts w:hint="eastAsia" w:asciiTheme="minorEastAsia" w:hAnsiTheme="minorEastAsia" w:eastAsiaTheme="minorEastAsia" w:cstheme="minorEastAsia"/>
          <w:bCs/>
          <w:color w:val="auto"/>
          <w:kern w:val="0"/>
          <w:sz w:val="28"/>
          <w:szCs w:val="28"/>
          <w:lang w:val="en-US" w:eastAsia="zh-CN"/>
        </w:rPr>
        <w:t>当</w:t>
      </w:r>
      <w:r>
        <w:rPr>
          <w:rFonts w:hint="eastAsia" w:asciiTheme="minorEastAsia" w:hAnsiTheme="minorEastAsia" w:eastAsiaTheme="minorEastAsia" w:cstheme="minorEastAsia"/>
          <w:bCs/>
          <w:color w:val="auto"/>
          <w:kern w:val="0"/>
          <w:sz w:val="28"/>
          <w:szCs w:val="28"/>
        </w:rPr>
        <w:t>日内完成评标报告报送、中标供应商确定、中标公告发布、中标通知书发出。中标通知书发出之日起</w:t>
      </w:r>
      <w:r>
        <w:rPr>
          <w:rFonts w:hint="eastAsia" w:asciiTheme="minorEastAsia" w:hAnsiTheme="minorEastAsia" w:eastAsiaTheme="minorEastAsia" w:cstheme="minorEastAsia"/>
          <w:bCs/>
          <w:color w:val="auto"/>
          <w:kern w:val="0"/>
          <w:sz w:val="28"/>
          <w:szCs w:val="28"/>
          <w:lang w:val="en-US" w:eastAsia="zh-CN"/>
        </w:rPr>
        <w:t>1</w:t>
      </w:r>
      <w:r>
        <w:rPr>
          <w:rFonts w:hint="eastAsia" w:asciiTheme="minorEastAsia" w:hAnsiTheme="minorEastAsia" w:eastAsiaTheme="minorEastAsia" w:cstheme="minorEastAsia"/>
          <w:bCs/>
          <w:color w:val="auto"/>
          <w:kern w:val="0"/>
          <w:sz w:val="28"/>
          <w:szCs w:val="28"/>
        </w:rPr>
        <w:t>个工作日内签订合同。</w:t>
      </w:r>
    </w:p>
    <w:p w14:paraId="19B3E50E">
      <w:pPr>
        <w:widowControl/>
        <w:spacing w:line="360" w:lineRule="auto"/>
        <w:ind w:firstLine="562"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29.3</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确定排名第一的中标候选人为中标供应商。当确定中标的中标候选人放弃中标、或因不可抗力提出不能履行合同的，</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可以按相关规定执行。</w:t>
      </w:r>
    </w:p>
    <w:p w14:paraId="4E7567B7">
      <w:pPr>
        <w:widowControl/>
        <w:spacing w:line="360" w:lineRule="auto"/>
        <w:ind w:firstLine="562"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30、</w:t>
      </w:r>
      <w:r>
        <w:rPr>
          <w:rFonts w:hint="eastAsia" w:asciiTheme="minorEastAsia" w:hAnsiTheme="minorEastAsia" w:eastAsiaTheme="minorEastAsia" w:cstheme="minorEastAsia"/>
          <w:b/>
          <w:bCs/>
          <w:color w:val="auto"/>
          <w:kern w:val="0"/>
          <w:sz w:val="28"/>
          <w:szCs w:val="28"/>
          <w:lang w:eastAsia="zh-CN"/>
        </w:rPr>
        <w:t>采购人</w:t>
      </w:r>
      <w:r>
        <w:rPr>
          <w:rFonts w:hint="eastAsia" w:asciiTheme="minorEastAsia" w:hAnsiTheme="minorEastAsia" w:eastAsiaTheme="minorEastAsia" w:cstheme="minorEastAsia"/>
          <w:b/>
          <w:bCs/>
          <w:color w:val="auto"/>
          <w:kern w:val="0"/>
          <w:sz w:val="28"/>
          <w:szCs w:val="28"/>
        </w:rPr>
        <w:t>拒绝投标的权力</w:t>
      </w:r>
    </w:p>
    <w:p w14:paraId="50F6E4D6">
      <w:pPr>
        <w:widowControl/>
        <w:spacing w:line="360" w:lineRule="auto"/>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不承诺将合同授予报价最低的或最高的成交（成交）候选人。</w:t>
      </w:r>
    </w:p>
    <w:p w14:paraId="6C9FB690">
      <w:pPr>
        <w:widowControl/>
        <w:spacing w:line="360" w:lineRule="auto"/>
        <w:ind w:firstLine="562"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31、中标通知</w:t>
      </w:r>
    </w:p>
    <w:p w14:paraId="5B0E4388">
      <w:pPr>
        <w:widowControl/>
        <w:spacing w:line="360" w:lineRule="auto"/>
        <w:ind w:firstLine="562"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31.1</w:t>
      </w:r>
      <w:r>
        <w:rPr>
          <w:rFonts w:hint="eastAsia" w:asciiTheme="minorEastAsia" w:hAnsiTheme="minorEastAsia" w:eastAsiaTheme="minorEastAsia" w:cstheme="minorEastAsia"/>
          <w:color w:val="auto"/>
          <w:kern w:val="0"/>
          <w:sz w:val="28"/>
          <w:szCs w:val="28"/>
        </w:rPr>
        <w:t>中标供应商确定后，在发布本项目招标公告的媒介上发布中标公告。</w:t>
      </w:r>
    </w:p>
    <w:p w14:paraId="62B54858">
      <w:pPr>
        <w:widowControl/>
        <w:spacing w:line="360" w:lineRule="auto"/>
        <w:ind w:firstLine="562"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31.2</w:t>
      </w:r>
      <w:r>
        <w:rPr>
          <w:rFonts w:hint="eastAsia" w:asciiTheme="minorEastAsia" w:hAnsiTheme="minorEastAsia" w:eastAsiaTheme="minorEastAsia" w:cstheme="minorEastAsia"/>
          <w:color w:val="auto"/>
          <w:kern w:val="0"/>
          <w:sz w:val="28"/>
          <w:szCs w:val="28"/>
        </w:rPr>
        <w:t>中标通知书是合同的组成部分。</w:t>
      </w:r>
    </w:p>
    <w:p w14:paraId="685A62D1">
      <w:pPr>
        <w:widowControl/>
        <w:spacing w:line="360" w:lineRule="auto"/>
        <w:ind w:firstLine="562"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31.3</w:t>
      </w:r>
      <w:r>
        <w:rPr>
          <w:rFonts w:hint="eastAsia" w:asciiTheme="minorEastAsia" w:hAnsiTheme="minorEastAsia" w:eastAsiaTheme="minorEastAsia" w:cstheme="minorEastAsia"/>
          <w:color w:val="auto"/>
          <w:kern w:val="0"/>
          <w:sz w:val="28"/>
          <w:szCs w:val="28"/>
        </w:rPr>
        <w:t>对未中标的投标供应商，不做任何未中标原因的解释。所有投标文件不予退还。</w:t>
      </w:r>
    </w:p>
    <w:p w14:paraId="6CE0DF37">
      <w:pPr>
        <w:widowControl/>
        <w:spacing w:line="360" w:lineRule="auto"/>
        <w:ind w:firstLine="562"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32.合同协议书的签署</w:t>
      </w:r>
    </w:p>
    <w:p w14:paraId="2B30AEF4">
      <w:pPr>
        <w:widowControl/>
        <w:spacing w:line="360" w:lineRule="auto"/>
        <w:ind w:firstLine="562"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32.1</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与中标供应商将于中标通知书发出之日起</w:t>
      </w:r>
      <w:r>
        <w:rPr>
          <w:rFonts w:hint="eastAsia" w:asciiTheme="minorEastAsia" w:hAnsiTheme="minorEastAsia" w:eastAsiaTheme="minorEastAsia" w:cstheme="minorEastAsia"/>
          <w:color w:val="auto"/>
          <w:kern w:val="0"/>
          <w:sz w:val="28"/>
          <w:szCs w:val="28"/>
          <w:lang w:val="en-US" w:eastAsia="zh-CN"/>
        </w:rPr>
        <w:t>1</w:t>
      </w:r>
      <w:r>
        <w:rPr>
          <w:rFonts w:hint="eastAsia" w:asciiTheme="minorEastAsia" w:hAnsiTheme="minorEastAsia" w:eastAsiaTheme="minorEastAsia" w:cstheme="minorEastAsia"/>
          <w:color w:val="auto"/>
          <w:kern w:val="0"/>
          <w:sz w:val="28"/>
          <w:szCs w:val="28"/>
        </w:rPr>
        <w:t>个工作日内签订合同，按照招标文件及成交供应商的电子化</w:t>
      </w:r>
      <w:r>
        <w:rPr>
          <w:rFonts w:hint="eastAsia" w:asciiTheme="minorEastAsia" w:hAnsiTheme="minorEastAsia" w:eastAsiaTheme="minorEastAsia" w:cstheme="minorEastAsia"/>
          <w:color w:val="auto"/>
          <w:kern w:val="0"/>
          <w:sz w:val="28"/>
          <w:szCs w:val="28"/>
          <w:lang w:eastAsia="zh-CN"/>
        </w:rPr>
        <w:t>投标</w:t>
      </w:r>
      <w:r>
        <w:rPr>
          <w:rFonts w:hint="eastAsia" w:asciiTheme="minorEastAsia" w:hAnsiTheme="minorEastAsia" w:eastAsiaTheme="minorEastAsia" w:cstheme="minorEastAsia"/>
          <w:color w:val="auto"/>
          <w:kern w:val="0"/>
          <w:sz w:val="28"/>
          <w:szCs w:val="28"/>
        </w:rPr>
        <w:t>文件订立书面采购合同，</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和成交供应商不得再行订立背离合同实质性内容的其他协议。</w:t>
      </w:r>
    </w:p>
    <w:p w14:paraId="096B3657">
      <w:pPr>
        <w:widowControl/>
        <w:spacing w:line="360" w:lineRule="auto"/>
        <w:ind w:firstLine="562"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32.2</w:t>
      </w:r>
      <w:r>
        <w:rPr>
          <w:rFonts w:hint="eastAsia" w:asciiTheme="minorEastAsia" w:hAnsiTheme="minorEastAsia" w:eastAsiaTheme="minorEastAsia" w:cstheme="minorEastAsia"/>
          <w:color w:val="auto"/>
          <w:kern w:val="0"/>
          <w:sz w:val="28"/>
          <w:szCs w:val="28"/>
        </w:rPr>
        <w:t>中标供应商如不按本投标须知的规定与</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订立合同，则</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将废除授标，给</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造成损失的，向</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缴纳不高于成交价2%的经济补偿，同时依法承担相应法律责任。</w:t>
      </w:r>
    </w:p>
    <w:p w14:paraId="3FEC32AB">
      <w:pPr>
        <w:widowControl/>
        <w:spacing w:line="360" w:lineRule="auto"/>
        <w:ind w:firstLine="562"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33. 履约保证金</w:t>
      </w:r>
    </w:p>
    <w:p w14:paraId="78482C90">
      <w:pPr>
        <w:spacing w:line="600" w:lineRule="exact"/>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lang w:val="en-US" w:eastAsia="zh-CN"/>
        </w:rPr>
        <w:t xml:space="preserve"> </w:t>
      </w:r>
      <w:r>
        <w:rPr>
          <w:rFonts w:hint="eastAsia" w:asciiTheme="minorEastAsia" w:hAnsiTheme="minorEastAsia" w:eastAsiaTheme="minorEastAsia" w:cstheme="minorEastAsia"/>
          <w:color w:val="auto"/>
          <w:sz w:val="28"/>
          <w:szCs w:val="28"/>
          <w:lang w:eastAsia="zh-CN"/>
        </w:rPr>
        <w:t>无</w:t>
      </w:r>
    </w:p>
    <w:p w14:paraId="4213BD01">
      <w:pPr>
        <w:widowControl/>
        <w:jc w:val="center"/>
        <w:rPr>
          <w:rFonts w:hint="eastAsia"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b/>
          <w:bCs/>
          <w:color w:val="auto"/>
          <w:kern w:val="0"/>
          <w:sz w:val="28"/>
          <w:szCs w:val="28"/>
        </w:rPr>
        <w:t>八、其他</w:t>
      </w:r>
    </w:p>
    <w:p w14:paraId="27E057E4">
      <w:pPr>
        <w:widowControl/>
        <w:spacing w:line="360" w:lineRule="auto"/>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3</w:t>
      </w:r>
      <w:r>
        <w:rPr>
          <w:rFonts w:hint="eastAsia" w:asciiTheme="minorEastAsia" w:hAnsiTheme="minorEastAsia" w:eastAsiaTheme="minorEastAsia" w:cstheme="minorEastAsia"/>
          <w:b/>
          <w:bCs/>
          <w:color w:val="auto"/>
          <w:kern w:val="0"/>
          <w:sz w:val="28"/>
          <w:szCs w:val="28"/>
          <w:lang w:val="en-US" w:eastAsia="zh-CN"/>
        </w:rPr>
        <w:t>4</w:t>
      </w:r>
      <w:r>
        <w:rPr>
          <w:rFonts w:hint="eastAsia" w:asciiTheme="minorEastAsia" w:hAnsiTheme="minorEastAsia" w:eastAsiaTheme="minorEastAsia" w:cstheme="minorEastAsia"/>
          <w:b/>
          <w:bCs/>
          <w:color w:val="auto"/>
          <w:kern w:val="0"/>
          <w:sz w:val="28"/>
          <w:szCs w:val="28"/>
        </w:rPr>
        <w:t xml:space="preserve">. </w:t>
      </w:r>
      <w:r>
        <w:rPr>
          <w:rFonts w:hint="eastAsia" w:asciiTheme="minorEastAsia" w:hAnsiTheme="minorEastAsia" w:eastAsiaTheme="minorEastAsia" w:cstheme="minorEastAsia"/>
          <w:color w:val="auto"/>
          <w:kern w:val="0"/>
          <w:sz w:val="28"/>
          <w:szCs w:val="28"/>
        </w:rPr>
        <w:t>未尽事宜按国家有关规定执行。</w:t>
      </w:r>
    </w:p>
    <w:p w14:paraId="7DC2AC4C">
      <w:pPr>
        <w:widowControl/>
        <w:spacing w:line="360" w:lineRule="auto"/>
        <w:ind w:firstLine="562" w:firstLineChars="200"/>
        <w:rPr>
          <w:rFonts w:hint="eastAsia" w:asciiTheme="minorEastAsia" w:hAnsiTheme="minorEastAsia" w:eastAsiaTheme="minorEastAsia" w:cstheme="minorEastAsia"/>
          <w:b/>
          <w:bCs/>
          <w:color w:val="auto"/>
          <w:kern w:val="0"/>
          <w:sz w:val="28"/>
          <w:szCs w:val="28"/>
          <w:lang w:val="en-US" w:eastAsia="zh-CN"/>
        </w:rPr>
        <w:sectPr>
          <w:footerReference r:id="rId5" w:type="default"/>
          <w:footnotePr>
            <w:pos w:val="beneathText"/>
          </w:footnotePr>
          <w:pgSz w:w="11906" w:h="16838"/>
          <w:pgMar w:top="1440" w:right="1706" w:bottom="1440" w:left="1800" w:header="720" w:footer="992" w:gutter="0"/>
          <w:pgNumType w:fmt="decimal"/>
          <w:cols w:space="720" w:num="1"/>
          <w:docGrid w:type="lines" w:linePitch="312" w:charSpace="0"/>
        </w:sectPr>
      </w:pPr>
      <w:r>
        <w:rPr>
          <w:rFonts w:hint="eastAsia" w:asciiTheme="minorEastAsia" w:hAnsiTheme="minorEastAsia" w:eastAsiaTheme="minorEastAsia" w:cstheme="minorEastAsia"/>
          <w:b/>
          <w:bCs/>
          <w:color w:val="auto"/>
          <w:kern w:val="0"/>
          <w:sz w:val="28"/>
          <w:szCs w:val="28"/>
          <w:lang w:val="en-US" w:eastAsia="zh-CN"/>
        </w:rPr>
        <w:t>35</w:t>
      </w:r>
      <w:r>
        <w:rPr>
          <w:rFonts w:hint="eastAsia" w:asciiTheme="minorEastAsia" w:hAnsiTheme="minorEastAsia" w:eastAsiaTheme="minorEastAsia" w:cstheme="minorEastAsia"/>
          <w:b/>
          <w:bCs/>
          <w:color w:val="auto"/>
          <w:kern w:val="0"/>
          <w:sz w:val="28"/>
          <w:szCs w:val="28"/>
        </w:rPr>
        <w:t xml:space="preserve">. </w:t>
      </w:r>
      <w:r>
        <w:rPr>
          <w:rFonts w:hint="eastAsia" w:asciiTheme="minorEastAsia" w:hAnsiTheme="minorEastAsia" w:eastAsiaTheme="minorEastAsia" w:cstheme="minorEastAsia"/>
          <w:color w:val="auto"/>
          <w:kern w:val="0"/>
          <w:sz w:val="28"/>
          <w:szCs w:val="28"/>
        </w:rPr>
        <w:t>本招标文件最终解释权归</w:t>
      </w:r>
      <w:r>
        <w:rPr>
          <w:rFonts w:hint="eastAsia" w:asciiTheme="minorEastAsia" w:hAnsiTheme="minorEastAsia" w:eastAsiaTheme="minorEastAsia" w:cstheme="minorEastAsia"/>
          <w:color w:val="auto"/>
          <w:kern w:val="0"/>
          <w:sz w:val="28"/>
          <w:szCs w:val="28"/>
          <w:lang w:eastAsia="zh-CN"/>
        </w:rPr>
        <w:t>采购人</w:t>
      </w:r>
      <w:r>
        <w:rPr>
          <w:rFonts w:hint="eastAsia" w:asciiTheme="minorEastAsia" w:hAnsiTheme="minorEastAsia" w:eastAsiaTheme="minorEastAsia" w:cstheme="minorEastAsia"/>
          <w:color w:val="auto"/>
          <w:kern w:val="0"/>
          <w:sz w:val="28"/>
          <w:szCs w:val="28"/>
        </w:rPr>
        <w:t>。</w:t>
      </w:r>
      <w:bookmarkStart w:id="4" w:name="_Toc11346"/>
    </w:p>
    <w:p w14:paraId="1A43F873">
      <w:pPr>
        <w:jc w:val="both"/>
        <w:outlineLvl w:val="0"/>
        <w:rPr>
          <w:rFonts w:hint="eastAsia" w:ascii="宋体" w:hAnsi="宋体" w:eastAsia="宋体"/>
          <w:b/>
          <w:bCs/>
          <w:color w:val="auto"/>
          <w:kern w:val="0"/>
          <w:sz w:val="44"/>
          <w:szCs w:val="44"/>
          <w:lang w:val="en-US" w:eastAsia="zh-CN"/>
        </w:rPr>
      </w:pPr>
    </w:p>
    <w:p w14:paraId="7011D4BF">
      <w:pPr>
        <w:jc w:val="center"/>
        <w:outlineLvl w:val="0"/>
        <w:rPr>
          <w:rFonts w:hint="eastAsia" w:ascii="宋体" w:hAnsi="宋体" w:eastAsia="宋体"/>
          <w:b/>
          <w:bCs/>
          <w:color w:val="auto"/>
          <w:kern w:val="0"/>
          <w:sz w:val="44"/>
          <w:szCs w:val="44"/>
          <w:lang w:val="en-US" w:eastAsia="zh-CN"/>
        </w:rPr>
      </w:pPr>
    </w:p>
    <w:p w14:paraId="38C57ECE">
      <w:pPr>
        <w:jc w:val="center"/>
        <w:outlineLvl w:val="0"/>
        <w:rPr>
          <w:rFonts w:hint="eastAsia" w:ascii="宋体" w:hAnsi="宋体" w:eastAsia="宋体"/>
          <w:b/>
          <w:bCs/>
          <w:color w:val="auto"/>
          <w:kern w:val="0"/>
          <w:sz w:val="44"/>
          <w:szCs w:val="44"/>
          <w:lang w:val="en-US" w:eastAsia="zh-CN"/>
        </w:rPr>
      </w:pPr>
    </w:p>
    <w:p w14:paraId="5538BE04">
      <w:pPr>
        <w:pStyle w:val="18"/>
        <w:rPr>
          <w:rFonts w:hint="eastAsia" w:ascii="宋体" w:hAnsi="宋体" w:eastAsia="宋体"/>
          <w:b/>
          <w:bCs/>
          <w:color w:val="auto"/>
          <w:kern w:val="0"/>
          <w:sz w:val="44"/>
          <w:szCs w:val="44"/>
          <w:lang w:val="en-US" w:eastAsia="zh-CN"/>
        </w:rPr>
      </w:pPr>
    </w:p>
    <w:p w14:paraId="34F1C174">
      <w:pPr>
        <w:pStyle w:val="17"/>
        <w:rPr>
          <w:rFonts w:hint="eastAsia" w:ascii="宋体" w:hAnsi="宋体" w:eastAsia="宋体"/>
          <w:b/>
          <w:bCs/>
          <w:color w:val="auto"/>
          <w:kern w:val="0"/>
          <w:sz w:val="44"/>
          <w:szCs w:val="44"/>
          <w:lang w:val="en-US" w:eastAsia="zh-CN"/>
        </w:rPr>
      </w:pPr>
    </w:p>
    <w:p w14:paraId="4B1CF4A5">
      <w:pPr>
        <w:pStyle w:val="18"/>
        <w:rPr>
          <w:rFonts w:hint="eastAsia" w:ascii="宋体" w:hAnsi="宋体" w:eastAsia="宋体"/>
          <w:b/>
          <w:bCs/>
          <w:color w:val="auto"/>
          <w:kern w:val="0"/>
          <w:sz w:val="44"/>
          <w:szCs w:val="44"/>
          <w:lang w:val="en-US" w:eastAsia="zh-CN"/>
        </w:rPr>
      </w:pPr>
    </w:p>
    <w:p w14:paraId="22306CDA">
      <w:pPr>
        <w:pStyle w:val="17"/>
        <w:rPr>
          <w:rFonts w:hint="eastAsia" w:ascii="宋体" w:hAnsi="宋体" w:eastAsia="宋体"/>
          <w:b/>
          <w:bCs/>
          <w:color w:val="auto"/>
          <w:kern w:val="0"/>
          <w:sz w:val="44"/>
          <w:szCs w:val="44"/>
          <w:lang w:val="en-US" w:eastAsia="zh-CN"/>
        </w:rPr>
      </w:pPr>
    </w:p>
    <w:p w14:paraId="7838140D">
      <w:pPr>
        <w:pStyle w:val="18"/>
        <w:rPr>
          <w:rFonts w:hint="eastAsia" w:ascii="宋体" w:hAnsi="宋体" w:eastAsia="宋体"/>
          <w:b/>
          <w:bCs/>
          <w:color w:val="auto"/>
          <w:kern w:val="0"/>
          <w:sz w:val="44"/>
          <w:szCs w:val="44"/>
          <w:lang w:val="en-US" w:eastAsia="zh-CN"/>
        </w:rPr>
      </w:pPr>
    </w:p>
    <w:p w14:paraId="3D59B986">
      <w:pPr>
        <w:pStyle w:val="17"/>
        <w:rPr>
          <w:rFonts w:hint="eastAsia" w:ascii="宋体" w:hAnsi="宋体" w:eastAsia="宋体"/>
          <w:b/>
          <w:bCs/>
          <w:color w:val="auto"/>
          <w:kern w:val="0"/>
          <w:sz w:val="44"/>
          <w:szCs w:val="44"/>
          <w:lang w:val="en-US" w:eastAsia="zh-CN"/>
        </w:rPr>
      </w:pPr>
    </w:p>
    <w:p w14:paraId="70C5D155">
      <w:pPr>
        <w:pStyle w:val="18"/>
        <w:rPr>
          <w:rFonts w:hint="eastAsia"/>
          <w:lang w:val="en-US" w:eastAsia="zh-CN"/>
        </w:rPr>
      </w:pPr>
    </w:p>
    <w:p w14:paraId="1904C27E">
      <w:pPr>
        <w:jc w:val="center"/>
        <w:outlineLvl w:val="0"/>
        <w:rPr>
          <w:rFonts w:hint="eastAsia" w:ascii="宋体" w:hAnsi="宋体" w:eastAsia="宋体" w:cs="宋体"/>
          <w:b/>
          <w:bCs/>
          <w:color w:val="auto"/>
          <w:kern w:val="0"/>
          <w:sz w:val="28"/>
          <w:szCs w:val="28"/>
          <w:lang w:val="en-US" w:eastAsia="zh-CN"/>
        </w:rPr>
      </w:pPr>
    </w:p>
    <w:p w14:paraId="749EF35E">
      <w:pPr>
        <w:jc w:val="center"/>
        <w:outlineLvl w:val="0"/>
        <w:rPr>
          <w:rFonts w:hint="eastAsia" w:ascii="宋体" w:hAnsi="宋体" w:eastAsia="宋体" w:cs="宋体"/>
          <w:b/>
          <w:bCs/>
          <w:color w:val="auto"/>
          <w:kern w:val="0"/>
          <w:sz w:val="28"/>
          <w:szCs w:val="28"/>
          <w:lang w:val="en-US" w:eastAsia="zh-CN"/>
        </w:rPr>
      </w:pPr>
    </w:p>
    <w:p w14:paraId="427D42C6">
      <w:pPr>
        <w:jc w:val="center"/>
        <w:outlineLvl w:val="0"/>
        <w:rPr>
          <w:rFonts w:hint="eastAsia" w:ascii="宋体" w:hAnsi="宋体" w:eastAsia="宋体" w:cs="宋体"/>
          <w:b/>
          <w:bCs/>
          <w:color w:val="auto"/>
          <w:kern w:val="0"/>
          <w:sz w:val="28"/>
          <w:szCs w:val="28"/>
          <w:lang w:val="en-US" w:eastAsia="zh-CN"/>
        </w:rPr>
      </w:pPr>
    </w:p>
    <w:p w14:paraId="10228381">
      <w:pPr>
        <w:jc w:val="center"/>
        <w:outlineLvl w:val="0"/>
        <w:rPr>
          <w:rFonts w:hint="eastAsia" w:ascii="宋体" w:hAnsi="宋体" w:eastAsia="宋体" w:cs="宋体"/>
          <w:b/>
          <w:bCs/>
          <w:color w:val="auto"/>
          <w:kern w:val="0"/>
          <w:sz w:val="28"/>
          <w:szCs w:val="28"/>
          <w:lang w:val="en-US" w:eastAsia="zh-CN"/>
        </w:rPr>
      </w:pPr>
    </w:p>
    <w:p w14:paraId="445B50CB">
      <w:pPr>
        <w:jc w:val="center"/>
        <w:outlineLvl w:val="0"/>
        <w:rPr>
          <w:rFonts w:hint="eastAsia" w:ascii="宋体" w:hAnsi="宋体" w:eastAsia="宋体" w:cs="宋体"/>
          <w:b/>
          <w:color w:val="auto"/>
          <w:sz w:val="28"/>
          <w:szCs w:val="28"/>
        </w:rPr>
      </w:pPr>
      <w:r>
        <w:rPr>
          <w:rFonts w:hint="eastAsia" w:ascii="宋体" w:hAnsi="宋体" w:eastAsia="宋体" w:cs="宋体"/>
          <w:b/>
          <w:bCs/>
          <w:color w:val="auto"/>
          <w:kern w:val="0"/>
          <w:sz w:val="28"/>
          <w:szCs w:val="28"/>
          <w:lang w:val="en-US" w:eastAsia="zh-CN"/>
        </w:rPr>
        <w:t xml:space="preserve">第三章  </w:t>
      </w:r>
      <w:r>
        <w:rPr>
          <w:rFonts w:hint="eastAsia" w:ascii="宋体" w:hAnsi="宋体" w:eastAsia="宋体" w:cs="宋体"/>
          <w:b/>
          <w:bCs/>
          <w:color w:val="auto"/>
          <w:kern w:val="0"/>
          <w:sz w:val="28"/>
          <w:szCs w:val="28"/>
          <w:lang w:eastAsia="zh-CN"/>
        </w:rPr>
        <w:t>服务内容及要求</w:t>
      </w:r>
    </w:p>
    <w:p w14:paraId="5619D1EB">
      <w:pPr>
        <w:keepNext w:val="0"/>
        <w:keepLines w:val="0"/>
        <w:pageBreakBefore w:val="0"/>
        <w:widowControl/>
        <w:kinsoku/>
        <w:wordWrap/>
        <w:overflowPunct/>
        <w:topLinePunct w:val="0"/>
        <w:autoSpaceDE/>
        <w:autoSpaceDN/>
        <w:bidi w:val="0"/>
        <w:spacing w:after="0" w:line="360" w:lineRule="auto"/>
        <w:ind w:left="0" w:lef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一、项目说明</w:t>
      </w:r>
    </w:p>
    <w:p w14:paraId="15F51302">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eastAsia="zh-CN"/>
        </w:rPr>
        <w:t>需</w:t>
      </w:r>
      <w:r>
        <w:rPr>
          <w:rFonts w:hint="eastAsia" w:ascii="宋体" w:hAnsi="宋体" w:eastAsia="宋体" w:cs="宋体"/>
          <w:sz w:val="24"/>
          <w:szCs w:val="24"/>
          <w:highlight w:val="none"/>
        </w:rPr>
        <w:t>对我县17个乡镇空气自动站进行运维，保障设备运行正常，数据正常传输</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运维期限为</w:t>
      </w:r>
      <w:r>
        <w:rPr>
          <w:rFonts w:hint="eastAsia" w:ascii="宋体" w:hAnsi="宋体" w:cs="宋体"/>
          <w:sz w:val="24"/>
          <w:szCs w:val="24"/>
          <w:highlight w:val="none"/>
          <w:lang w:eastAsia="zh-CN"/>
        </w:rPr>
        <w:t>一年</w:t>
      </w:r>
      <w:r>
        <w:rPr>
          <w:rFonts w:hint="eastAsia" w:ascii="宋体" w:hAnsi="宋体" w:eastAsia="宋体" w:cs="宋体"/>
          <w:sz w:val="24"/>
          <w:szCs w:val="24"/>
          <w:highlight w:val="none"/>
        </w:rPr>
        <w:t>。</w:t>
      </w:r>
    </w:p>
    <w:p w14:paraId="222BC84F">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运维服务</w:t>
      </w:r>
      <w:r>
        <w:rPr>
          <w:rFonts w:hint="eastAsia" w:ascii="宋体" w:hAnsi="宋体" w:eastAsia="宋体" w:cs="宋体"/>
          <w:sz w:val="24"/>
          <w:szCs w:val="24"/>
          <w:highlight w:val="none"/>
          <w:lang w:val="en-US" w:eastAsia="zh-CN"/>
        </w:rPr>
        <w:t>内容</w:t>
      </w:r>
      <w:r>
        <w:rPr>
          <w:rFonts w:hint="eastAsia" w:ascii="宋体" w:hAnsi="宋体" w:eastAsia="宋体" w:cs="宋体"/>
          <w:sz w:val="24"/>
          <w:szCs w:val="24"/>
          <w:highlight w:val="none"/>
        </w:rPr>
        <w:t>：空气自动监测站所有监测仪器、气象仪器、质控设备、数据采集与传输设施、辅助设备、室内外监控、防雷等基础设施的日常维护、质量控制、故障维修、年度检修年度检定、量值溯源与传递等工作，以及承担站房维护、电力和网络通讯等费用。工作应接受招标方质量检查和考核、确保乡镇空气站各项仪器设备正常稳定运行并与相关部门联网、传输正常。</w:t>
      </w:r>
    </w:p>
    <w:p w14:paraId="7146DEE3">
      <w:pPr>
        <w:keepNext w:val="0"/>
        <w:keepLines w:val="0"/>
        <w:pageBreakBefore w:val="0"/>
        <w:widowControl/>
        <w:kinsoku/>
        <w:wordWrap/>
        <w:overflowPunct/>
        <w:topLinePunct w:val="0"/>
        <w:autoSpaceDE/>
        <w:autoSpaceDN/>
        <w:bidi w:val="0"/>
        <w:spacing w:after="0" w:line="360" w:lineRule="auto"/>
        <w:ind w:left="0" w:leftChars="0" w:firstLine="482" w:firstLineChars="200"/>
        <w:textAlignment w:val="auto"/>
        <w:rPr>
          <w:rFonts w:hint="eastAsia" w:ascii="宋体" w:hAnsi="宋体" w:eastAsia="宋体" w:cs="宋体"/>
          <w:b/>
          <w:bCs/>
          <w:sz w:val="24"/>
          <w:szCs w:val="24"/>
          <w:highlight w:val="none"/>
        </w:rPr>
      </w:pPr>
      <w:bookmarkStart w:id="5" w:name="_Toc26174"/>
      <w:bookmarkStart w:id="6" w:name="_Toc27022"/>
      <w:r>
        <w:rPr>
          <w:rFonts w:hint="eastAsia" w:ascii="宋体" w:hAnsi="宋体" w:eastAsia="宋体" w:cs="宋体"/>
          <w:b/>
          <w:bCs/>
          <w:sz w:val="24"/>
          <w:szCs w:val="24"/>
          <w:highlight w:val="none"/>
        </w:rPr>
        <w:t>二、技术要求</w:t>
      </w:r>
    </w:p>
    <w:p w14:paraId="6D655E83">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bookmarkStart w:id="7" w:name="_Toc405479909"/>
      <w:r>
        <w:rPr>
          <w:rFonts w:hint="eastAsia" w:ascii="宋体" w:hAnsi="宋体" w:eastAsia="宋体" w:cs="宋体"/>
          <w:sz w:val="24"/>
          <w:szCs w:val="24"/>
          <w:highlight w:val="none"/>
        </w:rPr>
        <w:t>1、基本要求</w:t>
      </w:r>
    </w:p>
    <w:p w14:paraId="4FC66239">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（1）备品备件及耗材：保证货物是全新、未使用过的，并完全符合合同规定的质量、规格和性能的要求；耗材按照至少</w:t>
      </w:r>
      <w:r>
        <w:rPr>
          <w:rFonts w:hint="eastAsia" w:ascii="宋体" w:hAnsi="宋体" w:eastAsia="宋体" w:cs="宋体"/>
          <w:sz w:val="24"/>
          <w:szCs w:val="24"/>
          <w:highlight w:val="none"/>
          <w:lang w:val="en-US" w:eastAsia="zh-CN"/>
        </w:rPr>
        <w:t>6个月</w:t>
      </w:r>
      <w:r>
        <w:rPr>
          <w:rFonts w:hint="eastAsia" w:ascii="宋体" w:hAnsi="宋体" w:eastAsia="宋体" w:cs="宋体"/>
          <w:sz w:val="24"/>
          <w:szCs w:val="24"/>
          <w:highlight w:val="none"/>
        </w:rPr>
        <w:t>消耗量配置，备件按照至少</w:t>
      </w:r>
      <w:r>
        <w:rPr>
          <w:rFonts w:hint="eastAsia" w:ascii="宋体" w:hAnsi="宋体" w:eastAsia="宋体" w:cs="宋体"/>
          <w:sz w:val="24"/>
          <w:szCs w:val="24"/>
          <w:highlight w:val="none"/>
          <w:lang w:val="en-US" w:eastAsia="zh-CN"/>
        </w:rPr>
        <w:t>1年</w:t>
      </w:r>
      <w:r>
        <w:rPr>
          <w:rFonts w:hint="eastAsia" w:ascii="宋体" w:hAnsi="宋体" w:eastAsia="宋体" w:cs="宋体"/>
          <w:sz w:val="24"/>
          <w:szCs w:val="24"/>
          <w:highlight w:val="none"/>
        </w:rPr>
        <w:t>使用量配置。用于更换的耗材必须在质保期内，若出现质量问题由</w:t>
      </w:r>
      <w:r>
        <w:rPr>
          <w:rFonts w:hint="eastAsia" w:ascii="宋体" w:hAnsi="宋体" w:eastAsia="宋体" w:cs="宋体"/>
          <w:sz w:val="24"/>
          <w:szCs w:val="24"/>
          <w:highlight w:val="none"/>
          <w:lang w:eastAsia="zh-CN"/>
        </w:rPr>
        <w:t>中标方</w:t>
      </w:r>
      <w:r>
        <w:rPr>
          <w:rFonts w:hint="eastAsia" w:ascii="宋体" w:hAnsi="宋体" w:eastAsia="宋体" w:cs="宋体"/>
          <w:sz w:val="24"/>
          <w:szCs w:val="24"/>
          <w:highlight w:val="none"/>
        </w:rPr>
        <w:t>免费更换，保证自动站的正常运行。</w:t>
      </w:r>
    </w:p>
    <w:p w14:paraId="38B1AFEA">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中标方</w:t>
      </w:r>
      <w:r>
        <w:rPr>
          <w:rFonts w:hint="eastAsia" w:ascii="宋体" w:hAnsi="宋体" w:eastAsia="宋体" w:cs="宋体"/>
          <w:sz w:val="24"/>
          <w:szCs w:val="24"/>
          <w:highlight w:val="none"/>
        </w:rPr>
        <w:t>必须提供</w:t>
      </w:r>
      <w:r>
        <w:rPr>
          <w:rFonts w:hint="eastAsia" w:ascii="宋体" w:hAnsi="宋体" w:eastAsia="宋体" w:cs="宋体"/>
          <w:sz w:val="24"/>
          <w:szCs w:val="24"/>
          <w:highlight w:val="none"/>
          <w:lang w:eastAsia="zh-CN"/>
        </w:rPr>
        <w:t>足够的</w:t>
      </w:r>
      <w:r>
        <w:rPr>
          <w:rFonts w:hint="eastAsia" w:ascii="宋体" w:hAnsi="宋体" w:eastAsia="宋体" w:cs="宋体"/>
          <w:sz w:val="24"/>
          <w:szCs w:val="24"/>
          <w:highlight w:val="none"/>
        </w:rPr>
        <w:t>专职工作人员，从事自动站的运维工作。</w:t>
      </w:r>
    </w:p>
    <w:p w14:paraId="308C1A13">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中标方</w:t>
      </w:r>
      <w:r>
        <w:rPr>
          <w:rFonts w:hint="eastAsia" w:ascii="宋体" w:hAnsi="宋体" w:eastAsia="宋体" w:cs="宋体"/>
          <w:sz w:val="24"/>
          <w:szCs w:val="24"/>
          <w:highlight w:val="none"/>
        </w:rPr>
        <w:t>必须提供</w:t>
      </w:r>
      <w:r>
        <w:rPr>
          <w:rFonts w:hint="eastAsia" w:ascii="宋体" w:hAnsi="宋体" w:eastAsia="宋体" w:cs="宋体"/>
          <w:sz w:val="24"/>
          <w:szCs w:val="24"/>
          <w:highlight w:val="none"/>
          <w:lang w:eastAsia="zh-CN"/>
        </w:rPr>
        <w:t>足够的</w:t>
      </w:r>
      <w:r>
        <w:rPr>
          <w:rFonts w:hint="eastAsia" w:ascii="宋体" w:hAnsi="宋体" w:eastAsia="宋体" w:cs="宋体"/>
          <w:sz w:val="24"/>
          <w:szCs w:val="24"/>
          <w:highlight w:val="none"/>
        </w:rPr>
        <w:t>车辆专门从事自动站的运维工作，以满足运维工作的时效性要求。</w:t>
      </w:r>
    </w:p>
    <w:p w14:paraId="0E5C5DBD">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2、运维工作目标</w:t>
      </w:r>
      <w:bookmarkEnd w:id="7"/>
    </w:p>
    <w:p w14:paraId="16D7D971">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bookmarkStart w:id="8" w:name="_Toc405479910"/>
      <w:r>
        <w:rPr>
          <w:rFonts w:hint="eastAsia" w:ascii="宋体" w:hAnsi="宋体" w:eastAsia="宋体" w:cs="宋体"/>
          <w:sz w:val="24"/>
          <w:szCs w:val="24"/>
          <w:highlight w:val="none"/>
          <w:lang w:eastAsia="zh-CN"/>
        </w:rPr>
        <w:t>中标方</w:t>
      </w:r>
      <w:r>
        <w:rPr>
          <w:rFonts w:hint="eastAsia" w:ascii="宋体" w:hAnsi="宋体" w:eastAsia="宋体" w:cs="宋体"/>
          <w:sz w:val="24"/>
          <w:szCs w:val="24"/>
          <w:highlight w:val="none"/>
        </w:rPr>
        <w:t>必须建立完善的的运行维护工作规范与质量管理体系，确保提供及时、准确、有效的监测数据，空气自动站的运行质量应达到以下指标：</w:t>
      </w:r>
    </w:p>
    <w:p w14:paraId="558F9DDA">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所获取的各项指标的有效监测数据必须满足</w:t>
      </w:r>
      <w:bookmarkStart w:id="9" w:name="OLE_LINK23"/>
      <w:bookmarkStart w:id="10" w:name="OLE_LINK24"/>
      <w:r>
        <w:rPr>
          <w:rFonts w:hint="eastAsia" w:ascii="宋体" w:hAnsi="宋体" w:eastAsia="宋体" w:cs="宋体"/>
          <w:sz w:val="24"/>
          <w:szCs w:val="24"/>
          <w:highlight w:val="none"/>
        </w:rPr>
        <w:t>《环境空气质量标准》（GB 3095-20</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）中规定的污染物浓度数据有效性最低要求</w:t>
      </w:r>
      <w:bookmarkEnd w:id="9"/>
      <w:bookmarkEnd w:id="10"/>
      <w:r>
        <w:rPr>
          <w:rFonts w:hint="eastAsia" w:ascii="宋体" w:hAnsi="宋体" w:eastAsia="宋体" w:cs="宋体"/>
          <w:sz w:val="24"/>
          <w:szCs w:val="24"/>
          <w:highlight w:val="none"/>
        </w:rPr>
        <w:t>。</w:t>
      </w:r>
    </w:p>
    <w:p w14:paraId="6CD57147">
      <w:pPr>
        <w:keepNext w:val="0"/>
        <w:keepLines w:val="0"/>
        <w:pageBreakBefore w:val="0"/>
        <w:widowControl/>
        <w:shd w:val="clear" w:color="auto"/>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数据获取率达到90%（以小时值计）以上；</w:t>
      </w:r>
    </w:p>
    <w:p w14:paraId="66C72AFE">
      <w:pPr>
        <w:keepNext w:val="0"/>
        <w:keepLines w:val="0"/>
        <w:pageBreakBefore w:val="0"/>
        <w:widowControl/>
        <w:shd w:val="clear" w:color="auto"/>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数据有效率达到90%（以小时值计）以上；</w:t>
      </w:r>
    </w:p>
    <w:p w14:paraId="200D374E">
      <w:pPr>
        <w:keepNext w:val="0"/>
        <w:keepLines w:val="0"/>
        <w:pageBreakBefore w:val="0"/>
        <w:widowControl/>
        <w:shd w:val="clear" w:color="auto"/>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运维任务完成率100%；</w:t>
      </w:r>
    </w:p>
    <w:p w14:paraId="6029B2A3">
      <w:pPr>
        <w:keepNext w:val="0"/>
        <w:keepLines w:val="0"/>
        <w:pageBreakBefore w:val="0"/>
        <w:widowControl/>
        <w:shd w:val="clear" w:color="auto"/>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异常情况处理率100%。</w:t>
      </w:r>
    </w:p>
    <w:p w14:paraId="65273A8F">
      <w:pPr>
        <w:pStyle w:val="17"/>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计算“两率”时，应根据实际情况采取如下措施： </w:t>
      </w:r>
    </w:p>
    <w:p w14:paraId="6EAF2871">
      <w:pPr>
        <w:pStyle w:val="17"/>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（1）扣除因洪水、台风、地震、大雪封路、停电、站房维修等不可抗力造成的停止监测的时间段。</w:t>
      </w:r>
    </w:p>
    <w:p w14:paraId="2ACD7AC7">
      <w:pPr>
        <w:pStyle w:val="17"/>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（2）其他监测项目因数据质量不受控且现场不能及时修复时，应返厂维修。维修期间，采购人视情况对该项目的“两率”予以扣除。</w:t>
      </w:r>
    </w:p>
    <w:p w14:paraId="6C8D4E32">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3、运维工作内容</w:t>
      </w:r>
      <w:bookmarkEnd w:id="8"/>
    </w:p>
    <w:p w14:paraId="0EFB7DC1">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bookmarkStart w:id="11" w:name="_Toc405479911"/>
      <w:r>
        <w:rPr>
          <w:rFonts w:hint="eastAsia" w:ascii="宋体" w:hAnsi="宋体" w:eastAsia="宋体" w:cs="宋体"/>
          <w:sz w:val="24"/>
          <w:szCs w:val="24"/>
          <w:highlight w:val="none"/>
          <w:lang w:val="en-US" w:eastAsia="zh-CN"/>
        </w:rPr>
        <w:t>运维过程中主要完成以下工作：</w:t>
      </w:r>
    </w:p>
    <w:p w14:paraId="43B9F09B">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（1）自动站的日常运行维护、日常质量管理和日常安全管理。</w:t>
      </w:r>
    </w:p>
    <w:p w14:paraId="4091F087">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（2）自动站数据的日常审核、上报。</w:t>
      </w:r>
    </w:p>
    <w:p w14:paraId="3617BAFD">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（3）自动站的设备维护保养及维修，以及相关辅助设备设施的维护保养和维修。</w:t>
      </w:r>
    </w:p>
    <w:p w14:paraId="5541B541">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（4）自动站数据采集及传输系统的维护及维修，保障自动站与采购人通讯正常。涉及采购人开发的数采软件的技术问题可报告采购人协调解决。</w:t>
      </w:r>
    </w:p>
    <w:p w14:paraId="6144F651">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（5）当自动站仪器出现数据质量不受控且现场不能及时修复时，应在48小时之内使用备机开展监测，并同时报告采购人。</w:t>
      </w:r>
    </w:p>
    <w:p w14:paraId="02336508">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（6）当自动站仪器故障或损坏且现场不能及时修复时，应在48小时之内使用备机开展监测，并同时报告采购人。</w:t>
      </w:r>
    </w:p>
    <w:p w14:paraId="2C4CAB7B">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（7）仪器报废后（包括使用超过8年导致，或因洪水、地震、台风、站房外部火灾、爆炸、恐怖袭击、武装冲突、蓄意破坏等不可抗力导致），运维单位须先行及时使用备机开展监测，同时报告采购人。</w:t>
      </w:r>
    </w:p>
    <w:p w14:paraId="52AAFF9D">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4、运维工作具体要求</w:t>
      </w:r>
      <w:bookmarkEnd w:id="11"/>
    </w:p>
    <w:p w14:paraId="182BD66A">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bookmarkStart w:id="12" w:name="_Toc403547771"/>
      <w:bookmarkStart w:id="13" w:name="_Toc403547824"/>
      <w:bookmarkStart w:id="14" w:name="_Toc405479912"/>
      <w:r>
        <w:rPr>
          <w:rFonts w:hint="eastAsia" w:ascii="宋体" w:hAnsi="宋体" w:eastAsia="宋体" w:cs="宋体"/>
          <w:sz w:val="24"/>
          <w:szCs w:val="24"/>
          <w:highlight w:val="none"/>
          <w:lang w:val="en-US" w:eastAsia="zh-CN"/>
        </w:rPr>
        <w:t>运维人员应遵守国家关于空气质量自动监测站的相关技术规范、省生态环境厅和省生态环境监测和安全中心关于环境空气质量监测站管理的各项规定，如运维期间出台新的相关规范或规定，则运维工作按最新规定执行。</w:t>
      </w:r>
    </w:p>
    <w:p w14:paraId="0F4D1E53">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  日常运行维护要求</w:t>
      </w:r>
      <w:bookmarkEnd w:id="12"/>
      <w:bookmarkEnd w:id="13"/>
      <w:bookmarkEnd w:id="14"/>
    </w:p>
    <w:p w14:paraId="71229410">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（1）一般要求</w:t>
      </w:r>
    </w:p>
    <w:p w14:paraId="3A15F01D">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1）保持站房内部环境清洁，布置整齐，各仪器设备干净清洁，设备标识清楚。</w:t>
      </w:r>
    </w:p>
    <w:p w14:paraId="04E6F972">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2）保持站房外20m以内的环境清洁。</w:t>
      </w:r>
    </w:p>
    <w:p w14:paraId="551DF4D6">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3）检查供电、通讯的情况，保证系统的正常运行。</w:t>
      </w:r>
    </w:p>
    <w:p w14:paraId="5B70D9B8">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4）保证空调正常工作，仪器运行温度保持在25℃左右，站房内温度日波动范围小于3℃，相对湿度保持在80%RH以下。</w:t>
      </w:r>
    </w:p>
    <w:p w14:paraId="773F7693">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5）指派专人维护，设备固定牢固，门窗关闭良好，人走关门，非工作人员未经许可不得入内。</w:t>
      </w:r>
    </w:p>
    <w:p w14:paraId="220BF117">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6）定期检查消防和安全设施。</w:t>
      </w:r>
    </w:p>
    <w:p w14:paraId="4B46292C">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7）每次维护后做好系统运行维护记录。</w:t>
      </w:r>
    </w:p>
    <w:p w14:paraId="0C751FD7">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8）进行维护时，应规范操作，注意安全，防止意外发生。</w:t>
      </w:r>
    </w:p>
    <w:p w14:paraId="1B7C0700">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（2）每日工作</w:t>
      </w:r>
    </w:p>
    <w:p w14:paraId="7EDCD8BB">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标方应提供的自动站数据监控人员应具备计算机、数据采集与传输和空气质量业务方面的知识，并能熟练操作数据管理平台。要求每日24小时通过空气监控平台进行数据监控，分析监测数据，对站点运行情况进行远程诊断和运行管理，内容包括：</w:t>
      </w:r>
    </w:p>
    <w:p w14:paraId="191760BC">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1）判断系统数据采集与传输情况；根据电源电压、站房温度、湿度数据判断站房内部情况。</w:t>
      </w:r>
    </w:p>
    <w:p w14:paraId="6752E553">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2）发现空气自动监测数据有异常情况时，应立即通知采购人，在每日6~23时出现的异常，应在4小时内解决（通信线路、电力线路故障除外，但应及时与相关部门联系积极解决）。</w:t>
      </w:r>
    </w:p>
    <w:p w14:paraId="0B993F5B">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3）每日检查数据是否及时上传至采购人，发现数据断网及时恢复。</w:t>
      </w:r>
    </w:p>
    <w:p w14:paraId="62DFBFB1">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4）根据仪器分析数据判断仪器运行情况；根据故障报警信号判断现场状况。</w:t>
      </w:r>
    </w:p>
    <w:p w14:paraId="316AB290">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5）每日10点完成前一日各监测站点原始小时值的数据审核工作。</w:t>
      </w:r>
    </w:p>
    <w:p w14:paraId="012CF134">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6）在重污染天气、沙尘天气等污染过程结束后或监测数据出现异常后，应在4小时内开展相应的运维工作；选用专用或合适的工具进行清洁，避免对采样系统产生影响。</w:t>
      </w:r>
    </w:p>
    <w:p w14:paraId="3BD9F938">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（3）每周工作</w:t>
      </w:r>
    </w:p>
    <w:p w14:paraId="0B865569">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每周至少巡视自动站1次，且两次巡检时间间隔不得超过9天，并做好巡检记录，巡检时需要完成的工作包括：</w:t>
      </w:r>
    </w:p>
    <w:p w14:paraId="4078A9F3">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1）查看自动站设备是否齐备，有无丢失和损坏；检查接地线路是否可靠，排风排气装置工作是否正常，标准气钢瓶阀门是否漏气，标准气的消耗情况。</w:t>
      </w:r>
    </w:p>
    <w:p w14:paraId="7C9F6542">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2）检查采样和排气管路是否有漏气或堵塞现象，各分析仪器采样流量是否正常。检查各仪器的运行状况，保证系统运行顺畅。</w:t>
      </w:r>
    </w:p>
    <w:p w14:paraId="6BA2609F">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3）检查外部环境是否正常，有没有对测定结果或运行环境存在明显影响的污染源。</w:t>
      </w:r>
    </w:p>
    <w:p w14:paraId="5E6AFCC4">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4）检查电路系统，保证系统供电正常，电压稳定。</w:t>
      </w:r>
    </w:p>
    <w:p w14:paraId="30755107">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5）检查自动站的通讯系统，保证自动站与远程监控中心的连接正常，数据传输正常；确保无远程控制软件。</w:t>
      </w:r>
    </w:p>
    <w:p w14:paraId="0258295F">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6）检查监测仪器的采样入口与采样支路管线结合部之间安装的过滤膜的污染情况，至少每2周更换滤膜；每周检查监测仪器散热风扇污染情况，及时清洗。</w:t>
      </w:r>
    </w:p>
    <w:p w14:paraId="52C15E0C">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7）在冬、夏季节应注意自动站房室内外温差，若温差较大，应及时改变站房温度或对采样总管采取适当的控制措施，防止冷凝现象。</w:t>
      </w:r>
    </w:p>
    <w:p w14:paraId="3627EE33">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8）应及时清除自动站房周围的杂草和积水，当周围树木生长超过规范规定的控制限时，应及时剪除对采样有影响的树枝。</w:t>
      </w:r>
    </w:p>
    <w:p w14:paraId="0CC295A6">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9）应经常检查避雷设施是否可靠，自动站房屋是否有漏雨现象，气象杆和天线是否被刮坏，站房外围的其它设施是否有损坏或被水淹，如遇到以上问题应及时处理，保证系统能安全运行。</w:t>
      </w:r>
    </w:p>
    <w:p w14:paraId="2E4BC77E">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10）检查站房的安全设施，做好防火防盗工作。</w:t>
      </w:r>
    </w:p>
    <w:p w14:paraId="627C6D85">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11）每周对气象仪器及能见度仪的运行情况进行检查。</w:t>
      </w:r>
    </w:p>
    <w:p w14:paraId="3EC8158C">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12）每周对气态污染物（NOX、SO2、CO、O3）仪器进行零/跨漂检查，如果漂移超过国家相关规范要求，需要进行校准或维修；按照仪器说明书要求，对零气发生器进行维护。</w:t>
      </w:r>
    </w:p>
    <w:p w14:paraId="3086F924">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13）每周对颗粒物仪器至少进行1次流量检查，流量误差超过±5%时应进行校准。</w:t>
      </w:r>
    </w:p>
    <w:p w14:paraId="3E80811B">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14）检查PM10和PM2.5监测仪动态加热装置及采样总管加热装置是否正常工作；每周检查颗粒物的采样纸带或滤膜进行检查，如纸带即将用尽或滤膜负载超过规定要求，及时进行更换。</w:t>
      </w:r>
    </w:p>
    <w:p w14:paraId="1D018821">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15）对仪器显示数据、时间与数据采集仪之间的一致性进行检查和校准。</w:t>
      </w:r>
    </w:p>
    <w:p w14:paraId="29C3B000">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16）每周检查视频监控系统，并做好视频系统的日常维护。若发现人为干扰干预环境空气质量监测的行为，及时向采购人汇报。</w:t>
      </w:r>
    </w:p>
    <w:p w14:paraId="425972C5">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17）每周对站房内外环境卫生进行检查，及时保洁。</w:t>
      </w:r>
    </w:p>
    <w:p w14:paraId="70E31058">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（4）每月工作</w:t>
      </w:r>
    </w:p>
    <w:p w14:paraId="2B8113EC">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1）清洗PM10及PM2.5切割器，检查β法颗粒物分析仪仪器喷嘴、压环等部件；选用专用或合适的工具进行清洁，避免对采样系统产生影响。</w:t>
      </w:r>
    </w:p>
    <w:p w14:paraId="4D09D38C">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清洗PM2.5旋风切割器时应完全拆开；采样头用洁净水或无水乙醇清洗，完全晾干或热风机吹干后重新组装，组装时同时检查密封圈的密封情况。</w:t>
      </w:r>
    </w:p>
    <w:p w14:paraId="52688CA2">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2）检查PM10及PM2.5监测仪、气态分析仪、动态校准仪流量，如果超过国家相关规范要求，需要进行校准，检查仪器是否泄漏。</w:t>
      </w:r>
    </w:p>
    <w:p w14:paraId="00D10C99">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3）每月对数据进行备份。</w:t>
      </w:r>
    </w:p>
    <w:p w14:paraId="4291CE2B">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）每季度工作</w:t>
      </w:r>
    </w:p>
    <w:p w14:paraId="6DF4B478">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1）采样总管及采样风机每季度至少清洗1次，选用专用或合适的工具进行清洁，避免对采样系统产生影响。</w:t>
      </w:r>
    </w:p>
    <w:p w14:paraId="5A1FE29E">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2）采用臭氧传递标准对自动站点位臭氧工作标准进行传递。</w:t>
      </w:r>
    </w:p>
    <w:p w14:paraId="6D305218">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3）对PM10与PM2.5仪器进行标准膜检查或K0值检查，标准膜误差超过±2%、 K0值超过国家规范或说明书规定的限值时应进行校准或维修。</w:t>
      </w:r>
    </w:p>
    <w:p w14:paraId="01542EDF">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4）校准和检查PM10及PM2.5分析仪的温度、气压和时钟；用标准气压计、温度计、湿度计、手持式风速风向仪，校准相关的自动仪器。</w:t>
      </w:r>
    </w:p>
    <w:p w14:paraId="10ABC0D5">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5）每季度进行1次监测仪器的精密度审核；气态污染物监测仪器的精密度审核采用向监测仪器通入一定体积分数的标准气体来确定；颗粒物监测仪器的精密度审核采用标准流量计测定监测仪器的工作流量来确定。</w:t>
      </w:r>
    </w:p>
    <w:p w14:paraId="0E571E53">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）每半年工作</w:t>
      </w:r>
    </w:p>
    <w:p w14:paraId="5EC79156">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1）对气态污染物监测仪进行多点校准，绘制校准曲线，检验相关系数、斜率和截距。</w:t>
      </w:r>
    </w:p>
    <w:p w14:paraId="0E8B6127">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2）更换振荡天平法颗粒物分析仪旁路过滤器，并进行K0值检查；</w:t>
      </w:r>
    </w:p>
    <w:p w14:paraId="324D2CD5">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3）更换零气源净化剂和氧化剂，对零气性能进行检查。</w:t>
      </w:r>
    </w:p>
    <w:p w14:paraId="66976078">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4）对氮氧化物分析仪钼炉转化率进行检查。</w:t>
      </w:r>
    </w:p>
    <w:p w14:paraId="69A19F8C">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（7）每年工作</w:t>
      </w:r>
    </w:p>
    <w:p w14:paraId="3A6D5C15">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1）对所有的仪器进行预防性维护，按说明书的要求更换备件。</w:t>
      </w:r>
    </w:p>
    <w:p w14:paraId="4FCA1260">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2）按照仪器说明书对动态校准仪流量进行多点检查。</w:t>
      </w:r>
    </w:p>
    <w:p w14:paraId="7F8F4DD0">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（8）日常运行维护记录</w:t>
      </w:r>
    </w:p>
    <w:p w14:paraId="41232AAA">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应建立自动站维护档案，将自动站的运行过程和运行事件进行详细记录，并进行归档管理。日常运维中使用运行管理相关记录至少应包括：</w:t>
      </w:r>
    </w:p>
    <w:p w14:paraId="7BB7181D">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①自动站运行维护记录表；</w:t>
      </w:r>
    </w:p>
    <w:p w14:paraId="5DFFF1D0">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②颗粒物监测仪校准检查记录；</w:t>
      </w:r>
    </w:p>
    <w:p w14:paraId="563B6904">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③自动监测系统仪器设备维修记录表；</w:t>
      </w:r>
    </w:p>
    <w:p w14:paraId="243B81FF">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④自动监测系统备品备件管理记录表；</w:t>
      </w:r>
    </w:p>
    <w:p w14:paraId="7574BBC7">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⑤自动站主要消耗材料使用登记表；</w:t>
      </w:r>
    </w:p>
    <w:p w14:paraId="16DB8DD4">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⑥自动站室内外环境记录；</w:t>
      </w:r>
    </w:p>
    <w:p w14:paraId="4226966E">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⑦自动监测系统仪器资料保管清单。</w:t>
      </w:r>
    </w:p>
    <w:p w14:paraId="73F61DC3">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投标单位须在投标文件中提供以上记录表格。</w:t>
      </w:r>
    </w:p>
    <w:p w14:paraId="32CECBBD">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）其他要求</w:t>
      </w:r>
    </w:p>
    <w:p w14:paraId="2561F844">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1）每周更换的气态污染物用滤膜必须为聚四氟乙烯材质；</w:t>
      </w:r>
    </w:p>
    <w:p w14:paraId="4C89BCD7">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2）应及时制定工作计划，中标方每月底前应制定下月工作计划，包括但不限于：周巡检计划、月度工作内容、季度工作内容、半年工作内容、臭氧传递等以保障仪器处于正常运行状态。</w:t>
      </w:r>
    </w:p>
    <w:p w14:paraId="42D92BA8">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运维单位保证满足生态环境部门对自动站故障的响应时间要求，当自动站每日6时～23时出现故障，应在1小时之内响应，4小时内到达现场解决（通信线路、电力线路故障除外，但应及时与相关部门联系积极解决）。若仪器故障无法排除，运维单位必须在48小时内提供并更换相应的备机，保证自动站正常运行。</w:t>
      </w:r>
    </w:p>
    <w:p w14:paraId="4D83CBA4">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4）严禁擅自改变采样管路连接方式和更改仪器参数设置。否则，采购人有权终止合同。</w:t>
      </w:r>
    </w:p>
    <w:p w14:paraId="6AAEFE9D">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5）为保障站点巡检工作留痕，中标方运维人员应按要求每次进入自动站站房内应进行打卡，然后开展日常巡检或应急工作等。</w:t>
      </w:r>
    </w:p>
    <w:p w14:paraId="093D288A">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对于使用超过6-8年的仪器在使用过程中发生损坏导致报废，以及因洪水、地震、台风、站房外部火灾、爆炸、恐怖袭击、武装冲突、蓄意破坏等不可抗力导致的仪器报废，运维单位须先行及时使用备机开展监测，同时报告采购人。</w:t>
      </w:r>
    </w:p>
    <w:p w14:paraId="0EF33A55">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7）运维单位建立安全管理制度。运维期间，应按安全管理有关规定开展安全排查工作，并建立相关档案，切实消除安全隐患。</w:t>
      </w:r>
    </w:p>
    <w:p w14:paraId="5C2EAA69">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bookmarkStart w:id="15" w:name="_Toc403547772"/>
      <w:bookmarkStart w:id="16" w:name="_Toc405479913"/>
      <w:bookmarkStart w:id="17" w:name="_Toc403547825"/>
      <w:r>
        <w:rPr>
          <w:rFonts w:hint="eastAsia" w:ascii="宋体" w:hAnsi="宋体" w:eastAsia="宋体" w:cs="宋体"/>
          <w:sz w:val="24"/>
          <w:szCs w:val="24"/>
          <w:highlight w:val="none"/>
          <w:lang w:val="en-US" w:eastAsia="zh-CN"/>
        </w:rPr>
        <w:t>4.2  质量控制要求</w:t>
      </w:r>
      <w:bookmarkEnd w:id="15"/>
      <w:bookmarkEnd w:id="16"/>
      <w:bookmarkEnd w:id="17"/>
    </w:p>
    <w:p w14:paraId="7CD4CA29">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中标方需认真落实质量管理制度，建立完善的运行维护工作质量管理体系，安排专职质量控制管理人员。</w:t>
      </w:r>
    </w:p>
    <w:p w14:paraId="70D2D4EB">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（1）量值溯源要求</w:t>
      </w:r>
    </w:p>
    <w:p w14:paraId="0B91F981">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标方在每个自动站需配备标准气体，为国家生态环境部标样所或中国计量科学研究院生产的有证标准样品或物质，新购标准气体应做验证实验，形成验证报告。另外，在用标准气体的钢瓶压力低于500PSIG时，需要进行重新验证；当钢瓶压力低于150PSIG(1.0MPa)时，停止使用。新的标气阀应预先进行3次（每次至少24小时）以上的老化后方可使用。标准气体必须在有效期内使用。</w:t>
      </w:r>
    </w:p>
    <w:p w14:paraId="44B8E9DD">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标方应每年将自动站运维所用的流量计、温度计、气压计、湿度计等质控设备溯源到省级及以上计量部门提供的标准设备，每年将自动站所用的臭氧标准向采购人提供的标准设备进行溯源，性能指标均应符合要求。</w:t>
      </w:r>
    </w:p>
    <w:p w14:paraId="2184B5DD">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（2）日常质量控制要求</w:t>
      </w:r>
    </w:p>
    <w:p w14:paraId="605A137C">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监测仪在以下情况下需进行校准：</w:t>
      </w:r>
    </w:p>
    <w:p w14:paraId="5B3F6BB7">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安装时</w:t>
      </w:r>
    </w:p>
    <w:p w14:paraId="31C0C5F6">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移动位置时</w:t>
      </w:r>
    </w:p>
    <w:p w14:paraId="41FECA3C">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进行可能影响校准结果的维修或维护后</w:t>
      </w:r>
    </w:p>
    <w:p w14:paraId="268CD6E4">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监测仪暂停工作一段时间后</w:t>
      </w:r>
    </w:p>
    <w:p w14:paraId="6176666C">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⑤</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有迹象表明监测仪工作不正常或校准结果出现变化</w:t>
      </w:r>
    </w:p>
    <w:p w14:paraId="21FF56B7">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⑥</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超过国家规范或本招标文件要求的校准周期或校准要求的。</w:t>
      </w:r>
    </w:p>
    <w:p w14:paraId="050825F4">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（3）质量检查</w:t>
      </w:r>
    </w:p>
    <w:p w14:paraId="6AC6A7B2">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中标方必须接受中国环境监测总站、省生态环境厅、省生态环境监测中心及其委托单位和人员的质量检查。</w:t>
      </w:r>
    </w:p>
    <w:p w14:paraId="6D9086AC">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（4）质量控制资料整理</w:t>
      </w:r>
    </w:p>
    <w:p w14:paraId="5A5AF88C">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各种技术与质量文件均保持现行有效，可根据管理需要进行调整或修订，巡检记录、维修记录、日常检查与监督抽查等质量保证与质量控制记录均须按要求进行填写或在线填写报送，每年进行整理归档。</w:t>
      </w:r>
    </w:p>
    <w:p w14:paraId="280F553F">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bookmarkStart w:id="18" w:name="_Toc403547773"/>
      <w:bookmarkStart w:id="19" w:name="_Toc405479914"/>
      <w:bookmarkStart w:id="20" w:name="_Toc403547826"/>
      <w:r>
        <w:rPr>
          <w:rFonts w:hint="eastAsia" w:ascii="宋体" w:hAnsi="宋体" w:eastAsia="宋体" w:cs="宋体"/>
          <w:sz w:val="24"/>
          <w:szCs w:val="24"/>
          <w:highlight w:val="none"/>
          <w:lang w:val="en-US" w:eastAsia="zh-CN"/>
        </w:rPr>
        <w:t>4.3 系统设备维修要求</w:t>
      </w:r>
      <w:bookmarkEnd w:id="18"/>
      <w:bookmarkEnd w:id="19"/>
      <w:bookmarkEnd w:id="20"/>
    </w:p>
    <w:p w14:paraId="0E16443F">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（1）运行维修工作界定</w:t>
      </w:r>
    </w:p>
    <w:p w14:paraId="0EE6A514">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中标方负责系统所有设备和仪器的维护、维修和部件更换（包括空调设备等附属设施），并将维修费用计算在运维报价中。本服务内容同样包括由于外部原因意外丢失和损坏设备的更换或维修。</w:t>
      </w:r>
    </w:p>
    <w:p w14:paraId="175C3F1B">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（2）设备维修质量控制要求</w:t>
      </w:r>
    </w:p>
    <w:p w14:paraId="7221443B">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监测仪器修复后，当其监测性能受到影响时，采用关键参数检查、标气测定、颗粒物流量测定、标准膜测试、标准样品测试或手工比对等方法进行测试。</w:t>
      </w:r>
    </w:p>
    <w:p w14:paraId="24EFF8CB">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仪器大修后，气态污染监测设备应按顺序开展零点漂移和量程漂移测试、精密度及准确度测试、多点线性测试；颗粒物监测设备应开展手工比对测试，测试应严格按照《环境空气颗粒物（PM10和PM2.5）连续自动监测系统运行和质控技术规范》(HJ 817-2018）中准确度审核要求实施，并遵守《环境空气颗粒物(PM2.5)手工监测方法(重量法)技术规范》（HJ 656-2013）、《环境空气中PM10和PM2.5的测定 重量法》（HJ 618-2011）和《环境空气质量手工监测技术规范》（HJ 194-2017）等相关规范要求，同时提交相应报告。</w:t>
      </w:r>
    </w:p>
    <w:p w14:paraId="46AEC23F">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bookmarkStart w:id="21" w:name="_Toc405479915"/>
      <w:r>
        <w:rPr>
          <w:rFonts w:hint="eastAsia" w:ascii="宋体" w:hAnsi="宋体" w:eastAsia="宋体" w:cs="宋体"/>
          <w:sz w:val="24"/>
          <w:szCs w:val="24"/>
          <w:highlight w:val="none"/>
          <w:lang w:val="en-US" w:eastAsia="zh-CN"/>
        </w:rPr>
        <w:t>5、自动站内容交接</w:t>
      </w:r>
      <w:bookmarkEnd w:id="21"/>
    </w:p>
    <w:p w14:paraId="2484D59F">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（1）勘查安装现场</w:t>
      </w:r>
    </w:p>
    <w:p w14:paraId="78F4B371">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所有设备安装现场进行勘察，通过勘察，了解各现场工作条件是否符合相关标准要求、自动监测设备是否正常运行、各项指标是否满足标准要求，总结各个监测设备安装现场情况、存在的问题，根据勘察结果提出整改的建议，并为各个监测设备建立档案。</w:t>
      </w:r>
    </w:p>
    <w:p w14:paraId="7D0A5EEF">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（2）完善设备资料</w:t>
      </w:r>
    </w:p>
    <w:p w14:paraId="56E57E52">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自动监测设备的现场资料，主要有：设备的中文说明书、维护手册、技术图纸、国家认证检测报告与合格证（复印件）、设备自带的软件备份、安装厂家的调试报告。</w:t>
      </w:r>
    </w:p>
    <w:p w14:paraId="39C84C14">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（3）设备检修调试</w:t>
      </w:r>
    </w:p>
    <w:p w14:paraId="4BB0473D">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根据国家相关标准，对已安装的自动监测设备进行调试，并对各个主要技术指标进行检测，检测结果必须符合国家相关标准要求。</w:t>
      </w:r>
    </w:p>
    <w:p w14:paraId="54B10A03">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（4）设备验收测试</w:t>
      </w:r>
    </w:p>
    <w:p w14:paraId="1A4FF818">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根据国家相关标准和地区自动监测设备数据标准，对已安装的自动监测设备进行比对测试，测试数据和测试结果必须符合国家标准要求。</w:t>
      </w:r>
    </w:p>
    <w:p w14:paraId="0083070B">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（5）调取运行数据</w:t>
      </w:r>
    </w:p>
    <w:p w14:paraId="40821D8A">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运维公司在设备安装现场将调取设备运行前一个月连续的历史数据，分析并判断数据能否正确反映当地实际监测状况，从而判断设备是否工作正常。</w:t>
      </w:r>
    </w:p>
    <w:p w14:paraId="39197E1A">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（6）接收运行设备</w:t>
      </w:r>
    </w:p>
    <w:p w14:paraId="21491984">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若自动监测设备运行正常、测试结果符合要求，运维公司将在现场重新启动自动监测设备，如果能够继续正常工作，运维单位将正式接收自动监测设备。</w:t>
      </w:r>
    </w:p>
    <w:p w14:paraId="0ADF9D78">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（7）建立设备档案</w:t>
      </w:r>
    </w:p>
    <w:p w14:paraId="455E796A">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根据勘察情况、设备测试数据和测试结果，运维公司将对每套自动自动监测设备建立一个单独的档案，将每次维护的表格都存在这个档案中。在运维移交时，将这些设备档案交给后续的运维单位。</w:t>
      </w:r>
    </w:p>
    <w:p w14:paraId="3EC340B9">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rPr>
      </w:pPr>
      <w:bookmarkStart w:id="22" w:name="_Toc428215608"/>
      <w:r>
        <w:rPr>
          <w:rFonts w:hint="eastAsia" w:ascii="宋体" w:hAnsi="宋体" w:eastAsia="宋体" w:cs="宋体"/>
          <w:sz w:val="24"/>
          <w:szCs w:val="24"/>
          <w:highlight w:val="none"/>
        </w:rPr>
        <w:t>6、监督考核要求</w:t>
      </w:r>
      <w:bookmarkEnd w:id="22"/>
    </w:p>
    <w:p w14:paraId="076C5C4C">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当地环保部门组织开展运维管理和质控考核，对达不到运维要求的违规操作的，可以扣减相应的运维费，并有权终止运维合同。</w:t>
      </w:r>
    </w:p>
    <w:p w14:paraId="426ACBB7">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 运维单位应承担监测数据的保密责任，不得利用本项目的数据、档案或有关资料对外开展技术交流、业务联系、数据交换等。否则，有权终止合同。</w:t>
      </w:r>
    </w:p>
    <w:p w14:paraId="0DDDEADF">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 运维期间出现调整正常数据、修改正常设备参数等弄虚作假行为的，第一次，处以全年运维费罚款，第二次按照相关规定移交司法部门依法处理，并终止运维合同。</w:t>
      </w:r>
    </w:p>
    <w:p w14:paraId="699BDC68">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 运维期间，如因人为原因，造成设备损坏，由中标运维单位负责维修或更换设备。</w:t>
      </w:r>
    </w:p>
    <w:p w14:paraId="1A3616C8">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6.4 考核标准</w:t>
      </w:r>
    </w:p>
    <w:p w14:paraId="0559261C">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定期组织对运维单位绩效(职责履行情况)进行考核。考核采取百分制、单站考核的方式进行，主要包括设备运行率、数据准确率(以下简称两率)、运行维护3部分内容，其中两率考核占70%，运行维护考核占30%。</w:t>
      </w:r>
    </w:p>
    <w:p w14:paraId="2953C0A8">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备运行率指考核时段内各监测项目实际获取的小时值监测数据量总和除以应获得小时值数据量总和。每日各项目应获得小时值数据量均按24个计，考核时段天数按考核时段内日历天数计。计算应获得小时值数据量时，应扣除因不可抗力造成的停止监测的小时数。</w:t>
      </w:r>
    </w:p>
    <w:p w14:paraId="02679BF1">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数据准确率指考核时段内各监测项目实际获取的质控合格的小时值监测数据量总和除以应获得小时值数据量总和。</w:t>
      </w:r>
    </w:p>
    <w:p w14:paraId="261B3AF1">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考核时段内单个站点任一监测项目有效数据量应满足《环境空气质量标准》（GB 3095-20</w:t>
      </w:r>
      <w:r>
        <w:rPr>
          <w:rFonts w:hint="eastAsia" w:ascii="宋体" w:hAnsi="宋体" w:cs="宋体"/>
          <w:sz w:val="24"/>
          <w:szCs w:val="24"/>
          <w:highlight w:val="none"/>
          <w:lang w:val="en-US" w:eastAsia="zh-CN"/>
        </w:rPr>
        <w:t>26</w:t>
      </w:r>
      <w:r>
        <w:rPr>
          <w:rFonts w:hint="eastAsia" w:ascii="宋体" w:hAnsi="宋体" w:eastAsia="宋体" w:cs="宋体"/>
          <w:sz w:val="24"/>
          <w:szCs w:val="24"/>
          <w:highlight w:val="none"/>
          <w:lang w:val="en-US" w:eastAsia="zh-CN"/>
        </w:rPr>
        <w:t>）中规定的污染物浓度数据有效性的最低要求，否则考核总分为0分。</w:t>
      </w:r>
    </w:p>
    <w:p w14:paraId="47730361">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两率考核达不到要求或者绩效考核总分低于80的，不予拨付运维费；绩效考核总分90（含）分以上的，拨付全额运维费；绩效考核总分在80（含）-90分的，运维费=实际考核得分/100*全额运维费。</w:t>
      </w:r>
    </w:p>
    <w:p w14:paraId="56870DD1">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（1）两率部分(70分)</w:t>
      </w:r>
    </w:p>
    <w:p w14:paraId="4A93450D">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单站设备运行率必须高于90%(含)，准确率必须高于80%(含)，否则不予支付运维费用。</w:t>
      </w:r>
    </w:p>
    <w:p w14:paraId="6DB286F8">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①单站监测数据准确率高于90%(含)的，两率得分=70；</w:t>
      </w:r>
    </w:p>
    <w:p w14:paraId="4E9C8332">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②准确率在85%(含)-90%的，两率得分=实际准确率×70；</w:t>
      </w:r>
    </w:p>
    <w:p w14:paraId="67C0A111">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③准确率在80%(含)-85%的，两率得分=实际准确率×90%×70。</w:t>
      </w:r>
    </w:p>
    <w:p w14:paraId="567EFA43">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(2)一次考核未达到条款（1）的，扣除全额运维费的10%，连续2次考核未达到条款（1）的，终止运维合同、取消空气自动站运维资格。</w:t>
      </w:r>
    </w:p>
    <w:p w14:paraId="14CAF05E">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（2）运行维护部分(30分)</w:t>
      </w:r>
    </w:p>
    <w:p w14:paraId="657B8912">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运行维护部分业主单位组织检查核实，包括监测点位、监测项目、系统组成、日常操作、质量保证和质量控制、档案和制度管理6部分，共计30分。</w:t>
      </w:r>
    </w:p>
    <w:p w14:paraId="1D3189A9">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（3）考核总分</w:t>
      </w:r>
    </w:p>
    <w:p w14:paraId="55970C20">
      <w:pPr>
        <w:keepNext w:val="0"/>
        <w:keepLines w:val="0"/>
        <w:pageBreakBefore w:val="0"/>
        <w:widowControl/>
        <w:kinsoku/>
        <w:wordWrap/>
        <w:overflowPunct/>
        <w:topLinePunct w:val="0"/>
        <w:autoSpaceDE/>
        <w:autoSpaceDN/>
        <w:bidi w:val="0"/>
        <w:spacing w:after="0" w:line="360" w:lineRule="auto"/>
        <w:ind w:left="0" w:leftChars="0" w:firstLine="480" w:firstLineChars="200"/>
        <w:textAlignment w:val="auto"/>
        <w:rPr>
          <w:rFonts w:hint="eastAsia" w:ascii="宋体" w:hAnsi="宋体"/>
          <w:sz w:val="21"/>
          <w:szCs w:val="21"/>
        </w:rPr>
      </w:pPr>
      <w:r>
        <w:rPr>
          <w:rFonts w:hint="eastAsia" w:ascii="宋体" w:hAnsi="宋体" w:eastAsia="宋体" w:cs="宋体"/>
          <w:sz w:val="24"/>
          <w:szCs w:val="24"/>
          <w:highlight w:val="none"/>
          <w:lang w:val="en-US" w:eastAsia="zh-CN"/>
        </w:rPr>
        <w:t>考核总分=两率得分+运维得分</w:t>
      </w:r>
      <w:bookmarkEnd w:id="5"/>
      <w:bookmarkEnd w:id="6"/>
    </w:p>
    <w:p w14:paraId="03E539A8">
      <w:pPr>
        <w:tabs>
          <w:tab w:val="left" w:pos="11267"/>
        </w:tabs>
        <w:bidi w:val="0"/>
        <w:jc w:val="left"/>
        <w:rPr>
          <w:rFonts w:hint="eastAsia"/>
          <w:color w:val="auto"/>
          <w:lang w:val="en-US" w:eastAsia="zh-CN"/>
        </w:rPr>
      </w:pPr>
    </w:p>
    <w:p w14:paraId="0D1ADD83">
      <w:pPr>
        <w:rPr>
          <w:color w:val="auto"/>
        </w:rPr>
      </w:pPr>
    </w:p>
    <w:p w14:paraId="6CFD3069">
      <w:pPr>
        <w:tabs>
          <w:tab w:val="left" w:pos="3897"/>
        </w:tabs>
        <w:jc w:val="center"/>
        <w:rPr>
          <w:rFonts w:hint="eastAsia" w:eastAsia="宋体"/>
          <w:b/>
          <w:bCs/>
          <w:color w:val="auto"/>
          <w:sz w:val="30"/>
          <w:szCs w:val="30"/>
          <w:lang w:val="en-US" w:eastAsia="zh-CN"/>
        </w:rPr>
        <w:sectPr>
          <w:footnotePr>
            <w:pos w:val="beneathText"/>
          </w:footnotePr>
          <w:type w:val="continuous"/>
          <w:pgSz w:w="11906" w:h="16838"/>
          <w:pgMar w:top="1440" w:right="1800" w:bottom="1440" w:left="1800" w:header="720" w:footer="992" w:gutter="0"/>
          <w:pgNumType w:fmt="decimal"/>
          <w:cols w:space="720" w:num="1"/>
          <w:docGrid w:type="lines" w:linePitch="312" w:charSpace="0"/>
        </w:sectPr>
      </w:pPr>
    </w:p>
    <w:p w14:paraId="1CA019D2">
      <w:pPr>
        <w:jc w:val="both"/>
        <w:outlineLvl w:val="0"/>
        <w:rPr>
          <w:rFonts w:hint="eastAsia" w:ascii="新宋体" w:hAnsi="新宋体" w:eastAsia="新宋体" w:cs="新宋体"/>
          <w:color w:val="auto"/>
          <w:kern w:val="0"/>
          <w:sz w:val="28"/>
          <w:szCs w:val="28"/>
          <w:lang w:val="en-US" w:eastAsia="zh-CN"/>
        </w:rPr>
        <w:sectPr>
          <w:footnotePr>
            <w:pos w:val="beneathText"/>
          </w:footnotePr>
          <w:type w:val="continuous"/>
          <w:pgSz w:w="11906" w:h="16838"/>
          <w:pgMar w:top="1440" w:right="1800" w:bottom="1440" w:left="1800" w:header="720" w:footer="992" w:gutter="0"/>
          <w:pgNumType w:fmt="decimal"/>
          <w:cols w:space="720" w:num="1"/>
          <w:docGrid w:type="lines" w:linePitch="312" w:charSpace="0"/>
        </w:sectPr>
      </w:pPr>
    </w:p>
    <w:tbl>
      <w:tblPr>
        <w:tblStyle w:val="19"/>
        <w:tblW w:w="140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1800"/>
        <w:gridCol w:w="1392"/>
        <w:gridCol w:w="960"/>
        <w:gridCol w:w="1716"/>
        <w:gridCol w:w="7224"/>
      </w:tblGrid>
      <w:tr w14:paraId="41A4B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9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1AF07F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800" w:type="dxa"/>
            <w:vMerge w:val="restart"/>
            <w:tcBorders>
              <w:top w:val="single" w:color="000000" w:sz="8" w:space="0"/>
              <w:left w:val="nil"/>
              <w:bottom w:val="single" w:color="000000" w:sz="8" w:space="0"/>
              <w:right w:val="single" w:color="000000" w:sz="8" w:space="0"/>
            </w:tcBorders>
            <w:shd w:val="clear" w:color="auto" w:fill="auto"/>
            <w:vAlign w:val="center"/>
          </w:tcPr>
          <w:p w14:paraId="66DCF95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品目</w:t>
            </w:r>
          </w:p>
        </w:tc>
        <w:tc>
          <w:tcPr>
            <w:tcW w:w="1392" w:type="dxa"/>
            <w:vMerge w:val="restart"/>
            <w:tcBorders>
              <w:top w:val="single" w:color="000000" w:sz="8" w:space="0"/>
              <w:left w:val="nil"/>
              <w:bottom w:val="single" w:color="000000" w:sz="8" w:space="0"/>
              <w:right w:val="single" w:color="000000" w:sz="8" w:space="0"/>
            </w:tcBorders>
            <w:shd w:val="clear" w:color="auto" w:fill="auto"/>
            <w:vAlign w:val="center"/>
          </w:tcPr>
          <w:p w14:paraId="05C4D28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费用       （万元/年）</w:t>
            </w:r>
          </w:p>
        </w:tc>
        <w:tc>
          <w:tcPr>
            <w:tcW w:w="960" w:type="dxa"/>
            <w:vMerge w:val="restart"/>
            <w:tcBorders>
              <w:top w:val="single" w:color="000000" w:sz="8" w:space="0"/>
              <w:left w:val="nil"/>
              <w:bottom w:val="single" w:color="000000" w:sz="8" w:space="0"/>
              <w:right w:val="single" w:color="000000" w:sz="8" w:space="0"/>
            </w:tcBorders>
            <w:shd w:val="clear" w:color="auto" w:fill="auto"/>
            <w:vAlign w:val="center"/>
          </w:tcPr>
          <w:p w14:paraId="6D025F0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数量/个数</w:t>
            </w:r>
          </w:p>
        </w:tc>
        <w:tc>
          <w:tcPr>
            <w:tcW w:w="1716" w:type="dxa"/>
            <w:tcBorders>
              <w:top w:val="single" w:color="000000" w:sz="8" w:space="0"/>
              <w:left w:val="nil"/>
              <w:bottom w:val="nil"/>
              <w:right w:val="single" w:color="000000" w:sz="8" w:space="0"/>
            </w:tcBorders>
            <w:shd w:val="clear" w:color="auto" w:fill="auto"/>
            <w:vAlign w:val="center"/>
          </w:tcPr>
          <w:p w14:paraId="31045BA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费用</w:t>
            </w:r>
          </w:p>
        </w:tc>
        <w:tc>
          <w:tcPr>
            <w:tcW w:w="7224" w:type="dxa"/>
            <w:vMerge w:val="restart"/>
            <w:tcBorders>
              <w:top w:val="single" w:color="000000" w:sz="8" w:space="0"/>
              <w:left w:val="nil"/>
              <w:bottom w:val="single" w:color="000000" w:sz="8" w:space="0"/>
              <w:right w:val="single" w:color="000000" w:sz="8" w:space="0"/>
            </w:tcBorders>
            <w:shd w:val="clear" w:color="auto" w:fill="auto"/>
            <w:vAlign w:val="center"/>
          </w:tcPr>
          <w:p w14:paraId="61F2F08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费用说明</w:t>
            </w:r>
          </w:p>
        </w:tc>
      </w:tr>
      <w:tr w14:paraId="3B8A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89BB5A">
            <w:pPr>
              <w:jc w:val="center"/>
              <w:rPr>
                <w:rFonts w:hint="eastAsia" w:ascii="宋体" w:hAnsi="宋体" w:eastAsia="宋体" w:cs="宋体"/>
                <w:b/>
                <w:bCs/>
                <w:i w:val="0"/>
                <w:iCs w:val="0"/>
                <w:color w:val="000000"/>
                <w:sz w:val="21"/>
                <w:szCs w:val="21"/>
                <w:u w:val="none"/>
              </w:rPr>
            </w:pPr>
          </w:p>
        </w:tc>
        <w:tc>
          <w:tcPr>
            <w:tcW w:w="1800" w:type="dxa"/>
            <w:vMerge w:val="continue"/>
            <w:tcBorders>
              <w:top w:val="single" w:color="000000" w:sz="8" w:space="0"/>
              <w:left w:val="nil"/>
              <w:bottom w:val="single" w:color="000000" w:sz="8" w:space="0"/>
              <w:right w:val="single" w:color="000000" w:sz="8" w:space="0"/>
            </w:tcBorders>
            <w:shd w:val="clear" w:color="auto" w:fill="auto"/>
            <w:vAlign w:val="center"/>
          </w:tcPr>
          <w:p w14:paraId="685E5413">
            <w:pPr>
              <w:jc w:val="center"/>
              <w:rPr>
                <w:rFonts w:hint="eastAsia" w:ascii="宋体" w:hAnsi="宋体" w:eastAsia="宋体" w:cs="宋体"/>
                <w:b/>
                <w:bCs/>
                <w:i w:val="0"/>
                <w:iCs w:val="0"/>
                <w:color w:val="000000"/>
                <w:sz w:val="21"/>
                <w:szCs w:val="21"/>
                <w:u w:val="none"/>
              </w:rPr>
            </w:pPr>
          </w:p>
        </w:tc>
        <w:tc>
          <w:tcPr>
            <w:tcW w:w="1392" w:type="dxa"/>
            <w:vMerge w:val="continue"/>
            <w:tcBorders>
              <w:top w:val="single" w:color="000000" w:sz="8" w:space="0"/>
              <w:left w:val="nil"/>
              <w:bottom w:val="single" w:color="000000" w:sz="8" w:space="0"/>
              <w:right w:val="single" w:color="000000" w:sz="8" w:space="0"/>
            </w:tcBorders>
            <w:shd w:val="clear" w:color="auto" w:fill="auto"/>
            <w:vAlign w:val="center"/>
          </w:tcPr>
          <w:p w14:paraId="2BC1BE33">
            <w:pPr>
              <w:jc w:val="center"/>
              <w:rPr>
                <w:rFonts w:hint="eastAsia" w:ascii="宋体" w:hAnsi="宋体" w:eastAsia="宋体" w:cs="宋体"/>
                <w:b/>
                <w:bCs/>
                <w:i w:val="0"/>
                <w:iCs w:val="0"/>
                <w:color w:val="000000"/>
                <w:sz w:val="21"/>
                <w:szCs w:val="21"/>
                <w:u w:val="none"/>
              </w:rPr>
            </w:pPr>
          </w:p>
        </w:tc>
        <w:tc>
          <w:tcPr>
            <w:tcW w:w="960" w:type="dxa"/>
            <w:vMerge w:val="continue"/>
            <w:tcBorders>
              <w:top w:val="single" w:color="000000" w:sz="8" w:space="0"/>
              <w:left w:val="nil"/>
              <w:bottom w:val="single" w:color="000000" w:sz="8" w:space="0"/>
              <w:right w:val="single" w:color="000000" w:sz="8" w:space="0"/>
            </w:tcBorders>
            <w:shd w:val="clear" w:color="auto" w:fill="auto"/>
            <w:vAlign w:val="center"/>
          </w:tcPr>
          <w:p w14:paraId="6AED6175">
            <w:pPr>
              <w:jc w:val="center"/>
              <w:rPr>
                <w:rFonts w:hint="eastAsia" w:ascii="宋体" w:hAnsi="宋体" w:eastAsia="宋体" w:cs="宋体"/>
                <w:b/>
                <w:bCs/>
                <w:i w:val="0"/>
                <w:iCs w:val="0"/>
                <w:color w:val="000000"/>
                <w:sz w:val="21"/>
                <w:szCs w:val="21"/>
                <w:u w:val="none"/>
              </w:rPr>
            </w:pPr>
          </w:p>
        </w:tc>
        <w:tc>
          <w:tcPr>
            <w:tcW w:w="1716" w:type="dxa"/>
            <w:tcBorders>
              <w:top w:val="nil"/>
              <w:left w:val="nil"/>
              <w:bottom w:val="single" w:color="000000" w:sz="8" w:space="0"/>
              <w:right w:val="single" w:color="000000" w:sz="8" w:space="0"/>
            </w:tcBorders>
            <w:shd w:val="clear" w:color="auto" w:fill="auto"/>
            <w:vAlign w:val="center"/>
          </w:tcPr>
          <w:p w14:paraId="5C534F2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（万元/年/站）</w:t>
            </w:r>
          </w:p>
        </w:tc>
        <w:tc>
          <w:tcPr>
            <w:tcW w:w="7224" w:type="dxa"/>
            <w:vMerge w:val="continue"/>
            <w:tcBorders>
              <w:top w:val="single" w:color="000000" w:sz="8" w:space="0"/>
              <w:left w:val="nil"/>
              <w:bottom w:val="single" w:color="000000" w:sz="8" w:space="0"/>
              <w:right w:val="single" w:color="000000" w:sz="8" w:space="0"/>
            </w:tcBorders>
            <w:shd w:val="clear" w:color="auto" w:fill="auto"/>
            <w:vAlign w:val="center"/>
          </w:tcPr>
          <w:p w14:paraId="621F6F4B">
            <w:pPr>
              <w:jc w:val="center"/>
              <w:rPr>
                <w:rFonts w:hint="eastAsia" w:ascii="宋体" w:hAnsi="宋体" w:eastAsia="宋体" w:cs="宋体"/>
                <w:b/>
                <w:bCs/>
                <w:i w:val="0"/>
                <w:iCs w:val="0"/>
                <w:color w:val="000000"/>
                <w:sz w:val="21"/>
                <w:szCs w:val="21"/>
                <w:u w:val="none"/>
              </w:rPr>
            </w:pPr>
          </w:p>
        </w:tc>
      </w:tr>
      <w:tr w14:paraId="4ABC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1A52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5C4D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运维人员工资</w:t>
            </w:r>
          </w:p>
        </w:tc>
        <w:tc>
          <w:tcPr>
            <w:tcW w:w="1392" w:type="dxa"/>
            <w:tcBorders>
              <w:top w:val="nil"/>
              <w:left w:val="nil"/>
              <w:bottom w:val="single" w:color="000000" w:sz="8" w:space="0"/>
              <w:right w:val="single" w:color="000000" w:sz="8" w:space="0"/>
            </w:tcBorders>
            <w:shd w:val="clear" w:color="auto" w:fill="auto"/>
            <w:noWrap/>
            <w:vAlign w:val="center"/>
          </w:tcPr>
          <w:p w14:paraId="5819F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14</w:t>
            </w:r>
          </w:p>
        </w:tc>
        <w:tc>
          <w:tcPr>
            <w:tcW w:w="960" w:type="dxa"/>
            <w:tcBorders>
              <w:top w:val="nil"/>
              <w:left w:val="nil"/>
              <w:bottom w:val="single" w:color="000000" w:sz="8" w:space="0"/>
              <w:right w:val="single" w:color="000000" w:sz="8" w:space="0"/>
            </w:tcBorders>
            <w:shd w:val="clear" w:color="auto" w:fill="auto"/>
            <w:noWrap/>
            <w:vAlign w:val="center"/>
          </w:tcPr>
          <w:p w14:paraId="09C39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0.25</w:t>
            </w:r>
          </w:p>
        </w:tc>
        <w:tc>
          <w:tcPr>
            <w:tcW w:w="1716" w:type="dxa"/>
            <w:tcBorders>
              <w:top w:val="nil"/>
              <w:left w:val="nil"/>
              <w:bottom w:val="single" w:color="000000" w:sz="8" w:space="0"/>
              <w:right w:val="single" w:color="000000" w:sz="8" w:space="0"/>
            </w:tcBorders>
            <w:shd w:val="clear" w:color="auto" w:fill="auto"/>
            <w:noWrap/>
            <w:vAlign w:val="center"/>
          </w:tcPr>
          <w:p w14:paraId="15E44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3.5</w:t>
            </w:r>
          </w:p>
        </w:tc>
        <w:tc>
          <w:tcPr>
            <w:tcW w:w="7224" w:type="dxa"/>
            <w:tcBorders>
              <w:top w:val="nil"/>
              <w:left w:val="nil"/>
              <w:bottom w:val="single" w:color="000000" w:sz="8" w:space="0"/>
              <w:right w:val="single" w:color="000000" w:sz="8" w:space="0"/>
            </w:tcBorders>
            <w:shd w:val="clear" w:color="auto" w:fill="auto"/>
            <w:vAlign w:val="center"/>
          </w:tcPr>
          <w:p w14:paraId="10089F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按照1/4比例配置运维人员计算，工作费用包括工资、社保、差旅等</w:t>
            </w:r>
          </w:p>
        </w:tc>
      </w:tr>
      <w:tr w14:paraId="112D4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32C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14:paraId="36BF9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车辆使用费</w:t>
            </w:r>
          </w:p>
        </w:tc>
        <w:tc>
          <w:tcPr>
            <w:tcW w:w="1392" w:type="dxa"/>
            <w:tcBorders>
              <w:top w:val="nil"/>
              <w:left w:val="nil"/>
              <w:bottom w:val="single" w:color="000000" w:sz="8" w:space="0"/>
              <w:right w:val="single" w:color="000000" w:sz="8" w:space="0"/>
            </w:tcBorders>
            <w:shd w:val="clear" w:color="auto" w:fill="auto"/>
            <w:noWrap/>
            <w:vAlign w:val="center"/>
          </w:tcPr>
          <w:p w14:paraId="28E15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9.49</w:t>
            </w:r>
          </w:p>
        </w:tc>
        <w:tc>
          <w:tcPr>
            <w:tcW w:w="960" w:type="dxa"/>
            <w:tcBorders>
              <w:top w:val="nil"/>
              <w:left w:val="nil"/>
              <w:bottom w:val="single" w:color="000000" w:sz="8" w:space="0"/>
              <w:right w:val="single" w:color="000000" w:sz="8" w:space="0"/>
            </w:tcBorders>
            <w:shd w:val="clear" w:color="auto" w:fill="auto"/>
            <w:noWrap/>
            <w:vAlign w:val="center"/>
          </w:tcPr>
          <w:p w14:paraId="3CCCA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0.25</w:t>
            </w:r>
          </w:p>
        </w:tc>
        <w:tc>
          <w:tcPr>
            <w:tcW w:w="1716" w:type="dxa"/>
            <w:tcBorders>
              <w:top w:val="nil"/>
              <w:left w:val="nil"/>
              <w:bottom w:val="single" w:color="000000" w:sz="8" w:space="0"/>
              <w:right w:val="single" w:color="000000" w:sz="8" w:space="0"/>
            </w:tcBorders>
            <w:shd w:val="clear" w:color="auto" w:fill="auto"/>
            <w:noWrap/>
            <w:vAlign w:val="center"/>
          </w:tcPr>
          <w:p w14:paraId="4DEC5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2.3725</w:t>
            </w:r>
          </w:p>
        </w:tc>
        <w:tc>
          <w:tcPr>
            <w:tcW w:w="7224" w:type="dxa"/>
            <w:tcBorders>
              <w:top w:val="nil"/>
              <w:left w:val="nil"/>
              <w:bottom w:val="single" w:color="000000" w:sz="8" w:space="0"/>
              <w:right w:val="single" w:color="000000" w:sz="8" w:space="0"/>
            </w:tcBorders>
            <w:shd w:val="clear" w:color="auto" w:fill="auto"/>
            <w:vAlign w:val="center"/>
          </w:tcPr>
          <w:p w14:paraId="742480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本项目配置运维车辆两辆，按260元/天进行核算</w:t>
            </w:r>
          </w:p>
        </w:tc>
      </w:tr>
      <w:tr w14:paraId="76508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3214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14:paraId="61014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燃油费</w:t>
            </w:r>
          </w:p>
        </w:tc>
        <w:tc>
          <w:tcPr>
            <w:tcW w:w="1392" w:type="dxa"/>
            <w:tcBorders>
              <w:top w:val="nil"/>
              <w:left w:val="nil"/>
              <w:bottom w:val="single" w:color="000000" w:sz="8" w:space="0"/>
              <w:right w:val="single" w:color="000000" w:sz="8" w:space="0"/>
            </w:tcBorders>
            <w:shd w:val="clear" w:color="auto" w:fill="auto"/>
            <w:noWrap/>
            <w:vAlign w:val="center"/>
          </w:tcPr>
          <w:p w14:paraId="6FCEB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0.9</w:t>
            </w:r>
          </w:p>
        </w:tc>
        <w:tc>
          <w:tcPr>
            <w:tcW w:w="960" w:type="dxa"/>
            <w:tcBorders>
              <w:top w:val="nil"/>
              <w:left w:val="nil"/>
              <w:bottom w:val="single" w:color="000000" w:sz="8" w:space="0"/>
              <w:right w:val="single" w:color="000000" w:sz="8" w:space="0"/>
            </w:tcBorders>
            <w:shd w:val="clear" w:color="auto" w:fill="auto"/>
            <w:noWrap/>
            <w:vAlign w:val="center"/>
          </w:tcPr>
          <w:p w14:paraId="00852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0.125</w:t>
            </w:r>
          </w:p>
        </w:tc>
        <w:tc>
          <w:tcPr>
            <w:tcW w:w="1716" w:type="dxa"/>
            <w:tcBorders>
              <w:top w:val="nil"/>
              <w:left w:val="nil"/>
              <w:bottom w:val="single" w:color="000000" w:sz="8" w:space="0"/>
              <w:right w:val="single" w:color="000000" w:sz="8" w:space="0"/>
            </w:tcBorders>
            <w:shd w:val="clear" w:color="auto" w:fill="auto"/>
            <w:noWrap/>
            <w:vAlign w:val="center"/>
          </w:tcPr>
          <w:p w14:paraId="6187F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0.1125</w:t>
            </w:r>
          </w:p>
        </w:tc>
        <w:tc>
          <w:tcPr>
            <w:tcW w:w="7224" w:type="dxa"/>
            <w:tcBorders>
              <w:top w:val="nil"/>
              <w:left w:val="nil"/>
              <w:bottom w:val="single" w:color="000000" w:sz="8" w:space="0"/>
              <w:right w:val="single" w:color="000000" w:sz="8" w:space="0"/>
            </w:tcBorders>
            <w:shd w:val="clear" w:color="auto" w:fill="auto"/>
            <w:vAlign w:val="center"/>
          </w:tcPr>
          <w:p w14:paraId="13BA00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按每年15000公里行驶里程、燃油0.6元/公里进行计算</w:t>
            </w:r>
          </w:p>
        </w:tc>
      </w:tr>
      <w:tr w14:paraId="73E6A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040D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8" w:space="0"/>
              <w:right w:val="single" w:color="000000" w:sz="8" w:space="0"/>
            </w:tcBorders>
            <w:shd w:val="clear" w:color="auto" w:fill="auto"/>
            <w:noWrap/>
            <w:vAlign w:val="center"/>
          </w:tcPr>
          <w:p w14:paraId="38A93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配件耗材费用</w:t>
            </w:r>
          </w:p>
        </w:tc>
        <w:tc>
          <w:tcPr>
            <w:tcW w:w="1392" w:type="dxa"/>
            <w:tcBorders>
              <w:top w:val="nil"/>
              <w:left w:val="nil"/>
              <w:bottom w:val="single" w:color="000000" w:sz="8" w:space="0"/>
              <w:right w:val="single" w:color="000000" w:sz="8" w:space="0"/>
            </w:tcBorders>
            <w:shd w:val="clear" w:color="auto" w:fill="auto"/>
            <w:noWrap/>
            <w:vAlign w:val="center"/>
          </w:tcPr>
          <w:p w14:paraId="0D474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3.05</w:t>
            </w:r>
          </w:p>
        </w:tc>
        <w:tc>
          <w:tcPr>
            <w:tcW w:w="960" w:type="dxa"/>
            <w:tcBorders>
              <w:top w:val="nil"/>
              <w:left w:val="nil"/>
              <w:bottom w:val="single" w:color="000000" w:sz="8" w:space="0"/>
              <w:right w:val="single" w:color="000000" w:sz="8" w:space="0"/>
            </w:tcBorders>
            <w:shd w:val="clear" w:color="auto" w:fill="auto"/>
            <w:noWrap/>
            <w:vAlign w:val="center"/>
          </w:tcPr>
          <w:p w14:paraId="2BFD2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w:t>
            </w:r>
          </w:p>
        </w:tc>
        <w:tc>
          <w:tcPr>
            <w:tcW w:w="1716" w:type="dxa"/>
            <w:tcBorders>
              <w:top w:val="nil"/>
              <w:left w:val="nil"/>
              <w:bottom w:val="single" w:color="000000" w:sz="8" w:space="0"/>
              <w:right w:val="single" w:color="000000" w:sz="8" w:space="0"/>
            </w:tcBorders>
            <w:shd w:val="clear" w:color="auto" w:fill="auto"/>
            <w:noWrap/>
            <w:vAlign w:val="center"/>
          </w:tcPr>
          <w:p w14:paraId="69AD8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3.05</w:t>
            </w:r>
          </w:p>
        </w:tc>
        <w:tc>
          <w:tcPr>
            <w:tcW w:w="7224" w:type="dxa"/>
            <w:tcBorders>
              <w:top w:val="nil"/>
              <w:left w:val="nil"/>
              <w:bottom w:val="single" w:color="000000" w:sz="8" w:space="0"/>
              <w:right w:val="single" w:color="000000" w:sz="8" w:space="0"/>
            </w:tcBorders>
            <w:shd w:val="clear" w:color="auto" w:fill="auto"/>
            <w:vAlign w:val="center"/>
          </w:tcPr>
          <w:p w14:paraId="6D94BF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2"/>
                <w:lang w:val="en-US" w:eastAsia="zh-CN" w:bidi="ar"/>
              </w:rPr>
              <w:t>SO</w:t>
            </w:r>
            <w:r>
              <w:rPr>
                <w:rFonts w:hint="eastAsia" w:ascii="宋体" w:hAnsi="宋体" w:eastAsia="宋体" w:cs="宋体"/>
                <w:i w:val="0"/>
                <w:iCs w:val="0"/>
                <w:color w:val="000000"/>
                <w:kern w:val="0"/>
                <w:sz w:val="21"/>
                <w:szCs w:val="21"/>
                <w:u w:val="none"/>
                <w:vertAlign w:val="subscript"/>
                <w:lang w:val="en-US" w:eastAsia="zh-CN" w:bidi="ar"/>
              </w:rPr>
              <w:t>2</w:t>
            </w:r>
            <w:r>
              <w:rPr>
                <w:rStyle w:val="52"/>
                <w:lang w:val="en-US" w:eastAsia="zh-CN" w:bidi="ar"/>
              </w:rPr>
              <w:t>、CO、NO</w:t>
            </w:r>
            <w:r>
              <w:rPr>
                <w:rFonts w:hint="eastAsia" w:ascii="宋体" w:hAnsi="宋体" w:eastAsia="宋体" w:cs="宋体"/>
                <w:i w:val="0"/>
                <w:iCs w:val="0"/>
                <w:color w:val="000000"/>
                <w:kern w:val="0"/>
                <w:sz w:val="21"/>
                <w:szCs w:val="21"/>
                <w:u w:val="none"/>
                <w:vertAlign w:val="subscript"/>
                <w:lang w:val="en-US" w:eastAsia="zh-CN" w:bidi="ar"/>
              </w:rPr>
              <w:t>2</w:t>
            </w:r>
            <w:r>
              <w:rPr>
                <w:rStyle w:val="52"/>
                <w:lang w:val="en-US" w:eastAsia="zh-CN" w:bidi="ar"/>
              </w:rPr>
              <w:t>标气9000元/年，颗粒物监测仪滤纸6000元/年，滤膜1500元/年，泵膜12000元/年，零气发生器耗材500元/年，日常报告、巡检表格印刷等费用约1500元/年</w:t>
            </w:r>
          </w:p>
        </w:tc>
      </w:tr>
      <w:tr w14:paraId="14219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C459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8" w:space="0"/>
              <w:right w:val="single" w:color="000000" w:sz="8" w:space="0"/>
            </w:tcBorders>
            <w:shd w:val="clear" w:color="auto" w:fill="auto"/>
            <w:noWrap/>
            <w:vAlign w:val="center"/>
          </w:tcPr>
          <w:p w14:paraId="786F2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备品备件费用</w:t>
            </w:r>
          </w:p>
        </w:tc>
        <w:tc>
          <w:tcPr>
            <w:tcW w:w="1392" w:type="dxa"/>
            <w:tcBorders>
              <w:top w:val="nil"/>
              <w:left w:val="nil"/>
              <w:bottom w:val="single" w:color="000000" w:sz="8" w:space="0"/>
              <w:right w:val="single" w:color="000000" w:sz="8" w:space="0"/>
            </w:tcBorders>
            <w:shd w:val="clear" w:color="auto" w:fill="auto"/>
            <w:noWrap/>
            <w:vAlign w:val="center"/>
          </w:tcPr>
          <w:p w14:paraId="2C8B7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1.8</w:t>
            </w:r>
          </w:p>
        </w:tc>
        <w:tc>
          <w:tcPr>
            <w:tcW w:w="960" w:type="dxa"/>
            <w:tcBorders>
              <w:top w:val="nil"/>
              <w:left w:val="nil"/>
              <w:bottom w:val="single" w:color="000000" w:sz="8" w:space="0"/>
              <w:right w:val="single" w:color="000000" w:sz="8" w:space="0"/>
            </w:tcBorders>
            <w:shd w:val="clear" w:color="auto" w:fill="auto"/>
            <w:noWrap/>
            <w:vAlign w:val="center"/>
          </w:tcPr>
          <w:p w14:paraId="4CD6F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w:t>
            </w:r>
          </w:p>
        </w:tc>
        <w:tc>
          <w:tcPr>
            <w:tcW w:w="1716" w:type="dxa"/>
            <w:tcBorders>
              <w:top w:val="nil"/>
              <w:left w:val="nil"/>
              <w:bottom w:val="single" w:color="000000" w:sz="8" w:space="0"/>
              <w:right w:val="single" w:color="000000" w:sz="8" w:space="0"/>
            </w:tcBorders>
            <w:shd w:val="clear" w:color="auto" w:fill="auto"/>
            <w:noWrap/>
            <w:vAlign w:val="center"/>
          </w:tcPr>
          <w:p w14:paraId="0B922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1.8</w:t>
            </w:r>
          </w:p>
        </w:tc>
        <w:tc>
          <w:tcPr>
            <w:tcW w:w="7224" w:type="dxa"/>
            <w:tcBorders>
              <w:top w:val="nil"/>
              <w:left w:val="nil"/>
              <w:bottom w:val="single" w:color="000000" w:sz="8" w:space="0"/>
              <w:right w:val="single" w:color="000000" w:sz="8" w:space="0"/>
            </w:tcBorders>
            <w:shd w:val="clear" w:color="auto" w:fill="auto"/>
            <w:vAlign w:val="center"/>
          </w:tcPr>
          <w:p w14:paraId="668AF8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配置Nox压力板、分析仪光学室、流量板、PMT探测器等备品备件，对故障设备进行维修更换，单站点维修费用按18000元进行计算</w:t>
            </w:r>
          </w:p>
        </w:tc>
      </w:tr>
      <w:tr w14:paraId="6AF08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E674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8" w:space="0"/>
              <w:right w:val="single" w:color="000000" w:sz="8" w:space="0"/>
            </w:tcBorders>
            <w:shd w:val="clear" w:color="auto" w:fill="auto"/>
            <w:noWrap/>
            <w:vAlign w:val="center"/>
          </w:tcPr>
          <w:p w14:paraId="79261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站房维护</w:t>
            </w:r>
          </w:p>
        </w:tc>
        <w:tc>
          <w:tcPr>
            <w:tcW w:w="1392" w:type="dxa"/>
            <w:tcBorders>
              <w:top w:val="nil"/>
              <w:left w:val="nil"/>
              <w:bottom w:val="single" w:color="000000" w:sz="8" w:space="0"/>
              <w:right w:val="single" w:color="000000" w:sz="8" w:space="0"/>
            </w:tcBorders>
            <w:shd w:val="clear" w:color="auto" w:fill="auto"/>
            <w:noWrap/>
            <w:vAlign w:val="center"/>
          </w:tcPr>
          <w:p w14:paraId="0FF08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0.45</w:t>
            </w:r>
          </w:p>
        </w:tc>
        <w:tc>
          <w:tcPr>
            <w:tcW w:w="960" w:type="dxa"/>
            <w:tcBorders>
              <w:top w:val="nil"/>
              <w:left w:val="nil"/>
              <w:bottom w:val="single" w:color="000000" w:sz="8" w:space="0"/>
              <w:right w:val="single" w:color="000000" w:sz="8" w:space="0"/>
            </w:tcBorders>
            <w:shd w:val="clear" w:color="auto" w:fill="auto"/>
            <w:noWrap/>
            <w:vAlign w:val="center"/>
          </w:tcPr>
          <w:p w14:paraId="071FE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w:t>
            </w:r>
          </w:p>
        </w:tc>
        <w:tc>
          <w:tcPr>
            <w:tcW w:w="1716" w:type="dxa"/>
            <w:tcBorders>
              <w:top w:val="nil"/>
              <w:left w:val="nil"/>
              <w:bottom w:val="single" w:color="000000" w:sz="8" w:space="0"/>
              <w:right w:val="single" w:color="000000" w:sz="8" w:space="0"/>
            </w:tcBorders>
            <w:shd w:val="clear" w:color="auto" w:fill="auto"/>
            <w:noWrap/>
            <w:vAlign w:val="center"/>
          </w:tcPr>
          <w:p w14:paraId="66E49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0.45</w:t>
            </w:r>
          </w:p>
        </w:tc>
        <w:tc>
          <w:tcPr>
            <w:tcW w:w="7224" w:type="dxa"/>
            <w:tcBorders>
              <w:top w:val="nil"/>
              <w:left w:val="nil"/>
              <w:bottom w:val="single" w:color="000000" w:sz="8" w:space="0"/>
              <w:right w:val="single" w:color="000000" w:sz="8" w:space="0"/>
            </w:tcBorders>
            <w:shd w:val="clear" w:color="auto" w:fill="auto"/>
            <w:vAlign w:val="center"/>
          </w:tcPr>
          <w:p w14:paraId="6A7E25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设备维修年均0.45万/站</w:t>
            </w:r>
          </w:p>
        </w:tc>
      </w:tr>
      <w:tr w14:paraId="2473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FC17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center"/>
          </w:tcPr>
          <w:p w14:paraId="4D207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网络费</w:t>
            </w:r>
          </w:p>
        </w:tc>
        <w:tc>
          <w:tcPr>
            <w:tcW w:w="1392" w:type="dxa"/>
            <w:tcBorders>
              <w:top w:val="nil"/>
              <w:left w:val="nil"/>
              <w:bottom w:val="single" w:color="000000" w:sz="8" w:space="0"/>
              <w:right w:val="single" w:color="000000" w:sz="8" w:space="0"/>
            </w:tcBorders>
            <w:shd w:val="clear" w:color="auto" w:fill="auto"/>
            <w:noWrap/>
            <w:vAlign w:val="center"/>
          </w:tcPr>
          <w:p w14:paraId="29C89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0.24</w:t>
            </w:r>
          </w:p>
        </w:tc>
        <w:tc>
          <w:tcPr>
            <w:tcW w:w="960" w:type="dxa"/>
            <w:tcBorders>
              <w:top w:val="nil"/>
              <w:left w:val="nil"/>
              <w:bottom w:val="single" w:color="000000" w:sz="8" w:space="0"/>
              <w:right w:val="single" w:color="000000" w:sz="8" w:space="0"/>
            </w:tcBorders>
            <w:shd w:val="clear" w:color="auto" w:fill="auto"/>
            <w:noWrap/>
            <w:vAlign w:val="center"/>
          </w:tcPr>
          <w:p w14:paraId="564F9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w:t>
            </w:r>
          </w:p>
        </w:tc>
        <w:tc>
          <w:tcPr>
            <w:tcW w:w="1716" w:type="dxa"/>
            <w:tcBorders>
              <w:top w:val="nil"/>
              <w:left w:val="nil"/>
              <w:bottom w:val="single" w:color="000000" w:sz="8" w:space="0"/>
              <w:right w:val="single" w:color="000000" w:sz="8" w:space="0"/>
            </w:tcBorders>
            <w:shd w:val="clear" w:color="auto" w:fill="auto"/>
            <w:noWrap/>
            <w:vAlign w:val="center"/>
          </w:tcPr>
          <w:p w14:paraId="6934E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0.24</w:t>
            </w:r>
          </w:p>
        </w:tc>
        <w:tc>
          <w:tcPr>
            <w:tcW w:w="7224" w:type="dxa"/>
            <w:tcBorders>
              <w:top w:val="nil"/>
              <w:left w:val="nil"/>
              <w:bottom w:val="single" w:color="000000" w:sz="8" w:space="0"/>
              <w:right w:val="single" w:color="000000" w:sz="8" w:space="0"/>
            </w:tcBorders>
            <w:shd w:val="clear" w:color="auto" w:fill="auto"/>
            <w:vAlign w:val="center"/>
          </w:tcPr>
          <w:p w14:paraId="2673E3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根据市场价为200元/月/站，一年合计2400元。</w:t>
            </w:r>
          </w:p>
        </w:tc>
      </w:tr>
      <w:tr w14:paraId="4491D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2B2A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8" w:space="0"/>
              <w:right w:val="single" w:color="000000" w:sz="8" w:space="0"/>
            </w:tcBorders>
            <w:shd w:val="clear" w:color="auto" w:fill="auto"/>
            <w:noWrap/>
            <w:vAlign w:val="center"/>
          </w:tcPr>
          <w:p w14:paraId="3102F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电费</w:t>
            </w:r>
          </w:p>
        </w:tc>
        <w:tc>
          <w:tcPr>
            <w:tcW w:w="1392" w:type="dxa"/>
            <w:tcBorders>
              <w:top w:val="nil"/>
              <w:left w:val="nil"/>
              <w:bottom w:val="single" w:color="000000" w:sz="8" w:space="0"/>
              <w:right w:val="single" w:color="000000" w:sz="8" w:space="0"/>
            </w:tcBorders>
            <w:shd w:val="clear" w:color="auto" w:fill="auto"/>
            <w:noWrap/>
            <w:vAlign w:val="center"/>
          </w:tcPr>
          <w:p w14:paraId="4AA3F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1.4</w:t>
            </w:r>
          </w:p>
        </w:tc>
        <w:tc>
          <w:tcPr>
            <w:tcW w:w="960" w:type="dxa"/>
            <w:tcBorders>
              <w:top w:val="nil"/>
              <w:left w:val="nil"/>
              <w:bottom w:val="single" w:color="000000" w:sz="8" w:space="0"/>
              <w:right w:val="single" w:color="000000" w:sz="8" w:space="0"/>
            </w:tcBorders>
            <w:shd w:val="clear" w:color="auto" w:fill="auto"/>
            <w:noWrap/>
            <w:vAlign w:val="center"/>
          </w:tcPr>
          <w:p w14:paraId="4ABD3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w:t>
            </w:r>
          </w:p>
        </w:tc>
        <w:tc>
          <w:tcPr>
            <w:tcW w:w="1716" w:type="dxa"/>
            <w:tcBorders>
              <w:top w:val="nil"/>
              <w:left w:val="nil"/>
              <w:bottom w:val="single" w:color="000000" w:sz="8" w:space="0"/>
              <w:right w:val="single" w:color="000000" w:sz="8" w:space="0"/>
            </w:tcBorders>
            <w:shd w:val="clear" w:color="auto" w:fill="auto"/>
            <w:noWrap/>
            <w:vAlign w:val="center"/>
          </w:tcPr>
          <w:p w14:paraId="30ECB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1.4</w:t>
            </w:r>
          </w:p>
        </w:tc>
        <w:tc>
          <w:tcPr>
            <w:tcW w:w="7224" w:type="dxa"/>
            <w:tcBorders>
              <w:top w:val="nil"/>
              <w:left w:val="nil"/>
              <w:bottom w:val="single" w:color="000000" w:sz="8" w:space="0"/>
              <w:right w:val="single" w:color="000000" w:sz="8" w:space="0"/>
            </w:tcBorders>
            <w:shd w:val="clear" w:color="auto" w:fill="auto"/>
            <w:vAlign w:val="center"/>
          </w:tcPr>
          <w:p w14:paraId="292FEA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2"/>
                <w:lang w:val="en-US" w:eastAsia="zh-CN" w:bidi="ar"/>
              </w:rPr>
              <w:t>根据</w:t>
            </w:r>
            <w:r>
              <w:rPr>
                <w:rFonts w:hint="eastAsia" w:ascii="宋体" w:hAnsi="宋体" w:eastAsia="宋体" w:cs="宋体"/>
                <w:i w:val="0"/>
                <w:iCs w:val="0"/>
                <w:color w:val="000000"/>
                <w:kern w:val="0"/>
                <w:sz w:val="21"/>
                <w:szCs w:val="21"/>
                <w:u w:val="none"/>
                <w:lang w:val="en-US" w:eastAsia="zh-CN" w:bidi="ar"/>
              </w:rPr>
              <w:t>站点缴费记录</w:t>
            </w:r>
            <w:r>
              <w:rPr>
                <w:rStyle w:val="52"/>
                <w:lang w:val="en-US" w:eastAsia="zh-CN" w:bidi="ar"/>
              </w:rPr>
              <w:t>，其中电费一年总价为1.4万元</w:t>
            </w:r>
          </w:p>
        </w:tc>
      </w:tr>
      <w:tr w14:paraId="7A165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E5A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nil"/>
              <w:bottom w:val="single" w:color="000000" w:sz="8" w:space="0"/>
              <w:right w:val="single" w:color="000000" w:sz="8" w:space="0"/>
            </w:tcBorders>
            <w:shd w:val="clear" w:color="auto" w:fill="auto"/>
            <w:noWrap/>
            <w:vAlign w:val="center"/>
          </w:tcPr>
          <w:p w14:paraId="01782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质控设备使用费</w:t>
            </w:r>
          </w:p>
        </w:tc>
        <w:tc>
          <w:tcPr>
            <w:tcW w:w="1392" w:type="dxa"/>
            <w:tcBorders>
              <w:top w:val="nil"/>
              <w:left w:val="nil"/>
              <w:bottom w:val="single" w:color="000000" w:sz="8" w:space="0"/>
              <w:right w:val="single" w:color="000000" w:sz="8" w:space="0"/>
            </w:tcBorders>
            <w:shd w:val="clear" w:color="auto" w:fill="auto"/>
            <w:noWrap/>
            <w:vAlign w:val="center"/>
          </w:tcPr>
          <w:p w14:paraId="6370A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0.75</w:t>
            </w:r>
          </w:p>
        </w:tc>
        <w:tc>
          <w:tcPr>
            <w:tcW w:w="960" w:type="dxa"/>
            <w:tcBorders>
              <w:top w:val="nil"/>
              <w:left w:val="nil"/>
              <w:bottom w:val="single" w:color="000000" w:sz="8" w:space="0"/>
              <w:right w:val="single" w:color="000000" w:sz="8" w:space="0"/>
            </w:tcBorders>
            <w:shd w:val="clear" w:color="auto" w:fill="auto"/>
            <w:noWrap/>
            <w:vAlign w:val="center"/>
          </w:tcPr>
          <w:p w14:paraId="60FF9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0.25</w:t>
            </w:r>
          </w:p>
        </w:tc>
        <w:tc>
          <w:tcPr>
            <w:tcW w:w="1716" w:type="dxa"/>
            <w:tcBorders>
              <w:top w:val="nil"/>
              <w:left w:val="nil"/>
              <w:bottom w:val="single" w:color="000000" w:sz="8" w:space="0"/>
              <w:right w:val="single" w:color="000000" w:sz="8" w:space="0"/>
            </w:tcBorders>
            <w:shd w:val="clear" w:color="auto" w:fill="auto"/>
            <w:noWrap/>
            <w:vAlign w:val="center"/>
          </w:tcPr>
          <w:p w14:paraId="2E7BA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0.1875</w:t>
            </w:r>
          </w:p>
        </w:tc>
        <w:tc>
          <w:tcPr>
            <w:tcW w:w="7224" w:type="dxa"/>
            <w:tcBorders>
              <w:top w:val="nil"/>
              <w:left w:val="nil"/>
              <w:bottom w:val="single" w:color="000000" w:sz="8" w:space="0"/>
              <w:right w:val="single" w:color="000000" w:sz="8" w:space="0"/>
            </w:tcBorders>
            <w:shd w:val="clear" w:color="auto" w:fill="auto"/>
            <w:vAlign w:val="center"/>
          </w:tcPr>
          <w:p w14:paraId="2E4477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每4站配1套大、小流量计，标准气压计、标准温度计等，5年折旧，流量计3250元/套/年，标准气压计和标准温度计500元/套/年</w:t>
            </w:r>
          </w:p>
        </w:tc>
      </w:tr>
      <w:tr w14:paraId="32BD1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05D2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nil"/>
              <w:left w:val="nil"/>
              <w:bottom w:val="single" w:color="000000" w:sz="8" w:space="0"/>
              <w:right w:val="single" w:color="000000" w:sz="8" w:space="0"/>
            </w:tcBorders>
            <w:shd w:val="clear" w:color="auto" w:fill="auto"/>
            <w:noWrap/>
            <w:vAlign w:val="center"/>
          </w:tcPr>
          <w:p w14:paraId="79286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臭氧校准仪</w:t>
            </w:r>
          </w:p>
        </w:tc>
        <w:tc>
          <w:tcPr>
            <w:tcW w:w="1392" w:type="dxa"/>
            <w:tcBorders>
              <w:top w:val="nil"/>
              <w:left w:val="nil"/>
              <w:bottom w:val="single" w:color="000000" w:sz="8" w:space="0"/>
              <w:right w:val="single" w:color="000000" w:sz="8" w:space="0"/>
            </w:tcBorders>
            <w:shd w:val="clear" w:color="auto" w:fill="auto"/>
            <w:noWrap/>
            <w:vAlign w:val="center"/>
          </w:tcPr>
          <w:p w14:paraId="5EB2B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0.26</w:t>
            </w:r>
          </w:p>
        </w:tc>
        <w:tc>
          <w:tcPr>
            <w:tcW w:w="960" w:type="dxa"/>
            <w:tcBorders>
              <w:top w:val="nil"/>
              <w:left w:val="nil"/>
              <w:bottom w:val="single" w:color="000000" w:sz="8" w:space="0"/>
              <w:right w:val="single" w:color="000000" w:sz="8" w:space="0"/>
            </w:tcBorders>
            <w:shd w:val="clear" w:color="auto" w:fill="auto"/>
            <w:noWrap/>
            <w:vAlign w:val="center"/>
          </w:tcPr>
          <w:p w14:paraId="3A785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w:t>
            </w:r>
          </w:p>
        </w:tc>
        <w:tc>
          <w:tcPr>
            <w:tcW w:w="1716" w:type="dxa"/>
            <w:tcBorders>
              <w:top w:val="nil"/>
              <w:left w:val="nil"/>
              <w:bottom w:val="single" w:color="000000" w:sz="8" w:space="0"/>
              <w:right w:val="single" w:color="000000" w:sz="8" w:space="0"/>
            </w:tcBorders>
            <w:shd w:val="clear" w:color="auto" w:fill="auto"/>
            <w:noWrap/>
            <w:vAlign w:val="center"/>
          </w:tcPr>
          <w:p w14:paraId="1F863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0.26</w:t>
            </w:r>
          </w:p>
        </w:tc>
        <w:tc>
          <w:tcPr>
            <w:tcW w:w="7224" w:type="dxa"/>
            <w:tcBorders>
              <w:top w:val="nil"/>
              <w:left w:val="nil"/>
              <w:bottom w:val="single" w:color="000000" w:sz="8" w:space="0"/>
              <w:right w:val="single" w:color="000000" w:sz="8" w:space="0"/>
            </w:tcBorders>
            <w:shd w:val="clear" w:color="auto" w:fill="auto"/>
            <w:vAlign w:val="center"/>
          </w:tcPr>
          <w:p w14:paraId="1F3925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配1套臭氧校准仪，5年折旧，2600元/套/年</w:t>
            </w:r>
          </w:p>
        </w:tc>
      </w:tr>
      <w:tr w14:paraId="1F649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7F79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nil"/>
              <w:left w:val="nil"/>
              <w:bottom w:val="single" w:color="000000" w:sz="8" w:space="0"/>
              <w:right w:val="single" w:color="000000" w:sz="8" w:space="0"/>
            </w:tcBorders>
            <w:shd w:val="clear" w:color="auto" w:fill="auto"/>
            <w:noWrap/>
            <w:vAlign w:val="center"/>
          </w:tcPr>
          <w:p w14:paraId="578E0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质控设备检定</w:t>
            </w:r>
          </w:p>
        </w:tc>
        <w:tc>
          <w:tcPr>
            <w:tcW w:w="1392" w:type="dxa"/>
            <w:tcBorders>
              <w:top w:val="nil"/>
              <w:left w:val="nil"/>
              <w:bottom w:val="single" w:color="000000" w:sz="8" w:space="0"/>
              <w:right w:val="single" w:color="000000" w:sz="8" w:space="0"/>
            </w:tcBorders>
            <w:shd w:val="clear" w:color="auto" w:fill="auto"/>
            <w:noWrap/>
            <w:vAlign w:val="center"/>
          </w:tcPr>
          <w:p w14:paraId="0E0E1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0.355</w:t>
            </w:r>
          </w:p>
        </w:tc>
        <w:tc>
          <w:tcPr>
            <w:tcW w:w="960" w:type="dxa"/>
            <w:tcBorders>
              <w:top w:val="nil"/>
              <w:left w:val="nil"/>
              <w:bottom w:val="single" w:color="000000" w:sz="8" w:space="0"/>
              <w:right w:val="single" w:color="000000" w:sz="8" w:space="0"/>
            </w:tcBorders>
            <w:shd w:val="clear" w:color="auto" w:fill="auto"/>
            <w:noWrap/>
            <w:vAlign w:val="center"/>
          </w:tcPr>
          <w:p w14:paraId="2503F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w:t>
            </w:r>
          </w:p>
        </w:tc>
        <w:tc>
          <w:tcPr>
            <w:tcW w:w="1716" w:type="dxa"/>
            <w:tcBorders>
              <w:top w:val="nil"/>
              <w:left w:val="nil"/>
              <w:bottom w:val="single" w:color="000000" w:sz="8" w:space="0"/>
              <w:right w:val="single" w:color="000000" w:sz="8" w:space="0"/>
            </w:tcBorders>
            <w:shd w:val="clear" w:color="auto" w:fill="auto"/>
            <w:noWrap/>
            <w:vAlign w:val="center"/>
          </w:tcPr>
          <w:p w14:paraId="1B52F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0.355</w:t>
            </w:r>
          </w:p>
        </w:tc>
        <w:tc>
          <w:tcPr>
            <w:tcW w:w="7224" w:type="dxa"/>
            <w:tcBorders>
              <w:top w:val="nil"/>
              <w:left w:val="nil"/>
              <w:bottom w:val="single" w:color="000000" w:sz="8" w:space="0"/>
              <w:right w:val="single" w:color="000000" w:sz="8" w:space="0"/>
            </w:tcBorders>
            <w:shd w:val="clear" w:color="auto" w:fill="auto"/>
            <w:vAlign w:val="center"/>
          </w:tcPr>
          <w:p w14:paraId="024706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流量计检定费用2000/套，大气压计、温湿度计检定费用1550元/套</w:t>
            </w:r>
          </w:p>
        </w:tc>
      </w:tr>
      <w:tr w14:paraId="2353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4"/>
            <w:tcBorders>
              <w:top w:val="nil"/>
              <w:left w:val="single" w:color="000000" w:sz="8" w:space="0"/>
              <w:bottom w:val="single" w:color="000000" w:sz="8" w:space="0"/>
              <w:right w:val="single" w:color="000000" w:sz="8" w:space="0"/>
            </w:tcBorders>
            <w:shd w:val="clear" w:color="auto" w:fill="auto"/>
            <w:noWrap/>
            <w:vAlign w:val="center"/>
          </w:tcPr>
          <w:p w14:paraId="66EABAE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单个站点费用合计</w:t>
            </w:r>
          </w:p>
        </w:tc>
        <w:tc>
          <w:tcPr>
            <w:tcW w:w="0" w:type="auto"/>
            <w:gridSpan w:val="2"/>
            <w:tcBorders>
              <w:top w:val="nil"/>
              <w:left w:val="nil"/>
              <w:bottom w:val="single" w:color="000000" w:sz="8" w:space="0"/>
              <w:right w:val="single" w:color="000000" w:sz="8" w:space="0"/>
            </w:tcBorders>
            <w:shd w:val="clear" w:color="auto" w:fill="auto"/>
            <w:noWrap/>
            <w:vAlign w:val="center"/>
          </w:tcPr>
          <w:p w14:paraId="29FAA8B2">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13.7275</w:t>
            </w:r>
          </w:p>
        </w:tc>
      </w:tr>
      <w:tr w14:paraId="28D9B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4"/>
            <w:tcBorders>
              <w:top w:val="nil"/>
              <w:left w:val="single" w:color="000000" w:sz="8" w:space="0"/>
              <w:bottom w:val="single" w:color="000000" w:sz="8" w:space="0"/>
              <w:right w:val="single" w:color="000000" w:sz="8" w:space="0"/>
            </w:tcBorders>
            <w:shd w:val="clear" w:color="auto" w:fill="auto"/>
            <w:noWrap/>
            <w:vAlign w:val="center"/>
          </w:tcPr>
          <w:p w14:paraId="7A92C88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17个站点费用共计</w:t>
            </w:r>
          </w:p>
        </w:tc>
        <w:tc>
          <w:tcPr>
            <w:tcW w:w="0" w:type="auto"/>
            <w:gridSpan w:val="2"/>
            <w:tcBorders>
              <w:top w:val="nil"/>
              <w:left w:val="nil"/>
              <w:bottom w:val="single" w:color="000000" w:sz="8" w:space="0"/>
              <w:right w:val="single" w:color="000000" w:sz="8" w:space="0"/>
            </w:tcBorders>
            <w:shd w:val="clear" w:color="auto" w:fill="auto"/>
            <w:noWrap/>
            <w:vAlign w:val="center"/>
          </w:tcPr>
          <w:p w14:paraId="204FAAA4">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233.3675</w:t>
            </w:r>
          </w:p>
        </w:tc>
      </w:tr>
    </w:tbl>
    <w:p w14:paraId="264B059C">
      <w:pPr>
        <w:jc w:val="center"/>
        <w:outlineLvl w:val="0"/>
        <w:rPr>
          <w:rFonts w:hint="eastAsia" w:ascii="新宋体" w:hAnsi="新宋体" w:eastAsia="新宋体" w:cs="新宋体"/>
          <w:color w:val="auto"/>
          <w:kern w:val="0"/>
          <w:sz w:val="28"/>
          <w:szCs w:val="28"/>
          <w:lang w:val="en-US" w:eastAsia="zh-CN"/>
        </w:rPr>
        <w:sectPr>
          <w:footnotePr>
            <w:pos w:val="beneathText"/>
          </w:footnotePr>
          <w:pgSz w:w="16838" w:h="11906" w:orient="landscape"/>
          <w:pgMar w:top="1800" w:right="1440" w:bottom="1800" w:left="1440" w:header="720" w:footer="992" w:gutter="0"/>
          <w:pgNumType w:fmt="decimal"/>
          <w:cols w:space="720" w:num="1"/>
          <w:docGrid w:type="lines" w:linePitch="312" w:charSpace="0"/>
        </w:sectPr>
      </w:pPr>
    </w:p>
    <w:p w14:paraId="00E58B0E">
      <w:pPr>
        <w:jc w:val="center"/>
        <w:outlineLvl w:val="0"/>
        <w:rPr>
          <w:rFonts w:ascii="宋体" w:hAnsi="宋体" w:eastAsia="宋体"/>
          <w:b/>
          <w:bCs/>
          <w:color w:val="auto"/>
          <w:kern w:val="0"/>
          <w:sz w:val="44"/>
          <w:szCs w:val="44"/>
        </w:rPr>
      </w:pPr>
      <w:r>
        <w:rPr>
          <w:rFonts w:hint="eastAsia" w:ascii="宋体" w:hAnsi="宋体" w:eastAsia="宋体"/>
          <w:b/>
          <w:bCs/>
          <w:color w:val="auto"/>
          <w:kern w:val="0"/>
          <w:sz w:val="44"/>
          <w:szCs w:val="44"/>
        </w:rPr>
        <w:t xml:space="preserve">第四章 </w:t>
      </w:r>
      <w:bookmarkStart w:id="23" w:name="评标办法"/>
      <w:r>
        <w:rPr>
          <w:rFonts w:hint="eastAsia" w:ascii="宋体" w:hAnsi="宋体" w:eastAsia="宋体"/>
          <w:b/>
          <w:bCs/>
          <w:color w:val="auto"/>
          <w:kern w:val="0"/>
          <w:sz w:val="44"/>
          <w:szCs w:val="44"/>
        </w:rPr>
        <w:t>评标办法</w:t>
      </w:r>
      <w:bookmarkEnd w:id="4"/>
      <w:bookmarkEnd w:id="23"/>
    </w:p>
    <w:p w14:paraId="7D80AC25">
      <w:pPr>
        <w:widowControl/>
        <w:spacing w:line="360" w:lineRule="auto"/>
        <w:ind w:firstLine="480"/>
        <w:rPr>
          <w:rFonts w:ascii="宋体" w:hAnsi="宋体" w:eastAsia="宋体"/>
          <w:color w:val="auto"/>
          <w:kern w:val="0"/>
          <w:sz w:val="28"/>
          <w:szCs w:val="28"/>
        </w:rPr>
      </w:pPr>
      <w:r>
        <w:rPr>
          <w:rFonts w:hint="eastAsia" w:ascii="宋体" w:hAnsi="宋体" w:eastAsia="宋体"/>
          <w:b/>
          <w:bCs/>
          <w:color w:val="auto"/>
          <w:kern w:val="0"/>
          <w:sz w:val="28"/>
          <w:szCs w:val="28"/>
        </w:rPr>
        <w:t>1. 投标文件的评审、比较和否决</w:t>
      </w:r>
    </w:p>
    <w:p w14:paraId="51EE908A">
      <w:pPr>
        <w:widowControl/>
        <w:spacing w:line="360" w:lineRule="auto"/>
        <w:ind w:firstLine="480"/>
        <w:rPr>
          <w:rFonts w:ascii="宋体" w:hAnsi="宋体" w:eastAsia="宋体"/>
          <w:color w:val="auto"/>
          <w:kern w:val="0"/>
          <w:sz w:val="28"/>
          <w:szCs w:val="28"/>
        </w:rPr>
      </w:pPr>
      <w:r>
        <w:rPr>
          <w:rFonts w:hint="eastAsia" w:ascii="宋体" w:hAnsi="宋体" w:eastAsia="宋体"/>
          <w:b/>
          <w:bCs/>
          <w:color w:val="auto"/>
          <w:kern w:val="0"/>
          <w:sz w:val="28"/>
          <w:szCs w:val="28"/>
        </w:rPr>
        <w:t>1.1</w:t>
      </w:r>
      <w:r>
        <w:rPr>
          <w:rFonts w:hint="eastAsia" w:ascii="宋体" w:hAnsi="宋体" w:eastAsia="宋体"/>
          <w:color w:val="auto"/>
          <w:kern w:val="0"/>
          <w:sz w:val="28"/>
          <w:szCs w:val="28"/>
        </w:rPr>
        <w:t>评标委员会将按照招标文件的规定，仅对在实质上响应招标文件要求的投标文件进行评估和比较。</w:t>
      </w:r>
    </w:p>
    <w:p w14:paraId="3FFAD438">
      <w:pPr>
        <w:widowControl/>
        <w:spacing w:line="360" w:lineRule="auto"/>
        <w:ind w:firstLine="480"/>
        <w:rPr>
          <w:rFonts w:ascii="宋体" w:hAnsi="宋体" w:eastAsia="宋体"/>
          <w:color w:val="auto"/>
          <w:kern w:val="0"/>
          <w:sz w:val="28"/>
          <w:szCs w:val="28"/>
        </w:rPr>
      </w:pPr>
      <w:r>
        <w:rPr>
          <w:rFonts w:hint="eastAsia" w:ascii="宋体" w:hAnsi="宋体" w:eastAsia="宋体"/>
          <w:b/>
          <w:bCs/>
          <w:color w:val="auto"/>
          <w:kern w:val="0"/>
          <w:sz w:val="28"/>
          <w:szCs w:val="28"/>
        </w:rPr>
        <w:t>1.2</w:t>
      </w:r>
      <w:r>
        <w:rPr>
          <w:rFonts w:hint="eastAsia" w:ascii="宋体" w:hAnsi="宋体" w:eastAsia="宋体"/>
          <w:color w:val="auto"/>
          <w:kern w:val="0"/>
          <w:sz w:val="28"/>
          <w:szCs w:val="28"/>
        </w:rPr>
        <w:t>根据相关法律法规及有关招标投标文件规定，结合本项目具体情况，制定本次招标评标办法。并按照“公平、公正、科学、择优”的原则进行评标。采用百分制综合评估法进行评比。</w:t>
      </w:r>
    </w:p>
    <w:p w14:paraId="4465406C">
      <w:pPr>
        <w:widowControl/>
        <w:spacing w:line="360" w:lineRule="auto"/>
        <w:ind w:firstLine="480"/>
        <w:rPr>
          <w:rFonts w:ascii="宋体" w:hAnsi="宋体" w:eastAsia="宋体"/>
          <w:color w:val="auto"/>
          <w:kern w:val="0"/>
          <w:sz w:val="28"/>
          <w:szCs w:val="28"/>
        </w:rPr>
      </w:pPr>
      <w:r>
        <w:rPr>
          <w:rFonts w:hint="eastAsia" w:ascii="宋体" w:hAnsi="宋体" w:eastAsia="宋体"/>
          <w:b/>
          <w:bCs/>
          <w:color w:val="auto"/>
          <w:kern w:val="0"/>
          <w:sz w:val="28"/>
          <w:szCs w:val="28"/>
        </w:rPr>
        <w:t>1.3</w:t>
      </w:r>
      <w:r>
        <w:rPr>
          <w:rFonts w:hint="eastAsia" w:ascii="宋体" w:hAnsi="宋体" w:eastAsia="宋体"/>
          <w:color w:val="auto"/>
          <w:kern w:val="0"/>
          <w:sz w:val="28"/>
          <w:szCs w:val="28"/>
        </w:rPr>
        <w:t>在评审过程中，评标委员会可以要求投标供应商就投标文件中含义不明确的内容进行陈述；</w:t>
      </w:r>
      <w:r>
        <w:rPr>
          <w:rFonts w:hint="eastAsia" w:ascii="宋体" w:hAnsi="宋体" w:eastAsia="宋体"/>
          <w:color w:val="auto"/>
          <w:spacing w:val="-12"/>
          <w:kern w:val="0"/>
          <w:sz w:val="28"/>
          <w:szCs w:val="28"/>
        </w:rPr>
        <w:t>凡遇到招标文件中无界定或界定不清、前后不一致使评委会成员</w:t>
      </w:r>
      <w:r>
        <w:rPr>
          <w:rFonts w:hint="eastAsia" w:ascii="宋体" w:hAnsi="宋体" w:eastAsia="宋体"/>
          <w:color w:val="auto"/>
          <w:kern w:val="0"/>
          <w:sz w:val="28"/>
          <w:szCs w:val="28"/>
        </w:rPr>
        <w:t>意见</w:t>
      </w:r>
      <w:r>
        <w:rPr>
          <w:rFonts w:hint="eastAsia" w:ascii="宋体" w:hAnsi="宋体" w:eastAsia="宋体"/>
          <w:color w:val="auto"/>
          <w:spacing w:val="-12"/>
          <w:kern w:val="0"/>
          <w:sz w:val="28"/>
          <w:szCs w:val="28"/>
        </w:rPr>
        <w:t>有分歧且又难于协商一致的问题，均由评委会予以表决，获半数以上同意的即为通过，未获半数同意的即为否决</w:t>
      </w:r>
      <w:r>
        <w:rPr>
          <w:rFonts w:hint="eastAsia" w:ascii="宋体" w:hAnsi="宋体" w:eastAsia="宋体"/>
          <w:color w:val="auto"/>
          <w:kern w:val="0"/>
          <w:sz w:val="28"/>
          <w:szCs w:val="28"/>
        </w:rPr>
        <w:t>。</w:t>
      </w:r>
    </w:p>
    <w:p w14:paraId="6524E690">
      <w:pPr>
        <w:widowControl/>
        <w:spacing w:line="360" w:lineRule="auto"/>
        <w:ind w:firstLine="480"/>
        <w:rPr>
          <w:rFonts w:ascii="宋体" w:hAnsi="宋体" w:eastAsia="宋体"/>
          <w:color w:val="auto"/>
          <w:kern w:val="0"/>
          <w:sz w:val="28"/>
          <w:szCs w:val="28"/>
        </w:rPr>
      </w:pPr>
      <w:r>
        <w:rPr>
          <w:rFonts w:hint="eastAsia" w:ascii="宋体" w:hAnsi="宋体" w:eastAsia="宋体"/>
          <w:b/>
          <w:bCs/>
          <w:color w:val="auto"/>
          <w:kern w:val="0"/>
          <w:sz w:val="28"/>
          <w:szCs w:val="28"/>
        </w:rPr>
        <w:t>1.4</w:t>
      </w:r>
      <w:r>
        <w:rPr>
          <w:rFonts w:hint="eastAsia" w:ascii="宋体" w:hAnsi="宋体" w:eastAsia="宋体"/>
          <w:color w:val="auto"/>
          <w:kern w:val="0"/>
          <w:sz w:val="28"/>
          <w:szCs w:val="28"/>
        </w:rPr>
        <w:t>评标时，投标报价是评标的重要依据，但不是唯一依据，</w:t>
      </w:r>
      <w:r>
        <w:rPr>
          <w:rFonts w:hint="eastAsia" w:ascii="宋体" w:hAnsi="宋体"/>
          <w:color w:val="auto"/>
          <w:kern w:val="0"/>
          <w:sz w:val="28"/>
          <w:szCs w:val="28"/>
          <w:lang w:eastAsia="zh-CN"/>
        </w:rPr>
        <w:t>采购人</w:t>
      </w:r>
      <w:r>
        <w:rPr>
          <w:rFonts w:hint="eastAsia" w:ascii="宋体" w:hAnsi="宋体" w:eastAsia="宋体"/>
          <w:color w:val="auto"/>
          <w:kern w:val="0"/>
          <w:sz w:val="28"/>
          <w:szCs w:val="28"/>
        </w:rPr>
        <w:t>不承诺将合同授予报价最低或最高的投标供应商。</w:t>
      </w:r>
    </w:p>
    <w:p w14:paraId="271855E7">
      <w:pPr>
        <w:widowControl/>
        <w:spacing w:line="360" w:lineRule="auto"/>
        <w:ind w:firstLine="480"/>
        <w:rPr>
          <w:rFonts w:ascii="宋体" w:hAnsi="宋体" w:eastAsia="宋体"/>
          <w:color w:val="auto"/>
          <w:kern w:val="0"/>
          <w:sz w:val="28"/>
          <w:szCs w:val="28"/>
        </w:rPr>
      </w:pPr>
      <w:r>
        <w:rPr>
          <w:rFonts w:hint="eastAsia" w:ascii="宋体" w:hAnsi="宋体" w:eastAsia="宋体"/>
          <w:b/>
          <w:bCs/>
          <w:color w:val="auto"/>
          <w:kern w:val="0"/>
          <w:sz w:val="28"/>
          <w:szCs w:val="28"/>
        </w:rPr>
        <w:t>1.5</w:t>
      </w:r>
      <w:r>
        <w:rPr>
          <w:rFonts w:hint="eastAsia" w:ascii="宋体" w:hAnsi="宋体" w:eastAsia="宋体"/>
          <w:color w:val="auto"/>
          <w:kern w:val="0"/>
          <w:sz w:val="28"/>
          <w:szCs w:val="28"/>
        </w:rPr>
        <w:t>评标委员会依据招标文件中规定的评标标准和方法，对投标文件进行评审和比较，向</w:t>
      </w:r>
      <w:r>
        <w:rPr>
          <w:rFonts w:hint="eastAsia" w:ascii="宋体" w:hAnsi="宋体"/>
          <w:color w:val="auto"/>
          <w:kern w:val="0"/>
          <w:sz w:val="28"/>
          <w:szCs w:val="28"/>
          <w:lang w:eastAsia="zh-CN"/>
        </w:rPr>
        <w:t>采购人</w:t>
      </w:r>
      <w:r>
        <w:rPr>
          <w:rFonts w:hint="eastAsia" w:ascii="宋体" w:hAnsi="宋体" w:eastAsia="宋体"/>
          <w:color w:val="auto"/>
          <w:kern w:val="0"/>
          <w:sz w:val="28"/>
          <w:szCs w:val="28"/>
        </w:rPr>
        <w:t>提出书面评标报告，并推荐合格的中标候选人。</w:t>
      </w:r>
      <w:r>
        <w:rPr>
          <w:rFonts w:hint="eastAsia" w:ascii="宋体" w:hAnsi="宋体"/>
          <w:color w:val="auto"/>
          <w:kern w:val="0"/>
          <w:sz w:val="28"/>
          <w:szCs w:val="28"/>
          <w:lang w:eastAsia="zh-CN"/>
        </w:rPr>
        <w:t>采购人</w:t>
      </w:r>
      <w:r>
        <w:rPr>
          <w:rFonts w:hint="eastAsia" w:ascii="宋体" w:hAnsi="宋体" w:eastAsia="宋体"/>
          <w:color w:val="auto"/>
          <w:kern w:val="0"/>
          <w:sz w:val="28"/>
          <w:szCs w:val="28"/>
        </w:rPr>
        <w:t>根据评标委员会提出的书面评标报告和推荐的中标候选人按序确定中标供应商。</w:t>
      </w:r>
    </w:p>
    <w:p w14:paraId="7392602D">
      <w:pPr>
        <w:widowControl/>
        <w:spacing w:line="360" w:lineRule="auto"/>
        <w:ind w:firstLine="480"/>
        <w:rPr>
          <w:rFonts w:ascii="宋体" w:hAnsi="宋体" w:eastAsia="宋体"/>
          <w:color w:val="auto"/>
          <w:kern w:val="0"/>
          <w:sz w:val="28"/>
          <w:szCs w:val="28"/>
        </w:rPr>
      </w:pPr>
      <w:r>
        <w:rPr>
          <w:rFonts w:hint="eastAsia" w:ascii="宋体" w:hAnsi="宋体" w:eastAsia="宋体"/>
          <w:b/>
          <w:bCs/>
          <w:color w:val="auto"/>
          <w:kern w:val="0"/>
          <w:sz w:val="28"/>
          <w:szCs w:val="28"/>
        </w:rPr>
        <w:t>2. 评审程序</w:t>
      </w:r>
    </w:p>
    <w:p w14:paraId="10F147A6">
      <w:pPr>
        <w:widowControl/>
        <w:spacing w:line="360" w:lineRule="auto"/>
        <w:ind w:firstLine="480"/>
        <w:rPr>
          <w:rFonts w:ascii="宋体" w:hAnsi="宋体" w:eastAsia="宋体"/>
          <w:color w:val="auto"/>
          <w:kern w:val="0"/>
          <w:sz w:val="28"/>
          <w:szCs w:val="28"/>
        </w:rPr>
      </w:pPr>
      <w:r>
        <w:rPr>
          <w:rFonts w:hint="eastAsia" w:ascii="宋体" w:hAnsi="宋体" w:eastAsia="宋体"/>
          <w:color w:val="auto"/>
          <w:kern w:val="0"/>
          <w:sz w:val="28"/>
          <w:szCs w:val="28"/>
        </w:rPr>
        <w:t>2.1 资格审查</w:t>
      </w:r>
    </w:p>
    <w:p w14:paraId="1A718EBD">
      <w:pPr>
        <w:widowControl/>
        <w:spacing w:line="360" w:lineRule="auto"/>
        <w:ind w:firstLine="480"/>
        <w:rPr>
          <w:rFonts w:ascii="宋体" w:hAnsi="宋体" w:eastAsia="宋体"/>
          <w:color w:val="auto"/>
          <w:kern w:val="0"/>
          <w:sz w:val="28"/>
          <w:szCs w:val="28"/>
        </w:rPr>
      </w:pPr>
      <w:r>
        <w:rPr>
          <w:rFonts w:hint="eastAsia" w:ascii="宋体" w:hAnsi="宋体" w:eastAsia="宋体"/>
          <w:color w:val="auto"/>
          <w:kern w:val="0"/>
          <w:sz w:val="28"/>
          <w:szCs w:val="28"/>
        </w:rPr>
        <w:t>本项目采用资格后审</w:t>
      </w:r>
    </w:p>
    <w:p w14:paraId="31F18FBB">
      <w:pPr>
        <w:widowControl/>
        <w:spacing w:line="360" w:lineRule="auto"/>
        <w:ind w:firstLine="480"/>
        <w:rPr>
          <w:rFonts w:hint="eastAsia" w:ascii="宋体" w:hAnsi="宋体" w:eastAsia="宋体"/>
          <w:color w:val="auto"/>
          <w:kern w:val="0"/>
          <w:sz w:val="28"/>
          <w:szCs w:val="28"/>
        </w:rPr>
      </w:pPr>
      <w:r>
        <w:rPr>
          <w:rFonts w:hint="eastAsia" w:ascii="宋体" w:hAnsi="宋体"/>
          <w:color w:val="auto"/>
          <w:kern w:val="0"/>
          <w:sz w:val="28"/>
          <w:szCs w:val="28"/>
          <w:lang w:eastAsia="zh-CN"/>
        </w:rPr>
        <w:t>采购人</w:t>
      </w:r>
      <w:r>
        <w:rPr>
          <w:rFonts w:hint="eastAsia" w:ascii="宋体" w:hAnsi="宋体" w:eastAsia="宋体"/>
          <w:color w:val="auto"/>
          <w:kern w:val="0"/>
          <w:sz w:val="28"/>
          <w:szCs w:val="28"/>
        </w:rPr>
        <w:t>或采购代理机构应当按照招标文件第二章投标供应商须知2.0项要求，对投标供应商的投标文件进行资格评审，有一项不符合的，视为未通过资格审查，按废标处理，符合的进入下一评标程序。</w:t>
      </w:r>
    </w:p>
    <w:p w14:paraId="49B41A68">
      <w:pPr>
        <w:widowControl/>
        <w:spacing w:line="360" w:lineRule="auto"/>
        <w:ind w:firstLine="551" w:firstLineChars="196"/>
        <w:jc w:val="left"/>
        <w:rPr>
          <w:rFonts w:ascii="宋体" w:hAnsi="宋体" w:eastAsia="宋体"/>
          <w:color w:val="auto"/>
          <w:kern w:val="0"/>
          <w:sz w:val="28"/>
          <w:szCs w:val="28"/>
        </w:rPr>
      </w:pPr>
      <w:r>
        <w:rPr>
          <w:rFonts w:hint="eastAsia" w:ascii="宋体" w:hAnsi="宋体" w:eastAsia="宋体"/>
          <w:b/>
          <w:bCs/>
          <w:color w:val="auto"/>
          <w:kern w:val="0"/>
          <w:sz w:val="28"/>
          <w:szCs w:val="28"/>
        </w:rPr>
        <w:t>3.评标具体方法和标准</w:t>
      </w:r>
    </w:p>
    <w:p w14:paraId="17EF7893">
      <w:pPr>
        <w:widowControl/>
        <w:spacing w:line="360" w:lineRule="auto"/>
        <w:ind w:firstLine="420" w:firstLineChars="150"/>
        <w:jc w:val="left"/>
        <w:rPr>
          <w:rFonts w:ascii="宋体" w:hAnsi="宋体" w:eastAsia="宋体"/>
          <w:color w:val="auto"/>
          <w:kern w:val="0"/>
          <w:sz w:val="28"/>
          <w:szCs w:val="28"/>
        </w:rPr>
      </w:pPr>
      <w:r>
        <w:rPr>
          <w:rFonts w:hint="eastAsia" w:ascii="宋体" w:hAnsi="宋体" w:eastAsia="宋体"/>
          <w:color w:val="auto"/>
          <w:kern w:val="0"/>
          <w:sz w:val="28"/>
          <w:szCs w:val="28"/>
        </w:rPr>
        <w:t>评标委员会根据评标原则和办法对所有投标文件进行集中审核，分别评价。</w:t>
      </w:r>
    </w:p>
    <w:p w14:paraId="12CBB546">
      <w:pPr>
        <w:pStyle w:val="38"/>
        <w:ind w:firstLine="0"/>
        <w:jc w:val="center"/>
        <w:outlineLvl w:val="0"/>
        <w:rPr>
          <w:rFonts w:ascii="Times New Roman" w:hAnsi="Times New Roman" w:cs="Times New Roman"/>
          <w:b/>
          <w:color w:val="auto"/>
          <w:sz w:val="24"/>
          <w:szCs w:val="24"/>
        </w:rPr>
      </w:pPr>
      <w:bookmarkStart w:id="24" w:name="_Toc6625"/>
      <w:r>
        <w:rPr>
          <w:rStyle w:val="39"/>
          <w:rFonts w:hint="eastAsia" w:cs="Times New Roman"/>
          <w:color w:val="auto"/>
          <w:sz w:val="32"/>
          <w:szCs w:val="32"/>
          <w:lang w:val="en-US" w:eastAsia="zh-CN"/>
        </w:rPr>
        <w:t xml:space="preserve"> </w:t>
      </w:r>
      <w:bookmarkEnd w:id="24"/>
      <w:r>
        <w:rPr>
          <w:rFonts w:ascii="Times New Roman" w:hAnsi="Times New Roman" w:cs="Times New Roman"/>
          <w:b/>
          <w:color w:val="auto"/>
          <w:sz w:val="24"/>
          <w:szCs w:val="24"/>
        </w:rPr>
        <w:t>评标办法前附表</w:t>
      </w:r>
    </w:p>
    <w:tbl>
      <w:tblPr>
        <w:tblStyle w:val="19"/>
        <w:tblW w:w="10200" w:type="dxa"/>
        <w:tblInd w:w="-5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
        <w:gridCol w:w="389"/>
        <w:gridCol w:w="776"/>
        <w:gridCol w:w="710"/>
        <w:gridCol w:w="7188"/>
        <w:gridCol w:w="216"/>
      </w:tblGrid>
      <w:tr w14:paraId="3452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6" w:type="dxa"/>
          <w:trHeight w:val="572" w:hRule="atLeast"/>
        </w:trPr>
        <w:tc>
          <w:tcPr>
            <w:tcW w:w="1310" w:type="dxa"/>
            <w:gridSpan w:val="2"/>
            <w:noWrap w:val="0"/>
            <w:vAlign w:val="center"/>
          </w:tcPr>
          <w:p w14:paraId="15348407">
            <w:pPr>
              <w:spacing w:line="360" w:lineRule="auto"/>
              <w:jc w:val="center"/>
              <w:rPr>
                <w:rFonts w:ascii="Times New Roman" w:hAnsi="Times New Roman" w:cs="Times New Roman"/>
                <w:color w:val="auto"/>
                <w:sz w:val="24"/>
                <w:szCs w:val="24"/>
                <w:u w:val="none" w:color="000000"/>
                <w:lang w:val="zh-TW"/>
              </w:rPr>
            </w:pPr>
            <w:r>
              <w:rPr>
                <w:rFonts w:ascii="Times New Roman" w:hAnsi="Times New Roman" w:cs="Times New Roman"/>
                <w:color w:val="auto"/>
                <w:sz w:val="24"/>
                <w:szCs w:val="24"/>
                <w:u w:val="none" w:color="000000"/>
                <w:lang w:val="zh-TW"/>
              </w:rPr>
              <w:t>条款号</w:t>
            </w:r>
          </w:p>
        </w:tc>
        <w:tc>
          <w:tcPr>
            <w:tcW w:w="1486" w:type="dxa"/>
            <w:gridSpan w:val="2"/>
            <w:noWrap w:val="0"/>
            <w:vAlign w:val="center"/>
          </w:tcPr>
          <w:p w14:paraId="08AF51F0">
            <w:pPr>
              <w:spacing w:line="360" w:lineRule="auto"/>
              <w:jc w:val="center"/>
              <w:rPr>
                <w:rFonts w:ascii="Times New Roman" w:hAnsi="Times New Roman" w:cs="Times New Roman"/>
                <w:color w:val="auto"/>
                <w:sz w:val="24"/>
                <w:szCs w:val="24"/>
                <w:u w:val="none" w:color="000000"/>
                <w:lang w:val="zh-TW"/>
              </w:rPr>
            </w:pPr>
            <w:r>
              <w:rPr>
                <w:rFonts w:ascii="Times New Roman" w:hAnsi="Times New Roman" w:cs="Times New Roman"/>
                <w:color w:val="auto"/>
                <w:sz w:val="24"/>
                <w:szCs w:val="24"/>
                <w:u w:val="none" w:color="000000"/>
                <w:lang w:val="zh-TW"/>
              </w:rPr>
              <w:t>评审因素</w:t>
            </w:r>
          </w:p>
        </w:tc>
        <w:tc>
          <w:tcPr>
            <w:tcW w:w="7188" w:type="dxa"/>
            <w:noWrap w:val="0"/>
            <w:vAlign w:val="center"/>
          </w:tcPr>
          <w:p w14:paraId="75377280">
            <w:pPr>
              <w:spacing w:line="360" w:lineRule="auto"/>
              <w:jc w:val="center"/>
              <w:rPr>
                <w:rFonts w:ascii="Times New Roman" w:hAnsi="Times New Roman" w:cs="Times New Roman"/>
                <w:color w:val="auto"/>
                <w:sz w:val="24"/>
                <w:szCs w:val="24"/>
                <w:u w:val="none" w:color="000000"/>
                <w:lang w:val="zh-TW"/>
              </w:rPr>
            </w:pPr>
            <w:r>
              <w:rPr>
                <w:rFonts w:ascii="Times New Roman" w:hAnsi="Times New Roman" w:cs="Times New Roman"/>
                <w:color w:val="auto"/>
                <w:sz w:val="24"/>
                <w:szCs w:val="24"/>
                <w:u w:val="none" w:color="000000"/>
                <w:lang w:val="zh-TW"/>
              </w:rPr>
              <w:t>评审标准</w:t>
            </w:r>
          </w:p>
        </w:tc>
      </w:tr>
      <w:tr w14:paraId="587E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6" w:type="dxa"/>
          <w:trHeight w:val="565" w:hRule="atLeast"/>
        </w:trPr>
        <w:tc>
          <w:tcPr>
            <w:tcW w:w="921" w:type="dxa"/>
            <w:vMerge w:val="restart"/>
            <w:noWrap w:val="0"/>
            <w:vAlign w:val="center"/>
          </w:tcPr>
          <w:p w14:paraId="6F3D90FE">
            <w:pPr>
              <w:spacing w:line="360" w:lineRule="auto"/>
              <w:jc w:val="center"/>
              <w:rPr>
                <w:rFonts w:ascii="Times New Roman" w:hAnsi="Times New Roman" w:cs="Times New Roman"/>
                <w:color w:val="auto"/>
                <w:sz w:val="24"/>
                <w:szCs w:val="24"/>
                <w:u w:val="none" w:color="000000"/>
                <w:lang w:val="zh-TW" w:eastAsia="zh-CN"/>
              </w:rPr>
            </w:pPr>
            <w:r>
              <w:rPr>
                <w:rFonts w:hint="eastAsia" w:cs="Times New Roman"/>
                <w:color w:val="auto"/>
                <w:sz w:val="24"/>
                <w:szCs w:val="24"/>
                <w:u w:val="none" w:color="000000"/>
                <w:lang w:val="zh-TW" w:eastAsia="zh-CN"/>
              </w:rPr>
              <w:t>资格性审查</w:t>
            </w:r>
          </w:p>
        </w:tc>
        <w:tc>
          <w:tcPr>
            <w:tcW w:w="1875" w:type="dxa"/>
            <w:gridSpan w:val="3"/>
            <w:noWrap w:val="0"/>
            <w:vAlign w:val="center"/>
          </w:tcPr>
          <w:p w14:paraId="0C759F87">
            <w:pPr>
              <w:spacing w:line="360" w:lineRule="auto"/>
              <w:jc w:val="center"/>
              <w:rPr>
                <w:rFonts w:ascii="Times New Roman" w:hAnsi="Times New Roman" w:cs="Times New Roman"/>
                <w:color w:val="auto"/>
                <w:sz w:val="24"/>
                <w:szCs w:val="24"/>
                <w:u w:val="none" w:color="000000"/>
                <w:lang w:val="zh-TW"/>
              </w:rPr>
            </w:pPr>
            <w:r>
              <w:rPr>
                <w:rFonts w:ascii="Times New Roman" w:hAnsi="Times New Roman" w:cs="Times New Roman"/>
                <w:color w:val="auto"/>
                <w:sz w:val="24"/>
                <w:szCs w:val="24"/>
                <w:u w:val="none" w:color="000000"/>
                <w:lang w:val="zh-TW"/>
              </w:rPr>
              <w:t>营业执照</w:t>
            </w:r>
          </w:p>
        </w:tc>
        <w:tc>
          <w:tcPr>
            <w:tcW w:w="7188" w:type="dxa"/>
            <w:noWrap w:val="0"/>
            <w:vAlign w:val="center"/>
          </w:tcPr>
          <w:p w14:paraId="5ECF3BDE">
            <w:pPr>
              <w:spacing w:line="360" w:lineRule="auto"/>
              <w:jc w:val="left"/>
              <w:rPr>
                <w:rFonts w:ascii="Times New Roman" w:hAnsi="Times New Roman" w:cs="Times New Roman"/>
                <w:color w:val="auto"/>
                <w:sz w:val="24"/>
                <w:szCs w:val="24"/>
                <w:u w:val="none" w:color="000000"/>
                <w:lang w:val="zh-TW"/>
              </w:rPr>
            </w:pPr>
            <w:r>
              <w:rPr>
                <w:rFonts w:hint="eastAsia"/>
                <w:color w:val="auto"/>
                <w:sz w:val="24"/>
                <w:szCs w:val="24"/>
                <w:u w:color="000000"/>
                <w:lang w:val="en-US" w:eastAsia="zh-CN"/>
              </w:rPr>
              <w:t>供应商须具有独立承担民事责任的能力（提供有效的营业执照或其他法人证明材料）；</w:t>
            </w:r>
          </w:p>
        </w:tc>
      </w:tr>
      <w:tr w14:paraId="7E2D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6" w:type="dxa"/>
          <w:trHeight w:val="565" w:hRule="atLeast"/>
        </w:trPr>
        <w:tc>
          <w:tcPr>
            <w:tcW w:w="921" w:type="dxa"/>
            <w:vMerge w:val="continue"/>
            <w:noWrap w:val="0"/>
            <w:vAlign w:val="center"/>
          </w:tcPr>
          <w:p w14:paraId="30BC1651">
            <w:pPr>
              <w:spacing w:line="360" w:lineRule="auto"/>
              <w:jc w:val="center"/>
              <w:rPr>
                <w:rFonts w:ascii="Times New Roman" w:hAnsi="Times New Roman" w:cs="Times New Roman"/>
                <w:color w:val="auto"/>
                <w:sz w:val="24"/>
                <w:szCs w:val="24"/>
                <w:u w:val="none" w:color="000000"/>
                <w:lang w:val="zh-TW" w:eastAsia="zh-CN"/>
              </w:rPr>
            </w:pPr>
          </w:p>
        </w:tc>
        <w:tc>
          <w:tcPr>
            <w:tcW w:w="1875" w:type="dxa"/>
            <w:gridSpan w:val="3"/>
            <w:noWrap w:val="0"/>
            <w:vAlign w:val="center"/>
          </w:tcPr>
          <w:p w14:paraId="623851FC">
            <w:pPr>
              <w:spacing w:line="360" w:lineRule="auto"/>
              <w:jc w:val="center"/>
              <w:rPr>
                <w:rFonts w:hint="eastAsia" w:ascii="Times New Roman" w:hAnsi="Times New Roman" w:cs="Times New Roman"/>
                <w:color w:val="auto"/>
                <w:sz w:val="24"/>
                <w:szCs w:val="24"/>
                <w:u w:val="none" w:color="000000"/>
                <w:lang w:val="en-US" w:eastAsia="zh-CN"/>
              </w:rPr>
            </w:pPr>
            <w:r>
              <w:rPr>
                <w:rFonts w:hint="eastAsia" w:cs="Times New Roman"/>
                <w:color w:val="auto"/>
                <w:sz w:val="24"/>
                <w:szCs w:val="24"/>
                <w:u w:val="none" w:color="000000"/>
                <w:lang w:val="en-US" w:eastAsia="zh-CN"/>
              </w:rPr>
              <w:t>资质要求</w:t>
            </w:r>
          </w:p>
        </w:tc>
        <w:tc>
          <w:tcPr>
            <w:tcW w:w="7188" w:type="dxa"/>
            <w:noWrap w:val="0"/>
            <w:vAlign w:val="center"/>
          </w:tcPr>
          <w:p w14:paraId="67F30E99">
            <w:pPr>
              <w:spacing w:line="360" w:lineRule="auto"/>
              <w:jc w:val="left"/>
              <w:rPr>
                <w:rFonts w:hint="eastAsia" w:ascii="Times New Roman" w:hAnsi="Times New Roman" w:cs="Times New Roman"/>
                <w:color w:val="auto"/>
                <w:sz w:val="24"/>
                <w:szCs w:val="24"/>
                <w:u w:val="none" w:color="000000"/>
                <w:lang w:val="zh-TW" w:eastAsia="zh-CN"/>
              </w:rPr>
            </w:pPr>
            <w:r>
              <w:rPr>
                <w:rFonts w:hint="eastAsia" w:cs="Times New Roman"/>
                <w:color w:val="auto"/>
                <w:sz w:val="24"/>
                <w:szCs w:val="24"/>
                <w:u w:val="none" w:color="000000"/>
                <w:lang w:val="zh-TW" w:eastAsia="zh-CN"/>
              </w:rPr>
              <w:t>供应商的业务范围具备空气自动监测站运维资质。</w:t>
            </w:r>
          </w:p>
        </w:tc>
      </w:tr>
      <w:tr w14:paraId="6AA6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6" w:type="dxa"/>
          <w:trHeight w:val="565" w:hRule="atLeast"/>
        </w:trPr>
        <w:tc>
          <w:tcPr>
            <w:tcW w:w="921" w:type="dxa"/>
            <w:vMerge w:val="continue"/>
            <w:noWrap w:val="0"/>
            <w:vAlign w:val="center"/>
          </w:tcPr>
          <w:p w14:paraId="19CB7459">
            <w:pPr>
              <w:spacing w:line="360" w:lineRule="auto"/>
              <w:jc w:val="center"/>
              <w:rPr>
                <w:rFonts w:ascii="Times New Roman" w:hAnsi="Times New Roman" w:cs="Times New Roman"/>
                <w:color w:val="auto"/>
                <w:sz w:val="24"/>
                <w:szCs w:val="24"/>
                <w:u w:val="none" w:color="000000"/>
                <w:lang w:val="zh-TW" w:eastAsia="zh-CN"/>
              </w:rPr>
            </w:pPr>
          </w:p>
        </w:tc>
        <w:tc>
          <w:tcPr>
            <w:tcW w:w="1875" w:type="dxa"/>
            <w:gridSpan w:val="3"/>
            <w:noWrap w:val="0"/>
            <w:vAlign w:val="center"/>
          </w:tcPr>
          <w:p w14:paraId="23AEB322">
            <w:pPr>
              <w:spacing w:line="360" w:lineRule="auto"/>
              <w:jc w:val="center"/>
              <w:rPr>
                <w:rFonts w:hint="default" w:ascii="Times New Roman" w:hAnsi="Times New Roman" w:cs="Times New Roman"/>
                <w:color w:val="auto"/>
                <w:sz w:val="24"/>
                <w:szCs w:val="24"/>
                <w:u w:val="none" w:color="000000"/>
                <w:lang w:val="en-US" w:eastAsia="zh-CN"/>
              </w:rPr>
            </w:pPr>
            <w:r>
              <w:rPr>
                <w:rFonts w:hint="eastAsia" w:ascii="Times New Roman" w:hAnsi="Times New Roman" w:cs="Times New Roman"/>
                <w:color w:val="auto"/>
                <w:sz w:val="24"/>
                <w:szCs w:val="24"/>
                <w:u w:val="none" w:color="000000"/>
                <w:lang w:val="zh-TW" w:eastAsia="zh-CN"/>
              </w:rPr>
              <w:t>技术人员</w:t>
            </w:r>
          </w:p>
        </w:tc>
        <w:tc>
          <w:tcPr>
            <w:tcW w:w="7188" w:type="dxa"/>
            <w:noWrap w:val="0"/>
            <w:vAlign w:val="center"/>
          </w:tcPr>
          <w:p w14:paraId="04E1D6B9">
            <w:pPr>
              <w:spacing w:line="360" w:lineRule="auto"/>
              <w:jc w:val="left"/>
              <w:rPr>
                <w:rFonts w:hint="eastAsia" w:ascii="Times New Roman" w:hAnsi="Times New Roman" w:cs="Times New Roman"/>
                <w:color w:val="auto"/>
                <w:sz w:val="24"/>
                <w:szCs w:val="24"/>
                <w:u w:val="none" w:color="000000"/>
                <w:lang w:val="zh-TW" w:eastAsia="zh-CN"/>
              </w:rPr>
            </w:pPr>
            <w:r>
              <w:rPr>
                <w:rFonts w:hint="eastAsia"/>
                <w:color w:val="auto"/>
                <w:sz w:val="24"/>
                <w:szCs w:val="24"/>
                <w:u w:color="000000"/>
                <w:lang w:val="zh-TW" w:eastAsia="zh-CN"/>
              </w:rPr>
              <w:t>拟派的项目负责人须具备环境类中级及以上职称，并提供本单位缴纳的社保证明或劳动合同；</w:t>
            </w:r>
          </w:p>
        </w:tc>
      </w:tr>
      <w:tr w14:paraId="348E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6" w:type="dxa"/>
          <w:trHeight w:val="565" w:hRule="atLeast"/>
        </w:trPr>
        <w:tc>
          <w:tcPr>
            <w:tcW w:w="921" w:type="dxa"/>
            <w:vMerge w:val="continue"/>
            <w:noWrap w:val="0"/>
            <w:vAlign w:val="center"/>
          </w:tcPr>
          <w:p w14:paraId="79966382">
            <w:pPr>
              <w:spacing w:line="360" w:lineRule="auto"/>
              <w:jc w:val="center"/>
              <w:rPr>
                <w:rFonts w:ascii="Times New Roman" w:hAnsi="Times New Roman" w:cs="Times New Roman"/>
                <w:color w:val="auto"/>
                <w:sz w:val="24"/>
                <w:szCs w:val="24"/>
                <w:u w:val="none" w:color="000000"/>
                <w:lang w:val="zh-TW" w:eastAsia="zh-CN"/>
              </w:rPr>
            </w:pPr>
          </w:p>
        </w:tc>
        <w:tc>
          <w:tcPr>
            <w:tcW w:w="1875" w:type="dxa"/>
            <w:gridSpan w:val="3"/>
            <w:noWrap w:val="0"/>
            <w:vAlign w:val="center"/>
          </w:tcPr>
          <w:p w14:paraId="148F17BF">
            <w:pPr>
              <w:spacing w:line="360" w:lineRule="auto"/>
              <w:jc w:val="center"/>
              <w:rPr>
                <w:rFonts w:hint="eastAsia" w:ascii="Times New Roman" w:hAnsi="Times New Roman" w:eastAsia="宋体" w:cs="Times New Roman"/>
                <w:color w:val="auto"/>
                <w:sz w:val="24"/>
                <w:szCs w:val="24"/>
                <w:u w:val="none" w:color="000000"/>
                <w:lang w:val="en-US" w:eastAsia="zh-CN"/>
              </w:rPr>
            </w:pPr>
            <w:r>
              <w:rPr>
                <w:rFonts w:hint="eastAsia" w:cs="Times New Roman"/>
                <w:color w:val="auto"/>
                <w:sz w:val="24"/>
                <w:szCs w:val="24"/>
                <w:u w:val="none" w:color="000000"/>
                <w:lang w:val="en-US" w:eastAsia="zh-CN"/>
              </w:rPr>
              <w:t>财务状况</w:t>
            </w:r>
          </w:p>
        </w:tc>
        <w:tc>
          <w:tcPr>
            <w:tcW w:w="7188" w:type="dxa"/>
            <w:noWrap w:val="0"/>
            <w:vAlign w:val="center"/>
          </w:tcPr>
          <w:p w14:paraId="25A7E0D8">
            <w:pPr>
              <w:spacing w:line="360" w:lineRule="auto"/>
              <w:jc w:val="left"/>
              <w:rPr>
                <w:rFonts w:hint="eastAsia"/>
                <w:color w:val="auto"/>
                <w:sz w:val="24"/>
                <w:szCs w:val="24"/>
                <w:u w:color="000000"/>
                <w:lang w:val="zh-TW"/>
              </w:rPr>
            </w:pPr>
            <w:r>
              <w:rPr>
                <w:rFonts w:hint="eastAsia"/>
                <w:color w:val="auto"/>
                <w:sz w:val="24"/>
                <w:szCs w:val="24"/>
                <w:u w:color="000000"/>
                <w:lang w:val="zh-TW" w:eastAsia="zh-CN"/>
              </w:rPr>
              <w:t>具有健全的财务会计制度和良好的财务状况，投标人须提供近一年的年度财务报表（财务状况说明书、资产负债表、损益表、现金流量表及相关会计报表附注）；</w:t>
            </w:r>
          </w:p>
        </w:tc>
      </w:tr>
      <w:tr w14:paraId="24CF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6" w:type="dxa"/>
          <w:trHeight w:val="660" w:hRule="atLeast"/>
        </w:trPr>
        <w:tc>
          <w:tcPr>
            <w:tcW w:w="921" w:type="dxa"/>
            <w:vMerge w:val="continue"/>
            <w:noWrap w:val="0"/>
            <w:vAlign w:val="center"/>
          </w:tcPr>
          <w:p w14:paraId="77CB5571">
            <w:pPr>
              <w:spacing w:line="360" w:lineRule="auto"/>
              <w:jc w:val="center"/>
              <w:rPr>
                <w:rFonts w:ascii="Times New Roman" w:hAnsi="Times New Roman" w:cs="Times New Roman"/>
                <w:color w:val="auto"/>
                <w:sz w:val="24"/>
                <w:szCs w:val="24"/>
                <w:u w:val="none" w:color="000000"/>
                <w:lang w:val="zh-TW"/>
              </w:rPr>
            </w:pPr>
          </w:p>
        </w:tc>
        <w:tc>
          <w:tcPr>
            <w:tcW w:w="1875" w:type="dxa"/>
            <w:gridSpan w:val="3"/>
            <w:noWrap w:val="0"/>
            <w:vAlign w:val="center"/>
          </w:tcPr>
          <w:p w14:paraId="6A9AC17F">
            <w:pPr>
              <w:spacing w:line="360" w:lineRule="auto"/>
              <w:jc w:val="center"/>
              <w:rPr>
                <w:rFonts w:ascii="Times New Roman" w:hAnsi="Times New Roman" w:cs="Times New Roman"/>
                <w:color w:val="auto"/>
                <w:sz w:val="24"/>
                <w:szCs w:val="24"/>
                <w:u w:val="none" w:color="000000"/>
                <w:lang w:val="zh-TW" w:eastAsia="zh-CN"/>
              </w:rPr>
            </w:pPr>
            <w:r>
              <w:rPr>
                <w:rFonts w:hint="eastAsia" w:ascii="Times New Roman" w:hAnsi="Times New Roman" w:cs="Times New Roman"/>
                <w:color w:val="auto"/>
                <w:sz w:val="24"/>
                <w:szCs w:val="24"/>
                <w:u w:val="none" w:color="000000"/>
                <w:lang w:val="en-US" w:eastAsia="zh-CN"/>
              </w:rPr>
              <w:t>完税证明材料</w:t>
            </w:r>
          </w:p>
        </w:tc>
        <w:tc>
          <w:tcPr>
            <w:tcW w:w="7188" w:type="dxa"/>
            <w:noWrap w:val="0"/>
            <w:vAlign w:val="center"/>
          </w:tcPr>
          <w:p w14:paraId="1E94365F">
            <w:pPr>
              <w:spacing w:line="360" w:lineRule="auto"/>
              <w:jc w:val="left"/>
              <w:rPr>
                <w:rFonts w:ascii="Times New Roman" w:hAnsi="Times New Roman" w:cs="Times New Roman"/>
                <w:color w:val="auto"/>
                <w:sz w:val="24"/>
                <w:szCs w:val="24"/>
                <w:u w:val="none" w:color="000000"/>
                <w:lang w:val="zh-TW" w:eastAsia="zh-CN"/>
              </w:rPr>
            </w:pPr>
            <w:r>
              <w:rPr>
                <w:rFonts w:hint="eastAsia" w:ascii="Times New Roman" w:hAnsi="Times New Roman" w:cs="Times New Roman"/>
                <w:color w:val="auto"/>
                <w:sz w:val="24"/>
                <w:szCs w:val="24"/>
                <w:u w:val="none" w:color="000000"/>
                <w:lang w:val="zh-TW" w:eastAsia="zh-CN"/>
              </w:rPr>
              <w:t>依法缴纳社会保障资金，提供项目负责人近三个月（新成立企业从成立之日起计算）的社保缴纳证明材料；依法缴纳税收近三个月（新成立企业从成立之日起计算）任意一个月缴税证明材料；</w:t>
            </w:r>
          </w:p>
        </w:tc>
      </w:tr>
      <w:tr w14:paraId="1B2B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6" w:type="dxa"/>
          <w:trHeight w:val="544" w:hRule="atLeast"/>
        </w:trPr>
        <w:tc>
          <w:tcPr>
            <w:tcW w:w="921" w:type="dxa"/>
            <w:vMerge w:val="continue"/>
            <w:noWrap w:val="0"/>
            <w:vAlign w:val="center"/>
          </w:tcPr>
          <w:p w14:paraId="7BB11457">
            <w:pPr>
              <w:spacing w:line="360" w:lineRule="auto"/>
              <w:jc w:val="center"/>
              <w:rPr>
                <w:rFonts w:ascii="Times New Roman" w:hAnsi="Times New Roman" w:cs="Times New Roman"/>
                <w:color w:val="auto"/>
                <w:sz w:val="24"/>
                <w:szCs w:val="24"/>
                <w:u w:val="none" w:color="000000"/>
                <w:lang w:val="zh-TW"/>
              </w:rPr>
            </w:pPr>
          </w:p>
        </w:tc>
        <w:tc>
          <w:tcPr>
            <w:tcW w:w="1875" w:type="dxa"/>
            <w:gridSpan w:val="3"/>
            <w:noWrap w:val="0"/>
            <w:vAlign w:val="center"/>
          </w:tcPr>
          <w:p w14:paraId="4EC655DD">
            <w:pPr>
              <w:spacing w:line="360" w:lineRule="auto"/>
              <w:jc w:val="center"/>
              <w:rPr>
                <w:rFonts w:ascii="Times New Roman" w:hAnsi="Times New Roman" w:cs="Times New Roman"/>
                <w:color w:val="auto"/>
                <w:sz w:val="24"/>
                <w:szCs w:val="24"/>
                <w:u w:val="none" w:color="000000"/>
                <w:lang w:val="en-US" w:eastAsia="zh-CN"/>
              </w:rPr>
            </w:pPr>
            <w:r>
              <w:rPr>
                <w:rFonts w:hint="eastAsia" w:ascii="Times New Roman" w:hAnsi="Times New Roman" w:cs="Times New Roman"/>
                <w:color w:val="auto"/>
                <w:sz w:val="24"/>
                <w:szCs w:val="24"/>
                <w:u w:val="none" w:color="000000"/>
                <w:lang w:val="en-US" w:eastAsia="zh-CN"/>
              </w:rPr>
              <w:t>无行贿</w:t>
            </w:r>
          </w:p>
        </w:tc>
        <w:tc>
          <w:tcPr>
            <w:tcW w:w="7188" w:type="dxa"/>
            <w:noWrap w:val="0"/>
            <w:vAlign w:val="center"/>
          </w:tcPr>
          <w:p w14:paraId="4B6D2CCD">
            <w:pPr>
              <w:spacing w:line="360" w:lineRule="auto"/>
              <w:jc w:val="left"/>
              <w:rPr>
                <w:rFonts w:ascii="Times New Roman" w:hAnsi="Times New Roman" w:cs="Times New Roman"/>
                <w:color w:val="auto"/>
                <w:sz w:val="24"/>
                <w:szCs w:val="24"/>
                <w:u w:val="none" w:color="000000"/>
                <w:lang w:val="zh-TW"/>
              </w:rPr>
            </w:pPr>
            <w:r>
              <w:rPr>
                <w:rFonts w:hint="eastAsia" w:cs="Times New Roman"/>
                <w:color w:val="auto"/>
                <w:sz w:val="24"/>
                <w:szCs w:val="24"/>
                <w:u w:val="none" w:color="000000"/>
                <w:lang w:val="zh-TW" w:eastAsia="zh-CN"/>
              </w:rPr>
              <w:t>参加政府采购活动前3年内无行贿犯罪记录、商业贿赂、不正当竞争行为、骗取中标、严重违约及重大工程质量等问题；开标时提供企业无行贿犯罪记录在中国裁判文书网自行查询或自行承诺（查询对象：企业、法定代表人）及工商部门出具的无商业贿赂和不正当竞争证明，若当地工商部门不出具此证明，供应商自行承诺无商业贿赂和不正当竞争行为；</w:t>
            </w:r>
          </w:p>
        </w:tc>
      </w:tr>
      <w:tr w14:paraId="52BC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6" w:type="dxa"/>
          <w:trHeight w:val="2522" w:hRule="atLeast"/>
        </w:trPr>
        <w:tc>
          <w:tcPr>
            <w:tcW w:w="1310" w:type="dxa"/>
            <w:gridSpan w:val="2"/>
            <w:vMerge w:val="restart"/>
            <w:noWrap w:val="0"/>
            <w:vAlign w:val="center"/>
          </w:tcPr>
          <w:p w14:paraId="7EE27369">
            <w:pPr>
              <w:spacing w:line="360" w:lineRule="auto"/>
              <w:jc w:val="center"/>
              <w:rPr>
                <w:rFonts w:ascii="Times New Roman" w:hAnsi="Times New Roman" w:cs="Times New Roman"/>
                <w:color w:val="auto"/>
                <w:sz w:val="24"/>
                <w:szCs w:val="24"/>
                <w:u w:val="none" w:color="000000"/>
                <w:lang w:val="zh-TW"/>
              </w:rPr>
            </w:pPr>
          </w:p>
        </w:tc>
        <w:tc>
          <w:tcPr>
            <w:tcW w:w="1486" w:type="dxa"/>
            <w:gridSpan w:val="2"/>
            <w:noWrap w:val="0"/>
            <w:vAlign w:val="center"/>
          </w:tcPr>
          <w:p w14:paraId="5F59B6A4">
            <w:pPr>
              <w:spacing w:line="360" w:lineRule="auto"/>
              <w:jc w:val="center"/>
              <w:rPr>
                <w:rFonts w:ascii="Times New Roman" w:hAnsi="Times New Roman" w:cs="Times New Roman"/>
                <w:color w:val="auto"/>
                <w:sz w:val="24"/>
                <w:szCs w:val="24"/>
                <w:u w:val="none" w:color="000000"/>
                <w:lang w:val="en-US" w:eastAsia="zh-CN"/>
              </w:rPr>
            </w:pPr>
            <w:r>
              <w:rPr>
                <w:rFonts w:hint="eastAsia" w:ascii="Times New Roman" w:hAnsi="Times New Roman" w:cs="Times New Roman"/>
                <w:color w:val="auto"/>
                <w:sz w:val="24"/>
                <w:szCs w:val="24"/>
                <w:u w:val="none" w:color="000000"/>
                <w:lang w:val="en-US" w:eastAsia="zh-CN"/>
              </w:rPr>
              <w:t>信用查询</w:t>
            </w:r>
          </w:p>
        </w:tc>
        <w:tc>
          <w:tcPr>
            <w:tcW w:w="7188" w:type="dxa"/>
            <w:noWrap w:val="0"/>
            <w:vAlign w:val="center"/>
          </w:tcPr>
          <w:p w14:paraId="4399FBB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cs="Times New Roman"/>
                <w:color w:val="auto"/>
                <w:sz w:val="24"/>
                <w:szCs w:val="24"/>
                <w:u w:val="none" w:color="000000"/>
                <w:lang w:val="en-US" w:eastAsia="zh-CN"/>
              </w:rPr>
            </w:pPr>
            <w:r>
              <w:rPr>
                <w:rFonts w:hint="eastAsia" w:ascii="Times New Roman" w:hAnsi="Times New Roman" w:cs="Times New Roman"/>
                <w:color w:val="auto"/>
                <w:sz w:val="24"/>
                <w:szCs w:val="24"/>
                <w:u w:val="none" w:color="000000"/>
                <w:lang w:val="en-US"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w:t>
            </w:r>
          </w:p>
        </w:tc>
      </w:tr>
      <w:tr w14:paraId="57FC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6" w:type="dxa"/>
          <w:trHeight w:val="544" w:hRule="atLeast"/>
        </w:trPr>
        <w:tc>
          <w:tcPr>
            <w:tcW w:w="1310" w:type="dxa"/>
            <w:gridSpan w:val="2"/>
            <w:vMerge w:val="continue"/>
            <w:noWrap w:val="0"/>
            <w:vAlign w:val="center"/>
          </w:tcPr>
          <w:p w14:paraId="5B4DB90B">
            <w:pPr>
              <w:spacing w:line="360" w:lineRule="auto"/>
              <w:jc w:val="center"/>
              <w:rPr>
                <w:rFonts w:ascii="Times New Roman" w:hAnsi="Times New Roman" w:cs="Times New Roman"/>
                <w:color w:val="auto"/>
                <w:sz w:val="24"/>
                <w:szCs w:val="24"/>
                <w:u w:val="none" w:color="000000"/>
                <w:lang w:val="zh-TW"/>
              </w:rPr>
            </w:pPr>
          </w:p>
        </w:tc>
        <w:tc>
          <w:tcPr>
            <w:tcW w:w="1486" w:type="dxa"/>
            <w:gridSpan w:val="2"/>
            <w:noWrap w:val="0"/>
            <w:vAlign w:val="center"/>
          </w:tcPr>
          <w:p w14:paraId="59271447">
            <w:pPr>
              <w:spacing w:line="360" w:lineRule="auto"/>
              <w:jc w:val="center"/>
              <w:rPr>
                <w:rFonts w:ascii="Times New Roman" w:hAnsi="Times New Roman" w:cs="Times New Roman"/>
                <w:color w:val="auto"/>
                <w:sz w:val="24"/>
                <w:szCs w:val="24"/>
                <w:u w:val="none" w:color="000000"/>
                <w:lang w:val="zh-TW" w:eastAsia="zh-CN"/>
              </w:rPr>
            </w:pPr>
            <w:r>
              <w:rPr>
                <w:rFonts w:ascii="Times New Roman" w:hAnsi="Times New Roman" w:cs="Times New Roman"/>
                <w:color w:val="auto"/>
                <w:sz w:val="24"/>
                <w:szCs w:val="24"/>
                <w:u w:val="none" w:color="000000"/>
                <w:lang w:val="zh-TW" w:eastAsia="zh-CN"/>
              </w:rPr>
              <w:t>其他要求</w:t>
            </w:r>
          </w:p>
        </w:tc>
        <w:tc>
          <w:tcPr>
            <w:tcW w:w="7188" w:type="dxa"/>
            <w:noWrap w:val="0"/>
            <w:vAlign w:val="center"/>
          </w:tcPr>
          <w:p w14:paraId="04054F33">
            <w:pPr>
              <w:numPr>
                <w:ilvl w:val="0"/>
                <w:numId w:val="2"/>
              </w:numPr>
              <w:spacing w:line="360" w:lineRule="auto"/>
              <w:jc w:val="left"/>
              <w:rPr>
                <w:rFonts w:hint="eastAsia" w:ascii="Times New Roman" w:hAnsi="Times New Roman" w:cs="Times New Roman"/>
                <w:color w:val="auto"/>
                <w:sz w:val="24"/>
                <w:szCs w:val="24"/>
                <w:u w:val="none" w:color="000000"/>
                <w:lang w:val="zh-TW" w:eastAsia="zh-CN"/>
              </w:rPr>
            </w:pPr>
            <w:r>
              <w:rPr>
                <w:rFonts w:hint="eastAsia" w:ascii="Times New Roman" w:hAnsi="Times New Roman" w:cs="Times New Roman"/>
                <w:color w:val="auto"/>
                <w:sz w:val="24"/>
                <w:szCs w:val="24"/>
                <w:u w:val="none" w:color="000000"/>
                <w:lang w:val="zh-TW" w:eastAsia="zh-CN"/>
              </w:rPr>
              <w:t>本项目执行促进中小型企业发展政策（残疾人福利性企业、监狱企业视同小微企业）、优先采购节能环保产品等政府采购政策</w:t>
            </w:r>
            <w:r>
              <w:rPr>
                <w:rFonts w:hint="eastAsia" w:cs="Times New Roman"/>
                <w:color w:val="auto"/>
                <w:sz w:val="24"/>
                <w:szCs w:val="24"/>
                <w:u w:val="none" w:color="000000"/>
                <w:lang w:val="zh-TW" w:eastAsia="zh-CN"/>
              </w:rPr>
              <w:t>；</w:t>
            </w:r>
          </w:p>
          <w:p w14:paraId="196BBBA3">
            <w:pPr>
              <w:numPr>
                <w:ilvl w:val="0"/>
                <w:numId w:val="2"/>
              </w:numPr>
              <w:spacing w:line="360" w:lineRule="auto"/>
              <w:jc w:val="left"/>
              <w:rPr>
                <w:rFonts w:hint="eastAsia" w:ascii="Times New Roman" w:hAnsi="Times New Roman" w:cs="Times New Roman"/>
                <w:color w:val="auto"/>
                <w:sz w:val="24"/>
                <w:szCs w:val="24"/>
                <w:u w:val="none" w:color="000000"/>
                <w:lang w:val="zh-TW" w:eastAsia="zh-CN"/>
              </w:rPr>
            </w:pPr>
            <w:r>
              <w:rPr>
                <w:rFonts w:hint="eastAsia" w:ascii="Times New Roman" w:hAnsi="Times New Roman" w:cs="Times New Roman"/>
                <w:color w:val="auto"/>
                <w:sz w:val="24"/>
                <w:szCs w:val="24"/>
                <w:u w:val="none" w:color="000000"/>
                <w:lang w:val="zh-TW" w:eastAsia="zh-CN"/>
              </w:rPr>
              <w:t>单位负责人为同一人或者存在控股、管理关系的不同供应商，不得同时参加本项目政府采购活动（投标文件内附加盖投标人公章的“国家企业信用信息”中公示的公司信息、股东或投资人信息）；</w:t>
            </w:r>
          </w:p>
          <w:p w14:paraId="52B5C5FF">
            <w:pPr>
              <w:spacing w:line="360" w:lineRule="auto"/>
              <w:jc w:val="left"/>
              <w:rPr>
                <w:rFonts w:hint="eastAsia" w:ascii="Times New Roman" w:hAnsi="Times New Roman" w:cs="Times New Roman"/>
                <w:color w:val="auto"/>
                <w:sz w:val="24"/>
                <w:szCs w:val="24"/>
                <w:u w:val="none" w:color="000000"/>
                <w:lang w:val="en-US" w:eastAsia="zh-CN"/>
              </w:rPr>
            </w:pPr>
            <w:r>
              <w:rPr>
                <w:rFonts w:hint="eastAsia" w:cs="Times New Roman"/>
                <w:color w:val="auto"/>
                <w:sz w:val="24"/>
                <w:szCs w:val="24"/>
                <w:u w:val="none" w:color="000000"/>
                <w:lang w:val="en-US" w:eastAsia="zh-CN"/>
              </w:rPr>
              <w:t>3</w:t>
            </w:r>
            <w:r>
              <w:rPr>
                <w:rFonts w:hint="eastAsia" w:ascii="Times New Roman" w:hAnsi="Times New Roman" w:cs="Times New Roman"/>
                <w:color w:val="auto"/>
                <w:sz w:val="24"/>
                <w:szCs w:val="24"/>
                <w:u w:val="none" w:color="000000"/>
                <w:lang w:val="en-US" w:eastAsia="zh-CN"/>
              </w:rPr>
              <w:t>、本项目不接收联合体投标承诺</w:t>
            </w:r>
            <w:r>
              <w:rPr>
                <w:rFonts w:hint="eastAsia" w:cs="Times New Roman"/>
                <w:color w:val="auto"/>
                <w:sz w:val="24"/>
                <w:szCs w:val="24"/>
                <w:u w:val="none" w:color="000000"/>
                <w:lang w:val="en-US" w:eastAsia="zh-CN"/>
              </w:rPr>
              <w:t>；</w:t>
            </w:r>
          </w:p>
          <w:p w14:paraId="21834349">
            <w:pPr>
              <w:spacing w:line="360" w:lineRule="auto"/>
              <w:jc w:val="left"/>
              <w:rPr>
                <w:rFonts w:hint="eastAsia" w:ascii="Times New Roman" w:hAnsi="Times New Roman" w:cs="Times New Roman"/>
                <w:color w:val="auto"/>
                <w:sz w:val="24"/>
                <w:szCs w:val="24"/>
                <w:u w:val="none" w:color="000000"/>
                <w:lang w:val="en-US" w:eastAsia="zh-CN"/>
              </w:rPr>
            </w:pPr>
            <w:r>
              <w:rPr>
                <w:rFonts w:hint="eastAsia" w:cs="Times New Roman"/>
                <w:color w:val="auto"/>
                <w:sz w:val="24"/>
                <w:szCs w:val="24"/>
                <w:u w:val="none" w:color="000000"/>
                <w:lang w:val="en-US" w:eastAsia="zh-CN"/>
              </w:rPr>
              <w:t>4</w:t>
            </w:r>
            <w:r>
              <w:rPr>
                <w:rFonts w:hint="eastAsia" w:ascii="Times New Roman" w:hAnsi="Times New Roman" w:cs="Times New Roman"/>
                <w:color w:val="auto"/>
                <w:sz w:val="24"/>
                <w:szCs w:val="24"/>
                <w:u w:val="none" w:color="000000"/>
                <w:lang w:val="en-US" w:eastAsia="zh-CN"/>
              </w:rPr>
              <w:t>、本项目实行资格后审承诺</w:t>
            </w:r>
            <w:r>
              <w:rPr>
                <w:rFonts w:hint="eastAsia" w:cs="Times New Roman"/>
                <w:color w:val="auto"/>
                <w:sz w:val="24"/>
                <w:szCs w:val="24"/>
                <w:u w:val="none" w:color="000000"/>
                <w:lang w:val="en-US" w:eastAsia="zh-CN"/>
              </w:rPr>
              <w:t>。</w:t>
            </w:r>
          </w:p>
        </w:tc>
      </w:tr>
      <w:tr w14:paraId="2095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6" w:type="dxa"/>
          <w:trHeight w:val="544" w:hRule="atLeast"/>
        </w:trPr>
        <w:tc>
          <w:tcPr>
            <w:tcW w:w="1310" w:type="dxa"/>
            <w:gridSpan w:val="2"/>
            <w:vMerge w:val="restart"/>
            <w:noWrap w:val="0"/>
            <w:vAlign w:val="center"/>
          </w:tcPr>
          <w:p w14:paraId="0F30DBE5">
            <w:pPr>
              <w:spacing w:line="360" w:lineRule="auto"/>
              <w:jc w:val="center"/>
              <w:rPr>
                <w:rFonts w:hint="eastAsia" w:ascii="Times New Roman" w:hAnsi="Times New Roman" w:eastAsia="宋体" w:cs="Times New Roman"/>
                <w:color w:val="auto"/>
                <w:sz w:val="24"/>
                <w:szCs w:val="24"/>
                <w:u w:val="none" w:color="000000"/>
                <w:lang w:val="en-US" w:eastAsia="zh-CN"/>
              </w:rPr>
            </w:pPr>
            <w:r>
              <w:rPr>
                <w:rFonts w:hint="eastAsia" w:cs="Times New Roman"/>
                <w:color w:val="auto"/>
                <w:sz w:val="24"/>
                <w:szCs w:val="24"/>
                <w:u w:val="none" w:color="000000"/>
                <w:lang w:val="en-US" w:eastAsia="zh-CN"/>
              </w:rPr>
              <w:t>符合性审查</w:t>
            </w:r>
          </w:p>
        </w:tc>
        <w:tc>
          <w:tcPr>
            <w:tcW w:w="1486" w:type="dxa"/>
            <w:gridSpan w:val="2"/>
            <w:noWrap w:val="0"/>
            <w:vAlign w:val="center"/>
          </w:tcPr>
          <w:p w14:paraId="65D1FEAE">
            <w:pPr>
              <w:spacing w:line="360" w:lineRule="auto"/>
              <w:jc w:val="center"/>
              <w:rPr>
                <w:rFonts w:ascii="Times New Roman" w:hAnsi="Times New Roman" w:cs="Times New Roman"/>
                <w:color w:val="auto"/>
                <w:sz w:val="24"/>
                <w:szCs w:val="24"/>
                <w:u w:val="none" w:color="000000"/>
                <w:lang w:val="zh-TW"/>
              </w:rPr>
            </w:pPr>
            <w:r>
              <w:rPr>
                <w:rFonts w:hint="eastAsia" w:cs="Times New Roman"/>
                <w:color w:val="auto"/>
                <w:sz w:val="24"/>
                <w:szCs w:val="24"/>
                <w:u w:val="none" w:color="000000"/>
                <w:lang w:val="zh-TW" w:eastAsia="zh-CN"/>
              </w:rPr>
              <w:t>投标</w:t>
            </w:r>
            <w:r>
              <w:rPr>
                <w:rFonts w:ascii="Times New Roman" w:hAnsi="Times New Roman" w:cs="Times New Roman"/>
                <w:color w:val="auto"/>
                <w:sz w:val="24"/>
                <w:szCs w:val="24"/>
                <w:u w:val="none" w:color="000000"/>
                <w:lang w:val="zh-TW" w:eastAsia="zh-CN"/>
              </w:rPr>
              <w:t>人</w:t>
            </w:r>
            <w:r>
              <w:rPr>
                <w:rFonts w:ascii="Times New Roman" w:hAnsi="Times New Roman" w:cs="Times New Roman"/>
                <w:color w:val="auto"/>
                <w:sz w:val="24"/>
                <w:szCs w:val="24"/>
                <w:u w:val="none" w:color="000000"/>
                <w:lang w:val="zh-TW"/>
              </w:rPr>
              <w:t>名称</w:t>
            </w:r>
          </w:p>
        </w:tc>
        <w:tc>
          <w:tcPr>
            <w:tcW w:w="7188" w:type="dxa"/>
            <w:noWrap w:val="0"/>
            <w:vAlign w:val="center"/>
          </w:tcPr>
          <w:p w14:paraId="6B70DAEC">
            <w:pPr>
              <w:spacing w:line="360" w:lineRule="auto"/>
              <w:jc w:val="left"/>
              <w:rPr>
                <w:rFonts w:ascii="Times New Roman" w:hAnsi="Times New Roman" w:cs="Times New Roman"/>
                <w:color w:val="auto"/>
                <w:sz w:val="24"/>
                <w:szCs w:val="24"/>
                <w:u w:val="none" w:color="000000"/>
                <w:lang w:val="zh-TW"/>
              </w:rPr>
            </w:pPr>
            <w:r>
              <w:rPr>
                <w:rFonts w:ascii="Times New Roman" w:hAnsi="Times New Roman" w:cs="Times New Roman"/>
                <w:color w:val="auto"/>
                <w:sz w:val="24"/>
                <w:szCs w:val="24"/>
                <w:u w:val="none" w:color="000000"/>
                <w:lang w:val="zh-TW"/>
              </w:rPr>
              <w:t>与营业执照、税务登记证、组织机构代码证一致</w:t>
            </w:r>
          </w:p>
        </w:tc>
      </w:tr>
      <w:tr w14:paraId="223C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6" w:type="dxa"/>
          <w:trHeight w:val="544" w:hRule="atLeast"/>
        </w:trPr>
        <w:tc>
          <w:tcPr>
            <w:tcW w:w="1310" w:type="dxa"/>
            <w:gridSpan w:val="2"/>
            <w:vMerge w:val="continue"/>
            <w:noWrap w:val="0"/>
            <w:vAlign w:val="center"/>
          </w:tcPr>
          <w:p w14:paraId="03198F28">
            <w:pPr>
              <w:spacing w:line="360" w:lineRule="auto"/>
              <w:jc w:val="center"/>
              <w:rPr>
                <w:rFonts w:ascii="Times New Roman" w:hAnsi="Times New Roman" w:cs="Times New Roman"/>
                <w:color w:val="auto"/>
                <w:sz w:val="24"/>
                <w:szCs w:val="24"/>
                <w:u w:val="none" w:color="000000"/>
                <w:lang w:val="zh-TW"/>
              </w:rPr>
            </w:pPr>
          </w:p>
        </w:tc>
        <w:tc>
          <w:tcPr>
            <w:tcW w:w="1486" w:type="dxa"/>
            <w:gridSpan w:val="2"/>
            <w:noWrap w:val="0"/>
            <w:vAlign w:val="center"/>
          </w:tcPr>
          <w:p w14:paraId="4A9E22C5">
            <w:pPr>
              <w:spacing w:line="360" w:lineRule="auto"/>
              <w:jc w:val="center"/>
              <w:rPr>
                <w:rFonts w:ascii="Times New Roman" w:hAnsi="Times New Roman" w:cs="Times New Roman"/>
                <w:color w:val="auto"/>
                <w:sz w:val="24"/>
                <w:szCs w:val="24"/>
                <w:u w:val="none" w:color="000000"/>
                <w:lang w:val="zh-TW"/>
              </w:rPr>
            </w:pPr>
            <w:r>
              <w:rPr>
                <w:rFonts w:hint="eastAsia" w:cs="Times New Roman"/>
                <w:color w:val="auto"/>
                <w:sz w:val="24"/>
                <w:szCs w:val="24"/>
                <w:u w:val="none" w:color="000000"/>
                <w:lang w:val="zh-TW" w:eastAsia="zh-CN"/>
              </w:rPr>
              <w:t>投标</w:t>
            </w:r>
            <w:r>
              <w:rPr>
                <w:rFonts w:ascii="Times New Roman" w:hAnsi="Times New Roman" w:cs="Times New Roman"/>
                <w:color w:val="auto"/>
                <w:sz w:val="24"/>
                <w:szCs w:val="24"/>
                <w:u w:val="none" w:color="000000"/>
                <w:lang w:val="zh-TW" w:eastAsia="zh-CN"/>
              </w:rPr>
              <w:t>文件</w:t>
            </w:r>
            <w:r>
              <w:rPr>
                <w:rFonts w:ascii="Times New Roman" w:hAnsi="Times New Roman" w:cs="Times New Roman"/>
                <w:color w:val="auto"/>
                <w:sz w:val="24"/>
                <w:szCs w:val="24"/>
                <w:u w:val="none" w:color="000000"/>
                <w:lang w:val="zh-TW"/>
              </w:rPr>
              <w:t>签字盖章</w:t>
            </w:r>
          </w:p>
        </w:tc>
        <w:tc>
          <w:tcPr>
            <w:tcW w:w="7188" w:type="dxa"/>
            <w:noWrap w:val="0"/>
            <w:vAlign w:val="center"/>
          </w:tcPr>
          <w:p w14:paraId="2B419DBF">
            <w:pPr>
              <w:spacing w:line="360" w:lineRule="auto"/>
              <w:jc w:val="left"/>
              <w:rPr>
                <w:rFonts w:ascii="Times New Roman" w:hAnsi="Times New Roman" w:cs="Times New Roman"/>
                <w:color w:val="auto"/>
                <w:sz w:val="24"/>
                <w:szCs w:val="24"/>
                <w:u w:val="none" w:color="000000"/>
                <w:lang w:val="zh-TW"/>
              </w:rPr>
            </w:pPr>
            <w:r>
              <w:rPr>
                <w:rFonts w:hint="eastAsia" w:ascii="Times New Roman" w:hAnsi="Times New Roman" w:cs="Times New Roman"/>
                <w:color w:val="auto"/>
                <w:sz w:val="24"/>
                <w:szCs w:val="24"/>
                <w:u w:val="none" w:color="000000"/>
                <w:lang w:val="zh-TW" w:eastAsia="zh-CN"/>
              </w:rPr>
              <w:t>符合</w:t>
            </w:r>
            <w:r>
              <w:rPr>
                <w:rFonts w:hint="eastAsia" w:ascii="Times New Roman" w:hAnsi="Times New Roman" w:cs="Times New Roman"/>
                <w:color w:val="auto"/>
                <w:sz w:val="24"/>
                <w:szCs w:val="24"/>
                <w:u w:val="none" w:color="000000"/>
                <w:lang w:val="en-US" w:eastAsia="zh-CN"/>
              </w:rPr>
              <w:t>招标</w:t>
            </w:r>
            <w:r>
              <w:rPr>
                <w:rFonts w:hint="eastAsia" w:ascii="Times New Roman" w:hAnsi="Times New Roman" w:cs="Times New Roman"/>
                <w:color w:val="auto"/>
                <w:sz w:val="24"/>
                <w:szCs w:val="24"/>
                <w:u w:val="none" w:color="000000"/>
                <w:lang w:val="zh-TW" w:eastAsia="zh-CN"/>
              </w:rPr>
              <w:t>文件要求，</w:t>
            </w:r>
            <w:r>
              <w:rPr>
                <w:rFonts w:hint="eastAsia" w:cs="Times New Roman"/>
                <w:color w:val="auto"/>
                <w:sz w:val="24"/>
                <w:szCs w:val="24"/>
                <w:u w:val="none" w:color="000000"/>
                <w:lang w:val="zh-TW" w:eastAsia="zh-CN"/>
              </w:rPr>
              <w:t>投标</w:t>
            </w:r>
            <w:r>
              <w:rPr>
                <w:rFonts w:hint="eastAsia" w:ascii="Times New Roman" w:hAnsi="Times New Roman" w:cs="Times New Roman"/>
                <w:color w:val="auto"/>
                <w:sz w:val="24"/>
                <w:szCs w:val="24"/>
                <w:u w:val="none" w:color="000000"/>
                <w:lang w:val="zh-TW" w:eastAsia="zh-CN"/>
              </w:rPr>
              <w:t>文件需有法定代表人或其委托代理人签章并加盖单位公章</w:t>
            </w:r>
          </w:p>
        </w:tc>
      </w:tr>
      <w:tr w14:paraId="7218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6" w:type="dxa"/>
          <w:trHeight w:val="544" w:hRule="atLeast"/>
        </w:trPr>
        <w:tc>
          <w:tcPr>
            <w:tcW w:w="1310" w:type="dxa"/>
            <w:gridSpan w:val="2"/>
            <w:vMerge w:val="continue"/>
            <w:noWrap w:val="0"/>
            <w:vAlign w:val="center"/>
          </w:tcPr>
          <w:p w14:paraId="63B3C48D">
            <w:pPr>
              <w:spacing w:line="360" w:lineRule="auto"/>
              <w:jc w:val="center"/>
              <w:rPr>
                <w:rFonts w:ascii="Times New Roman" w:hAnsi="Times New Roman" w:cs="Times New Roman"/>
                <w:color w:val="auto"/>
                <w:sz w:val="24"/>
                <w:szCs w:val="24"/>
                <w:u w:val="none" w:color="000000"/>
                <w:lang w:val="zh-TW"/>
              </w:rPr>
            </w:pPr>
          </w:p>
        </w:tc>
        <w:tc>
          <w:tcPr>
            <w:tcW w:w="1486" w:type="dxa"/>
            <w:gridSpan w:val="2"/>
            <w:noWrap w:val="0"/>
            <w:vAlign w:val="center"/>
          </w:tcPr>
          <w:p w14:paraId="12B6394F">
            <w:pPr>
              <w:spacing w:line="360" w:lineRule="auto"/>
              <w:jc w:val="center"/>
              <w:rPr>
                <w:rFonts w:ascii="Times New Roman" w:hAnsi="Times New Roman" w:cs="Times New Roman"/>
                <w:color w:val="auto"/>
                <w:sz w:val="24"/>
                <w:szCs w:val="24"/>
                <w:u w:val="none" w:color="000000"/>
                <w:lang w:val="zh-TW"/>
              </w:rPr>
            </w:pPr>
            <w:r>
              <w:rPr>
                <w:rFonts w:hint="eastAsia" w:cs="Times New Roman"/>
                <w:color w:val="auto"/>
                <w:sz w:val="24"/>
                <w:szCs w:val="24"/>
                <w:u w:val="none" w:color="000000"/>
                <w:lang w:val="zh-TW" w:eastAsia="zh-CN"/>
              </w:rPr>
              <w:t>投标</w:t>
            </w:r>
            <w:r>
              <w:rPr>
                <w:rFonts w:ascii="Times New Roman" w:hAnsi="Times New Roman" w:cs="Times New Roman"/>
                <w:color w:val="auto"/>
                <w:sz w:val="24"/>
                <w:szCs w:val="24"/>
                <w:u w:val="none" w:color="000000"/>
                <w:lang w:val="zh-TW" w:eastAsia="zh-CN"/>
              </w:rPr>
              <w:t>文件</w:t>
            </w:r>
            <w:r>
              <w:rPr>
                <w:rFonts w:ascii="Times New Roman" w:hAnsi="Times New Roman" w:cs="Times New Roman"/>
                <w:color w:val="auto"/>
                <w:sz w:val="24"/>
                <w:szCs w:val="24"/>
                <w:u w:val="none" w:color="000000"/>
                <w:lang w:val="zh-TW"/>
              </w:rPr>
              <w:t>格式</w:t>
            </w:r>
          </w:p>
        </w:tc>
        <w:tc>
          <w:tcPr>
            <w:tcW w:w="7188" w:type="dxa"/>
            <w:noWrap w:val="0"/>
            <w:vAlign w:val="center"/>
          </w:tcPr>
          <w:p w14:paraId="4A39A726">
            <w:pPr>
              <w:spacing w:line="360" w:lineRule="auto"/>
              <w:jc w:val="left"/>
              <w:rPr>
                <w:rFonts w:ascii="Times New Roman" w:hAnsi="Times New Roman" w:cs="Times New Roman"/>
                <w:color w:val="auto"/>
                <w:sz w:val="24"/>
                <w:szCs w:val="24"/>
                <w:u w:val="none" w:color="000000"/>
                <w:lang w:val="zh-TW"/>
              </w:rPr>
            </w:pPr>
            <w:r>
              <w:rPr>
                <w:rFonts w:ascii="Times New Roman" w:hAnsi="Times New Roman" w:cs="Times New Roman"/>
                <w:color w:val="auto"/>
                <w:sz w:val="24"/>
                <w:szCs w:val="24"/>
                <w:u w:val="none" w:color="000000"/>
                <w:lang w:val="zh-TW"/>
              </w:rPr>
              <w:t>符合第六章“</w:t>
            </w:r>
            <w:r>
              <w:rPr>
                <w:rFonts w:hint="eastAsia" w:cs="Times New Roman"/>
                <w:color w:val="auto"/>
                <w:sz w:val="24"/>
                <w:szCs w:val="24"/>
                <w:u w:val="none" w:color="000000"/>
                <w:lang w:val="en-US" w:eastAsia="zh-CN"/>
              </w:rPr>
              <w:t>投标</w:t>
            </w:r>
            <w:r>
              <w:rPr>
                <w:rFonts w:ascii="Times New Roman" w:hAnsi="Times New Roman" w:cs="Times New Roman"/>
                <w:color w:val="auto"/>
                <w:sz w:val="24"/>
                <w:szCs w:val="24"/>
                <w:u w:val="none" w:color="000000"/>
                <w:lang w:val="zh-TW" w:eastAsia="zh-CN"/>
              </w:rPr>
              <w:t>文件</w:t>
            </w:r>
            <w:r>
              <w:rPr>
                <w:rFonts w:ascii="Times New Roman" w:hAnsi="Times New Roman" w:cs="Times New Roman"/>
                <w:color w:val="auto"/>
                <w:sz w:val="24"/>
                <w:szCs w:val="24"/>
                <w:u w:val="none" w:color="000000"/>
                <w:lang w:val="zh-TW"/>
              </w:rPr>
              <w:t>格式”的要求</w:t>
            </w:r>
          </w:p>
        </w:tc>
      </w:tr>
      <w:tr w14:paraId="7C9D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6" w:type="dxa"/>
          <w:trHeight w:val="544" w:hRule="atLeast"/>
        </w:trPr>
        <w:tc>
          <w:tcPr>
            <w:tcW w:w="1310" w:type="dxa"/>
            <w:gridSpan w:val="2"/>
            <w:vMerge w:val="continue"/>
            <w:noWrap w:val="0"/>
            <w:vAlign w:val="center"/>
          </w:tcPr>
          <w:p w14:paraId="57E24775">
            <w:pPr>
              <w:spacing w:line="360" w:lineRule="auto"/>
              <w:jc w:val="center"/>
              <w:rPr>
                <w:rFonts w:ascii="Times New Roman" w:hAnsi="Times New Roman" w:cs="Times New Roman"/>
                <w:color w:val="auto"/>
                <w:sz w:val="24"/>
                <w:szCs w:val="24"/>
                <w:u w:val="none" w:color="000000"/>
                <w:lang w:val="zh-TW"/>
              </w:rPr>
            </w:pPr>
          </w:p>
        </w:tc>
        <w:tc>
          <w:tcPr>
            <w:tcW w:w="1486" w:type="dxa"/>
            <w:gridSpan w:val="2"/>
            <w:noWrap w:val="0"/>
            <w:vAlign w:val="center"/>
          </w:tcPr>
          <w:p w14:paraId="119D08AC">
            <w:pPr>
              <w:spacing w:line="360" w:lineRule="auto"/>
              <w:jc w:val="center"/>
              <w:rPr>
                <w:rFonts w:ascii="Times New Roman" w:hAnsi="Times New Roman" w:cs="Times New Roman"/>
                <w:color w:val="auto"/>
                <w:sz w:val="24"/>
                <w:szCs w:val="24"/>
                <w:u w:val="none" w:color="000000"/>
                <w:lang w:val="zh-TW" w:eastAsia="zh-CN"/>
              </w:rPr>
            </w:pPr>
            <w:r>
              <w:rPr>
                <w:rFonts w:ascii="Times New Roman" w:hAnsi="Times New Roman" w:cs="Times New Roman"/>
                <w:color w:val="auto"/>
                <w:sz w:val="24"/>
                <w:szCs w:val="24"/>
                <w:u w:val="none" w:color="000000"/>
                <w:lang w:val="zh-TW" w:eastAsia="zh-CN"/>
              </w:rPr>
              <w:t>报价唯一</w:t>
            </w:r>
          </w:p>
        </w:tc>
        <w:tc>
          <w:tcPr>
            <w:tcW w:w="7188" w:type="dxa"/>
            <w:noWrap w:val="0"/>
            <w:vAlign w:val="center"/>
          </w:tcPr>
          <w:p w14:paraId="703E5C83">
            <w:pPr>
              <w:spacing w:line="360" w:lineRule="auto"/>
              <w:jc w:val="left"/>
              <w:rPr>
                <w:rFonts w:ascii="Times New Roman" w:hAnsi="Times New Roman" w:cs="Times New Roman"/>
                <w:color w:val="auto"/>
                <w:sz w:val="24"/>
                <w:szCs w:val="24"/>
                <w:u w:val="none" w:color="000000"/>
                <w:lang w:val="zh-TW" w:eastAsia="zh-CN"/>
              </w:rPr>
            </w:pPr>
            <w:r>
              <w:rPr>
                <w:rFonts w:ascii="Times New Roman" w:hAnsi="Times New Roman" w:cs="Times New Roman"/>
                <w:color w:val="auto"/>
                <w:sz w:val="24"/>
                <w:szCs w:val="24"/>
                <w:u w:val="none" w:color="000000"/>
                <w:lang w:val="zh-TW"/>
              </w:rPr>
              <w:t>只能有一个有效报价</w:t>
            </w:r>
            <w:r>
              <w:rPr>
                <w:rFonts w:ascii="Times New Roman" w:hAnsi="Times New Roman" w:cs="Times New Roman"/>
                <w:color w:val="auto"/>
                <w:sz w:val="24"/>
                <w:szCs w:val="24"/>
                <w:u w:val="none" w:color="000000"/>
                <w:lang w:val="zh-TW" w:eastAsia="zh-CN"/>
              </w:rPr>
              <w:t>，且未超过本项目</w:t>
            </w:r>
            <w:r>
              <w:rPr>
                <w:rFonts w:hint="eastAsia" w:ascii="Times New Roman" w:hAnsi="Times New Roman" w:cs="Times New Roman"/>
                <w:color w:val="auto"/>
                <w:sz w:val="24"/>
                <w:szCs w:val="24"/>
                <w:u w:val="none" w:color="000000"/>
                <w:lang w:val="en-US" w:eastAsia="zh-CN"/>
              </w:rPr>
              <w:t>招标</w:t>
            </w:r>
            <w:r>
              <w:rPr>
                <w:rFonts w:ascii="Times New Roman" w:hAnsi="Times New Roman" w:cs="Times New Roman"/>
                <w:color w:val="auto"/>
                <w:sz w:val="24"/>
                <w:szCs w:val="24"/>
                <w:u w:val="none" w:color="000000"/>
                <w:lang w:val="zh-TW" w:eastAsia="zh-CN"/>
              </w:rPr>
              <w:t>控制价</w:t>
            </w:r>
          </w:p>
        </w:tc>
      </w:tr>
      <w:tr w14:paraId="1B1F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6" w:type="dxa"/>
          <w:trHeight w:val="544" w:hRule="atLeast"/>
        </w:trPr>
        <w:tc>
          <w:tcPr>
            <w:tcW w:w="1310" w:type="dxa"/>
            <w:gridSpan w:val="2"/>
            <w:vMerge w:val="continue"/>
            <w:noWrap w:val="0"/>
            <w:vAlign w:val="center"/>
          </w:tcPr>
          <w:p w14:paraId="0BEC94C0">
            <w:pPr>
              <w:spacing w:line="360" w:lineRule="auto"/>
              <w:jc w:val="center"/>
              <w:rPr>
                <w:rFonts w:ascii="Times New Roman" w:hAnsi="Times New Roman" w:cs="Times New Roman"/>
                <w:color w:val="auto"/>
                <w:sz w:val="24"/>
                <w:szCs w:val="24"/>
                <w:u w:val="none" w:color="000000"/>
                <w:lang w:val="zh-TW" w:eastAsia="zh-CN"/>
              </w:rPr>
            </w:pPr>
          </w:p>
        </w:tc>
        <w:tc>
          <w:tcPr>
            <w:tcW w:w="1486" w:type="dxa"/>
            <w:gridSpan w:val="2"/>
            <w:noWrap w:val="0"/>
            <w:vAlign w:val="center"/>
          </w:tcPr>
          <w:p w14:paraId="2512ED0C">
            <w:pPr>
              <w:spacing w:line="360" w:lineRule="auto"/>
              <w:jc w:val="center"/>
              <w:rPr>
                <w:rFonts w:ascii="Times New Roman" w:hAnsi="Times New Roman" w:cs="Times New Roman"/>
                <w:color w:val="auto"/>
                <w:sz w:val="24"/>
                <w:szCs w:val="24"/>
                <w:u w:val="none" w:color="000000"/>
                <w:lang w:val="zh-TW" w:eastAsia="zh-CN"/>
              </w:rPr>
            </w:pPr>
            <w:r>
              <w:rPr>
                <w:rFonts w:hint="eastAsia" w:cs="Times New Roman"/>
                <w:color w:val="auto"/>
                <w:sz w:val="24"/>
                <w:szCs w:val="24"/>
                <w:u w:val="none" w:color="000000"/>
                <w:lang w:val="en-US" w:eastAsia="zh-CN"/>
              </w:rPr>
              <w:t>服务内容</w:t>
            </w:r>
          </w:p>
        </w:tc>
        <w:tc>
          <w:tcPr>
            <w:tcW w:w="7188" w:type="dxa"/>
            <w:noWrap w:val="0"/>
            <w:vAlign w:val="center"/>
          </w:tcPr>
          <w:p w14:paraId="7013940D">
            <w:pPr>
              <w:spacing w:line="360" w:lineRule="auto"/>
              <w:jc w:val="left"/>
              <w:rPr>
                <w:rFonts w:ascii="Times New Roman" w:hAnsi="Times New Roman" w:cs="Times New Roman"/>
                <w:color w:val="auto"/>
                <w:sz w:val="24"/>
                <w:szCs w:val="24"/>
                <w:u w:val="none" w:color="000000"/>
                <w:lang w:val="zh-TW"/>
              </w:rPr>
            </w:pPr>
            <w:r>
              <w:rPr>
                <w:rFonts w:hint="eastAsia" w:cs="Times New Roman"/>
                <w:color w:val="auto"/>
                <w:sz w:val="24"/>
                <w:szCs w:val="24"/>
                <w:u w:val="none" w:color="000000"/>
                <w:lang w:val="zh-TW" w:eastAsia="zh-CN"/>
              </w:rPr>
              <w:t>符合“</w:t>
            </w:r>
            <w:r>
              <w:rPr>
                <w:rFonts w:hint="eastAsia" w:ascii="Times New Roman" w:hAnsi="Times New Roman" w:cs="Times New Roman"/>
                <w:color w:val="auto"/>
                <w:sz w:val="24"/>
                <w:szCs w:val="24"/>
                <w:u w:val="none" w:color="000000"/>
                <w:lang w:val="zh-TW" w:eastAsia="zh-CN"/>
              </w:rPr>
              <w:t>第三章</w:t>
            </w:r>
            <w:r>
              <w:rPr>
                <w:rFonts w:hint="eastAsia" w:cs="Times New Roman"/>
                <w:color w:val="auto"/>
                <w:sz w:val="24"/>
                <w:szCs w:val="24"/>
                <w:u w:val="none" w:color="000000"/>
                <w:lang w:val="zh-TW" w:eastAsia="zh-CN"/>
              </w:rPr>
              <w:t>服务内容及要求”</w:t>
            </w:r>
          </w:p>
        </w:tc>
      </w:tr>
      <w:tr w14:paraId="1D12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6" w:type="dxa"/>
          <w:trHeight w:val="544" w:hRule="atLeast"/>
        </w:trPr>
        <w:tc>
          <w:tcPr>
            <w:tcW w:w="1310" w:type="dxa"/>
            <w:gridSpan w:val="2"/>
            <w:vMerge w:val="continue"/>
            <w:noWrap w:val="0"/>
            <w:vAlign w:val="center"/>
          </w:tcPr>
          <w:p w14:paraId="2B9A825A">
            <w:pPr>
              <w:spacing w:line="360" w:lineRule="auto"/>
              <w:jc w:val="center"/>
              <w:rPr>
                <w:rFonts w:ascii="Times New Roman" w:hAnsi="Times New Roman" w:cs="Times New Roman"/>
                <w:color w:val="auto"/>
                <w:sz w:val="24"/>
                <w:szCs w:val="24"/>
                <w:u w:val="none" w:color="000000"/>
                <w:lang w:val="zh-TW" w:eastAsia="zh-CN"/>
              </w:rPr>
            </w:pPr>
          </w:p>
        </w:tc>
        <w:tc>
          <w:tcPr>
            <w:tcW w:w="1486" w:type="dxa"/>
            <w:gridSpan w:val="2"/>
            <w:noWrap w:val="0"/>
            <w:vAlign w:val="center"/>
          </w:tcPr>
          <w:p w14:paraId="3D72B737">
            <w:pPr>
              <w:spacing w:line="360" w:lineRule="auto"/>
              <w:jc w:val="center"/>
              <w:rPr>
                <w:rFonts w:hint="eastAsia" w:ascii="Times New Roman" w:hAnsi="Times New Roman" w:cs="Times New Roman"/>
                <w:color w:val="auto"/>
                <w:sz w:val="24"/>
                <w:szCs w:val="24"/>
                <w:u w:val="none" w:color="000000"/>
                <w:lang w:val="en-US" w:eastAsia="zh-CN"/>
              </w:rPr>
            </w:pPr>
            <w:r>
              <w:rPr>
                <w:rFonts w:hint="eastAsia" w:ascii="Times New Roman" w:hAnsi="Times New Roman" w:cs="Times New Roman"/>
                <w:color w:val="auto"/>
                <w:sz w:val="24"/>
                <w:szCs w:val="24"/>
                <w:u w:val="none" w:color="000000"/>
                <w:lang w:val="en-US" w:eastAsia="zh-CN"/>
              </w:rPr>
              <w:t>服务地点</w:t>
            </w:r>
          </w:p>
        </w:tc>
        <w:tc>
          <w:tcPr>
            <w:tcW w:w="7188" w:type="dxa"/>
            <w:noWrap w:val="0"/>
            <w:vAlign w:val="center"/>
          </w:tcPr>
          <w:p w14:paraId="79E13710">
            <w:pPr>
              <w:spacing w:line="360" w:lineRule="auto"/>
              <w:jc w:val="left"/>
              <w:rPr>
                <w:rFonts w:hint="eastAsia" w:ascii="Times New Roman" w:hAnsi="Times New Roman" w:cs="Times New Roman"/>
                <w:color w:val="auto"/>
                <w:sz w:val="24"/>
                <w:szCs w:val="24"/>
                <w:u w:val="none" w:color="000000"/>
                <w:lang w:val="en-US" w:eastAsia="zh-CN"/>
              </w:rPr>
            </w:pPr>
            <w:r>
              <w:rPr>
                <w:rFonts w:hint="eastAsia" w:cs="Times New Roman"/>
                <w:color w:val="auto"/>
                <w:sz w:val="24"/>
                <w:szCs w:val="24"/>
                <w:u w:val="none" w:color="000000"/>
                <w:lang w:val="en-US" w:eastAsia="zh-CN"/>
              </w:rPr>
              <w:t>卢氏县</w:t>
            </w:r>
          </w:p>
        </w:tc>
      </w:tr>
      <w:tr w14:paraId="3EF4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6" w:type="dxa"/>
          <w:trHeight w:val="544" w:hRule="atLeast"/>
        </w:trPr>
        <w:tc>
          <w:tcPr>
            <w:tcW w:w="1310" w:type="dxa"/>
            <w:gridSpan w:val="2"/>
            <w:vMerge w:val="continue"/>
            <w:noWrap w:val="0"/>
            <w:vAlign w:val="center"/>
          </w:tcPr>
          <w:p w14:paraId="610E0B19">
            <w:pPr>
              <w:spacing w:line="360" w:lineRule="auto"/>
              <w:jc w:val="center"/>
              <w:rPr>
                <w:rFonts w:ascii="Times New Roman" w:hAnsi="Times New Roman" w:cs="Times New Roman"/>
                <w:color w:val="auto"/>
                <w:sz w:val="24"/>
                <w:szCs w:val="24"/>
                <w:u w:val="none" w:color="000000"/>
                <w:lang w:val="zh-TW"/>
              </w:rPr>
            </w:pPr>
          </w:p>
        </w:tc>
        <w:tc>
          <w:tcPr>
            <w:tcW w:w="1486" w:type="dxa"/>
            <w:gridSpan w:val="2"/>
            <w:noWrap w:val="0"/>
            <w:vAlign w:val="center"/>
          </w:tcPr>
          <w:p w14:paraId="0D7D872A">
            <w:pPr>
              <w:spacing w:line="360" w:lineRule="auto"/>
              <w:jc w:val="center"/>
              <w:rPr>
                <w:rFonts w:ascii="Times New Roman" w:hAnsi="Times New Roman" w:cs="Times New Roman"/>
                <w:color w:val="auto"/>
                <w:sz w:val="24"/>
                <w:szCs w:val="24"/>
                <w:u w:val="none" w:color="000000"/>
                <w:lang w:val="zh-TW"/>
              </w:rPr>
            </w:pPr>
            <w:r>
              <w:rPr>
                <w:rFonts w:hint="eastAsia" w:ascii="Times New Roman" w:hAnsi="Times New Roman" w:cs="Times New Roman"/>
                <w:color w:val="auto"/>
                <w:sz w:val="24"/>
                <w:szCs w:val="24"/>
                <w:u w:val="none" w:color="000000"/>
                <w:lang w:val="en-US" w:eastAsia="zh-CN"/>
              </w:rPr>
              <w:t>服务周期</w:t>
            </w:r>
          </w:p>
        </w:tc>
        <w:tc>
          <w:tcPr>
            <w:tcW w:w="7188" w:type="dxa"/>
            <w:noWrap w:val="0"/>
            <w:vAlign w:val="center"/>
          </w:tcPr>
          <w:p w14:paraId="1BE3F92B">
            <w:pPr>
              <w:spacing w:line="360" w:lineRule="auto"/>
              <w:jc w:val="left"/>
              <w:rPr>
                <w:rFonts w:hint="eastAsia" w:ascii="Times New Roman" w:hAnsi="Times New Roman" w:cs="Times New Roman"/>
                <w:color w:val="auto"/>
                <w:sz w:val="24"/>
                <w:szCs w:val="24"/>
                <w:u w:val="none" w:color="000000"/>
                <w:lang w:val="en-US" w:eastAsia="zh-CN"/>
              </w:rPr>
            </w:pPr>
            <w:r>
              <w:rPr>
                <w:rFonts w:hint="eastAsia" w:cs="Times New Roman"/>
                <w:color w:val="auto"/>
                <w:sz w:val="24"/>
                <w:szCs w:val="24"/>
                <w:u w:val="none" w:color="000000"/>
                <w:lang w:val="en-US" w:eastAsia="zh-CN"/>
              </w:rPr>
              <w:t>一年</w:t>
            </w:r>
          </w:p>
        </w:tc>
      </w:tr>
      <w:tr w14:paraId="0020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6" w:type="dxa"/>
          <w:trHeight w:val="544" w:hRule="atLeast"/>
        </w:trPr>
        <w:tc>
          <w:tcPr>
            <w:tcW w:w="1310" w:type="dxa"/>
            <w:gridSpan w:val="2"/>
            <w:vMerge w:val="continue"/>
            <w:noWrap w:val="0"/>
            <w:vAlign w:val="center"/>
          </w:tcPr>
          <w:p w14:paraId="2D3AD79E">
            <w:pPr>
              <w:spacing w:line="360" w:lineRule="auto"/>
              <w:jc w:val="center"/>
              <w:rPr>
                <w:rFonts w:ascii="Times New Roman" w:hAnsi="Times New Roman" w:cs="Times New Roman"/>
                <w:color w:val="auto"/>
                <w:sz w:val="24"/>
                <w:szCs w:val="24"/>
                <w:u w:val="none" w:color="000000"/>
                <w:lang w:val="zh-TW"/>
              </w:rPr>
            </w:pPr>
          </w:p>
        </w:tc>
        <w:tc>
          <w:tcPr>
            <w:tcW w:w="1486" w:type="dxa"/>
            <w:gridSpan w:val="2"/>
            <w:noWrap w:val="0"/>
            <w:vAlign w:val="center"/>
          </w:tcPr>
          <w:p w14:paraId="30FFFBEA">
            <w:pPr>
              <w:spacing w:line="360" w:lineRule="auto"/>
              <w:jc w:val="center"/>
              <w:rPr>
                <w:rFonts w:ascii="Times New Roman" w:hAnsi="Times New Roman" w:cs="Times New Roman"/>
                <w:color w:val="auto"/>
                <w:sz w:val="24"/>
                <w:szCs w:val="24"/>
                <w:u w:val="none" w:color="000000"/>
                <w:lang w:val="zh-TW"/>
              </w:rPr>
            </w:pPr>
            <w:r>
              <w:rPr>
                <w:rFonts w:hint="eastAsia" w:ascii="Times New Roman" w:hAnsi="Times New Roman" w:cs="Times New Roman"/>
                <w:color w:val="auto"/>
                <w:sz w:val="24"/>
                <w:szCs w:val="24"/>
                <w:u w:val="none" w:color="000000"/>
                <w:lang w:val="zh-TW" w:eastAsia="zh-CN"/>
              </w:rPr>
              <w:t>质量要求</w:t>
            </w:r>
          </w:p>
        </w:tc>
        <w:tc>
          <w:tcPr>
            <w:tcW w:w="7188" w:type="dxa"/>
            <w:noWrap w:val="0"/>
            <w:vAlign w:val="center"/>
          </w:tcPr>
          <w:p w14:paraId="180978D2">
            <w:pPr>
              <w:spacing w:line="360" w:lineRule="auto"/>
              <w:jc w:val="both"/>
              <w:rPr>
                <w:rFonts w:ascii="Times New Roman" w:hAnsi="Times New Roman" w:cs="Times New Roman"/>
                <w:color w:val="auto"/>
                <w:sz w:val="24"/>
                <w:szCs w:val="24"/>
                <w:u w:val="none" w:color="000000"/>
                <w:lang w:val="zh-TW"/>
              </w:rPr>
            </w:pPr>
            <w:r>
              <w:rPr>
                <w:rFonts w:hint="eastAsia" w:cs="Times New Roman"/>
                <w:color w:val="auto"/>
                <w:sz w:val="24"/>
                <w:szCs w:val="24"/>
                <w:u w:val="none" w:color="000000"/>
                <w:lang w:val="en-US" w:eastAsia="zh-CN"/>
              </w:rPr>
              <w:t>满足国家或行业标准要求</w:t>
            </w:r>
          </w:p>
        </w:tc>
      </w:tr>
      <w:tr w14:paraId="5BE5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6" w:type="dxa"/>
          <w:trHeight w:val="544" w:hRule="atLeast"/>
        </w:trPr>
        <w:tc>
          <w:tcPr>
            <w:tcW w:w="1310" w:type="dxa"/>
            <w:gridSpan w:val="2"/>
            <w:vMerge w:val="continue"/>
            <w:noWrap w:val="0"/>
            <w:vAlign w:val="center"/>
          </w:tcPr>
          <w:p w14:paraId="112FFEA6">
            <w:pPr>
              <w:spacing w:line="360" w:lineRule="auto"/>
              <w:jc w:val="center"/>
              <w:rPr>
                <w:rFonts w:ascii="Times New Roman" w:hAnsi="Times New Roman" w:cs="Times New Roman"/>
                <w:color w:val="auto"/>
                <w:sz w:val="24"/>
                <w:szCs w:val="24"/>
                <w:u w:val="none" w:color="000000"/>
                <w:lang w:val="zh-TW"/>
              </w:rPr>
            </w:pPr>
          </w:p>
        </w:tc>
        <w:tc>
          <w:tcPr>
            <w:tcW w:w="1486" w:type="dxa"/>
            <w:gridSpan w:val="2"/>
            <w:noWrap w:val="0"/>
            <w:vAlign w:val="center"/>
          </w:tcPr>
          <w:p w14:paraId="607E3198">
            <w:pPr>
              <w:spacing w:line="360" w:lineRule="auto"/>
              <w:jc w:val="center"/>
              <w:rPr>
                <w:rFonts w:ascii="Times New Roman" w:hAnsi="Times New Roman" w:cs="Times New Roman"/>
                <w:color w:val="auto"/>
                <w:sz w:val="24"/>
                <w:szCs w:val="24"/>
                <w:u w:val="none" w:color="000000"/>
                <w:lang w:val="zh-TW"/>
              </w:rPr>
            </w:pPr>
            <w:r>
              <w:rPr>
                <w:rFonts w:hint="eastAsia" w:ascii="Times New Roman" w:hAnsi="Times New Roman" w:cs="Times New Roman"/>
                <w:color w:val="auto"/>
                <w:sz w:val="24"/>
                <w:szCs w:val="24"/>
                <w:u w:val="none" w:color="000000"/>
                <w:lang w:val="en-US" w:eastAsia="zh-CN"/>
              </w:rPr>
              <w:t>投标</w:t>
            </w:r>
            <w:r>
              <w:rPr>
                <w:rFonts w:ascii="Times New Roman" w:hAnsi="Times New Roman" w:cs="Times New Roman"/>
                <w:color w:val="auto"/>
                <w:sz w:val="24"/>
                <w:szCs w:val="24"/>
                <w:u w:val="none" w:color="000000"/>
                <w:lang w:val="zh-TW"/>
              </w:rPr>
              <w:t>有效期</w:t>
            </w:r>
          </w:p>
        </w:tc>
        <w:tc>
          <w:tcPr>
            <w:tcW w:w="7188" w:type="dxa"/>
            <w:noWrap w:val="0"/>
            <w:vAlign w:val="center"/>
          </w:tcPr>
          <w:p w14:paraId="73D438A5">
            <w:pPr>
              <w:spacing w:line="360" w:lineRule="auto"/>
              <w:jc w:val="left"/>
              <w:rPr>
                <w:rFonts w:ascii="Times New Roman" w:hAnsi="Times New Roman" w:cs="Times New Roman"/>
                <w:color w:val="auto"/>
                <w:sz w:val="24"/>
                <w:szCs w:val="24"/>
                <w:u w:val="none" w:color="000000"/>
                <w:lang w:val="zh-TW"/>
              </w:rPr>
            </w:pPr>
            <w:r>
              <w:rPr>
                <w:rFonts w:ascii="Times New Roman" w:hAnsi="Times New Roman" w:cs="Times New Roman"/>
                <w:color w:val="auto"/>
                <w:sz w:val="24"/>
                <w:szCs w:val="24"/>
                <w:u w:val="none" w:color="000000"/>
                <w:lang w:val="zh-TW"/>
              </w:rPr>
              <w:t>符合第二章 “</w:t>
            </w:r>
            <w:r>
              <w:rPr>
                <w:rFonts w:hint="eastAsia" w:cs="Times New Roman"/>
                <w:color w:val="auto"/>
                <w:sz w:val="24"/>
                <w:szCs w:val="24"/>
                <w:u w:val="none" w:color="000000"/>
                <w:lang w:val="en-US" w:eastAsia="zh-CN"/>
              </w:rPr>
              <w:t xml:space="preserve"> </w:t>
            </w:r>
            <w:r>
              <w:rPr>
                <w:rFonts w:hint="eastAsia" w:cs="Times New Roman"/>
                <w:color w:val="auto"/>
                <w:sz w:val="24"/>
                <w:szCs w:val="24"/>
                <w:u w:val="none" w:color="000000"/>
                <w:lang w:val="zh-TW" w:eastAsia="zh-CN"/>
              </w:rPr>
              <w:t>供应商</w:t>
            </w:r>
            <w:r>
              <w:rPr>
                <w:rFonts w:ascii="Times New Roman" w:hAnsi="Times New Roman" w:cs="Times New Roman"/>
                <w:color w:val="auto"/>
                <w:sz w:val="24"/>
                <w:szCs w:val="24"/>
                <w:u w:val="none" w:color="000000"/>
                <w:lang w:val="zh-TW"/>
              </w:rPr>
              <w:t>须知前附表”的规定</w:t>
            </w:r>
          </w:p>
        </w:tc>
      </w:tr>
      <w:tr w14:paraId="7A31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6" w:type="dxa"/>
          <w:trHeight w:val="544" w:hRule="atLeast"/>
        </w:trPr>
        <w:tc>
          <w:tcPr>
            <w:tcW w:w="1310" w:type="dxa"/>
            <w:gridSpan w:val="2"/>
            <w:vMerge w:val="continue"/>
            <w:noWrap w:val="0"/>
            <w:vAlign w:val="center"/>
          </w:tcPr>
          <w:p w14:paraId="3486F96B">
            <w:pPr>
              <w:spacing w:line="360" w:lineRule="auto"/>
              <w:jc w:val="center"/>
              <w:rPr>
                <w:rFonts w:ascii="Times New Roman" w:hAnsi="Times New Roman" w:cs="Times New Roman"/>
                <w:color w:val="auto"/>
                <w:sz w:val="24"/>
                <w:szCs w:val="24"/>
                <w:u w:val="none" w:color="000000"/>
                <w:lang w:val="zh-TW"/>
              </w:rPr>
            </w:pPr>
          </w:p>
        </w:tc>
        <w:tc>
          <w:tcPr>
            <w:tcW w:w="1486" w:type="dxa"/>
            <w:gridSpan w:val="2"/>
            <w:noWrap w:val="0"/>
            <w:vAlign w:val="center"/>
          </w:tcPr>
          <w:p w14:paraId="15640864">
            <w:pPr>
              <w:spacing w:line="360" w:lineRule="auto"/>
              <w:jc w:val="center"/>
              <w:rPr>
                <w:rFonts w:ascii="Times New Roman" w:hAnsi="Times New Roman" w:cs="Times New Roman"/>
                <w:color w:val="auto"/>
                <w:sz w:val="24"/>
                <w:szCs w:val="24"/>
                <w:u w:val="none" w:color="000000"/>
                <w:lang w:val="zh-TW"/>
              </w:rPr>
            </w:pPr>
            <w:r>
              <w:rPr>
                <w:rFonts w:ascii="Times New Roman" w:hAnsi="Times New Roman" w:cs="Times New Roman"/>
                <w:color w:val="auto"/>
                <w:sz w:val="24"/>
                <w:szCs w:val="24"/>
                <w:u w:val="none" w:color="000000"/>
                <w:lang w:val="zh-TW"/>
              </w:rPr>
              <w:t>其他要求</w:t>
            </w:r>
          </w:p>
        </w:tc>
        <w:tc>
          <w:tcPr>
            <w:tcW w:w="7188" w:type="dxa"/>
            <w:noWrap w:val="0"/>
            <w:vAlign w:val="center"/>
          </w:tcPr>
          <w:p w14:paraId="4D2B55E9">
            <w:pPr>
              <w:spacing w:line="360" w:lineRule="auto"/>
              <w:jc w:val="left"/>
              <w:rPr>
                <w:rFonts w:hint="eastAsia" w:ascii="Times New Roman" w:hAnsi="Times New Roman" w:eastAsia="宋体" w:cs="Times New Roman"/>
                <w:color w:val="auto"/>
                <w:sz w:val="24"/>
                <w:szCs w:val="24"/>
                <w:u w:val="none" w:color="000000"/>
                <w:lang w:val="en-US" w:eastAsia="zh-CN"/>
              </w:rPr>
            </w:pPr>
            <w:r>
              <w:rPr>
                <w:rFonts w:ascii="Times New Roman" w:hAnsi="Times New Roman" w:cs="Times New Roman"/>
                <w:color w:val="auto"/>
                <w:sz w:val="24"/>
                <w:szCs w:val="24"/>
                <w:u w:val="none" w:color="000000"/>
                <w:lang w:val="zh-TW"/>
              </w:rPr>
              <w:t>符合</w:t>
            </w:r>
            <w:r>
              <w:rPr>
                <w:rFonts w:hint="eastAsia" w:ascii="Times New Roman" w:hAnsi="Times New Roman" w:cs="Times New Roman"/>
                <w:color w:val="auto"/>
                <w:sz w:val="24"/>
                <w:szCs w:val="24"/>
                <w:u w:val="none" w:color="000000"/>
                <w:lang w:val="en-US" w:eastAsia="zh-CN"/>
              </w:rPr>
              <w:t>招标</w:t>
            </w:r>
            <w:r>
              <w:rPr>
                <w:rFonts w:ascii="Times New Roman" w:hAnsi="Times New Roman" w:cs="Times New Roman"/>
                <w:color w:val="auto"/>
                <w:sz w:val="24"/>
                <w:szCs w:val="24"/>
                <w:u w:val="none" w:color="000000"/>
                <w:lang w:val="zh-TW"/>
              </w:rPr>
              <w:t>文件规定</w:t>
            </w:r>
          </w:p>
        </w:tc>
      </w:tr>
      <w:tr w14:paraId="146A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96" w:type="dxa"/>
            <w:gridSpan w:val="4"/>
            <w:tcMar>
              <w:top w:w="0" w:type="dxa"/>
              <w:left w:w="108" w:type="dxa"/>
              <w:bottom w:w="0" w:type="dxa"/>
              <w:right w:w="108" w:type="dxa"/>
            </w:tcMar>
            <w:vAlign w:val="center"/>
          </w:tcPr>
          <w:p w14:paraId="3729AD39">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rPr>
            </w:pPr>
            <w:bookmarkStart w:id="25" w:name="_Toc21738"/>
            <w:r>
              <w:rPr>
                <w:rFonts w:hint="eastAsia" w:ascii="宋体" w:hAnsi="宋体" w:eastAsia="宋体" w:cs="宋体"/>
                <w:kern w:val="2"/>
                <w:sz w:val="24"/>
                <w:szCs w:val="24"/>
              </w:rPr>
              <w:t>投标报价</w:t>
            </w:r>
            <w:r>
              <w:rPr>
                <w:rFonts w:hint="eastAsia" w:ascii="宋体" w:hAnsi="宋体" w:eastAsia="宋体" w:cs="宋体"/>
                <w:kern w:val="2"/>
                <w:sz w:val="24"/>
                <w:szCs w:val="24"/>
                <w:lang w:eastAsia="zh-CN"/>
              </w:rPr>
              <w:t>（</w:t>
            </w:r>
            <w:r>
              <w:rPr>
                <w:rFonts w:hint="eastAsia" w:ascii="宋体" w:hAnsi="宋体" w:cs="宋体"/>
                <w:kern w:val="2"/>
                <w:sz w:val="24"/>
                <w:szCs w:val="24"/>
                <w:lang w:val="en-US" w:eastAsia="zh-CN"/>
              </w:rPr>
              <w:t>20</w:t>
            </w:r>
            <w:r>
              <w:rPr>
                <w:rFonts w:hint="eastAsia" w:ascii="宋体" w:hAnsi="宋体" w:eastAsia="宋体" w:cs="宋体"/>
                <w:kern w:val="2"/>
                <w:sz w:val="24"/>
                <w:szCs w:val="24"/>
              </w:rPr>
              <w:t>分</w:t>
            </w:r>
            <w:r>
              <w:rPr>
                <w:rFonts w:hint="eastAsia" w:ascii="宋体" w:hAnsi="宋体" w:eastAsia="宋体" w:cs="宋体"/>
                <w:kern w:val="2"/>
                <w:sz w:val="24"/>
                <w:szCs w:val="24"/>
                <w:lang w:eastAsia="zh-CN"/>
              </w:rPr>
              <w:t>）</w:t>
            </w:r>
          </w:p>
        </w:tc>
        <w:tc>
          <w:tcPr>
            <w:tcW w:w="7404" w:type="dxa"/>
            <w:gridSpan w:val="2"/>
            <w:tcMar>
              <w:top w:w="0" w:type="dxa"/>
              <w:left w:w="108" w:type="dxa"/>
              <w:bottom w:w="0" w:type="dxa"/>
              <w:right w:w="108" w:type="dxa"/>
            </w:tcMar>
            <w:vAlign w:val="center"/>
          </w:tcPr>
          <w:p w14:paraId="4A803489">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pacing w:val="-5"/>
                <w:sz w:val="24"/>
                <w:szCs w:val="24"/>
              </w:rPr>
            </w:pPr>
            <w:r>
              <w:rPr>
                <w:rFonts w:hint="eastAsia" w:ascii="宋体" w:hAnsi="宋体" w:cs="宋体"/>
                <w:spacing w:val="-5"/>
                <w:sz w:val="24"/>
                <w:szCs w:val="24"/>
                <w:lang w:val="en-US" w:eastAsia="zh-CN"/>
              </w:rPr>
              <w:t>1、</w:t>
            </w:r>
            <w:r>
              <w:rPr>
                <w:rFonts w:hint="eastAsia" w:ascii="宋体" w:hAnsi="宋体" w:eastAsia="宋体" w:cs="宋体"/>
                <w:spacing w:val="-5"/>
                <w:sz w:val="24"/>
                <w:szCs w:val="24"/>
              </w:rPr>
              <w:t>投标报价得分采用低价优先法计算，即满足招标文件要求且投标价格最低的投标报价为评标基准价，其价格分为满分。</w:t>
            </w:r>
          </w:p>
          <w:p w14:paraId="5E011643">
            <w:pPr>
              <w:keepNext w:val="0"/>
              <w:keepLines w:val="0"/>
              <w:pageBreakBefore w:val="0"/>
              <w:kinsoku/>
              <w:wordWrap/>
              <w:overflowPunct/>
              <w:topLinePunct w:val="0"/>
              <w:bidi w:val="0"/>
              <w:adjustRightInd w:val="0"/>
              <w:snapToGrid w:val="0"/>
              <w:spacing w:line="360" w:lineRule="auto"/>
              <w:ind w:firstLine="380"/>
              <w:textAlignment w:val="auto"/>
              <w:rPr>
                <w:rFonts w:hint="eastAsia" w:ascii="宋体" w:hAnsi="宋体" w:eastAsia="宋体" w:cs="宋体"/>
                <w:spacing w:val="-5"/>
                <w:sz w:val="24"/>
                <w:szCs w:val="24"/>
              </w:rPr>
            </w:pPr>
            <w:r>
              <w:rPr>
                <w:rFonts w:hint="eastAsia" w:ascii="宋体" w:hAnsi="宋体" w:eastAsia="宋体" w:cs="宋体"/>
                <w:spacing w:val="-5"/>
                <w:sz w:val="24"/>
                <w:szCs w:val="24"/>
              </w:rPr>
              <w:t>计算方法如下：</w:t>
            </w:r>
          </w:p>
          <w:p w14:paraId="5108C812">
            <w:pPr>
              <w:widowControl/>
              <w:numPr>
                <w:ilvl w:val="0"/>
                <w:numId w:val="0"/>
              </w:numPr>
              <w:snapToGrid/>
              <w:spacing w:before="0" w:beforeLines="0" w:beforeAutospacing="0" w:after="0" w:afterLines="0" w:afterAutospacing="0" w:line="360" w:lineRule="auto"/>
              <w:ind w:leftChars="0" w:right="0" w:rightChars="0"/>
              <w:jc w:val="left"/>
              <w:textAlignment w:val="baseline"/>
              <w:rPr>
                <w:rFonts w:hint="eastAsia" w:ascii="宋体" w:hAnsi="宋体" w:eastAsia="宋体" w:cs="宋体"/>
                <w:spacing w:val="-5"/>
                <w:sz w:val="24"/>
                <w:szCs w:val="24"/>
              </w:rPr>
            </w:pPr>
            <w:r>
              <w:rPr>
                <w:rFonts w:hint="eastAsia" w:ascii="宋体" w:hAnsi="宋体" w:cs="宋体"/>
                <w:spacing w:val="-5"/>
                <w:sz w:val="24"/>
                <w:szCs w:val="24"/>
                <w:lang w:val="en-US" w:eastAsia="zh-CN"/>
              </w:rPr>
              <w:t>2、</w:t>
            </w:r>
            <w:r>
              <w:rPr>
                <w:rFonts w:hint="eastAsia" w:ascii="宋体" w:hAnsi="宋体" w:eastAsia="宋体" w:cs="宋体"/>
                <w:spacing w:val="-5"/>
                <w:sz w:val="24"/>
                <w:szCs w:val="24"/>
              </w:rPr>
              <w:t>投标报价得分=评标基准值/评标报价×</w:t>
            </w:r>
            <w:r>
              <w:rPr>
                <w:rFonts w:hint="eastAsia" w:ascii="宋体" w:hAnsi="宋体" w:cs="宋体"/>
                <w:spacing w:val="-5"/>
                <w:sz w:val="24"/>
                <w:szCs w:val="24"/>
                <w:lang w:val="en-US" w:eastAsia="zh-CN"/>
              </w:rPr>
              <w:t>20</w:t>
            </w:r>
            <w:r>
              <w:rPr>
                <w:rFonts w:hint="eastAsia" w:ascii="宋体" w:hAnsi="宋体" w:eastAsia="宋体" w:cs="宋体"/>
                <w:spacing w:val="-5"/>
                <w:sz w:val="24"/>
                <w:szCs w:val="24"/>
              </w:rPr>
              <w:t>分</w:t>
            </w:r>
          </w:p>
          <w:p w14:paraId="0774259C">
            <w:pPr>
              <w:widowControl/>
              <w:numPr>
                <w:ilvl w:val="0"/>
                <w:numId w:val="2"/>
              </w:numPr>
              <w:snapToGrid/>
              <w:spacing w:before="0" w:beforeLines="0" w:beforeAutospacing="0" w:after="0" w:afterLines="0" w:afterAutospacing="0" w:line="360" w:lineRule="auto"/>
              <w:ind w:left="0" w:leftChars="0" w:right="0" w:firstLine="0" w:firstLineChars="0"/>
              <w:jc w:val="left"/>
              <w:textAlignment w:val="baseline"/>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价格扣除：1.投标供应商为中小微企业的（监狱企业/残疾人福利性企业视同小型、微型企业），对所投标的小型和微型企业制造的产品的价格给予20%的扣除，用扣除后的价格参与评审。参加投标的中小微企业，应当按照《政府采购促进中小企业发展管理办法》（财库〔2020〕46号）的规定提供《中小企业声明函》（中小企业划型标准详见《关于印发中小企业划型标准规定的通知》工信部联企业〔2011〕300号）。 投标供应商为大型企业的不适用本款规定。</w:t>
            </w:r>
          </w:p>
          <w:p w14:paraId="64E9B50D">
            <w:pPr>
              <w:widowControl/>
              <w:snapToGrid/>
              <w:spacing w:before="0" w:beforeLines="0" w:beforeAutospacing="0" w:after="0" w:afterLines="0" w:afterAutospacing="0" w:line="360" w:lineRule="auto"/>
              <w:ind w:left="0" w:leftChars="0" w:right="0"/>
              <w:jc w:val="left"/>
              <w:textAlignment w:val="baseline"/>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4、根据财政部司法部《关于政府采购支持监狱企业发展有关问题的通知》（财库〔2014〕68号）规定，本项目对监狱企业作为投标供应商所提供的本企业生产的产品的价格给予20%的扣除。监狱企业，应当提供由省级以上监狱管理局、戒毒管理局（含新疆生产建设兵团）出具的属于监狱企业的证明文件。</w:t>
            </w:r>
          </w:p>
          <w:p w14:paraId="473B13CB">
            <w:pPr>
              <w:widowControl/>
              <w:snapToGrid/>
              <w:spacing w:before="0" w:beforeLines="0" w:beforeAutospacing="0" w:after="0" w:afterLines="0" w:afterAutospacing="0" w:line="360" w:lineRule="auto"/>
              <w:ind w:left="0" w:leftChars="0" w:right="0"/>
              <w:jc w:val="left"/>
              <w:textAlignment w:val="baseline"/>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5、参加政府采购活动的残疾人福利性单位应当提供《残疾人福利性单位声明函》，未填写残疾人福利性单位声明函的在开标过程中不予认可。</w:t>
            </w:r>
          </w:p>
          <w:p w14:paraId="3113F01D">
            <w:pPr>
              <w:widowControl/>
              <w:snapToGrid/>
              <w:spacing w:before="0" w:beforeLines="0" w:beforeAutospacing="0" w:after="0" w:afterLines="0" w:afterAutospacing="0" w:line="360" w:lineRule="auto"/>
              <w:ind w:left="0" w:leftChars="0" w:right="0"/>
              <w:jc w:val="left"/>
              <w:textAlignment w:val="baseline"/>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6、同一投标供应商，中小微企业产品和监狱企业产品价格扣除优惠只享受一次，不得重复享受</w:t>
            </w:r>
          </w:p>
          <w:p w14:paraId="5719F119">
            <w:pPr>
              <w:widowControl/>
              <w:snapToGrid/>
              <w:spacing w:before="0" w:beforeLines="0" w:beforeAutospacing="0" w:after="0" w:afterLines="0" w:afterAutospacing="0" w:line="360" w:lineRule="auto"/>
              <w:ind w:left="0" w:leftChars="0" w:right="0"/>
              <w:jc w:val="left"/>
              <w:textAlignment w:val="baseline"/>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例：所投中小微企业产品报价=所投中小微企业产品报价合计×（1-20%）</w:t>
            </w:r>
          </w:p>
          <w:p w14:paraId="129B26D7">
            <w:pPr>
              <w:keepNext w:val="0"/>
              <w:keepLines w:val="0"/>
              <w:pageBreakBefore w:val="0"/>
              <w:numPr>
                <w:ilvl w:val="0"/>
                <w:numId w:val="0"/>
              </w:numPr>
              <w:kinsoku/>
              <w:wordWrap/>
              <w:overflowPunct/>
              <w:topLinePunct w:val="0"/>
              <w:bidi w:val="0"/>
              <w:adjustRightInd w:val="0"/>
              <w:snapToGrid w:val="0"/>
              <w:spacing w:line="360" w:lineRule="auto"/>
              <w:ind w:leftChars="0"/>
              <w:textAlignment w:val="auto"/>
              <w:rPr>
                <w:rFonts w:hint="eastAsia"/>
              </w:rPr>
            </w:pPr>
            <w:r>
              <w:rPr>
                <w:rFonts w:hint="eastAsia" w:ascii="Times New Roman" w:hAnsi="Times New Roman" w:cs="Times New Roman"/>
                <w:color w:val="auto"/>
                <w:sz w:val="24"/>
                <w:szCs w:val="24"/>
                <w:lang w:val="en-US" w:eastAsia="zh-CN"/>
              </w:rPr>
              <w:t>注：价格分计算保留小数点后二位。在评标过程中，评标委员会发现投标人的报价明显低于成本价时或明显低于其他通过初步审查投标人的报价，有可能影响产品质量或者不能诚信履约的，评标委员会可向该投标人提出询问，要求该投标人作出书面说明并提供相关证明材料。投标人不能合理说明及不能提供相关证明材料的，评标委员会认定该投标人以低于成本价恶意竞标，其投标作废标处理</w:t>
            </w:r>
          </w:p>
        </w:tc>
      </w:tr>
      <w:tr w14:paraId="10F1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21" w:type="dxa"/>
            <w:vMerge w:val="restart"/>
            <w:tcMar>
              <w:top w:w="0" w:type="dxa"/>
              <w:left w:w="108" w:type="dxa"/>
              <w:bottom w:w="0" w:type="dxa"/>
              <w:right w:w="108" w:type="dxa"/>
            </w:tcMar>
            <w:vAlign w:val="center"/>
          </w:tcPr>
          <w:p w14:paraId="66BC216A">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cs="宋体"/>
                <w:sz w:val="24"/>
                <w:szCs w:val="24"/>
                <w:lang w:eastAsia="zh-CN"/>
              </w:rPr>
              <w:t>技术部分（</w:t>
            </w:r>
            <w:r>
              <w:rPr>
                <w:rFonts w:hint="eastAsia" w:ascii="宋体" w:hAnsi="宋体" w:cs="宋体"/>
                <w:sz w:val="24"/>
                <w:szCs w:val="24"/>
                <w:lang w:val="en-US" w:eastAsia="zh-CN"/>
              </w:rPr>
              <w:t>60分</w:t>
            </w:r>
            <w:r>
              <w:rPr>
                <w:rFonts w:hint="eastAsia" w:ascii="宋体" w:hAnsi="宋体" w:cs="宋体"/>
                <w:sz w:val="24"/>
                <w:szCs w:val="24"/>
                <w:lang w:eastAsia="zh-CN"/>
              </w:rPr>
              <w:t>）</w:t>
            </w:r>
          </w:p>
        </w:tc>
        <w:tc>
          <w:tcPr>
            <w:tcW w:w="1875" w:type="dxa"/>
            <w:gridSpan w:val="3"/>
            <w:shd w:val="clear" w:color="auto" w:fill="auto"/>
            <w:vAlign w:val="center"/>
          </w:tcPr>
          <w:p w14:paraId="6868C903">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运维方案</w:t>
            </w:r>
          </w:p>
          <w:p w14:paraId="4E980600">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（10分）</w:t>
            </w:r>
          </w:p>
        </w:tc>
        <w:tc>
          <w:tcPr>
            <w:tcW w:w="7404" w:type="dxa"/>
            <w:gridSpan w:val="2"/>
            <w:shd w:val="clear" w:color="auto" w:fill="auto"/>
            <w:tcMar>
              <w:top w:w="0" w:type="dxa"/>
              <w:left w:w="108" w:type="dxa"/>
              <w:bottom w:w="0" w:type="dxa"/>
              <w:right w:w="108" w:type="dxa"/>
            </w:tcMar>
            <w:vAlign w:val="center"/>
          </w:tcPr>
          <w:p w14:paraId="52F36226">
            <w:pPr>
              <w:keepNext w:val="0"/>
              <w:keepLines w:val="0"/>
              <w:pageBreakBefore w:val="0"/>
              <w:kinsoku/>
              <w:wordWrap/>
              <w:overflowPunct/>
              <w:topLinePunct w:val="0"/>
              <w:bidi w:val="0"/>
              <w:spacing w:line="360" w:lineRule="auto"/>
              <w:ind w:firstLine="480" w:firstLineChars="200"/>
              <w:textAlignment w:val="auto"/>
              <w:rPr>
                <w:rFonts w:hint="eastAsia" w:ascii="宋体" w:hAnsi="宋体" w:cs="宋体"/>
                <w:bCs/>
                <w:sz w:val="24"/>
                <w:szCs w:val="24"/>
                <w:lang w:eastAsia="zh-CN"/>
              </w:rPr>
            </w:pPr>
            <w:r>
              <w:rPr>
                <w:rFonts w:hint="eastAsia" w:ascii="宋体" w:hAnsi="宋体" w:eastAsia="宋体" w:cs="宋体"/>
                <w:bCs/>
                <w:sz w:val="24"/>
                <w:szCs w:val="24"/>
                <w:lang w:eastAsia="zh-CN"/>
              </w:rPr>
              <w:t>投标人</w:t>
            </w:r>
            <w:r>
              <w:rPr>
                <w:rFonts w:hint="eastAsia" w:ascii="宋体" w:hAnsi="宋体" w:eastAsia="宋体" w:cs="宋体"/>
                <w:bCs/>
                <w:sz w:val="24"/>
                <w:szCs w:val="24"/>
              </w:rPr>
              <w:t>需根据采购文件确定的运维区域、站点情况制定运维方案，包括设备性能、运维任务判别、运维计划、运维质量、保障等</w:t>
            </w:r>
            <w:r>
              <w:rPr>
                <w:rFonts w:hint="eastAsia" w:ascii="宋体" w:hAnsi="宋体" w:cs="宋体"/>
                <w:bCs/>
                <w:sz w:val="24"/>
                <w:szCs w:val="24"/>
                <w:lang w:eastAsia="zh-CN"/>
              </w:rPr>
              <w:t>。</w:t>
            </w:r>
          </w:p>
          <w:p w14:paraId="3AD00263">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运维方案要素针对性强、内容详细完整、可行性高得</w:t>
            </w:r>
            <w:r>
              <w:rPr>
                <w:rFonts w:hint="eastAsia" w:ascii="宋体" w:hAnsi="宋体" w:eastAsia="宋体" w:cs="宋体"/>
                <w:bCs/>
                <w:sz w:val="24"/>
                <w:szCs w:val="24"/>
                <w:lang w:val="en-US" w:eastAsia="zh-CN"/>
              </w:rPr>
              <w:t>10</w:t>
            </w:r>
            <w:r>
              <w:rPr>
                <w:rFonts w:hint="eastAsia" w:ascii="宋体" w:hAnsi="宋体" w:eastAsia="宋体" w:cs="宋体"/>
                <w:bCs/>
                <w:sz w:val="24"/>
                <w:szCs w:val="24"/>
              </w:rPr>
              <w:t>分；</w:t>
            </w:r>
          </w:p>
          <w:p w14:paraId="0B9CF1FA">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运维方案</w:t>
            </w:r>
            <w:r>
              <w:rPr>
                <w:rFonts w:hint="eastAsia" w:ascii="宋体" w:hAnsi="宋体" w:cs="宋体"/>
                <w:bCs/>
                <w:sz w:val="24"/>
                <w:szCs w:val="24"/>
                <w:lang w:eastAsia="zh-CN"/>
              </w:rPr>
              <w:t>具有针对性、</w:t>
            </w:r>
            <w:r>
              <w:rPr>
                <w:rFonts w:hint="eastAsia" w:ascii="宋体" w:hAnsi="宋体" w:eastAsia="宋体" w:cs="宋体"/>
                <w:bCs/>
                <w:sz w:val="24"/>
                <w:szCs w:val="24"/>
              </w:rPr>
              <w:t>内容较完整、基本可行性得</w:t>
            </w:r>
            <w:r>
              <w:rPr>
                <w:rFonts w:hint="eastAsia" w:ascii="宋体" w:hAnsi="宋体" w:eastAsia="宋体" w:cs="宋体"/>
                <w:bCs/>
                <w:sz w:val="24"/>
                <w:szCs w:val="24"/>
                <w:lang w:val="en-US" w:eastAsia="zh-CN"/>
              </w:rPr>
              <w:t>7</w:t>
            </w:r>
            <w:r>
              <w:rPr>
                <w:rFonts w:hint="eastAsia" w:ascii="宋体" w:hAnsi="宋体" w:eastAsia="宋体" w:cs="宋体"/>
                <w:bCs/>
                <w:sz w:val="24"/>
                <w:szCs w:val="24"/>
              </w:rPr>
              <w:t>分；</w:t>
            </w:r>
          </w:p>
          <w:p w14:paraId="1E71D165">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运维方案内容</w:t>
            </w:r>
            <w:r>
              <w:rPr>
                <w:rFonts w:hint="eastAsia" w:ascii="宋体" w:hAnsi="宋体" w:cs="宋体"/>
                <w:bCs/>
                <w:sz w:val="24"/>
                <w:szCs w:val="24"/>
                <w:lang w:eastAsia="zh-CN"/>
              </w:rPr>
              <w:t>基本</w:t>
            </w:r>
            <w:r>
              <w:rPr>
                <w:rFonts w:hint="eastAsia" w:ascii="宋体" w:hAnsi="宋体" w:eastAsia="宋体" w:cs="宋体"/>
                <w:bCs/>
                <w:sz w:val="24"/>
                <w:szCs w:val="24"/>
              </w:rPr>
              <w:t>完整、可行性一般得4分；</w:t>
            </w:r>
          </w:p>
          <w:p w14:paraId="2D3B895D">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运维方案内容不完整得</w:t>
            </w:r>
            <w:r>
              <w:rPr>
                <w:rFonts w:hint="eastAsia" w:ascii="宋体" w:hAnsi="宋体" w:cs="宋体"/>
                <w:bCs/>
                <w:sz w:val="24"/>
                <w:szCs w:val="24"/>
                <w:lang w:val="en-US" w:eastAsia="zh-CN"/>
              </w:rPr>
              <w:t>1</w:t>
            </w:r>
            <w:r>
              <w:rPr>
                <w:rFonts w:hint="eastAsia" w:ascii="宋体" w:hAnsi="宋体" w:eastAsia="宋体" w:cs="宋体"/>
                <w:bCs/>
                <w:sz w:val="24"/>
                <w:szCs w:val="24"/>
              </w:rPr>
              <w:t>分；</w:t>
            </w:r>
          </w:p>
          <w:p w14:paraId="4131EA18">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未提供方案得0分。</w:t>
            </w:r>
          </w:p>
        </w:tc>
      </w:tr>
      <w:tr w14:paraId="0156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21" w:type="dxa"/>
            <w:vMerge w:val="continue"/>
            <w:tcMar>
              <w:top w:w="0" w:type="dxa"/>
              <w:left w:w="108" w:type="dxa"/>
              <w:bottom w:w="0" w:type="dxa"/>
              <w:right w:w="108" w:type="dxa"/>
            </w:tcMar>
            <w:vAlign w:val="center"/>
          </w:tcPr>
          <w:p w14:paraId="74A18275">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875" w:type="dxa"/>
            <w:gridSpan w:val="3"/>
            <w:shd w:val="clear" w:color="auto" w:fill="auto"/>
            <w:vAlign w:val="center"/>
          </w:tcPr>
          <w:p w14:paraId="1F07EAD2">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质控措施</w:t>
            </w:r>
          </w:p>
          <w:p w14:paraId="22FF5190">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（10分）</w:t>
            </w:r>
          </w:p>
        </w:tc>
        <w:tc>
          <w:tcPr>
            <w:tcW w:w="7404" w:type="dxa"/>
            <w:gridSpan w:val="2"/>
            <w:shd w:val="clear" w:color="auto" w:fill="auto"/>
            <w:tcMar>
              <w:top w:w="0" w:type="dxa"/>
              <w:left w:w="108" w:type="dxa"/>
              <w:bottom w:w="0" w:type="dxa"/>
              <w:right w:w="108" w:type="dxa"/>
            </w:tcMar>
            <w:vAlign w:val="center"/>
          </w:tcPr>
          <w:p w14:paraId="55FC6841">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投标人</w:t>
            </w:r>
            <w:r>
              <w:rPr>
                <w:rFonts w:hint="eastAsia" w:ascii="宋体" w:hAnsi="宋体" w:eastAsia="宋体" w:cs="宋体"/>
                <w:bCs/>
                <w:sz w:val="24"/>
                <w:szCs w:val="24"/>
              </w:rPr>
              <w:t>应建立完善的质量保证和质量控制措施。考核文件相应内容与项目的适用性。</w:t>
            </w:r>
          </w:p>
          <w:p w14:paraId="74D58133">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质量保证与质量控制措施完善，并对应制定了详实可行的质控措施，完全符合采购需求，高效保证运维质量，得</w:t>
            </w:r>
            <w:r>
              <w:rPr>
                <w:rFonts w:hint="eastAsia" w:ascii="宋体" w:hAnsi="宋体" w:eastAsia="宋体" w:cs="宋体"/>
                <w:bCs/>
                <w:sz w:val="24"/>
                <w:szCs w:val="24"/>
                <w:lang w:val="en-US" w:eastAsia="zh-CN"/>
              </w:rPr>
              <w:t>10</w:t>
            </w:r>
            <w:r>
              <w:rPr>
                <w:rFonts w:hint="eastAsia" w:ascii="宋体" w:hAnsi="宋体" w:eastAsia="宋体" w:cs="宋体"/>
                <w:bCs/>
                <w:sz w:val="24"/>
                <w:szCs w:val="24"/>
              </w:rPr>
              <w:t>分；</w:t>
            </w:r>
          </w:p>
          <w:p w14:paraId="00720E0C">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质量保证与质量控制措施</w:t>
            </w:r>
            <w:r>
              <w:rPr>
                <w:rFonts w:hint="eastAsia" w:ascii="宋体" w:hAnsi="宋体" w:cs="宋体"/>
                <w:bCs/>
                <w:sz w:val="24"/>
                <w:szCs w:val="24"/>
                <w:lang w:eastAsia="zh-CN"/>
              </w:rPr>
              <w:t>基本</w:t>
            </w:r>
            <w:r>
              <w:rPr>
                <w:rFonts w:hint="eastAsia" w:ascii="宋体" w:hAnsi="宋体" w:eastAsia="宋体" w:cs="宋体"/>
                <w:bCs/>
                <w:sz w:val="24"/>
                <w:szCs w:val="24"/>
              </w:rPr>
              <w:t>完善，并对应制定了可行的质控措施，</w:t>
            </w:r>
            <w:r>
              <w:rPr>
                <w:rFonts w:hint="eastAsia" w:ascii="宋体" w:hAnsi="宋体" w:cs="宋体"/>
                <w:bCs/>
                <w:sz w:val="24"/>
                <w:szCs w:val="24"/>
                <w:lang w:eastAsia="zh-CN"/>
              </w:rPr>
              <w:t>基本</w:t>
            </w:r>
            <w:r>
              <w:rPr>
                <w:rFonts w:hint="eastAsia" w:ascii="宋体" w:hAnsi="宋体" w:eastAsia="宋体" w:cs="宋体"/>
                <w:bCs/>
                <w:sz w:val="24"/>
                <w:szCs w:val="24"/>
              </w:rPr>
              <w:t>符合采购需求，</w:t>
            </w:r>
            <w:r>
              <w:rPr>
                <w:rFonts w:hint="eastAsia" w:ascii="宋体" w:hAnsi="宋体" w:cs="宋体"/>
                <w:bCs/>
                <w:sz w:val="24"/>
                <w:szCs w:val="24"/>
                <w:lang w:eastAsia="zh-CN"/>
              </w:rPr>
              <w:t>基本</w:t>
            </w:r>
            <w:r>
              <w:rPr>
                <w:rFonts w:hint="eastAsia" w:ascii="宋体" w:hAnsi="宋体" w:eastAsia="宋体" w:cs="宋体"/>
                <w:bCs/>
                <w:sz w:val="24"/>
                <w:szCs w:val="24"/>
              </w:rPr>
              <w:t>保证运维质量，得</w:t>
            </w:r>
            <w:r>
              <w:rPr>
                <w:rFonts w:hint="eastAsia" w:ascii="宋体" w:hAnsi="宋体" w:cs="宋体"/>
                <w:bCs/>
                <w:sz w:val="24"/>
                <w:szCs w:val="24"/>
                <w:lang w:val="en-US" w:eastAsia="zh-CN"/>
              </w:rPr>
              <w:t>7</w:t>
            </w:r>
            <w:r>
              <w:rPr>
                <w:rFonts w:hint="eastAsia" w:ascii="宋体" w:hAnsi="宋体" w:eastAsia="宋体" w:cs="宋体"/>
                <w:bCs/>
                <w:sz w:val="24"/>
                <w:szCs w:val="24"/>
              </w:rPr>
              <w:t>分；</w:t>
            </w:r>
          </w:p>
          <w:p w14:paraId="7E253FB6">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建立了质量保证与质量控制内容，有具体的质控措施，但质控措施略有缺陷，得</w:t>
            </w:r>
            <w:r>
              <w:rPr>
                <w:rFonts w:hint="eastAsia" w:ascii="宋体" w:hAnsi="宋体" w:cs="宋体"/>
                <w:bCs/>
                <w:sz w:val="24"/>
                <w:szCs w:val="24"/>
                <w:lang w:val="en-US" w:eastAsia="zh-CN"/>
              </w:rPr>
              <w:t>4</w:t>
            </w:r>
            <w:r>
              <w:rPr>
                <w:rFonts w:hint="eastAsia" w:ascii="宋体" w:hAnsi="宋体" w:eastAsia="宋体" w:cs="宋体"/>
                <w:bCs/>
                <w:sz w:val="24"/>
                <w:szCs w:val="24"/>
              </w:rPr>
              <w:t>分；</w:t>
            </w:r>
          </w:p>
          <w:p w14:paraId="6CA2B0CC">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质量保证与质量控制体系不完善，质控措施不具备针对性和可操作性，无法</w:t>
            </w:r>
            <w:r>
              <w:rPr>
                <w:rFonts w:hint="eastAsia" w:ascii="宋体" w:hAnsi="宋体" w:eastAsia="宋体" w:cs="宋体"/>
                <w:bCs/>
                <w:sz w:val="24"/>
                <w:szCs w:val="24"/>
                <w:lang w:val="en-US" w:eastAsia="zh-CN"/>
              </w:rPr>
              <w:t>完全</w:t>
            </w:r>
            <w:r>
              <w:rPr>
                <w:rFonts w:hint="eastAsia" w:ascii="宋体" w:hAnsi="宋体" w:eastAsia="宋体" w:cs="宋体"/>
                <w:bCs/>
                <w:sz w:val="24"/>
                <w:szCs w:val="24"/>
              </w:rPr>
              <w:t>满足运维需求，得</w:t>
            </w:r>
            <w:r>
              <w:rPr>
                <w:rFonts w:hint="eastAsia" w:ascii="宋体" w:hAnsi="宋体" w:cs="宋体"/>
                <w:bCs/>
                <w:sz w:val="24"/>
                <w:szCs w:val="24"/>
                <w:lang w:val="en-US" w:eastAsia="zh-CN"/>
              </w:rPr>
              <w:t>1</w:t>
            </w:r>
            <w:r>
              <w:rPr>
                <w:rFonts w:hint="eastAsia" w:ascii="宋体" w:hAnsi="宋体" w:eastAsia="宋体" w:cs="宋体"/>
                <w:bCs/>
                <w:sz w:val="24"/>
                <w:szCs w:val="24"/>
              </w:rPr>
              <w:t>分；</w:t>
            </w:r>
          </w:p>
          <w:p w14:paraId="712CB1C3">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未提供质量保证和质量控制体系，得0分。</w:t>
            </w:r>
          </w:p>
        </w:tc>
      </w:tr>
      <w:tr w14:paraId="42C7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21" w:type="dxa"/>
            <w:vMerge w:val="continue"/>
            <w:tcMar>
              <w:top w:w="0" w:type="dxa"/>
              <w:left w:w="108" w:type="dxa"/>
              <w:bottom w:w="0" w:type="dxa"/>
              <w:right w:w="108" w:type="dxa"/>
            </w:tcMar>
            <w:vAlign w:val="center"/>
          </w:tcPr>
          <w:p w14:paraId="60C51DAF">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875" w:type="dxa"/>
            <w:gridSpan w:val="3"/>
            <w:shd w:val="clear" w:color="auto" w:fill="auto"/>
            <w:vAlign w:val="center"/>
          </w:tcPr>
          <w:p w14:paraId="1095C4A9">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日常管理运维方案</w:t>
            </w:r>
          </w:p>
          <w:p w14:paraId="4D99490F">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（10分）</w:t>
            </w:r>
          </w:p>
        </w:tc>
        <w:tc>
          <w:tcPr>
            <w:tcW w:w="7404" w:type="dxa"/>
            <w:gridSpan w:val="2"/>
            <w:shd w:val="clear" w:color="auto" w:fill="auto"/>
            <w:tcMar>
              <w:top w:w="0" w:type="dxa"/>
              <w:left w:w="108" w:type="dxa"/>
              <w:bottom w:w="0" w:type="dxa"/>
              <w:right w:w="108" w:type="dxa"/>
            </w:tcMar>
            <w:vAlign w:val="center"/>
          </w:tcPr>
          <w:p w14:paraId="29510AE6">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方案中针对该项目制定了详细且严谨的规章制度，按要求和相关规范提供了具体的日常维护方案、定期巡检方案</w:t>
            </w:r>
            <w:r>
              <w:rPr>
                <w:rFonts w:hint="eastAsia" w:ascii="宋体" w:hAnsi="宋体" w:eastAsia="宋体" w:cs="宋体"/>
                <w:bCs/>
                <w:sz w:val="24"/>
                <w:szCs w:val="24"/>
                <w:lang w:eastAsia="zh-CN"/>
              </w:rPr>
              <w:t>、故障维修方案</w:t>
            </w:r>
            <w:r>
              <w:rPr>
                <w:rFonts w:hint="eastAsia" w:ascii="宋体" w:hAnsi="宋体" w:eastAsia="宋体" w:cs="宋体"/>
                <w:bCs/>
                <w:sz w:val="24"/>
                <w:szCs w:val="24"/>
              </w:rPr>
              <w:t>，方案清晰有条理，切合实际，可操性强，得10分；</w:t>
            </w:r>
          </w:p>
          <w:p w14:paraId="0AF5997A">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方案中针对该项目制定并提供了规章制度、日常维护、定期巡检</w:t>
            </w:r>
            <w:r>
              <w:rPr>
                <w:rFonts w:hint="eastAsia" w:ascii="宋体" w:hAnsi="宋体" w:eastAsia="宋体" w:cs="宋体"/>
                <w:bCs/>
                <w:sz w:val="24"/>
                <w:szCs w:val="24"/>
                <w:lang w:eastAsia="zh-CN"/>
              </w:rPr>
              <w:t>、故障维修</w:t>
            </w:r>
            <w:r>
              <w:rPr>
                <w:rFonts w:hint="eastAsia" w:ascii="宋体" w:hAnsi="宋体" w:eastAsia="宋体" w:cs="宋体"/>
                <w:bCs/>
                <w:sz w:val="24"/>
                <w:szCs w:val="24"/>
              </w:rPr>
              <w:t>方案，方案完整，具有可操作性，内容针对性较好，较好地满足采购需求，得</w:t>
            </w:r>
            <w:r>
              <w:rPr>
                <w:rFonts w:hint="eastAsia" w:ascii="宋体" w:hAnsi="宋体" w:cs="宋体"/>
                <w:bCs/>
                <w:sz w:val="24"/>
                <w:szCs w:val="24"/>
                <w:lang w:val="en-US" w:eastAsia="zh-CN"/>
              </w:rPr>
              <w:t>7</w:t>
            </w:r>
            <w:r>
              <w:rPr>
                <w:rFonts w:hint="eastAsia" w:ascii="宋体" w:hAnsi="宋体" w:eastAsia="宋体" w:cs="宋体"/>
                <w:bCs/>
                <w:sz w:val="24"/>
                <w:szCs w:val="24"/>
              </w:rPr>
              <w:t>分；</w:t>
            </w:r>
          </w:p>
          <w:p w14:paraId="3261047A">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方案中针对该项目制定并提供了规章制度、日常维护、定期巡检</w:t>
            </w:r>
            <w:r>
              <w:rPr>
                <w:rFonts w:hint="eastAsia" w:ascii="宋体" w:hAnsi="宋体" w:eastAsia="宋体" w:cs="宋体"/>
                <w:bCs/>
                <w:sz w:val="24"/>
                <w:szCs w:val="24"/>
                <w:lang w:eastAsia="zh-CN"/>
              </w:rPr>
              <w:t>、故障维修</w:t>
            </w:r>
            <w:r>
              <w:rPr>
                <w:rFonts w:hint="eastAsia" w:ascii="宋体" w:hAnsi="宋体" w:eastAsia="宋体" w:cs="宋体"/>
                <w:bCs/>
                <w:sz w:val="24"/>
                <w:szCs w:val="24"/>
              </w:rPr>
              <w:t>方案，方案完整，具有一定的可操作性，内容有一定针对性，基本满足采购需求，得</w:t>
            </w:r>
            <w:r>
              <w:rPr>
                <w:rFonts w:hint="eastAsia" w:ascii="宋体" w:hAnsi="宋体" w:cs="宋体"/>
                <w:bCs/>
                <w:sz w:val="24"/>
                <w:szCs w:val="24"/>
                <w:lang w:val="en-US" w:eastAsia="zh-CN"/>
              </w:rPr>
              <w:t>4</w:t>
            </w:r>
            <w:r>
              <w:rPr>
                <w:rFonts w:hint="eastAsia" w:ascii="宋体" w:hAnsi="宋体" w:eastAsia="宋体" w:cs="宋体"/>
                <w:bCs/>
                <w:sz w:val="24"/>
                <w:szCs w:val="24"/>
              </w:rPr>
              <w:t>分；</w:t>
            </w:r>
          </w:p>
          <w:p w14:paraId="7F08055A">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方案中针对该项目制定并提供了规章制度、日常维护、定期巡检</w:t>
            </w:r>
            <w:r>
              <w:rPr>
                <w:rFonts w:hint="eastAsia" w:ascii="宋体" w:hAnsi="宋体" w:eastAsia="宋体" w:cs="宋体"/>
                <w:bCs/>
                <w:sz w:val="24"/>
                <w:szCs w:val="24"/>
                <w:lang w:eastAsia="zh-CN"/>
              </w:rPr>
              <w:t>、故障维修</w:t>
            </w:r>
            <w:r>
              <w:rPr>
                <w:rFonts w:hint="eastAsia" w:ascii="宋体" w:hAnsi="宋体" w:eastAsia="宋体" w:cs="宋体"/>
                <w:bCs/>
                <w:sz w:val="24"/>
                <w:szCs w:val="24"/>
              </w:rPr>
              <w:t>方案，总体架构完整，但方案不具体，内容通用化，严谨性不高，可操作性不强，得</w:t>
            </w:r>
            <w:r>
              <w:rPr>
                <w:rFonts w:hint="eastAsia" w:ascii="宋体" w:hAnsi="宋体" w:cs="宋体"/>
                <w:bCs/>
                <w:sz w:val="24"/>
                <w:szCs w:val="24"/>
                <w:lang w:val="en-US" w:eastAsia="zh-CN"/>
              </w:rPr>
              <w:t>1</w:t>
            </w:r>
            <w:r>
              <w:rPr>
                <w:rFonts w:hint="eastAsia" w:ascii="宋体" w:hAnsi="宋体" w:eastAsia="宋体" w:cs="宋体"/>
                <w:bCs/>
                <w:sz w:val="24"/>
                <w:szCs w:val="24"/>
              </w:rPr>
              <w:t>分；</w:t>
            </w:r>
          </w:p>
          <w:p w14:paraId="7301D642">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未提供明确的日常管理维护方案，得0分。</w:t>
            </w:r>
          </w:p>
        </w:tc>
      </w:tr>
      <w:tr w14:paraId="1D8E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21" w:type="dxa"/>
            <w:vMerge w:val="continue"/>
            <w:tcMar>
              <w:top w:w="0" w:type="dxa"/>
              <w:left w:w="108" w:type="dxa"/>
              <w:bottom w:w="0" w:type="dxa"/>
              <w:right w:w="108" w:type="dxa"/>
            </w:tcMar>
            <w:vAlign w:val="center"/>
          </w:tcPr>
          <w:p w14:paraId="27431B65">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875" w:type="dxa"/>
            <w:gridSpan w:val="3"/>
            <w:shd w:val="clear" w:color="auto" w:fill="auto"/>
            <w:vAlign w:val="center"/>
          </w:tcPr>
          <w:p w14:paraId="2FC26661">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应急方案  （10分）</w:t>
            </w:r>
          </w:p>
        </w:tc>
        <w:tc>
          <w:tcPr>
            <w:tcW w:w="7404" w:type="dxa"/>
            <w:gridSpan w:val="2"/>
            <w:shd w:val="clear" w:color="auto" w:fill="auto"/>
            <w:tcMar>
              <w:top w:w="0" w:type="dxa"/>
              <w:left w:w="108" w:type="dxa"/>
              <w:bottom w:w="0" w:type="dxa"/>
              <w:right w:w="108" w:type="dxa"/>
            </w:tcMar>
            <w:vAlign w:val="center"/>
          </w:tcPr>
          <w:p w14:paraId="69272B96">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根据</w:t>
            </w:r>
            <w:r>
              <w:rPr>
                <w:rFonts w:hint="eastAsia" w:ascii="宋体" w:hAnsi="宋体" w:eastAsia="宋体" w:cs="宋体"/>
                <w:bCs/>
                <w:sz w:val="24"/>
                <w:szCs w:val="24"/>
                <w:lang w:eastAsia="zh-CN"/>
              </w:rPr>
              <w:t>投标人</w:t>
            </w:r>
            <w:r>
              <w:rPr>
                <w:rFonts w:hint="eastAsia" w:ascii="宋体" w:hAnsi="宋体" w:eastAsia="宋体" w:cs="宋体"/>
                <w:bCs/>
                <w:sz w:val="24"/>
                <w:szCs w:val="24"/>
              </w:rPr>
              <w:t>提供的应急预案，对运维期间如出现严重影响系统运行和数据质量的重大问题时，是否具备有效的预防和补救措施，并制定了异常数据监控制度和处理处置方法。</w:t>
            </w:r>
          </w:p>
          <w:p w14:paraId="083359E5">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对运维工作理解准确，根据招标文件采购需求要求，应急预案针对性强，各要素考虑充分，同时根据招标文件采购需求要求，列出各种应急情景、发现应急情况的方法、应急措施及解决方案，系统地阐述判断和解决方法，制定完善的工作流程，完全满足采购需求，得</w:t>
            </w:r>
            <w:r>
              <w:rPr>
                <w:rFonts w:hint="eastAsia" w:ascii="宋体" w:hAnsi="宋体" w:eastAsia="宋体" w:cs="宋体"/>
                <w:bCs/>
                <w:sz w:val="24"/>
                <w:szCs w:val="24"/>
                <w:lang w:val="en-US" w:eastAsia="zh-CN"/>
              </w:rPr>
              <w:t>10</w:t>
            </w:r>
            <w:r>
              <w:rPr>
                <w:rFonts w:hint="eastAsia" w:ascii="宋体" w:hAnsi="宋体" w:eastAsia="宋体" w:cs="宋体"/>
                <w:bCs/>
                <w:sz w:val="24"/>
                <w:szCs w:val="24"/>
              </w:rPr>
              <w:t>分；</w:t>
            </w:r>
          </w:p>
          <w:p w14:paraId="69078F76">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较为系统地列出各种应急情景、发现应急情况的方法、应急措施及解决方案，但略有缺陷；或者列出部分应急情景、发现应急情况的方法、应急措施及解决方案，基本满足采购需求，得</w:t>
            </w:r>
            <w:r>
              <w:rPr>
                <w:rFonts w:hint="eastAsia" w:ascii="宋体" w:hAnsi="宋体" w:cs="宋体"/>
                <w:bCs/>
                <w:sz w:val="24"/>
                <w:szCs w:val="24"/>
                <w:lang w:val="en-US" w:eastAsia="zh-CN"/>
              </w:rPr>
              <w:t>7</w:t>
            </w:r>
            <w:r>
              <w:rPr>
                <w:rFonts w:hint="eastAsia" w:ascii="宋体" w:hAnsi="宋体" w:eastAsia="宋体" w:cs="宋体"/>
                <w:bCs/>
                <w:sz w:val="24"/>
                <w:szCs w:val="24"/>
              </w:rPr>
              <w:t>分；</w:t>
            </w:r>
          </w:p>
          <w:p w14:paraId="70B2FE23">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对常见的应急情景有遗漏，或应急措施及解决方案粗略、缺乏针对性，难以及时应对常见的突发情况，得</w:t>
            </w:r>
            <w:r>
              <w:rPr>
                <w:rFonts w:hint="eastAsia" w:ascii="宋体" w:hAnsi="宋体" w:cs="宋体"/>
                <w:bCs/>
                <w:sz w:val="24"/>
                <w:szCs w:val="24"/>
                <w:lang w:val="en-US" w:eastAsia="zh-CN"/>
              </w:rPr>
              <w:t>4</w:t>
            </w:r>
            <w:r>
              <w:rPr>
                <w:rFonts w:hint="eastAsia" w:ascii="宋体" w:hAnsi="宋体" w:eastAsia="宋体" w:cs="宋体"/>
                <w:bCs/>
                <w:sz w:val="24"/>
                <w:szCs w:val="24"/>
              </w:rPr>
              <w:t>分；</w:t>
            </w:r>
          </w:p>
          <w:p w14:paraId="71DE318C">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仅列出通用的应急预案，与本项目偏差较大，无法满足运维要求，得</w:t>
            </w:r>
            <w:r>
              <w:rPr>
                <w:rFonts w:hint="eastAsia" w:ascii="宋体" w:hAnsi="宋体" w:cs="宋体"/>
                <w:bCs/>
                <w:sz w:val="24"/>
                <w:szCs w:val="24"/>
                <w:lang w:val="en-US" w:eastAsia="zh-CN"/>
              </w:rPr>
              <w:t>1</w:t>
            </w:r>
            <w:r>
              <w:rPr>
                <w:rFonts w:hint="eastAsia" w:ascii="宋体" w:hAnsi="宋体" w:eastAsia="宋体" w:cs="宋体"/>
                <w:bCs/>
                <w:sz w:val="24"/>
                <w:szCs w:val="24"/>
              </w:rPr>
              <w:t>分；</w:t>
            </w:r>
          </w:p>
          <w:p w14:paraId="63BD2ECA">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未提供应急方案的，得0分</w:t>
            </w:r>
            <w:r>
              <w:rPr>
                <w:rFonts w:hint="eastAsia" w:ascii="宋体" w:hAnsi="宋体" w:eastAsia="宋体" w:cs="宋体"/>
                <w:bCs/>
                <w:sz w:val="24"/>
                <w:szCs w:val="24"/>
                <w:lang w:eastAsia="zh-CN"/>
              </w:rPr>
              <w:t>。</w:t>
            </w:r>
          </w:p>
        </w:tc>
      </w:tr>
      <w:tr w14:paraId="3BAB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21" w:type="dxa"/>
            <w:vMerge w:val="continue"/>
            <w:tcMar>
              <w:top w:w="0" w:type="dxa"/>
              <w:left w:w="108" w:type="dxa"/>
              <w:bottom w:w="0" w:type="dxa"/>
              <w:right w:w="108" w:type="dxa"/>
            </w:tcMar>
            <w:vAlign w:val="center"/>
          </w:tcPr>
          <w:p w14:paraId="10CB9B03">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875" w:type="dxa"/>
            <w:gridSpan w:val="3"/>
            <w:shd w:val="clear" w:color="auto" w:fill="auto"/>
            <w:vAlign w:val="center"/>
          </w:tcPr>
          <w:p w14:paraId="7AEE2FD8">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数据审核、异常数据识别与处理</w:t>
            </w:r>
          </w:p>
          <w:p w14:paraId="58705367">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（10分）</w:t>
            </w:r>
          </w:p>
        </w:tc>
        <w:tc>
          <w:tcPr>
            <w:tcW w:w="7404" w:type="dxa"/>
            <w:gridSpan w:val="2"/>
            <w:shd w:val="clear" w:color="auto" w:fill="auto"/>
            <w:tcMar>
              <w:top w:w="0" w:type="dxa"/>
              <w:left w:w="108" w:type="dxa"/>
              <w:bottom w:w="0" w:type="dxa"/>
              <w:right w:w="108" w:type="dxa"/>
            </w:tcMar>
            <w:vAlign w:val="center"/>
          </w:tcPr>
          <w:p w14:paraId="011B9F87">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投标人</w:t>
            </w:r>
            <w:r>
              <w:rPr>
                <w:rFonts w:hint="eastAsia" w:ascii="宋体" w:hAnsi="宋体" w:eastAsia="宋体" w:cs="宋体"/>
                <w:bCs/>
                <w:sz w:val="24"/>
                <w:szCs w:val="24"/>
              </w:rPr>
              <w:t>响应文件所提供的数据审核方案与项目的适用性。提供异常数据识别与处理方案与项目的适用性。</w:t>
            </w:r>
          </w:p>
          <w:p w14:paraId="03433F3E">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对采购需求理解准确，提供了全面、详细、具体可行的数据审核方案和异常数据识别方案，系统地阐述数据审核技术方法，提供有相关工作经验和经历，实施方案中详实给出审核依据标准和规范，并制定完善的工作流程图，得</w:t>
            </w:r>
            <w:r>
              <w:rPr>
                <w:rFonts w:hint="eastAsia" w:ascii="宋体" w:hAnsi="宋体" w:eastAsia="宋体" w:cs="宋体"/>
                <w:bCs/>
                <w:sz w:val="24"/>
                <w:szCs w:val="24"/>
                <w:lang w:val="en-US" w:eastAsia="zh-CN"/>
              </w:rPr>
              <w:t>10</w:t>
            </w:r>
            <w:r>
              <w:rPr>
                <w:rFonts w:hint="eastAsia" w:ascii="宋体" w:hAnsi="宋体" w:eastAsia="宋体" w:cs="宋体"/>
                <w:bCs/>
                <w:sz w:val="24"/>
                <w:szCs w:val="24"/>
              </w:rPr>
              <w:t>分；</w:t>
            </w:r>
          </w:p>
          <w:p w14:paraId="30A97619">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提供了部分数据审核的方案，部分异常数据的识别方案，系统地阐述数据审核技术方法，无相关工作经验和经历，实施方案中不能完全给出审核依据标准和规范，并制定完善的工作流程图，得</w:t>
            </w:r>
            <w:r>
              <w:rPr>
                <w:rFonts w:hint="eastAsia" w:ascii="宋体" w:hAnsi="宋体" w:eastAsia="宋体" w:cs="宋体"/>
                <w:bCs/>
                <w:sz w:val="24"/>
                <w:szCs w:val="24"/>
                <w:lang w:val="en-US" w:eastAsia="zh-CN"/>
              </w:rPr>
              <w:t>7</w:t>
            </w:r>
            <w:r>
              <w:rPr>
                <w:rFonts w:hint="eastAsia" w:ascii="宋体" w:hAnsi="宋体" w:eastAsia="宋体" w:cs="宋体"/>
                <w:bCs/>
                <w:sz w:val="24"/>
                <w:szCs w:val="24"/>
              </w:rPr>
              <w:t>分；</w:t>
            </w:r>
          </w:p>
          <w:p w14:paraId="50593779">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提供了几种数据审核方法，几种异常数据的识别方法，阐述了审核依据，但审核方法片面，可能导致错判或漏判，或审核措施有明显错误，得</w:t>
            </w:r>
            <w:r>
              <w:rPr>
                <w:rFonts w:hint="eastAsia" w:ascii="宋体" w:hAnsi="宋体" w:eastAsia="宋体" w:cs="宋体"/>
                <w:bCs/>
                <w:sz w:val="24"/>
                <w:szCs w:val="24"/>
                <w:lang w:val="en-US" w:eastAsia="zh-CN"/>
              </w:rPr>
              <w:t>4</w:t>
            </w:r>
            <w:r>
              <w:rPr>
                <w:rFonts w:hint="eastAsia" w:ascii="宋体" w:hAnsi="宋体" w:eastAsia="宋体" w:cs="宋体"/>
                <w:bCs/>
                <w:sz w:val="24"/>
                <w:szCs w:val="24"/>
              </w:rPr>
              <w:t>分；</w:t>
            </w:r>
          </w:p>
          <w:p w14:paraId="6465F1F6">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提供</w:t>
            </w:r>
            <w:r>
              <w:rPr>
                <w:rFonts w:hint="eastAsia" w:ascii="宋体" w:hAnsi="宋体" w:cs="宋体"/>
                <w:bCs/>
                <w:sz w:val="24"/>
                <w:szCs w:val="24"/>
                <w:lang w:eastAsia="zh-CN"/>
              </w:rPr>
              <w:t>的</w:t>
            </w:r>
            <w:r>
              <w:rPr>
                <w:rFonts w:hint="eastAsia" w:ascii="宋体" w:hAnsi="宋体" w:eastAsia="宋体" w:cs="宋体"/>
                <w:bCs/>
                <w:sz w:val="24"/>
                <w:szCs w:val="24"/>
              </w:rPr>
              <w:t>审核方法</w:t>
            </w:r>
            <w:r>
              <w:rPr>
                <w:rFonts w:hint="eastAsia" w:ascii="宋体" w:hAnsi="宋体" w:cs="宋体"/>
                <w:bCs/>
                <w:sz w:val="24"/>
                <w:szCs w:val="24"/>
                <w:lang w:eastAsia="zh-CN"/>
              </w:rPr>
              <w:t>和</w:t>
            </w:r>
            <w:r>
              <w:rPr>
                <w:rFonts w:hint="eastAsia" w:ascii="宋体" w:hAnsi="宋体" w:eastAsia="宋体" w:cs="宋体"/>
                <w:bCs/>
                <w:sz w:val="24"/>
                <w:szCs w:val="24"/>
              </w:rPr>
              <w:t>异常数据的识别方法</w:t>
            </w:r>
            <w:r>
              <w:rPr>
                <w:rFonts w:hint="eastAsia" w:ascii="宋体" w:hAnsi="宋体" w:cs="宋体"/>
                <w:bCs/>
                <w:sz w:val="24"/>
                <w:szCs w:val="24"/>
                <w:lang w:eastAsia="zh-CN"/>
              </w:rPr>
              <w:t>不符合项目需求</w:t>
            </w:r>
            <w:r>
              <w:rPr>
                <w:rFonts w:hint="eastAsia" w:ascii="宋体" w:hAnsi="宋体" w:eastAsia="宋体" w:cs="宋体"/>
                <w:bCs/>
                <w:sz w:val="24"/>
                <w:szCs w:val="24"/>
              </w:rPr>
              <w:t>，阐述了审核依据，但审核方法片面，可能导致错判或漏判，或审核措施有明显错误，得</w:t>
            </w:r>
            <w:r>
              <w:rPr>
                <w:rFonts w:hint="eastAsia" w:ascii="宋体" w:hAnsi="宋体" w:cs="宋体"/>
                <w:bCs/>
                <w:sz w:val="24"/>
                <w:szCs w:val="24"/>
                <w:lang w:val="en-US" w:eastAsia="zh-CN"/>
              </w:rPr>
              <w:t>1</w:t>
            </w:r>
            <w:r>
              <w:rPr>
                <w:rFonts w:hint="eastAsia" w:ascii="宋体" w:hAnsi="宋体" w:eastAsia="宋体" w:cs="宋体"/>
                <w:bCs/>
                <w:sz w:val="24"/>
                <w:szCs w:val="24"/>
              </w:rPr>
              <w:t>分；</w:t>
            </w:r>
          </w:p>
          <w:p w14:paraId="5D5A5D55">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未提供得0分</w:t>
            </w:r>
            <w:r>
              <w:rPr>
                <w:rFonts w:hint="eastAsia" w:ascii="宋体" w:hAnsi="宋体" w:eastAsia="宋体" w:cs="宋体"/>
                <w:bCs/>
                <w:sz w:val="24"/>
                <w:szCs w:val="24"/>
                <w:lang w:eastAsia="zh-CN"/>
              </w:rPr>
              <w:t>。</w:t>
            </w:r>
          </w:p>
        </w:tc>
      </w:tr>
      <w:tr w14:paraId="7EF4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21" w:type="dxa"/>
            <w:vMerge w:val="continue"/>
            <w:tcMar>
              <w:top w:w="0" w:type="dxa"/>
              <w:left w:w="108" w:type="dxa"/>
              <w:bottom w:w="0" w:type="dxa"/>
              <w:right w:w="108" w:type="dxa"/>
            </w:tcMar>
            <w:vAlign w:val="center"/>
          </w:tcPr>
          <w:p w14:paraId="4A1F39D3">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65" w:type="dxa"/>
            <w:gridSpan w:val="2"/>
            <w:shd w:val="clear" w:color="auto" w:fill="auto"/>
            <w:vAlign w:val="center"/>
          </w:tcPr>
          <w:p w14:paraId="2805C125">
            <w:pPr>
              <w:numPr>
                <w:ilvl w:val="0"/>
                <w:numId w:val="0"/>
              </w:numPr>
              <w:tabs>
                <w:tab w:val="left" w:pos="420"/>
              </w:tabs>
              <w:spacing w:line="360" w:lineRule="auto"/>
              <w:ind w:left="0" w:leftChars="0" w:firstLine="0" w:firstLineChars="0"/>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安全保障方案</w:t>
            </w:r>
          </w:p>
          <w:p w14:paraId="06CCFBF0">
            <w:pPr>
              <w:numPr>
                <w:ilvl w:val="0"/>
                <w:numId w:val="0"/>
              </w:numPr>
              <w:tabs>
                <w:tab w:val="left" w:pos="420"/>
              </w:tabs>
              <w:spacing w:line="360" w:lineRule="auto"/>
              <w:ind w:left="0" w:leftChars="0" w:firstLine="0" w:firstLineChars="0"/>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（5分）</w:t>
            </w:r>
          </w:p>
        </w:tc>
        <w:tc>
          <w:tcPr>
            <w:tcW w:w="8114" w:type="dxa"/>
            <w:gridSpan w:val="3"/>
            <w:shd w:val="clear" w:color="auto" w:fill="auto"/>
            <w:tcMar>
              <w:top w:w="0" w:type="dxa"/>
              <w:left w:w="108" w:type="dxa"/>
              <w:bottom w:w="0" w:type="dxa"/>
              <w:right w:w="108" w:type="dxa"/>
            </w:tcMar>
            <w:vAlign w:val="center"/>
          </w:tcPr>
          <w:p w14:paraId="2660CD91">
            <w:pPr>
              <w:tabs>
                <w:tab w:val="left" w:pos="420"/>
              </w:tabs>
              <w:spacing w:line="360" w:lineRule="auto"/>
              <w:ind w:left="0"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投标人应提供针对站点及配套设施制定安全保障方案。</w:t>
            </w:r>
          </w:p>
          <w:p w14:paraId="5BAFE55C">
            <w:pPr>
              <w:tabs>
                <w:tab w:val="left" w:pos="420"/>
              </w:tabs>
              <w:spacing w:line="360" w:lineRule="auto"/>
              <w:ind w:left="0"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方案能够充分兼顾各项安全问题，计划详实可行，安全工作安排合理，措施得当的，得</w:t>
            </w:r>
            <w:r>
              <w:rPr>
                <w:rFonts w:hint="eastAsia" w:ascii="宋体" w:hAnsi="宋体" w:cs="宋体"/>
                <w:color w:val="auto"/>
                <w:sz w:val="24"/>
                <w:szCs w:val="24"/>
                <w:highlight w:val="none"/>
                <w:lang w:val="en-US" w:eastAsia="zh-CN" w:bidi="ar"/>
              </w:rPr>
              <w:t>5</w:t>
            </w:r>
            <w:r>
              <w:rPr>
                <w:rFonts w:hint="eastAsia" w:ascii="宋体" w:hAnsi="宋体" w:eastAsia="宋体" w:cs="宋体"/>
                <w:color w:val="auto"/>
                <w:sz w:val="24"/>
                <w:szCs w:val="24"/>
                <w:highlight w:val="none"/>
                <w:lang w:val="en-US" w:eastAsia="zh-CN" w:bidi="ar"/>
              </w:rPr>
              <w:t>分；</w:t>
            </w:r>
          </w:p>
          <w:p w14:paraId="536C1729">
            <w:pPr>
              <w:tabs>
                <w:tab w:val="left" w:pos="420"/>
              </w:tabs>
              <w:spacing w:line="360" w:lineRule="auto"/>
              <w:ind w:left="0"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方案能够兼顾到主要安全问题，计划基本详实可行，安全工作安排基本合理，措施可行的，得</w:t>
            </w: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val="en-US" w:eastAsia="zh-CN" w:bidi="ar"/>
              </w:rPr>
              <w:t>分；</w:t>
            </w:r>
          </w:p>
          <w:p w14:paraId="0D8A4701">
            <w:pPr>
              <w:tabs>
                <w:tab w:val="left" w:pos="420"/>
              </w:tabs>
              <w:spacing w:line="360" w:lineRule="auto"/>
              <w:ind w:left="0"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方案兼顾部分安全问题且存在缺陷，计划不够详实，安全工作安排不够合理，措施可行性差的，得1分；</w:t>
            </w:r>
          </w:p>
          <w:p w14:paraId="2D4F838D">
            <w:pPr>
              <w:tabs>
                <w:tab w:val="left" w:pos="420"/>
              </w:tabs>
              <w:spacing w:line="360" w:lineRule="auto"/>
              <w:ind w:left="0"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未提供得0分。</w:t>
            </w:r>
          </w:p>
        </w:tc>
      </w:tr>
      <w:tr w14:paraId="6EF6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21" w:type="dxa"/>
            <w:vMerge w:val="continue"/>
            <w:tcMar>
              <w:top w:w="0" w:type="dxa"/>
              <w:left w:w="108" w:type="dxa"/>
              <w:bottom w:w="0" w:type="dxa"/>
              <w:right w:w="108" w:type="dxa"/>
            </w:tcMar>
            <w:vAlign w:val="center"/>
          </w:tcPr>
          <w:p w14:paraId="57CB12CB">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65" w:type="dxa"/>
            <w:gridSpan w:val="2"/>
            <w:vAlign w:val="center"/>
          </w:tcPr>
          <w:p w14:paraId="50003CC0">
            <w:pPr>
              <w:numPr>
                <w:ilvl w:val="0"/>
                <w:numId w:val="0"/>
              </w:numPr>
              <w:tabs>
                <w:tab w:val="left" w:pos="420"/>
              </w:tabs>
              <w:spacing w:line="360" w:lineRule="auto"/>
              <w:ind w:left="0" w:leftChars="0" w:firstLine="0" w:firstLineChars="0"/>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备机配置情况</w:t>
            </w:r>
          </w:p>
          <w:p w14:paraId="7A1E11EA">
            <w:pPr>
              <w:numPr>
                <w:ilvl w:val="0"/>
                <w:numId w:val="0"/>
              </w:numPr>
              <w:tabs>
                <w:tab w:val="left" w:pos="420"/>
              </w:tabs>
              <w:spacing w:line="360" w:lineRule="auto"/>
              <w:ind w:left="0" w:leftChars="0" w:firstLine="0" w:firstLineChars="0"/>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（5分）</w:t>
            </w:r>
          </w:p>
        </w:tc>
        <w:tc>
          <w:tcPr>
            <w:tcW w:w="8114" w:type="dxa"/>
            <w:gridSpan w:val="3"/>
            <w:tcMar>
              <w:top w:w="0" w:type="dxa"/>
              <w:left w:w="108" w:type="dxa"/>
              <w:bottom w:w="0" w:type="dxa"/>
              <w:right w:w="108" w:type="dxa"/>
            </w:tcMar>
            <w:vAlign w:val="center"/>
          </w:tcPr>
          <w:p w14:paraId="096B3DBB">
            <w:pPr>
              <w:tabs>
                <w:tab w:val="left" w:pos="420"/>
              </w:tabs>
              <w:spacing w:line="360" w:lineRule="auto"/>
              <w:ind w:left="0"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考核投标人备机配置情况，备机包含监测设备、数采设备等。</w:t>
            </w:r>
          </w:p>
          <w:p w14:paraId="4DAB3319">
            <w:pPr>
              <w:tabs>
                <w:tab w:val="left" w:pos="420"/>
              </w:tabs>
              <w:spacing w:line="360" w:lineRule="auto"/>
              <w:ind w:left="0"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要求备机数量为10个站点至少配备一套备机，配置种类齐全合理，选型先进可靠，能满足对应站点运维需要，得5分；</w:t>
            </w:r>
          </w:p>
          <w:p w14:paraId="7247FBB6">
            <w:pPr>
              <w:tabs>
                <w:tab w:val="left" w:pos="420"/>
              </w:tabs>
              <w:spacing w:line="360" w:lineRule="auto"/>
              <w:ind w:left="0"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配置的备机功能基本满足运维需求，得</w:t>
            </w: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val="en-US" w:eastAsia="zh-CN" w:bidi="ar"/>
              </w:rPr>
              <w:t>分；</w:t>
            </w:r>
          </w:p>
          <w:p w14:paraId="59E9A332">
            <w:pPr>
              <w:tabs>
                <w:tab w:val="left" w:pos="420"/>
              </w:tabs>
              <w:spacing w:line="360" w:lineRule="auto"/>
              <w:ind w:left="0"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配置种类及选型与运维需求存在较大偏差，得1分。</w:t>
            </w:r>
          </w:p>
          <w:p w14:paraId="5CA06636">
            <w:pPr>
              <w:tabs>
                <w:tab w:val="left" w:pos="420"/>
              </w:tabs>
              <w:spacing w:line="360" w:lineRule="auto"/>
              <w:ind w:left="0"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未提供得0分。</w:t>
            </w:r>
          </w:p>
          <w:p w14:paraId="5A20754A">
            <w:pPr>
              <w:tabs>
                <w:tab w:val="left" w:pos="420"/>
              </w:tabs>
              <w:spacing w:line="360" w:lineRule="auto"/>
              <w:ind w:left="0"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注：</w:t>
            </w:r>
          </w:p>
          <w:p w14:paraId="0AB3EDBA">
            <w:pPr>
              <w:tabs>
                <w:tab w:val="left" w:pos="420"/>
              </w:tabs>
              <w:spacing w:line="360" w:lineRule="auto"/>
              <w:ind w:left="0" w:firstLine="480" w:firstLineChars="200"/>
              <w:rPr>
                <w:rFonts w:hint="eastAsia" w:ascii="宋体" w:hAnsi="宋体" w:eastAsia="宋体" w:cs="宋体"/>
                <w:b w:val="0"/>
                <w:bCs w:val="0"/>
                <w:color w:val="auto"/>
                <w:sz w:val="24"/>
                <w:szCs w:val="24"/>
                <w:highlight w:val="none"/>
                <w:lang w:val="en-US" w:eastAsia="zh-CN" w:bidi="ar"/>
              </w:rPr>
            </w:pPr>
            <w:r>
              <w:rPr>
                <w:rFonts w:hint="eastAsia" w:ascii="宋体" w:hAnsi="宋体" w:eastAsia="宋体" w:cs="宋体"/>
                <w:b w:val="0"/>
                <w:bCs w:val="0"/>
                <w:color w:val="auto"/>
                <w:sz w:val="24"/>
                <w:szCs w:val="24"/>
                <w:highlight w:val="none"/>
                <w:lang w:val="en-US" w:eastAsia="zh-CN" w:bidi="ar"/>
              </w:rPr>
              <w:t>1.须提供备机配置情况清单（包括但不限于备机种类、数量、品牌、型号、价格、来源、原理等）、适用性检测证书。</w:t>
            </w:r>
          </w:p>
          <w:p w14:paraId="7CDDE158">
            <w:pPr>
              <w:tabs>
                <w:tab w:val="left" w:pos="420"/>
              </w:tabs>
              <w:spacing w:line="360" w:lineRule="auto"/>
              <w:ind w:left="0" w:firstLine="480" w:firstLineChars="200"/>
              <w:rPr>
                <w:rFonts w:hint="eastAsia" w:ascii="宋体" w:hAnsi="宋体" w:eastAsia="宋体" w:cs="宋体"/>
                <w:b w:val="0"/>
                <w:bCs w:val="0"/>
                <w:color w:val="auto"/>
                <w:sz w:val="24"/>
                <w:szCs w:val="24"/>
                <w:highlight w:val="none"/>
                <w:lang w:val="en-US" w:eastAsia="zh-CN" w:bidi="ar"/>
              </w:rPr>
            </w:pPr>
            <w:r>
              <w:rPr>
                <w:rFonts w:hint="eastAsia" w:ascii="宋体" w:hAnsi="宋体" w:eastAsia="宋体" w:cs="宋体"/>
                <w:b w:val="0"/>
                <w:bCs w:val="0"/>
                <w:color w:val="auto"/>
                <w:sz w:val="24"/>
                <w:szCs w:val="24"/>
                <w:highlight w:val="none"/>
                <w:lang w:val="en-US" w:eastAsia="zh-CN" w:bidi="ar"/>
              </w:rPr>
              <w:t>2.投标人为仪器设备生产厂家的须提供库存设备清单；仪器设备为已经购买的须提供采购合同复印件；仪器设备未购买的须与生产厂家签订供货协议或意向性供货协议，并提供协议复印件；否则不予认可。</w:t>
            </w:r>
          </w:p>
          <w:p w14:paraId="6FAA4C7C">
            <w:pPr>
              <w:tabs>
                <w:tab w:val="left" w:pos="420"/>
              </w:tabs>
              <w:spacing w:line="360" w:lineRule="auto"/>
              <w:ind w:left="0" w:firstLine="480" w:firstLineChars="200"/>
              <w:rPr>
                <w:rFonts w:hint="eastAsia" w:ascii="宋体" w:hAnsi="宋体" w:eastAsia="宋体" w:cs="宋体"/>
                <w:b w:val="0"/>
                <w:bCs w:val="0"/>
                <w:color w:val="auto"/>
                <w:sz w:val="24"/>
                <w:szCs w:val="24"/>
                <w:highlight w:val="none"/>
                <w:lang w:val="en-US" w:eastAsia="zh-CN" w:bidi="ar"/>
              </w:rPr>
            </w:pPr>
            <w:r>
              <w:rPr>
                <w:rFonts w:hint="eastAsia" w:ascii="宋体" w:hAnsi="宋体" w:eastAsia="宋体" w:cs="宋体"/>
                <w:b w:val="0"/>
                <w:bCs w:val="0"/>
                <w:color w:val="auto"/>
                <w:sz w:val="24"/>
                <w:szCs w:val="24"/>
                <w:highlight w:val="none"/>
                <w:lang w:val="en-US" w:eastAsia="zh-CN" w:bidi="ar"/>
              </w:rPr>
              <w:t>3.投标人提供备机监测原理满足国家要求，气态污染物监测仪必须使用点式仪器（其中SO</w:t>
            </w:r>
            <w:r>
              <w:rPr>
                <w:rFonts w:hint="eastAsia" w:ascii="宋体" w:hAnsi="宋体" w:eastAsia="宋体" w:cs="宋体"/>
                <w:b w:val="0"/>
                <w:bCs w:val="0"/>
                <w:color w:val="auto"/>
                <w:sz w:val="24"/>
                <w:szCs w:val="24"/>
                <w:highlight w:val="none"/>
                <w:vertAlign w:val="subscript"/>
                <w:lang w:val="en-US" w:eastAsia="zh-CN" w:bidi="ar"/>
              </w:rPr>
              <w:t>2</w:t>
            </w:r>
            <w:r>
              <w:rPr>
                <w:rFonts w:hint="eastAsia" w:ascii="宋体" w:hAnsi="宋体" w:eastAsia="宋体" w:cs="宋体"/>
                <w:b w:val="0"/>
                <w:bCs w:val="0"/>
                <w:color w:val="auto"/>
                <w:sz w:val="24"/>
                <w:szCs w:val="24"/>
                <w:highlight w:val="none"/>
                <w:lang w:val="en-US" w:eastAsia="zh-CN" w:bidi="ar"/>
              </w:rPr>
              <w:t>监测仪为紫外荧光法、NO</w:t>
            </w:r>
            <w:r>
              <w:rPr>
                <w:rFonts w:hint="eastAsia" w:ascii="宋体" w:hAnsi="宋体" w:eastAsia="宋体" w:cs="宋体"/>
                <w:b w:val="0"/>
                <w:bCs w:val="0"/>
                <w:color w:val="auto"/>
                <w:sz w:val="24"/>
                <w:szCs w:val="24"/>
                <w:highlight w:val="none"/>
                <w:vertAlign w:val="subscript"/>
                <w:lang w:val="en-US" w:eastAsia="zh-CN" w:bidi="ar"/>
              </w:rPr>
              <w:t>2</w:t>
            </w:r>
            <w:r>
              <w:rPr>
                <w:rFonts w:hint="eastAsia" w:ascii="宋体" w:hAnsi="宋体" w:eastAsia="宋体" w:cs="宋体"/>
                <w:b w:val="0"/>
                <w:bCs w:val="0"/>
                <w:color w:val="auto"/>
                <w:sz w:val="24"/>
                <w:szCs w:val="24"/>
                <w:highlight w:val="none"/>
                <w:lang w:val="en-US" w:eastAsia="zh-CN" w:bidi="ar"/>
              </w:rPr>
              <w:t>监测仪为化学发光法、O</w:t>
            </w:r>
            <w:r>
              <w:rPr>
                <w:rFonts w:hint="eastAsia" w:ascii="宋体" w:hAnsi="宋体" w:eastAsia="宋体" w:cs="宋体"/>
                <w:b w:val="0"/>
                <w:bCs w:val="0"/>
                <w:color w:val="auto"/>
                <w:sz w:val="24"/>
                <w:szCs w:val="24"/>
                <w:highlight w:val="none"/>
                <w:vertAlign w:val="subscript"/>
                <w:lang w:val="en-US" w:eastAsia="zh-CN" w:bidi="ar"/>
              </w:rPr>
              <w:t>3</w:t>
            </w:r>
            <w:r>
              <w:rPr>
                <w:rFonts w:hint="eastAsia" w:ascii="宋体" w:hAnsi="宋体" w:eastAsia="宋体" w:cs="宋体"/>
                <w:b w:val="0"/>
                <w:bCs w:val="0"/>
                <w:color w:val="auto"/>
                <w:sz w:val="24"/>
                <w:szCs w:val="24"/>
                <w:highlight w:val="none"/>
                <w:lang w:val="en-US" w:eastAsia="zh-CN" w:bidi="ar"/>
              </w:rPr>
              <w:t>监测仪为紫外吸收法、CO监测仪为红外吸收法），PM</w:t>
            </w:r>
            <w:r>
              <w:rPr>
                <w:rFonts w:hint="eastAsia" w:ascii="宋体" w:hAnsi="宋体" w:eastAsia="宋体" w:cs="宋体"/>
                <w:b w:val="0"/>
                <w:bCs w:val="0"/>
                <w:color w:val="auto"/>
                <w:sz w:val="24"/>
                <w:szCs w:val="24"/>
                <w:highlight w:val="none"/>
                <w:vertAlign w:val="subscript"/>
                <w:lang w:val="en-US" w:eastAsia="zh-CN" w:bidi="ar"/>
              </w:rPr>
              <w:t>10</w:t>
            </w:r>
            <w:r>
              <w:rPr>
                <w:rFonts w:hint="eastAsia" w:ascii="宋体" w:hAnsi="宋体" w:eastAsia="宋体" w:cs="宋体"/>
                <w:b w:val="0"/>
                <w:bCs w:val="0"/>
                <w:color w:val="auto"/>
                <w:sz w:val="24"/>
                <w:szCs w:val="24"/>
                <w:highlight w:val="none"/>
                <w:lang w:val="en-US" w:eastAsia="zh-CN" w:bidi="ar"/>
              </w:rPr>
              <w:t>和PM</w:t>
            </w:r>
            <w:r>
              <w:rPr>
                <w:rFonts w:hint="eastAsia" w:ascii="宋体" w:hAnsi="宋体" w:eastAsia="宋体" w:cs="宋体"/>
                <w:b w:val="0"/>
                <w:bCs w:val="0"/>
                <w:color w:val="auto"/>
                <w:sz w:val="24"/>
                <w:szCs w:val="24"/>
                <w:highlight w:val="none"/>
                <w:vertAlign w:val="subscript"/>
                <w:lang w:val="en-US" w:eastAsia="zh-CN" w:bidi="ar"/>
              </w:rPr>
              <w:t>2.5</w:t>
            </w:r>
            <w:r>
              <w:rPr>
                <w:rFonts w:hint="eastAsia" w:ascii="宋体" w:hAnsi="宋体" w:eastAsia="宋体" w:cs="宋体"/>
                <w:b w:val="0"/>
                <w:bCs w:val="0"/>
                <w:color w:val="auto"/>
                <w:sz w:val="24"/>
                <w:szCs w:val="24"/>
                <w:highlight w:val="none"/>
                <w:lang w:val="en-US" w:eastAsia="zh-CN" w:bidi="ar"/>
              </w:rPr>
              <w:t>颗粒物监测仪必须使用动态加热的β射线法。</w:t>
            </w:r>
          </w:p>
          <w:p w14:paraId="459D7522">
            <w:pPr>
              <w:tabs>
                <w:tab w:val="left" w:pos="420"/>
              </w:tabs>
              <w:spacing w:line="360" w:lineRule="auto"/>
              <w:ind w:left="0" w:firstLine="480" w:firstLineChars="200"/>
              <w:rPr>
                <w:rFonts w:hint="eastAsia" w:ascii="宋体" w:hAnsi="宋体" w:eastAsia="宋体" w:cs="宋体"/>
                <w:color w:val="auto"/>
                <w:sz w:val="24"/>
                <w:szCs w:val="24"/>
                <w:highlight w:val="none"/>
                <w:lang w:val="en-US" w:eastAsia="zh-CN" w:bidi="ar"/>
              </w:rPr>
            </w:pPr>
            <w:r>
              <w:rPr>
                <w:rFonts w:hint="eastAsia" w:ascii="宋体" w:hAnsi="宋体" w:cs="宋体"/>
                <w:b w:val="0"/>
                <w:bCs w:val="0"/>
                <w:color w:val="auto"/>
                <w:sz w:val="24"/>
                <w:szCs w:val="24"/>
                <w:highlight w:val="none"/>
                <w:lang w:val="en-US" w:eastAsia="zh-CN" w:bidi="ar"/>
              </w:rPr>
              <w:t>4.</w:t>
            </w:r>
            <w:r>
              <w:rPr>
                <w:rFonts w:hint="eastAsia" w:ascii="宋体" w:hAnsi="宋体" w:eastAsia="宋体" w:cs="宋体"/>
                <w:b w:val="0"/>
                <w:bCs w:val="0"/>
                <w:color w:val="auto"/>
                <w:sz w:val="24"/>
                <w:szCs w:val="24"/>
                <w:highlight w:val="none"/>
                <w:lang w:val="en-US" w:eastAsia="zh-CN" w:bidi="ar"/>
              </w:rPr>
              <w:t>不满足上述备注中任一要求的，本项得0分。</w:t>
            </w:r>
          </w:p>
        </w:tc>
      </w:tr>
      <w:tr w14:paraId="11E9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21" w:type="dxa"/>
            <w:vMerge w:val="restart"/>
            <w:tcMar>
              <w:top w:w="0" w:type="dxa"/>
              <w:left w:w="108" w:type="dxa"/>
              <w:bottom w:w="0" w:type="dxa"/>
              <w:right w:w="108" w:type="dxa"/>
            </w:tcMar>
            <w:vAlign w:val="center"/>
          </w:tcPr>
          <w:p w14:paraId="1A1D7729">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商务部分</w:t>
            </w:r>
            <w:r>
              <w:rPr>
                <w:rFonts w:hint="eastAsia" w:ascii="宋体" w:hAnsi="宋体" w:cs="宋体"/>
                <w:sz w:val="24"/>
                <w:szCs w:val="24"/>
                <w:lang w:eastAsia="zh-CN"/>
              </w:rPr>
              <w:t>（</w:t>
            </w:r>
            <w:r>
              <w:rPr>
                <w:rFonts w:hint="eastAsia" w:ascii="宋体" w:hAnsi="宋体" w:cs="宋体"/>
                <w:sz w:val="24"/>
                <w:szCs w:val="24"/>
                <w:lang w:val="en-US" w:eastAsia="zh-CN"/>
              </w:rPr>
              <w:t>20分</w:t>
            </w:r>
            <w:r>
              <w:rPr>
                <w:rFonts w:hint="eastAsia" w:ascii="宋体" w:hAnsi="宋体" w:cs="宋体"/>
                <w:sz w:val="24"/>
                <w:szCs w:val="24"/>
                <w:lang w:eastAsia="zh-CN"/>
              </w:rPr>
              <w:t>）</w:t>
            </w:r>
          </w:p>
        </w:tc>
        <w:tc>
          <w:tcPr>
            <w:tcW w:w="1165" w:type="dxa"/>
            <w:gridSpan w:val="2"/>
            <w:vAlign w:val="center"/>
          </w:tcPr>
          <w:p w14:paraId="59E89C8F">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业绩</w:t>
            </w:r>
          </w:p>
          <w:p w14:paraId="55A4FD9D">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（6分）</w:t>
            </w:r>
          </w:p>
        </w:tc>
        <w:tc>
          <w:tcPr>
            <w:tcW w:w="8114" w:type="dxa"/>
            <w:gridSpan w:val="3"/>
            <w:tcMar>
              <w:top w:w="0" w:type="dxa"/>
              <w:left w:w="108" w:type="dxa"/>
              <w:bottom w:w="0" w:type="dxa"/>
              <w:right w:w="108" w:type="dxa"/>
            </w:tcMar>
            <w:vAlign w:val="center"/>
          </w:tcPr>
          <w:p w14:paraId="71351046">
            <w:pPr>
              <w:tabs>
                <w:tab w:val="left" w:pos="420"/>
              </w:tabs>
              <w:spacing w:line="360" w:lineRule="auto"/>
              <w:ind w:left="0"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投标人自2023年1月1日（含）以来承担过环境空气自动监测站建设或运维项目的（建设或运维因子至少包括：SO</w:t>
            </w:r>
            <w:r>
              <w:rPr>
                <w:rFonts w:hint="eastAsia" w:ascii="宋体" w:hAnsi="宋体" w:eastAsia="宋体" w:cs="宋体"/>
                <w:color w:val="auto"/>
                <w:sz w:val="24"/>
                <w:szCs w:val="24"/>
                <w:highlight w:val="none"/>
                <w:vertAlign w:val="subscript"/>
                <w:lang w:val="en-US" w:eastAsia="zh-CN" w:bidi="ar"/>
              </w:rPr>
              <w:t>2</w:t>
            </w:r>
            <w:r>
              <w:rPr>
                <w:rFonts w:hint="eastAsia" w:ascii="宋体" w:hAnsi="宋体" w:eastAsia="宋体" w:cs="宋体"/>
                <w:color w:val="auto"/>
                <w:sz w:val="24"/>
                <w:szCs w:val="24"/>
                <w:highlight w:val="none"/>
                <w:lang w:val="en-US" w:eastAsia="zh-CN" w:bidi="ar"/>
              </w:rPr>
              <w:t>、NO</w:t>
            </w:r>
            <w:r>
              <w:rPr>
                <w:rFonts w:hint="eastAsia" w:ascii="宋体" w:hAnsi="宋体" w:eastAsia="宋体" w:cs="宋体"/>
                <w:color w:val="auto"/>
                <w:sz w:val="24"/>
                <w:szCs w:val="24"/>
                <w:highlight w:val="none"/>
                <w:vertAlign w:val="subscript"/>
                <w:lang w:val="en-US" w:eastAsia="zh-CN" w:bidi="ar"/>
              </w:rPr>
              <w:t>X</w:t>
            </w:r>
            <w:r>
              <w:rPr>
                <w:rFonts w:hint="eastAsia" w:ascii="宋体" w:hAnsi="宋体" w:eastAsia="宋体" w:cs="宋体"/>
                <w:color w:val="auto"/>
                <w:sz w:val="24"/>
                <w:szCs w:val="24"/>
                <w:highlight w:val="none"/>
                <w:lang w:val="en-US" w:eastAsia="zh-CN" w:bidi="ar"/>
              </w:rPr>
              <w:t>、CO、O</w:t>
            </w:r>
            <w:r>
              <w:rPr>
                <w:rFonts w:hint="eastAsia" w:ascii="宋体" w:hAnsi="宋体" w:eastAsia="宋体" w:cs="宋体"/>
                <w:color w:val="auto"/>
                <w:sz w:val="24"/>
                <w:szCs w:val="24"/>
                <w:highlight w:val="none"/>
                <w:vertAlign w:val="subscript"/>
                <w:lang w:val="en-US" w:eastAsia="zh-CN" w:bidi="ar"/>
              </w:rPr>
              <w:t>3</w:t>
            </w:r>
            <w:r>
              <w:rPr>
                <w:rFonts w:hint="eastAsia" w:ascii="宋体" w:hAnsi="宋体" w:eastAsia="宋体" w:cs="宋体"/>
                <w:color w:val="auto"/>
                <w:sz w:val="24"/>
                <w:szCs w:val="24"/>
                <w:highlight w:val="none"/>
                <w:lang w:val="en-US" w:eastAsia="zh-CN" w:bidi="ar"/>
              </w:rPr>
              <w:t>、PM</w:t>
            </w:r>
            <w:r>
              <w:rPr>
                <w:rFonts w:hint="eastAsia" w:ascii="宋体" w:hAnsi="宋体" w:eastAsia="宋体" w:cs="宋体"/>
                <w:color w:val="auto"/>
                <w:sz w:val="24"/>
                <w:szCs w:val="24"/>
                <w:highlight w:val="none"/>
                <w:vertAlign w:val="subscript"/>
                <w:lang w:val="en-US" w:eastAsia="zh-CN" w:bidi="ar"/>
              </w:rPr>
              <w:t>10</w:t>
            </w:r>
            <w:r>
              <w:rPr>
                <w:rFonts w:hint="eastAsia" w:ascii="宋体" w:hAnsi="宋体" w:eastAsia="宋体" w:cs="宋体"/>
                <w:color w:val="auto"/>
                <w:sz w:val="24"/>
                <w:szCs w:val="24"/>
                <w:highlight w:val="none"/>
                <w:lang w:val="en-US" w:eastAsia="zh-CN" w:bidi="ar"/>
              </w:rPr>
              <w:t>、PM</w:t>
            </w:r>
            <w:r>
              <w:rPr>
                <w:rFonts w:hint="eastAsia" w:ascii="宋体" w:hAnsi="宋体" w:eastAsia="宋体" w:cs="宋体"/>
                <w:color w:val="auto"/>
                <w:sz w:val="24"/>
                <w:szCs w:val="24"/>
                <w:highlight w:val="none"/>
                <w:vertAlign w:val="subscript"/>
                <w:lang w:val="en-US" w:eastAsia="zh-CN" w:bidi="ar"/>
              </w:rPr>
              <w:t>2.5</w:t>
            </w:r>
            <w:r>
              <w:rPr>
                <w:rFonts w:hint="eastAsia" w:ascii="宋体" w:hAnsi="宋体" w:eastAsia="宋体" w:cs="宋体"/>
                <w:color w:val="auto"/>
                <w:sz w:val="24"/>
                <w:szCs w:val="24"/>
                <w:highlight w:val="none"/>
                <w:lang w:val="en-US" w:eastAsia="zh-CN" w:bidi="ar"/>
              </w:rPr>
              <w:t>），每提供一个得2分，最多得6分，未提供不得分。</w:t>
            </w:r>
          </w:p>
          <w:p w14:paraId="5AF7882D">
            <w:pPr>
              <w:tabs>
                <w:tab w:val="left" w:pos="420"/>
              </w:tabs>
              <w:spacing w:line="360" w:lineRule="auto"/>
              <w:ind w:left="0"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注：</w:t>
            </w:r>
          </w:p>
          <w:p w14:paraId="535D34D8">
            <w:pPr>
              <w:tabs>
                <w:tab w:val="left" w:pos="420"/>
              </w:tabs>
              <w:spacing w:line="360" w:lineRule="auto"/>
              <w:ind w:left="0"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1.不包含基于光散射法的小微站（网格化站点）的运维业绩。</w:t>
            </w:r>
          </w:p>
          <w:p w14:paraId="53FEE196">
            <w:pPr>
              <w:tabs>
                <w:tab w:val="left" w:pos="420"/>
              </w:tabs>
              <w:spacing w:line="360" w:lineRule="auto"/>
              <w:ind w:left="0"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2.投标文件中提供中标通知书、合同、中标公告网页截图并加盖投标人电子签章彩色扫描件（提供资料不全或未按要求提供均不得分），日期以合同的签订时间为准。</w:t>
            </w:r>
          </w:p>
        </w:tc>
      </w:tr>
      <w:tr w14:paraId="36BA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21" w:type="dxa"/>
            <w:vMerge w:val="continue"/>
            <w:tcMar>
              <w:top w:w="0" w:type="dxa"/>
              <w:left w:w="108" w:type="dxa"/>
              <w:bottom w:w="0" w:type="dxa"/>
              <w:right w:w="108" w:type="dxa"/>
            </w:tcMar>
            <w:vAlign w:val="center"/>
          </w:tcPr>
          <w:p w14:paraId="297A2F26">
            <w:pPr>
              <w:pStyle w:val="53"/>
              <w:keepNext w:val="0"/>
              <w:keepLines w:val="0"/>
              <w:pageBreakBefore w:val="0"/>
              <w:kinsoku/>
              <w:wordWrap/>
              <w:overflowPunct/>
              <w:topLinePunct w:val="0"/>
              <w:bidi w:val="0"/>
              <w:adjustRightInd w:val="0"/>
              <w:snapToGrid w:val="0"/>
              <w:spacing w:after="0" w:line="360" w:lineRule="auto"/>
              <w:ind w:left="0" w:right="0"/>
              <w:jc w:val="center"/>
              <w:textAlignment w:val="auto"/>
              <w:rPr>
                <w:rFonts w:hint="eastAsia" w:ascii="宋体" w:hAnsi="宋体" w:eastAsia="宋体" w:cs="宋体"/>
                <w:sz w:val="24"/>
                <w:szCs w:val="24"/>
                <w:highlight w:val="red"/>
              </w:rPr>
            </w:pPr>
          </w:p>
        </w:tc>
        <w:tc>
          <w:tcPr>
            <w:tcW w:w="1165" w:type="dxa"/>
            <w:gridSpan w:val="2"/>
            <w:vAlign w:val="center"/>
          </w:tcPr>
          <w:p w14:paraId="115EB528">
            <w:pPr>
              <w:pStyle w:val="8"/>
              <w:keepNext w:val="0"/>
              <w:keepLines w:val="0"/>
              <w:pageBreakBefore w:val="0"/>
              <w:kinsoku/>
              <w:wordWrap/>
              <w:overflowPunct/>
              <w:topLinePunct w:val="0"/>
              <w:bidi w:val="0"/>
              <w:adjustRightInd w:val="0"/>
              <w:snapToGrid w:val="0"/>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人员配备（9分）</w:t>
            </w:r>
          </w:p>
        </w:tc>
        <w:tc>
          <w:tcPr>
            <w:tcW w:w="8114" w:type="dxa"/>
            <w:gridSpan w:val="3"/>
            <w:tcMar>
              <w:top w:w="0" w:type="dxa"/>
              <w:left w:w="108" w:type="dxa"/>
              <w:bottom w:w="0" w:type="dxa"/>
              <w:right w:w="108" w:type="dxa"/>
            </w:tcMar>
            <w:vAlign w:val="center"/>
          </w:tcPr>
          <w:p w14:paraId="42625E41">
            <w:pPr>
              <w:tabs>
                <w:tab w:val="left" w:pos="420"/>
              </w:tabs>
              <w:spacing w:line="360" w:lineRule="auto"/>
              <w:ind w:left="0"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1.投标人项目负责人具有环境类高级及以上职称证书的，得3分。</w:t>
            </w:r>
          </w:p>
          <w:p w14:paraId="175D8264">
            <w:pPr>
              <w:tabs>
                <w:tab w:val="left" w:pos="420"/>
              </w:tabs>
              <w:spacing w:line="360" w:lineRule="auto"/>
              <w:ind w:left="0"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2.投标人运维人员具有中国环境监测总站颁发的类似《环境空气质量自动监测运维与质控技术培训合格证书》的，每提供1人得2分，最高得6分。</w:t>
            </w:r>
          </w:p>
          <w:p w14:paraId="446100BD">
            <w:pPr>
              <w:tabs>
                <w:tab w:val="left" w:pos="420"/>
              </w:tabs>
              <w:spacing w:line="360" w:lineRule="auto"/>
              <w:ind w:left="0"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注：</w:t>
            </w:r>
          </w:p>
          <w:p w14:paraId="68113B64">
            <w:pPr>
              <w:tabs>
                <w:tab w:val="left" w:pos="420"/>
              </w:tabs>
              <w:spacing w:line="360" w:lineRule="auto"/>
              <w:ind w:left="0"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1.须同时提供证书原件扫描件及社保证明材料；</w:t>
            </w:r>
          </w:p>
          <w:p w14:paraId="1C6E1A8B">
            <w:pPr>
              <w:tabs>
                <w:tab w:val="left" w:pos="420"/>
              </w:tabs>
              <w:spacing w:line="360" w:lineRule="auto"/>
              <w:ind w:left="0"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2.社保证明材料需满足：投标截止月前推6个月内，任意3个月在本单位连续缴纳社保记录，或提供上级主管单位出具的证明材料原件扫描件。</w:t>
            </w:r>
          </w:p>
        </w:tc>
      </w:tr>
      <w:tr w14:paraId="7943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21" w:type="dxa"/>
            <w:vMerge w:val="continue"/>
            <w:tcMar>
              <w:top w:w="0" w:type="dxa"/>
              <w:left w:w="108" w:type="dxa"/>
              <w:bottom w:w="0" w:type="dxa"/>
              <w:right w:w="108" w:type="dxa"/>
            </w:tcMar>
            <w:vAlign w:val="center"/>
          </w:tcPr>
          <w:p w14:paraId="78F67CF3">
            <w:pPr>
              <w:pStyle w:val="53"/>
              <w:keepNext w:val="0"/>
              <w:keepLines w:val="0"/>
              <w:pageBreakBefore w:val="0"/>
              <w:kinsoku/>
              <w:wordWrap/>
              <w:overflowPunct/>
              <w:topLinePunct w:val="0"/>
              <w:bidi w:val="0"/>
              <w:adjustRightInd w:val="0"/>
              <w:snapToGrid w:val="0"/>
              <w:spacing w:after="0" w:line="360" w:lineRule="auto"/>
              <w:ind w:left="0" w:right="0"/>
              <w:textAlignment w:val="auto"/>
              <w:rPr>
                <w:rFonts w:hint="eastAsia" w:ascii="宋体" w:hAnsi="宋体" w:eastAsia="宋体" w:cs="宋体"/>
                <w:sz w:val="24"/>
                <w:szCs w:val="24"/>
                <w:highlight w:val="red"/>
              </w:rPr>
            </w:pPr>
          </w:p>
        </w:tc>
        <w:tc>
          <w:tcPr>
            <w:tcW w:w="1165" w:type="dxa"/>
            <w:gridSpan w:val="2"/>
            <w:vAlign w:val="center"/>
          </w:tcPr>
          <w:p w14:paraId="2339B7DE">
            <w:pPr>
              <w:pStyle w:val="8"/>
              <w:keepNext w:val="0"/>
              <w:keepLines w:val="0"/>
              <w:pageBreakBefore w:val="0"/>
              <w:kinsoku/>
              <w:wordWrap/>
              <w:overflowPunct/>
              <w:topLinePunct w:val="0"/>
              <w:bidi w:val="0"/>
              <w:adjustRightInd w:val="0"/>
              <w:snapToGrid w:val="0"/>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认证证书（3分）</w:t>
            </w:r>
          </w:p>
        </w:tc>
        <w:tc>
          <w:tcPr>
            <w:tcW w:w="8114" w:type="dxa"/>
            <w:gridSpan w:val="3"/>
            <w:tcMar>
              <w:top w:w="0" w:type="dxa"/>
              <w:left w:w="108" w:type="dxa"/>
              <w:bottom w:w="0" w:type="dxa"/>
              <w:right w:w="108" w:type="dxa"/>
            </w:tcMar>
            <w:vAlign w:val="center"/>
          </w:tcPr>
          <w:p w14:paraId="517B51DC">
            <w:pPr>
              <w:tabs>
                <w:tab w:val="left" w:pos="420"/>
              </w:tabs>
              <w:spacing w:line="360" w:lineRule="auto"/>
              <w:ind w:left="0"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投标人具有合法有效的ISO9001质量管理体系认证证书、ISO14001环境管理体系认证证书、ISO45001职业健康安全管理体系认证证书，每提供一个证书得1分，本项最高得3分。</w:t>
            </w:r>
          </w:p>
          <w:p w14:paraId="4CBCFC21">
            <w:pPr>
              <w:tabs>
                <w:tab w:val="left" w:pos="420"/>
              </w:tabs>
              <w:spacing w:line="360" w:lineRule="auto"/>
              <w:ind w:left="0"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注：证书取得日期在本项目投标公告发布之前，投标文件中提供证书原件彩色扫描件及国家认证认可监督管理委员会网站（http://www.cnca.gov.cn/）查询截图并加盖投标人公章扫描件。</w:t>
            </w:r>
          </w:p>
        </w:tc>
      </w:tr>
      <w:tr w14:paraId="7AC3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21" w:type="dxa"/>
            <w:vMerge w:val="continue"/>
            <w:tcMar>
              <w:top w:w="0" w:type="dxa"/>
              <w:left w:w="108" w:type="dxa"/>
              <w:bottom w:w="0" w:type="dxa"/>
              <w:right w:w="108" w:type="dxa"/>
            </w:tcMar>
            <w:vAlign w:val="center"/>
          </w:tcPr>
          <w:p w14:paraId="6FBBF2E6">
            <w:pPr>
              <w:pStyle w:val="53"/>
              <w:keepNext w:val="0"/>
              <w:keepLines w:val="0"/>
              <w:pageBreakBefore w:val="0"/>
              <w:kinsoku/>
              <w:wordWrap/>
              <w:overflowPunct/>
              <w:topLinePunct w:val="0"/>
              <w:bidi w:val="0"/>
              <w:adjustRightInd w:val="0"/>
              <w:snapToGrid w:val="0"/>
              <w:spacing w:after="0" w:line="360" w:lineRule="auto"/>
              <w:ind w:left="0" w:right="0"/>
              <w:textAlignment w:val="auto"/>
              <w:rPr>
                <w:rFonts w:hint="eastAsia" w:ascii="宋体" w:hAnsi="宋体" w:eastAsia="宋体" w:cs="宋体"/>
                <w:sz w:val="24"/>
                <w:szCs w:val="24"/>
                <w:highlight w:val="red"/>
              </w:rPr>
            </w:pPr>
          </w:p>
        </w:tc>
        <w:tc>
          <w:tcPr>
            <w:tcW w:w="1165" w:type="dxa"/>
            <w:gridSpan w:val="2"/>
            <w:vAlign w:val="center"/>
          </w:tcPr>
          <w:p w14:paraId="136A27F8">
            <w:pPr>
              <w:pStyle w:val="8"/>
              <w:keepNext w:val="0"/>
              <w:keepLines w:val="0"/>
              <w:pageBreakBefore w:val="0"/>
              <w:kinsoku/>
              <w:wordWrap/>
              <w:overflowPunct/>
              <w:topLinePunct w:val="0"/>
              <w:bidi w:val="0"/>
              <w:adjustRightInd w:val="0"/>
              <w:snapToGrid w:val="0"/>
              <w:spacing w:line="360" w:lineRule="auto"/>
              <w:ind w:firstLine="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服务承诺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2分</w:t>
            </w:r>
            <w:r>
              <w:rPr>
                <w:rFonts w:hint="eastAsia" w:ascii="宋体" w:hAnsi="宋体" w:eastAsia="宋体" w:cs="宋体"/>
                <w:sz w:val="24"/>
                <w:szCs w:val="24"/>
                <w:lang w:eastAsia="zh-CN"/>
              </w:rPr>
              <w:t>）</w:t>
            </w:r>
          </w:p>
        </w:tc>
        <w:tc>
          <w:tcPr>
            <w:tcW w:w="8114" w:type="dxa"/>
            <w:gridSpan w:val="3"/>
            <w:tcMar>
              <w:top w:w="0" w:type="dxa"/>
              <w:left w:w="108" w:type="dxa"/>
              <w:bottom w:w="0" w:type="dxa"/>
              <w:right w:w="108" w:type="dxa"/>
            </w:tcMar>
            <w:vAlign w:val="center"/>
          </w:tcPr>
          <w:p w14:paraId="194AC48F">
            <w:pPr>
              <w:tabs>
                <w:tab w:val="left" w:pos="420"/>
              </w:tabs>
              <w:spacing w:line="360" w:lineRule="auto"/>
              <w:ind w:left="0"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投标人对协助做好空气站资产保管等工作，做好空气站日常24h监控，填写监控记录等承诺情况综合评审。</w:t>
            </w:r>
          </w:p>
          <w:p w14:paraId="73027869">
            <w:pPr>
              <w:tabs>
                <w:tab w:val="left" w:pos="420"/>
              </w:tabs>
              <w:spacing w:line="360" w:lineRule="auto"/>
              <w:ind w:left="0"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承诺全面、且利于项目进展的，得2分；</w:t>
            </w:r>
          </w:p>
          <w:p w14:paraId="2AA558BA">
            <w:pPr>
              <w:tabs>
                <w:tab w:val="left" w:pos="420"/>
              </w:tabs>
              <w:spacing w:line="360" w:lineRule="auto"/>
              <w:ind w:left="0"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承诺内容一般、可行性一般的，得1分；</w:t>
            </w:r>
          </w:p>
          <w:p w14:paraId="502C4421">
            <w:pPr>
              <w:tabs>
                <w:tab w:val="left" w:pos="420"/>
              </w:tabs>
              <w:spacing w:line="360" w:lineRule="auto"/>
              <w:ind w:left="0"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未提供承诺得0分</w:t>
            </w:r>
          </w:p>
        </w:tc>
      </w:tr>
    </w:tbl>
    <w:p w14:paraId="6EDCD141">
      <w:pPr>
        <w:rPr>
          <w:rFonts w:hint="eastAsia" w:ascii="宋体" w:hAnsi="宋体" w:eastAsia="宋体"/>
          <w:b/>
          <w:bCs/>
          <w:color w:val="auto"/>
          <w:kern w:val="0"/>
          <w:sz w:val="44"/>
          <w:szCs w:val="44"/>
        </w:rPr>
      </w:pPr>
      <w:r>
        <w:rPr>
          <w:rFonts w:hint="eastAsia" w:ascii="宋体" w:hAnsi="宋体" w:eastAsia="宋体"/>
          <w:b/>
          <w:bCs/>
          <w:color w:val="auto"/>
          <w:kern w:val="0"/>
          <w:sz w:val="44"/>
          <w:szCs w:val="44"/>
        </w:rPr>
        <w:br w:type="page"/>
      </w:r>
    </w:p>
    <w:p w14:paraId="4BDD4952">
      <w:pPr>
        <w:widowControl/>
        <w:jc w:val="center"/>
        <w:outlineLvl w:val="0"/>
        <w:rPr>
          <w:rFonts w:ascii="宋体" w:hAnsi="宋体" w:eastAsia="宋体"/>
          <w:b/>
          <w:bCs/>
          <w:color w:val="auto"/>
          <w:kern w:val="0"/>
          <w:sz w:val="44"/>
          <w:szCs w:val="44"/>
        </w:rPr>
      </w:pPr>
      <w:r>
        <w:rPr>
          <w:rFonts w:hint="eastAsia" w:ascii="宋体" w:hAnsi="宋体" w:eastAsia="宋体"/>
          <w:b/>
          <w:bCs/>
          <w:color w:val="auto"/>
          <w:kern w:val="0"/>
          <w:sz w:val="44"/>
          <w:szCs w:val="44"/>
        </w:rPr>
        <w:t xml:space="preserve">第五章 </w:t>
      </w:r>
      <w:bookmarkStart w:id="26" w:name="政府采购合同"/>
      <w:r>
        <w:rPr>
          <w:rFonts w:hint="eastAsia" w:ascii="宋体" w:hAnsi="宋体" w:eastAsia="宋体"/>
          <w:b/>
          <w:bCs/>
          <w:color w:val="auto"/>
          <w:kern w:val="0"/>
          <w:sz w:val="44"/>
          <w:szCs w:val="44"/>
        </w:rPr>
        <w:t>合同</w:t>
      </w:r>
      <w:bookmarkEnd w:id="26"/>
      <w:r>
        <w:rPr>
          <w:rFonts w:hint="eastAsia" w:ascii="宋体" w:hAnsi="宋体" w:eastAsia="宋体"/>
          <w:b/>
          <w:bCs/>
          <w:color w:val="auto"/>
          <w:kern w:val="0"/>
          <w:sz w:val="44"/>
          <w:szCs w:val="44"/>
        </w:rPr>
        <w:t>条款及格式</w:t>
      </w:r>
      <w:bookmarkEnd w:id="25"/>
    </w:p>
    <w:p w14:paraId="164972AD">
      <w:pPr>
        <w:widowControl/>
        <w:spacing w:line="360" w:lineRule="auto"/>
        <w:jc w:val="center"/>
        <w:rPr>
          <w:rFonts w:ascii="宋体" w:hAnsi="宋体" w:eastAsia="宋体"/>
          <w:color w:val="auto"/>
          <w:kern w:val="0"/>
          <w:sz w:val="28"/>
          <w:szCs w:val="28"/>
        </w:rPr>
      </w:pPr>
      <w:r>
        <w:rPr>
          <w:rFonts w:hint="eastAsia" w:ascii="宋体" w:hAnsi="宋体" w:eastAsia="宋体"/>
          <w:color w:val="auto"/>
          <w:kern w:val="0"/>
          <w:sz w:val="28"/>
          <w:szCs w:val="28"/>
        </w:rPr>
        <w:t>（样本、仅供参考）</w:t>
      </w:r>
    </w:p>
    <w:p w14:paraId="38E92120">
      <w:pPr>
        <w:widowControl/>
        <w:spacing w:line="520" w:lineRule="atLeast"/>
        <w:ind w:firstLine="480"/>
        <w:jc w:val="center"/>
        <w:rPr>
          <w:rFonts w:ascii="宋体" w:hAnsi="宋体" w:eastAsia="宋体"/>
          <w:color w:val="auto"/>
          <w:kern w:val="0"/>
          <w:sz w:val="28"/>
          <w:szCs w:val="28"/>
        </w:rPr>
      </w:pPr>
      <w:r>
        <w:rPr>
          <w:rFonts w:hint="eastAsia" w:ascii="宋体" w:hAnsi="宋体" w:eastAsia="宋体"/>
          <w:b/>
          <w:bCs/>
          <w:color w:val="auto"/>
          <w:kern w:val="0"/>
          <w:sz w:val="28"/>
          <w:szCs w:val="28"/>
        </w:rPr>
        <w:t>（</w:t>
      </w:r>
      <w:r>
        <w:rPr>
          <w:rFonts w:hint="eastAsia" w:ascii="宋体" w:hAnsi="宋体"/>
          <w:color w:val="auto"/>
          <w:kern w:val="0"/>
          <w:sz w:val="28"/>
          <w:szCs w:val="28"/>
          <w:lang w:eastAsia="zh-CN"/>
        </w:rPr>
        <w:t>采购人</w:t>
      </w:r>
      <w:r>
        <w:rPr>
          <w:rFonts w:hint="eastAsia" w:ascii="宋体" w:hAnsi="宋体" w:eastAsia="宋体"/>
          <w:color w:val="auto"/>
          <w:kern w:val="0"/>
          <w:sz w:val="28"/>
          <w:szCs w:val="28"/>
        </w:rPr>
        <w:t>可根据采购项目的实际情况增减条款和内容</w:t>
      </w:r>
      <w:r>
        <w:rPr>
          <w:rFonts w:hint="eastAsia" w:ascii="宋体" w:hAnsi="宋体" w:eastAsia="宋体"/>
          <w:b/>
          <w:bCs/>
          <w:color w:val="auto"/>
          <w:kern w:val="0"/>
          <w:sz w:val="28"/>
          <w:szCs w:val="28"/>
        </w:rPr>
        <w:t>）</w:t>
      </w:r>
    </w:p>
    <w:p w14:paraId="6678C0A8">
      <w:pPr>
        <w:widowControl/>
        <w:spacing w:line="520" w:lineRule="atLeast"/>
        <w:ind w:firstLine="480"/>
        <w:jc w:val="left"/>
        <w:rPr>
          <w:rFonts w:ascii="宋体" w:hAnsi="宋体" w:eastAsia="宋体"/>
          <w:color w:val="auto"/>
          <w:kern w:val="0"/>
          <w:sz w:val="28"/>
          <w:szCs w:val="28"/>
        </w:rPr>
      </w:pPr>
      <w:r>
        <w:rPr>
          <w:rFonts w:hint="eastAsia" w:ascii="宋体" w:hAnsi="宋体" w:eastAsia="宋体"/>
          <w:color w:val="auto"/>
          <w:kern w:val="0"/>
          <w:sz w:val="28"/>
          <w:szCs w:val="28"/>
        </w:rPr>
        <w:t xml:space="preserve">项目名称：                          </w:t>
      </w:r>
    </w:p>
    <w:p w14:paraId="41A53420">
      <w:pPr>
        <w:widowControl/>
        <w:spacing w:line="520" w:lineRule="atLeast"/>
        <w:ind w:firstLine="480"/>
        <w:jc w:val="left"/>
        <w:rPr>
          <w:rFonts w:ascii="宋体" w:hAnsi="宋体" w:eastAsia="宋体"/>
          <w:color w:val="auto"/>
          <w:kern w:val="0"/>
          <w:sz w:val="28"/>
          <w:szCs w:val="28"/>
        </w:rPr>
      </w:pPr>
      <w:r>
        <w:rPr>
          <w:rFonts w:hint="eastAsia" w:ascii="宋体" w:hAnsi="宋体" w:eastAsia="宋体"/>
          <w:color w:val="auto"/>
          <w:kern w:val="0"/>
          <w:sz w:val="28"/>
          <w:szCs w:val="28"/>
        </w:rPr>
        <w:t>甲方：（</w:t>
      </w:r>
      <w:r>
        <w:rPr>
          <w:rFonts w:hint="eastAsia" w:ascii="宋体" w:hAnsi="宋体"/>
          <w:color w:val="auto"/>
          <w:kern w:val="0"/>
          <w:sz w:val="28"/>
          <w:szCs w:val="28"/>
          <w:lang w:eastAsia="zh-CN"/>
        </w:rPr>
        <w:t>采购人</w:t>
      </w:r>
      <w:r>
        <w:rPr>
          <w:rFonts w:hint="eastAsia" w:ascii="宋体" w:hAnsi="宋体" w:eastAsia="宋体"/>
          <w:color w:val="auto"/>
          <w:kern w:val="0"/>
          <w:sz w:val="28"/>
          <w:szCs w:val="28"/>
        </w:rPr>
        <w:t>）</w:t>
      </w:r>
    </w:p>
    <w:p w14:paraId="1152ECAF">
      <w:pPr>
        <w:widowControl/>
        <w:spacing w:line="520" w:lineRule="atLeast"/>
        <w:ind w:firstLine="480"/>
        <w:jc w:val="left"/>
        <w:rPr>
          <w:rFonts w:ascii="宋体" w:hAnsi="宋体" w:eastAsia="宋体"/>
          <w:color w:val="auto"/>
          <w:kern w:val="0"/>
          <w:sz w:val="28"/>
          <w:szCs w:val="28"/>
        </w:rPr>
      </w:pPr>
      <w:r>
        <w:rPr>
          <w:rFonts w:hint="eastAsia" w:ascii="宋体" w:hAnsi="宋体" w:eastAsia="宋体"/>
          <w:color w:val="auto"/>
          <w:kern w:val="0"/>
          <w:sz w:val="28"/>
          <w:szCs w:val="28"/>
        </w:rPr>
        <w:t>乙方：（中标供应商）</w:t>
      </w:r>
    </w:p>
    <w:p w14:paraId="6D6A4CC1">
      <w:pPr>
        <w:widowControl/>
        <w:spacing w:line="520" w:lineRule="atLeast"/>
        <w:ind w:firstLine="480"/>
        <w:jc w:val="left"/>
        <w:rPr>
          <w:rFonts w:ascii="宋体" w:hAnsi="宋体" w:eastAsia="宋体"/>
          <w:color w:val="auto"/>
          <w:kern w:val="0"/>
          <w:sz w:val="28"/>
          <w:szCs w:val="28"/>
        </w:rPr>
      </w:pPr>
      <w:r>
        <w:rPr>
          <w:rFonts w:hint="eastAsia" w:ascii="宋体" w:hAnsi="宋体" w:eastAsia="宋体"/>
          <w:color w:val="auto"/>
          <w:kern w:val="0"/>
          <w:sz w:val="28"/>
          <w:szCs w:val="28"/>
        </w:rPr>
        <w:t>甲、乙双方根据《中华人民共和国采购法》、《中华人民共和国民法典》等法律法规的规定，按照</w:t>
      </w:r>
      <w:r>
        <w:rPr>
          <w:rFonts w:hint="eastAsia" w:ascii="宋体" w:hAnsi="宋体" w:eastAsia="宋体"/>
          <w:color w:val="auto"/>
          <w:kern w:val="0"/>
          <w:sz w:val="28"/>
          <w:szCs w:val="28"/>
          <w:u w:val="single"/>
        </w:rPr>
        <w:t xml:space="preserve">            （</w:t>
      </w:r>
      <w:r>
        <w:rPr>
          <w:rFonts w:hint="eastAsia" w:ascii="宋体" w:hAnsi="宋体" w:eastAsia="宋体"/>
          <w:color w:val="auto"/>
          <w:kern w:val="0"/>
          <w:sz w:val="28"/>
          <w:szCs w:val="28"/>
        </w:rPr>
        <w:t>项目名称）的中标结果签订本合同。</w:t>
      </w:r>
    </w:p>
    <w:p w14:paraId="19490C29">
      <w:pPr>
        <w:widowControl/>
        <w:spacing w:line="520" w:lineRule="atLeast"/>
        <w:ind w:firstLine="480"/>
        <w:jc w:val="left"/>
        <w:rPr>
          <w:rFonts w:ascii="宋体" w:hAnsi="宋体" w:eastAsia="宋体"/>
          <w:color w:val="auto"/>
          <w:kern w:val="0"/>
          <w:sz w:val="28"/>
          <w:szCs w:val="28"/>
        </w:rPr>
      </w:pPr>
      <w:r>
        <w:rPr>
          <w:rFonts w:hint="eastAsia" w:ascii="宋体" w:hAnsi="宋体" w:eastAsia="宋体"/>
          <w:b/>
          <w:bCs/>
          <w:color w:val="auto"/>
          <w:kern w:val="0"/>
          <w:sz w:val="28"/>
          <w:szCs w:val="28"/>
        </w:rPr>
        <w:t>1.合同内容</w:t>
      </w:r>
    </w:p>
    <w:p w14:paraId="5EF5CCF2">
      <w:pPr>
        <w:widowControl/>
        <w:spacing w:line="520" w:lineRule="atLeast"/>
        <w:ind w:firstLine="480"/>
        <w:jc w:val="left"/>
        <w:rPr>
          <w:rFonts w:ascii="宋体" w:hAnsi="宋体" w:eastAsia="宋体"/>
          <w:color w:val="auto"/>
          <w:kern w:val="0"/>
          <w:sz w:val="28"/>
          <w:szCs w:val="28"/>
        </w:rPr>
      </w:pPr>
      <w:r>
        <w:rPr>
          <w:rFonts w:hint="eastAsia" w:ascii="宋体" w:hAnsi="宋体" w:eastAsia="宋体"/>
          <w:color w:val="auto"/>
          <w:kern w:val="0"/>
          <w:sz w:val="28"/>
          <w:szCs w:val="28"/>
        </w:rPr>
        <w:t>1.1 项目名称：</w:t>
      </w:r>
    </w:p>
    <w:p w14:paraId="554C6400">
      <w:pPr>
        <w:widowControl/>
        <w:spacing w:line="520" w:lineRule="atLeast"/>
        <w:ind w:firstLine="480"/>
        <w:jc w:val="left"/>
        <w:rPr>
          <w:rFonts w:ascii="宋体" w:hAnsi="宋体" w:eastAsia="宋体"/>
          <w:color w:val="auto"/>
          <w:kern w:val="0"/>
          <w:sz w:val="28"/>
          <w:szCs w:val="28"/>
        </w:rPr>
      </w:pPr>
      <w:r>
        <w:rPr>
          <w:rFonts w:hint="eastAsia" w:ascii="宋体" w:hAnsi="宋体" w:eastAsia="宋体"/>
          <w:color w:val="auto"/>
          <w:kern w:val="0"/>
          <w:sz w:val="28"/>
          <w:szCs w:val="28"/>
        </w:rPr>
        <w:t>1.</w:t>
      </w:r>
      <w:r>
        <w:rPr>
          <w:rFonts w:hint="eastAsia" w:ascii="宋体" w:hAnsi="宋体"/>
          <w:color w:val="auto"/>
          <w:kern w:val="0"/>
          <w:sz w:val="28"/>
          <w:szCs w:val="28"/>
          <w:lang w:val="en-US" w:eastAsia="zh-CN"/>
        </w:rPr>
        <w:t>2</w:t>
      </w:r>
      <w:r>
        <w:rPr>
          <w:rFonts w:hint="eastAsia" w:ascii="宋体" w:hAnsi="宋体" w:eastAsia="宋体"/>
          <w:color w:val="auto"/>
          <w:kern w:val="0"/>
          <w:sz w:val="28"/>
          <w:szCs w:val="28"/>
        </w:rPr>
        <w:t xml:space="preserve"> </w:t>
      </w:r>
      <w:r>
        <w:rPr>
          <w:rFonts w:hint="eastAsia" w:ascii="宋体" w:hAnsi="宋体"/>
          <w:color w:val="auto"/>
          <w:kern w:val="0"/>
          <w:sz w:val="28"/>
          <w:szCs w:val="28"/>
          <w:lang w:val="en-US" w:eastAsia="zh-CN"/>
        </w:rPr>
        <w:t>服务内容及要求</w:t>
      </w:r>
      <w:r>
        <w:rPr>
          <w:rFonts w:hint="eastAsia" w:ascii="宋体" w:hAnsi="宋体" w:eastAsia="宋体"/>
          <w:color w:val="auto"/>
          <w:kern w:val="0"/>
          <w:sz w:val="28"/>
          <w:szCs w:val="28"/>
        </w:rPr>
        <w:t>：</w:t>
      </w:r>
    </w:p>
    <w:p w14:paraId="5A81D73D">
      <w:pPr>
        <w:widowControl/>
        <w:spacing w:line="520" w:lineRule="atLeast"/>
        <w:ind w:firstLine="480"/>
        <w:jc w:val="left"/>
        <w:rPr>
          <w:rFonts w:ascii="宋体" w:hAnsi="宋体" w:eastAsia="宋体"/>
          <w:color w:val="auto"/>
          <w:kern w:val="0"/>
          <w:sz w:val="28"/>
          <w:szCs w:val="28"/>
        </w:rPr>
      </w:pPr>
      <w:r>
        <w:rPr>
          <w:rFonts w:hint="eastAsia" w:ascii="宋体" w:hAnsi="宋体" w:eastAsia="宋体"/>
          <w:color w:val="auto"/>
          <w:kern w:val="0"/>
          <w:sz w:val="28"/>
          <w:szCs w:val="28"/>
        </w:rPr>
        <w:t>1.</w:t>
      </w:r>
      <w:r>
        <w:rPr>
          <w:rFonts w:hint="eastAsia" w:ascii="宋体" w:hAnsi="宋体"/>
          <w:color w:val="auto"/>
          <w:kern w:val="0"/>
          <w:sz w:val="28"/>
          <w:szCs w:val="28"/>
          <w:lang w:val="en-US" w:eastAsia="zh-CN"/>
        </w:rPr>
        <w:t>3</w:t>
      </w:r>
      <w:r>
        <w:rPr>
          <w:rFonts w:hint="eastAsia" w:ascii="宋体" w:hAnsi="宋体" w:eastAsia="宋体"/>
          <w:color w:val="auto"/>
          <w:kern w:val="0"/>
          <w:sz w:val="28"/>
          <w:szCs w:val="28"/>
        </w:rPr>
        <w:t>数量（单位）：</w:t>
      </w:r>
    </w:p>
    <w:p w14:paraId="41DFF78D">
      <w:pPr>
        <w:widowControl/>
        <w:spacing w:line="520" w:lineRule="atLeast"/>
        <w:ind w:firstLine="480"/>
        <w:jc w:val="left"/>
        <w:rPr>
          <w:rFonts w:ascii="宋体" w:hAnsi="宋体" w:eastAsia="宋体"/>
          <w:color w:val="auto"/>
          <w:kern w:val="0"/>
          <w:sz w:val="28"/>
          <w:szCs w:val="28"/>
        </w:rPr>
      </w:pPr>
      <w:r>
        <w:rPr>
          <w:rFonts w:hint="eastAsia" w:ascii="宋体" w:hAnsi="宋体" w:eastAsia="宋体"/>
          <w:b/>
          <w:bCs/>
          <w:color w:val="auto"/>
          <w:kern w:val="0"/>
          <w:sz w:val="28"/>
          <w:szCs w:val="28"/>
        </w:rPr>
        <w:t>2.合同金额</w:t>
      </w:r>
    </w:p>
    <w:p w14:paraId="18DD8817">
      <w:pPr>
        <w:widowControl/>
        <w:spacing w:line="520" w:lineRule="atLeast"/>
        <w:ind w:firstLine="480"/>
        <w:jc w:val="left"/>
        <w:rPr>
          <w:rFonts w:ascii="宋体" w:hAnsi="宋体" w:eastAsia="宋体"/>
          <w:color w:val="auto"/>
          <w:kern w:val="0"/>
          <w:sz w:val="28"/>
          <w:szCs w:val="28"/>
        </w:rPr>
      </w:pPr>
      <w:r>
        <w:rPr>
          <w:rFonts w:hint="eastAsia" w:ascii="宋体" w:hAnsi="宋体" w:eastAsia="宋体"/>
          <w:color w:val="auto"/>
          <w:kern w:val="0"/>
          <w:sz w:val="28"/>
          <w:szCs w:val="28"/>
        </w:rPr>
        <w:t>本合同金额为人民币（大写）：_____</w:t>
      </w:r>
      <w:r>
        <w:rPr>
          <w:rFonts w:hint="eastAsia" w:ascii="宋体" w:hAnsi="宋体" w:eastAsia="宋体"/>
          <w:color w:val="auto"/>
          <w:kern w:val="0"/>
          <w:sz w:val="28"/>
          <w:szCs w:val="28"/>
          <w:u w:val="single"/>
        </w:rPr>
        <w:t>_</w:t>
      </w:r>
      <w:r>
        <w:rPr>
          <w:rFonts w:hint="eastAsia" w:ascii="宋体" w:hAnsi="宋体" w:eastAsia="宋体"/>
          <w:color w:val="auto"/>
          <w:kern w:val="0"/>
          <w:sz w:val="28"/>
          <w:szCs w:val="28"/>
        </w:rPr>
        <w:t>_____（¥________元）。</w:t>
      </w:r>
    </w:p>
    <w:p w14:paraId="0799E386">
      <w:pPr>
        <w:widowControl/>
        <w:spacing w:line="520" w:lineRule="atLeast"/>
        <w:ind w:firstLine="480"/>
        <w:jc w:val="left"/>
        <w:rPr>
          <w:rFonts w:ascii="宋体" w:hAnsi="宋体" w:eastAsia="宋体"/>
          <w:color w:val="auto"/>
          <w:kern w:val="0"/>
          <w:sz w:val="28"/>
          <w:szCs w:val="28"/>
        </w:rPr>
      </w:pPr>
      <w:r>
        <w:rPr>
          <w:rFonts w:hint="eastAsia" w:ascii="宋体" w:hAnsi="宋体" w:eastAsia="宋体"/>
          <w:b/>
          <w:bCs/>
          <w:color w:val="auto"/>
          <w:kern w:val="0"/>
          <w:sz w:val="28"/>
          <w:szCs w:val="28"/>
        </w:rPr>
        <w:t>3.技术资料</w:t>
      </w:r>
    </w:p>
    <w:p w14:paraId="7A2D3ECF">
      <w:pPr>
        <w:widowControl/>
        <w:spacing w:line="520" w:lineRule="atLeast"/>
        <w:ind w:firstLine="480"/>
        <w:jc w:val="left"/>
        <w:rPr>
          <w:rFonts w:ascii="宋体" w:hAnsi="宋体" w:eastAsia="宋体"/>
          <w:color w:val="auto"/>
          <w:kern w:val="0"/>
          <w:sz w:val="28"/>
          <w:szCs w:val="28"/>
        </w:rPr>
      </w:pPr>
      <w:r>
        <w:rPr>
          <w:rFonts w:hint="eastAsia" w:ascii="宋体" w:hAnsi="宋体" w:eastAsia="宋体"/>
          <w:color w:val="auto"/>
          <w:kern w:val="0"/>
          <w:sz w:val="28"/>
          <w:szCs w:val="28"/>
        </w:rPr>
        <w:t>3.1乙方按招标文件规定的时间向甲方提供</w:t>
      </w:r>
      <w:r>
        <w:rPr>
          <w:rFonts w:hint="eastAsia" w:ascii="宋体" w:hAnsi="宋体"/>
          <w:color w:val="auto"/>
          <w:kern w:val="0"/>
          <w:sz w:val="28"/>
          <w:szCs w:val="28"/>
          <w:lang w:eastAsia="zh-CN"/>
        </w:rPr>
        <w:t>检测报告</w:t>
      </w:r>
      <w:r>
        <w:rPr>
          <w:rFonts w:hint="eastAsia" w:ascii="宋体" w:hAnsi="宋体" w:eastAsia="宋体"/>
          <w:color w:val="auto"/>
          <w:kern w:val="0"/>
          <w:sz w:val="28"/>
          <w:szCs w:val="28"/>
        </w:rPr>
        <w:t>有关技术资料。</w:t>
      </w:r>
    </w:p>
    <w:p w14:paraId="1A595713">
      <w:pPr>
        <w:widowControl/>
        <w:spacing w:line="520" w:lineRule="atLeast"/>
        <w:ind w:firstLine="480"/>
        <w:jc w:val="left"/>
        <w:rPr>
          <w:rFonts w:ascii="宋体" w:hAnsi="宋体" w:eastAsia="宋体"/>
          <w:color w:val="auto"/>
          <w:kern w:val="0"/>
          <w:sz w:val="28"/>
          <w:szCs w:val="28"/>
        </w:rPr>
      </w:pPr>
      <w:r>
        <w:rPr>
          <w:rFonts w:hint="eastAsia" w:ascii="宋体" w:hAnsi="宋体" w:eastAsia="宋体"/>
          <w:color w:val="auto"/>
          <w:kern w:val="0"/>
          <w:sz w:val="28"/>
          <w:szCs w:val="28"/>
        </w:rPr>
        <w:t>3.2 没有甲方事先书面同意，乙方不得将由甲方提供的有关合同或任何合同条文、规格、计划、或资料提供给与履行本合同无关的任何其他人。</w:t>
      </w:r>
    </w:p>
    <w:p w14:paraId="6410C94F">
      <w:pPr>
        <w:widowControl/>
        <w:spacing w:line="520" w:lineRule="atLeast"/>
        <w:jc w:val="left"/>
        <w:rPr>
          <w:rFonts w:ascii="宋体" w:hAnsi="宋体" w:eastAsia="宋体"/>
          <w:color w:val="auto"/>
          <w:kern w:val="0"/>
          <w:sz w:val="28"/>
          <w:szCs w:val="28"/>
        </w:rPr>
      </w:pPr>
      <w:r>
        <w:rPr>
          <w:rFonts w:hint="eastAsia" w:ascii="宋体" w:hAnsi="宋体" w:eastAsia="宋体"/>
          <w:b/>
          <w:bCs/>
          <w:color w:val="auto"/>
          <w:kern w:val="0"/>
          <w:sz w:val="28"/>
          <w:szCs w:val="28"/>
        </w:rPr>
        <w:t>4.知识产权</w:t>
      </w:r>
    </w:p>
    <w:p w14:paraId="609EA8C9">
      <w:pPr>
        <w:widowControl/>
        <w:spacing w:line="520" w:lineRule="atLeast"/>
        <w:ind w:firstLine="280" w:firstLineChars="100"/>
        <w:jc w:val="left"/>
        <w:rPr>
          <w:rFonts w:ascii="宋体" w:hAnsi="宋体" w:eastAsia="宋体"/>
          <w:color w:val="auto"/>
          <w:kern w:val="0"/>
          <w:sz w:val="28"/>
          <w:szCs w:val="28"/>
        </w:rPr>
      </w:pPr>
      <w:r>
        <w:rPr>
          <w:rFonts w:hint="eastAsia" w:ascii="宋体" w:hAnsi="宋体" w:eastAsia="宋体"/>
          <w:color w:val="auto"/>
          <w:kern w:val="0"/>
          <w:sz w:val="28"/>
          <w:szCs w:val="28"/>
        </w:rPr>
        <w:t>乙方保证所提供</w:t>
      </w:r>
      <w:r>
        <w:rPr>
          <w:rFonts w:hint="eastAsia" w:ascii="宋体" w:hAnsi="宋体"/>
          <w:color w:val="auto"/>
          <w:kern w:val="0"/>
          <w:sz w:val="28"/>
          <w:szCs w:val="28"/>
          <w:lang w:eastAsia="zh-CN"/>
        </w:rPr>
        <w:t>检测报告</w:t>
      </w:r>
      <w:r>
        <w:rPr>
          <w:rFonts w:hint="eastAsia" w:ascii="宋体" w:hAnsi="宋体" w:eastAsia="宋体"/>
          <w:color w:val="auto"/>
          <w:kern w:val="0"/>
          <w:sz w:val="28"/>
          <w:szCs w:val="28"/>
        </w:rPr>
        <w:t>或其任何一部分均不会侵犯任何第三方的知识产权。</w:t>
      </w:r>
    </w:p>
    <w:p w14:paraId="1B59B5C4">
      <w:pPr>
        <w:widowControl/>
        <w:spacing w:line="520" w:lineRule="atLeast"/>
        <w:jc w:val="left"/>
        <w:rPr>
          <w:rFonts w:ascii="宋体" w:hAnsi="宋体" w:eastAsia="宋体"/>
          <w:color w:val="auto"/>
          <w:kern w:val="0"/>
          <w:sz w:val="28"/>
          <w:szCs w:val="28"/>
        </w:rPr>
      </w:pPr>
      <w:r>
        <w:rPr>
          <w:rFonts w:hint="eastAsia" w:ascii="宋体" w:hAnsi="宋体"/>
          <w:b/>
          <w:bCs/>
          <w:color w:val="auto"/>
          <w:kern w:val="0"/>
          <w:sz w:val="28"/>
          <w:szCs w:val="28"/>
          <w:lang w:val="en-US" w:eastAsia="zh-CN"/>
        </w:rPr>
        <w:t>5</w:t>
      </w:r>
      <w:r>
        <w:rPr>
          <w:rFonts w:hint="eastAsia" w:ascii="宋体" w:hAnsi="宋体" w:eastAsia="宋体"/>
          <w:b/>
          <w:bCs/>
          <w:color w:val="auto"/>
          <w:kern w:val="0"/>
          <w:sz w:val="28"/>
          <w:szCs w:val="28"/>
        </w:rPr>
        <w:t>.转包或分包</w:t>
      </w:r>
    </w:p>
    <w:p w14:paraId="4A715CEE">
      <w:pPr>
        <w:widowControl/>
        <w:spacing w:line="520" w:lineRule="atLeast"/>
        <w:jc w:val="left"/>
        <w:rPr>
          <w:rFonts w:ascii="宋体" w:hAnsi="宋体" w:eastAsia="宋体"/>
          <w:color w:val="auto"/>
          <w:kern w:val="0"/>
          <w:sz w:val="28"/>
          <w:szCs w:val="28"/>
        </w:rPr>
      </w:pPr>
      <w:r>
        <w:rPr>
          <w:rFonts w:hint="eastAsia" w:ascii="宋体" w:hAnsi="宋体"/>
          <w:color w:val="auto"/>
          <w:kern w:val="0"/>
          <w:sz w:val="28"/>
          <w:szCs w:val="28"/>
          <w:lang w:val="en-US" w:eastAsia="zh-CN"/>
        </w:rPr>
        <w:t>5</w:t>
      </w:r>
      <w:r>
        <w:rPr>
          <w:rFonts w:hint="eastAsia" w:ascii="宋体" w:hAnsi="宋体" w:eastAsia="宋体"/>
          <w:color w:val="auto"/>
          <w:kern w:val="0"/>
          <w:sz w:val="28"/>
          <w:szCs w:val="28"/>
        </w:rPr>
        <w:t>.1本合同范围的，由乙方直接</w:t>
      </w:r>
      <w:r>
        <w:rPr>
          <w:rFonts w:hint="eastAsia" w:ascii="宋体" w:hAnsi="宋体"/>
          <w:color w:val="auto"/>
          <w:kern w:val="0"/>
          <w:sz w:val="28"/>
          <w:szCs w:val="28"/>
          <w:lang w:eastAsia="zh-CN"/>
        </w:rPr>
        <w:t>服务</w:t>
      </w:r>
      <w:r>
        <w:rPr>
          <w:rFonts w:hint="eastAsia" w:ascii="宋体" w:hAnsi="宋体" w:eastAsia="宋体"/>
          <w:color w:val="auto"/>
          <w:kern w:val="0"/>
          <w:sz w:val="28"/>
          <w:szCs w:val="28"/>
        </w:rPr>
        <w:t>，不得转让他人</w:t>
      </w:r>
      <w:r>
        <w:rPr>
          <w:rFonts w:hint="eastAsia" w:ascii="宋体" w:hAnsi="宋体"/>
          <w:color w:val="auto"/>
          <w:kern w:val="0"/>
          <w:sz w:val="28"/>
          <w:szCs w:val="28"/>
          <w:lang w:eastAsia="zh-CN"/>
        </w:rPr>
        <w:t>服务</w:t>
      </w:r>
      <w:r>
        <w:rPr>
          <w:rFonts w:hint="eastAsia" w:ascii="宋体" w:hAnsi="宋体" w:eastAsia="宋体"/>
          <w:color w:val="auto"/>
          <w:kern w:val="0"/>
          <w:sz w:val="28"/>
          <w:szCs w:val="28"/>
        </w:rPr>
        <w:t>。</w:t>
      </w:r>
    </w:p>
    <w:p w14:paraId="2FDAC588">
      <w:pPr>
        <w:widowControl/>
        <w:spacing w:line="520" w:lineRule="atLeast"/>
        <w:jc w:val="left"/>
        <w:rPr>
          <w:rFonts w:ascii="宋体" w:hAnsi="宋体" w:eastAsia="宋体"/>
          <w:color w:val="auto"/>
          <w:kern w:val="0"/>
          <w:sz w:val="28"/>
          <w:szCs w:val="28"/>
        </w:rPr>
      </w:pPr>
      <w:r>
        <w:rPr>
          <w:rFonts w:hint="eastAsia" w:ascii="宋体" w:hAnsi="宋体"/>
          <w:color w:val="auto"/>
          <w:kern w:val="0"/>
          <w:sz w:val="28"/>
          <w:szCs w:val="28"/>
          <w:lang w:val="en-US" w:eastAsia="zh-CN"/>
        </w:rPr>
        <w:t>5</w:t>
      </w:r>
      <w:r>
        <w:rPr>
          <w:rFonts w:hint="eastAsia" w:ascii="宋体" w:hAnsi="宋体" w:eastAsia="宋体"/>
          <w:color w:val="auto"/>
          <w:kern w:val="0"/>
          <w:sz w:val="28"/>
          <w:szCs w:val="28"/>
        </w:rPr>
        <w:t>.2 除非得到甲方的书面同意，乙方不得部分分包给他人</w:t>
      </w:r>
      <w:r>
        <w:rPr>
          <w:rFonts w:hint="eastAsia" w:ascii="宋体" w:hAnsi="宋体"/>
          <w:color w:val="auto"/>
          <w:kern w:val="0"/>
          <w:sz w:val="28"/>
          <w:szCs w:val="28"/>
          <w:lang w:eastAsia="zh-CN"/>
        </w:rPr>
        <w:t>服务</w:t>
      </w:r>
      <w:r>
        <w:rPr>
          <w:rFonts w:hint="eastAsia" w:ascii="宋体" w:hAnsi="宋体" w:eastAsia="宋体"/>
          <w:color w:val="auto"/>
          <w:kern w:val="0"/>
          <w:sz w:val="28"/>
          <w:szCs w:val="28"/>
        </w:rPr>
        <w:t>。</w:t>
      </w:r>
    </w:p>
    <w:p w14:paraId="4BA06231">
      <w:pPr>
        <w:widowControl/>
        <w:spacing w:line="520" w:lineRule="atLeast"/>
        <w:jc w:val="left"/>
        <w:rPr>
          <w:rFonts w:ascii="宋体" w:hAnsi="宋体" w:eastAsia="宋体"/>
          <w:color w:val="auto"/>
          <w:kern w:val="0"/>
          <w:sz w:val="28"/>
          <w:szCs w:val="28"/>
        </w:rPr>
      </w:pPr>
      <w:r>
        <w:rPr>
          <w:rFonts w:hint="eastAsia" w:ascii="宋体" w:hAnsi="宋体"/>
          <w:color w:val="auto"/>
          <w:kern w:val="0"/>
          <w:sz w:val="28"/>
          <w:szCs w:val="28"/>
          <w:lang w:val="en-US" w:eastAsia="zh-CN"/>
        </w:rPr>
        <w:t>5</w:t>
      </w:r>
      <w:r>
        <w:rPr>
          <w:rFonts w:hint="eastAsia" w:ascii="宋体" w:hAnsi="宋体" w:eastAsia="宋体"/>
          <w:color w:val="auto"/>
          <w:kern w:val="0"/>
          <w:sz w:val="28"/>
          <w:szCs w:val="28"/>
        </w:rPr>
        <w:t>.3如有转让和未经甲方同意的分包行为，甲方有权给予终止合同。</w:t>
      </w:r>
    </w:p>
    <w:p w14:paraId="7A9FC2D9">
      <w:pPr>
        <w:widowControl/>
        <w:spacing w:line="520" w:lineRule="atLeast"/>
        <w:jc w:val="left"/>
        <w:rPr>
          <w:rFonts w:ascii="宋体" w:hAnsi="宋体" w:eastAsia="宋体"/>
          <w:color w:val="auto"/>
          <w:kern w:val="0"/>
          <w:sz w:val="28"/>
          <w:szCs w:val="28"/>
        </w:rPr>
      </w:pPr>
      <w:r>
        <w:rPr>
          <w:rFonts w:hint="eastAsia" w:ascii="宋体" w:hAnsi="宋体"/>
          <w:b/>
          <w:bCs/>
          <w:color w:val="auto"/>
          <w:kern w:val="0"/>
          <w:sz w:val="28"/>
          <w:szCs w:val="28"/>
          <w:lang w:val="en-US" w:eastAsia="zh-CN"/>
        </w:rPr>
        <w:t>6</w:t>
      </w:r>
      <w:r>
        <w:rPr>
          <w:rFonts w:hint="eastAsia" w:ascii="宋体" w:hAnsi="宋体" w:eastAsia="宋体"/>
          <w:b/>
          <w:bCs/>
          <w:color w:val="auto"/>
          <w:kern w:val="0"/>
          <w:sz w:val="28"/>
          <w:szCs w:val="28"/>
        </w:rPr>
        <w:t>.</w:t>
      </w:r>
      <w:r>
        <w:rPr>
          <w:rFonts w:hint="eastAsia" w:ascii="宋体" w:hAnsi="宋体"/>
          <w:b/>
          <w:bCs/>
          <w:color w:val="auto"/>
          <w:kern w:val="0"/>
          <w:sz w:val="28"/>
          <w:szCs w:val="28"/>
          <w:lang w:eastAsia="zh-CN"/>
        </w:rPr>
        <w:t>服务周期</w:t>
      </w:r>
      <w:r>
        <w:rPr>
          <w:rFonts w:hint="eastAsia" w:ascii="宋体" w:hAnsi="宋体" w:eastAsia="宋体"/>
          <w:b/>
          <w:bCs/>
          <w:color w:val="auto"/>
          <w:kern w:val="0"/>
          <w:sz w:val="28"/>
          <w:szCs w:val="28"/>
        </w:rPr>
        <w:t>及实施地点</w:t>
      </w:r>
    </w:p>
    <w:p w14:paraId="6FBE38B0">
      <w:pPr>
        <w:widowControl/>
        <w:spacing w:line="520" w:lineRule="atLeast"/>
        <w:jc w:val="left"/>
        <w:rPr>
          <w:rFonts w:ascii="宋体" w:hAnsi="宋体" w:eastAsia="宋体"/>
          <w:color w:val="auto"/>
          <w:kern w:val="0"/>
          <w:sz w:val="28"/>
          <w:szCs w:val="28"/>
        </w:rPr>
      </w:pPr>
      <w:r>
        <w:rPr>
          <w:rFonts w:hint="eastAsia" w:ascii="宋体" w:hAnsi="宋体"/>
          <w:color w:val="auto"/>
          <w:kern w:val="0"/>
          <w:sz w:val="28"/>
          <w:szCs w:val="28"/>
          <w:lang w:val="en-US" w:eastAsia="zh-CN"/>
        </w:rPr>
        <w:t>6</w:t>
      </w:r>
      <w:r>
        <w:rPr>
          <w:rFonts w:hint="eastAsia" w:ascii="宋体" w:hAnsi="宋体" w:eastAsia="宋体"/>
          <w:color w:val="auto"/>
          <w:kern w:val="0"/>
          <w:sz w:val="28"/>
          <w:szCs w:val="28"/>
        </w:rPr>
        <w:t xml:space="preserve">.1 </w:t>
      </w:r>
      <w:r>
        <w:rPr>
          <w:rFonts w:hint="eastAsia" w:ascii="宋体" w:hAnsi="宋体"/>
          <w:color w:val="auto"/>
          <w:kern w:val="0"/>
          <w:sz w:val="28"/>
          <w:szCs w:val="28"/>
          <w:lang w:eastAsia="zh-CN"/>
        </w:rPr>
        <w:t>服务周</w:t>
      </w:r>
      <w:r>
        <w:rPr>
          <w:rFonts w:hint="eastAsia" w:ascii="宋体" w:hAnsi="宋体" w:eastAsia="宋体"/>
          <w:color w:val="auto"/>
          <w:kern w:val="0"/>
          <w:sz w:val="28"/>
          <w:szCs w:val="28"/>
        </w:rPr>
        <w:t xml:space="preserve">期： </w:t>
      </w:r>
    </w:p>
    <w:p w14:paraId="19551D1C">
      <w:pPr>
        <w:widowControl/>
        <w:spacing w:line="520" w:lineRule="atLeast"/>
        <w:jc w:val="left"/>
        <w:rPr>
          <w:rFonts w:ascii="宋体" w:hAnsi="宋体" w:eastAsia="宋体"/>
          <w:color w:val="auto"/>
          <w:kern w:val="0"/>
          <w:sz w:val="28"/>
          <w:szCs w:val="28"/>
        </w:rPr>
      </w:pPr>
      <w:r>
        <w:rPr>
          <w:rFonts w:hint="eastAsia" w:ascii="宋体" w:hAnsi="宋体"/>
          <w:color w:val="auto"/>
          <w:kern w:val="0"/>
          <w:sz w:val="28"/>
          <w:szCs w:val="28"/>
          <w:lang w:val="en-US" w:eastAsia="zh-CN"/>
        </w:rPr>
        <w:t>6</w:t>
      </w:r>
      <w:r>
        <w:rPr>
          <w:rFonts w:hint="eastAsia" w:ascii="宋体" w:hAnsi="宋体" w:eastAsia="宋体"/>
          <w:color w:val="auto"/>
          <w:kern w:val="0"/>
          <w:sz w:val="28"/>
          <w:szCs w:val="28"/>
        </w:rPr>
        <w:t>.</w:t>
      </w:r>
      <w:r>
        <w:rPr>
          <w:rFonts w:hint="eastAsia" w:ascii="宋体" w:hAnsi="宋体"/>
          <w:color w:val="auto"/>
          <w:kern w:val="0"/>
          <w:sz w:val="28"/>
          <w:szCs w:val="28"/>
          <w:lang w:val="en-US" w:eastAsia="zh-CN"/>
        </w:rPr>
        <w:t>2</w:t>
      </w:r>
      <w:r>
        <w:rPr>
          <w:rFonts w:hint="eastAsia" w:ascii="宋体" w:hAnsi="宋体" w:eastAsia="宋体"/>
          <w:color w:val="auto"/>
          <w:kern w:val="0"/>
          <w:sz w:val="28"/>
          <w:szCs w:val="28"/>
        </w:rPr>
        <w:t xml:space="preserve"> 实施地点： </w:t>
      </w:r>
    </w:p>
    <w:p w14:paraId="0CBAF483">
      <w:pPr>
        <w:widowControl/>
        <w:spacing w:line="520" w:lineRule="atLeast"/>
        <w:jc w:val="left"/>
        <w:rPr>
          <w:rFonts w:ascii="宋体" w:hAnsi="宋体" w:eastAsia="宋体"/>
          <w:color w:val="auto"/>
          <w:kern w:val="0"/>
          <w:sz w:val="28"/>
          <w:szCs w:val="28"/>
        </w:rPr>
      </w:pPr>
      <w:r>
        <w:rPr>
          <w:rFonts w:hint="eastAsia" w:ascii="宋体" w:hAnsi="宋体"/>
          <w:b/>
          <w:bCs/>
          <w:color w:val="auto"/>
          <w:kern w:val="0"/>
          <w:sz w:val="28"/>
          <w:szCs w:val="28"/>
          <w:lang w:val="en-US" w:eastAsia="zh-CN"/>
        </w:rPr>
        <w:t>7</w:t>
      </w:r>
      <w:r>
        <w:rPr>
          <w:rFonts w:hint="eastAsia" w:ascii="宋体" w:hAnsi="宋体" w:eastAsia="宋体"/>
          <w:b/>
          <w:bCs/>
          <w:color w:val="auto"/>
          <w:kern w:val="0"/>
          <w:sz w:val="28"/>
          <w:szCs w:val="28"/>
        </w:rPr>
        <w:t>.货款支付：</w:t>
      </w:r>
      <w:r>
        <w:rPr>
          <w:rFonts w:hint="eastAsia" w:ascii="宋体" w:hAnsi="宋体" w:eastAsia="宋体"/>
          <w:color w:val="auto"/>
          <w:kern w:val="0"/>
          <w:sz w:val="28"/>
          <w:szCs w:val="28"/>
        </w:rPr>
        <w:t xml:space="preserve">详见供应商须知前附表 </w:t>
      </w:r>
    </w:p>
    <w:p w14:paraId="7789E77D">
      <w:pPr>
        <w:widowControl/>
        <w:spacing w:line="520" w:lineRule="atLeast"/>
        <w:jc w:val="left"/>
        <w:rPr>
          <w:rFonts w:ascii="宋体" w:hAnsi="宋体" w:eastAsia="宋体"/>
          <w:color w:val="auto"/>
          <w:kern w:val="0"/>
          <w:sz w:val="28"/>
          <w:szCs w:val="28"/>
        </w:rPr>
      </w:pPr>
      <w:r>
        <w:rPr>
          <w:rFonts w:hint="eastAsia" w:ascii="宋体" w:hAnsi="宋体"/>
          <w:b/>
          <w:bCs/>
          <w:color w:val="auto"/>
          <w:kern w:val="0"/>
          <w:sz w:val="28"/>
          <w:szCs w:val="28"/>
          <w:lang w:val="en-US" w:eastAsia="zh-CN"/>
        </w:rPr>
        <w:t>8</w:t>
      </w:r>
      <w:r>
        <w:rPr>
          <w:rFonts w:hint="eastAsia" w:ascii="宋体" w:hAnsi="宋体" w:eastAsia="宋体"/>
          <w:b/>
          <w:bCs/>
          <w:color w:val="auto"/>
          <w:kern w:val="0"/>
          <w:sz w:val="28"/>
          <w:szCs w:val="28"/>
        </w:rPr>
        <w:t>.税费</w:t>
      </w:r>
    </w:p>
    <w:p w14:paraId="36625EDB">
      <w:pPr>
        <w:widowControl/>
        <w:spacing w:line="520" w:lineRule="atLeast"/>
        <w:ind w:firstLine="480"/>
        <w:jc w:val="left"/>
        <w:rPr>
          <w:rFonts w:ascii="宋体" w:hAnsi="宋体" w:eastAsia="宋体"/>
          <w:color w:val="auto"/>
          <w:kern w:val="0"/>
          <w:sz w:val="28"/>
          <w:szCs w:val="28"/>
        </w:rPr>
      </w:pPr>
      <w:r>
        <w:rPr>
          <w:rFonts w:hint="eastAsia" w:ascii="宋体" w:hAnsi="宋体" w:eastAsia="宋体"/>
          <w:color w:val="auto"/>
          <w:kern w:val="0"/>
          <w:sz w:val="28"/>
          <w:szCs w:val="28"/>
        </w:rPr>
        <w:t>本合同执行中相关的一切税费均由乙方负担。</w:t>
      </w:r>
    </w:p>
    <w:p w14:paraId="193AD075">
      <w:pPr>
        <w:widowControl/>
        <w:spacing w:line="520" w:lineRule="atLeast"/>
        <w:jc w:val="left"/>
        <w:rPr>
          <w:rFonts w:ascii="宋体" w:hAnsi="宋体" w:eastAsia="宋体"/>
          <w:color w:val="auto"/>
          <w:kern w:val="0"/>
          <w:sz w:val="28"/>
          <w:szCs w:val="28"/>
        </w:rPr>
      </w:pPr>
      <w:r>
        <w:rPr>
          <w:rFonts w:hint="eastAsia" w:ascii="宋体" w:hAnsi="宋体"/>
          <w:b/>
          <w:bCs/>
          <w:color w:val="auto"/>
          <w:kern w:val="0"/>
          <w:sz w:val="28"/>
          <w:szCs w:val="28"/>
          <w:lang w:val="en-US" w:eastAsia="zh-CN"/>
        </w:rPr>
        <w:t>9</w:t>
      </w:r>
      <w:r>
        <w:rPr>
          <w:rFonts w:hint="eastAsia" w:ascii="宋体" w:hAnsi="宋体" w:eastAsia="宋体"/>
          <w:b/>
          <w:bCs/>
          <w:color w:val="auto"/>
          <w:kern w:val="0"/>
          <w:sz w:val="28"/>
          <w:szCs w:val="28"/>
        </w:rPr>
        <w:t>.不可抗力事件处理</w:t>
      </w:r>
    </w:p>
    <w:p w14:paraId="576EE0C7">
      <w:pPr>
        <w:widowControl/>
        <w:spacing w:line="520" w:lineRule="atLeast"/>
        <w:ind w:firstLine="280" w:firstLineChars="100"/>
        <w:jc w:val="left"/>
        <w:rPr>
          <w:rFonts w:ascii="宋体" w:hAnsi="宋体" w:eastAsia="宋体"/>
          <w:color w:val="auto"/>
          <w:kern w:val="0"/>
          <w:sz w:val="28"/>
          <w:szCs w:val="28"/>
        </w:rPr>
      </w:pPr>
      <w:r>
        <w:rPr>
          <w:rFonts w:hint="eastAsia" w:ascii="宋体" w:hAnsi="宋体"/>
          <w:color w:val="auto"/>
          <w:kern w:val="0"/>
          <w:sz w:val="28"/>
          <w:szCs w:val="28"/>
          <w:lang w:val="en-US" w:eastAsia="zh-CN"/>
        </w:rPr>
        <w:t>9</w:t>
      </w:r>
      <w:r>
        <w:rPr>
          <w:rFonts w:hint="eastAsia" w:ascii="宋体" w:hAnsi="宋体" w:eastAsia="宋体"/>
          <w:color w:val="auto"/>
          <w:kern w:val="0"/>
          <w:sz w:val="28"/>
          <w:szCs w:val="28"/>
        </w:rPr>
        <w:t>.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21B5CB2E">
      <w:pPr>
        <w:widowControl/>
        <w:spacing w:line="520" w:lineRule="atLeast"/>
        <w:ind w:firstLine="480"/>
        <w:jc w:val="left"/>
        <w:rPr>
          <w:rFonts w:ascii="宋体" w:hAnsi="宋体" w:eastAsia="宋体"/>
          <w:color w:val="auto"/>
          <w:kern w:val="0"/>
          <w:sz w:val="28"/>
          <w:szCs w:val="28"/>
        </w:rPr>
      </w:pPr>
      <w:r>
        <w:rPr>
          <w:rFonts w:hint="eastAsia" w:ascii="宋体" w:hAnsi="宋体"/>
          <w:color w:val="auto"/>
          <w:kern w:val="0"/>
          <w:sz w:val="28"/>
          <w:szCs w:val="28"/>
          <w:lang w:val="en-US" w:eastAsia="zh-CN"/>
        </w:rPr>
        <w:t>9</w:t>
      </w:r>
      <w:r>
        <w:rPr>
          <w:rFonts w:hint="eastAsia" w:ascii="宋体" w:hAnsi="宋体" w:eastAsia="宋体"/>
          <w:color w:val="auto"/>
          <w:kern w:val="0"/>
          <w:sz w:val="28"/>
          <w:szCs w:val="28"/>
        </w:rPr>
        <w:t>.2 本合同中的不可抗力指不能预见、不能避免并不能克服的客观情况。包括但不限于：自然灾害如地震、台风、洪水、火灾；政府行为、法律规定或其适用的变化或者其他任何无法预见、避免或者控制的事件。</w:t>
      </w:r>
    </w:p>
    <w:p w14:paraId="26D4E9C6">
      <w:pPr>
        <w:widowControl/>
        <w:spacing w:line="520" w:lineRule="atLeast"/>
        <w:ind w:firstLine="480"/>
        <w:jc w:val="left"/>
        <w:rPr>
          <w:rFonts w:ascii="宋体" w:hAnsi="宋体" w:eastAsia="宋体"/>
          <w:color w:val="auto"/>
          <w:kern w:val="0"/>
          <w:sz w:val="28"/>
          <w:szCs w:val="28"/>
        </w:rPr>
      </w:pPr>
      <w:r>
        <w:rPr>
          <w:rFonts w:hint="eastAsia" w:ascii="宋体" w:hAnsi="宋体"/>
          <w:b/>
          <w:bCs/>
          <w:color w:val="auto"/>
          <w:kern w:val="0"/>
          <w:sz w:val="28"/>
          <w:szCs w:val="28"/>
          <w:lang w:val="en-US" w:eastAsia="zh-CN"/>
        </w:rPr>
        <w:t>10</w:t>
      </w:r>
      <w:r>
        <w:rPr>
          <w:rFonts w:hint="eastAsia" w:ascii="宋体" w:hAnsi="宋体" w:eastAsia="宋体"/>
          <w:b/>
          <w:bCs/>
          <w:color w:val="auto"/>
          <w:kern w:val="0"/>
          <w:sz w:val="28"/>
          <w:szCs w:val="28"/>
        </w:rPr>
        <w:t>.合同纠纷处理</w:t>
      </w:r>
    </w:p>
    <w:p w14:paraId="4433281E">
      <w:pPr>
        <w:widowControl/>
        <w:spacing w:line="520" w:lineRule="atLeast"/>
        <w:ind w:firstLine="480"/>
        <w:jc w:val="left"/>
        <w:rPr>
          <w:rFonts w:ascii="宋体" w:hAnsi="宋体" w:eastAsia="宋体"/>
          <w:color w:val="auto"/>
          <w:kern w:val="0"/>
          <w:sz w:val="28"/>
          <w:szCs w:val="28"/>
        </w:rPr>
      </w:pPr>
      <w:r>
        <w:rPr>
          <w:rFonts w:hint="eastAsia" w:ascii="宋体" w:hAnsi="宋体" w:eastAsia="宋体"/>
          <w:color w:val="auto"/>
          <w:kern w:val="0"/>
          <w:sz w:val="28"/>
          <w:szCs w:val="28"/>
        </w:rPr>
        <w:t>因本合同或与本合同有关的一切事项发生争议，由双方友好协商解决。协商不成的，任何一方均可选择以下方式解决：</w:t>
      </w:r>
    </w:p>
    <w:p w14:paraId="4D4EFE4E">
      <w:pPr>
        <w:widowControl/>
        <w:spacing w:line="520" w:lineRule="atLeast"/>
        <w:ind w:firstLine="480"/>
        <w:jc w:val="left"/>
        <w:rPr>
          <w:rFonts w:ascii="宋体" w:hAnsi="宋体" w:eastAsia="宋体"/>
          <w:color w:val="auto"/>
          <w:kern w:val="0"/>
          <w:sz w:val="28"/>
          <w:szCs w:val="28"/>
        </w:rPr>
      </w:pPr>
      <w:r>
        <w:rPr>
          <w:rFonts w:hint="eastAsia" w:ascii="宋体" w:hAnsi="宋体"/>
          <w:color w:val="auto"/>
          <w:kern w:val="0"/>
          <w:sz w:val="28"/>
          <w:szCs w:val="28"/>
          <w:lang w:val="en-US" w:eastAsia="zh-CN"/>
        </w:rPr>
        <w:t>10</w:t>
      </w:r>
      <w:r>
        <w:rPr>
          <w:rFonts w:hint="eastAsia" w:ascii="宋体" w:hAnsi="宋体" w:eastAsia="宋体"/>
          <w:color w:val="auto"/>
          <w:kern w:val="0"/>
          <w:sz w:val="28"/>
          <w:szCs w:val="28"/>
        </w:rPr>
        <w:t>.1 向合同签订地人民法院提起诉讼。</w:t>
      </w:r>
    </w:p>
    <w:p w14:paraId="5060C903">
      <w:pPr>
        <w:widowControl/>
        <w:spacing w:line="520" w:lineRule="atLeast"/>
        <w:ind w:firstLine="480"/>
        <w:jc w:val="left"/>
        <w:rPr>
          <w:rFonts w:ascii="宋体" w:hAnsi="宋体" w:eastAsia="宋体"/>
          <w:color w:val="auto"/>
          <w:kern w:val="0"/>
          <w:sz w:val="28"/>
          <w:szCs w:val="28"/>
        </w:rPr>
      </w:pPr>
      <w:r>
        <w:rPr>
          <w:rFonts w:hint="eastAsia" w:ascii="宋体" w:hAnsi="宋体"/>
          <w:b/>
          <w:bCs/>
          <w:color w:val="auto"/>
          <w:kern w:val="0"/>
          <w:sz w:val="28"/>
          <w:szCs w:val="28"/>
          <w:lang w:val="en-US" w:eastAsia="zh-CN"/>
        </w:rPr>
        <w:t>11</w:t>
      </w:r>
      <w:r>
        <w:rPr>
          <w:rFonts w:hint="eastAsia" w:ascii="宋体" w:hAnsi="宋体" w:eastAsia="宋体"/>
          <w:b/>
          <w:bCs/>
          <w:color w:val="auto"/>
          <w:kern w:val="0"/>
          <w:sz w:val="28"/>
          <w:szCs w:val="28"/>
        </w:rPr>
        <w:t>.违约解除合同</w:t>
      </w:r>
    </w:p>
    <w:p w14:paraId="676F515D">
      <w:pPr>
        <w:widowControl/>
        <w:spacing w:line="520" w:lineRule="atLeast"/>
        <w:ind w:firstLine="758" w:firstLineChars="271"/>
        <w:jc w:val="left"/>
        <w:rPr>
          <w:rFonts w:ascii="宋体" w:hAnsi="宋体" w:eastAsia="宋体"/>
          <w:color w:val="auto"/>
          <w:kern w:val="0"/>
          <w:sz w:val="28"/>
          <w:szCs w:val="28"/>
        </w:rPr>
      </w:pPr>
      <w:r>
        <w:rPr>
          <w:rFonts w:hint="eastAsia" w:ascii="宋体" w:hAnsi="宋体" w:eastAsia="宋体"/>
          <w:color w:val="auto"/>
          <w:kern w:val="0"/>
          <w:sz w:val="28"/>
          <w:szCs w:val="28"/>
        </w:rPr>
        <w:t>在乙方违约的情况下，甲方可向乙方发出书面通知，部分或全部终止合同，同时保留向对方追诉的权利。</w:t>
      </w:r>
    </w:p>
    <w:p w14:paraId="29BC6E54">
      <w:pPr>
        <w:widowControl/>
        <w:spacing w:line="520" w:lineRule="atLeast"/>
        <w:ind w:firstLine="360"/>
        <w:jc w:val="left"/>
        <w:rPr>
          <w:rFonts w:ascii="宋体" w:hAnsi="宋体" w:eastAsia="宋体"/>
          <w:color w:val="auto"/>
          <w:kern w:val="0"/>
          <w:sz w:val="28"/>
          <w:szCs w:val="28"/>
        </w:rPr>
      </w:pPr>
      <w:r>
        <w:rPr>
          <w:rFonts w:hint="eastAsia" w:ascii="宋体" w:hAnsi="宋体" w:eastAsia="宋体"/>
          <w:color w:val="auto"/>
          <w:kern w:val="0"/>
          <w:sz w:val="28"/>
          <w:szCs w:val="28"/>
        </w:rPr>
        <w:t xml:space="preserve"> </w:t>
      </w:r>
      <w:r>
        <w:rPr>
          <w:rFonts w:hint="eastAsia" w:ascii="宋体" w:hAnsi="宋体"/>
          <w:b/>
          <w:bCs/>
          <w:color w:val="auto"/>
          <w:kern w:val="0"/>
          <w:sz w:val="28"/>
          <w:szCs w:val="28"/>
          <w:lang w:val="en-US" w:eastAsia="zh-CN"/>
        </w:rPr>
        <w:t>12</w:t>
      </w:r>
      <w:r>
        <w:rPr>
          <w:rFonts w:hint="eastAsia" w:ascii="宋体" w:hAnsi="宋体" w:eastAsia="宋体"/>
          <w:b/>
          <w:bCs/>
          <w:color w:val="auto"/>
          <w:kern w:val="0"/>
          <w:sz w:val="28"/>
          <w:szCs w:val="28"/>
        </w:rPr>
        <w:t>.其他约定</w:t>
      </w:r>
    </w:p>
    <w:p w14:paraId="0ACF4B63">
      <w:pPr>
        <w:widowControl/>
        <w:spacing w:line="520" w:lineRule="atLeast"/>
        <w:ind w:firstLine="480"/>
        <w:jc w:val="left"/>
        <w:rPr>
          <w:rFonts w:ascii="宋体" w:hAnsi="宋体" w:eastAsia="宋体"/>
          <w:color w:val="auto"/>
          <w:kern w:val="0"/>
          <w:sz w:val="28"/>
          <w:szCs w:val="28"/>
        </w:rPr>
      </w:pPr>
      <w:r>
        <w:rPr>
          <w:rFonts w:hint="eastAsia" w:ascii="宋体" w:hAnsi="宋体"/>
          <w:color w:val="auto"/>
          <w:kern w:val="0"/>
          <w:sz w:val="28"/>
          <w:szCs w:val="28"/>
          <w:lang w:val="en-US" w:eastAsia="zh-CN"/>
        </w:rPr>
        <w:t>12</w:t>
      </w:r>
      <w:r>
        <w:rPr>
          <w:rFonts w:hint="eastAsia" w:ascii="宋体" w:hAnsi="宋体" w:eastAsia="宋体"/>
          <w:color w:val="auto"/>
          <w:kern w:val="0"/>
          <w:sz w:val="28"/>
          <w:szCs w:val="28"/>
        </w:rPr>
        <w:t>.1 本采购项目的招标文件、中标供应商的投标文件以及相关的澄清确认函（如果有的话）均为本合同不可分割的一部分，与本合同具有同等法律效力。</w:t>
      </w:r>
    </w:p>
    <w:p w14:paraId="2DBF8DEC">
      <w:pPr>
        <w:widowControl/>
        <w:spacing w:line="520" w:lineRule="atLeast"/>
        <w:ind w:firstLine="480"/>
        <w:jc w:val="left"/>
        <w:rPr>
          <w:rFonts w:ascii="宋体" w:hAnsi="宋体" w:eastAsia="宋体"/>
          <w:color w:val="auto"/>
          <w:kern w:val="0"/>
          <w:sz w:val="28"/>
          <w:szCs w:val="28"/>
        </w:rPr>
      </w:pPr>
      <w:r>
        <w:rPr>
          <w:rFonts w:hint="eastAsia" w:ascii="宋体" w:hAnsi="宋体"/>
          <w:color w:val="auto"/>
          <w:kern w:val="0"/>
          <w:sz w:val="28"/>
          <w:szCs w:val="28"/>
          <w:lang w:val="en-US" w:eastAsia="zh-CN"/>
        </w:rPr>
        <w:t>12</w:t>
      </w:r>
      <w:r>
        <w:rPr>
          <w:rFonts w:hint="eastAsia" w:ascii="宋体" w:hAnsi="宋体" w:eastAsia="宋体"/>
          <w:color w:val="auto"/>
          <w:kern w:val="0"/>
          <w:sz w:val="28"/>
          <w:szCs w:val="28"/>
        </w:rPr>
        <w:t>.2 本合同未尽事宜，双方另行补充。</w:t>
      </w:r>
    </w:p>
    <w:p w14:paraId="58092206">
      <w:pPr>
        <w:widowControl/>
        <w:spacing w:line="520" w:lineRule="atLeast"/>
        <w:ind w:firstLine="480"/>
        <w:jc w:val="left"/>
        <w:rPr>
          <w:rFonts w:ascii="宋体" w:hAnsi="宋体" w:eastAsia="宋体"/>
          <w:color w:val="auto"/>
          <w:kern w:val="0"/>
          <w:sz w:val="28"/>
          <w:szCs w:val="28"/>
        </w:rPr>
      </w:pPr>
      <w:r>
        <w:rPr>
          <w:rFonts w:hint="eastAsia" w:ascii="宋体" w:hAnsi="宋体"/>
          <w:color w:val="auto"/>
          <w:kern w:val="0"/>
          <w:sz w:val="28"/>
          <w:szCs w:val="28"/>
          <w:lang w:val="en-US" w:eastAsia="zh-CN"/>
        </w:rPr>
        <w:t>12</w:t>
      </w:r>
      <w:r>
        <w:rPr>
          <w:rFonts w:hint="eastAsia" w:ascii="宋体" w:hAnsi="宋体" w:eastAsia="宋体"/>
          <w:color w:val="auto"/>
          <w:kern w:val="0"/>
          <w:sz w:val="28"/>
          <w:szCs w:val="28"/>
        </w:rPr>
        <w:t>.</w:t>
      </w:r>
      <w:r>
        <w:rPr>
          <w:rFonts w:hint="eastAsia" w:ascii="宋体" w:hAnsi="宋体"/>
          <w:color w:val="auto"/>
          <w:kern w:val="0"/>
          <w:sz w:val="28"/>
          <w:szCs w:val="28"/>
          <w:lang w:val="en-US" w:eastAsia="zh-CN"/>
        </w:rPr>
        <w:t>3</w:t>
      </w:r>
      <w:r>
        <w:rPr>
          <w:rFonts w:hint="eastAsia" w:ascii="宋体" w:hAnsi="宋体" w:eastAsia="宋体"/>
          <w:color w:val="auto"/>
          <w:kern w:val="0"/>
          <w:sz w:val="28"/>
          <w:szCs w:val="28"/>
        </w:rPr>
        <w:t xml:space="preserve"> 签定地点：</w:t>
      </w:r>
    </w:p>
    <w:p w14:paraId="17D79B66">
      <w:pPr>
        <w:widowControl/>
        <w:spacing w:line="520" w:lineRule="atLeast"/>
        <w:ind w:firstLine="480"/>
        <w:jc w:val="left"/>
        <w:rPr>
          <w:rFonts w:ascii="宋体" w:hAnsi="宋体" w:eastAsia="宋体"/>
          <w:color w:val="auto"/>
          <w:kern w:val="0"/>
          <w:sz w:val="28"/>
          <w:szCs w:val="28"/>
        </w:rPr>
      </w:pPr>
      <w:r>
        <w:rPr>
          <w:rFonts w:hint="eastAsia" w:ascii="宋体" w:hAnsi="宋体" w:eastAsia="宋体"/>
          <w:color w:val="auto"/>
          <w:kern w:val="0"/>
          <w:sz w:val="28"/>
          <w:szCs w:val="28"/>
        </w:rPr>
        <w:t>甲 方：                          乙 方：</w:t>
      </w:r>
    </w:p>
    <w:p w14:paraId="5D052E8A">
      <w:pPr>
        <w:widowControl/>
        <w:spacing w:line="520" w:lineRule="atLeast"/>
        <w:ind w:firstLine="480"/>
        <w:jc w:val="left"/>
        <w:rPr>
          <w:rFonts w:ascii="宋体" w:hAnsi="宋体" w:eastAsia="宋体"/>
          <w:color w:val="auto"/>
          <w:kern w:val="0"/>
          <w:sz w:val="28"/>
          <w:szCs w:val="28"/>
        </w:rPr>
      </w:pPr>
      <w:r>
        <w:rPr>
          <w:rFonts w:hint="eastAsia" w:ascii="宋体" w:hAnsi="宋体" w:eastAsia="宋体"/>
          <w:color w:val="auto"/>
          <w:kern w:val="0"/>
          <w:sz w:val="28"/>
          <w:szCs w:val="28"/>
        </w:rPr>
        <w:t>单位地址：                       单位地址：</w:t>
      </w:r>
    </w:p>
    <w:p w14:paraId="654AE31F">
      <w:pPr>
        <w:widowControl/>
        <w:spacing w:line="520" w:lineRule="atLeast"/>
        <w:ind w:firstLine="480"/>
        <w:jc w:val="left"/>
        <w:rPr>
          <w:rFonts w:ascii="宋体" w:hAnsi="宋体" w:eastAsia="宋体"/>
          <w:color w:val="auto"/>
          <w:kern w:val="0"/>
          <w:sz w:val="28"/>
          <w:szCs w:val="28"/>
        </w:rPr>
      </w:pPr>
      <w:r>
        <w:rPr>
          <w:rFonts w:hint="eastAsia" w:ascii="宋体" w:hAnsi="宋体" w:eastAsia="宋体"/>
          <w:color w:val="auto"/>
          <w:kern w:val="0"/>
          <w:sz w:val="28"/>
          <w:szCs w:val="28"/>
        </w:rPr>
        <w:t>法定代表人：                     法定代表人：</w:t>
      </w:r>
    </w:p>
    <w:p w14:paraId="1CB7FA22">
      <w:pPr>
        <w:widowControl/>
        <w:spacing w:line="520" w:lineRule="atLeast"/>
        <w:ind w:firstLine="480"/>
        <w:jc w:val="left"/>
        <w:rPr>
          <w:rFonts w:ascii="宋体" w:hAnsi="宋体" w:eastAsia="宋体"/>
          <w:color w:val="auto"/>
          <w:kern w:val="0"/>
          <w:sz w:val="28"/>
          <w:szCs w:val="28"/>
        </w:rPr>
      </w:pPr>
      <w:r>
        <w:rPr>
          <w:rFonts w:hint="eastAsia" w:ascii="宋体" w:hAnsi="宋体" w:eastAsia="宋体"/>
          <w:color w:val="auto"/>
          <w:kern w:val="0"/>
          <w:sz w:val="28"/>
          <w:szCs w:val="28"/>
        </w:rPr>
        <w:t>委托代理人：                     委托代理人：</w:t>
      </w:r>
    </w:p>
    <w:p w14:paraId="33F31E1E">
      <w:pPr>
        <w:widowControl/>
        <w:spacing w:line="520" w:lineRule="atLeast"/>
        <w:ind w:firstLine="480"/>
        <w:jc w:val="left"/>
        <w:rPr>
          <w:rFonts w:ascii="宋体" w:hAnsi="宋体" w:eastAsia="宋体"/>
          <w:color w:val="auto"/>
          <w:kern w:val="0"/>
          <w:sz w:val="28"/>
          <w:szCs w:val="28"/>
        </w:rPr>
      </w:pPr>
      <w:r>
        <w:rPr>
          <w:rFonts w:hint="eastAsia" w:ascii="宋体" w:hAnsi="宋体" w:eastAsia="宋体"/>
          <w:color w:val="auto"/>
          <w:kern w:val="0"/>
          <w:sz w:val="28"/>
          <w:szCs w:val="28"/>
        </w:rPr>
        <w:t>电 话：                          电 话：</w:t>
      </w:r>
    </w:p>
    <w:p w14:paraId="3E48F2B2">
      <w:pPr>
        <w:widowControl/>
        <w:spacing w:line="520" w:lineRule="atLeast"/>
        <w:ind w:firstLine="4900" w:firstLineChars="1750"/>
        <w:jc w:val="left"/>
        <w:rPr>
          <w:rFonts w:hint="eastAsia" w:ascii="宋体" w:hAnsi="宋体" w:eastAsia="宋体"/>
          <w:color w:val="auto"/>
          <w:kern w:val="0"/>
          <w:sz w:val="28"/>
          <w:szCs w:val="28"/>
        </w:rPr>
      </w:pPr>
    </w:p>
    <w:p w14:paraId="1AE35EC2">
      <w:pPr>
        <w:widowControl/>
        <w:spacing w:line="520" w:lineRule="atLeast"/>
        <w:ind w:firstLine="4900" w:firstLineChars="1750"/>
        <w:jc w:val="left"/>
        <w:rPr>
          <w:rFonts w:ascii="宋体" w:hAnsi="宋体" w:eastAsia="宋体"/>
          <w:color w:val="auto"/>
          <w:kern w:val="0"/>
          <w:sz w:val="28"/>
          <w:szCs w:val="28"/>
        </w:rPr>
      </w:pPr>
      <w:r>
        <w:rPr>
          <w:rFonts w:hint="eastAsia" w:ascii="宋体" w:hAnsi="宋体" w:eastAsia="宋体"/>
          <w:color w:val="auto"/>
          <w:kern w:val="0"/>
          <w:sz w:val="28"/>
          <w:szCs w:val="28"/>
        </w:rPr>
        <w:t>签订日期： 年 月 日</w:t>
      </w:r>
    </w:p>
    <w:p w14:paraId="146DEAFC">
      <w:pPr>
        <w:widowControl/>
        <w:rPr>
          <w:rFonts w:ascii="宋体" w:hAnsi="宋体" w:eastAsia="宋体"/>
          <w:b/>
          <w:bCs/>
          <w:color w:val="auto"/>
          <w:kern w:val="0"/>
          <w:sz w:val="44"/>
          <w:szCs w:val="44"/>
        </w:rPr>
      </w:pPr>
    </w:p>
    <w:p w14:paraId="566AB27B">
      <w:pPr>
        <w:widowControl/>
        <w:jc w:val="center"/>
        <w:rPr>
          <w:rFonts w:ascii="宋体" w:hAnsi="宋体" w:eastAsia="宋体"/>
          <w:b/>
          <w:bCs/>
          <w:color w:val="auto"/>
          <w:kern w:val="0"/>
          <w:sz w:val="44"/>
          <w:szCs w:val="44"/>
        </w:rPr>
      </w:pPr>
    </w:p>
    <w:p w14:paraId="0E25A960">
      <w:pPr>
        <w:widowControl/>
        <w:jc w:val="center"/>
        <w:rPr>
          <w:rFonts w:hint="eastAsia" w:ascii="宋体" w:hAnsi="宋体" w:eastAsia="宋体"/>
          <w:b/>
          <w:bCs/>
          <w:color w:val="auto"/>
          <w:kern w:val="0"/>
          <w:sz w:val="44"/>
          <w:szCs w:val="44"/>
          <w:lang w:eastAsia="zh-CN"/>
        </w:rPr>
      </w:pPr>
      <w:r>
        <w:rPr>
          <w:rFonts w:hint="eastAsia" w:ascii="宋体" w:hAnsi="宋体"/>
          <w:b/>
          <w:bCs/>
          <w:color w:val="auto"/>
          <w:kern w:val="0"/>
          <w:sz w:val="44"/>
          <w:szCs w:val="44"/>
          <w:lang w:eastAsia="zh-CN"/>
        </w:rPr>
        <w:t>第六章</w:t>
      </w:r>
    </w:p>
    <w:p w14:paraId="37DEC4FB">
      <w:pPr>
        <w:pStyle w:val="13"/>
        <w:rPr>
          <w:rFonts w:ascii="宋体" w:hAnsi="宋体" w:eastAsia="宋体"/>
          <w:b/>
          <w:bCs/>
          <w:color w:val="auto"/>
          <w:kern w:val="0"/>
          <w:sz w:val="44"/>
          <w:szCs w:val="44"/>
        </w:rPr>
      </w:pPr>
    </w:p>
    <w:p w14:paraId="26C74297">
      <w:pPr>
        <w:widowControl/>
        <w:jc w:val="center"/>
        <w:rPr>
          <w:rFonts w:hint="eastAsia" w:ascii="宋体" w:hAnsi="宋体" w:eastAsia="宋体"/>
          <w:b/>
          <w:bCs/>
          <w:color w:val="auto"/>
          <w:kern w:val="0"/>
          <w:sz w:val="72"/>
          <w:szCs w:val="72"/>
        </w:rPr>
      </w:pPr>
      <w:r>
        <w:rPr>
          <w:rFonts w:hint="eastAsia" w:ascii="宋体" w:hAnsi="宋体" w:eastAsia="宋体"/>
          <w:b/>
          <w:bCs/>
          <w:color w:val="auto"/>
          <w:kern w:val="0"/>
          <w:sz w:val="72"/>
          <w:szCs w:val="72"/>
          <w:lang w:val="en-US" w:eastAsia="zh-CN"/>
        </w:rPr>
        <w:t xml:space="preserve"> </w:t>
      </w:r>
      <w:r>
        <w:rPr>
          <w:rFonts w:hint="eastAsia" w:ascii="宋体" w:hAnsi="宋体" w:eastAsia="宋体"/>
          <w:b/>
          <w:bCs/>
          <w:color w:val="auto"/>
          <w:kern w:val="0"/>
          <w:sz w:val="72"/>
          <w:szCs w:val="72"/>
        </w:rPr>
        <w:t>投标文件格式</w:t>
      </w:r>
    </w:p>
    <w:p w14:paraId="55664A09">
      <w:pPr>
        <w:widowControl/>
        <w:numPr>
          <w:ilvl w:val="0"/>
          <w:numId w:val="0"/>
        </w:numPr>
        <w:jc w:val="both"/>
        <w:outlineLvl w:val="0"/>
        <w:rPr>
          <w:rFonts w:hint="eastAsia" w:ascii="宋体" w:hAnsi="宋体" w:eastAsia="宋体"/>
          <w:b/>
          <w:bCs/>
          <w:color w:val="auto"/>
          <w:kern w:val="0"/>
          <w:sz w:val="44"/>
          <w:szCs w:val="44"/>
        </w:rPr>
      </w:pPr>
    </w:p>
    <w:p w14:paraId="2003A479">
      <w:pPr>
        <w:widowControl/>
        <w:jc w:val="center"/>
        <w:rPr>
          <w:rFonts w:ascii="宋体" w:hAnsi="宋体" w:eastAsia="宋体"/>
          <w:b/>
          <w:bCs/>
          <w:color w:val="auto"/>
          <w:kern w:val="0"/>
          <w:szCs w:val="21"/>
        </w:rPr>
      </w:pPr>
    </w:p>
    <w:p w14:paraId="1B2056B5">
      <w:pPr>
        <w:widowControl/>
        <w:jc w:val="center"/>
        <w:rPr>
          <w:rFonts w:ascii="宋体" w:hAnsi="宋体" w:eastAsia="宋体"/>
          <w:b/>
          <w:bCs/>
          <w:color w:val="auto"/>
          <w:kern w:val="0"/>
          <w:szCs w:val="21"/>
        </w:rPr>
      </w:pPr>
    </w:p>
    <w:p w14:paraId="0DB5C97F">
      <w:pPr>
        <w:widowControl/>
        <w:jc w:val="center"/>
        <w:rPr>
          <w:rFonts w:hint="eastAsia" w:ascii="宋体" w:hAnsi="宋体" w:eastAsia="宋体"/>
          <w:b/>
          <w:bCs/>
          <w:color w:val="auto"/>
          <w:kern w:val="0"/>
          <w:sz w:val="28"/>
          <w:szCs w:val="28"/>
          <w:lang w:val="en-US" w:eastAsia="zh-CN"/>
        </w:rPr>
      </w:pPr>
      <w:r>
        <w:rPr>
          <w:rFonts w:hint="eastAsia" w:ascii="宋体" w:hAnsi="宋体" w:eastAsia="宋体"/>
          <w:b/>
          <w:color w:val="auto"/>
          <w:kern w:val="0"/>
          <w:sz w:val="32"/>
          <w:szCs w:val="32"/>
        </w:rPr>
        <w:t>（项目名称）</w:t>
      </w:r>
    </w:p>
    <w:p w14:paraId="4E7D9E27">
      <w:pPr>
        <w:widowControl/>
        <w:jc w:val="both"/>
        <w:rPr>
          <w:rFonts w:ascii="宋体" w:hAnsi="宋体" w:eastAsia="宋体"/>
          <w:b/>
          <w:bCs/>
          <w:color w:val="auto"/>
          <w:kern w:val="0"/>
          <w:sz w:val="44"/>
          <w:szCs w:val="44"/>
        </w:rPr>
      </w:pPr>
    </w:p>
    <w:p w14:paraId="1961699D">
      <w:pPr>
        <w:widowControl/>
        <w:jc w:val="center"/>
        <w:rPr>
          <w:rFonts w:hint="eastAsia" w:ascii="宋体" w:hAnsi="宋体" w:eastAsia="宋体"/>
          <w:b/>
          <w:bCs/>
          <w:color w:val="auto"/>
          <w:kern w:val="0"/>
          <w:sz w:val="56"/>
          <w:szCs w:val="56"/>
        </w:rPr>
      </w:pPr>
      <w:r>
        <w:rPr>
          <w:rFonts w:hint="eastAsia" w:ascii="宋体" w:hAnsi="宋体"/>
          <w:b/>
          <w:bCs/>
          <w:color w:val="auto"/>
          <w:kern w:val="0"/>
          <w:sz w:val="56"/>
          <w:szCs w:val="56"/>
          <w:lang w:val="en-US" w:eastAsia="zh-CN"/>
        </w:rPr>
        <w:t>投 标</w:t>
      </w:r>
      <w:r>
        <w:rPr>
          <w:rFonts w:hint="eastAsia" w:ascii="宋体" w:hAnsi="宋体" w:eastAsia="宋体"/>
          <w:b/>
          <w:bCs/>
          <w:color w:val="auto"/>
          <w:kern w:val="0"/>
          <w:sz w:val="56"/>
          <w:szCs w:val="56"/>
        </w:rPr>
        <w:t xml:space="preserve"> 文 件</w:t>
      </w:r>
    </w:p>
    <w:p w14:paraId="7ABD078A">
      <w:pPr>
        <w:pStyle w:val="10"/>
        <w:rPr>
          <w:color w:val="auto"/>
        </w:rPr>
      </w:pPr>
    </w:p>
    <w:p w14:paraId="708EF696">
      <w:pPr>
        <w:widowControl/>
        <w:jc w:val="center"/>
        <w:outlineLvl w:val="0"/>
        <w:rPr>
          <w:rFonts w:hint="eastAsia" w:ascii="宋体" w:hAnsi="宋体" w:eastAsia="宋体"/>
          <w:b/>
          <w:color w:val="auto"/>
          <w:kern w:val="0"/>
          <w:sz w:val="32"/>
          <w:szCs w:val="32"/>
          <w:lang w:val="en-US" w:eastAsia="zh-CN"/>
        </w:rPr>
      </w:pPr>
      <w:r>
        <w:rPr>
          <w:rFonts w:hint="eastAsia" w:ascii="宋体" w:hAnsi="宋体" w:eastAsia="宋体"/>
          <w:b/>
          <w:color w:val="auto"/>
          <w:kern w:val="0"/>
          <w:sz w:val="32"/>
          <w:szCs w:val="32"/>
          <w:lang w:val="en-US" w:eastAsia="zh-CN"/>
        </w:rPr>
        <w:t>项目编号：</w:t>
      </w:r>
    </w:p>
    <w:p w14:paraId="78780A79">
      <w:pPr>
        <w:widowControl/>
        <w:jc w:val="center"/>
        <w:rPr>
          <w:rFonts w:ascii="宋体" w:hAnsi="宋体" w:eastAsia="宋体"/>
          <w:color w:val="auto"/>
          <w:kern w:val="0"/>
          <w:sz w:val="72"/>
          <w:szCs w:val="72"/>
        </w:rPr>
      </w:pPr>
    </w:p>
    <w:p w14:paraId="6B0CE28F">
      <w:pPr>
        <w:widowControl/>
        <w:spacing w:line="480" w:lineRule="auto"/>
        <w:ind w:firstLine="1090"/>
        <w:rPr>
          <w:rFonts w:ascii="宋体" w:hAnsi="宋体" w:eastAsia="宋体"/>
          <w:color w:val="auto"/>
          <w:kern w:val="0"/>
          <w:sz w:val="28"/>
          <w:szCs w:val="28"/>
        </w:rPr>
      </w:pPr>
    </w:p>
    <w:p w14:paraId="0B328B1D">
      <w:pPr>
        <w:widowControl/>
        <w:spacing w:line="480" w:lineRule="auto"/>
        <w:ind w:firstLine="1090"/>
        <w:rPr>
          <w:rFonts w:ascii="宋体" w:hAnsi="宋体" w:eastAsia="宋体"/>
          <w:color w:val="auto"/>
          <w:kern w:val="0"/>
          <w:sz w:val="28"/>
          <w:szCs w:val="28"/>
        </w:rPr>
      </w:pPr>
    </w:p>
    <w:p w14:paraId="4FA92220">
      <w:pPr>
        <w:widowControl/>
        <w:spacing w:line="480" w:lineRule="auto"/>
        <w:ind w:firstLine="1090"/>
        <w:rPr>
          <w:rFonts w:ascii="宋体" w:hAnsi="宋体" w:eastAsia="宋体"/>
          <w:color w:val="auto"/>
          <w:kern w:val="0"/>
          <w:sz w:val="28"/>
          <w:szCs w:val="28"/>
        </w:rPr>
      </w:pPr>
    </w:p>
    <w:p w14:paraId="20B24839">
      <w:pPr>
        <w:widowControl/>
        <w:spacing w:line="480" w:lineRule="auto"/>
        <w:ind w:firstLine="1090"/>
        <w:rPr>
          <w:rFonts w:ascii="宋体" w:hAnsi="宋体" w:eastAsia="宋体"/>
          <w:color w:val="auto"/>
          <w:kern w:val="0"/>
          <w:sz w:val="20"/>
        </w:rPr>
      </w:pPr>
    </w:p>
    <w:p w14:paraId="6CE807E9">
      <w:pPr>
        <w:widowControl/>
        <w:spacing w:line="480" w:lineRule="auto"/>
        <w:rPr>
          <w:rFonts w:ascii="宋体" w:hAnsi="宋体" w:eastAsia="宋体"/>
          <w:color w:val="auto"/>
          <w:kern w:val="0"/>
          <w:sz w:val="20"/>
        </w:rPr>
      </w:pPr>
    </w:p>
    <w:p w14:paraId="44593DF8">
      <w:pPr>
        <w:widowControl/>
        <w:spacing w:line="480" w:lineRule="auto"/>
        <w:ind w:firstLine="980" w:firstLineChars="350"/>
        <w:rPr>
          <w:rFonts w:ascii="宋体" w:hAnsi="宋体" w:eastAsia="宋体"/>
          <w:color w:val="auto"/>
          <w:kern w:val="0"/>
          <w:sz w:val="20"/>
        </w:rPr>
      </w:pPr>
      <w:r>
        <w:rPr>
          <w:rFonts w:hint="eastAsia" w:ascii="宋体" w:hAnsi="宋体" w:eastAsia="宋体"/>
          <w:color w:val="auto"/>
          <w:kern w:val="0"/>
          <w:sz w:val="28"/>
          <w:szCs w:val="28"/>
        </w:rPr>
        <w:t>投标供应商：（</w:t>
      </w:r>
      <w:r>
        <w:rPr>
          <w:rFonts w:hint="eastAsia" w:ascii="宋体" w:hAnsi="宋体"/>
          <w:color w:val="auto"/>
          <w:kern w:val="0"/>
          <w:sz w:val="28"/>
          <w:szCs w:val="28"/>
          <w:lang w:val="en-US" w:eastAsia="zh-CN"/>
        </w:rPr>
        <w:t>签</w:t>
      </w:r>
      <w:r>
        <w:rPr>
          <w:rFonts w:hint="eastAsia" w:ascii="宋体" w:hAnsi="宋体" w:eastAsia="宋体"/>
          <w:color w:val="auto"/>
          <w:kern w:val="0"/>
          <w:sz w:val="28"/>
          <w:szCs w:val="28"/>
        </w:rPr>
        <w:t>章）</w:t>
      </w:r>
    </w:p>
    <w:p w14:paraId="4FD2239F">
      <w:pPr>
        <w:widowControl/>
        <w:spacing w:line="480" w:lineRule="auto"/>
        <w:ind w:firstLine="980" w:firstLineChars="350"/>
        <w:rPr>
          <w:rFonts w:ascii="宋体" w:hAnsi="宋体" w:eastAsia="宋体"/>
          <w:color w:val="auto"/>
          <w:kern w:val="0"/>
          <w:sz w:val="20"/>
        </w:rPr>
      </w:pPr>
      <w:r>
        <w:rPr>
          <w:rFonts w:hint="eastAsia" w:ascii="宋体" w:hAnsi="宋体" w:eastAsia="宋体"/>
          <w:color w:val="auto"/>
          <w:kern w:val="0"/>
          <w:sz w:val="28"/>
          <w:szCs w:val="28"/>
        </w:rPr>
        <w:t>法定代表人：（电子签章）</w:t>
      </w:r>
    </w:p>
    <w:p w14:paraId="06DBD9F9">
      <w:pPr>
        <w:widowControl/>
        <w:ind w:firstLine="980" w:firstLineChars="350"/>
        <w:rPr>
          <w:rFonts w:ascii="宋体" w:hAnsi="宋体" w:eastAsia="宋体"/>
          <w:color w:val="auto"/>
          <w:kern w:val="0"/>
          <w:sz w:val="20"/>
        </w:rPr>
      </w:pPr>
      <w:r>
        <w:rPr>
          <w:rFonts w:hint="eastAsia" w:ascii="宋体" w:hAnsi="宋体" w:eastAsia="宋体"/>
          <w:color w:val="auto"/>
          <w:kern w:val="0"/>
          <w:sz w:val="28"/>
          <w:szCs w:val="28"/>
        </w:rPr>
        <w:t>日 期：</w:t>
      </w:r>
      <w:r>
        <w:rPr>
          <w:rFonts w:hint="eastAsia" w:ascii="宋体" w:hAnsi="宋体"/>
          <w:color w:val="auto"/>
          <w:kern w:val="0"/>
          <w:sz w:val="28"/>
          <w:szCs w:val="28"/>
          <w:lang w:val="en-US" w:eastAsia="zh-CN"/>
        </w:rPr>
        <w:t xml:space="preserve"> </w:t>
      </w:r>
      <w:r>
        <w:rPr>
          <w:rFonts w:hint="eastAsia" w:ascii="宋体" w:hAnsi="宋体" w:eastAsia="宋体"/>
          <w:color w:val="auto"/>
          <w:kern w:val="0"/>
          <w:sz w:val="28"/>
          <w:szCs w:val="28"/>
        </w:rPr>
        <w:t>年</w:t>
      </w:r>
      <w:r>
        <w:rPr>
          <w:rFonts w:hint="eastAsia" w:ascii="宋体" w:hAnsi="宋体"/>
          <w:color w:val="auto"/>
          <w:kern w:val="0"/>
          <w:sz w:val="28"/>
          <w:szCs w:val="28"/>
          <w:lang w:val="en-US" w:eastAsia="zh-CN"/>
        </w:rPr>
        <w:t xml:space="preserve"> </w:t>
      </w:r>
      <w:r>
        <w:rPr>
          <w:rFonts w:hint="eastAsia" w:ascii="宋体" w:hAnsi="宋体" w:eastAsia="宋体"/>
          <w:color w:val="auto"/>
          <w:kern w:val="0"/>
          <w:sz w:val="28"/>
          <w:szCs w:val="28"/>
        </w:rPr>
        <w:t>月</w:t>
      </w:r>
      <w:r>
        <w:rPr>
          <w:rFonts w:hint="eastAsia" w:ascii="宋体" w:hAnsi="宋体"/>
          <w:color w:val="auto"/>
          <w:kern w:val="0"/>
          <w:sz w:val="28"/>
          <w:szCs w:val="28"/>
          <w:lang w:val="en-US" w:eastAsia="zh-CN"/>
        </w:rPr>
        <w:t xml:space="preserve"> </w:t>
      </w:r>
      <w:r>
        <w:rPr>
          <w:rFonts w:hint="eastAsia" w:ascii="宋体" w:hAnsi="宋体" w:eastAsia="宋体"/>
          <w:color w:val="auto"/>
          <w:kern w:val="0"/>
          <w:sz w:val="28"/>
          <w:szCs w:val="28"/>
        </w:rPr>
        <w:t>日</w:t>
      </w:r>
    </w:p>
    <w:p w14:paraId="2026600F">
      <w:pPr>
        <w:widowControl/>
        <w:rPr>
          <w:rFonts w:ascii="宋体" w:hAnsi="宋体" w:eastAsia="宋体"/>
          <w:b/>
          <w:bCs/>
          <w:color w:val="auto"/>
          <w:kern w:val="0"/>
          <w:sz w:val="24"/>
          <w:szCs w:val="24"/>
        </w:rPr>
      </w:pPr>
    </w:p>
    <w:p w14:paraId="76D2A0AA">
      <w:pPr>
        <w:widowControl/>
        <w:jc w:val="center"/>
        <w:rPr>
          <w:rFonts w:ascii="Times New Roman" w:hAnsi="Times New Roman" w:cs="Times New Roman"/>
          <w:color w:val="auto"/>
        </w:rPr>
      </w:pPr>
      <w:r>
        <w:rPr>
          <w:rFonts w:ascii="Times New Roman" w:hAnsi="Times New Roman" w:cs="Times New Roman"/>
          <w:b/>
          <w:color w:val="auto"/>
          <w:sz w:val="32"/>
          <w:szCs w:val="32"/>
          <w:lang w:eastAsia="zh-CN"/>
        </w:rPr>
        <w:br w:type="page"/>
      </w:r>
      <w:r>
        <w:rPr>
          <w:rFonts w:ascii="Times New Roman" w:hAnsi="Times New Roman" w:cs="Times New Roman"/>
          <w:b/>
          <w:color w:val="auto"/>
          <w:sz w:val="32"/>
          <w:szCs w:val="32"/>
          <w:lang w:eastAsia="zh-CN"/>
        </w:rPr>
        <w:t>目  录</w:t>
      </w:r>
    </w:p>
    <w:p w14:paraId="3A63DE43">
      <w:pPr>
        <w:spacing w:line="360" w:lineRule="auto"/>
        <w:ind w:firstLine="480"/>
        <w:outlineLvl w:val="0"/>
        <w:rPr>
          <w:rFonts w:ascii="Times New Roman" w:hAnsi="Times New Roman" w:cs="Times New Roman"/>
          <w:color w:val="auto"/>
        </w:rPr>
      </w:pPr>
      <w:r>
        <w:rPr>
          <w:rFonts w:ascii="Times New Roman" w:hAnsi="Times New Roman" w:cs="Times New Roman"/>
          <w:color w:val="auto"/>
          <w:sz w:val="24"/>
          <w:szCs w:val="24"/>
          <w:lang w:eastAsia="zh-CN"/>
        </w:rPr>
        <w:t>一、</w:t>
      </w:r>
      <w:r>
        <w:rPr>
          <w:rFonts w:ascii="Times New Roman" w:hAnsi="Times New Roman" w:cs="Times New Roman"/>
          <w:color w:val="auto"/>
          <w:sz w:val="24"/>
          <w:szCs w:val="24"/>
        </w:rPr>
        <w:t>投</w:t>
      </w:r>
      <w:r>
        <w:rPr>
          <w:rFonts w:ascii="Times New Roman" w:hAnsi="Times New Roman" w:cs="Times New Roman"/>
          <w:color w:val="auto"/>
          <w:sz w:val="24"/>
          <w:szCs w:val="24"/>
          <w:lang w:eastAsia="zh-CN"/>
        </w:rPr>
        <w:t>标</w:t>
      </w:r>
      <w:r>
        <w:rPr>
          <w:rFonts w:ascii="Times New Roman" w:hAnsi="Times New Roman" w:cs="Times New Roman"/>
          <w:color w:val="auto"/>
          <w:sz w:val="24"/>
          <w:szCs w:val="24"/>
        </w:rPr>
        <w:t>函</w:t>
      </w:r>
    </w:p>
    <w:p w14:paraId="6BA3FF46">
      <w:pPr>
        <w:spacing w:line="360" w:lineRule="auto"/>
        <w:ind w:firstLine="480"/>
        <w:outlineLvl w:val="0"/>
        <w:rPr>
          <w:rFonts w:ascii="Times New Roman" w:hAnsi="Times New Roman" w:cs="Times New Roman"/>
          <w:color w:val="auto"/>
        </w:rPr>
      </w:pPr>
      <w:r>
        <w:rPr>
          <w:rFonts w:ascii="Times New Roman" w:hAnsi="Times New Roman" w:cs="Times New Roman"/>
          <w:color w:val="auto"/>
          <w:sz w:val="24"/>
          <w:szCs w:val="24"/>
          <w:lang w:eastAsia="zh-CN"/>
        </w:rPr>
        <w:t>二、</w:t>
      </w:r>
      <w:r>
        <w:rPr>
          <w:rFonts w:ascii="Times New Roman" w:hAnsi="Times New Roman" w:cs="Times New Roman"/>
          <w:color w:val="auto"/>
          <w:sz w:val="24"/>
          <w:szCs w:val="24"/>
        </w:rPr>
        <w:t>投标报价</w:t>
      </w:r>
    </w:p>
    <w:p w14:paraId="35DEE6B3">
      <w:pPr>
        <w:spacing w:line="360" w:lineRule="auto"/>
        <w:ind w:firstLine="480"/>
        <w:outlineLvl w:val="0"/>
        <w:rPr>
          <w:rFonts w:ascii="Times New Roman" w:hAnsi="Times New Roman" w:cs="Times New Roman"/>
          <w:color w:val="auto"/>
        </w:rPr>
      </w:pPr>
      <w:r>
        <w:rPr>
          <w:rFonts w:ascii="Times New Roman" w:hAnsi="Times New Roman" w:cs="Times New Roman"/>
          <w:color w:val="auto"/>
          <w:sz w:val="24"/>
          <w:szCs w:val="24"/>
        </w:rPr>
        <w:t>三、法定代表人身份证明</w:t>
      </w:r>
    </w:p>
    <w:p w14:paraId="1EFBBA85">
      <w:pPr>
        <w:spacing w:line="360" w:lineRule="auto"/>
        <w:ind w:firstLine="480"/>
        <w:outlineLvl w:val="0"/>
        <w:rPr>
          <w:rFonts w:ascii="Times New Roman" w:hAnsi="Times New Roman" w:cs="Times New Roman"/>
          <w:color w:val="auto"/>
        </w:rPr>
      </w:pPr>
      <w:r>
        <w:rPr>
          <w:rFonts w:ascii="Times New Roman" w:hAnsi="Times New Roman" w:cs="Times New Roman"/>
          <w:color w:val="auto"/>
          <w:sz w:val="24"/>
          <w:szCs w:val="24"/>
        </w:rPr>
        <w:t>四、授权委托书</w:t>
      </w:r>
    </w:p>
    <w:p w14:paraId="24849566">
      <w:pPr>
        <w:spacing w:line="360" w:lineRule="auto"/>
        <w:ind w:firstLine="480"/>
        <w:outlineLvl w:val="0"/>
        <w:rPr>
          <w:rFonts w:ascii="Times New Roman" w:hAnsi="Times New Roman" w:cs="Times New Roman"/>
          <w:color w:val="auto"/>
        </w:rPr>
      </w:pPr>
      <w:r>
        <w:rPr>
          <w:rFonts w:ascii="Times New Roman" w:hAnsi="Times New Roman" w:cs="Times New Roman"/>
          <w:color w:val="auto"/>
          <w:sz w:val="24"/>
          <w:szCs w:val="24"/>
        </w:rPr>
        <w:t>五、业绩一览表及证明材料</w:t>
      </w:r>
    </w:p>
    <w:p w14:paraId="5B2278CF">
      <w:pPr>
        <w:spacing w:line="360" w:lineRule="auto"/>
        <w:ind w:firstLine="480"/>
        <w:outlineLvl w:val="0"/>
        <w:rPr>
          <w:rFonts w:ascii="Times New Roman" w:hAnsi="Times New Roman" w:cs="Times New Roman"/>
          <w:color w:val="auto"/>
        </w:rPr>
      </w:pPr>
      <w:r>
        <w:rPr>
          <w:rFonts w:ascii="Times New Roman" w:hAnsi="Times New Roman" w:cs="Times New Roman"/>
          <w:color w:val="auto"/>
          <w:sz w:val="24"/>
          <w:szCs w:val="24"/>
        </w:rPr>
        <w:t>六、投标承诺函</w:t>
      </w:r>
    </w:p>
    <w:p w14:paraId="61594005">
      <w:pPr>
        <w:spacing w:line="360" w:lineRule="auto"/>
        <w:ind w:firstLine="480"/>
        <w:outlineLvl w:val="0"/>
        <w:rPr>
          <w:rFonts w:hint="eastAsia" w:ascii="Times New Roman" w:hAnsi="Times New Roman" w:cs="Times New Roman"/>
          <w:color w:val="auto"/>
          <w:lang w:eastAsia="zh-CN"/>
        </w:rPr>
      </w:pPr>
      <w:r>
        <w:rPr>
          <w:rFonts w:ascii="Times New Roman" w:hAnsi="Times New Roman" w:cs="Times New Roman"/>
          <w:color w:val="auto"/>
          <w:sz w:val="24"/>
          <w:szCs w:val="24"/>
          <w:lang w:eastAsia="zh-CN"/>
        </w:rPr>
        <w:t>七、供应商</w:t>
      </w:r>
      <w:r>
        <w:rPr>
          <w:rFonts w:ascii="Times New Roman" w:hAnsi="Times New Roman" w:cs="Times New Roman"/>
          <w:color w:val="auto"/>
          <w:sz w:val="24"/>
          <w:szCs w:val="24"/>
        </w:rPr>
        <w:t>资格审查</w:t>
      </w:r>
      <w:r>
        <w:rPr>
          <w:rFonts w:hint="eastAsia" w:ascii="Times New Roman" w:hAnsi="Times New Roman" w:cs="Times New Roman"/>
          <w:color w:val="auto"/>
          <w:sz w:val="24"/>
          <w:szCs w:val="24"/>
          <w:lang w:eastAsia="zh-CN"/>
        </w:rPr>
        <w:t>资料</w:t>
      </w:r>
    </w:p>
    <w:p w14:paraId="410E5E1C">
      <w:pPr>
        <w:spacing w:line="360" w:lineRule="auto"/>
        <w:ind w:firstLine="480"/>
        <w:outlineLvl w:val="0"/>
        <w:rPr>
          <w:rFonts w:ascii="Times New Roman" w:hAnsi="Times New Roman" w:cs="Times New Roman"/>
          <w:color w:val="auto"/>
        </w:rPr>
      </w:pPr>
      <w:r>
        <w:rPr>
          <w:rFonts w:ascii="Times New Roman" w:hAnsi="Times New Roman" w:cs="Times New Roman"/>
          <w:color w:val="auto"/>
          <w:sz w:val="24"/>
          <w:szCs w:val="24"/>
        </w:rPr>
        <w:t>八、技术标</w:t>
      </w:r>
    </w:p>
    <w:p w14:paraId="1B9981E7">
      <w:pPr>
        <w:spacing w:line="360" w:lineRule="auto"/>
        <w:ind w:firstLine="480"/>
        <w:outlineLvl w:val="0"/>
        <w:rPr>
          <w:rFonts w:ascii="Times New Roman" w:hAnsi="Times New Roman" w:cs="Times New Roman"/>
          <w:color w:val="auto"/>
        </w:rPr>
      </w:pPr>
      <w:r>
        <w:rPr>
          <w:rFonts w:ascii="Times New Roman" w:hAnsi="Times New Roman" w:cs="Times New Roman"/>
          <w:color w:val="auto"/>
          <w:sz w:val="24"/>
          <w:szCs w:val="24"/>
          <w:lang w:eastAsia="zh-CN"/>
        </w:rPr>
        <w:t>九、</w:t>
      </w:r>
      <w:r>
        <w:rPr>
          <w:rFonts w:ascii="Times New Roman" w:hAnsi="Times New Roman" w:cs="Times New Roman"/>
          <w:color w:val="auto"/>
          <w:sz w:val="24"/>
          <w:szCs w:val="24"/>
        </w:rPr>
        <w:t>商务标</w:t>
      </w:r>
    </w:p>
    <w:p w14:paraId="1CF16998">
      <w:pPr>
        <w:spacing w:line="360" w:lineRule="auto"/>
        <w:ind w:firstLine="480"/>
        <w:outlineLvl w:val="0"/>
        <w:rPr>
          <w:rFonts w:ascii="Times New Roman" w:hAnsi="Times New Roman" w:cs="Times New Roman"/>
          <w:color w:val="auto"/>
        </w:rPr>
      </w:pPr>
      <w:r>
        <w:rPr>
          <w:rFonts w:ascii="Times New Roman" w:hAnsi="Times New Roman" w:cs="Times New Roman"/>
          <w:color w:val="auto"/>
          <w:sz w:val="24"/>
          <w:szCs w:val="24"/>
        </w:rPr>
        <w:t>十、</w:t>
      </w:r>
      <w:r>
        <w:rPr>
          <w:rFonts w:ascii="Times New Roman" w:hAnsi="Times New Roman" w:cs="Times New Roman"/>
          <w:color w:val="auto"/>
          <w:sz w:val="24"/>
          <w:szCs w:val="24"/>
          <w:lang w:eastAsia="zh-CN"/>
        </w:rPr>
        <w:t>供应商认为</w:t>
      </w:r>
      <w:r>
        <w:rPr>
          <w:rFonts w:ascii="Times New Roman" w:hAnsi="Times New Roman" w:cs="Times New Roman"/>
          <w:color w:val="auto"/>
          <w:sz w:val="24"/>
          <w:szCs w:val="24"/>
        </w:rPr>
        <w:t>可提交的其他资料</w:t>
      </w:r>
    </w:p>
    <w:p w14:paraId="04428529">
      <w:pPr>
        <w:pStyle w:val="7"/>
        <w:pageBreakBefore/>
        <w:tabs>
          <w:tab w:val="left" w:pos="0"/>
        </w:tabs>
        <w:jc w:val="center"/>
        <w:rPr>
          <w:rStyle w:val="41"/>
          <w:rFonts w:ascii="Times New Roman" w:hAnsi="Times New Roman" w:cs="Times New Roman"/>
          <w:b/>
          <w:color w:val="auto"/>
          <w:sz w:val="28"/>
          <w:szCs w:val="28"/>
        </w:rPr>
      </w:pPr>
      <w:r>
        <w:rPr>
          <w:rStyle w:val="41"/>
          <w:rFonts w:ascii="Times New Roman" w:hAnsi="Times New Roman" w:cs="Times New Roman"/>
          <w:b/>
          <w:color w:val="auto"/>
          <w:sz w:val="28"/>
          <w:szCs w:val="28"/>
        </w:rPr>
        <w:t>一、投标函</w:t>
      </w:r>
    </w:p>
    <w:p w14:paraId="02A9F9E6">
      <w:pPr>
        <w:pStyle w:val="12"/>
        <w:widowControl/>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w:t>
      </w:r>
      <w:r>
        <w:rPr>
          <w:rFonts w:hint="eastAsia" w:hAnsi="宋体" w:cs="宋体"/>
          <w:color w:val="auto"/>
          <w:sz w:val="24"/>
          <w:szCs w:val="24"/>
          <w:u w:val="single"/>
          <w:lang w:eastAsia="zh-CN"/>
        </w:rPr>
        <w:t>采购人</w:t>
      </w:r>
      <w:r>
        <w:rPr>
          <w:rFonts w:hint="eastAsia" w:ascii="宋体" w:hAnsi="宋体" w:eastAsia="宋体" w:cs="宋体"/>
          <w:color w:val="auto"/>
          <w:sz w:val="24"/>
          <w:szCs w:val="24"/>
          <w:u w:val="single"/>
        </w:rPr>
        <w:t>）</w:t>
      </w:r>
    </w:p>
    <w:p w14:paraId="6AF4614B">
      <w:pPr>
        <w:widowControl w:val="0"/>
        <w:wordWrap/>
        <w:adjustRightInd/>
        <w:snapToGrid/>
        <w:spacing w:line="50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我们收到了 </w:t>
      </w:r>
      <w:r>
        <w:rPr>
          <w:rFonts w:hint="eastAsia" w:ascii="宋体" w:hAnsi="宋体" w:eastAsia="宋体" w:cs="宋体"/>
          <w:color w:val="auto"/>
          <w:sz w:val="24"/>
          <w:szCs w:val="24"/>
          <w:u w:val="single"/>
        </w:rPr>
        <w:t xml:space="preserve">    （项目名称）   </w:t>
      </w:r>
      <w:r>
        <w:rPr>
          <w:rFonts w:hint="eastAsia" w:ascii="宋体" w:hAnsi="宋体" w:eastAsia="宋体" w:cs="宋体"/>
          <w:color w:val="auto"/>
          <w:sz w:val="24"/>
          <w:szCs w:val="24"/>
        </w:rPr>
        <w:t>的招标文件，经详细研究，我们决定参加该</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投标活动并投标，我们郑重声明以下诸点并负法律责任。</w:t>
      </w:r>
    </w:p>
    <w:p w14:paraId="65EDD982">
      <w:pPr>
        <w:numPr>
          <w:ilvl w:val="0"/>
          <w:numId w:val="3"/>
        </w:numPr>
        <w:wordWrap w:val="0"/>
        <w:spacing w:line="50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愿按照招标文件中的条款和要求，提供服务，报价为</w:t>
      </w:r>
      <w:r>
        <w:rPr>
          <w:rFonts w:hint="eastAsia" w:ascii="宋体" w:hAnsi="宋体" w:cs="宋体"/>
          <w:color w:val="auto"/>
          <w:sz w:val="24"/>
          <w:szCs w:val="24"/>
          <w:lang w:eastAsia="zh-CN"/>
        </w:rPr>
        <w:t>：</w:t>
      </w:r>
      <w:r>
        <w:rPr>
          <w:rFonts w:hint="eastAsia" w:ascii="宋体" w:hAnsi="宋体" w:eastAsia="宋体" w:cs="宋体"/>
          <w:color w:val="auto"/>
          <w:sz w:val="24"/>
          <w:szCs w:val="24"/>
        </w:rPr>
        <w:t>人民币（小写）：</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cs="宋体"/>
          <w:color w:val="auto"/>
          <w:sz w:val="24"/>
          <w:szCs w:val="24"/>
          <w:lang w:eastAsia="zh-CN"/>
        </w:rPr>
        <w:t>，</w:t>
      </w: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元，</w:t>
      </w:r>
      <w:r>
        <w:rPr>
          <w:rFonts w:hint="eastAsia" w:ascii="宋体" w:hAnsi="宋体" w:eastAsia="宋体" w:cs="宋体"/>
          <w:color w:val="auto"/>
          <w:sz w:val="24"/>
          <w:szCs w:val="24"/>
        </w:rPr>
        <w:t>质量</w:t>
      </w:r>
      <w:r>
        <w:rPr>
          <w:rFonts w:hint="eastAsia" w:ascii="宋体" w:hAnsi="宋体" w:cs="宋体"/>
          <w:color w:val="auto"/>
          <w:sz w:val="24"/>
          <w:szCs w:val="24"/>
          <w:lang w:val="en-US" w:eastAsia="zh-CN"/>
        </w:rPr>
        <w:t>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服务周期</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lang w:val="en-US" w:eastAsia="zh-CN"/>
        </w:rPr>
        <w:t>服务地点</w:t>
      </w:r>
      <w:r>
        <w:rPr>
          <w:rFonts w:hint="eastAsia" w:ascii="宋体" w:hAnsi="宋体" w:cs="宋体"/>
          <w:color w:val="auto"/>
          <w:sz w:val="24"/>
          <w:szCs w:val="24"/>
          <w:u w:val="single" w:color="auto"/>
          <w:lang w:val="en-US" w:eastAsia="zh-CN"/>
        </w:rPr>
        <w:t xml:space="preserve">         </w:t>
      </w:r>
      <w:r>
        <w:rPr>
          <w:rFonts w:hint="eastAsia" w:ascii="宋体" w:hAnsi="宋体" w:eastAsia="宋体" w:cs="宋体"/>
          <w:color w:val="auto"/>
          <w:sz w:val="24"/>
          <w:szCs w:val="24"/>
        </w:rPr>
        <w:t>。</w:t>
      </w:r>
    </w:p>
    <w:p w14:paraId="55425597">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如果我们的投标文件被接受，我们将履行招标文件中规定的各项要求。</w:t>
      </w:r>
    </w:p>
    <w:p w14:paraId="539B1DC9">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我们同意按招标文件中的规定，本投标文件的有效期为自投标截止之日起</w:t>
      </w:r>
      <w:r>
        <w:rPr>
          <w:rFonts w:hint="eastAsia" w:ascii="宋体" w:hAnsi="宋体" w:eastAsia="宋体" w:cs="宋体"/>
          <w:color w:val="auto"/>
          <w:sz w:val="24"/>
          <w:szCs w:val="24"/>
          <w:u w:val="single"/>
        </w:rPr>
        <w:t>60日历天</w:t>
      </w:r>
      <w:r>
        <w:rPr>
          <w:rFonts w:hint="eastAsia" w:ascii="宋体" w:hAnsi="宋体" w:eastAsia="宋体" w:cs="宋体"/>
          <w:color w:val="auto"/>
          <w:sz w:val="24"/>
          <w:szCs w:val="24"/>
        </w:rPr>
        <w:t>。如果中标，有效期延长至合同终止日止。</w:t>
      </w:r>
    </w:p>
    <w:p w14:paraId="748B2FD6">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(4) 我们愿提供招标文件中要求的所有文件资料。</w:t>
      </w:r>
    </w:p>
    <w:p w14:paraId="60C386B0">
      <w:pPr>
        <w:spacing w:line="5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(5) 我们已经详细审核了全部招标文件，包括修改、补充的文件(如果有的话)和参考资料及有关附件，我们完全理解并同意放弃对这方面有不明及误解的权利。</w:t>
      </w:r>
    </w:p>
    <w:p w14:paraId="7EB0EC39">
      <w:pPr>
        <w:spacing w:line="5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(6) 我们愿按《中华人民共和国合同法》履行自己的全部责任。</w:t>
      </w:r>
    </w:p>
    <w:p w14:paraId="12A23A92">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（7）随同本投标函递交的投标函附录属于合同文件的组成部分。</w:t>
      </w:r>
    </w:p>
    <w:p w14:paraId="5EC315C7">
      <w:pPr>
        <w:spacing w:line="5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（8）如果我方中标，愿履行招标文件中的各项条款和规定，并按国家有关标准向采购代理机构交纳中标服务费。</w:t>
      </w:r>
    </w:p>
    <w:p w14:paraId="00D27BC4">
      <w:pPr>
        <w:spacing w:line="500" w:lineRule="exact"/>
        <w:ind w:firstLine="120" w:firstLineChars="50"/>
        <w:jc w:val="right"/>
        <w:rPr>
          <w:rFonts w:hint="eastAsia" w:ascii="宋体" w:hAnsi="宋体" w:eastAsia="宋体" w:cs="宋体"/>
          <w:color w:val="auto"/>
          <w:sz w:val="24"/>
          <w:szCs w:val="24"/>
        </w:rPr>
      </w:pPr>
    </w:p>
    <w:p w14:paraId="361A9CFC">
      <w:pPr>
        <w:spacing w:line="500" w:lineRule="exact"/>
        <w:ind w:firstLine="120" w:firstLineChars="50"/>
        <w:jc w:val="right"/>
        <w:rPr>
          <w:rFonts w:hint="eastAsia" w:ascii="宋体" w:hAnsi="宋体" w:eastAsia="宋体" w:cs="宋体"/>
          <w:color w:val="auto"/>
          <w:sz w:val="24"/>
          <w:szCs w:val="24"/>
        </w:rPr>
      </w:pPr>
    </w:p>
    <w:p w14:paraId="48847491">
      <w:pPr>
        <w:spacing w:line="500" w:lineRule="exact"/>
        <w:ind w:firstLine="120" w:firstLineChars="50"/>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投标供应商名称：(公章签章)       </w:t>
      </w:r>
    </w:p>
    <w:p w14:paraId="0E9C634C">
      <w:pPr>
        <w:spacing w:line="50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法定代表人：(法人签章)</w:t>
      </w:r>
    </w:p>
    <w:p w14:paraId="668BA22C">
      <w:pPr>
        <w:spacing w:line="50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539660E7">
      <w:pPr>
        <w:rPr>
          <w:color w:val="auto"/>
        </w:rPr>
      </w:pPr>
    </w:p>
    <w:p w14:paraId="33A68ED1">
      <w:pPr>
        <w:pStyle w:val="7"/>
        <w:pageBreakBefore/>
        <w:tabs>
          <w:tab w:val="left" w:pos="0"/>
        </w:tabs>
        <w:jc w:val="center"/>
        <w:rPr>
          <w:rFonts w:ascii="Times New Roman" w:hAnsi="Times New Roman"/>
          <w:color w:val="auto"/>
          <w:sz w:val="28"/>
          <w:szCs w:val="28"/>
        </w:rPr>
      </w:pPr>
      <w:r>
        <w:rPr>
          <w:rStyle w:val="41"/>
          <w:rFonts w:ascii="Times New Roman" w:hAnsi="Times New Roman" w:cs="Times New Roman"/>
          <w:b/>
          <w:color w:val="auto"/>
          <w:sz w:val="28"/>
          <w:szCs w:val="28"/>
        </w:rPr>
        <w:t>二、投标报价</w:t>
      </w:r>
    </w:p>
    <w:p w14:paraId="3930816B">
      <w:pPr>
        <w:jc w:val="center"/>
        <w:outlineLvl w:val="0"/>
        <w:rPr>
          <w:rFonts w:ascii="Times New Roman" w:hAnsi="Times New Roman" w:cs="Times New Roman"/>
          <w:color w:val="auto"/>
          <w:sz w:val="21"/>
          <w:szCs w:val="21"/>
        </w:rPr>
      </w:pPr>
      <w:r>
        <w:rPr>
          <w:rFonts w:hint="eastAsia" w:cs="Times New Roman"/>
          <w:b/>
          <w:bCs/>
          <w:color w:val="auto"/>
          <w:sz w:val="21"/>
          <w:szCs w:val="21"/>
          <w:lang w:eastAsia="zh-CN"/>
        </w:rPr>
        <w:t>（一）</w:t>
      </w:r>
      <w:r>
        <w:rPr>
          <w:rFonts w:ascii="Times New Roman" w:hAnsi="Times New Roman" w:cs="Times New Roman"/>
          <w:b/>
          <w:bCs/>
          <w:color w:val="auto"/>
          <w:sz w:val="21"/>
          <w:szCs w:val="21"/>
        </w:rPr>
        <w:t>报价一览表</w:t>
      </w:r>
    </w:p>
    <w:tbl>
      <w:tblPr>
        <w:tblStyle w:val="19"/>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3"/>
        <w:gridCol w:w="2071"/>
        <w:gridCol w:w="1764"/>
        <w:gridCol w:w="2301"/>
      </w:tblGrid>
      <w:tr w14:paraId="3BBBD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83" w:type="dxa"/>
            <w:tcBorders>
              <w:top w:val="single" w:color="000000" w:sz="4" w:space="0"/>
              <w:left w:val="single" w:color="000000" w:sz="4" w:space="0"/>
              <w:bottom w:val="single" w:color="000000" w:sz="4" w:space="0"/>
              <w:right w:val="single" w:color="000000" w:sz="4" w:space="0"/>
            </w:tcBorders>
            <w:noWrap w:val="0"/>
            <w:vAlign w:val="center"/>
          </w:tcPr>
          <w:p w14:paraId="28FFB802">
            <w:pPr>
              <w:spacing w:line="44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eastAsia="zh-CN"/>
              </w:rPr>
              <w:t>供应商</w:t>
            </w:r>
            <w:r>
              <w:rPr>
                <w:rFonts w:ascii="Times New Roman" w:hAnsi="Times New Roman" w:cs="Times New Roman"/>
                <w:color w:val="auto"/>
                <w:sz w:val="21"/>
                <w:szCs w:val="21"/>
              </w:rPr>
              <w:t>名称</w:t>
            </w:r>
          </w:p>
        </w:tc>
        <w:tc>
          <w:tcPr>
            <w:tcW w:w="6136" w:type="dxa"/>
            <w:gridSpan w:val="3"/>
            <w:tcBorders>
              <w:top w:val="single" w:color="000000" w:sz="4" w:space="0"/>
              <w:left w:val="single" w:color="000000" w:sz="4" w:space="0"/>
              <w:bottom w:val="single" w:color="000000" w:sz="4" w:space="0"/>
              <w:right w:val="single" w:color="000000" w:sz="4" w:space="0"/>
            </w:tcBorders>
            <w:noWrap w:val="0"/>
            <w:vAlign w:val="center"/>
          </w:tcPr>
          <w:p w14:paraId="6504987C">
            <w:pPr>
              <w:snapToGrid w:val="0"/>
              <w:spacing w:line="440" w:lineRule="exact"/>
              <w:jc w:val="center"/>
              <w:rPr>
                <w:rFonts w:ascii="Times New Roman" w:hAnsi="Times New Roman" w:cs="Times New Roman"/>
                <w:color w:val="auto"/>
                <w:sz w:val="21"/>
                <w:szCs w:val="21"/>
              </w:rPr>
            </w:pPr>
          </w:p>
        </w:tc>
      </w:tr>
      <w:tr w14:paraId="00218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83" w:type="dxa"/>
            <w:tcBorders>
              <w:top w:val="single" w:color="000000" w:sz="4" w:space="0"/>
              <w:left w:val="single" w:color="000000" w:sz="4" w:space="0"/>
              <w:bottom w:val="single" w:color="000000" w:sz="4" w:space="0"/>
              <w:right w:val="single" w:color="000000" w:sz="4" w:space="0"/>
            </w:tcBorders>
            <w:noWrap w:val="0"/>
            <w:vAlign w:val="center"/>
          </w:tcPr>
          <w:p w14:paraId="0B861870">
            <w:pPr>
              <w:spacing w:line="440" w:lineRule="exact"/>
              <w:jc w:val="center"/>
              <w:rPr>
                <w:rFonts w:ascii="Times New Roman" w:hAnsi="Times New Roman" w:cs="Times New Roman"/>
                <w:color w:val="auto"/>
                <w:sz w:val="21"/>
                <w:szCs w:val="21"/>
                <w:lang w:val="en-US" w:eastAsia="zh-CN"/>
              </w:rPr>
            </w:pPr>
            <w:r>
              <w:rPr>
                <w:rFonts w:hint="eastAsia" w:cs="Times New Roman"/>
                <w:color w:val="auto"/>
                <w:sz w:val="21"/>
                <w:szCs w:val="21"/>
                <w:lang w:val="en-US" w:eastAsia="zh-CN"/>
              </w:rPr>
              <w:t>供应商地址</w:t>
            </w:r>
          </w:p>
        </w:tc>
        <w:tc>
          <w:tcPr>
            <w:tcW w:w="6136" w:type="dxa"/>
            <w:gridSpan w:val="3"/>
            <w:tcBorders>
              <w:top w:val="single" w:color="000000" w:sz="4" w:space="0"/>
              <w:left w:val="single" w:color="000000" w:sz="4" w:space="0"/>
              <w:bottom w:val="single" w:color="000000" w:sz="4" w:space="0"/>
              <w:right w:val="single" w:color="000000" w:sz="4" w:space="0"/>
            </w:tcBorders>
            <w:noWrap w:val="0"/>
            <w:vAlign w:val="center"/>
          </w:tcPr>
          <w:p w14:paraId="5D939B72">
            <w:pPr>
              <w:snapToGrid w:val="0"/>
              <w:spacing w:line="440" w:lineRule="exact"/>
              <w:jc w:val="center"/>
              <w:rPr>
                <w:rFonts w:ascii="Times New Roman" w:hAnsi="Times New Roman" w:cs="Times New Roman"/>
                <w:color w:val="auto"/>
                <w:sz w:val="21"/>
                <w:szCs w:val="21"/>
              </w:rPr>
            </w:pPr>
          </w:p>
        </w:tc>
      </w:tr>
      <w:tr w14:paraId="25670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83" w:type="dxa"/>
            <w:tcBorders>
              <w:top w:val="single" w:color="000000" w:sz="4" w:space="0"/>
              <w:left w:val="single" w:color="000000" w:sz="4" w:space="0"/>
              <w:bottom w:val="single" w:color="000000" w:sz="4" w:space="0"/>
              <w:right w:val="single" w:color="000000" w:sz="4" w:space="0"/>
            </w:tcBorders>
            <w:noWrap w:val="0"/>
            <w:vAlign w:val="center"/>
          </w:tcPr>
          <w:p w14:paraId="5CEADDB8">
            <w:pPr>
              <w:spacing w:line="440" w:lineRule="exact"/>
              <w:jc w:val="center"/>
              <w:rPr>
                <w:rFonts w:ascii="Times New Roman" w:hAnsi="Times New Roman" w:cs="Times New Roman"/>
                <w:color w:val="auto"/>
                <w:sz w:val="21"/>
                <w:szCs w:val="21"/>
                <w:lang w:val="en-US" w:eastAsia="zh-CN"/>
              </w:rPr>
            </w:pPr>
            <w:r>
              <w:rPr>
                <w:rFonts w:hint="eastAsia" w:cs="Times New Roman"/>
                <w:color w:val="auto"/>
                <w:sz w:val="21"/>
                <w:szCs w:val="21"/>
                <w:lang w:val="en-US" w:eastAsia="zh-CN"/>
              </w:rPr>
              <w:t>营业执照号</w:t>
            </w:r>
          </w:p>
        </w:tc>
        <w:tc>
          <w:tcPr>
            <w:tcW w:w="6136" w:type="dxa"/>
            <w:gridSpan w:val="3"/>
            <w:tcBorders>
              <w:top w:val="single" w:color="000000" w:sz="4" w:space="0"/>
              <w:left w:val="single" w:color="000000" w:sz="4" w:space="0"/>
              <w:bottom w:val="single" w:color="000000" w:sz="4" w:space="0"/>
              <w:right w:val="single" w:color="000000" w:sz="4" w:space="0"/>
            </w:tcBorders>
            <w:noWrap w:val="0"/>
            <w:vAlign w:val="center"/>
          </w:tcPr>
          <w:p w14:paraId="597A9FB6">
            <w:pPr>
              <w:snapToGrid w:val="0"/>
              <w:spacing w:line="440" w:lineRule="exact"/>
              <w:jc w:val="center"/>
              <w:rPr>
                <w:rFonts w:ascii="Times New Roman" w:hAnsi="Times New Roman" w:cs="Times New Roman"/>
                <w:color w:val="auto"/>
                <w:sz w:val="21"/>
                <w:szCs w:val="21"/>
              </w:rPr>
            </w:pPr>
          </w:p>
        </w:tc>
      </w:tr>
      <w:tr w14:paraId="41AFA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83" w:type="dxa"/>
            <w:tcBorders>
              <w:top w:val="single" w:color="000000" w:sz="4" w:space="0"/>
              <w:left w:val="single" w:color="000000" w:sz="4" w:space="0"/>
              <w:bottom w:val="single" w:color="000000" w:sz="4" w:space="0"/>
              <w:right w:val="single" w:color="000000" w:sz="4" w:space="0"/>
            </w:tcBorders>
            <w:noWrap w:val="0"/>
            <w:vAlign w:val="center"/>
          </w:tcPr>
          <w:p w14:paraId="795CE192">
            <w:pPr>
              <w:spacing w:line="44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项目名称</w:t>
            </w:r>
          </w:p>
        </w:tc>
        <w:tc>
          <w:tcPr>
            <w:tcW w:w="6136" w:type="dxa"/>
            <w:gridSpan w:val="3"/>
            <w:tcBorders>
              <w:top w:val="single" w:color="000000" w:sz="4" w:space="0"/>
              <w:left w:val="single" w:color="000000" w:sz="4" w:space="0"/>
              <w:bottom w:val="single" w:color="000000" w:sz="4" w:space="0"/>
              <w:right w:val="single" w:color="000000" w:sz="4" w:space="0"/>
            </w:tcBorders>
            <w:noWrap w:val="0"/>
            <w:vAlign w:val="center"/>
          </w:tcPr>
          <w:p w14:paraId="4FD9BA31">
            <w:pPr>
              <w:snapToGrid w:val="0"/>
              <w:spacing w:line="440" w:lineRule="exact"/>
              <w:jc w:val="center"/>
              <w:rPr>
                <w:rFonts w:ascii="Times New Roman" w:hAnsi="Times New Roman" w:cs="Times New Roman"/>
                <w:color w:val="auto"/>
                <w:sz w:val="21"/>
                <w:szCs w:val="21"/>
                <w:lang w:eastAsia="zh-CN"/>
              </w:rPr>
            </w:pPr>
          </w:p>
        </w:tc>
      </w:tr>
      <w:tr w14:paraId="051B5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83" w:type="dxa"/>
            <w:tcBorders>
              <w:top w:val="single" w:color="000000" w:sz="4" w:space="0"/>
              <w:left w:val="single" w:color="000000" w:sz="4" w:space="0"/>
              <w:bottom w:val="single" w:color="000000" w:sz="4" w:space="0"/>
              <w:right w:val="single" w:color="000000" w:sz="4" w:space="0"/>
            </w:tcBorders>
            <w:noWrap w:val="0"/>
            <w:vAlign w:val="center"/>
          </w:tcPr>
          <w:p w14:paraId="1C68663D">
            <w:pPr>
              <w:spacing w:line="44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项目编号</w:t>
            </w:r>
          </w:p>
        </w:tc>
        <w:tc>
          <w:tcPr>
            <w:tcW w:w="6136" w:type="dxa"/>
            <w:gridSpan w:val="3"/>
            <w:tcBorders>
              <w:top w:val="single" w:color="000000" w:sz="4" w:space="0"/>
              <w:left w:val="single" w:color="000000" w:sz="4" w:space="0"/>
              <w:bottom w:val="single" w:color="000000" w:sz="4" w:space="0"/>
              <w:right w:val="single" w:color="000000" w:sz="4" w:space="0"/>
            </w:tcBorders>
            <w:noWrap w:val="0"/>
            <w:vAlign w:val="center"/>
          </w:tcPr>
          <w:p w14:paraId="6FA87748">
            <w:pPr>
              <w:snapToGrid w:val="0"/>
              <w:spacing w:line="440" w:lineRule="exact"/>
              <w:jc w:val="center"/>
              <w:rPr>
                <w:rFonts w:ascii="Times New Roman" w:hAnsi="Times New Roman" w:cs="Times New Roman"/>
                <w:color w:val="auto"/>
                <w:sz w:val="21"/>
                <w:szCs w:val="21"/>
              </w:rPr>
            </w:pPr>
          </w:p>
        </w:tc>
      </w:tr>
      <w:tr w14:paraId="53814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83" w:type="dxa"/>
            <w:tcBorders>
              <w:top w:val="single" w:color="000000" w:sz="4" w:space="0"/>
              <w:left w:val="single" w:color="000000" w:sz="4" w:space="0"/>
              <w:bottom w:val="single" w:color="000000" w:sz="4" w:space="0"/>
              <w:right w:val="single" w:color="000000" w:sz="4" w:space="0"/>
            </w:tcBorders>
            <w:noWrap w:val="0"/>
            <w:vAlign w:val="center"/>
          </w:tcPr>
          <w:p w14:paraId="36720854">
            <w:pPr>
              <w:spacing w:line="440" w:lineRule="exact"/>
              <w:jc w:val="center"/>
              <w:rPr>
                <w:rFonts w:hint="eastAsia" w:ascii="Times New Roman" w:hAnsi="Times New Roman" w:eastAsia="宋体" w:cs="Times New Roman"/>
                <w:color w:val="auto"/>
                <w:sz w:val="21"/>
                <w:szCs w:val="21"/>
                <w:lang w:eastAsia="zh-CN"/>
              </w:rPr>
            </w:pPr>
            <w:r>
              <w:rPr>
                <w:rFonts w:ascii="Times New Roman" w:hAnsi="Times New Roman" w:cs="Times New Roman"/>
                <w:color w:val="auto"/>
                <w:sz w:val="21"/>
                <w:szCs w:val="21"/>
              </w:rPr>
              <w:t>投标</w:t>
            </w:r>
            <w:r>
              <w:rPr>
                <w:rFonts w:hint="eastAsia" w:cs="Times New Roman"/>
                <w:color w:val="auto"/>
                <w:sz w:val="21"/>
                <w:szCs w:val="21"/>
                <w:lang w:val="en-US" w:eastAsia="zh-CN"/>
              </w:rPr>
              <w:t>总</w:t>
            </w:r>
            <w:r>
              <w:rPr>
                <w:rFonts w:ascii="Times New Roman" w:hAnsi="Times New Roman" w:cs="Times New Roman"/>
                <w:color w:val="auto"/>
                <w:sz w:val="21"/>
                <w:szCs w:val="21"/>
              </w:rPr>
              <w:t>报价</w:t>
            </w:r>
          </w:p>
        </w:tc>
        <w:tc>
          <w:tcPr>
            <w:tcW w:w="6136" w:type="dxa"/>
            <w:gridSpan w:val="3"/>
            <w:tcBorders>
              <w:top w:val="single" w:color="000000" w:sz="4" w:space="0"/>
              <w:left w:val="single" w:color="000000" w:sz="4" w:space="0"/>
              <w:bottom w:val="single" w:color="000000" w:sz="4" w:space="0"/>
              <w:right w:val="single" w:color="000000" w:sz="4" w:space="0"/>
            </w:tcBorders>
            <w:noWrap w:val="0"/>
            <w:vAlign w:val="center"/>
          </w:tcPr>
          <w:p w14:paraId="20F36A87">
            <w:pPr>
              <w:spacing w:line="440" w:lineRule="exact"/>
              <w:rPr>
                <w:rFonts w:ascii="Times New Roman" w:hAnsi="Times New Roman" w:cs="Times New Roman"/>
                <w:color w:val="auto"/>
                <w:sz w:val="21"/>
                <w:szCs w:val="21"/>
              </w:rPr>
            </w:pPr>
            <w:r>
              <w:rPr>
                <w:rFonts w:ascii="Times New Roman" w:hAnsi="Times New Roman" w:cs="Times New Roman"/>
                <w:color w:val="auto"/>
                <w:sz w:val="21"/>
                <w:szCs w:val="21"/>
              </w:rPr>
              <w:t>大写：</w:t>
            </w:r>
          </w:p>
          <w:p w14:paraId="601C3415">
            <w:pPr>
              <w:spacing w:line="440" w:lineRule="exact"/>
              <w:rPr>
                <w:rFonts w:ascii="Times New Roman" w:hAnsi="Times New Roman" w:cs="Times New Roman"/>
                <w:color w:val="auto"/>
                <w:sz w:val="21"/>
                <w:szCs w:val="21"/>
              </w:rPr>
            </w:pPr>
            <w:r>
              <w:rPr>
                <w:rFonts w:ascii="Times New Roman" w:hAnsi="Times New Roman" w:cs="Times New Roman"/>
                <w:color w:val="auto"/>
                <w:sz w:val="21"/>
                <w:szCs w:val="21"/>
              </w:rPr>
              <w:t>小写：</w:t>
            </w:r>
          </w:p>
        </w:tc>
      </w:tr>
      <w:tr w14:paraId="678AE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83" w:type="dxa"/>
            <w:tcBorders>
              <w:top w:val="single" w:color="000000" w:sz="4" w:space="0"/>
              <w:left w:val="single" w:color="000000" w:sz="4" w:space="0"/>
              <w:bottom w:val="single" w:color="000000" w:sz="4" w:space="0"/>
              <w:right w:val="single" w:color="000000" w:sz="4" w:space="0"/>
            </w:tcBorders>
            <w:noWrap w:val="0"/>
            <w:vAlign w:val="center"/>
          </w:tcPr>
          <w:p w14:paraId="7DF55B44">
            <w:pPr>
              <w:spacing w:line="440" w:lineRule="exact"/>
              <w:jc w:val="center"/>
              <w:rPr>
                <w:rFonts w:ascii="Times New Roman" w:hAnsi="Times New Roman" w:cs="Times New Roman"/>
                <w:color w:val="auto"/>
                <w:sz w:val="21"/>
                <w:szCs w:val="21"/>
              </w:rPr>
            </w:pPr>
            <w:r>
              <w:rPr>
                <w:rFonts w:hint="eastAsia" w:cs="Times New Roman"/>
                <w:color w:val="auto"/>
                <w:sz w:val="21"/>
                <w:szCs w:val="21"/>
                <w:lang w:val="en-US" w:eastAsia="zh-CN"/>
              </w:rPr>
              <w:t>质量</w:t>
            </w:r>
            <w:r>
              <w:rPr>
                <w:rFonts w:ascii="Times New Roman" w:hAnsi="Times New Roman" w:cs="Times New Roman"/>
                <w:color w:val="auto"/>
                <w:sz w:val="21"/>
                <w:szCs w:val="21"/>
                <w:lang w:eastAsia="zh-CN"/>
              </w:rPr>
              <w:t>要求</w:t>
            </w:r>
          </w:p>
        </w:tc>
        <w:tc>
          <w:tcPr>
            <w:tcW w:w="6136" w:type="dxa"/>
            <w:gridSpan w:val="3"/>
            <w:tcBorders>
              <w:top w:val="single" w:color="000000" w:sz="4" w:space="0"/>
              <w:left w:val="single" w:color="000000" w:sz="4" w:space="0"/>
              <w:bottom w:val="single" w:color="000000" w:sz="4" w:space="0"/>
              <w:right w:val="single" w:color="000000" w:sz="4" w:space="0"/>
            </w:tcBorders>
            <w:noWrap w:val="0"/>
            <w:vAlign w:val="center"/>
          </w:tcPr>
          <w:p w14:paraId="73D421F2">
            <w:pPr>
              <w:snapToGrid w:val="0"/>
              <w:spacing w:line="440" w:lineRule="exact"/>
              <w:jc w:val="center"/>
              <w:rPr>
                <w:rFonts w:ascii="Times New Roman" w:hAnsi="Times New Roman" w:cs="Times New Roman"/>
                <w:color w:val="auto"/>
                <w:sz w:val="21"/>
                <w:szCs w:val="21"/>
                <w:lang w:eastAsia="zh-CN"/>
              </w:rPr>
            </w:pPr>
          </w:p>
        </w:tc>
      </w:tr>
      <w:tr w14:paraId="3D33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83" w:type="dxa"/>
            <w:tcBorders>
              <w:top w:val="single" w:color="000000" w:sz="4" w:space="0"/>
              <w:left w:val="single" w:color="000000" w:sz="4" w:space="0"/>
              <w:bottom w:val="single" w:color="000000" w:sz="4" w:space="0"/>
              <w:right w:val="single" w:color="000000" w:sz="4" w:space="0"/>
            </w:tcBorders>
            <w:noWrap w:val="0"/>
            <w:vAlign w:val="center"/>
          </w:tcPr>
          <w:p w14:paraId="4684C673">
            <w:pPr>
              <w:spacing w:line="440" w:lineRule="exact"/>
              <w:jc w:val="center"/>
              <w:rPr>
                <w:rFonts w:ascii="Times New Roman" w:hAnsi="Times New Roman" w:cs="Times New Roman"/>
                <w:color w:val="auto"/>
                <w:sz w:val="21"/>
                <w:szCs w:val="21"/>
              </w:rPr>
            </w:pPr>
            <w:r>
              <w:rPr>
                <w:rFonts w:hint="eastAsia" w:cs="Times New Roman"/>
                <w:color w:val="auto"/>
                <w:sz w:val="21"/>
                <w:szCs w:val="21"/>
                <w:lang w:val="en-US" w:eastAsia="zh-CN"/>
              </w:rPr>
              <w:t>服务</w:t>
            </w:r>
            <w:r>
              <w:rPr>
                <w:rFonts w:ascii="Times New Roman" w:hAnsi="Times New Roman" w:cs="Times New Roman"/>
                <w:color w:val="auto"/>
                <w:sz w:val="21"/>
                <w:szCs w:val="21"/>
                <w:lang w:eastAsia="zh-CN"/>
              </w:rPr>
              <w:t>周期</w:t>
            </w:r>
          </w:p>
        </w:tc>
        <w:tc>
          <w:tcPr>
            <w:tcW w:w="6136" w:type="dxa"/>
            <w:gridSpan w:val="3"/>
            <w:tcBorders>
              <w:top w:val="single" w:color="000000" w:sz="4" w:space="0"/>
              <w:left w:val="single" w:color="000000" w:sz="4" w:space="0"/>
              <w:bottom w:val="single" w:color="000000" w:sz="4" w:space="0"/>
              <w:right w:val="single" w:color="000000" w:sz="4" w:space="0"/>
            </w:tcBorders>
            <w:noWrap w:val="0"/>
            <w:vAlign w:val="center"/>
          </w:tcPr>
          <w:p w14:paraId="7BCF2F3E">
            <w:pPr>
              <w:snapToGrid w:val="0"/>
              <w:spacing w:line="440" w:lineRule="exact"/>
              <w:jc w:val="center"/>
              <w:rPr>
                <w:rFonts w:ascii="Times New Roman" w:hAnsi="Times New Roman" w:cs="Times New Roman"/>
                <w:color w:val="auto"/>
                <w:sz w:val="21"/>
                <w:szCs w:val="21"/>
                <w:lang w:eastAsia="zh-CN"/>
              </w:rPr>
            </w:pPr>
          </w:p>
        </w:tc>
      </w:tr>
      <w:tr w14:paraId="3FBE5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83" w:type="dxa"/>
            <w:tcBorders>
              <w:top w:val="single" w:color="000000" w:sz="4" w:space="0"/>
              <w:left w:val="single" w:color="000000" w:sz="4" w:space="0"/>
              <w:bottom w:val="single" w:color="000000" w:sz="4" w:space="0"/>
              <w:right w:val="single" w:color="000000" w:sz="4" w:space="0"/>
            </w:tcBorders>
            <w:noWrap w:val="0"/>
            <w:vAlign w:val="center"/>
          </w:tcPr>
          <w:p w14:paraId="0B14E641">
            <w:pPr>
              <w:spacing w:line="440" w:lineRule="exact"/>
              <w:jc w:val="center"/>
              <w:rPr>
                <w:rFonts w:ascii="Times New Roman" w:hAnsi="Times New Roman" w:cs="Times New Roman"/>
                <w:color w:val="auto"/>
                <w:sz w:val="21"/>
                <w:szCs w:val="21"/>
                <w:lang w:val="en-US" w:eastAsia="zh-CN"/>
              </w:rPr>
            </w:pPr>
            <w:r>
              <w:rPr>
                <w:rFonts w:hint="eastAsia" w:cs="Times New Roman"/>
                <w:color w:val="auto"/>
                <w:sz w:val="21"/>
                <w:szCs w:val="21"/>
                <w:lang w:val="en-US" w:eastAsia="zh-CN"/>
              </w:rPr>
              <w:t>服务地点</w:t>
            </w:r>
          </w:p>
        </w:tc>
        <w:tc>
          <w:tcPr>
            <w:tcW w:w="6136" w:type="dxa"/>
            <w:gridSpan w:val="3"/>
            <w:tcBorders>
              <w:top w:val="single" w:color="000000" w:sz="4" w:space="0"/>
              <w:left w:val="single" w:color="000000" w:sz="4" w:space="0"/>
              <w:bottom w:val="single" w:color="000000" w:sz="4" w:space="0"/>
              <w:right w:val="single" w:color="000000" w:sz="4" w:space="0"/>
            </w:tcBorders>
            <w:noWrap w:val="0"/>
            <w:vAlign w:val="center"/>
          </w:tcPr>
          <w:p w14:paraId="234BDC3D">
            <w:pPr>
              <w:snapToGrid w:val="0"/>
              <w:spacing w:line="440" w:lineRule="exact"/>
              <w:jc w:val="center"/>
              <w:rPr>
                <w:rFonts w:ascii="Times New Roman" w:hAnsi="Times New Roman" w:cs="Times New Roman"/>
                <w:color w:val="auto"/>
                <w:sz w:val="21"/>
                <w:szCs w:val="21"/>
                <w:lang w:eastAsia="zh-CN"/>
              </w:rPr>
            </w:pPr>
          </w:p>
        </w:tc>
      </w:tr>
      <w:tr w14:paraId="76BEF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83" w:type="dxa"/>
            <w:tcBorders>
              <w:top w:val="single" w:color="000000" w:sz="4" w:space="0"/>
              <w:left w:val="single" w:color="000000" w:sz="4" w:space="0"/>
              <w:bottom w:val="single" w:color="000000" w:sz="4" w:space="0"/>
              <w:right w:val="single" w:color="000000" w:sz="4" w:space="0"/>
            </w:tcBorders>
            <w:noWrap w:val="0"/>
            <w:vAlign w:val="center"/>
          </w:tcPr>
          <w:p w14:paraId="433BC1D4">
            <w:pPr>
              <w:spacing w:line="44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投标有效期</w:t>
            </w:r>
          </w:p>
        </w:tc>
        <w:tc>
          <w:tcPr>
            <w:tcW w:w="6136" w:type="dxa"/>
            <w:gridSpan w:val="3"/>
            <w:tcBorders>
              <w:top w:val="single" w:color="000000" w:sz="4" w:space="0"/>
              <w:left w:val="single" w:color="000000" w:sz="4" w:space="0"/>
              <w:bottom w:val="single" w:color="000000" w:sz="4" w:space="0"/>
              <w:right w:val="single" w:color="000000" w:sz="4" w:space="0"/>
            </w:tcBorders>
            <w:noWrap w:val="0"/>
            <w:vAlign w:val="center"/>
          </w:tcPr>
          <w:p w14:paraId="74E61B16">
            <w:pPr>
              <w:snapToGrid w:val="0"/>
              <w:spacing w:line="440" w:lineRule="exact"/>
              <w:jc w:val="center"/>
              <w:rPr>
                <w:rFonts w:ascii="Times New Roman" w:hAnsi="Times New Roman" w:cs="Times New Roman"/>
                <w:color w:val="auto"/>
                <w:sz w:val="21"/>
                <w:szCs w:val="21"/>
              </w:rPr>
            </w:pPr>
          </w:p>
        </w:tc>
      </w:tr>
      <w:tr w14:paraId="1DCBA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83" w:type="dxa"/>
            <w:tcBorders>
              <w:top w:val="single" w:color="000000" w:sz="4" w:space="0"/>
              <w:left w:val="single" w:color="000000" w:sz="4" w:space="0"/>
              <w:bottom w:val="single" w:color="000000" w:sz="4" w:space="0"/>
              <w:right w:val="single" w:color="000000" w:sz="4" w:space="0"/>
            </w:tcBorders>
            <w:noWrap w:val="0"/>
            <w:vAlign w:val="center"/>
          </w:tcPr>
          <w:p w14:paraId="66514FB3">
            <w:pPr>
              <w:spacing w:line="44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法人姓名</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13FBD489">
            <w:pPr>
              <w:snapToGrid w:val="0"/>
              <w:spacing w:line="440" w:lineRule="exact"/>
              <w:jc w:val="center"/>
              <w:rPr>
                <w:rFonts w:ascii="Times New Roman" w:hAnsi="Times New Roman" w:cs="Times New Roman"/>
                <w:color w:val="auto"/>
                <w:sz w:val="21"/>
                <w:szCs w:val="21"/>
              </w:rPr>
            </w:pP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6307235F">
            <w:pPr>
              <w:spacing w:line="44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联系电话</w:t>
            </w:r>
          </w:p>
        </w:tc>
        <w:tc>
          <w:tcPr>
            <w:tcW w:w="2301" w:type="dxa"/>
            <w:tcBorders>
              <w:top w:val="single" w:color="000000" w:sz="4" w:space="0"/>
              <w:left w:val="single" w:color="000000" w:sz="4" w:space="0"/>
              <w:bottom w:val="single" w:color="000000" w:sz="4" w:space="0"/>
              <w:right w:val="single" w:color="000000" w:sz="4" w:space="0"/>
            </w:tcBorders>
            <w:noWrap w:val="0"/>
            <w:vAlign w:val="center"/>
          </w:tcPr>
          <w:p w14:paraId="45930F98">
            <w:pPr>
              <w:snapToGrid w:val="0"/>
              <w:spacing w:line="440" w:lineRule="exact"/>
              <w:jc w:val="center"/>
              <w:rPr>
                <w:rFonts w:ascii="Times New Roman" w:hAnsi="Times New Roman" w:cs="Times New Roman"/>
                <w:color w:val="auto"/>
                <w:sz w:val="21"/>
                <w:szCs w:val="21"/>
              </w:rPr>
            </w:pPr>
          </w:p>
        </w:tc>
      </w:tr>
      <w:tr w14:paraId="517A4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83" w:type="dxa"/>
            <w:tcBorders>
              <w:top w:val="single" w:color="000000" w:sz="4" w:space="0"/>
              <w:left w:val="single" w:color="000000" w:sz="4" w:space="0"/>
              <w:bottom w:val="single" w:color="000000" w:sz="4" w:space="0"/>
              <w:right w:val="single" w:color="000000" w:sz="4" w:space="0"/>
            </w:tcBorders>
            <w:noWrap w:val="0"/>
            <w:vAlign w:val="center"/>
          </w:tcPr>
          <w:p w14:paraId="534FCA6F">
            <w:pPr>
              <w:spacing w:line="44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项目负责人</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4A3E2E79">
            <w:pPr>
              <w:snapToGrid w:val="0"/>
              <w:spacing w:line="440" w:lineRule="exact"/>
              <w:jc w:val="center"/>
              <w:rPr>
                <w:rFonts w:ascii="Times New Roman" w:hAnsi="Times New Roman" w:cs="Times New Roman"/>
                <w:color w:val="auto"/>
                <w:sz w:val="21"/>
                <w:szCs w:val="21"/>
              </w:rPr>
            </w:pP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71DC5D6E">
            <w:pPr>
              <w:spacing w:line="44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联系电话</w:t>
            </w:r>
          </w:p>
        </w:tc>
        <w:tc>
          <w:tcPr>
            <w:tcW w:w="2301" w:type="dxa"/>
            <w:tcBorders>
              <w:top w:val="single" w:color="000000" w:sz="4" w:space="0"/>
              <w:left w:val="single" w:color="000000" w:sz="4" w:space="0"/>
              <w:bottom w:val="single" w:color="000000" w:sz="4" w:space="0"/>
              <w:right w:val="single" w:color="000000" w:sz="4" w:space="0"/>
            </w:tcBorders>
            <w:noWrap w:val="0"/>
            <w:vAlign w:val="center"/>
          </w:tcPr>
          <w:p w14:paraId="7687F906">
            <w:pPr>
              <w:snapToGrid w:val="0"/>
              <w:spacing w:line="440" w:lineRule="exact"/>
              <w:jc w:val="center"/>
              <w:rPr>
                <w:rFonts w:ascii="Times New Roman" w:hAnsi="Times New Roman" w:cs="Times New Roman"/>
                <w:color w:val="auto"/>
                <w:sz w:val="21"/>
                <w:szCs w:val="21"/>
              </w:rPr>
            </w:pPr>
          </w:p>
        </w:tc>
      </w:tr>
      <w:tr w14:paraId="34170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2383" w:type="dxa"/>
            <w:tcBorders>
              <w:top w:val="single" w:color="000000" w:sz="4" w:space="0"/>
              <w:left w:val="single" w:color="000000" w:sz="4" w:space="0"/>
              <w:bottom w:val="single" w:color="000000" w:sz="4" w:space="0"/>
              <w:right w:val="single" w:color="000000" w:sz="4" w:space="0"/>
            </w:tcBorders>
            <w:noWrap w:val="0"/>
            <w:vAlign w:val="center"/>
          </w:tcPr>
          <w:p w14:paraId="29A3B415">
            <w:pPr>
              <w:spacing w:line="44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eastAsia="zh-CN"/>
              </w:rPr>
              <w:t>其他优惠条件</w:t>
            </w:r>
          </w:p>
        </w:tc>
        <w:tc>
          <w:tcPr>
            <w:tcW w:w="6136" w:type="dxa"/>
            <w:gridSpan w:val="3"/>
            <w:tcBorders>
              <w:top w:val="single" w:color="000000" w:sz="4" w:space="0"/>
              <w:left w:val="single" w:color="000000" w:sz="4" w:space="0"/>
              <w:bottom w:val="single" w:color="000000" w:sz="4" w:space="0"/>
              <w:right w:val="single" w:color="000000" w:sz="4" w:space="0"/>
            </w:tcBorders>
            <w:noWrap w:val="0"/>
            <w:vAlign w:val="center"/>
          </w:tcPr>
          <w:p w14:paraId="3B183D37">
            <w:pPr>
              <w:widowControl/>
              <w:snapToGrid w:val="0"/>
              <w:spacing w:line="440" w:lineRule="exact"/>
              <w:jc w:val="center"/>
              <w:rPr>
                <w:rFonts w:ascii="Times New Roman" w:hAnsi="Times New Roman" w:cs="Times New Roman"/>
                <w:color w:val="auto"/>
                <w:sz w:val="21"/>
                <w:szCs w:val="21"/>
                <w:lang w:eastAsia="zh-CN"/>
              </w:rPr>
            </w:pPr>
          </w:p>
          <w:p w14:paraId="482B124A">
            <w:pPr>
              <w:spacing w:line="440" w:lineRule="exact"/>
              <w:jc w:val="center"/>
              <w:rPr>
                <w:rFonts w:ascii="Times New Roman" w:hAnsi="Times New Roman" w:cs="Times New Roman"/>
                <w:color w:val="auto"/>
                <w:sz w:val="21"/>
                <w:szCs w:val="21"/>
                <w:lang w:eastAsia="zh-CN"/>
              </w:rPr>
            </w:pPr>
          </w:p>
        </w:tc>
      </w:tr>
    </w:tbl>
    <w:p w14:paraId="6EE132A2">
      <w:pPr>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t>注</w:t>
      </w:r>
      <w:r>
        <w:rPr>
          <w:rFonts w:hint="eastAsia" w:cs="Times New Roman"/>
          <w:color w:val="auto"/>
          <w:kern w:val="2"/>
          <w:sz w:val="21"/>
          <w:lang w:val="en-US" w:eastAsia="zh-CN" w:bidi="ar-SA"/>
        </w:rPr>
        <w:t>：1</w:t>
      </w:r>
      <w:r>
        <w:rPr>
          <w:rFonts w:hint="eastAsia" w:ascii="Times New Roman" w:hAnsi="Times New Roman" w:eastAsia="宋体" w:cs="Times New Roman"/>
          <w:color w:val="auto"/>
          <w:kern w:val="2"/>
          <w:sz w:val="21"/>
          <w:lang w:val="en-US" w:eastAsia="zh-CN" w:bidi="ar-SA"/>
        </w:rPr>
        <w:t>、供应商所投产品的总价包含税费、劳务费等一切相关费用。</w:t>
      </w:r>
    </w:p>
    <w:p w14:paraId="0ECB91C2">
      <w:pPr>
        <w:rPr>
          <w:rFonts w:ascii="Times New Roman" w:hAnsi="Times New Roman" w:cs="Times New Roman"/>
          <w:color w:val="auto"/>
          <w:sz w:val="18"/>
          <w:szCs w:val="18"/>
        </w:rPr>
      </w:pPr>
      <w:r>
        <w:rPr>
          <w:rFonts w:hint="eastAsia" w:ascii="Times New Roman" w:hAnsi="Times New Roman" w:eastAsia="宋体" w:cs="Times New Roman"/>
          <w:color w:val="auto"/>
          <w:kern w:val="2"/>
          <w:sz w:val="21"/>
          <w:lang w:val="en-US" w:eastAsia="zh-CN" w:bidi="ar-SA"/>
        </w:rPr>
        <w:t xml:space="preserve">    </w:t>
      </w:r>
      <w:r>
        <w:rPr>
          <w:rFonts w:hint="eastAsia" w:cs="Times New Roman"/>
          <w:color w:val="auto"/>
          <w:kern w:val="2"/>
          <w:sz w:val="21"/>
          <w:lang w:val="en-US" w:eastAsia="zh-CN" w:bidi="ar-SA"/>
        </w:rPr>
        <w:t>2</w:t>
      </w:r>
      <w:r>
        <w:rPr>
          <w:rFonts w:hint="eastAsia" w:ascii="Times New Roman" w:hAnsi="Times New Roman" w:eastAsia="宋体" w:cs="Times New Roman"/>
          <w:color w:val="auto"/>
          <w:kern w:val="2"/>
          <w:sz w:val="21"/>
          <w:lang w:val="en-US" w:eastAsia="zh-CN" w:bidi="ar-SA"/>
        </w:rPr>
        <w:t>、上述日期均以日历天为单位，包括法定节假日。</w:t>
      </w:r>
    </w:p>
    <w:p w14:paraId="4578D1B5">
      <w:pPr>
        <w:spacing w:line="48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lang w:eastAsia="zh-CN"/>
        </w:rPr>
        <w:t>投标供应商</w:t>
      </w:r>
      <w:r>
        <w:rPr>
          <w:rFonts w:ascii="Times New Roman" w:hAnsi="Times New Roman" w:cs="Times New Roman"/>
          <w:color w:val="auto"/>
          <w:sz w:val="21"/>
          <w:szCs w:val="21"/>
        </w:rPr>
        <w:t xml:space="preserve">： </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u w:val="single"/>
          <w:lang w:eastAsia="zh-CN"/>
        </w:rPr>
        <w:t xml:space="preserve">                                   </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rPr>
        <w:t xml:space="preserve">（签章） </w:t>
      </w:r>
    </w:p>
    <w:p w14:paraId="263D8193">
      <w:pPr>
        <w:spacing w:line="480" w:lineRule="auto"/>
        <w:ind w:right="48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 xml:space="preserve">法定代表人： </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u w:val="single"/>
          <w:lang w:eastAsia="zh-CN"/>
        </w:rPr>
        <w:t xml:space="preserve">                                        </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rPr>
        <w:t xml:space="preserve"> （签章）</w:t>
      </w:r>
    </w:p>
    <w:p w14:paraId="75772A54">
      <w:pPr>
        <w:spacing w:line="480" w:lineRule="auto"/>
        <w:ind w:firstLine="420" w:firstLineChars="200"/>
        <w:jc w:val="both"/>
        <w:rPr>
          <w:rFonts w:ascii="Times New Roman" w:hAnsi="Times New Roman" w:cs="Times New Roman"/>
          <w:color w:val="auto"/>
          <w:sz w:val="21"/>
          <w:szCs w:val="21"/>
        </w:rPr>
      </w:pPr>
      <w:r>
        <w:rPr>
          <w:rFonts w:ascii="Times New Roman" w:hAnsi="Times New Roman" w:cs="Times New Roman"/>
          <w:i/>
          <w:iCs/>
          <w:color w:val="auto"/>
          <w:sz w:val="21"/>
          <w:szCs w:val="21"/>
          <w:u w:val="single"/>
        </w:rPr>
        <w:t xml:space="preserve">     </w:t>
      </w:r>
      <w:r>
        <w:rPr>
          <w:rFonts w:ascii="Times New Roman" w:hAnsi="Times New Roman" w:cs="Times New Roman"/>
          <w:i/>
          <w:iCs/>
          <w:color w:val="auto"/>
          <w:sz w:val="21"/>
          <w:szCs w:val="21"/>
          <w:u w:val="single"/>
          <w:lang w:eastAsia="zh-CN"/>
        </w:rPr>
        <w:t xml:space="preserve">     </w:t>
      </w:r>
      <w:r>
        <w:rPr>
          <w:rFonts w:ascii="Times New Roman" w:hAnsi="Times New Roman" w:cs="Times New Roman"/>
          <w:i/>
          <w:iCs/>
          <w:color w:val="auto"/>
          <w:sz w:val="21"/>
          <w:szCs w:val="21"/>
          <w:u w:val="single"/>
        </w:rPr>
        <w:t xml:space="preserve">   </w:t>
      </w:r>
      <w:r>
        <w:rPr>
          <w:rFonts w:ascii="Times New Roman" w:hAnsi="Times New Roman" w:cs="Times New Roman"/>
          <w:color w:val="auto"/>
          <w:sz w:val="21"/>
          <w:szCs w:val="21"/>
        </w:rPr>
        <w:t>年</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u w:val="single"/>
          <w:lang w:eastAsia="zh-CN"/>
        </w:rPr>
        <w:t xml:space="preserve">     </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rPr>
        <w:t>月</w:t>
      </w:r>
      <w:r>
        <w:rPr>
          <w:rFonts w:ascii="Times New Roman" w:hAnsi="Times New Roman" w:cs="Times New Roman"/>
          <w:i/>
          <w:iCs/>
          <w:color w:val="auto"/>
          <w:sz w:val="21"/>
          <w:szCs w:val="21"/>
          <w:u w:val="single"/>
        </w:rPr>
        <w:t xml:space="preserve">       </w:t>
      </w:r>
      <w:r>
        <w:rPr>
          <w:rFonts w:ascii="Times New Roman" w:hAnsi="Times New Roman" w:cs="Times New Roman"/>
          <w:i/>
          <w:iCs/>
          <w:color w:val="auto"/>
          <w:sz w:val="21"/>
          <w:szCs w:val="21"/>
          <w:u w:val="single"/>
          <w:lang w:eastAsia="zh-CN"/>
        </w:rPr>
        <w:t xml:space="preserve">     </w:t>
      </w:r>
      <w:r>
        <w:rPr>
          <w:rFonts w:ascii="Times New Roman" w:hAnsi="Times New Roman" w:cs="Times New Roman"/>
          <w:i/>
          <w:iCs/>
          <w:color w:val="auto"/>
          <w:sz w:val="21"/>
          <w:szCs w:val="21"/>
          <w:u w:val="single"/>
        </w:rPr>
        <w:t xml:space="preserve">  </w:t>
      </w:r>
      <w:r>
        <w:rPr>
          <w:rFonts w:ascii="Times New Roman" w:hAnsi="Times New Roman" w:cs="Times New Roman"/>
          <w:color w:val="auto"/>
          <w:sz w:val="21"/>
          <w:szCs w:val="21"/>
        </w:rPr>
        <w:t>日</w:t>
      </w:r>
    </w:p>
    <w:p w14:paraId="24781280">
      <w:pPr>
        <w:spacing w:line="360" w:lineRule="auto"/>
        <w:ind w:firstLine="420" w:firstLineChars="200"/>
        <w:jc w:val="right"/>
        <w:rPr>
          <w:rFonts w:ascii="Times New Roman" w:hAnsi="Times New Roman" w:cs="Times New Roman"/>
          <w:color w:val="auto"/>
          <w:sz w:val="21"/>
          <w:szCs w:val="21"/>
        </w:rPr>
      </w:pPr>
    </w:p>
    <w:p w14:paraId="052853EF">
      <w:pPr>
        <w:jc w:val="center"/>
        <w:outlineLvl w:val="0"/>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（二）报价明细表</w:t>
      </w:r>
    </w:p>
    <w:p w14:paraId="16F16A28">
      <w:pPr>
        <w:jc w:val="center"/>
        <w:rPr>
          <w:rFonts w:hint="eastAsia" w:ascii="宋体" w:eastAsia="宋体"/>
          <w:color w:val="auto"/>
          <w:sz w:val="28"/>
          <w:szCs w:val="28"/>
          <w:lang w:val="en-US" w:eastAsia="zh-CN"/>
        </w:rPr>
      </w:pPr>
      <w:r>
        <w:rPr>
          <w:rFonts w:hint="eastAsia" w:ascii="宋体"/>
          <w:color w:val="auto"/>
          <w:sz w:val="28"/>
          <w:szCs w:val="28"/>
          <w:lang w:val="en-US" w:eastAsia="zh-CN"/>
        </w:rPr>
        <w:t>（格式自拟）</w:t>
      </w:r>
    </w:p>
    <w:p w14:paraId="3FEC4B0A">
      <w:pPr>
        <w:rPr>
          <w:color w:val="auto"/>
        </w:rPr>
      </w:pPr>
    </w:p>
    <w:p w14:paraId="7E68A65D">
      <w:pPr>
        <w:ind w:firstLine="4110" w:firstLineChars="1468"/>
        <w:jc w:val="left"/>
        <w:rPr>
          <w:rFonts w:hint="eastAsia" w:ascii="宋体" w:hAnsi="Calibri"/>
          <w:color w:val="auto"/>
          <w:sz w:val="28"/>
          <w:szCs w:val="28"/>
        </w:rPr>
      </w:pPr>
    </w:p>
    <w:p w14:paraId="1621CC10">
      <w:pPr>
        <w:ind w:firstLine="4110" w:firstLineChars="1468"/>
        <w:jc w:val="left"/>
        <w:rPr>
          <w:rFonts w:hint="eastAsia" w:ascii="宋体" w:hAnsi="Calibri"/>
          <w:color w:val="auto"/>
          <w:sz w:val="28"/>
          <w:szCs w:val="28"/>
        </w:rPr>
      </w:pPr>
    </w:p>
    <w:p w14:paraId="30FAF0B1">
      <w:pPr>
        <w:ind w:firstLine="4110" w:firstLineChars="1468"/>
        <w:jc w:val="left"/>
        <w:rPr>
          <w:rFonts w:hint="eastAsia" w:ascii="宋体" w:hAnsi="Calibri"/>
          <w:color w:val="auto"/>
          <w:sz w:val="28"/>
          <w:szCs w:val="28"/>
        </w:rPr>
      </w:pPr>
    </w:p>
    <w:p w14:paraId="0845669F">
      <w:pPr>
        <w:ind w:firstLine="4110" w:firstLineChars="1468"/>
        <w:jc w:val="left"/>
        <w:rPr>
          <w:rFonts w:ascii="宋体" w:hAnsi="Calibri"/>
          <w:color w:val="auto"/>
          <w:sz w:val="28"/>
          <w:szCs w:val="28"/>
        </w:rPr>
      </w:pPr>
      <w:r>
        <w:rPr>
          <w:rFonts w:hint="eastAsia" w:ascii="宋体" w:hAnsi="Calibri"/>
          <w:color w:val="auto"/>
          <w:sz w:val="28"/>
          <w:szCs w:val="28"/>
        </w:rPr>
        <w:t>供应商(签章)：</w:t>
      </w:r>
    </w:p>
    <w:p w14:paraId="289B50A7">
      <w:pPr>
        <w:spacing w:line="480" w:lineRule="auto"/>
        <w:ind w:firstLine="4110" w:firstLineChars="1468"/>
        <w:jc w:val="left"/>
        <w:rPr>
          <w:rFonts w:ascii="宋体" w:hAnsi="Calibri"/>
          <w:color w:val="auto"/>
          <w:sz w:val="28"/>
          <w:szCs w:val="28"/>
        </w:rPr>
      </w:pPr>
      <w:r>
        <w:rPr>
          <w:rFonts w:hint="eastAsia" w:ascii="宋体" w:hAnsi="Calibri"/>
          <w:color w:val="auto"/>
          <w:sz w:val="28"/>
          <w:szCs w:val="28"/>
        </w:rPr>
        <w:t>法定代表人(签章)：</w:t>
      </w:r>
    </w:p>
    <w:p w14:paraId="7E23F09E">
      <w:pPr>
        <w:spacing w:line="480" w:lineRule="auto"/>
        <w:ind w:firstLine="4110" w:firstLineChars="1468"/>
        <w:jc w:val="left"/>
        <w:rPr>
          <w:color w:val="auto"/>
        </w:rPr>
      </w:pPr>
      <w:r>
        <w:rPr>
          <w:rFonts w:hint="eastAsia" w:ascii="宋体" w:hAnsi="Calibri"/>
          <w:color w:val="auto"/>
          <w:sz w:val="28"/>
          <w:szCs w:val="28"/>
        </w:rPr>
        <w:t>日期：     年   月   日</w:t>
      </w:r>
    </w:p>
    <w:p w14:paraId="6C790DF6">
      <w:pPr>
        <w:pStyle w:val="13"/>
        <w:rPr>
          <w:rFonts w:ascii="Times New Roman" w:hAnsi="Times New Roman" w:cs="Times New Roman"/>
          <w:color w:val="auto"/>
        </w:rPr>
        <w:sectPr>
          <w:footnotePr>
            <w:pos w:val="beneathText"/>
          </w:footnotePr>
          <w:pgSz w:w="11906" w:h="16838"/>
          <w:pgMar w:top="1440" w:right="1800" w:bottom="1440" w:left="1800" w:header="720" w:footer="992" w:gutter="0"/>
          <w:pgNumType w:fmt="decimal"/>
          <w:cols w:space="720" w:num="1"/>
          <w:docGrid w:type="lines" w:linePitch="312" w:charSpace="0"/>
        </w:sectPr>
      </w:pPr>
    </w:p>
    <w:p w14:paraId="7A92DB3C">
      <w:pPr>
        <w:pStyle w:val="7"/>
        <w:tabs>
          <w:tab w:val="left" w:pos="0"/>
        </w:tabs>
        <w:jc w:val="center"/>
        <w:rPr>
          <w:rFonts w:ascii="Times New Roman" w:hAnsi="Times New Roman"/>
          <w:color w:val="auto"/>
        </w:rPr>
      </w:pPr>
      <w:r>
        <w:rPr>
          <w:rFonts w:ascii="Times New Roman" w:hAnsi="Times New Roman"/>
          <w:color w:val="auto"/>
        </w:rPr>
        <w:t>三、法定代表人身份证明</w:t>
      </w:r>
    </w:p>
    <w:p w14:paraId="19D4D303">
      <w:pPr>
        <w:spacing w:line="440" w:lineRule="exact"/>
        <w:rPr>
          <w:rFonts w:ascii="Times New Roman" w:hAnsi="Times New Roman" w:cs="Times New Roman"/>
          <w:color w:val="auto"/>
        </w:rPr>
      </w:pPr>
      <w:r>
        <w:rPr>
          <w:rFonts w:ascii="Times New Roman" w:hAnsi="Times New Roman" w:cs="Times New Roman"/>
          <w:b/>
          <w:bCs/>
          <w:color w:val="auto"/>
        </w:rPr>
        <w:t xml:space="preserve"> </w:t>
      </w:r>
    </w:p>
    <w:p w14:paraId="51A9A416">
      <w:pPr>
        <w:spacing w:line="480" w:lineRule="auto"/>
        <w:ind w:firstLine="612"/>
        <w:rPr>
          <w:rFonts w:ascii="Times New Roman" w:hAnsi="Times New Roman" w:cs="Times New Roman"/>
          <w:color w:val="auto"/>
          <w:sz w:val="21"/>
          <w:szCs w:val="21"/>
        </w:rPr>
      </w:pPr>
      <w:r>
        <w:rPr>
          <w:rFonts w:ascii="Times New Roman" w:hAnsi="Times New Roman" w:cs="Times New Roman"/>
          <w:color w:val="auto"/>
          <w:sz w:val="21"/>
          <w:szCs w:val="21"/>
        </w:rPr>
        <w:t>单位名称：</w:t>
      </w:r>
      <w:r>
        <w:rPr>
          <w:rFonts w:ascii="Times New Roman" w:hAnsi="Times New Roman" w:cs="Times New Roman"/>
          <w:color w:val="auto"/>
          <w:sz w:val="21"/>
          <w:szCs w:val="21"/>
          <w:u w:val="single"/>
        </w:rPr>
        <w:tab/>
      </w:r>
      <w:r>
        <w:rPr>
          <w:rFonts w:ascii="Times New Roman" w:hAnsi="Times New Roman" w:cs="Times New Roman"/>
          <w:color w:val="auto"/>
          <w:sz w:val="21"/>
          <w:szCs w:val="21"/>
          <w:u w:val="single"/>
        </w:rPr>
        <w:tab/>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u w:val="single"/>
        </w:rPr>
        <w:tab/>
      </w:r>
      <w:r>
        <w:rPr>
          <w:rFonts w:ascii="Times New Roman" w:hAnsi="Times New Roman" w:cs="Times New Roman"/>
          <w:color w:val="auto"/>
          <w:sz w:val="21"/>
          <w:szCs w:val="21"/>
          <w:u w:val="single"/>
        </w:rPr>
        <w:tab/>
      </w:r>
      <w:r>
        <w:rPr>
          <w:rFonts w:ascii="Times New Roman" w:hAnsi="Times New Roman" w:cs="Times New Roman"/>
          <w:color w:val="auto"/>
          <w:sz w:val="21"/>
          <w:szCs w:val="21"/>
          <w:u w:val="single"/>
        </w:rPr>
        <w:tab/>
      </w:r>
      <w:r>
        <w:rPr>
          <w:rFonts w:ascii="Times New Roman" w:hAnsi="Times New Roman" w:cs="Times New Roman"/>
          <w:color w:val="auto"/>
          <w:sz w:val="21"/>
          <w:szCs w:val="21"/>
          <w:u w:val="single"/>
          <w:lang w:eastAsia="zh-CN"/>
        </w:rPr>
        <w:t xml:space="preserve">                                                </w:t>
      </w:r>
    </w:p>
    <w:p w14:paraId="63CED959">
      <w:pPr>
        <w:spacing w:line="480" w:lineRule="auto"/>
        <w:ind w:firstLine="610"/>
        <w:rPr>
          <w:rFonts w:ascii="Times New Roman" w:hAnsi="Times New Roman" w:cs="Times New Roman"/>
          <w:color w:val="auto"/>
          <w:sz w:val="21"/>
          <w:szCs w:val="21"/>
        </w:rPr>
      </w:pPr>
      <w:r>
        <w:rPr>
          <w:rFonts w:ascii="Times New Roman" w:hAnsi="Times New Roman" w:cs="Times New Roman"/>
          <w:color w:val="auto"/>
          <w:sz w:val="21"/>
          <w:szCs w:val="21"/>
        </w:rPr>
        <w:t>单位性质：</w:t>
      </w:r>
      <w:r>
        <w:rPr>
          <w:rFonts w:ascii="Times New Roman" w:hAnsi="Times New Roman" w:cs="Times New Roman"/>
          <w:color w:val="auto"/>
          <w:sz w:val="21"/>
          <w:szCs w:val="21"/>
          <w:u w:val="single"/>
        </w:rPr>
        <w:tab/>
      </w:r>
      <w:r>
        <w:rPr>
          <w:rFonts w:ascii="Times New Roman" w:hAnsi="Times New Roman" w:cs="Times New Roman"/>
          <w:color w:val="auto"/>
          <w:sz w:val="21"/>
          <w:szCs w:val="21"/>
          <w:u w:val="single"/>
        </w:rPr>
        <w:tab/>
      </w:r>
      <w:r>
        <w:rPr>
          <w:rFonts w:ascii="Times New Roman" w:hAnsi="Times New Roman" w:cs="Times New Roman"/>
          <w:color w:val="auto"/>
          <w:sz w:val="21"/>
          <w:szCs w:val="21"/>
          <w:u w:val="single"/>
        </w:rPr>
        <w:tab/>
      </w:r>
      <w:r>
        <w:rPr>
          <w:rFonts w:ascii="Times New Roman" w:hAnsi="Times New Roman" w:cs="Times New Roman"/>
          <w:color w:val="auto"/>
          <w:sz w:val="21"/>
          <w:szCs w:val="21"/>
          <w:u w:val="single"/>
        </w:rPr>
        <w:tab/>
      </w:r>
      <w:r>
        <w:rPr>
          <w:rFonts w:ascii="Times New Roman" w:hAnsi="Times New Roman" w:cs="Times New Roman"/>
          <w:color w:val="auto"/>
          <w:sz w:val="21"/>
          <w:szCs w:val="21"/>
          <w:u w:val="single"/>
        </w:rPr>
        <w:tab/>
      </w:r>
      <w:r>
        <w:rPr>
          <w:rFonts w:ascii="Times New Roman" w:hAnsi="Times New Roman" w:cs="Times New Roman"/>
          <w:color w:val="auto"/>
          <w:sz w:val="21"/>
          <w:szCs w:val="21"/>
          <w:u w:val="single"/>
        </w:rPr>
        <w:tab/>
      </w:r>
      <w:r>
        <w:rPr>
          <w:rFonts w:ascii="Times New Roman" w:hAnsi="Times New Roman" w:cs="Times New Roman"/>
          <w:color w:val="auto"/>
          <w:sz w:val="21"/>
          <w:szCs w:val="21"/>
          <w:u w:val="single"/>
        </w:rPr>
        <w:tab/>
      </w:r>
      <w:r>
        <w:rPr>
          <w:rFonts w:ascii="Times New Roman" w:hAnsi="Times New Roman" w:cs="Times New Roman"/>
          <w:color w:val="auto"/>
          <w:sz w:val="21"/>
          <w:szCs w:val="21"/>
          <w:u w:val="single"/>
        </w:rPr>
        <w:tab/>
      </w:r>
      <w:r>
        <w:rPr>
          <w:rFonts w:ascii="Times New Roman" w:hAnsi="Times New Roman" w:cs="Times New Roman"/>
          <w:color w:val="auto"/>
          <w:sz w:val="21"/>
          <w:szCs w:val="21"/>
          <w:u w:val="single"/>
          <w:lang w:eastAsia="zh-CN"/>
        </w:rPr>
        <w:t xml:space="preserve">        </w:t>
      </w:r>
    </w:p>
    <w:p w14:paraId="4C015371">
      <w:pPr>
        <w:spacing w:line="480" w:lineRule="auto"/>
        <w:ind w:firstLine="610"/>
        <w:rPr>
          <w:rFonts w:ascii="Times New Roman" w:hAnsi="Times New Roman" w:cs="Times New Roman"/>
          <w:color w:val="auto"/>
          <w:sz w:val="21"/>
          <w:szCs w:val="21"/>
        </w:rPr>
      </w:pPr>
      <w:r>
        <w:rPr>
          <w:rFonts w:ascii="Times New Roman" w:hAnsi="Times New Roman" w:cs="Times New Roman"/>
          <w:color w:val="auto"/>
          <w:sz w:val="21"/>
          <w:szCs w:val="21"/>
        </w:rPr>
        <w:t>地    址：</w:t>
      </w:r>
      <w:r>
        <w:rPr>
          <w:rFonts w:ascii="Times New Roman" w:hAnsi="Times New Roman" w:cs="Times New Roman"/>
          <w:color w:val="auto"/>
          <w:sz w:val="21"/>
          <w:szCs w:val="21"/>
          <w:u w:val="single"/>
        </w:rPr>
        <w:tab/>
      </w:r>
      <w:r>
        <w:rPr>
          <w:rFonts w:ascii="Times New Roman" w:hAnsi="Times New Roman" w:cs="Times New Roman"/>
          <w:color w:val="auto"/>
          <w:sz w:val="21"/>
          <w:szCs w:val="21"/>
          <w:u w:val="single"/>
        </w:rPr>
        <w:tab/>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u w:val="single"/>
        </w:rPr>
        <w:tab/>
      </w:r>
      <w:r>
        <w:rPr>
          <w:rFonts w:ascii="Times New Roman" w:hAnsi="Times New Roman" w:cs="Times New Roman"/>
          <w:color w:val="auto"/>
          <w:sz w:val="21"/>
          <w:szCs w:val="21"/>
          <w:u w:val="single"/>
        </w:rPr>
        <w:tab/>
      </w:r>
      <w:r>
        <w:rPr>
          <w:rFonts w:ascii="Times New Roman" w:hAnsi="Times New Roman" w:cs="Times New Roman"/>
          <w:color w:val="auto"/>
          <w:sz w:val="21"/>
          <w:szCs w:val="21"/>
          <w:u w:val="single"/>
        </w:rPr>
        <w:tab/>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u w:val="single"/>
          <w:lang w:eastAsia="zh-CN"/>
        </w:rPr>
        <w:t xml:space="preserve">                                         </w:t>
      </w:r>
      <w:r>
        <w:rPr>
          <w:rFonts w:ascii="Times New Roman" w:hAnsi="Times New Roman" w:cs="Times New Roman"/>
          <w:color w:val="auto"/>
          <w:sz w:val="21"/>
          <w:szCs w:val="21"/>
          <w:u w:val="single"/>
        </w:rPr>
        <w:t xml:space="preserve"> </w:t>
      </w:r>
    </w:p>
    <w:p w14:paraId="14E2E456">
      <w:pPr>
        <w:spacing w:line="480" w:lineRule="auto"/>
        <w:ind w:firstLine="610"/>
        <w:rPr>
          <w:rFonts w:ascii="Times New Roman" w:hAnsi="Times New Roman" w:cs="Times New Roman"/>
          <w:color w:val="auto"/>
          <w:sz w:val="21"/>
          <w:szCs w:val="21"/>
        </w:rPr>
      </w:pPr>
      <w:r>
        <w:rPr>
          <w:rFonts w:ascii="Times New Roman" w:hAnsi="Times New Roman" w:cs="Times New Roman"/>
          <w:color w:val="auto"/>
          <w:sz w:val="21"/>
          <w:szCs w:val="21"/>
        </w:rPr>
        <w:t>成立时间：</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rPr>
        <w:t>年</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rPr>
        <w:t>月</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rPr>
        <w:t>日</w:t>
      </w:r>
    </w:p>
    <w:p w14:paraId="23145DBC">
      <w:pPr>
        <w:spacing w:line="480" w:lineRule="auto"/>
        <w:ind w:firstLine="610"/>
        <w:rPr>
          <w:rFonts w:ascii="Times New Roman" w:hAnsi="Times New Roman" w:cs="Times New Roman"/>
          <w:color w:val="auto"/>
          <w:sz w:val="21"/>
          <w:szCs w:val="21"/>
        </w:rPr>
      </w:pPr>
      <w:r>
        <w:rPr>
          <w:rFonts w:ascii="Times New Roman" w:hAnsi="Times New Roman" w:cs="Times New Roman"/>
          <w:color w:val="auto"/>
          <w:sz w:val="21"/>
          <w:szCs w:val="21"/>
        </w:rPr>
        <w:t>经营期限：</w:t>
      </w:r>
      <w:r>
        <w:rPr>
          <w:rFonts w:ascii="Times New Roman" w:hAnsi="Times New Roman" w:cs="Times New Roman"/>
          <w:color w:val="auto"/>
          <w:sz w:val="21"/>
          <w:szCs w:val="21"/>
          <w:u w:val="single"/>
        </w:rPr>
        <w:tab/>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u w:val="single"/>
          <w:lang w:eastAsia="zh-CN"/>
        </w:rPr>
        <w:t xml:space="preserve">  </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u w:val="single"/>
        </w:rPr>
        <w:tab/>
      </w:r>
    </w:p>
    <w:p w14:paraId="73F7475E">
      <w:pPr>
        <w:spacing w:line="480" w:lineRule="auto"/>
        <w:ind w:firstLine="610"/>
        <w:rPr>
          <w:rFonts w:ascii="Times New Roman" w:hAnsi="Times New Roman" w:cs="Times New Roman"/>
          <w:color w:val="auto"/>
          <w:sz w:val="21"/>
          <w:szCs w:val="21"/>
          <w:u w:val="single"/>
          <w:lang w:eastAsia="zh-CN"/>
        </w:rPr>
      </w:pPr>
      <w:r>
        <w:rPr>
          <w:rFonts w:ascii="Times New Roman" w:hAnsi="Times New Roman" w:cs="Times New Roman"/>
          <w:color w:val="auto"/>
          <w:sz w:val="21"/>
          <w:szCs w:val="21"/>
        </w:rPr>
        <w:t>姓    名：</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u w:val="single"/>
          <w:lang w:eastAsia="zh-CN"/>
        </w:rPr>
        <w:t xml:space="preserve"> </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rPr>
        <w:t xml:space="preserve"> 性别：</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u w:val="single"/>
          <w:lang w:eastAsia="zh-CN"/>
        </w:rPr>
        <w:t xml:space="preserve">  </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rPr>
        <w:t>年龄：</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rPr>
        <w:t xml:space="preserve"> 职务：</w:t>
      </w:r>
      <w:r>
        <w:rPr>
          <w:rFonts w:ascii="Times New Roman" w:hAnsi="Times New Roman" w:cs="Times New Roman"/>
          <w:color w:val="auto"/>
          <w:sz w:val="21"/>
          <w:szCs w:val="21"/>
          <w:u w:val="single"/>
          <w:lang w:eastAsia="zh-CN"/>
        </w:rPr>
        <w:t xml:space="preserve">         </w:t>
      </w:r>
    </w:p>
    <w:p w14:paraId="1367F15E">
      <w:pPr>
        <w:spacing w:line="480" w:lineRule="auto"/>
        <w:ind w:firstLine="610"/>
        <w:rPr>
          <w:rFonts w:ascii="Times New Roman" w:hAnsi="Times New Roman" w:cs="Times New Roman"/>
          <w:color w:val="auto"/>
          <w:sz w:val="21"/>
          <w:szCs w:val="21"/>
        </w:rPr>
      </w:pPr>
      <w:r>
        <w:rPr>
          <w:rFonts w:ascii="Times New Roman" w:hAnsi="Times New Roman" w:cs="Times New Roman"/>
          <w:color w:val="auto"/>
          <w:sz w:val="21"/>
          <w:szCs w:val="21"/>
        </w:rPr>
        <w:t>系</w:t>
      </w:r>
      <w:r>
        <w:rPr>
          <w:rFonts w:ascii="Times New Roman" w:hAnsi="Times New Roman" w:cs="Times New Roman"/>
          <w:color w:val="auto"/>
          <w:sz w:val="21"/>
          <w:szCs w:val="21"/>
          <w:u w:val="single"/>
        </w:rPr>
        <w:t xml:space="preserve">          （供应商单位名称）         </w:t>
      </w:r>
      <w:r>
        <w:rPr>
          <w:rFonts w:ascii="Times New Roman" w:hAnsi="Times New Roman" w:cs="Times New Roman"/>
          <w:color w:val="auto"/>
          <w:sz w:val="21"/>
          <w:szCs w:val="21"/>
        </w:rPr>
        <w:t>的法定代表人。</w:t>
      </w:r>
    </w:p>
    <w:p w14:paraId="20A61031">
      <w:pPr>
        <w:spacing w:line="480" w:lineRule="auto"/>
        <w:ind w:right="480"/>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Pr>
          <w:rFonts w:ascii="Times New Roman" w:hAnsi="Times New Roman" w:cs="Times New Roman"/>
          <w:color w:val="auto"/>
          <w:sz w:val="21"/>
          <w:szCs w:val="21"/>
          <w:lang w:eastAsia="zh-CN"/>
        </w:rPr>
        <w:t xml:space="preserve">    </w:t>
      </w:r>
      <w:r>
        <w:rPr>
          <w:rFonts w:ascii="Times New Roman" w:hAnsi="Times New Roman" w:cs="Times New Roman"/>
          <w:b/>
          <w:bCs/>
          <w:color w:val="auto"/>
          <w:sz w:val="21"/>
          <w:szCs w:val="21"/>
        </w:rPr>
        <w:t>（后附法定代表人身份证正反面原件扫描件）</w:t>
      </w:r>
    </w:p>
    <w:p w14:paraId="08FE3284">
      <w:pPr>
        <w:spacing w:line="480" w:lineRule="auto"/>
        <w:ind w:firstLine="610"/>
        <w:rPr>
          <w:rFonts w:ascii="Times New Roman" w:hAnsi="Times New Roman" w:cs="Times New Roman"/>
          <w:color w:val="auto"/>
          <w:sz w:val="21"/>
          <w:szCs w:val="21"/>
        </w:rPr>
      </w:pPr>
    </w:p>
    <w:p w14:paraId="3E6B7737">
      <w:pPr>
        <w:spacing w:line="48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特此证明。</w:t>
      </w:r>
    </w:p>
    <w:p w14:paraId="39622687">
      <w:pPr>
        <w:spacing w:line="480" w:lineRule="auto"/>
        <w:ind w:firstLine="5040"/>
        <w:rPr>
          <w:rFonts w:ascii="Times New Roman" w:hAnsi="Times New Roman" w:cs="Times New Roman"/>
          <w:color w:val="auto"/>
        </w:rPr>
      </w:pPr>
      <w:r>
        <w:rPr>
          <w:rFonts w:ascii="Times New Roman" w:hAnsi="Times New Roman" w:cs="Times New Roman"/>
          <w:color w:val="auto"/>
          <w:sz w:val="24"/>
          <w:szCs w:val="24"/>
        </w:rPr>
        <w:t xml:space="preserve"> </w:t>
      </w:r>
    </w:p>
    <w:p w14:paraId="79CA9DB6">
      <w:pPr>
        <w:spacing w:line="480" w:lineRule="auto"/>
        <w:ind w:firstLine="5040"/>
        <w:rPr>
          <w:rFonts w:ascii="Times New Roman" w:hAnsi="Times New Roman" w:cs="Times New Roman"/>
          <w:color w:val="auto"/>
        </w:rPr>
      </w:pPr>
      <w:r>
        <w:rPr>
          <w:rFonts w:ascii="Times New Roman" w:hAnsi="Times New Roman" w:cs="Times New Roman"/>
          <w:color w:val="auto"/>
          <w:sz w:val="24"/>
          <w:szCs w:val="24"/>
        </w:rPr>
        <w:t xml:space="preserve"> </w:t>
      </w:r>
    </w:p>
    <w:p w14:paraId="39E646E3">
      <w:pPr>
        <w:spacing w:line="480" w:lineRule="auto"/>
        <w:ind w:firstLine="5040"/>
        <w:rPr>
          <w:rFonts w:ascii="Times New Roman" w:hAnsi="Times New Roman" w:cs="Times New Roman"/>
          <w:color w:val="auto"/>
        </w:rPr>
      </w:pPr>
      <w:r>
        <w:rPr>
          <w:rFonts w:ascii="Times New Roman" w:hAnsi="Times New Roman" w:cs="Times New Roman"/>
          <w:color w:val="auto"/>
          <w:sz w:val="24"/>
          <w:szCs w:val="24"/>
        </w:rPr>
        <w:t xml:space="preserve"> </w:t>
      </w:r>
    </w:p>
    <w:p w14:paraId="67A2E411">
      <w:pPr>
        <w:spacing w:line="48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lang w:eastAsia="zh-CN"/>
        </w:rPr>
        <w:t>投标供应商</w:t>
      </w:r>
      <w:r>
        <w:rPr>
          <w:rFonts w:ascii="Times New Roman" w:hAnsi="Times New Roman" w:cs="Times New Roman"/>
          <w:color w:val="auto"/>
          <w:sz w:val="21"/>
          <w:szCs w:val="21"/>
        </w:rPr>
        <w:t xml:space="preserve">： </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u w:val="single"/>
          <w:lang w:eastAsia="zh-CN"/>
        </w:rPr>
        <w:t xml:space="preserve">                                   </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rPr>
        <w:t xml:space="preserve">（签章） </w:t>
      </w:r>
    </w:p>
    <w:p w14:paraId="7CCA9FD7">
      <w:pPr>
        <w:spacing w:line="480" w:lineRule="auto"/>
        <w:ind w:right="48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 xml:space="preserve">法定代表人： </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u w:val="single"/>
          <w:lang w:eastAsia="zh-CN"/>
        </w:rPr>
        <w:t xml:space="preserve">                                        </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rPr>
        <w:t xml:space="preserve"> （签章）</w:t>
      </w:r>
    </w:p>
    <w:p w14:paraId="03286ECA">
      <w:pPr>
        <w:spacing w:line="480" w:lineRule="auto"/>
        <w:ind w:firstLine="420" w:firstLineChars="200"/>
        <w:jc w:val="both"/>
        <w:rPr>
          <w:rFonts w:ascii="Times New Roman" w:hAnsi="Times New Roman" w:cs="Times New Roman"/>
          <w:color w:val="auto"/>
          <w:sz w:val="21"/>
          <w:szCs w:val="21"/>
        </w:rPr>
      </w:pPr>
      <w:r>
        <w:rPr>
          <w:rFonts w:ascii="Times New Roman" w:hAnsi="Times New Roman" w:cs="Times New Roman"/>
          <w:i/>
          <w:iCs/>
          <w:color w:val="auto"/>
          <w:sz w:val="21"/>
          <w:szCs w:val="21"/>
          <w:u w:val="single"/>
        </w:rPr>
        <w:t xml:space="preserve">     </w:t>
      </w:r>
      <w:r>
        <w:rPr>
          <w:rFonts w:ascii="Times New Roman" w:hAnsi="Times New Roman" w:cs="Times New Roman"/>
          <w:i/>
          <w:iCs/>
          <w:color w:val="auto"/>
          <w:sz w:val="21"/>
          <w:szCs w:val="21"/>
          <w:u w:val="single"/>
          <w:lang w:eastAsia="zh-CN"/>
        </w:rPr>
        <w:t xml:space="preserve">     </w:t>
      </w:r>
      <w:r>
        <w:rPr>
          <w:rFonts w:ascii="Times New Roman" w:hAnsi="Times New Roman" w:cs="Times New Roman"/>
          <w:i/>
          <w:iCs/>
          <w:color w:val="auto"/>
          <w:sz w:val="21"/>
          <w:szCs w:val="21"/>
          <w:u w:val="single"/>
        </w:rPr>
        <w:t xml:space="preserve">   </w:t>
      </w:r>
      <w:r>
        <w:rPr>
          <w:rFonts w:ascii="Times New Roman" w:hAnsi="Times New Roman" w:cs="Times New Roman"/>
          <w:color w:val="auto"/>
          <w:sz w:val="21"/>
          <w:szCs w:val="21"/>
        </w:rPr>
        <w:t>年</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u w:val="single"/>
          <w:lang w:eastAsia="zh-CN"/>
        </w:rPr>
        <w:t xml:space="preserve">     </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rPr>
        <w:t>月</w:t>
      </w:r>
      <w:r>
        <w:rPr>
          <w:rFonts w:ascii="Times New Roman" w:hAnsi="Times New Roman" w:cs="Times New Roman"/>
          <w:i/>
          <w:iCs/>
          <w:color w:val="auto"/>
          <w:sz w:val="21"/>
          <w:szCs w:val="21"/>
          <w:u w:val="single"/>
        </w:rPr>
        <w:t xml:space="preserve">       </w:t>
      </w:r>
      <w:r>
        <w:rPr>
          <w:rFonts w:ascii="Times New Roman" w:hAnsi="Times New Roman" w:cs="Times New Roman"/>
          <w:i/>
          <w:iCs/>
          <w:color w:val="auto"/>
          <w:sz w:val="21"/>
          <w:szCs w:val="21"/>
          <w:u w:val="single"/>
          <w:lang w:eastAsia="zh-CN"/>
        </w:rPr>
        <w:t xml:space="preserve">     </w:t>
      </w:r>
      <w:r>
        <w:rPr>
          <w:rFonts w:ascii="Times New Roman" w:hAnsi="Times New Roman" w:cs="Times New Roman"/>
          <w:i/>
          <w:iCs/>
          <w:color w:val="auto"/>
          <w:sz w:val="21"/>
          <w:szCs w:val="21"/>
          <w:u w:val="single"/>
        </w:rPr>
        <w:t xml:space="preserve">  </w:t>
      </w:r>
      <w:r>
        <w:rPr>
          <w:rFonts w:ascii="Times New Roman" w:hAnsi="Times New Roman" w:cs="Times New Roman"/>
          <w:color w:val="auto"/>
          <w:sz w:val="21"/>
          <w:szCs w:val="21"/>
        </w:rPr>
        <w:t>日</w:t>
      </w:r>
    </w:p>
    <w:p w14:paraId="36F9B27B">
      <w:pPr>
        <w:spacing w:line="480" w:lineRule="auto"/>
        <w:ind w:firstLine="4551"/>
        <w:rPr>
          <w:rFonts w:ascii="Times New Roman" w:hAnsi="Times New Roman" w:cs="Times New Roman"/>
          <w:color w:val="auto"/>
        </w:rPr>
      </w:pPr>
      <w:r>
        <w:rPr>
          <w:rFonts w:ascii="Times New Roman" w:hAnsi="Times New Roman" w:cs="Times New Roman"/>
          <w:b/>
          <w:bCs/>
          <w:color w:val="auto"/>
          <w:sz w:val="24"/>
          <w:szCs w:val="24"/>
        </w:rPr>
        <w:t xml:space="preserve"> </w:t>
      </w:r>
    </w:p>
    <w:p w14:paraId="1C35E4F2">
      <w:pPr>
        <w:pStyle w:val="7"/>
        <w:pageBreakBefore/>
        <w:tabs>
          <w:tab w:val="left" w:pos="0"/>
        </w:tabs>
        <w:jc w:val="center"/>
        <w:rPr>
          <w:rFonts w:ascii="Times New Roman" w:hAnsi="Times New Roman"/>
          <w:color w:val="auto"/>
        </w:rPr>
      </w:pPr>
      <w:r>
        <w:rPr>
          <w:rFonts w:ascii="Times New Roman" w:hAnsi="Times New Roman"/>
          <w:bCs/>
          <w:color w:val="auto"/>
          <w:szCs w:val="32"/>
        </w:rPr>
        <w:t>四、授权委托书</w:t>
      </w:r>
    </w:p>
    <w:p w14:paraId="6728598D">
      <w:pPr>
        <w:widowControl/>
        <w:snapToGrid w:val="0"/>
        <w:spacing w:line="360" w:lineRule="auto"/>
        <w:ind w:firstLine="422" w:firstLineChars="200"/>
        <w:rPr>
          <w:rFonts w:ascii="Times New Roman" w:hAnsi="Times New Roman" w:cs="Times New Roman"/>
          <w:b/>
          <w:bCs/>
          <w:color w:val="auto"/>
          <w:sz w:val="21"/>
          <w:szCs w:val="21"/>
        </w:rPr>
      </w:pPr>
    </w:p>
    <w:p w14:paraId="2D9D7507">
      <w:pPr>
        <w:spacing w:line="360" w:lineRule="auto"/>
        <w:ind w:left="187" w:right="29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本人</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rPr>
        <w:t>（姓名）系</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rPr>
        <w:t>（</w:t>
      </w:r>
      <w:r>
        <w:rPr>
          <w:rFonts w:ascii="Times New Roman" w:hAnsi="Times New Roman" w:cs="Times New Roman"/>
          <w:color w:val="auto"/>
          <w:sz w:val="21"/>
          <w:szCs w:val="21"/>
          <w:lang w:eastAsia="zh-CN"/>
        </w:rPr>
        <w:t>投标供应商</w:t>
      </w:r>
      <w:r>
        <w:rPr>
          <w:rFonts w:ascii="Times New Roman" w:hAnsi="Times New Roman" w:cs="Times New Roman"/>
          <w:color w:val="auto"/>
          <w:sz w:val="21"/>
          <w:szCs w:val="21"/>
        </w:rPr>
        <w:t>名称）的法定代表人，现委托</w:t>
      </w:r>
      <w:r>
        <w:rPr>
          <w:rFonts w:ascii="Times New Roman" w:hAnsi="Times New Roman" w:cs="Times New Roman"/>
          <w:color w:val="auto"/>
          <w:sz w:val="21"/>
          <w:szCs w:val="21"/>
          <w:u w:val="single"/>
        </w:rPr>
        <w:t xml:space="preserve">     （姓名）</w:t>
      </w:r>
      <w:r>
        <w:rPr>
          <w:rFonts w:ascii="Times New Roman" w:hAnsi="Times New Roman" w:cs="Times New Roman"/>
          <w:color w:val="auto"/>
          <w:sz w:val="21"/>
          <w:szCs w:val="21"/>
        </w:rPr>
        <w:t>为我方代理人。代理人根据授权，以我方名义签署、澄清、说明、补正、递交、撤回、修改</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u w:val="single"/>
          <w:lang w:eastAsia="zh-CN"/>
        </w:rPr>
        <w:t xml:space="preserve">   </w:t>
      </w:r>
      <w:r>
        <w:rPr>
          <w:rFonts w:ascii="Times New Roman" w:hAnsi="Times New Roman" w:cs="Times New Roman"/>
          <w:color w:val="auto"/>
          <w:sz w:val="21"/>
          <w:szCs w:val="21"/>
          <w:u w:val="single"/>
        </w:rPr>
        <w:t xml:space="preserve">     （项目名称）</w:t>
      </w:r>
      <w:r>
        <w:rPr>
          <w:rFonts w:hint="eastAsia" w:cs="Times New Roman"/>
          <w:color w:val="auto"/>
          <w:sz w:val="21"/>
          <w:szCs w:val="21"/>
          <w:u w:val="single"/>
          <w:lang w:eastAsia="zh-CN"/>
        </w:rPr>
        <w:t>投标</w:t>
      </w:r>
      <w:r>
        <w:rPr>
          <w:rFonts w:ascii="Times New Roman" w:hAnsi="Times New Roman" w:cs="Times New Roman"/>
          <w:color w:val="auto"/>
          <w:sz w:val="21"/>
          <w:szCs w:val="21"/>
        </w:rPr>
        <w:t>文件、签订合同和处理有关事宜，其法律后果由我方承担。</w:t>
      </w:r>
    </w:p>
    <w:p w14:paraId="64DFA6E5">
      <w:pPr>
        <w:spacing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委托期限：</w:t>
      </w:r>
      <w:r>
        <w:rPr>
          <w:rFonts w:ascii="Times New Roman" w:hAnsi="Times New Roman" w:cs="Times New Roman"/>
          <w:color w:val="auto"/>
          <w:sz w:val="21"/>
          <w:szCs w:val="21"/>
          <w:u w:val="single"/>
        </w:rPr>
        <w:t xml:space="preserve">                 </w:t>
      </w:r>
    </w:p>
    <w:p w14:paraId="0C2BB1EA">
      <w:pPr>
        <w:spacing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代理人无转委托权。</w:t>
      </w:r>
    </w:p>
    <w:p w14:paraId="04EDF334">
      <w:pPr>
        <w:spacing w:line="360" w:lineRule="auto"/>
        <w:ind w:firstLine="422" w:firstLineChars="200"/>
        <w:rPr>
          <w:rFonts w:hint="eastAsia" w:ascii="Times New Roman" w:hAnsi="Times New Roman" w:cs="Times New Roman"/>
          <w:color w:val="auto"/>
          <w:sz w:val="21"/>
          <w:szCs w:val="21"/>
          <w:lang w:eastAsia="zh-CN"/>
        </w:rPr>
      </w:pPr>
      <w:r>
        <w:rPr>
          <w:rFonts w:hint="eastAsia" w:ascii="Times New Roman" w:hAnsi="Times New Roman" w:cs="Times New Roman"/>
          <w:b/>
          <w:bCs/>
          <w:color w:val="auto"/>
          <w:sz w:val="21"/>
          <w:szCs w:val="21"/>
          <w:lang w:eastAsia="zh-CN"/>
        </w:rPr>
        <w:t>（后附</w:t>
      </w:r>
      <w:r>
        <w:rPr>
          <w:rFonts w:ascii="Times New Roman" w:hAnsi="Times New Roman" w:cs="Times New Roman"/>
          <w:b/>
          <w:bCs/>
          <w:color w:val="auto"/>
          <w:sz w:val="21"/>
          <w:szCs w:val="21"/>
        </w:rPr>
        <w:t>委托代理人</w:t>
      </w:r>
      <w:r>
        <w:rPr>
          <w:rFonts w:hint="eastAsia" w:ascii="Times New Roman" w:hAnsi="Times New Roman" w:cs="Times New Roman"/>
          <w:b/>
          <w:bCs/>
          <w:color w:val="auto"/>
          <w:sz w:val="21"/>
          <w:szCs w:val="21"/>
          <w:lang w:eastAsia="zh-CN"/>
        </w:rPr>
        <w:t>身份证正反面原件扫描件）</w:t>
      </w:r>
    </w:p>
    <w:p w14:paraId="6D043E1B">
      <w:pPr>
        <w:pStyle w:val="17"/>
        <w:rPr>
          <w:rFonts w:ascii="Times New Roman" w:hAnsi="Times New Roman"/>
          <w:color w:val="auto"/>
          <w:sz w:val="21"/>
          <w:szCs w:val="21"/>
        </w:rPr>
      </w:pPr>
    </w:p>
    <w:p w14:paraId="0C261F7B">
      <w:pPr>
        <w:pStyle w:val="17"/>
        <w:rPr>
          <w:rFonts w:ascii="Times New Roman" w:hAnsi="Times New Roman"/>
          <w:color w:val="auto"/>
          <w:sz w:val="21"/>
          <w:szCs w:val="21"/>
        </w:rPr>
      </w:pPr>
    </w:p>
    <w:p w14:paraId="1CE7E596">
      <w:pPr>
        <w:pStyle w:val="17"/>
        <w:rPr>
          <w:rFonts w:ascii="Times New Roman" w:hAnsi="Times New Roman"/>
          <w:color w:val="auto"/>
          <w:sz w:val="21"/>
          <w:szCs w:val="21"/>
        </w:rPr>
      </w:pPr>
    </w:p>
    <w:p w14:paraId="5B67D67C">
      <w:pPr>
        <w:pStyle w:val="17"/>
        <w:rPr>
          <w:rFonts w:ascii="Times New Roman" w:hAnsi="Times New Roman"/>
          <w:color w:val="auto"/>
          <w:sz w:val="21"/>
          <w:szCs w:val="21"/>
        </w:rPr>
      </w:pPr>
    </w:p>
    <w:p w14:paraId="22DB927E">
      <w:pPr>
        <w:pStyle w:val="17"/>
        <w:rPr>
          <w:rFonts w:ascii="Times New Roman" w:hAnsi="Times New Roman"/>
          <w:color w:val="auto"/>
          <w:sz w:val="21"/>
          <w:szCs w:val="21"/>
        </w:rPr>
      </w:pPr>
    </w:p>
    <w:p w14:paraId="6CBCF9F2">
      <w:pPr>
        <w:spacing w:line="48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lang w:eastAsia="zh-CN"/>
        </w:rPr>
        <w:t>投标供应商</w:t>
      </w:r>
      <w:r>
        <w:rPr>
          <w:rFonts w:ascii="Times New Roman" w:hAnsi="Times New Roman" w:cs="Times New Roman"/>
          <w:color w:val="auto"/>
          <w:sz w:val="21"/>
          <w:szCs w:val="21"/>
        </w:rPr>
        <w:t xml:space="preserve">： </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u w:val="single"/>
          <w:lang w:eastAsia="zh-CN"/>
        </w:rPr>
        <w:t xml:space="preserve">                                   </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rPr>
        <w:t xml:space="preserve">（签章） </w:t>
      </w:r>
    </w:p>
    <w:p w14:paraId="2724C236">
      <w:pPr>
        <w:spacing w:line="480" w:lineRule="auto"/>
        <w:ind w:right="48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 xml:space="preserve">法定代表人： </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u w:val="single"/>
          <w:lang w:eastAsia="zh-CN"/>
        </w:rPr>
        <w:t xml:space="preserve">                                        </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rPr>
        <w:t xml:space="preserve"> （签章）</w:t>
      </w:r>
    </w:p>
    <w:p w14:paraId="375FD469">
      <w:pPr>
        <w:spacing w:line="480" w:lineRule="auto"/>
        <w:ind w:firstLine="420" w:firstLineChars="200"/>
        <w:jc w:val="both"/>
        <w:rPr>
          <w:rFonts w:ascii="Times New Roman" w:hAnsi="Times New Roman" w:cs="Times New Roman"/>
          <w:color w:val="auto"/>
          <w:sz w:val="21"/>
          <w:szCs w:val="21"/>
        </w:rPr>
      </w:pPr>
      <w:r>
        <w:rPr>
          <w:rFonts w:ascii="Times New Roman" w:hAnsi="Times New Roman" w:cs="Times New Roman"/>
          <w:i/>
          <w:iCs/>
          <w:color w:val="auto"/>
          <w:sz w:val="21"/>
          <w:szCs w:val="21"/>
          <w:u w:val="single"/>
        </w:rPr>
        <w:t xml:space="preserve">     </w:t>
      </w:r>
      <w:r>
        <w:rPr>
          <w:rFonts w:ascii="Times New Roman" w:hAnsi="Times New Roman" w:cs="Times New Roman"/>
          <w:i/>
          <w:iCs/>
          <w:color w:val="auto"/>
          <w:sz w:val="21"/>
          <w:szCs w:val="21"/>
          <w:u w:val="single"/>
          <w:lang w:eastAsia="zh-CN"/>
        </w:rPr>
        <w:t xml:space="preserve">     </w:t>
      </w:r>
      <w:r>
        <w:rPr>
          <w:rFonts w:ascii="Times New Roman" w:hAnsi="Times New Roman" w:cs="Times New Roman"/>
          <w:i/>
          <w:iCs/>
          <w:color w:val="auto"/>
          <w:sz w:val="21"/>
          <w:szCs w:val="21"/>
          <w:u w:val="single"/>
        </w:rPr>
        <w:t xml:space="preserve">   </w:t>
      </w:r>
      <w:r>
        <w:rPr>
          <w:rFonts w:ascii="Times New Roman" w:hAnsi="Times New Roman" w:cs="Times New Roman"/>
          <w:color w:val="auto"/>
          <w:sz w:val="21"/>
          <w:szCs w:val="21"/>
        </w:rPr>
        <w:t>年</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u w:val="single"/>
          <w:lang w:eastAsia="zh-CN"/>
        </w:rPr>
        <w:t xml:space="preserve">     </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rPr>
        <w:t>月</w:t>
      </w:r>
      <w:r>
        <w:rPr>
          <w:rFonts w:ascii="Times New Roman" w:hAnsi="Times New Roman" w:cs="Times New Roman"/>
          <w:i/>
          <w:iCs/>
          <w:color w:val="auto"/>
          <w:sz w:val="21"/>
          <w:szCs w:val="21"/>
          <w:u w:val="single"/>
        </w:rPr>
        <w:t xml:space="preserve">       </w:t>
      </w:r>
      <w:r>
        <w:rPr>
          <w:rFonts w:ascii="Times New Roman" w:hAnsi="Times New Roman" w:cs="Times New Roman"/>
          <w:i/>
          <w:iCs/>
          <w:color w:val="auto"/>
          <w:sz w:val="21"/>
          <w:szCs w:val="21"/>
          <w:u w:val="single"/>
          <w:lang w:eastAsia="zh-CN"/>
        </w:rPr>
        <w:t xml:space="preserve">     </w:t>
      </w:r>
      <w:r>
        <w:rPr>
          <w:rFonts w:ascii="Times New Roman" w:hAnsi="Times New Roman" w:cs="Times New Roman"/>
          <w:i/>
          <w:iCs/>
          <w:color w:val="auto"/>
          <w:sz w:val="21"/>
          <w:szCs w:val="21"/>
          <w:u w:val="single"/>
        </w:rPr>
        <w:t xml:space="preserve">  </w:t>
      </w:r>
      <w:r>
        <w:rPr>
          <w:rFonts w:ascii="Times New Roman" w:hAnsi="Times New Roman" w:cs="Times New Roman"/>
          <w:color w:val="auto"/>
          <w:sz w:val="21"/>
          <w:szCs w:val="21"/>
        </w:rPr>
        <w:t>日</w:t>
      </w:r>
    </w:p>
    <w:p w14:paraId="5CDD35E4">
      <w:pPr>
        <w:spacing w:line="360" w:lineRule="auto"/>
        <w:ind w:firstLine="420" w:firstLineChars="200"/>
        <w:rPr>
          <w:rFonts w:ascii="Times New Roman" w:hAnsi="Times New Roman" w:cs="Times New Roman"/>
          <w:color w:val="auto"/>
          <w:sz w:val="21"/>
          <w:szCs w:val="21"/>
        </w:rPr>
      </w:pPr>
    </w:p>
    <w:p w14:paraId="506AF8ED">
      <w:pPr>
        <w:spacing w:line="360" w:lineRule="auto"/>
        <w:ind w:firstLine="820"/>
        <w:rPr>
          <w:rFonts w:ascii="Times New Roman" w:hAnsi="Times New Roman" w:cs="Times New Roman"/>
          <w:color w:val="auto"/>
          <w:sz w:val="24"/>
          <w:szCs w:val="24"/>
        </w:rPr>
      </w:pPr>
    </w:p>
    <w:p w14:paraId="74D940AF">
      <w:pPr>
        <w:spacing w:line="360" w:lineRule="auto"/>
        <w:ind w:firstLine="820"/>
        <w:rPr>
          <w:rFonts w:ascii="Times New Roman" w:hAnsi="Times New Roman" w:cs="Times New Roman"/>
          <w:color w:val="auto"/>
          <w:sz w:val="24"/>
        </w:rPr>
      </w:pPr>
    </w:p>
    <w:p w14:paraId="22918D9E">
      <w:pPr>
        <w:spacing w:line="360" w:lineRule="auto"/>
        <w:ind w:firstLine="1920"/>
        <w:rPr>
          <w:rFonts w:ascii="Times New Roman" w:hAnsi="Times New Roman" w:cs="Times New Roman"/>
          <w:color w:val="auto"/>
        </w:rPr>
      </w:pPr>
      <w:r>
        <w:rPr>
          <w:rFonts w:ascii="Times New Roman" w:hAnsi="Times New Roman" w:cs="Times New Roman"/>
          <w:color w:val="auto"/>
          <w:sz w:val="24"/>
        </w:rPr>
        <w:t xml:space="preserve">   </w:t>
      </w:r>
      <w:r>
        <w:rPr>
          <w:rFonts w:ascii="Times New Roman" w:hAnsi="Times New Roman" w:cs="Times New Roman"/>
          <w:color w:val="auto"/>
        </w:rPr>
        <w:t xml:space="preserve"> </w:t>
      </w:r>
    </w:p>
    <w:p w14:paraId="530B260E">
      <w:pPr>
        <w:spacing w:line="360" w:lineRule="auto"/>
        <w:ind w:firstLine="1760"/>
        <w:rPr>
          <w:rFonts w:ascii="Times New Roman" w:hAnsi="Times New Roman" w:cs="Times New Roman"/>
          <w:color w:val="auto"/>
          <w:sz w:val="24"/>
          <w:szCs w:val="24"/>
        </w:rPr>
      </w:pPr>
    </w:p>
    <w:p w14:paraId="0FAAABCD">
      <w:pPr>
        <w:pStyle w:val="7"/>
        <w:numPr>
          <w:ilvl w:val="0"/>
          <w:numId w:val="0"/>
        </w:numPr>
        <w:tabs>
          <w:tab w:val="left" w:pos="0"/>
        </w:tabs>
        <w:rPr>
          <w:rFonts w:ascii="Times New Roman" w:hAnsi="Times New Roman"/>
          <w:bCs/>
          <w:color w:val="auto"/>
          <w:szCs w:val="32"/>
        </w:rPr>
      </w:pPr>
    </w:p>
    <w:p w14:paraId="5446B3EC">
      <w:pPr>
        <w:pStyle w:val="7"/>
        <w:pageBreakBefore/>
        <w:tabs>
          <w:tab w:val="left" w:pos="0"/>
        </w:tabs>
        <w:jc w:val="center"/>
        <w:rPr>
          <w:rFonts w:ascii="Times New Roman" w:hAnsi="Times New Roman"/>
          <w:color w:val="auto"/>
        </w:rPr>
      </w:pPr>
      <w:r>
        <w:rPr>
          <w:rFonts w:ascii="Times New Roman" w:hAnsi="Times New Roman"/>
          <w:bCs/>
          <w:color w:val="auto"/>
          <w:szCs w:val="32"/>
        </w:rPr>
        <w:t>五、业绩一览表及证明材料</w:t>
      </w:r>
    </w:p>
    <w:p w14:paraId="238DCE2C">
      <w:pPr>
        <w:spacing w:line="360" w:lineRule="auto"/>
        <w:ind w:firstLine="141"/>
        <w:rPr>
          <w:rFonts w:ascii="Times New Roman" w:hAnsi="Times New Roman" w:cs="Times New Roman"/>
          <w:color w:val="auto"/>
          <w:sz w:val="21"/>
          <w:szCs w:val="21"/>
        </w:rPr>
      </w:pPr>
      <w:r>
        <w:rPr>
          <w:rFonts w:ascii="Times New Roman" w:hAnsi="Times New Roman" w:cs="Times New Roman"/>
          <w:bCs/>
          <w:color w:val="auto"/>
          <w:sz w:val="21"/>
          <w:szCs w:val="21"/>
        </w:rPr>
        <w:t>项目名称：</w:t>
      </w:r>
    </w:p>
    <w:p w14:paraId="19C4E0FB">
      <w:pPr>
        <w:spacing w:line="360" w:lineRule="auto"/>
        <w:ind w:firstLine="141"/>
        <w:rPr>
          <w:rFonts w:ascii="Times New Roman" w:hAnsi="Times New Roman" w:cs="Times New Roman"/>
          <w:color w:val="auto"/>
          <w:sz w:val="21"/>
          <w:szCs w:val="21"/>
        </w:rPr>
      </w:pPr>
      <w:r>
        <w:rPr>
          <w:rFonts w:ascii="Times New Roman" w:hAnsi="Times New Roman" w:cs="Times New Roman"/>
          <w:bCs/>
          <w:color w:val="auto"/>
          <w:sz w:val="21"/>
          <w:szCs w:val="21"/>
        </w:rPr>
        <w:t>项目编号：</w:t>
      </w:r>
    </w:p>
    <w:tbl>
      <w:tblPr>
        <w:tblStyle w:val="19"/>
        <w:tblW w:w="85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8"/>
        <w:gridCol w:w="1620"/>
        <w:gridCol w:w="1440"/>
        <w:gridCol w:w="1356"/>
        <w:gridCol w:w="1356"/>
        <w:gridCol w:w="1811"/>
      </w:tblGrid>
      <w:tr w14:paraId="1073B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120B08A">
            <w:pPr>
              <w:jc w:val="center"/>
              <w:rPr>
                <w:rFonts w:ascii="Times New Roman" w:hAnsi="Times New Roman" w:cs="Times New Roman"/>
                <w:color w:val="auto"/>
                <w:sz w:val="21"/>
                <w:szCs w:val="21"/>
              </w:rPr>
            </w:pPr>
            <w:r>
              <w:rPr>
                <w:rFonts w:ascii="Times New Roman" w:hAnsi="Times New Roman" w:cs="Times New Roman"/>
                <w:color w:val="auto"/>
                <w:sz w:val="21"/>
                <w:szCs w:val="21"/>
              </w:rPr>
              <w:t>序号</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51F171DA">
            <w:pPr>
              <w:jc w:val="center"/>
              <w:rPr>
                <w:rFonts w:ascii="Times New Roman" w:hAnsi="Times New Roman" w:cs="Times New Roman"/>
                <w:color w:val="auto"/>
                <w:sz w:val="21"/>
                <w:szCs w:val="21"/>
              </w:rPr>
            </w:pPr>
            <w:r>
              <w:rPr>
                <w:rFonts w:ascii="Times New Roman" w:hAnsi="Times New Roman" w:cs="Times New Roman"/>
                <w:color w:val="auto"/>
                <w:sz w:val="21"/>
                <w:szCs w:val="21"/>
              </w:rPr>
              <w:t>项目名称</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13BFC92">
            <w:pPr>
              <w:jc w:val="center"/>
              <w:rPr>
                <w:rFonts w:ascii="Times New Roman" w:hAnsi="Times New Roman" w:cs="Times New Roman"/>
                <w:color w:val="auto"/>
                <w:sz w:val="21"/>
                <w:szCs w:val="21"/>
              </w:rPr>
            </w:pPr>
            <w:r>
              <w:rPr>
                <w:rFonts w:ascii="Times New Roman" w:hAnsi="Times New Roman" w:cs="Times New Roman"/>
                <w:color w:val="auto"/>
                <w:sz w:val="21"/>
                <w:szCs w:val="21"/>
                <w:lang w:eastAsia="zh-CN"/>
              </w:rPr>
              <w:t>中标日期</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8B1FAB7">
            <w:pPr>
              <w:jc w:val="center"/>
              <w:rPr>
                <w:rFonts w:ascii="Times New Roman" w:hAnsi="Times New Roman" w:cs="Times New Roman"/>
                <w:color w:val="auto"/>
                <w:sz w:val="21"/>
                <w:szCs w:val="21"/>
              </w:rPr>
            </w:pPr>
            <w:r>
              <w:rPr>
                <w:rFonts w:ascii="Times New Roman" w:hAnsi="Times New Roman" w:cs="Times New Roman"/>
                <w:color w:val="auto"/>
                <w:sz w:val="21"/>
                <w:szCs w:val="21"/>
                <w:lang w:eastAsia="zh-CN"/>
              </w:rPr>
              <w:t>采购</w:t>
            </w:r>
            <w:r>
              <w:rPr>
                <w:rFonts w:ascii="Times New Roman" w:hAnsi="Times New Roman" w:cs="Times New Roman"/>
                <w:color w:val="auto"/>
                <w:sz w:val="21"/>
                <w:szCs w:val="21"/>
              </w:rPr>
              <w:t>单位</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D8C3A38">
            <w:pPr>
              <w:jc w:val="center"/>
              <w:rPr>
                <w:rFonts w:ascii="Times New Roman" w:hAnsi="Times New Roman" w:cs="Times New Roman"/>
                <w:color w:val="auto"/>
                <w:sz w:val="21"/>
                <w:szCs w:val="21"/>
              </w:rPr>
            </w:pPr>
            <w:r>
              <w:rPr>
                <w:rFonts w:ascii="Times New Roman" w:hAnsi="Times New Roman" w:cs="Times New Roman"/>
                <w:color w:val="auto"/>
                <w:sz w:val="21"/>
                <w:szCs w:val="21"/>
                <w:lang w:eastAsia="zh-CN"/>
              </w:rPr>
              <w:t>中标金额</w:t>
            </w: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26B82CF2">
            <w:pPr>
              <w:jc w:val="center"/>
              <w:rPr>
                <w:rFonts w:ascii="Times New Roman" w:hAnsi="Times New Roman" w:cs="Times New Roman"/>
                <w:color w:val="auto"/>
                <w:sz w:val="21"/>
                <w:szCs w:val="21"/>
              </w:rPr>
            </w:pPr>
            <w:r>
              <w:rPr>
                <w:rFonts w:ascii="Times New Roman" w:hAnsi="Times New Roman" w:cs="Times New Roman"/>
                <w:color w:val="auto"/>
                <w:sz w:val="21"/>
                <w:szCs w:val="21"/>
                <w:lang w:eastAsia="zh-CN"/>
              </w:rPr>
              <w:t>合同签订时间</w:t>
            </w:r>
          </w:p>
        </w:tc>
      </w:tr>
      <w:tr w14:paraId="0CEA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04ECE696">
            <w:pPr>
              <w:snapToGrid w:val="0"/>
              <w:jc w:val="center"/>
              <w:rPr>
                <w:rFonts w:ascii="Times New Roman" w:hAnsi="Times New Roman" w:cs="Times New Roman"/>
                <w:color w:val="auto"/>
                <w:sz w:val="21"/>
                <w:szCs w:val="21"/>
                <w:lang w:eastAsia="zh-CN"/>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69538DAF">
            <w:pPr>
              <w:snapToGrid w:val="0"/>
              <w:jc w:val="center"/>
              <w:rPr>
                <w:rFonts w:ascii="Times New Roman" w:hAnsi="Times New Roman" w:cs="Times New Roman"/>
                <w:color w:val="auto"/>
                <w:sz w:val="21"/>
                <w:szCs w:val="21"/>
                <w:lang w:eastAsia="zh-CN"/>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2376C34">
            <w:pPr>
              <w:snapToGrid w:val="0"/>
              <w:jc w:val="center"/>
              <w:rPr>
                <w:rFonts w:ascii="Times New Roman" w:hAnsi="Times New Roman" w:cs="Times New Roman"/>
                <w:color w:val="auto"/>
                <w:sz w:val="21"/>
                <w:szCs w:val="21"/>
                <w:lang w:eastAsia="zh-CN"/>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3A5EEFD">
            <w:pPr>
              <w:snapToGrid w:val="0"/>
              <w:jc w:val="center"/>
              <w:rPr>
                <w:rFonts w:ascii="Times New Roman" w:hAnsi="Times New Roman" w:cs="Times New Roman"/>
                <w:color w:val="auto"/>
                <w:sz w:val="21"/>
                <w:szCs w:val="21"/>
                <w:lang w:eastAsia="zh-CN"/>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C5DFC95">
            <w:pPr>
              <w:snapToGrid w:val="0"/>
              <w:jc w:val="center"/>
              <w:rPr>
                <w:rFonts w:ascii="Times New Roman" w:hAnsi="Times New Roman" w:cs="Times New Roman"/>
                <w:color w:val="auto"/>
                <w:sz w:val="21"/>
                <w:szCs w:val="21"/>
                <w:lang w:eastAsia="zh-CN"/>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6D0C53F3">
            <w:pPr>
              <w:snapToGrid w:val="0"/>
              <w:jc w:val="center"/>
              <w:rPr>
                <w:rFonts w:ascii="Times New Roman" w:hAnsi="Times New Roman" w:cs="Times New Roman"/>
                <w:color w:val="auto"/>
                <w:sz w:val="21"/>
                <w:szCs w:val="21"/>
                <w:lang w:eastAsia="zh-CN"/>
              </w:rPr>
            </w:pPr>
          </w:p>
        </w:tc>
      </w:tr>
      <w:tr w14:paraId="016D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4AA20A0A">
            <w:pPr>
              <w:snapToGrid w:val="0"/>
              <w:jc w:val="center"/>
              <w:rPr>
                <w:rFonts w:ascii="Times New Roman" w:hAnsi="Times New Roman" w:cs="Times New Roman"/>
                <w:color w:val="auto"/>
                <w:sz w:val="21"/>
                <w:szCs w:val="21"/>
                <w:lang w:eastAsia="zh-CN"/>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AC13AF6">
            <w:pPr>
              <w:snapToGrid w:val="0"/>
              <w:jc w:val="center"/>
              <w:rPr>
                <w:rFonts w:ascii="Times New Roman" w:hAnsi="Times New Roman" w:cs="Times New Roman"/>
                <w:color w:val="auto"/>
                <w:sz w:val="21"/>
                <w:szCs w:val="21"/>
                <w:lang w:eastAsia="zh-CN"/>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80BB20E">
            <w:pPr>
              <w:snapToGrid w:val="0"/>
              <w:jc w:val="center"/>
              <w:rPr>
                <w:rFonts w:ascii="Times New Roman" w:hAnsi="Times New Roman" w:cs="Times New Roman"/>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15FCD8C">
            <w:pPr>
              <w:snapToGrid w:val="0"/>
              <w:jc w:val="center"/>
              <w:rPr>
                <w:rFonts w:ascii="Times New Roman" w:hAnsi="Times New Roman" w:cs="Times New Roman"/>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BCCC026">
            <w:pPr>
              <w:snapToGrid w:val="0"/>
              <w:jc w:val="center"/>
              <w:rPr>
                <w:rFonts w:ascii="Times New Roman" w:hAnsi="Times New Roman" w:cs="Times New Roman"/>
                <w:color w:val="auto"/>
                <w:sz w:val="21"/>
                <w:szCs w:val="21"/>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63EA7631">
            <w:pPr>
              <w:snapToGrid w:val="0"/>
              <w:jc w:val="center"/>
              <w:rPr>
                <w:rFonts w:ascii="Times New Roman" w:hAnsi="Times New Roman" w:cs="Times New Roman"/>
                <w:color w:val="auto"/>
                <w:sz w:val="21"/>
                <w:szCs w:val="21"/>
              </w:rPr>
            </w:pPr>
          </w:p>
        </w:tc>
      </w:tr>
      <w:tr w14:paraId="065E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4494401">
            <w:pPr>
              <w:snapToGrid w:val="0"/>
              <w:jc w:val="center"/>
              <w:rPr>
                <w:rFonts w:ascii="Times New Roman" w:hAnsi="Times New Roman" w:cs="Times New Roman"/>
                <w:color w:val="auto"/>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355B550F">
            <w:pPr>
              <w:snapToGrid w:val="0"/>
              <w:jc w:val="center"/>
              <w:rPr>
                <w:rFonts w:ascii="Times New Roman" w:hAnsi="Times New Roman" w:cs="Times New Roman"/>
                <w:color w:val="auto"/>
                <w:sz w:val="21"/>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79D3808">
            <w:pPr>
              <w:snapToGrid w:val="0"/>
              <w:jc w:val="center"/>
              <w:rPr>
                <w:rFonts w:ascii="Times New Roman" w:hAnsi="Times New Roman" w:cs="Times New Roman"/>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06F6871">
            <w:pPr>
              <w:snapToGrid w:val="0"/>
              <w:jc w:val="center"/>
              <w:rPr>
                <w:rFonts w:ascii="Times New Roman" w:hAnsi="Times New Roman" w:cs="Times New Roman"/>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874349C">
            <w:pPr>
              <w:snapToGrid w:val="0"/>
              <w:jc w:val="center"/>
              <w:rPr>
                <w:rFonts w:ascii="Times New Roman" w:hAnsi="Times New Roman" w:cs="Times New Roman"/>
                <w:color w:val="auto"/>
                <w:sz w:val="21"/>
                <w:szCs w:val="21"/>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0E9C5444">
            <w:pPr>
              <w:snapToGrid w:val="0"/>
              <w:jc w:val="center"/>
              <w:rPr>
                <w:rFonts w:ascii="Times New Roman" w:hAnsi="Times New Roman" w:cs="Times New Roman"/>
                <w:color w:val="auto"/>
                <w:sz w:val="21"/>
                <w:szCs w:val="21"/>
              </w:rPr>
            </w:pPr>
          </w:p>
        </w:tc>
      </w:tr>
      <w:tr w14:paraId="79559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0925282C">
            <w:pPr>
              <w:snapToGrid w:val="0"/>
              <w:jc w:val="center"/>
              <w:rPr>
                <w:rFonts w:ascii="Times New Roman" w:hAnsi="Times New Roman" w:cs="Times New Roman"/>
                <w:color w:val="auto"/>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3CFE11ED">
            <w:pPr>
              <w:snapToGrid w:val="0"/>
              <w:jc w:val="center"/>
              <w:rPr>
                <w:rFonts w:ascii="Times New Roman" w:hAnsi="Times New Roman" w:cs="Times New Roman"/>
                <w:color w:val="auto"/>
                <w:sz w:val="21"/>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E8CF4B9">
            <w:pPr>
              <w:snapToGrid w:val="0"/>
              <w:jc w:val="center"/>
              <w:rPr>
                <w:rFonts w:ascii="Times New Roman" w:hAnsi="Times New Roman" w:cs="Times New Roman"/>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9D4F0EB">
            <w:pPr>
              <w:snapToGrid w:val="0"/>
              <w:jc w:val="center"/>
              <w:rPr>
                <w:rFonts w:ascii="Times New Roman" w:hAnsi="Times New Roman" w:cs="Times New Roman"/>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7238F54">
            <w:pPr>
              <w:snapToGrid w:val="0"/>
              <w:jc w:val="center"/>
              <w:rPr>
                <w:rFonts w:ascii="Times New Roman" w:hAnsi="Times New Roman" w:cs="Times New Roman"/>
                <w:color w:val="auto"/>
                <w:sz w:val="21"/>
                <w:szCs w:val="21"/>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1594091A">
            <w:pPr>
              <w:snapToGrid w:val="0"/>
              <w:jc w:val="center"/>
              <w:rPr>
                <w:rFonts w:ascii="Times New Roman" w:hAnsi="Times New Roman" w:cs="Times New Roman"/>
                <w:color w:val="auto"/>
                <w:sz w:val="21"/>
                <w:szCs w:val="21"/>
              </w:rPr>
            </w:pPr>
          </w:p>
        </w:tc>
      </w:tr>
      <w:tr w14:paraId="0E519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3AB99F3">
            <w:pPr>
              <w:snapToGrid w:val="0"/>
              <w:jc w:val="center"/>
              <w:rPr>
                <w:rFonts w:ascii="Times New Roman" w:hAnsi="Times New Roman" w:cs="Times New Roman"/>
                <w:color w:val="auto"/>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53621A4C">
            <w:pPr>
              <w:snapToGrid w:val="0"/>
              <w:jc w:val="center"/>
              <w:rPr>
                <w:rFonts w:ascii="Times New Roman" w:hAnsi="Times New Roman" w:cs="Times New Roman"/>
                <w:color w:val="auto"/>
                <w:sz w:val="21"/>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4136974">
            <w:pPr>
              <w:snapToGrid w:val="0"/>
              <w:jc w:val="center"/>
              <w:rPr>
                <w:rFonts w:ascii="Times New Roman" w:hAnsi="Times New Roman" w:cs="Times New Roman"/>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D73EEEF">
            <w:pPr>
              <w:snapToGrid w:val="0"/>
              <w:jc w:val="center"/>
              <w:rPr>
                <w:rFonts w:ascii="Times New Roman" w:hAnsi="Times New Roman" w:cs="Times New Roman"/>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0F3867A">
            <w:pPr>
              <w:snapToGrid w:val="0"/>
              <w:jc w:val="center"/>
              <w:rPr>
                <w:rFonts w:ascii="Times New Roman" w:hAnsi="Times New Roman" w:cs="Times New Roman"/>
                <w:color w:val="auto"/>
                <w:sz w:val="21"/>
                <w:szCs w:val="21"/>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22C39979">
            <w:pPr>
              <w:snapToGrid w:val="0"/>
              <w:jc w:val="center"/>
              <w:rPr>
                <w:rFonts w:ascii="Times New Roman" w:hAnsi="Times New Roman" w:cs="Times New Roman"/>
                <w:color w:val="auto"/>
                <w:sz w:val="21"/>
                <w:szCs w:val="21"/>
              </w:rPr>
            </w:pPr>
          </w:p>
        </w:tc>
      </w:tr>
      <w:tr w14:paraId="5B354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861374B">
            <w:pPr>
              <w:snapToGrid w:val="0"/>
              <w:jc w:val="center"/>
              <w:rPr>
                <w:rFonts w:ascii="Times New Roman" w:hAnsi="Times New Roman" w:cs="Times New Roman"/>
                <w:color w:val="auto"/>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2692EB01">
            <w:pPr>
              <w:snapToGrid w:val="0"/>
              <w:jc w:val="center"/>
              <w:rPr>
                <w:rFonts w:ascii="Times New Roman" w:hAnsi="Times New Roman" w:cs="Times New Roman"/>
                <w:color w:val="auto"/>
                <w:sz w:val="21"/>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DDEB4DD">
            <w:pPr>
              <w:snapToGrid w:val="0"/>
              <w:jc w:val="center"/>
              <w:rPr>
                <w:rFonts w:ascii="Times New Roman" w:hAnsi="Times New Roman" w:cs="Times New Roman"/>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F8E46D8">
            <w:pPr>
              <w:snapToGrid w:val="0"/>
              <w:jc w:val="center"/>
              <w:rPr>
                <w:rFonts w:ascii="Times New Roman" w:hAnsi="Times New Roman" w:cs="Times New Roman"/>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3F2A346">
            <w:pPr>
              <w:snapToGrid w:val="0"/>
              <w:jc w:val="center"/>
              <w:rPr>
                <w:rFonts w:ascii="Times New Roman" w:hAnsi="Times New Roman" w:cs="Times New Roman"/>
                <w:color w:val="auto"/>
                <w:sz w:val="21"/>
                <w:szCs w:val="21"/>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4B126BB6">
            <w:pPr>
              <w:snapToGrid w:val="0"/>
              <w:jc w:val="center"/>
              <w:rPr>
                <w:rFonts w:ascii="Times New Roman" w:hAnsi="Times New Roman" w:cs="Times New Roman"/>
                <w:color w:val="auto"/>
                <w:sz w:val="21"/>
                <w:szCs w:val="21"/>
              </w:rPr>
            </w:pPr>
          </w:p>
        </w:tc>
      </w:tr>
      <w:tr w14:paraId="42195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EDF3B42">
            <w:pPr>
              <w:snapToGrid w:val="0"/>
              <w:jc w:val="center"/>
              <w:rPr>
                <w:rFonts w:ascii="Times New Roman" w:hAnsi="Times New Roman" w:cs="Times New Roman"/>
                <w:color w:val="auto"/>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51134468">
            <w:pPr>
              <w:snapToGrid w:val="0"/>
              <w:jc w:val="center"/>
              <w:rPr>
                <w:rFonts w:ascii="Times New Roman" w:hAnsi="Times New Roman" w:cs="Times New Roman"/>
                <w:color w:val="auto"/>
                <w:sz w:val="21"/>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002305C">
            <w:pPr>
              <w:snapToGrid w:val="0"/>
              <w:jc w:val="center"/>
              <w:rPr>
                <w:rFonts w:ascii="Times New Roman" w:hAnsi="Times New Roman" w:cs="Times New Roman"/>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5E0AC8B">
            <w:pPr>
              <w:snapToGrid w:val="0"/>
              <w:jc w:val="center"/>
              <w:rPr>
                <w:rFonts w:ascii="Times New Roman" w:hAnsi="Times New Roman" w:cs="Times New Roman"/>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CB5EF03">
            <w:pPr>
              <w:snapToGrid w:val="0"/>
              <w:jc w:val="center"/>
              <w:rPr>
                <w:rFonts w:ascii="Times New Roman" w:hAnsi="Times New Roman" w:cs="Times New Roman"/>
                <w:color w:val="auto"/>
                <w:sz w:val="21"/>
                <w:szCs w:val="21"/>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01CD93B6">
            <w:pPr>
              <w:snapToGrid w:val="0"/>
              <w:jc w:val="center"/>
              <w:rPr>
                <w:rFonts w:ascii="Times New Roman" w:hAnsi="Times New Roman" w:cs="Times New Roman"/>
                <w:color w:val="auto"/>
                <w:sz w:val="21"/>
                <w:szCs w:val="21"/>
              </w:rPr>
            </w:pPr>
          </w:p>
        </w:tc>
      </w:tr>
      <w:tr w14:paraId="2E53F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42CEE52A">
            <w:pPr>
              <w:snapToGrid w:val="0"/>
              <w:jc w:val="center"/>
              <w:rPr>
                <w:rFonts w:ascii="Times New Roman" w:hAnsi="Times New Roman" w:cs="Times New Roman"/>
                <w:color w:val="auto"/>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57E282AA">
            <w:pPr>
              <w:snapToGrid w:val="0"/>
              <w:jc w:val="center"/>
              <w:rPr>
                <w:rFonts w:ascii="Times New Roman" w:hAnsi="Times New Roman" w:cs="Times New Roman"/>
                <w:color w:val="auto"/>
                <w:sz w:val="21"/>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61C4C59">
            <w:pPr>
              <w:snapToGrid w:val="0"/>
              <w:jc w:val="center"/>
              <w:rPr>
                <w:rFonts w:ascii="Times New Roman" w:hAnsi="Times New Roman" w:cs="Times New Roman"/>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0D0399B">
            <w:pPr>
              <w:snapToGrid w:val="0"/>
              <w:jc w:val="center"/>
              <w:rPr>
                <w:rFonts w:ascii="Times New Roman" w:hAnsi="Times New Roman" w:cs="Times New Roman"/>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8891771">
            <w:pPr>
              <w:snapToGrid w:val="0"/>
              <w:jc w:val="center"/>
              <w:rPr>
                <w:rFonts w:ascii="Times New Roman" w:hAnsi="Times New Roman" w:cs="Times New Roman"/>
                <w:color w:val="auto"/>
                <w:sz w:val="21"/>
                <w:szCs w:val="21"/>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4A0FFE2C">
            <w:pPr>
              <w:snapToGrid w:val="0"/>
              <w:jc w:val="center"/>
              <w:rPr>
                <w:rFonts w:ascii="Times New Roman" w:hAnsi="Times New Roman" w:cs="Times New Roman"/>
                <w:color w:val="auto"/>
                <w:sz w:val="21"/>
                <w:szCs w:val="21"/>
              </w:rPr>
            </w:pPr>
          </w:p>
        </w:tc>
      </w:tr>
      <w:tr w14:paraId="0B92C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6221885">
            <w:pPr>
              <w:snapToGrid w:val="0"/>
              <w:jc w:val="center"/>
              <w:rPr>
                <w:rFonts w:ascii="Times New Roman" w:hAnsi="Times New Roman" w:cs="Times New Roman"/>
                <w:color w:val="auto"/>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310CF9A9">
            <w:pPr>
              <w:snapToGrid w:val="0"/>
              <w:jc w:val="center"/>
              <w:rPr>
                <w:rFonts w:ascii="Times New Roman" w:hAnsi="Times New Roman" w:cs="Times New Roman"/>
                <w:color w:val="auto"/>
                <w:sz w:val="21"/>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C2B7921">
            <w:pPr>
              <w:snapToGrid w:val="0"/>
              <w:jc w:val="center"/>
              <w:rPr>
                <w:rFonts w:ascii="Times New Roman" w:hAnsi="Times New Roman" w:cs="Times New Roman"/>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4A5F4D6">
            <w:pPr>
              <w:snapToGrid w:val="0"/>
              <w:jc w:val="center"/>
              <w:rPr>
                <w:rFonts w:ascii="Times New Roman" w:hAnsi="Times New Roman" w:cs="Times New Roman"/>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2B201FF">
            <w:pPr>
              <w:snapToGrid w:val="0"/>
              <w:jc w:val="center"/>
              <w:rPr>
                <w:rFonts w:ascii="Times New Roman" w:hAnsi="Times New Roman" w:cs="Times New Roman"/>
                <w:color w:val="auto"/>
                <w:sz w:val="21"/>
                <w:szCs w:val="21"/>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2AB00C0A">
            <w:pPr>
              <w:snapToGrid w:val="0"/>
              <w:jc w:val="center"/>
              <w:rPr>
                <w:rFonts w:ascii="Times New Roman" w:hAnsi="Times New Roman" w:cs="Times New Roman"/>
                <w:color w:val="auto"/>
                <w:sz w:val="21"/>
                <w:szCs w:val="21"/>
              </w:rPr>
            </w:pPr>
          </w:p>
        </w:tc>
      </w:tr>
      <w:tr w14:paraId="7298D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44D6485">
            <w:pPr>
              <w:snapToGrid w:val="0"/>
              <w:jc w:val="center"/>
              <w:rPr>
                <w:rFonts w:ascii="Times New Roman" w:hAnsi="Times New Roman" w:cs="Times New Roman"/>
                <w:color w:val="auto"/>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3A38C914">
            <w:pPr>
              <w:snapToGrid w:val="0"/>
              <w:jc w:val="center"/>
              <w:rPr>
                <w:rFonts w:ascii="Times New Roman" w:hAnsi="Times New Roman" w:cs="Times New Roman"/>
                <w:color w:val="auto"/>
                <w:sz w:val="21"/>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57FD7E1">
            <w:pPr>
              <w:snapToGrid w:val="0"/>
              <w:jc w:val="center"/>
              <w:rPr>
                <w:rFonts w:ascii="Times New Roman" w:hAnsi="Times New Roman" w:cs="Times New Roman"/>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A5D79D7">
            <w:pPr>
              <w:snapToGrid w:val="0"/>
              <w:jc w:val="center"/>
              <w:rPr>
                <w:rFonts w:ascii="Times New Roman" w:hAnsi="Times New Roman" w:cs="Times New Roman"/>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CF63CE0">
            <w:pPr>
              <w:snapToGrid w:val="0"/>
              <w:jc w:val="center"/>
              <w:rPr>
                <w:rFonts w:ascii="Times New Roman" w:hAnsi="Times New Roman" w:cs="Times New Roman"/>
                <w:color w:val="auto"/>
                <w:sz w:val="21"/>
                <w:szCs w:val="21"/>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6A2692A9">
            <w:pPr>
              <w:snapToGrid w:val="0"/>
              <w:jc w:val="center"/>
              <w:rPr>
                <w:rFonts w:ascii="Times New Roman" w:hAnsi="Times New Roman" w:cs="Times New Roman"/>
                <w:color w:val="auto"/>
                <w:sz w:val="21"/>
                <w:szCs w:val="21"/>
              </w:rPr>
            </w:pPr>
          </w:p>
        </w:tc>
      </w:tr>
      <w:tr w14:paraId="0CA4F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0CF76EB3">
            <w:pPr>
              <w:snapToGrid w:val="0"/>
              <w:jc w:val="center"/>
              <w:rPr>
                <w:rFonts w:ascii="Times New Roman" w:hAnsi="Times New Roman" w:cs="Times New Roman"/>
                <w:color w:val="auto"/>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57DF1DA2">
            <w:pPr>
              <w:snapToGrid w:val="0"/>
              <w:jc w:val="center"/>
              <w:rPr>
                <w:rFonts w:ascii="Times New Roman" w:hAnsi="Times New Roman" w:cs="Times New Roman"/>
                <w:color w:val="auto"/>
                <w:sz w:val="21"/>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0DF26A2">
            <w:pPr>
              <w:snapToGrid w:val="0"/>
              <w:jc w:val="center"/>
              <w:rPr>
                <w:rFonts w:ascii="Times New Roman" w:hAnsi="Times New Roman" w:cs="Times New Roman"/>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878C570">
            <w:pPr>
              <w:snapToGrid w:val="0"/>
              <w:jc w:val="center"/>
              <w:rPr>
                <w:rFonts w:ascii="Times New Roman" w:hAnsi="Times New Roman" w:cs="Times New Roman"/>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4F33377">
            <w:pPr>
              <w:snapToGrid w:val="0"/>
              <w:jc w:val="center"/>
              <w:rPr>
                <w:rFonts w:ascii="Times New Roman" w:hAnsi="Times New Roman" w:cs="Times New Roman"/>
                <w:color w:val="auto"/>
                <w:sz w:val="21"/>
                <w:szCs w:val="21"/>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7D05D173">
            <w:pPr>
              <w:snapToGrid w:val="0"/>
              <w:jc w:val="center"/>
              <w:rPr>
                <w:rFonts w:ascii="Times New Roman" w:hAnsi="Times New Roman" w:cs="Times New Roman"/>
                <w:color w:val="auto"/>
                <w:sz w:val="21"/>
                <w:szCs w:val="21"/>
              </w:rPr>
            </w:pPr>
          </w:p>
        </w:tc>
      </w:tr>
      <w:tr w14:paraId="5624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29B3941">
            <w:pPr>
              <w:snapToGrid w:val="0"/>
              <w:jc w:val="center"/>
              <w:rPr>
                <w:rFonts w:ascii="Times New Roman" w:hAnsi="Times New Roman" w:cs="Times New Roman"/>
                <w:color w:val="auto"/>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00A8F2DA">
            <w:pPr>
              <w:snapToGrid w:val="0"/>
              <w:jc w:val="center"/>
              <w:rPr>
                <w:rFonts w:ascii="Times New Roman" w:hAnsi="Times New Roman" w:cs="Times New Roman"/>
                <w:color w:val="auto"/>
                <w:sz w:val="21"/>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6AFE6D3">
            <w:pPr>
              <w:snapToGrid w:val="0"/>
              <w:jc w:val="center"/>
              <w:rPr>
                <w:rFonts w:ascii="Times New Roman" w:hAnsi="Times New Roman" w:cs="Times New Roman"/>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57A38D6">
            <w:pPr>
              <w:snapToGrid w:val="0"/>
              <w:jc w:val="center"/>
              <w:rPr>
                <w:rFonts w:ascii="Times New Roman" w:hAnsi="Times New Roman" w:cs="Times New Roman"/>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9BCE098">
            <w:pPr>
              <w:snapToGrid w:val="0"/>
              <w:jc w:val="center"/>
              <w:rPr>
                <w:rFonts w:ascii="Times New Roman" w:hAnsi="Times New Roman" w:cs="Times New Roman"/>
                <w:color w:val="auto"/>
                <w:sz w:val="21"/>
                <w:szCs w:val="21"/>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7C1C285C">
            <w:pPr>
              <w:snapToGrid w:val="0"/>
              <w:jc w:val="center"/>
              <w:rPr>
                <w:rFonts w:ascii="Times New Roman" w:hAnsi="Times New Roman" w:cs="Times New Roman"/>
                <w:color w:val="auto"/>
                <w:sz w:val="21"/>
                <w:szCs w:val="21"/>
              </w:rPr>
            </w:pPr>
          </w:p>
        </w:tc>
      </w:tr>
    </w:tbl>
    <w:p w14:paraId="1C9DEE8E">
      <w:pPr>
        <w:spacing w:line="360" w:lineRule="auto"/>
        <w:rPr>
          <w:rFonts w:ascii="Times New Roman" w:hAnsi="Times New Roman" w:cs="Times New Roman"/>
          <w:color w:val="auto"/>
          <w:sz w:val="21"/>
          <w:szCs w:val="21"/>
        </w:rPr>
      </w:pPr>
      <w:r>
        <w:rPr>
          <w:rFonts w:ascii="Times New Roman" w:hAnsi="Times New Roman" w:cs="Times New Roman"/>
          <w:color w:val="auto"/>
          <w:sz w:val="21"/>
          <w:szCs w:val="21"/>
        </w:rPr>
        <w:t>注：</w:t>
      </w:r>
      <w:r>
        <w:rPr>
          <w:rFonts w:ascii="Times New Roman" w:hAnsi="Times New Roman" w:cs="Times New Roman"/>
          <w:color w:val="auto"/>
          <w:sz w:val="21"/>
          <w:szCs w:val="21"/>
          <w:lang w:eastAsia="zh-CN"/>
        </w:rPr>
        <w:t>投标供应商</w:t>
      </w:r>
      <w:r>
        <w:rPr>
          <w:rFonts w:ascii="Times New Roman" w:hAnsi="Times New Roman" w:cs="Times New Roman"/>
          <w:color w:val="auto"/>
          <w:sz w:val="21"/>
          <w:szCs w:val="21"/>
        </w:rPr>
        <w:t>所列项目清单须附合同</w:t>
      </w:r>
      <w:r>
        <w:rPr>
          <w:rFonts w:ascii="Times New Roman" w:hAnsi="Times New Roman" w:cs="Times New Roman"/>
          <w:color w:val="auto"/>
          <w:sz w:val="21"/>
          <w:szCs w:val="21"/>
          <w:lang w:eastAsia="zh-CN"/>
        </w:rPr>
        <w:t>业绩</w:t>
      </w:r>
      <w:r>
        <w:rPr>
          <w:rFonts w:ascii="Times New Roman" w:hAnsi="Times New Roman" w:cs="Times New Roman"/>
          <w:color w:val="auto"/>
          <w:sz w:val="21"/>
          <w:szCs w:val="21"/>
        </w:rPr>
        <w:t>，时间要求</w:t>
      </w:r>
      <w:r>
        <w:rPr>
          <w:rFonts w:ascii="Times New Roman" w:hAnsi="Times New Roman" w:cs="Times New Roman"/>
          <w:color w:val="auto"/>
          <w:sz w:val="21"/>
          <w:szCs w:val="21"/>
          <w:lang w:eastAsia="zh-CN"/>
        </w:rPr>
        <w:t>为</w:t>
      </w:r>
      <w:r>
        <w:rPr>
          <w:rFonts w:hint="eastAsia" w:cs="Times New Roman"/>
          <w:color w:val="auto"/>
          <w:sz w:val="21"/>
          <w:szCs w:val="21"/>
          <w:lang w:val="en-US" w:eastAsia="zh-CN"/>
        </w:rPr>
        <w:t>2020</w:t>
      </w:r>
      <w:r>
        <w:rPr>
          <w:rFonts w:ascii="Times New Roman" w:hAnsi="Times New Roman" w:cs="Times New Roman"/>
          <w:color w:val="auto"/>
          <w:sz w:val="21"/>
          <w:szCs w:val="21"/>
        </w:rPr>
        <w:t>年</w:t>
      </w:r>
      <w:r>
        <w:rPr>
          <w:rFonts w:ascii="Times New Roman" w:hAnsi="Times New Roman" w:cs="Times New Roman"/>
          <w:color w:val="auto"/>
          <w:sz w:val="21"/>
          <w:szCs w:val="21"/>
          <w:lang w:eastAsia="zh-CN"/>
        </w:rPr>
        <w:t>1月1日</w:t>
      </w:r>
      <w:r>
        <w:rPr>
          <w:rFonts w:ascii="Times New Roman" w:hAnsi="Times New Roman" w:cs="Times New Roman"/>
          <w:color w:val="auto"/>
          <w:sz w:val="21"/>
          <w:szCs w:val="21"/>
        </w:rPr>
        <w:t>以来</w:t>
      </w:r>
      <w:r>
        <w:rPr>
          <w:rFonts w:hint="eastAsia" w:cs="Times New Roman"/>
          <w:color w:val="auto"/>
          <w:sz w:val="21"/>
          <w:szCs w:val="21"/>
          <w:lang w:eastAsia="zh-CN"/>
        </w:rPr>
        <w:t>，以中标通知书或合同为准</w:t>
      </w:r>
      <w:r>
        <w:rPr>
          <w:rFonts w:ascii="Times New Roman" w:hAnsi="Times New Roman" w:cs="Times New Roman"/>
          <w:color w:val="auto"/>
          <w:sz w:val="21"/>
          <w:szCs w:val="21"/>
        </w:rPr>
        <w:t>。</w:t>
      </w:r>
    </w:p>
    <w:p w14:paraId="35E99A20">
      <w:pPr>
        <w:spacing w:line="360" w:lineRule="auto"/>
        <w:rPr>
          <w:rFonts w:ascii="Times New Roman" w:hAnsi="Times New Roman" w:cs="Times New Roman"/>
          <w:color w:val="auto"/>
          <w:sz w:val="21"/>
          <w:szCs w:val="21"/>
        </w:rPr>
      </w:pPr>
    </w:p>
    <w:p w14:paraId="2C49BC65">
      <w:pPr>
        <w:pStyle w:val="17"/>
        <w:rPr>
          <w:color w:val="auto"/>
        </w:rPr>
      </w:pPr>
    </w:p>
    <w:p w14:paraId="1194016D">
      <w:pPr>
        <w:spacing w:line="48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lang w:eastAsia="zh-CN"/>
        </w:rPr>
        <w:t>投标供应商</w:t>
      </w:r>
      <w:r>
        <w:rPr>
          <w:rFonts w:ascii="Times New Roman" w:hAnsi="Times New Roman" w:cs="Times New Roman"/>
          <w:color w:val="auto"/>
          <w:sz w:val="21"/>
          <w:szCs w:val="21"/>
        </w:rPr>
        <w:t xml:space="preserve">： </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u w:val="single"/>
          <w:lang w:eastAsia="zh-CN"/>
        </w:rPr>
        <w:t xml:space="preserve">                                   </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rPr>
        <w:t xml:space="preserve">（签章） </w:t>
      </w:r>
    </w:p>
    <w:p w14:paraId="2855C504">
      <w:pPr>
        <w:spacing w:line="480" w:lineRule="auto"/>
        <w:ind w:right="48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 xml:space="preserve">法定代表人： </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u w:val="single"/>
          <w:lang w:eastAsia="zh-CN"/>
        </w:rPr>
        <w:t xml:space="preserve">                                        </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rPr>
        <w:t xml:space="preserve"> （签章）</w:t>
      </w:r>
    </w:p>
    <w:p w14:paraId="37C9BB95">
      <w:pPr>
        <w:spacing w:line="480" w:lineRule="auto"/>
        <w:ind w:firstLine="420" w:firstLineChars="200"/>
        <w:jc w:val="both"/>
        <w:rPr>
          <w:rFonts w:ascii="Times New Roman" w:hAnsi="Times New Roman" w:cs="Times New Roman"/>
          <w:color w:val="auto"/>
          <w:sz w:val="21"/>
          <w:szCs w:val="21"/>
        </w:rPr>
      </w:pPr>
      <w:r>
        <w:rPr>
          <w:rFonts w:ascii="Times New Roman" w:hAnsi="Times New Roman" w:cs="Times New Roman"/>
          <w:i/>
          <w:iCs/>
          <w:color w:val="auto"/>
          <w:sz w:val="21"/>
          <w:szCs w:val="21"/>
          <w:u w:val="single"/>
        </w:rPr>
        <w:t xml:space="preserve">     </w:t>
      </w:r>
      <w:r>
        <w:rPr>
          <w:rFonts w:ascii="Times New Roman" w:hAnsi="Times New Roman" w:cs="Times New Roman"/>
          <w:i/>
          <w:iCs/>
          <w:color w:val="auto"/>
          <w:sz w:val="21"/>
          <w:szCs w:val="21"/>
          <w:u w:val="single"/>
          <w:lang w:eastAsia="zh-CN"/>
        </w:rPr>
        <w:t xml:space="preserve">     </w:t>
      </w:r>
      <w:r>
        <w:rPr>
          <w:rFonts w:ascii="Times New Roman" w:hAnsi="Times New Roman" w:cs="Times New Roman"/>
          <w:i/>
          <w:iCs/>
          <w:color w:val="auto"/>
          <w:sz w:val="21"/>
          <w:szCs w:val="21"/>
          <w:u w:val="single"/>
        </w:rPr>
        <w:t xml:space="preserve">   </w:t>
      </w:r>
      <w:r>
        <w:rPr>
          <w:rFonts w:ascii="Times New Roman" w:hAnsi="Times New Roman" w:cs="Times New Roman"/>
          <w:color w:val="auto"/>
          <w:sz w:val="21"/>
          <w:szCs w:val="21"/>
        </w:rPr>
        <w:t>年</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u w:val="single"/>
          <w:lang w:eastAsia="zh-CN"/>
        </w:rPr>
        <w:t xml:space="preserve">     </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rPr>
        <w:t>月</w:t>
      </w:r>
      <w:r>
        <w:rPr>
          <w:rFonts w:ascii="Times New Roman" w:hAnsi="Times New Roman" w:cs="Times New Roman"/>
          <w:i/>
          <w:iCs/>
          <w:color w:val="auto"/>
          <w:sz w:val="21"/>
          <w:szCs w:val="21"/>
          <w:u w:val="single"/>
        </w:rPr>
        <w:t xml:space="preserve">       </w:t>
      </w:r>
      <w:r>
        <w:rPr>
          <w:rFonts w:ascii="Times New Roman" w:hAnsi="Times New Roman" w:cs="Times New Roman"/>
          <w:i/>
          <w:iCs/>
          <w:color w:val="auto"/>
          <w:sz w:val="21"/>
          <w:szCs w:val="21"/>
          <w:u w:val="single"/>
          <w:lang w:eastAsia="zh-CN"/>
        </w:rPr>
        <w:t xml:space="preserve">     </w:t>
      </w:r>
      <w:r>
        <w:rPr>
          <w:rFonts w:ascii="Times New Roman" w:hAnsi="Times New Roman" w:cs="Times New Roman"/>
          <w:i/>
          <w:iCs/>
          <w:color w:val="auto"/>
          <w:sz w:val="21"/>
          <w:szCs w:val="21"/>
          <w:u w:val="single"/>
        </w:rPr>
        <w:t xml:space="preserve">  </w:t>
      </w:r>
      <w:r>
        <w:rPr>
          <w:rFonts w:ascii="Times New Roman" w:hAnsi="Times New Roman" w:cs="Times New Roman"/>
          <w:color w:val="auto"/>
          <w:sz w:val="21"/>
          <w:szCs w:val="21"/>
        </w:rPr>
        <w:t>日</w:t>
      </w:r>
    </w:p>
    <w:p w14:paraId="10050BFF">
      <w:pPr>
        <w:spacing w:line="360" w:lineRule="auto"/>
        <w:rPr>
          <w:rFonts w:ascii="Times New Roman" w:hAnsi="Times New Roman" w:cs="Times New Roman"/>
          <w:color w:val="auto"/>
          <w:sz w:val="21"/>
          <w:szCs w:val="21"/>
        </w:rPr>
      </w:pPr>
    </w:p>
    <w:p w14:paraId="65370EF2">
      <w:pPr>
        <w:pStyle w:val="7"/>
        <w:pageBreakBefore/>
        <w:tabs>
          <w:tab w:val="left" w:pos="0"/>
        </w:tabs>
        <w:spacing w:line="440" w:lineRule="exact"/>
        <w:jc w:val="center"/>
        <w:rPr>
          <w:rFonts w:ascii="Times New Roman" w:hAnsi="Times New Roman"/>
          <w:color w:val="auto"/>
        </w:rPr>
      </w:pPr>
      <w:r>
        <w:rPr>
          <w:rFonts w:ascii="Times New Roman" w:hAnsi="Times New Roman"/>
          <w:bCs/>
          <w:color w:val="auto"/>
          <w:kern w:val="2"/>
          <w:szCs w:val="32"/>
        </w:rPr>
        <w:t>六、投标承诺函</w:t>
      </w:r>
    </w:p>
    <w:p w14:paraId="6B306B45">
      <w:pPr>
        <w:spacing w:line="360" w:lineRule="auto"/>
        <w:rPr>
          <w:rFonts w:ascii="Times New Roman" w:hAnsi="Times New Roman" w:cs="Times New Roman"/>
          <w:color w:val="auto"/>
          <w:sz w:val="21"/>
          <w:szCs w:val="21"/>
        </w:rPr>
      </w:pPr>
      <w:r>
        <w:rPr>
          <w:rFonts w:ascii="Times New Roman" w:hAnsi="Times New Roman" w:cs="Times New Roman"/>
          <w:color w:val="auto"/>
          <w:spacing w:val="24"/>
          <w:sz w:val="21"/>
          <w:szCs w:val="21"/>
        </w:rPr>
        <w:t>致</w:t>
      </w:r>
      <w:r>
        <w:rPr>
          <w:rFonts w:ascii="Times New Roman" w:hAnsi="Times New Roman" w:cs="Times New Roman"/>
          <w:color w:val="auto"/>
          <w:spacing w:val="24"/>
          <w:sz w:val="21"/>
          <w:szCs w:val="21"/>
          <w:u w:val="single"/>
        </w:rPr>
        <w:t xml:space="preserve">     （</w:t>
      </w:r>
      <w:r>
        <w:rPr>
          <w:rFonts w:hint="eastAsia" w:cs="Times New Roman"/>
          <w:color w:val="auto"/>
          <w:spacing w:val="24"/>
          <w:sz w:val="21"/>
          <w:szCs w:val="21"/>
          <w:u w:val="single"/>
          <w:lang w:eastAsia="zh-CN"/>
        </w:rPr>
        <w:t>采购人</w:t>
      </w:r>
      <w:r>
        <w:rPr>
          <w:rFonts w:ascii="Times New Roman" w:hAnsi="Times New Roman" w:cs="Times New Roman"/>
          <w:color w:val="auto"/>
          <w:spacing w:val="24"/>
          <w:sz w:val="21"/>
          <w:szCs w:val="21"/>
          <w:u w:val="single"/>
        </w:rPr>
        <w:t>名称）</w:t>
      </w:r>
      <w:r>
        <w:rPr>
          <w:rFonts w:ascii="Times New Roman" w:hAnsi="Times New Roman" w:cs="Times New Roman"/>
          <w:color w:val="auto"/>
          <w:spacing w:val="24"/>
          <w:sz w:val="21"/>
          <w:szCs w:val="21"/>
        </w:rPr>
        <w:t>：</w:t>
      </w:r>
    </w:p>
    <w:p w14:paraId="3EA7225F">
      <w:pPr>
        <w:pStyle w:val="36"/>
        <w:spacing w:line="500" w:lineRule="exact"/>
        <w:ind w:firstLine="564"/>
        <w:rPr>
          <w:rFonts w:ascii="Times New Roman" w:hAnsi="Times New Roman"/>
          <w:color w:val="auto"/>
          <w:sz w:val="21"/>
          <w:szCs w:val="21"/>
        </w:rPr>
      </w:pPr>
      <w:r>
        <w:rPr>
          <w:rFonts w:ascii="Times New Roman" w:hAnsi="Times New Roman"/>
          <w:color w:val="auto"/>
          <w:sz w:val="21"/>
          <w:szCs w:val="21"/>
        </w:rPr>
        <w:t>我方已充分了解了</w:t>
      </w:r>
      <w:r>
        <w:rPr>
          <w:rFonts w:ascii="Times New Roman" w:hAnsi="Times New Roman"/>
          <w:color w:val="auto"/>
          <w:sz w:val="21"/>
          <w:szCs w:val="21"/>
          <w:u w:val="single"/>
        </w:rPr>
        <w:t xml:space="preserve">              </w:t>
      </w:r>
      <w:r>
        <w:rPr>
          <w:rFonts w:ascii="Times New Roman" w:hAnsi="Times New Roman"/>
          <w:color w:val="auto"/>
          <w:sz w:val="21"/>
          <w:szCs w:val="21"/>
        </w:rPr>
        <w:t>（项目名称）（项目编号：</w:t>
      </w:r>
      <w:r>
        <w:rPr>
          <w:rFonts w:ascii="Times New Roman" w:hAnsi="Times New Roman"/>
          <w:color w:val="auto"/>
          <w:sz w:val="21"/>
          <w:szCs w:val="21"/>
          <w:u w:val="single"/>
        </w:rPr>
        <w:t xml:space="preserve">              </w:t>
      </w:r>
      <w:r>
        <w:rPr>
          <w:rFonts w:ascii="Times New Roman" w:hAnsi="Times New Roman"/>
          <w:color w:val="auto"/>
          <w:sz w:val="21"/>
          <w:szCs w:val="21"/>
        </w:rPr>
        <w:t>）的</w:t>
      </w:r>
      <w:r>
        <w:rPr>
          <w:rFonts w:hint="eastAsia" w:ascii="Times New Roman" w:hAnsi="Times New Roman"/>
          <w:color w:val="auto"/>
          <w:sz w:val="21"/>
          <w:szCs w:val="21"/>
          <w:lang w:val="en-US" w:eastAsia="zh-CN"/>
        </w:rPr>
        <w:t>招标</w:t>
      </w:r>
      <w:r>
        <w:rPr>
          <w:rFonts w:ascii="Times New Roman" w:hAnsi="Times New Roman"/>
          <w:color w:val="auto"/>
          <w:sz w:val="21"/>
          <w:szCs w:val="21"/>
        </w:rPr>
        <w:t>文件，愿意遵照本项目《</w:t>
      </w:r>
      <w:r>
        <w:rPr>
          <w:rFonts w:hint="eastAsia" w:ascii="Times New Roman" w:hAnsi="Times New Roman"/>
          <w:color w:val="auto"/>
          <w:sz w:val="21"/>
          <w:szCs w:val="21"/>
          <w:lang w:val="en-US" w:eastAsia="zh-CN"/>
        </w:rPr>
        <w:t>招标</w:t>
      </w:r>
      <w:r>
        <w:rPr>
          <w:rFonts w:ascii="Times New Roman" w:hAnsi="Times New Roman"/>
          <w:color w:val="auto"/>
          <w:sz w:val="21"/>
          <w:szCs w:val="21"/>
        </w:rPr>
        <w:t>文件》、《中华人民共和国政府采购法》等有关规定参与竞标，并承诺如下：</w:t>
      </w:r>
    </w:p>
    <w:p w14:paraId="6A09EFEF">
      <w:pPr>
        <w:pStyle w:val="36"/>
        <w:spacing w:line="500" w:lineRule="exact"/>
        <w:ind w:firstLine="564"/>
        <w:rPr>
          <w:rFonts w:ascii="Times New Roman" w:hAnsi="Times New Roman"/>
          <w:color w:val="auto"/>
          <w:sz w:val="21"/>
          <w:szCs w:val="21"/>
        </w:rPr>
      </w:pPr>
      <w:r>
        <w:rPr>
          <w:rFonts w:ascii="Times New Roman" w:hAnsi="Times New Roman"/>
          <w:color w:val="auto"/>
          <w:sz w:val="21"/>
          <w:szCs w:val="21"/>
        </w:rPr>
        <w:t>1、我方承诺将严格按照“公开、公平、公正和诚实信用原则”参与本项目竞标活动。</w:t>
      </w:r>
    </w:p>
    <w:p w14:paraId="38816A9C">
      <w:pPr>
        <w:pStyle w:val="36"/>
        <w:spacing w:line="500" w:lineRule="exact"/>
        <w:ind w:firstLine="564"/>
        <w:rPr>
          <w:rFonts w:ascii="Times New Roman" w:hAnsi="Times New Roman"/>
          <w:color w:val="auto"/>
          <w:sz w:val="21"/>
          <w:szCs w:val="21"/>
        </w:rPr>
      </w:pPr>
      <w:r>
        <w:rPr>
          <w:rFonts w:ascii="Times New Roman" w:hAnsi="Times New Roman"/>
          <w:color w:val="auto"/>
          <w:sz w:val="21"/>
          <w:szCs w:val="21"/>
        </w:rPr>
        <w:t>2、我方承诺在投标有效期内不撤销</w:t>
      </w:r>
      <w:r>
        <w:rPr>
          <w:rFonts w:hint="eastAsia" w:ascii="Times New Roman" w:hAnsi="Times New Roman"/>
          <w:color w:val="auto"/>
          <w:sz w:val="21"/>
          <w:szCs w:val="21"/>
        </w:rPr>
        <w:t>响应文件</w:t>
      </w:r>
      <w:r>
        <w:rPr>
          <w:rFonts w:ascii="Times New Roman" w:hAnsi="Times New Roman"/>
          <w:color w:val="auto"/>
          <w:sz w:val="21"/>
          <w:szCs w:val="21"/>
        </w:rPr>
        <w:t>；</w:t>
      </w:r>
    </w:p>
    <w:p w14:paraId="1D7465CA">
      <w:pPr>
        <w:pStyle w:val="36"/>
        <w:spacing w:line="500" w:lineRule="exact"/>
        <w:ind w:firstLine="564"/>
        <w:rPr>
          <w:rFonts w:ascii="Times New Roman" w:hAnsi="Times New Roman"/>
          <w:color w:val="auto"/>
          <w:sz w:val="21"/>
          <w:szCs w:val="21"/>
        </w:rPr>
      </w:pPr>
      <w:r>
        <w:rPr>
          <w:rFonts w:ascii="Times New Roman" w:hAnsi="Times New Roman"/>
          <w:color w:val="auto"/>
          <w:sz w:val="21"/>
          <w:szCs w:val="21"/>
        </w:rPr>
        <w:t>3、我方承诺在</w:t>
      </w:r>
      <w:r>
        <w:rPr>
          <w:rFonts w:hint="eastAsia" w:ascii="Times New Roman" w:hAnsi="Times New Roman"/>
          <w:color w:val="auto"/>
          <w:sz w:val="21"/>
          <w:szCs w:val="21"/>
        </w:rPr>
        <w:t>响应文件</w:t>
      </w:r>
      <w:r>
        <w:rPr>
          <w:rFonts w:ascii="Times New Roman" w:hAnsi="Times New Roman"/>
          <w:color w:val="auto"/>
          <w:sz w:val="21"/>
          <w:szCs w:val="21"/>
        </w:rPr>
        <w:t>及对三门峡市公共资源交易供应商诚信库中提供的材料真实有效；</w:t>
      </w:r>
    </w:p>
    <w:p w14:paraId="2546E66C">
      <w:pPr>
        <w:pStyle w:val="36"/>
        <w:spacing w:line="500" w:lineRule="exact"/>
        <w:ind w:firstLine="564"/>
        <w:rPr>
          <w:rFonts w:ascii="Times New Roman" w:hAnsi="Times New Roman"/>
          <w:color w:val="auto"/>
          <w:sz w:val="21"/>
          <w:szCs w:val="21"/>
        </w:rPr>
      </w:pPr>
      <w:r>
        <w:rPr>
          <w:rFonts w:ascii="Times New Roman" w:hAnsi="Times New Roman"/>
          <w:color w:val="auto"/>
          <w:sz w:val="21"/>
          <w:szCs w:val="21"/>
        </w:rPr>
        <w:t>4、我方承诺绝不与</w:t>
      </w:r>
      <w:r>
        <w:rPr>
          <w:rFonts w:hint="eastAsia" w:ascii="Times New Roman" w:hAnsi="Times New Roman"/>
          <w:color w:val="auto"/>
          <w:sz w:val="21"/>
          <w:szCs w:val="21"/>
          <w:lang w:eastAsia="zh-CN"/>
        </w:rPr>
        <w:t>采购人</w:t>
      </w:r>
      <w:r>
        <w:rPr>
          <w:rFonts w:ascii="Times New Roman" w:hAnsi="Times New Roman"/>
          <w:color w:val="auto"/>
          <w:sz w:val="21"/>
          <w:szCs w:val="21"/>
        </w:rPr>
        <w:t>、其他投标供应商或者代理机构恶意串通的投标；</w:t>
      </w:r>
    </w:p>
    <w:p w14:paraId="03275C69">
      <w:pPr>
        <w:pStyle w:val="36"/>
        <w:spacing w:line="500" w:lineRule="exact"/>
        <w:ind w:firstLine="564"/>
        <w:rPr>
          <w:rFonts w:ascii="Times New Roman" w:hAnsi="Times New Roman"/>
          <w:color w:val="auto"/>
          <w:sz w:val="21"/>
          <w:szCs w:val="21"/>
        </w:rPr>
      </w:pPr>
      <w:r>
        <w:rPr>
          <w:rFonts w:ascii="Times New Roman" w:hAnsi="Times New Roman"/>
          <w:color w:val="auto"/>
          <w:sz w:val="21"/>
          <w:szCs w:val="21"/>
        </w:rPr>
        <w:t>5、我方承诺绝不以他人的名义投标、串通投标、以行贿手段谋取中标或者以其他弄虚作假方式投标；</w:t>
      </w:r>
    </w:p>
    <w:p w14:paraId="79C4CB45">
      <w:pPr>
        <w:pStyle w:val="36"/>
        <w:spacing w:line="500" w:lineRule="exact"/>
        <w:ind w:firstLine="564"/>
        <w:rPr>
          <w:rFonts w:ascii="Times New Roman" w:hAnsi="Times New Roman"/>
          <w:color w:val="auto"/>
          <w:sz w:val="21"/>
          <w:szCs w:val="21"/>
        </w:rPr>
      </w:pPr>
      <w:r>
        <w:rPr>
          <w:rFonts w:ascii="Times New Roman" w:hAnsi="Times New Roman"/>
          <w:color w:val="auto"/>
          <w:sz w:val="21"/>
          <w:szCs w:val="21"/>
        </w:rPr>
        <w:t>6、我方承诺绝不采取不正当手段谋取中标；</w:t>
      </w:r>
    </w:p>
    <w:p w14:paraId="702AA5C6">
      <w:pPr>
        <w:pStyle w:val="36"/>
        <w:spacing w:line="500" w:lineRule="exact"/>
        <w:ind w:firstLine="564"/>
        <w:rPr>
          <w:rFonts w:ascii="Times New Roman" w:hAnsi="Times New Roman"/>
          <w:color w:val="auto"/>
          <w:sz w:val="21"/>
          <w:szCs w:val="21"/>
        </w:rPr>
      </w:pPr>
      <w:r>
        <w:rPr>
          <w:rFonts w:ascii="Times New Roman" w:hAnsi="Times New Roman"/>
          <w:color w:val="auto"/>
          <w:sz w:val="21"/>
          <w:szCs w:val="21"/>
        </w:rPr>
        <w:t>7、如我方中标，我方承诺在收到中标通知书后，在中标通知书规定的期限内，根据</w:t>
      </w:r>
      <w:r>
        <w:rPr>
          <w:rFonts w:hint="eastAsia" w:ascii="Times New Roman" w:hAnsi="Times New Roman"/>
          <w:color w:val="auto"/>
          <w:sz w:val="21"/>
          <w:szCs w:val="21"/>
          <w:lang w:val="en-US" w:eastAsia="zh-CN"/>
        </w:rPr>
        <w:t>招标</w:t>
      </w:r>
      <w:r>
        <w:rPr>
          <w:rFonts w:ascii="Times New Roman" w:hAnsi="Times New Roman"/>
          <w:color w:val="auto"/>
          <w:sz w:val="21"/>
          <w:szCs w:val="21"/>
        </w:rPr>
        <w:t>文件、我方的</w:t>
      </w:r>
      <w:r>
        <w:rPr>
          <w:rFonts w:hint="eastAsia" w:ascii="Times New Roman" w:hAnsi="Times New Roman"/>
          <w:color w:val="auto"/>
          <w:sz w:val="21"/>
          <w:szCs w:val="21"/>
        </w:rPr>
        <w:t>响应文件</w:t>
      </w:r>
      <w:r>
        <w:rPr>
          <w:rFonts w:ascii="Times New Roman" w:hAnsi="Times New Roman"/>
          <w:color w:val="auto"/>
          <w:sz w:val="21"/>
          <w:szCs w:val="21"/>
        </w:rPr>
        <w:t>及有关澄清承诺书的要求，与</w:t>
      </w:r>
      <w:r>
        <w:rPr>
          <w:rFonts w:hint="eastAsia" w:ascii="Times New Roman" w:hAnsi="Times New Roman"/>
          <w:color w:val="auto"/>
          <w:sz w:val="21"/>
          <w:szCs w:val="21"/>
          <w:lang w:eastAsia="zh-CN"/>
        </w:rPr>
        <w:t>采购人</w:t>
      </w:r>
      <w:r>
        <w:rPr>
          <w:rFonts w:ascii="Times New Roman" w:hAnsi="Times New Roman"/>
          <w:color w:val="auto"/>
          <w:sz w:val="21"/>
          <w:szCs w:val="21"/>
        </w:rPr>
        <w:t>订立书面合同，并按照合同约定承担完成合同的责任和义务.</w:t>
      </w:r>
    </w:p>
    <w:p w14:paraId="60D86B28">
      <w:pPr>
        <w:pStyle w:val="36"/>
        <w:spacing w:line="500" w:lineRule="exact"/>
        <w:ind w:firstLine="564"/>
        <w:rPr>
          <w:rFonts w:ascii="Times New Roman" w:hAnsi="Times New Roman"/>
          <w:color w:val="auto"/>
          <w:sz w:val="21"/>
          <w:szCs w:val="21"/>
        </w:rPr>
      </w:pPr>
      <w:r>
        <w:rPr>
          <w:rFonts w:ascii="Times New Roman" w:hAnsi="Times New Roman"/>
          <w:color w:val="auto"/>
          <w:sz w:val="21"/>
          <w:szCs w:val="21"/>
        </w:rPr>
        <w:t>8、如我方违反此约定，愿意接受本项目本标段预算金额10%的处罚，同时依法承担相应法律责任。</w:t>
      </w:r>
    </w:p>
    <w:p w14:paraId="7532A2FB">
      <w:pPr>
        <w:pStyle w:val="36"/>
        <w:spacing w:line="500" w:lineRule="exact"/>
        <w:ind w:firstLine="564"/>
        <w:rPr>
          <w:rFonts w:ascii="Times New Roman" w:hAnsi="Times New Roman"/>
          <w:color w:val="auto"/>
          <w:sz w:val="21"/>
          <w:szCs w:val="21"/>
        </w:rPr>
      </w:pPr>
    </w:p>
    <w:p w14:paraId="4104099F">
      <w:pPr>
        <w:spacing w:line="500" w:lineRule="exact"/>
        <w:ind w:firstLine="4252"/>
        <w:rPr>
          <w:rFonts w:ascii="Times New Roman" w:hAnsi="Times New Roman" w:cs="Times New Roman"/>
          <w:bCs/>
          <w:color w:val="auto"/>
          <w:sz w:val="24"/>
        </w:rPr>
      </w:pPr>
    </w:p>
    <w:p w14:paraId="2A35C0BC">
      <w:pPr>
        <w:spacing w:line="480" w:lineRule="auto"/>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lang w:eastAsia="zh-CN"/>
        </w:rPr>
        <w:t>投标供应商</w:t>
      </w:r>
      <w:r>
        <w:rPr>
          <w:rFonts w:ascii="Times New Roman" w:hAnsi="Times New Roman" w:cs="Times New Roman"/>
          <w:color w:val="auto"/>
          <w:sz w:val="21"/>
          <w:szCs w:val="21"/>
        </w:rPr>
        <w:t xml:space="preserve">： </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u w:val="single"/>
          <w:lang w:eastAsia="zh-CN"/>
        </w:rPr>
        <w:t xml:space="preserve">                                   </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rPr>
        <w:t xml:space="preserve">（签章） </w:t>
      </w:r>
    </w:p>
    <w:p w14:paraId="34580E74">
      <w:pPr>
        <w:spacing w:line="480" w:lineRule="auto"/>
        <w:ind w:right="480"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 xml:space="preserve">法定代表人： </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u w:val="single"/>
          <w:lang w:eastAsia="zh-CN"/>
        </w:rPr>
        <w:t xml:space="preserve">                                        </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rPr>
        <w:t xml:space="preserve"> （签章）</w:t>
      </w:r>
    </w:p>
    <w:p w14:paraId="486DE693">
      <w:pPr>
        <w:spacing w:line="480" w:lineRule="auto"/>
        <w:ind w:firstLine="420" w:firstLineChars="200"/>
        <w:jc w:val="both"/>
        <w:rPr>
          <w:rFonts w:ascii="Times New Roman" w:hAnsi="Times New Roman" w:cs="Times New Roman"/>
          <w:color w:val="auto"/>
          <w:sz w:val="21"/>
          <w:szCs w:val="21"/>
        </w:rPr>
      </w:pPr>
      <w:r>
        <w:rPr>
          <w:rFonts w:ascii="Times New Roman" w:hAnsi="Times New Roman" w:cs="Times New Roman"/>
          <w:i/>
          <w:iCs/>
          <w:color w:val="auto"/>
          <w:sz w:val="21"/>
          <w:szCs w:val="21"/>
          <w:u w:val="single"/>
        </w:rPr>
        <w:t xml:space="preserve">     </w:t>
      </w:r>
      <w:r>
        <w:rPr>
          <w:rFonts w:ascii="Times New Roman" w:hAnsi="Times New Roman" w:cs="Times New Roman"/>
          <w:i/>
          <w:iCs/>
          <w:color w:val="auto"/>
          <w:sz w:val="21"/>
          <w:szCs w:val="21"/>
          <w:u w:val="single"/>
          <w:lang w:eastAsia="zh-CN"/>
        </w:rPr>
        <w:t xml:space="preserve">     </w:t>
      </w:r>
      <w:r>
        <w:rPr>
          <w:rFonts w:ascii="Times New Roman" w:hAnsi="Times New Roman" w:cs="Times New Roman"/>
          <w:i/>
          <w:iCs/>
          <w:color w:val="auto"/>
          <w:sz w:val="21"/>
          <w:szCs w:val="21"/>
          <w:u w:val="single"/>
        </w:rPr>
        <w:t xml:space="preserve">   </w:t>
      </w:r>
      <w:r>
        <w:rPr>
          <w:rFonts w:ascii="Times New Roman" w:hAnsi="Times New Roman" w:cs="Times New Roman"/>
          <w:color w:val="auto"/>
          <w:sz w:val="21"/>
          <w:szCs w:val="21"/>
        </w:rPr>
        <w:t>年</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u w:val="single"/>
          <w:lang w:eastAsia="zh-CN"/>
        </w:rPr>
        <w:t xml:space="preserve">     </w:t>
      </w:r>
      <w:r>
        <w:rPr>
          <w:rFonts w:ascii="Times New Roman" w:hAnsi="Times New Roman" w:cs="Times New Roman"/>
          <w:color w:val="auto"/>
          <w:sz w:val="21"/>
          <w:szCs w:val="21"/>
          <w:u w:val="single"/>
        </w:rPr>
        <w:t xml:space="preserve">   </w:t>
      </w:r>
      <w:r>
        <w:rPr>
          <w:rFonts w:ascii="Times New Roman" w:hAnsi="Times New Roman" w:cs="Times New Roman"/>
          <w:color w:val="auto"/>
          <w:sz w:val="21"/>
          <w:szCs w:val="21"/>
        </w:rPr>
        <w:t>月</w:t>
      </w:r>
      <w:r>
        <w:rPr>
          <w:rFonts w:ascii="Times New Roman" w:hAnsi="Times New Roman" w:cs="Times New Roman"/>
          <w:i/>
          <w:iCs/>
          <w:color w:val="auto"/>
          <w:sz w:val="21"/>
          <w:szCs w:val="21"/>
          <w:u w:val="single"/>
        </w:rPr>
        <w:t xml:space="preserve">       </w:t>
      </w:r>
      <w:r>
        <w:rPr>
          <w:rFonts w:ascii="Times New Roman" w:hAnsi="Times New Roman" w:cs="Times New Roman"/>
          <w:i/>
          <w:iCs/>
          <w:color w:val="auto"/>
          <w:sz w:val="21"/>
          <w:szCs w:val="21"/>
          <w:u w:val="single"/>
          <w:lang w:eastAsia="zh-CN"/>
        </w:rPr>
        <w:t xml:space="preserve">     </w:t>
      </w:r>
      <w:r>
        <w:rPr>
          <w:rFonts w:ascii="Times New Roman" w:hAnsi="Times New Roman" w:cs="Times New Roman"/>
          <w:i/>
          <w:iCs/>
          <w:color w:val="auto"/>
          <w:sz w:val="21"/>
          <w:szCs w:val="21"/>
          <w:u w:val="single"/>
        </w:rPr>
        <w:t xml:space="preserve">  </w:t>
      </w:r>
      <w:r>
        <w:rPr>
          <w:rFonts w:ascii="Times New Roman" w:hAnsi="Times New Roman" w:cs="Times New Roman"/>
          <w:color w:val="auto"/>
          <w:sz w:val="21"/>
          <w:szCs w:val="21"/>
        </w:rPr>
        <w:t>日</w:t>
      </w:r>
    </w:p>
    <w:p w14:paraId="0D2AE594">
      <w:pPr>
        <w:pageBreakBefore/>
        <w:spacing w:line="360" w:lineRule="auto"/>
        <w:jc w:val="center"/>
        <w:outlineLvl w:val="0"/>
        <w:rPr>
          <w:rFonts w:hint="eastAsia" w:ascii="Times New Roman" w:hAnsi="Times New Roman" w:cs="Times New Roman"/>
          <w:color w:val="auto"/>
          <w:lang w:eastAsia="zh-CN"/>
        </w:rPr>
      </w:pPr>
      <w:r>
        <w:rPr>
          <w:rFonts w:ascii="Times New Roman" w:hAnsi="Times New Roman" w:cs="Times New Roman"/>
          <w:b/>
          <w:bCs/>
          <w:color w:val="auto"/>
          <w:sz w:val="32"/>
          <w:szCs w:val="32"/>
        </w:rPr>
        <w:t>七、资格审查</w:t>
      </w:r>
      <w:r>
        <w:rPr>
          <w:rFonts w:hint="eastAsia" w:ascii="Times New Roman" w:hAnsi="Times New Roman" w:cs="Times New Roman"/>
          <w:b/>
          <w:bCs/>
          <w:color w:val="auto"/>
          <w:sz w:val="32"/>
          <w:szCs w:val="32"/>
          <w:lang w:eastAsia="zh-CN"/>
        </w:rPr>
        <w:t>资料</w:t>
      </w:r>
    </w:p>
    <w:p w14:paraId="47855FAE">
      <w:pPr>
        <w:spacing w:line="360" w:lineRule="auto"/>
        <w:jc w:val="center"/>
        <w:rPr>
          <w:rFonts w:ascii="Times New Roman" w:hAnsi="Times New Roman" w:cs="Times New Roman"/>
          <w:color w:val="auto"/>
          <w:sz w:val="21"/>
          <w:szCs w:val="21"/>
        </w:rPr>
      </w:pPr>
      <w:r>
        <w:rPr>
          <w:rFonts w:ascii="Times New Roman" w:hAnsi="Times New Roman" w:cs="Times New Roman"/>
          <w:bCs/>
          <w:color w:val="auto"/>
          <w:sz w:val="21"/>
          <w:szCs w:val="21"/>
        </w:rPr>
        <w:t>（</w:t>
      </w:r>
      <w:r>
        <w:rPr>
          <w:rFonts w:ascii="Times New Roman" w:hAnsi="Times New Roman" w:cs="Times New Roman"/>
          <w:bCs/>
          <w:color w:val="auto"/>
          <w:sz w:val="21"/>
          <w:szCs w:val="21"/>
          <w:lang w:eastAsia="zh-CN"/>
        </w:rPr>
        <w:t>详见公告</w:t>
      </w:r>
      <w:r>
        <w:rPr>
          <w:rFonts w:ascii="Times New Roman" w:hAnsi="Times New Roman" w:cs="Times New Roman"/>
          <w:bCs/>
          <w:color w:val="auto"/>
          <w:sz w:val="21"/>
          <w:szCs w:val="21"/>
        </w:rPr>
        <w:t>）</w:t>
      </w:r>
    </w:p>
    <w:p w14:paraId="38DDB41B">
      <w:pPr>
        <w:pageBreakBefore/>
        <w:spacing w:line="360" w:lineRule="auto"/>
        <w:jc w:val="center"/>
        <w:outlineLvl w:val="0"/>
        <w:rPr>
          <w:rFonts w:ascii="Times New Roman" w:hAnsi="Times New Roman" w:cs="Times New Roman"/>
          <w:color w:val="auto"/>
        </w:rPr>
      </w:pPr>
      <w:r>
        <w:rPr>
          <w:rFonts w:ascii="Times New Roman" w:hAnsi="Times New Roman" w:cs="Times New Roman"/>
          <w:b/>
          <w:bCs/>
          <w:color w:val="auto"/>
          <w:sz w:val="32"/>
          <w:szCs w:val="32"/>
        </w:rPr>
        <w:t>八、技术标</w:t>
      </w:r>
    </w:p>
    <w:p w14:paraId="26514C39">
      <w:pPr>
        <w:spacing w:line="360" w:lineRule="auto"/>
        <w:jc w:val="center"/>
        <w:rPr>
          <w:rFonts w:ascii="Times New Roman" w:hAnsi="Times New Roman" w:cs="Times New Roman"/>
          <w:color w:val="auto"/>
          <w:sz w:val="21"/>
          <w:szCs w:val="21"/>
        </w:rPr>
      </w:pPr>
      <w:r>
        <w:rPr>
          <w:rFonts w:ascii="Times New Roman" w:hAnsi="Times New Roman" w:cs="Times New Roman"/>
          <w:bCs/>
          <w:color w:val="auto"/>
          <w:sz w:val="21"/>
          <w:szCs w:val="21"/>
        </w:rPr>
        <w:t>（格式自拟）</w:t>
      </w:r>
    </w:p>
    <w:p w14:paraId="4F8DF7EE">
      <w:pPr>
        <w:pageBreakBefore/>
        <w:spacing w:line="360" w:lineRule="auto"/>
        <w:jc w:val="center"/>
        <w:outlineLvl w:val="0"/>
        <w:rPr>
          <w:rFonts w:ascii="Times New Roman" w:hAnsi="Times New Roman" w:cs="Times New Roman"/>
          <w:color w:val="auto"/>
        </w:rPr>
      </w:pPr>
      <w:r>
        <w:rPr>
          <w:rFonts w:ascii="Times New Roman" w:hAnsi="Times New Roman" w:cs="Times New Roman"/>
          <w:b/>
          <w:bCs/>
          <w:color w:val="auto"/>
          <w:sz w:val="32"/>
          <w:szCs w:val="32"/>
        </w:rPr>
        <w:t>九、商务标</w:t>
      </w:r>
    </w:p>
    <w:p w14:paraId="679CFC62">
      <w:pPr>
        <w:spacing w:line="360" w:lineRule="auto"/>
        <w:jc w:val="center"/>
        <w:rPr>
          <w:rFonts w:ascii="Times New Roman" w:hAnsi="Times New Roman" w:cs="Times New Roman"/>
          <w:color w:val="auto"/>
          <w:sz w:val="21"/>
          <w:szCs w:val="21"/>
        </w:rPr>
      </w:pPr>
      <w:r>
        <w:rPr>
          <w:rFonts w:ascii="Times New Roman" w:hAnsi="Times New Roman" w:cs="Times New Roman"/>
          <w:bCs/>
          <w:color w:val="auto"/>
          <w:sz w:val="21"/>
          <w:szCs w:val="21"/>
        </w:rPr>
        <w:t>（格式自拟）</w:t>
      </w:r>
    </w:p>
    <w:p w14:paraId="311815AE">
      <w:pPr>
        <w:pageBreakBefore/>
        <w:spacing w:line="360" w:lineRule="auto"/>
        <w:jc w:val="center"/>
        <w:outlineLvl w:val="0"/>
        <w:rPr>
          <w:rFonts w:ascii="Times New Roman" w:hAnsi="Times New Roman" w:cs="Times New Roman"/>
          <w:color w:val="auto"/>
        </w:rPr>
      </w:pPr>
      <w:r>
        <w:rPr>
          <w:rFonts w:ascii="Times New Roman" w:hAnsi="Times New Roman" w:cs="Times New Roman"/>
          <w:b/>
          <w:bCs/>
          <w:color w:val="auto"/>
          <w:sz w:val="32"/>
          <w:szCs w:val="32"/>
        </w:rPr>
        <w:t>十、</w:t>
      </w:r>
      <w:r>
        <w:rPr>
          <w:rFonts w:ascii="Times New Roman" w:hAnsi="Times New Roman" w:cs="Times New Roman"/>
          <w:b/>
          <w:bCs/>
          <w:color w:val="auto"/>
          <w:sz w:val="32"/>
          <w:szCs w:val="32"/>
          <w:lang w:eastAsia="zh-CN"/>
        </w:rPr>
        <w:t>供应商认为</w:t>
      </w:r>
      <w:r>
        <w:rPr>
          <w:rFonts w:ascii="Times New Roman" w:hAnsi="Times New Roman" w:cs="Times New Roman"/>
          <w:b/>
          <w:bCs/>
          <w:color w:val="auto"/>
          <w:sz w:val="32"/>
          <w:szCs w:val="32"/>
        </w:rPr>
        <w:t>可提交的其他资料</w:t>
      </w:r>
    </w:p>
    <w:p w14:paraId="3B352E4A">
      <w:pPr>
        <w:pStyle w:val="36"/>
        <w:jc w:val="center"/>
        <w:rPr>
          <w:rFonts w:ascii="Times New Roman" w:hAnsi="Times New Roman"/>
          <w:color w:val="auto"/>
          <w:sz w:val="21"/>
          <w:szCs w:val="21"/>
        </w:rPr>
      </w:pPr>
      <w:r>
        <w:rPr>
          <w:rFonts w:ascii="Times New Roman" w:hAnsi="Times New Roman"/>
          <w:bCs/>
          <w:color w:val="auto"/>
          <w:sz w:val="21"/>
          <w:szCs w:val="21"/>
        </w:rPr>
        <w:t>（评分办法中提到的其他资料及供应商认为应附的其他资料）</w:t>
      </w:r>
    </w:p>
    <w:p w14:paraId="01EC47A2">
      <w:pPr>
        <w:spacing w:line="360" w:lineRule="auto"/>
        <w:jc w:val="center"/>
        <w:rPr>
          <w:rFonts w:ascii="Times New Roman" w:hAnsi="Times New Roman" w:cs="Times New Roman"/>
          <w:color w:val="auto"/>
          <w:sz w:val="21"/>
          <w:szCs w:val="21"/>
        </w:rPr>
      </w:pPr>
      <w:r>
        <w:rPr>
          <w:rFonts w:ascii="Times New Roman" w:hAnsi="Times New Roman" w:cs="Times New Roman"/>
          <w:bCs/>
          <w:color w:val="auto"/>
          <w:sz w:val="21"/>
          <w:szCs w:val="21"/>
        </w:rPr>
        <w:t>（格式自拟）</w:t>
      </w:r>
    </w:p>
    <w:p w14:paraId="3B9769B3">
      <w:pPr>
        <w:rPr>
          <w:color w:val="auto"/>
        </w:rPr>
      </w:pPr>
    </w:p>
    <w:p w14:paraId="4D02AADB">
      <w:pPr>
        <w:rPr>
          <w:color w:val="auto"/>
        </w:rPr>
      </w:pPr>
    </w:p>
    <w:p w14:paraId="37614216">
      <w:pPr>
        <w:rPr>
          <w:color w:val="auto"/>
        </w:rPr>
      </w:pPr>
    </w:p>
    <w:p w14:paraId="47854493">
      <w:pPr>
        <w:rPr>
          <w:color w:val="auto"/>
        </w:rPr>
      </w:pPr>
    </w:p>
    <w:sectPr>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64F60">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09192">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309192">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34219">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4786F">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4F4786F">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0678D">
    <w:pPr>
      <w:pStyle w:val="14"/>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E74FE0">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4E74FE0">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63FFC"/>
    <w:multiLevelType w:val="singleLevel"/>
    <w:tmpl w:val="D6763FFC"/>
    <w:lvl w:ilvl="0" w:tentative="0">
      <w:start w:val="1"/>
      <w:numFmt w:val="decimal"/>
      <w:suff w:val="space"/>
      <w:lvlText w:val="(%1)"/>
      <w:lvlJc w:val="left"/>
      <w:pPr>
        <w:ind w:left="480" w:firstLine="0"/>
      </w:pPr>
    </w:lvl>
  </w:abstractNum>
  <w:abstractNum w:abstractNumId="1">
    <w:nsid w:val="FDF0CA2D"/>
    <w:multiLevelType w:val="singleLevel"/>
    <w:tmpl w:val="FDF0CA2D"/>
    <w:lvl w:ilvl="0" w:tentative="0">
      <w:start w:val="1"/>
      <w:numFmt w:val="decimal"/>
      <w:suff w:val="nothing"/>
      <w:lvlText w:val="%1、"/>
      <w:lvlJc w:val="left"/>
    </w:lvl>
  </w:abstractNum>
  <w:abstractNum w:abstractNumId="2">
    <w:nsid w:val="56AB246D"/>
    <w:multiLevelType w:val="multilevel"/>
    <w:tmpl w:val="56AB246D"/>
    <w:lvl w:ilvl="0" w:tentative="0">
      <w:start w:val="1"/>
      <w:numFmt w:val="decimal"/>
      <w:lvlText w:val="%1"/>
      <w:lvlJc w:val="left"/>
      <w:pPr>
        <w:ind w:left="600" w:hanging="600"/>
      </w:pPr>
      <w:rPr>
        <w:rFonts w:hint="default"/>
      </w:rPr>
    </w:lvl>
    <w:lvl w:ilvl="1" w:tentative="0">
      <w:start w:val="1"/>
      <w:numFmt w:val="decimal"/>
      <w:lvlText w:val="%1.%2"/>
      <w:lvlJc w:val="left"/>
      <w:pPr>
        <w:ind w:left="870" w:hanging="600"/>
      </w:pPr>
      <w:rPr>
        <w:rFonts w:hint="default"/>
      </w:rPr>
    </w:lvl>
    <w:lvl w:ilvl="2" w:tentative="0">
      <w:start w:val="3"/>
      <w:numFmt w:val="decimal"/>
      <w:lvlText w:val="%1.%2.%3"/>
      <w:lvlJc w:val="left"/>
      <w:pPr>
        <w:ind w:left="1260" w:hanging="720"/>
      </w:pPr>
      <w:rPr>
        <w:rFonts w:hint="default"/>
      </w:rPr>
    </w:lvl>
    <w:lvl w:ilvl="3" w:tentative="0">
      <w:start w:val="1"/>
      <w:numFmt w:val="decimal"/>
      <w:lvlText w:val="%1.%2.%3.%4"/>
      <w:lvlJc w:val="left"/>
      <w:pPr>
        <w:ind w:left="1890" w:hanging="1080"/>
      </w:pPr>
      <w:rPr>
        <w:rFonts w:hint="default"/>
      </w:rPr>
    </w:lvl>
    <w:lvl w:ilvl="4" w:tentative="0">
      <w:start w:val="1"/>
      <w:numFmt w:val="decimal"/>
      <w:lvlText w:val="%1.%2.%3.%4.%5"/>
      <w:lvlJc w:val="left"/>
      <w:pPr>
        <w:ind w:left="2160" w:hanging="1080"/>
      </w:pPr>
      <w:rPr>
        <w:rFonts w:hint="default"/>
      </w:rPr>
    </w:lvl>
    <w:lvl w:ilvl="5" w:tentative="0">
      <w:start w:val="1"/>
      <w:numFmt w:val="decimal"/>
      <w:lvlText w:val="%1.%2.%3.%4.%5.%6"/>
      <w:lvlJc w:val="left"/>
      <w:pPr>
        <w:ind w:left="2790" w:hanging="1440"/>
      </w:pPr>
      <w:rPr>
        <w:rFonts w:hint="default"/>
      </w:rPr>
    </w:lvl>
    <w:lvl w:ilvl="6" w:tentative="0">
      <w:start w:val="1"/>
      <w:numFmt w:val="decimal"/>
      <w:lvlText w:val="%1.%2.%3.%4.%5.%6.%7"/>
      <w:lvlJc w:val="left"/>
      <w:pPr>
        <w:ind w:left="3420" w:hanging="1800"/>
      </w:pPr>
      <w:rPr>
        <w:rFonts w:hint="default"/>
      </w:rPr>
    </w:lvl>
    <w:lvl w:ilvl="7" w:tentative="0">
      <w:start w:val="1"/>
      <w:numFmt w:val="decimal"/>
      <w:lvlText w:val="%1.%2.%3.%4.%5.%6.%7.%8"/>
      <w:lvlJc w:val="left"/>
      <w:pPr>
        <w:ind w:left="3690" w:hanging="1800"/>
      </w:pPr>
      <w:rPr>
        <w:rFonts w:hint="default"/>
      </w:rPr>
    </w:lvl>
    <w:lvl w:ilvl="8" w:tentative="0">
      <w:start w:val="1"/>
      <w:numFmt w:val="decimal"/>
      <w:lvlText w:val="%1.%2.%3.%4.%5.%6.%7.%8.%9"/>
      <w:lvlJc w:val="left"/>
      <w:pPr>
        <w:ind w:left="432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KcaKpUfgcy4PFIUajWCB5wKKw6E=" w:salt="WgXs3Cu8yLd1Ow9Pd2ObkA=="/>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NmRlYTVlYjhjNmUxYzViODI4OTQ4OGY4NjRlOWUifQ=="/>
  </w:docVars>
  <w:rsids>
    <w:rsidRoot w:val="703C2937"/>
    <w:rsid w:val="05526B89"/>
    <w:rsid w:val="08AA23AF"/>
    <w:rsid w:val="08BB3958"/>
    <w:rsid w:val="09836824"/>
    <w:rsid w:val="0CB02BEB"/>
    <w:rsid w:val="0D3C216F"/>
    <w:rsid w:val="0E553045"/>
    <w:rsid w:val="101B5666"/>
    <w:rsid w:val="11B73419"/>
    <w:rsid w:val="12B74F0F"/>
    <w:rsid w:val="15A56051"/>
    <w:rsid w:val="165D541F"/>
    <w:rsid w:val="16711A73"/>
    <w:rsid w:val="174F240F"/>
    <w:rsid w:val="189866C8"/>
    <w:rsid w:val="19163CCA"/>
    <w:rsid w:val="1A5F105C"/>
    <w:rsid w:val="1BCF2401"/>
    <w:rsid w:val="1F8F65A6"/>
    <w:rsid w:val="20AC0F62"/>
    <w:rsid w:val="225F0539"/>
    <w:rsid w:val="22EE6C43"/>
    <w:rsid w:val="235119D4"/>
    <w:rsid w:val="24903945"/>
    <w:rsid w:val="27694C78"/>
    <w:rsid w:val="27C02C7C"/>
    <w:rsid w:val="284F5471"/>
    <w:rsid w:val="28550131"/>
    <w:rsid w:val="285877F7"/>
    <w:rsid w:val="285C5774"/>
    <w:rsid w:val="293146FB"/>
    <w:rsid w:val="294736ED"/>
    <w:rsid w:val="298F03B4"/>
    <w:rsid w:val="2A6F0394"/>
    <w:rsid w:val="2E450300"/>
    <w:rsid w:val="303E0A30"/>
    <w:rsid w:val="339D76A0"/>
    <w:rsid w:val="37C815BB"/>
    <w:rsid w:val="3847411B"/>
    <w:rsid w:val="39AE31FE"/>
    <w:rsid w:val="39F94DC1"/>
    <w:rsid w:val="3A141BDE"/>
    <w:rsid w:val="3CE65C99"/>
    <w:rsid w:val="3EE00F3F"/>
    <w:rsid w:val="401D2E8B"/>
    <w:rsid w:val="43B47027"/>
    <w:rsid w:val="445F4D56"/>
    <w:rsid w:val="44873CA6"/>
    <w:rsid w:val="44914E25"/>
    <w:rsid w:val="4818616C"/>
    <w:rsid w:val="48354D27"/>
    <w:rsid w:val="49CC1C60"/>
    <w:rsid w:val="4A2603F9"/>
    <w:rsid w:val="4C8936D2"/>
    <w:rsid w:val="4CD034CB"/>
    <w:rsid w:val="4DDC74EB"/>
    <w:rsid w:val="4E51609D"/>
    <w:rsid w:val="4F1F2608"/>
    <w:rsid w:val="4F45698C"/>
    <w:rsid w:val="4F56149D"/>
    <w:rsid w:val="4F8F40B1"/>
    <w:rsid w:val="519549F8"/>
    <w:rsid w:val="52391E33"/>
    <w:rsid w:val="53C15C65"/>
    <w:rsid w:val="54452AB7"/>
    <w:rsid w:val="54DE4214"/>
    <w:rsid w:val="570F222F"/>
    <w:rsid w:val="5852649D"/>
    <w:rsid w:val="5869274A"/>
    <w:rsid w:val="587D47A2"/>
    <w:rsid w:val="59975694"/>
    <w:rsid w:val="5A8657A7"/>
    <w:rsid w:val="5C3260B1"/>
    <w:rsid w:val="5C460B93"/>
    <w:rsid w:val="5D7F24B7"/>
    <w:rsid w:val="5DB944DA"/>
    <w:rsid w:val="5DD01909"/>
    <w:rsid w:val="5E16430D"/>
    <w:rsid w:val="61E741EB"/>
    <w:rsid w:val="62E179C1"/>
    <w:rsid w:val="651421FF"/>
    <w:rsid w:val="65981A7D"/>
    <w:rsid w:val="66425F22"/>
    <w:rsid w:val="674763B5"/>
    <w:rsid w:val="67D57A24"/>
    <w:rsid w:val="687078B0"/>
    <w:rsid w:val="6A505A87"/>
    <w:rsid w:val="6A982752"/>
    <w:rsid w:val="6C3D13C0"/>
    <w:rsid w:val="6CD51C5E"/>
    <w:rsid w:val="6DE07152"/>
    <w:rsid w:val="6FF82586"/>
    <w:rsid w:val="703C2937"/>
    <w:rsid w:val="708B372D"/>
    <w:rsid w:val="73A806E2"/>
    <w:rsid w:val="74E03B8B"/>
    <w:rsid w:val="76F06434"/>
    <w:rsid w:val="77163BB5"/>
    <w:rsid w:val="78294D6A"/>
    <w:rsid w:val="7E41734E"/>
    <w:rsid w:val="7E802674"/>
    <w:rsid w:val="7F2606F1"/>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7">
    <w:name w:val="heading 2"/>
    <w:basedOn w:val="1"/>
    <w:next w:val="1"/>
    <w:qFormat/>
    <w:uiPriority w:val="99"/>
    <w:pPr>
      <w:keepNext/>
      <w:keepLines/>
      <w:spacing w:before="260" w:beforeLines="0" w:after="260" w:afterLines="0" w:line="413" w:lineRule="auto"/>
      <w:outlineLvl w:val="1"/>
    </w:pPr>
    <w:rPr>
      <w:rFonts w:ascii="Arial" w:hAnsi="Arial" w:eastAsia="黑体"/>
      <w:b/>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Message Header"/>
    <w:basedOn w:val="1"/>
    <w:next w:val="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3">
    <w:name w:val="我的正文"/>
    <w:basedOn w:val="4"/>
    <w:qFormat/>
    <w:uiPriority w:val="0"/>
    <w:pPr>
      <w:ind w:firstLine="480" w:firstLineChars="200"/>
    </w:pPr>
  </w:style>
  <w:style w:type="paragraph" w:styleId="4">
    <w:name w:val="Body Text Indent"/>
    <w:basedOn w:val="1"/>
    <w:next w:val="5"/>
    <w:unhideWhenUsed/>
    <w:qFormat/>
    <w:uiPriority w:val="0"/>
    <w:pPr>
      <w:widowControl w:val="0"/>
      <w:adjustRightInd/>
      <w:spacing w:after="0" w:line="500" w:lineRule="exact"/>
      <w:ind w:firstLine="420"/>
      <w:jc w:val="both"/>
    </w:pPr>
    <w:rPr>
      <w:rFonts w:ascii="宋体" w:hAnsi="Times New Roman" w:eastAsia="宋体" w:cs="Times New Roman"/>
      <w:sz w:val="24"/>
      <w:szCs w:val="24"/>
    </w:rPr>
  </w:style>
  <w:style w:type="paragraph" w:styleId="5">
    <w:name w:val="envelope return"/>
    <w:basedOn w:val="1"/>
    <w:qFormat/>
    <w:uiPriority w:val="99"/>
    <w:rPr>
      <w:rFonts w:ascii="Arial" w:hAnsi="Arial"/>
    </w:rPr>
  </w:style>
  <w:style w:type="paragraph" w:styleId="8">
    <w:name w:val="Normal Indent"/>
    <w:basedOn w:val="1"/>
    <w:qFormat/>
    <w:uiPriority w:val="0"/>
    <w:pPr>
      <w:ind w:firstLine="420"/>
    </w:pPr>
  </w:style>
  <w:style w:type="paragraph" w:styleId="9">
    <w:name w:val="Body Text"/>
    <w:basedOn w:val="1"/>
    <w:next w:val="1"/>
    <w:qFormat/>
    <w:uiPriority w:val="0"/>
    <w:pPr>
      <w:spacing w:after="120" w:afterLines="0"/>
    </w:pPr>
    <w:rPr>
      <w:szCs w:val="24"/>
    </w:rPr>
  </w:style>
  <w:style w:type="paragraph" w:styleId="10">
    <w:name w:val="List 2"/>
    <w:basedOn w:val="1"/>
    <w:qFormat/>
    <w:uiPriority w:val="0"/>
    <w:pPr>
      <w:ind w:left="100" w:leftChars="200" w:hanging="200" w:hangingChars="200"/>
    </w:pPr>
  </w:style>
  <w:style w:type="paragraph" w:styleId="11">
    <w:name w:val="Plain Text"/>
    <w:basedOn w:val="1"/>
    <w:unhideWhenUsed/>
    <w:qFormat/>
    <w:uiPriority w:val="0"/>
    <w:pPr>
      <w:widowControl w:val="0"/>
      <w:adjustRightInd/>
      <w:snapToGrid/>
      <w:spacing w:after="0"/>
      <w:jc w:val="both"/>
    </w:pPr>
    <w:rPr>
      <w:rFonts w:ascii="宋体" w:hAnsi="Courier New" w:eastAsia="宋体"/>
    </w:rPr>
  </w:style>
  <w:style w:type="paragraph" w:styleId="12">
    <w:name w:val="Date"/>
    <w:basedOn w:val="1"/>
    <w:next w:val="1"/>
    <w:qFormat/>
    <w:uiPriority w:val="0"/>
    <w:rPr>
      <w:rFonts w:hint="eastAsia" w:ascii="宋体" w:hAnsi="Calibri" w:eastAsia="宋体" w:cs="Times New Roman"/>
      <w:sz w:val="32"/>
    </w:rPr>
  </w:style>
  <w:style w:type="paragraph" w:styleId="13">
    <w:name w:val="Body Text Indent 2"/>
    <w:basedOn w:val="1"/>
    <w:qFormat/>
    <w:uiPriority w:val="0"/>
    <w:pPr>
      <w:spacing w:line="540" w:lineRule="exact"/>
      <w:ind w:firstLine="720" w:firstLineChars="225"/>
      <w:jc w:val="left"/>
    </w:pPr>
    <w:rPr>
      <w:rFonts w:ascii="仿宋_GB2312" w:eastAsia="仿宋_GB2312"/>
      <w:sz w:val="32"/>
    </w:rPr>
  </w:style>
  <w:style w:type="paragraph" w:styleId="14">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Body Text 2"/>
    <w:basedOn w:val="1"/>
    <w:next w:val="11"/>
    <w:qFormat/>
    <w:uiPriority w:val="0"/>
    <w:pPr>
      <w:spacing w:line="480" w:lineRule="auto"/>
    </w:pPr>
  </w:style>
  <w:style w:type="paragraph" w:styleId="17">
    <w:name w:val="Body Text First Indent"/>
    <w:basedOn w:val="9"/>
    <w:next w:val="18"/>
    <w:qFormat/>
    <w:uiPriority w:val="0"/>
    <w:pPr>
      <w:spacing w:after="120" w:afterLines="0"/>
      <w:ind w:firstLine="420"/>
    </w:pPr>
    <w:rPr>
      <w:rFonts w:eastAsia="宋体"/>
      <w:sz w:val="32"/>
    </w:rPr>
  </w:style>
  <w:style w:type="paragraph" w:styleId="18">
    <w:name w:val="Body Text First Indent 2"/>
    <w:basedOn w:val="4"/>
    <w:qFormat/>
    <w:uiPriority w:val="0"/>
    <w:pPr>
      <w:tabs>
        <w:tab w:val="left" w:pos="720"/>
      </w:tabs>
      <w:autoSpaceDE w:val="0"/>
      <w:autoSpaceDN w:val="0"/>
      <w:adjustRightInd w:val="0"/>
      <w:ind w:firstLine="420"/>
      <w:jc w:val="left"/>
    </w:pPr>
    <w:rPr>
      <w:rFonts w:ascii="Times New Roman" w:hAnsi="Times New Roman" w:eastAsia="宋体" w:cs="Times New Roman"/>
      <w:color w:val="000000"/>
      <w:kern w:val="0"/>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ascii="monospace" w:hAnsi="monospace" w:eastAsia="monospace" w:cs="monospace"/>
    </w:rPr>
  </w:style>
  <w:style w:type="paragraph" w:customStyle="1" w:styleId="34">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Default"/>
    <w:qFormat/>
    <w:uiPriority w:val="6"/>
    <w:pPr>
      <w:widowControl w:val="0"/>
      <w:autoSpaceDE w:val="0"/>
    </w:pPr>
    <w:rPr>
      <w:rFonts w:ascii="宋体" w:hAnsi="宋体" w:eastAsia="宋体" w:cs="Times New Roman"/>
      <w:color w:val="000000"/>
      <w:sz w:val="24"/>
      <w:szCs w:val="24"/>
      <w:lang w:val="en-US" w:eastAsia="zh-CN" w:bidi="ar-SA"/>
    </w:rPr>
  </w:style>
  <w:style w:type="paragraph" w:customStyle="1" w:styleId="37">
    <w:name w:val="文档正文"/>
    <w:basedOn w:val="1"/>
    <w:qFormat/>
    <w:uiPriority w:val="0"/>
    <w:pPr>
      <w:spacing w:line="480" w:lineRule="atLeast"/>
      <w:ind w:firstLine="567"/>
    </w:pPr>
    <w:rPr>
      <w:rFonts w:hint="eastAsia" w:ascii="仿宋_GB2312" w:eastAsia="仿宋_GB2312"/>
      <w:sz w:val="28"/>
    </w:rPr>
  </w:style>
  <w:style w:type="paragraph" w:customStyle="1" w:styleId="38">
    <w:name w:val="正文首行缩进1"/>
    <w:basedOn w:val="9"/>
    <w:next w:val="1"/>
    <w:qFormat/>
    <w:uiPriority w:val="2457"/>
    <w:pPr>
      <w:spacing w:before="0" w:beforeLines="0" w:after="120" w:afterLines="0"/>
      <w:ind w:left="0" w:right="0" w:firstLine="420"/>
      <w:jc w:val="both"/>
    </w:pPr>
    <w:rPr>
      <w:rFonts w:ascii="Times New Roman" w:hAnsi="Times New Roman" w:cs="Times New Roman"/>
      <w:kern w:val="2"/>
      <w:sz w:val="21"/>
      <w:szCs w:val="20"/>
      <w:lang w:val="en-US" w:eastAsia="zh-CN"/>
    </w:rPr>
  </w:style>
  <w:style w:type="character" w:customStyle="1" w:styleId="39">
    <w:name w:val="标题 1字符"/>
    <w:qFormat/>
    <w:uiPriority w:val="2"/>
    <w:rPr>
      <w:rFonts w:ascii="黑体" w:hAnsi="黑体" w:eastAsia="宋体" w:cs="黑体"/>
      <w:b/>
      <w:sz w:val="44"/>
      <w:szCs w:val="72"/>
      <w:lang w:eastAsia="en-US"/>
    </w:rPr>
  </w:style>
  <w:style w:type="paragraph" w:customStyle="1" w:styleId="40">
    <w:name w:val="Table Paragraph"/>
    <w:basedOn w:val="1"/>
    <w:qFormat/>
    <w:uiPriority w:val="6"/>
  </w:style>
  <w:style w:type="character" w:customStyle="1" w:styleId="41">
    <w:name w:val="标题 2字符"/>
    <w:qFormat/>
    <w:uiPriority w:val="2"/>
    <w:rPr>
      <w:rFonts w:ascii="黑体" w:hAnsi="黑体" w:eastAsia="宋体" w:cs="黑体"/>
      <w:b/>
      <w:sz w:val="32"/>
      <w:szCs w:val="44"/>
      <w:lang w:eastAsia="en-US"/>
    </w:rPr>
  </w:style>
  <w:style w:type="character" w:customStyle="1" w:styleId="42">
    <w:name w:val="layui-layer-tabnow"/>
    <w:basedOn w:val="21"/>
    <w:qFormat/>
    <w:uiPriority w:val="0"/>
    <w:rPr>
      <w:bdr w:val="single" w:color="CCCCCC" w:sz="6" w:space="0"/>
      <w:shd w:val="clear" w:fill="FFFFFF"/>
    </w:rPr>
  </w:style>
  <w:style w:type="character" w:customStyle="1" w:styleId="43">
    <w:name w:val="first-child"/>
    <w:basedOn w:val="21"/>
    <w:qFormat/>
    <w:uiPriority w:val="0"/>
  </w:style>
  <w:style w:type="character" w:customStyle="1" w:styleId="44">
    <w:name w:val="hover1"/>
    <w:basedOn w:val="21"/>
    <w:qFormat/>
    <w:uiPriority w:val="0"/>
    <w:rPr>
      <w:color w:val="2590EB"/>
    </w:rPr>
  </w:style>
  <w:style w:type="character" w:customStyle="1" w:styleId="45">
    <w:name w:val="hover2"/>
    <w:basedOn w:val="21"/>
    <w:qFormat/>
    <w:uiPriority w:val="0"/>
    <w:rPr>
      <w:color w:val="2590EB"/>
    </w:rPr>
  </w:style>
  <w:style w:type="character" w:customStyle="1" w:styleId="46">
    <w:name w:val="hover3"/>
    <w:basedOn w:val="21"/>
    <w:qFormat/>
    <w:uiPriority w:val="0"/>
  </w:style>
  <w:style w:type="character" w:customStyle="1" w:styleId="47">
    <w:name w:val="hover"/>
    <w:basedOn w:val="21"/>
    <w:qFormat/>
    <w:uiPriority w:val="0"/>
    <w:rPr>
      <w:color w:val="2590EB"/>
    </w:rPr>
  </w:style>
  <w:style w:type="character" w:customStyle="1" w:styleId="48">
    <w:name w:val="mini-outputtext1"/>
    <w:basedOn w:val="21"/>
    <w:qFormat/>
    <w:uiPriority w:val="0"/>
  </w:style>
  <w:style w:type="character" w:customStyle="1" w:styleId="49">
    <w:name w:val="font21"/>
    <w:basedOn w:val="21"/>
    <w:qFormat/>
    <w:uiPriority w:val="0"/>
    <w:rPr>
      <w:rFonts w:hint="eastAsia" w:ascii="宋体" w:hAnsi="宋体" w:eastAsia="宋体" w:cs="宋体"/>
      <w:color w:val="000000"/>
      <w:sz w:val="20"/>
      <w:szCs w:val="20"/>
      <w:u w:val="none"/>
    </w:rPr>
  </w:style>
  <w:style w:type="character" w:customStyle="1" w:styleId="50">
    <w:name w:val="font31"/>
    <w:basedOn w:val="21"/>
    <w:qFormat/>
    <w:uiPriority w:val="0"/>
    <w:rPr>
      <w:rFonts w:hint="eastAsia" w:ascii="宋体" w:hAnsi="宋体" w:eastAsia="宋体" w:cs="宋体"/>
      <w:color w:val="000000"/>
      <w:sz w:val="20"/>
      <w:szCs w:val="20"/>
      <w:u w:val="none"/>
      <w:vertAlign w:val="subscript"/>
    </w:rPr>
  </w:style>
  <w:style w:type="character" w:customStyle="1" w:styleId="51">
    <w:name w:val="font41"/>
    <w:basedOn w:val="21"/>
    <w:qFormat/>
    <w:uiPriority w:val="0"/>
    <w:rPr>
      <w:rFonts w:hint="eastAsia" w:ascii="宋体" w:hAnsi="宋体" w:eastAsia="宋体" w:cs="宋体"/>
      <w:color w:val="000000"/>
      <w:sz w:val="20"/>
      <w:szCs w:val="20"/>
      <w:u w:val="none"/>
    </w:rPr>
  </w:style>
  <w:style w:type="character" w:customStyle="1" w:styleId="52">
    <w:name w:val="font11"/>
    <w:basedOn w:val="21"/>
    <w:qFormat/>
    <w:uiPriority w:val="0"/>
    <w:rPr>
      <w:rFonts w:hint="eastAsia" w:ascii="宋体" w:hAnsi="宋体" w:eastAsia="宋体" w:cs="宋体"/>
      <w:color w:val="000000"/>
      <w:sz w:val="21"/>
      <w:szCs w:val="21"/>
      <w:u w:val="none"/>
    </w:rPr>
  </w:style>
  <w:style w:type="paragraph" w:customStyle="1" w:styleId="53">
    <w:name w:val="文本块11"/>
    <w:basedOn w:val="1"/>
    <w:unhideWhenUsed/>
    <w:qFormat/>
    <w:uiPriority w:val="0"/>
    <w:pPr>
      <w:spacing w:after="120"/>
      <w:ind w:left="1440" w:right="144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18983</Words>
  <Characters>20346</Characters>
  <Lines>0</Lines>
  <Paragraphs>0</Paragraphs>
  <TotalTime>16</TotalTime>
  <ScaleCrop>false</ScaleCrop>
  <LinksUpToDate>false</LinksUpToDate>
  <CharactersWithSpaces>20465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2023-06-08T01:58:00Z</dcterms:created>
  <dc:creator>WPS_1657178353</dc:creator>
  <cp:lastModifiedBy>Administrator</cp:lastModifiedBy>
  <cp:lastPrinted>2026-04-10T02:53:00Z</cp:lastPrinted>
  <dcterms:modified xsi:type="dcterms:W3CDTF">2026-04-10T10:12:33Z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B728685F0C57486DAEB830B88AF29E17_13</vt:lpwstr>
  </property>
  <property fmtid="{D5CDD505-2E9C-101B-9397-08002B2CF9AE}" pid="4" name="KSOTemplateDocerSaveRecord">
    <vt:lpwstr>eyJoZGlkIjoiNjc4N2IzMjhjMmQ0YWMzNmM1ZDU2OTdhY2FkZDQzYTciLCJ1c2VySWQiOiIyNjMyNTU4ODUifQ==</vt:lpwstr>
  </property>
</Properties>
</file>