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7DBEB">
      <w:pPr>
        <w:pageBreakBefore w:val="0"/>
        <w:wordWrap/>
        <w:overflowPunct/>
        <w:bidi w:val="0"/>
        <w:spacing w:line="360" w:lineRule="auto"/>
        <w:jc w:val="center"/>
        <w:outlineLvl w:val="9"/>
        <w:rPr>
          <w:rFonts w:hint="eastAsia" w:eastAsia="宋体"/>
          <w:b/>
          <w:bCs/>
          <w:sz w:val="20"/>
          <w:szCs w:val="18"/>
          <w:lang w:eastAsia="zh-CN"/>
        </w:rPr>
      </w:pPr>
      <w:r>
        <w:rPr>
          <w:rFonts w:hint="eastAsia" w:ascii="宋体" w:hAnsi="宋体"/>
          <w:b/>
          <w:bCs/>
          <w:color w:val="auto"/>
          <w:sz w:val="48"/>
          <w:szCs w:val="48"/>
          <w:lang w:eastAsia="zh-CN"/>
        </w:rPr>
        <w:t>三门峡市城市建设发展服务中心2026年度城市道路维护抢险作业沥青混凝土材料采购项目</w:t>
      </w:r>
    </w:p>
    <w:p w14:paraId="62BDF313">
      <w:pPr>
        <w:pageBreakBefore w:val="0"/>
        <w:wordWrap/>
        <w:overflowPunct/>
        <w:bidi w:val="0"/>
        <w:spacing w:line="360" w:lineRule="auto"/>
        <w:jc w:val="center"/>
        <w:outlineLvl w:val="9"/>
        <w:rPr>
          <w:rFonts w:hint="eastAsia" w:ascii="宋体" w:hAnsi="宋体"/>
          <w:b/>
          <w:color w:val="auto"/>
          <w:sz w:val="36"/>
          <w:szCs w:val="36"/>
          <w:highlight w:val="yellow"/>
        </w:rPr>
      </w:pPr>
    </w:p>
    <w:p w14:paraId="5D42C92A">
      <w:pPr>
        <w:spacing w:line="360" w:lineRule="auto"/>
        <w:jc w:val="center"/>
        <w:outlineLvl w:val="9"/>
        <w:rPr>
          <w:rFonts w:hint="eastAsia" w:ascii="宋体" w:hAnsi="宋体"/>
          <w:b/>
          <w:color w:val="auto"/>
          <w:sz w:val="36"/>
          <w:szCs w:val="36"/>
          <w:highlight w:val="none"/>
          <w:lang w:val="en-US" w:eastAsia="zh-CN"/>
        </w:rPr>
      </w:pPr>
      <w:r>
        <w:rPr>
          <w:rFonts w:hint="eastAsia" w:ascii="宋体" w:hAnsi="宋体"/>
          <w:b/>
          <w:color w:val="auto"/>
          <w:sz w:val="36"/>
          <w:szCs w:val="36"/>
          <w:highlight w:val="none"/>
        </w:rPr>
        <w:t>项目编号:</w:t>
      </w:r>
      <w:bookmarkStart w:id="0" w:name="OLE_LINK7"/>
      <w:bookmarkStart w:id="1" w:name="OLE_LINK83"/>
      <w:r>
        <w:rPr>
          <w:rFonts w:hint="eastAsia" w:ascii="宋体" w:hAnsi="宋体"/>
          <w:b/>
          <w:color w:val="auto"/>
          <w:sz w:val="36"/>
          <w:szCs w:val="36"/>
          <w:highlight w:val="none"/>
          <w:lang w:val="en-US" w:eastAsia="zh-CN"/>
        </w:rPr>
        <w:t>三财公开采购-2026-14</w:t>
      </w:r>
      <w:bookmarkEnd w:id="0"/>
    </w:p>
    <w:p w14:paraId="7369990A">
      <w:pPr>
        <w:pStyle w:val="2"/>
        <w:spacing w:line="360" w:lineRule="auto"/>
        <w:ind w:left="0" w:leftChars="0" w:firstLine="4120" w:firstLineChars="0"/>
        <w:rPr>
          <w:rFonts w:hint="default" w:ascii="宋体" w:hAnsi="宋体" w:eastAsia="宋体" w:cs="Times New Roman"/>
          <w:b/>
          <w:color w:val="auto"/>
          <w:sz w:val="36"/>
          <w:szCs w:val="36"/>
          <w:highlight w:val="none"/>
          <w:u w:color="000000"/>
          <w:lang w:val="en-US" w:eastAsia="zh-CN" w:bidi="ar-SA"/>
        </w:rPr>
      </w:pPr>
      <w:r>
        <w:rPr>
          <w:rFonts w:hint="default" w:ascii="宋体" w:hAnsi="宋体" w:eastAsia="宋体" w:cs="Times New Roman"/>
          <w:b/>
          <w:color w:val="auto"/>
          <w:sz w:val="36"/>
          <w:szCs w:val="36"/>
          <w:highlight w:val="none"/>
          <w:u w:color="000000"/>
          <w:lang w:val="en-US" w:eastAsia="zh-CN" w:bidi="ar-SA"/>
        </w:rPr>
        <w:t>SGZ[2026]104-ZC065</w:t>
      </w:r>
    </w:p>
    <w:bookmarkEnd w:id="1"/>
    <w:p w14:paraId="0923159A">
      <w:pPr>
        <w:pageBreakBefore w:val="0"/>
        <w:widowControl w:val="0"/>
        <w:tabs>
          <w:tab w:val="left" w:pos="6510"/>
        </w:tabs>
        <w:wordWrap/>
        <w:overflowPunct/>
        <w:bidi w:val="0"/>
        <w:snapToGrid w:val="0"/>
        <w:spacing w:line="360" w:lineRule="auto"/>
        <w:jc w:val="center"/>
        <w:outlineLvl w:val="9"/>
        <w:rPr>
          <w:rFonts w:ascii="宋体" w:hAnsi="宋体"/>
          <w:b/>
          <w:color w:val="auto"/>
          <w:sz w:val="28"/>
          <w:szCs w:val="28"/>
        </w:rPr>
      </w:pPr>
      <w:r>
        <w:rPr>
          <w:rFonts w:ascii="宋体" w:hAnsi="宋体"/>
          <w:b/>
          <w:color w:val="auto"/>
          <w:spacing w:val="175"/>
          <w:sz w:val="82"/>
        </w:rPr>
        <w:t>招标文件</w:t>
      </w:r>
      <w:r>
        <w:rPr>
          <w:rFonts w:hint="eastAsia" w:ascii="宋体" w:hAnsi="宋体"/>
          <w:b/>
          <w:color w:val="auto"/>
          <w:sz w:val="28"/>
          <w:szCs w:val="28"/>
        </w:rPr>
        <w:t xml:space="preserve">   </w:t>
      </w:r>
    </w:p>
    <w:p w14:paraId="22005AAD">
      <w:pPr>
        <w:pageBreakBefore w:val="0"/>
        <w:wordWrap/>
        <w:overflowPunct/>
        <w:bidi w:val="0"/>
        <w:spacing w:line="360" w:lineRule="auto"/>
        <w:jc w:val="center"/>
        <w:outlineLvl w:val="9"/>
        <w:rPr>
          <w:rFonts w:ascii="宋体" w:hAnsi="宋体"/>
        </w:rPr>
      </w:pPr>
    </w:p>
    <w:p w14:paraId="02A350A4">
      <w:pPr>
        <w:pageBreakBefore w:val="0"/>
        <w:widowControl w:val="0"/>
        <w:tabs>
          <w:tab w:val="left" w:pos="6510"/>
        </w:tabs>
        <w:wordWrap/>
        <w:overflowPunct/>
        <w:bidi w:val="0"/>
        <w:snapToGrid w:val="0"/>
        <w:spacing w:line="360" w:lineRule="auto"/>
        <w:jc w:val="center"/>
        <w:outlineLvl w:val="9"/>
        <w:rPr>
          <w:rFonts w:ascii="宋体" w:hAnsi="宋体"/>
          <w:b/>
          <w:color w:val="auto"/>
          <w:sz w:val="31"/>
        </w:rPr>
      </w:pPr>
      <w:r>
        <w:rPr>
          <w:color w:val="000000" w:themeColor="text1"/>
          <w:highlight w:val="none"/>
          <w14:textFill>
            <w14:solidFill>
              <w14:schemeClr w14:val="tx1"/>
            </w14:solidFill>
          </w14:textFill>
        </w:rPr>
        <w:drawing>
          <wp:inline distT="0" distB="0" distL="114300" distR="114300">
            <wp:extent cx="3023235" cy="2606675"/>
            <wp:effectExtent l="0" t="0" r="12065" b="9525"/>
            <wp:docPr id="4" name="图片 4" descr="D:\公司资料\厚德（河南省）企业管理有限责任公司\公司简介\公司logo及标牌\厚德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公司资料\厚德（河南省）企业管理有限责任公司\公司简介\公司logo及标牌\厚德LOGO 1.jpg"/>
                    <pic:cNvPicPr>
                      <a:picLocks noChangeAspect="1"/>
                    </pic:cNvPicPr>
                  </pic:nvPicPr>
                  <pic:blipFill>
                    <a:blip r:embed="rId15"/>
                    <a:stretch>
                      <a:fillRect/>
                    </a:stretch>
                  </pic:blipFill>
                  <pic:spPr>
                    <a:xfrm>
                      <a:off x="0" y="0"/>
                      <a:ext cx="3023235" cy="2606675"/>
                    </a:xfrm>
                    <a:prstGeom prst="rect">
                      <a:avLst/>
                    </a:prstGeom>
                    <a:noFill/>
                    <a:ln>
                      <a:noFill/>
                    </a:ln>
                  </pic:spPr>
                </pic:pic>
              </a:graphicData>
            </a:graphic>
          </wp:inline>
        </w:drawing>
      </w:r>
    </w:p>
    <w:p w14:paraId="4E595EBC">
      <w:pPr>
        <w:pageBreakBefore w:val="0"/>
        <w:wordWrap/>
        <w:overflowPunct/>
        <w:bidi w:val="0"/>
        <w:spacing w:line="360" w:lineRule="auto"/>
        <w:outlineLvl w:val="9"/>
      </w:pPr>
    </w:p>
    <w:p w14:paraId="55942881">
      <w:pPr>
        <w:pageBreakBefore w:val="0"/>
        <w:widowControl w:val="0"/>
        <w:tabs>
          <w:tab w:val="left" w:pos="6510"/>
        </w:tabs>
        <w:wordWrap/>
        <w:overflowPunct/>
        <w:bidi w:val="0"/>
        <w:snapToGrid w:val="0"/>
        <w:spacing w:line="360" w:lineRule="auto"/>
        <w:jc w:val="center"/>
        <w:outlineLvl w:val="9"/>
        <w:rPr>
          <w:rFonts w:ascii="宋体" w:hAnsi="宋体"/>
          <w:color w:val="auto"/>
        </w:rPr>
      </w:pPr>
      <w:r>
        <w:rPr>
          <w:rFonts w:hint="eastAsia" w:ascii="宋体" w:hAnsi="宋体"/>
          <w:b/>
          <w:color w:val="auto"/>
          <w:sz w:val="31"/>
        </w:rPr>
        <w:t>采购</w:t>
      </w:r>
      <w:r>
        <w:rPr>
          <w:rFonts w:ascii="宋体" w:hAnsi="宋体"/>
          <w:b/>
          <w:color w:val="auto"/>
          <w:sz w:val="31"/>
        </w:rPr>
        <w:t>人：</w:t>
      </w:r>
      <w:bookmarkStart w:id="2" w:name="OLE_LINK72"/>
      <w:r>
        <w:rPr>
          <w:rFonts w:hint="eastAsia" w:ascii="宋体" w:hAnsi="宋体"/>
          <w:b/>
          <w:color w:val="auto"/>
          <w:sz w:val="31"/>
        </w:rPr>
        <w:t>三门峡市城市建设发展服务中心</w:t>
      </w:r>
      <w:bookmarkEnd w:id="2"/>
    </w:p>
    <w:p w14:paraId="2FE2B9A0">
      <w:pPr>
        <w:pageBreakBefore w:val="0"/>
        <w:widowControl w:val="0"/>
        <w:tabs>
          <w:tab w:val="left" w:pos="6510"/>
        </w:tabs>
        <w:wordWrap/>
        <w:overflowPunct/>
        <w:bidi w:val="0"/>
        <w:snapToGrid w:val="0"/>
        <w:spacing w:line="360" w:lineRule="auto"/>
        <w:jc w:val="center"/>
        <w:outlineLvl w:val="9"/>
        <w:rPr>
          <w:rFonts w:hint="eastAsia" w:ascii="宋体" w:hAnsi="宋体" w:eastAsia="宋体"/>
          <w:color w:val="auto"/>
          <w:lang w:eastAsia="zh-CN"/>
        </w:rPr>
      </w:pPr>
      <w:r>
        <w:rPr>
          <w:rFonts w:ascii="宋体" w:hAnsi="宋体"/>
          <w:b/>
          <w:color w:val="auto"/>
          <w:sz w:val="31"/>
        </w:rPr>
        <w:t>代理</w:t>
      </w:r>
      <w:r>
        <w:rPr>
          <w:rFonts w:hint="eastAsia" w:ascii="宋体" w:hAnsi="宋体"/>
          <w:b/>
          <w:color w:val="auto"/>
          <w:sz w:val="31"/>
        </w:rPr>
        <w:t>机构</w:t>
      </w:r>
      <w:r>
        <w:rPr>
          <w:rFonts w:ascii="宋体" w:hAnsi="宋体"/>
          <w:b/>
          <w:color w:val="auto"/>
          <w:sz w:val="31"/>
        </w:rPr>
        <w:t>：</w:t>
      </w:r>
      <w:r>
        <w:rPr>
          <w:rFonts w:hint="eastAsia" w:ascii="宋体" w:hAnsi="宋体"/>
          <w:b/>
          <w:color w:val="auto"/>
          <w:sz w:val="32"/>
          <w:szCs w:val="32"/>
          <w:lang w:eastAsia="zh-CN"/>
        </w:rPr>
        <w:t>厚德（河南省）企业管理有限责任公司</w:t>
      </w:r>
    </w:p>
    <w:p w14:paraId="27F80405">
      <w:pPr>
        <w:pageBreakBefore w:val="0"/>
        <w:widowControl w:val="0"/>
        <w:tabs>
          <w:tab w:val="left" w:pos="6510"/>
        </w:tabs>
        <w:wordWrap/>
        <w:overflowPunct/>
        <w:bidi w:val="0"/>
        <w:snapToGrid w:val="0"/>
        <w:spacing w:line="360" w:lineRule="auto"/>
        <w:jc w:val="center"/>
        <w:outlineLvl w:val="9"/>
        <w:rPr>
          <w:rFonts w:ascii="宋体" w:hAnsi="宋体"/>
          <w:color w:val="auto"/>
        </w:rPr>
      </w:pPr>
      <w:r>
        <w:rPr>
          <w:rFonts w:ascii="宋体" w:hAnsi="宋体"/>
          <w:b/>
          <w:color w:val="auto"/>
          <w:sz w:val="31"/>
        </w:rPr>
        <w:t>日期：二</w:t>
      </w:r>
      <w:r>
        <w:rPr>
          <w:rFonts w:hint="eastAsia" w:ascii="宋体" w:hAnsi="宋体"/>
          <w:b/>
          <w:color w:val="auto"/>
          <w:sz w:val="31"/>
        </w:rPr>
        <w:t>〇</w:t>
      </w:r>
      <w:r>
        <w:rPr>
          <w:rFonts w:ascii="宋体" w:hAnsi="宋体"/>
          <w:b/>
          <w:color w:val="auto"/>
          <w:sz w:val="31"/>
        </w:rPr>
        <w:t>二</w:t>
      </w:r>
      <w:r>
        <w:rPr>
          <w:rFonts w:hint="eastAsia" w:ascii="宋体" w:hAnsi="宋体"/>
          <w:b/>
          <w:color w:val="auto"/>
          <w:sz w:val="31"/>
          <w:lang w:val="en-US" w:eastAsia="zh-CN"/>
        </w:rPr>
        <w:t>六</w:t>
      </w:r>
      <w:r>
        <w:rPr>
          <w:rFonts w:ascii="宋体" w:hAnsi="宋体"/>
          <w:b/>
          <w:color w:val="auto"/>
          <w:sz w:val="31"/>
        </w:rPr>
        <w:t>年</w:t>
      </w:r>
      <w:r>
        <w:rPr>
          <w:rFonts w:hint="eastAsia" w:ascii="宋体" w:hAnsi="宋体"/>
          <w:b/>
          <w:color w:val="auto"/>
          <w:sz w:val="31"/>
          <w:lang w:val="en-US" w:eastAsia="zh-CN"/>
        </w:rPr>
        <w:t>四</w:t>
      </w:r>
      <w:r>
        <w:rPr>
          <w:rFonts w:ascii="宋体" w:hAnsi="宋体"/>
          <w:b/>
          <w:color w:val="auto"/>
          <w:sz w:val="31"/>
        </w:rPr>
        <w:t>月</w:t>
      </w:r>
    </w:p>
    <w:p w14:paraId="5DA544AF">
      <w:pPr>
        <w:pageBreakBefore w:val="0"/>
        <w:wordWrap/>
        <w:overflowPunct/>
        <w:bidi w:val="0"/>
        <w:spacing w:line="360" w:lineRule="auto"/>
        <w:rPr>
          <w:rFonts w:ascii="宋体" w:hAnsi="宋体"/>
          <w:i/>
          <w:iCs/>
          <w:color w:val="auto"/>
          <w:u w:val="single"/>
        </w:rPr>
        <w:sectPr>
          <w:headerReference r:id="rId7" w:type="first"/>
          <w:footerReference r:id="rId9" w:type="first"/>
          <w:headerReference r:id="rId5" w:type="default"/>
          <w:footerReference r:id="rId8" w:type="default"/>
          <w:headerReference r:id="rId6" w:type="even"/>
          <w:endnotePr>
            <w:numFmt w:val="decimal"/>
          </w:endnotePr>
          <w:pgSz w:w="12247" w:h="15819"/>
          <w:pgMar w:top="1440" w:right="1080" w:bottom="1440" w:left="1080" w:header="719" w:footer="1133" w:gutter="0"/>
          <w:pgNumType w:start="1"/>
          <w:cols w:space="720" w:num="1"/>
          <w:docGrid w:linePitch="286" w:charSpace="0"/>
        </w:sectPr>
      </w:pPr>
    </w:p>
    <w:sdt>
      <w:sdtPr>
        <w:rPr>
          <w:rFonts w:ascii="宋体" w:hAnsi="宋体" w:eastAsia="宋体" w:cs="Times New Roman"/>
          <w:color w:val="000000"/>
          <w:sz w:val="21"/>
          <w:u w:color="000000"/>
          <w:lang w:val="en-US" w:eastAsia="zh-CN" w:bidi="ar-SA"/>
        </w:rPr>
        <w:id w:val="147465602"/>
        <w15:color w:val="DBDBDB"/>
        <w:docPartObj>
          <w:docPartGallery w:val="Table of Contents"/>
          <w:docPartUnique/>
        </w:docPartObj>
      </w:sdtPr>
      <w:sdtEndPr>
        <w:rPr>
          <w:rFonts w:ascii="宋体" w:hAnsi="宋体" w:eastAsia="宋体" w:cs="Times New Roman"/>
          <w:b/>
          <w:color w:val="auto"/>
          <w:sz w:val="21"/>
          <w:szCs w:val="24"/>
          <w:u w:val="single" w:color="000000"/>
          <w:lang w:val="en-US" w:eastAsia="zh-CN" w:bidi="ar-SA"/>
        </w:rPr>
      </w:sdtEndPr>
      <w:sdtContent>
        <w:p w14:paraId="2049A248">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baseline"/>
            <w:rPr>
              <w:rFonts w:hint="eastAsia" w:ascii="宋体" w:hAnsi="宋体" w:eastAsia="宋体" w:cs="宋体"/>
              <w:sz w:val="24"/>
              <w:szCs w:val="24"/>
            </w:rPr>
          </w:pPr>
          <w:bookmarkStart w:id="3" w:name="_Toc452908011"/>
          <w:bookmarkStart w:id="4" w:name="_Toc454525911"/>
          <w:bookmarkStart w:id="5" w:name="_Toc452907927"/>
          <w:bookmarkStart w:id="6" w:name="_Toc28428"/>
          <w:r>
            <w:rPr>
              <w:rFonts w:hint="eastAsia" w:ascii="宋体" w:hAnsi="宋体" w:eastAsia="宋体" w:cs="宋体"/>
              <w:sz w:val="24"/>
              <w:szCs w:val="24"/>
            </w:rPr>
            <w:t>目录</w:t>
          </w:r>
        </w:p>
        <w:p w14:paraId="778C777B">
          <w:pPr>
            <w:pStyle w:val="12"/>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color w:val="auto"/>
              <w:sz w:val="24"/>
              <w:szCs w:val="24"/>
              <w:u w:val="single"/>
            </w:rPr>
            <w:instrText xml:space="preserve">TOC \o "1-2" \h \u </w:instrText>
          </w:r>
          <w:r>
            <w:rPr>
              <w:rFonts w:hint="eastAsia" w:ascii="宋体" w:hAnsi="宋体" w:eastAsia="宋体" w:cs="宋体"/>
              <w:color w:val="auto"/>
              <w:sz w:val="24"/>
              <w:szCs w:val="24"/>
              <w:u w:val="single"/>
            </w:rPr>
            <w:fldChar w:fldCharType="separate"/>
          </w: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_Toc6432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_Toc6432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49092330">
          <w:pPr>
            <w:pStyle w:val="12"/>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_Toc23137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_Toc23137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52E17200">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_Toc7763 </w:instrText>
          </w:r>
          <w:r>
            <w:rPr>
              <w:rFonts w:hint="eastAsia" w:ascii="宋体" w:hAnsi="宋体" w:eastAsia="宋体" w:cs="宋体"/>
              <w:sz w:val="24"/>
              <w:szCs w:val="24"/>
            </w:rP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_Toc7763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78F2E19B">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_Toc26321 </w:instrText>
          </w:r>
          <w:r>
            <w:rPr>
              <w:rFonts w:hint="eastAsia" w:ascii="宋体" w:hAnsi="宋体" w:eastAsia="宋体" w:cs="宋体"/>
              <w:sz w:val="24"/>
              <w:szCs w:val="24"/>
            </w:rPr>
            <w:fldChar w:fldCharType="separate"/>
          </w:r>
          <w:r>
            <w:rPr>
              <w:rFonts w:hint="eastAsia" w:ascii="宋体" w:hAnsi="宋体" w:eastAsia="宋体" w:cs="宋体"/>
              <w:sz w:val="24"/>
              <w:szCs w:val="24"/>
            </w:rPr>
            <w:t>2.招标文件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_Toc26321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43E22D84">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_Toc3595 </w:instrText>
          </w:r>
          <w:r>
            <w:rPr>
              <w:rFonts w:hint="eastAsia" w:ascii="宋体" w:hAnsi="宋体" w:eastAsia="宋体" w:cs="宋体"/>
              <w:sz w:val="24"/>
              <w:szCs w:val="24"/>
            </w:rPr>
            <w:fldChar w:fldCharType="separate"/>
          </w:r>
          <w:r>
            <w:rPr>
              <w:rFonts w:hint="eastAsia" w:ascii="宋体" w:hAnsi="宋体" w:eastAsia="宋体" w:cs="宋体"/>
              <w:sz w:val="24"/>
              <w:szCs w:val="24"/>
            </w:rPr>
            <w:t>3.投标文件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_Toc3595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0C9552E6">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_Toc7470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_Toc7470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071D43D1">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_Toc3202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_Toc3202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76CDF3CE">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_Toc9919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_Toc9919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3B7DF9D0">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_Toc9227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_Toc9227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57CFF587">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_Toc31245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_Toc31245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7059A501">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_Toc14473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_Toc14473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1FEF50EB">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_Toc31998 </w:instrText>
          </w:r>
          <w:r>
            <w:rPr>
              <w:rFonts w:hint="eastAsia" w:ascii="宋体" w:hAnsi="宋体" w:eastAsia="宋体" w:cs="宋体"/>
              <w:sz w:val="24"/>
              <w:szCs w:val="24"/>
            </w:rPr>
            <w:fldChar w:fldCharType="separate"/>
          </w:r>
          <w:r>
            <w:rPr>
              <w:rFonts w:hint="eastAsia" w:ascii="宋体" w:hAnsi="宋体" w:eastAsia="宋体" w:cs="宋体"/>
              <w:sz w:val="24"/>
              <w:szCs w:val="24"/>
            </w:rPr>
            <w:t>10.支付办法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_Toc31998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1B101F5E">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_Toc11150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异常低价审查程序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_Toc11150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30AD4019">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_Toc30979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12.</w:t>
          </w:r>
          <w:r>
            <w:rPr>
              <w:rFonts w:hint="eastAsia" w:ascii="宋体" w:hAnsi="宋体" w:eastAsia="宋体" w:cs="宋体"/>
              <w:sz w:val="24"/>
              <w:szCs w:val="24"/>
            </w:rPr>
            <w:t>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_Toc30979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0E63F5B9">
          <w:pPr>
            <w:pStyle w:val="12"/>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_Toc24168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val="en-US" w:eastAsia="zh-CN" w:bidi="ar-SA"/>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_Toc24168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25AA7B29">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_Toc31074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评标办法前附表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_Toc31074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07C195B0">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_Toc27049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_Toc27049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1FF02835">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_Toc11555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3.评标程序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_Toc11555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5C2D0666">
          <w:pPr>
            <w:pStyle w:val="12"/>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_Toc24052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第四章  采购内容及要求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_Toc24052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2CB8F088">
          <w:pPr>
            <w:pStyle w:val="12"/>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_Toc28981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第五章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_Toc28981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7EB41E0D">
          <w:pPr>
            <w:pStyle w:val="12"/>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_Toc16394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 xml:space="preserve">第六章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_Toc16394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16B1F681">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_Toc3250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rPr>
            <w:t>一、投 标 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_Toc3250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51A8BD19">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_Toc17009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rPr>
            <w:t>二、开标一览表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_Toc17009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3AC139BD">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_Toc14462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rPr>
            <w:t>三、法定代表人身份证明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_Toc14462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6DC6B060">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_Toc4398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rPr>
            <w:t>四、授权委托书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_Toc4398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69323D6A">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_Toc5258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rPr>
            <w:t>五、</w:t>
          </w:r>
          <w:r>
            <w:rPr>
              <w:rFonts w:hint="eastAsia" w:ascii="宋体" w:hAnsi="宋体" w:eastAsia="宋体" w:cs="宋体"/>
              <w:bCs/>
              <w:kern w:val="2"/>
              <w:sz w:val="24"/>
              <w:szCs w:val="24"/>
              <w:highlight w:val="none"/>
              <w:lang w:eastAsia="zh-CN"/>
            </w:rPr>
            <w:t>货物质量保障方案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_Toc5258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639E33D3">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_Toc26722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rPr>
            <w:t>六、投标承诺函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_Toc26722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6BB17538">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_Toc130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rPr>
            <w:t>七、资格证明文件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10A6A3EB">
          <w:pPr>
            <w:pStyle w:val="13"/>
            <w:keepNext w:val="0"/>
            <w:keepLines w:val="0"/>
            <w:pageBreakBefore w:val="0"/>
            <w:widowControl/>
            <w:tabs>
              <w:tab w:val="right" w:leader="dot" w:pos="10087"/>
            </w:tabs>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u w:val="single"/>
            </w:rPr>
            <w:fldChar w:fldCharType="begin"/>
          </w:r>
          <w:r>
            <w:rPr>
              <w:rFonts w:hint="eastAsia" w:ascii="宋体" w:hAnsi="宋体" w:eastAsia="宋体" w:cs="宋体"/>
              <w:sz w:val="24"/>
              <w:szCs w:val="24"/>
            </w:rPr>
            <w:instrText xml:space="preserve"> HYPERLINK \l _Toc13524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rPr>
            <w:t>八、其他资料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_Toc13524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auto"/>
              <w:sz w:val="24"/>
              <w:szCs w:val="24"/>
              <w:u w:val="single"/>
            </w:rPr>
            <w:fldChar w:fldCharType="end"/>
          </w:r>
        </w:p>
        <w:p w14:paraId="7C6A0B56">
          <w:pPr>
            <w:keepNext w:val="0"/>
            <w:keepLines w:val="0"/>
            <w:pageBreakBefore w:val="0"/>
            <w:widowControl/>
            <w:kinsoku/>
            <w:wordWrap/>
            <w:overflowPunct/>
            <w:topLinePunct w:val="0"/>
            <w:autoSpaceDE/>
            <w:autoSpaceDN/>
            <w:bidi w:val="0"/>
            <w:adjustRightInd/>
            <w:snapToGrid/>
            <w:spacing w:line="360" w:lineRule="auto"/>
            <w:textAlignment w:val="baseline"/>
            <w:rPr>
              <w:rFonts w:ascii="宋体" w:hAnsi="宋体" w:eastAsia="宋体" w:cs="Times New Roman"/>
              <w:b/>
              <w:color w:val="auto"/>
              <w:sz w:val="21"/>
              <w:szCs w:val="24"/>
              <w:u w:val="single" w:color="000000"/>
              <w:lang w:val="en-US" w:eastAsia="zh-CN" w:bidi="ar-SA"/>
            </w:rPr>
            <w:sectPr>
              <w:footerReference r:id="rId10" w:type="default"/>
              <w:endnotePr>
                <w:numFmt w:val="decimal"/>
              </w:endnotePr>
              <w:pgSz w:w="12247" w:h="15819"/>
              <w:pgMar w:top="1440" w:right="1080" w:bottom="1440" w:left="1080" w:header="719" w:footer="1133" w:gutter="0"/>
              <w:pgNumType w:start="1"/>
              <w:cols w:space="720" w:num="1"/>
              <w:docGrid w:type="lines" w:linePitch="312" w:charSpace="0"/>
            </w:sectPr>
          </w:pPr>
          <w:r>
            <w:rPr>
              <w:rFonts w:hint="eastAsia" w:ascii="宋体" w:hAnsi="宋体" w:eastAsia="宋体" w:cs="宋体"/>
              <w:color w:val="auto"/>
              <w:sz w:val="24"/>
              <w:szCs w:val="24"/>
              <w:u w:val="single"/>
            </w:rPr>
            <w:fldChar w:fldCharType="end"/>
          </w:r>
        </w:p>
      </w:sdtContent>
    </w:sdt>
    <w:p w14:paraId="70066EA4">
      <w:pPr>
        <w:pageBreakBefore w:val="0"/>
        <w:wordWrap/>
        <w:overflowPunct/>
        <w:bidi w:val="0"/>
        <w:spacing w:line="360" w:lineRule="auto"/>
        <w:jc w:val="center"/>
        <w:outlineLvl w:val="0"/>
        <w:rPr>
          <w:b/>
          <w:bCs/>
          <w:sz w:val="44"/>
          <w:szCs w:val="40"/>
        </w:rPr>
      </w:pPr>
      <w:bookmarkStart w:id="7" w:name="_Toc6432"/>
      <w:r>
        <w:rPr>
          <w:rFonts w:hint="eastAsia"/>
          <w:b/>
          <w:bCs/>
          <w:sz w:val="44"/>
          <w:szCs w:val="40"/>
        </w:rPr>
        <w:t xml:space="preserve">第一章  </w:t>
      </w:r>
      <w:r>
        <w:rPr>
          <w:b/>
          <w:bCs/>
          <w:sz w:val="44"/>
          <w:szCs w:val="40"/>
        </w:rPr>
        <w:t>招标公告</w:t>
      </w:r>
      <w:bookmarkEnd w:id="3"/>
      <w:bookmarkEnd w:id="4"/>
      <w:bookmarkEnd w:id="5"/>
      <w:bookmarkEnd w:id="6"/>
      <w:bookmarkEnd w:id="7"/>
    </w:p>
    <w:p w14:paraId="41CF8CED">
      <w:pPr>
        <w:pageBreakBefore w:val="0"/>
        <w:wordWrap/>
        <w:overflowPunct/>
        <w:bidi w:val="0"/>
        <w:spacing w:line="360" w:lineRule="auto"/>
        <w:ind w:firstLine="480" w:firstLineChars="200"/>
        <w:rPr>
          <w:rFonts w:ascii="宋体" w:hAnsi="宋体"/>
          <w:color w:val="auto"/>
          <w:sz w:val="24"/>
          <w:szCs w:val="24"/>
        </w:rPr>
      </w:pPr>
      <w:bookmarkStart w:id="8" w:name="OLE_LINK1"/>
      <w:bookmarkStart w:id="9" w:name="OLE_LINK62"/>
      <w:r>
        <w:rPr>
          <w:rFonts w:hint="eastAsia" w:ascii="宋体" w:hAnsi="宋体"/>
          <w:color w:val="auto"/>
          <w:sz w:val="24"/>
          <w:szCs w:val="24"/>
        </w:rPr>
        <w:t>项目概况</w:t>
      </w:r>
    </w:p>
    <w:p w14:paraId="525E49F8">
      <w:pPr>
        <w:pageBreakBefore w:val="0"/>
        <w:wordWrap/>
        <w:overflowPunct/>
        <w:bidi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lang w:eastAsia="zh-CN"/>
        </w:rPr>
        <w:t>三门峡市城市建设发展服务中心2026年度城市道路维护抢险作业沥青混凝土材料采购项目</w:t>
      </w:r>
      <w:r>
        <w:rPr>
          <w:rFonts w:hint="eastAsia" w:ascii="宋体" w:hAnsi="宋体"/>
          <w:color w:val="auto"/>
          <w:sz w:val="24"/>
          <w:szCs w:val="24"/>
        </w:rPr>
        <w:t>的潜在</w:t>
      </w:r>
      <w:r>
        <w:rPr>
          <w:rFonts w:hint="eastAsia" w:ascii="宋体" w:hAnsi="宋体"/>
          <w:color w:val="auto"/>
          <w:sz w:val="24"/>
          <w:szCs w:val="24"/>
          <w:lang w:eastAsia="zh-CN"/>
        </w:rPr>
        <w:t>供应商</w:t>
      </w:r>
      <w:r>
        <w:rPr>
          <w:rFonts w:hint="eastAsia" w:ascii="宋体" w:hAnsi="宋体"/>
          <w:color w:val="auto"/>
          <w:sz w:val="24"/>
          <w:szCs w:val="24"/>
        </w:rPr>
        <w:t>应在三门峡市公共资源交易中心（gzjy.smx.gov.cn）获取招标文件，并于</w:t>
      </w:r>
      <w:r>
        <w:rPr>
          <w:rFonts w:hint="eastAsia" w:ascii="宋体" w:hAnsi="宋体"/>
          <w:color w:val="auto"/>
          <w:sz w:val="24"/>
          <w:szCs w:val="24"/>
          <w:highlight w:val="none"/>
          <w:lang w:eastAsia="zh-CN"/>
        </w:rPr>
        <w:t>2026年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日08时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0分</w:t>
      </w:r>
      <w:r>
        <w:rPr>
          <w:rFonts w:hint="eastAsia" w:ascii="宋体" w:hAnsi="宋体"/>
          <w:color w:val="auto"/>
          <w:sz w:val="24"/>
          <w:szCs w:val="24"/>
        </w:rPr>
        <w:t>（北京时间）前递交响应文件</w:t>
      </w:r>
      <w:r>
        <w:rPr>
          <w:rFonts w:hint="eastAsia" w:ascii="宋体" w:hAnsi="宋体"/>
          <w:color w:val="auto"/>
          <w:sz w:val="24"/>
          <w:szCs w:val="24"/>
          <w:lang w:eastAsia="zh-CN"/>
        </w:rPr>
        <w:t>。</w:t>
      </w:r>
    </w:p>
    <w:p w14:paraId="0648A230">
      <w:pPr>
        <w:pageBreakBefore w:val="0"/>
        <w:wordWrap/>
        <w:overflowPunct/>
        <w:bidi w:val="0"/>
        <w:spacing w:line="360" w:lineRule="auto"/>
        <w:ind w:firstLine="480" w:firstLineChars="200"/>
        <w:outlineLvl w:val="9"/>
        <w:rPr>
          <w:rFonts w:ascii="宋体" w:hAnsi="宋体"/>
          <w:bCs/>
          <w:color w:val="auto"/>
          <w:sz w:val="24"/>
          <w:szCs w:val="24"/>
        </w:rPr>
      </w:pPr>
      <w:r>
        <w:rPr>
          <w:rFonts w:hint="eastAsia" w:ascii="宋体" w:hAnsi="宋体"/>
          <w:bCs/>
          <w:color w:val="auto"/>
          <w:sz w:val="24"/>
          <w:szCs w:val="24"/>
        </w:rPr>
        <w:t>一、项目基本情况</w:t>
      </w:r>
    </w:p>
    <w:p w14:paraId="15E253E1">
      <w:pPr>
        <w:pageBreakBefore w:val="0"/>
        <w:wordWrap/>
        <w:overflowPunct/>
        <w:bidi w:val="0"/>
        <w:spacing w:line="360" w:lineRule="auto"/>
        <w:ind w:firstLine="480" w:firstLineChars="200"/>
        <w:outlineLvl w:val="9"/>
        <w:rPr>
          <w:rFonts w:hint="eastAsia" w:ascii="宋体" w:hAnsi="宋体"/>
          <w:color w:val="auto"/>
          <w:sz w:val="24"/>
          <w:szCs w:val="24"/>
          <w:lang w:eastAsia="zh-CN"/>
        </w:rPr>
      </w:pPr>
      <w:r>
        <w:rPr>
          <w:rFonts w:hint="eastAsia" w:ascii="宋体" w:hAnsi="宋体"/>
          <w:color w:val="auto"/>
          <w:sz w:val="24"/>
          <w:szCs w:val="24"/>
        </w:rPr>
        <w:t>1、项目名称：</w:t>
      </w:r>
      <w:r>
        <w:rPr>
          <w:rFonts w:hint="eastAsia" w:ascii="宋体" w:hAnsi="宋体"/>
          <w:color w:val="auto"/>
          <w:sz w:val="24"/>
          <w:szCs w:val="24"/>
          <w:lang w:eastAsia="zh-CN"/>
        </w:rPr>
        <w:t>三门峡市城市建设发展服务中心2026年度城市道路维护抢险作业沥青混凝土材料采购项目</w:t>
      </w:r>
    </w:p>
    <w:p w14:paraId="51E2E8AE">
      <w:pPr>
        <w:pageBreakBefore w:val="0"/>
        <w:wordWrap/>
        <w:overflowPunct/>
        <w:bidi w:val="0"/>
        <w:spacing w:line="360" w:lineRule="auto"/>
        <w:ind w:firstLine="480" w:firstLineChars="200"/>
        <w:outlineLvl w:val="9"/>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2、项目编号：三财公开采购-2026-14</w:t>
      </w:r>
      <w:r>
        <w:rPr>
          <w:rFonts w:hint="eastAsia" w:ascii="宋体" w:hAnsi="宋体"/>
          <w:color w:val="auto"/>
          <w:sz w:val="24"/>
          <w:szCs w:val="24"/>
          <w:highlight w:val="none"/>
          <w:lang w:eastAsia="zh-CN"/>
        </w:rPr>
        <w:t>、SGZ[2026]104-ZC065</w:t>
      </w:r>
    </w:p>
    <w:p w14:paraId="0905349B">
      <w:pPr>
        <w:pageBreakBefore w:val="0"/>
        <w:wordWrap/>
        <w:overflowPunct/>
        <w:bidi w:val="0"/>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3、采购方式：公开招标</w:t>
      </w:r>
    </w:p>
    <w:p w14:paraId="27BFC62C">
      <w:pPr>
        <w:pageBreakBefore w:val="0"/>
        <w:wordWrap/>
        <w:overflowPunct/>
        <w:bidi w:val="0"/>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4、预算金额：约</w:t>
      </w:r>
      <w:r>
        <w:rPr>
          <w:rFonts w:hint="eastAsia" w:ascii="宋体" w:hAnsi="宋体"/>
          <w:color w:val="auto"/>
          <w:sz w:val="24"/>
          <w:szCs w:val="24"/>
          <w:lang w:eastAsia="zh-CN"/>
        </w:rPr>
        <w:t>4000000.00</w:t>
      </w:r>
      <w:r>
        <w:rPr>
          <w:rFonts w:ascii="宋体" w:hAnsi="宋体"/>
          <w:color w:val="auto"/>
          <w:sz w:val="24"/>
          <w:szCs w:val="24"/>
        </w:rPr>
        <w:t>元</w:t>
      </w:r>
      <w:r>
        <w:rPr>
          <w:rFonts w:hint="eastAsia" w:ascii="宋体" w:hAnsi="宋体"/>
          <w:color w:val="auto"/>
          <w:sz w:val="24"/>
          <w:szCs w:val="24"/>
        </w:rPr>
        <w:t>（最终以实际发生为准）</w:t>
      </w:r>
    </w:p>
    <w:p w14:paraId="032251BE">
      <w:pPr>
        <w:pageBreakBefore w:val="0"/>
        <w:wordWrap/>
        <w:overflowPunct/>
        <w:bidi w:val="0"/>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最高限价：约</w:t>
      </w:r>
      <w:r>
        <w:rPr>
          <w:rFonts w:hint="eastAsia" w:ascii="宋体" w:hAnsi="宋体"/>
          <w:color w:val="auto"/>
          <w:sz w:val="24"/>
          <w:szCs w:val="24"/>
          <w:lang w:eastAsia="zh-CN"/>
        </w:rPr>
        <w:t>4000000.00</w:t>
      </w:r>
      <w:r>
        <w:rPr>
          <w:rFonts w:ascii="宋体" w:hAnsi="宋体"/>
          <w:color w:val="auto"/>
          <w:sz w:val="24"/>
          <w:szCs w:val="24"/>
        </w:rPr>
        <w:t>元</w:t>
      </w:r>
      <w:r>
        <w:rPr>
          <w:rFonts w:hint="eastAsia" w:ascii="宋体" w:hAnsi="宋体"/>
          <w:color w:val="auto"/>
          <w:sz w:val="24"/>
          <w:szCs w:val="24"/>
        </w:rPr>
        <w:t>（最终以实际发生为准）</w:t>
      </w:r>
    </w:p>
    <w:tbl>
      <w:tblPr>
        <w:tblStyle w:val="18"/>
        <w:tblW w:w="10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5336"/>
        <w:gridCol w:w="1894"/>
        <w:gridCol w:w="2092"/>
      </w:tblGrid>
      <w:tr w14:paraId="65EF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56A68BA3">
            <w:pPr>
              <w:pageBreakBefore w:val="0"/>
              <w:wordWrap/>
              <w:overflowPunct/>
              <w:bidi w:val="0"/>
              <w:spacing w:line="360" w:lineRule="auto"/>
              <w:jc w:val="center"/>
              <w:outlineLvl w:val="9"/>
              <w:rPr>
                <w:rFonts w:ascii="宋体" w:hAnsi="宋体"/>
                <w:color w:val="auto"/>
                <w:sz w:val="24"/>
                <w:szCs w:val="24"/>
              </w:rPr>
            </w:pPr>
            <w:r>
              <w:rPr>
                <w:rFonts w:hint="eastAsia" w:ascii="宋体" w:hAnsi="宋体"/>
                <w:color w:val="auto"/>
                <w:sz w:val="24"/>
                <w:szCs w:val="24"/>
              </w:rPr>
              <w:t>序号</w:t>
            </w:r>
          </w:p>
        </w:tc>
        <w:tc>
          <w:tcPr>
            <w:tcW w:w="5336" w:type="dxa"/>
            <w:vAlign w:val="center"/>
          </w:tcPr>
          <w:p w14:paraId="3394239B">
            <w:pPr>
              <w:pageBreakBefore w:val="0"/>
              <w:wordWrap/>
              <w:overflowPunct/>
              <w:bidi w:val="0"/>
              <w:spacing w:line="360" w:lineRule="auto"/>
              <w:jc w:val="center"/>
              <w:outlineLvl w:val="9"/>
              <w:rPr>
                <w:rFonts w:ascii="宋体" w:hAnsi="宋体"/>
                <w:color w:val="auto"/>
                <w:sz w:val="24"/>
                <w:szCs w:val="24"/>
              </w:rPr>
            </w:pPr>
            <w:r>
              <w:rPr>
                <w:rFonts w:hint="eastAsia" w:ascii="宋体" w:hAnsi="宋体"/>
                <w:color w:val="auto"/>
                <w:sz w:val="24"/>
                <w:szCs w:val="24"/>
              </w:rPr>
              <w:t>包名称</w:t>
            </w:r>
          </w:p>
        </w:tc>
        <w:tc>
          <w:tcPr>
            <w:tcW w:w="1894" w:type="dxa"/>
            <w:vAlign w:val="center"/>
          </w:tcPr>
          <w:p w14:paraId="5526BDE2">
            <w:pPr>
              <w:pageBreakBefore w:val="0"/>
              <w:wordWrap/>
              <w:overflowPunct/>
              <w:bidi w:val="0"/>
              <w:spacing w:line="360" w:lineRule="auto"/>
              <w:jc w:val="center"/>
              <w:outlineLvl w:val="9"/>
              <w:rPr>
                <w:rFonts w:ascii="宋体" w:hAnsi="宋体"/>
                <w:color w:val="auto"/>
                <w:sz w:val="24"/>
                <w:szCs w:val="24"/>
              </w:rPr>
            </w:pPr>
            <w:r>
              <w:rPr>
                <w:rFonts w:hint="eastAsia" w:ascii="宋体" w:hAnsi="宋体"/>
                <w:color w:val="auto"/>
                <w:sz w:val="24"/>
                <w:szCs w:val="24"/>
              </w:rPr>
              <w:t>包预算（元）</w:t>
            </w:r>
          </w:p>
        </w:tc>
        <w:tc>
          <w:tcPr>
            <w:tcW w:w="2092" w:type="dxa"/>
            <w:vAlign w:val="center"/>
          </w:tcPr>
          <w:p w14:paraId="4A4F795E">
            <w:pPr>
              <w:pageBreakBefore w:val="0"/>
              <w:wordWrap/>
              <w:overflowPunct/>
              <w:bidi w:val="0"/>
              <w:spacing w:line="360" w:lineRule="auto"/>
              <w:jc w:val="center"/>
              <w:outlineLvl w:val="9"/>
              <w:rPr>
                <w:rFonts w:ascii="宋体" w:hAnsi="宋体"/>
                <w:color w:val="auto"/>
                <w:sz w:val="24"/>
                <w:szCs w:val="24"/>
              </w:rPr>
            </w:pPr>
            <w:r>
              <w:rPr>
                <w:rFonts w:hint="eastAsia" w:ascii="宋体" w:hAnsi="宋体"/>
                <w:color w:val="auto"/>
                <w:sz w:val="24"/>
                <w:szCs w:val="24"/>
              </w:rPr>
              <w:t>包最高限价（元）</w:t>
            </w:r>
          </w:p>
        </w:tc>
      </w:tr>
      <w:tr w14:paraId="18D3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3F336F74">
            <w:pPr>
              <w:pageBreakBefore w:val="0"/>
              <w:wordWrap/>
              <w:overflowPunct/>
              <w:bidi w:val="0"/>
              <w:spacing w:line="360" w:lineRule="auto"/>
              <w:jc w:val="center"/>
              <w:outlineLvl w:val="9"/>
              <w:rPr>
                <w:rFonts w:ascii="宋体" w:hAnsi="宋体"/>
                <w:color w:val="auto"/>
                <w:sz w:val="24"/>
                <w:szCs w:val="24"/>
              </w:rPr>
            </w:pPr>
            <w:r>
              <w:rPr>
                <w:rFonts w:hint="eastAsia" w:ascii="宋体" w:hAnsi="宋体"/>
                <w:color w:val="auto"/>
                <w:sz w:val="24"/>
                <w:szCs w:val="24"/>
              </w:rPr>
              <w:t>1</w:t>
            </w:r>
          </w:p>
        </w:tc>
        <w:tc>
          <w:tcPr>
            <w:tcW w:w="5336" w:type="dxa"/>
            <w:vAlign w:val="center"/>
          </w:tcPr>
          <w:p w14:paraId="5A95ACBE">
            <w:pPr>
              <w:pageBreakBefore w:val="0"/>
              <w:wordWrap/>
              <w:overflowPunct/>
              <w:bidi w:val="0"/>
              <w:spacing w:line="360" w:lineRule="auto"/>
              <w:jc w:val="center"/>
              <w:outlineLvl w:val="9"/>
              <w:rPr>
                <w:rFonts w:hint="eastAsia" w:ascii="宋体" w:hAnsi="宋体" w:eastAsia="宋体"/>
                <w:color w:val="auto"/>
                <w:sz w:val="24"/>
                <w:szCs w:val="24"/>
                <w:lang w:eastAsia="zh-CN"/>
              </w:rPr>
            </w:pPr>
            <w:r>
              <w:rPr>
                <w:rFonts w:hint="eastAsia" w:ascii="宋体" w:hAnsi="宋体"/>
                <w:color w:val="auto"/>
                <w:sz w:val="24"/>
                <w:szCs w:val="24"/>
                <w:lang w:eastAsia="zh-CN"/>
              </w:rPr>
              <w:t>三门峡市城市建设发展服务中心2026年度城市道路维护抢险作业沥青混凝土材料采购项目</w:t>
            </w:r>
          </w:p>
        </w:tc>
        <w:tc>
          <w:tcPr>
            <w:tcW w:w="1894" w:type="dxa"/>
            <w:vAlign w:val="center"/>
          </w:tcPr>
          <w:p w14:paraId="3B10E39E">
            <w:pPr>
              <w:pageBreakBefore w:val="0"/>
              <w:wordWrap/>
              <w:overflowPunct/>
              <w:bidi w:val="0"/>
              <w:spacing w:line="360" w:lineRule="auto"/>
              <w:jc w:val="center"/>
              <w:outlineLvl w:val="9"/>
              <w:rPr>
                <w:rFonts w:hint="eastAsia" w:ascii="宋体" w:hAnsi="宋体" w:eastAsia="宋体"/>
                <w:color w:val="auto"/>
                <w:sz w:val="24"/>
                <w:szCs w:val="24"/>
                <w:lang w:eastAsia="zh-CN"/>
              </w:rPr>
            </w:pPr>
            <w:r>
              <w:rPr>
                <w:rFonts w:hint="eastAsia" w:ascii="宋体" w:hAnsi="宋体"/>
                <w:color w:val="auto"/>
                <w:sz w:val="24"/>
                <w:szCs w:val="24"/>
                <w:lang w:eastAsia="zh-CN"/>
              </w:rPr>
              <w:t>4000000.00</w:t>
            </w:r>
          </w:p>
        </w:tc>
        <w:tc>
          <w:tcPr>
            <w:tcW w:w="2092" w:type="dxa"/>
            <w:vAlign w:val="center"/>
          </w:tcPr>
          <w:p w14:paraId="11F90223">
            <w:pPr>
              <w:pageBreakBefore w:val="0"/>
              <w:wordWrap/>
              <w:overflowPunct/>
              <w:bidi w:val="0"/>
              <w:spacing w:line="360" w:lineRule="auto"/>
              <w:jc w:val="center"/>
              <w:outlineLvl w:val="9"/>
              <w:rPr>
                <w:rFonts w:hint="eastAsia" w:ascii="宋体" w:hAnsi="宋体" w:eastAsia="宋体"/>
                <w:color w:val="auto"/>
                <w:sz w:val="24"/>
                <w:szCs w:val="24"/>
                <w:lang w:eastAsia="zh-CN"/>
              </w:rPr>
            </w:pPr>
            <w:r>
              <w:rPr>
                <w:rFonts w:hint="eastAsia" w:ascii="宋体" w:hAnsi="宋体"/>
                <w:color w:val="auto"/>
                <w:sz w:val="24"/>
                <w:szCs w:val="24"/>
                <w:lang w:eastAsia="zh-CN"/>
              </w:rPr>
              <w:t>4000000.00</w:t>
            </w:r>
          </w:p>
        </w:tc>
      </w:tr>
    </w:tbl>
    <w:p w14:paraId="0CD7B616">
      <w:pPr>
        <w:pageBreakBefore w:val="0"/>
        <w:wordWrap/>
        <w:overflowPunct/>
        <w:bidi w:val="0"/>
        <w:spacing w:line="360" w:lineRule="auto"/>
        <w:ind w:firstLine="480" w:firstLineChars="200"/>
        <w:outlineLvl w:val="9"/>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、采购需求（包括但不限于标的的名称、数量、简要技术需求或服务要求等）</w:t>
      </w:r>
    </w:p>
    <w:p w14:paraId="4A712556">
      <w:pPr>
        <w:pageBreakBefore w:val="0"/>
        <w:wordWrap/>
        <w:overflowPunct/>
        <w:bidi w:val="0"/>
        <w:spacing w:line="360" w:lineRule="auto"/>
        <w:ind w:firstLine="480" w:firstLineChars="200"/>
        <w:outlineLvl w:val="9"/>
        <w:rPr>
          <w:rFonts w:ascii="宋体" w:hAnsi="宋体"/>
          <w:color w:val="auto"/>
          <w:sz w:val="24"/>
          <w:szCs w:val="24"/>
        </w:rPr>
      </w:pPr>
      <w:r>
        <w:rPr>
          <w:rFonts w:ascii="宋体" w:hAnsi="宋体"/>
          <w:color w:val="auto"/>
          <w:sz w:val="24"/>
          <w:szCs w:val="24"/>
        </w:rPr>
        <w:t>5.1</w:t>
      </w:r>
      <w:r>
        <w:rPr>
          <w:rFonts w:hint="eastAsia" w:ascii="宋体" w:hAnsi="宋体"/>
          <w:color w:val="auto"/>
          <w:sz w:val="24"/>
          <w:szCs w:val="24"/>
        </w:rPr>
        <w:t>、采购内容：</w:t>
      </w:r>
      <w:bookmarkStart w:id="10" w:name="OLE_LINK67"/>
      <w:bookmarkStart w:id="11" w:name="OLE_LINK52"/>
      <w:r>
        <w:rPr>
          <w:rFonts w:hint="eastAsia" w:ascii="宋体" w:hAnsi="宋体"/>
          <w:color w:val="auto"/>
          <w:sz w:val="24"/>
          <w:szCs w:val="24"/>
        </w:rPr>
        <w:t>本项目为</w:t>
      </w:r>
      <w:bookmarkStart w:id="12" w:name="OLE_LINK10"/>
      <w:r>
        <w:rPr>
          <w:rFonts w:hint="eastAsia" w:ascii="宋体" w:hAnsi="宋体"/>
          <w:color w:val="auto"/>
          <w:sz w:val="24"/>
          <w:szCs w:val="24"/>
        </w:rPr>
        <w:t>三门峡市市区城市道路</w:t>
      </w:r>
      <w:bookmarkEnd w:id="12"/>
      <w:r>
        <w:rPr>
          <w:rFonts w:hint="eastAsia" w:ascii="宋体" w:hAnsi="宋体"/>
          <w:color w:val="auto"/>
          <w:sz w:val="24"/>
          <w:szCs w:val="24"/>
          <w:lang w:eastAsia="zh-CN"/>
        </w:rPr>
        <w:t>2026年</w:t>
      </w:r>
      <w:r>
        <w:rPr>
          <w:rFonts w:hint="eastAsia" w:ascii="宋体" w:hAnsi="宋体"/>
          <w:color w:val="auto"/>
          <w:sz w:val="24"/>
          <w:szCs w:val="24"/>
        </w:rPr>
        <w:t>度实施日常养护、专项维护、应急抢险等养护维修任务时采购沥青混凝土</w:t>
      </w:r>
      <w:r>
        <w:rPr>
          <w:rFonts w:hint="eastAsia" w:ascii="宋体" w:hAnsi="宋体"/>
          <w:color w:val="auto"/>
          <w:sz w:val="24"/>
          <w:szCs w:val="24"/>
          <w:lang w:val="en-US" w:eastAsia="zh-CN"/>
        </w:rPr>
        <w:t>维修材料</w:t>
      </w:r>
      <w:r>
        <w:rPr>
          <w:rFonts w:hint="eastAsia" w:ascii="宋体" w:hAnsi="宋体"/>
          <w:color w:val="auto"/>
          <w:sz w:val="24"/>
          <w:szCs w:val="24"/>
        </w:rPr>
        <w:t>进行</w:t>
      </w:r>
      <w:r>
        <w:rPr>
          <w:rFonts w:hint="eastAsia" w:ascii="宋体" w:hAnsi="宋体"/>
          <w:color w:val="auto"/>
          <w:sz w:val="24"/>
          <w:szCs w:val="24"/>
          <w:lang w:val="en-US" w:eastAsia="zh-CN"/>
        </w:rPr>
        <w:t>的公开</w:t>
      </w:r>
      <w:r>
        <w:rPr>
          <w:rFonts w:hint="eastAsia" w:ascii="宋体" w:hAnsi="宋体"/>
          <w:color w:val="auto"/>
          <w:sz w:val="24"/>
          <w:szCs w:val="24"/>
        </w:rPr>
        <w:t>招标，拟采用单价招标。本采购项目拟以三门峡市定额站发布的</w:t>
      </w:r>
      <w:r>
        <w:rPr>
          <w:rFonts w:hint="eastAsia" w:ascii="宋体" w:hAnsi="宋体"/>
          <w:color w:val="auto"/>
          <w:sz w:val="24"/>
          <w:szCs w:val="24"/>
          <w:lang w:eastAsia="zh-CN"/>
        </w:rPr>
        <w:t>2026年</w:t>
      </w:r>
      <w:r>
        <w:rPr>
          <w:rFonts w:hint="eastAsia" w:ascii="宋体" w:hAnsi="宋体"/>
          <w:color w:val="auto"/>
          <w:sz w:val="24"/>
          <w:szCs w:val="24"/>
        </w:rPr>
        <w:t>当期《三门峡工程标准造价信息》中</w:t>
      </w:r>
      <w:r>
        <w:rPr>
          <w:rFonts w:hint="eastAsia" w:ascii="宋体" w:hAnsi="宋体" w:eastAsia="宋体" w:cs="宋体"/>
          <w:sz w:val="24"/>
          <w:szCs w:val="24"/>
          <w:highlight w:val="none"/>
          <w:lang w:val="en-US" w:eastAsia="zh-CN"/>
        </w:rPr>
        <w:t>沥青混凝土</w:t>
      </w:r>
      <w:r>
        <w:rPr>
          <w:rFonts w:hint="eastAsia" w:ascii="宋体" w:hAnsi="宋体"/>
          <w:color w:val="auto"/>
          <w:sz w:val="24"/>
          <w:szCs w:val="24"/>
        </w:rPr>
        <w:t>的价格为基准价，各</w:t>
      </w:r>
      <w:r>
        <w:rPr>
          <w:rFonts w:hint="eastAsia" w:ascii="宋体" w:hAnsi="宋体"/>
          <w:color w:val="auto"/>
          <w:sz w:val="24"/>
          <w:szCs w:val="24"/>
          <w:lang w:val="en-US" w:eastAsia="zh-CN"/>
        </w:rPr>
        <w:t>供应商</w:t>
      </w:r>
      <w:r>
        <w:rPr>
          <w:rFonts w:hint="eastAsia" w:ascii="宋体" w:hAnsi="宋体"/>
          <w:color w:val="auto"/>
          <w:sz w:val="24"/>
          <w:szCs w:val="24"/>
        </w:rPr>
        <w:t>以下浮百分比</w:t>
      </w:r>
      <w:r>
        <w:rPr>
          <w:rFonts w:hint="eastAsia" w:ascii="宋体" w:hAnsi="宋体"/>
          <w:color w:val="auto"/>
          <w:sz w:val="24"/>
          <w:szCs w:val="24"/>
          <w:lang w:val="en-US" w:eastAsia="zh-CN"/>
        </w:rPr>
        <w:t>后的数值</w:t>
      </w:r>
      <w:r>
        <w:rPr>
          <w:rFonts w:hint="eastAsia" w:ascii="宋体" w:hAnsi="宋体"/>
          <w:color w:val="auto"/>
          <w:sz w:val="24"/>
          <w:szCs w:val="24"/>
        </w:rPr>
        <w:t>进行报价。采购完成后，结算时按照供料时间当期信息价，下浮百分比</w:t>
      </w:r>
      <w:r>
        <w:rPr>
          <w:rFonts w:hint="eastAsia" w:ascii="宋体" w:hAnsi="宋体"/>
          <w:color w:val="auto"/>
          <w:sz w:val="24"/>
          <w:szCs w:val="24"/>
          <w:lang w:val="en-US" w:eastAsia="zh-CN"/>
        </w:rPr>
        <w:t>后的数值</w:t>
      </w:r>
      <w:r>
        <w:rPr>
          <w:rFonts w:hint="eastAsia" w:ascii="宋体" w:hAnsi="宋体"/>
          <w:color w:val="auto"/>
          <w:sz w:val="24"/>
          <w:szCs w:val="24"/>
        </w:rPr>
        <w:t>进行结算。</w:t>
      </w:r>
      <w:bookmarkEnd w:id="10"/>
    </w:p>
    <w:bookmarkEnd w:id="11"/>
    <w:p w14:paraId="02708B23">
      <w:pPr>
        <w:pageBreakBefore w:val="0"/>
        <w:wordWrap/>
        <w:overflowPunct/>
        <w:bidi w:val="0"/>
        <w:spacing w:line="360" w:lineRule="auto"/>
        <w:ind w:firstLine="480" w:firstLineChars="200"/>
        <w:outlineLvl w:val="9"/>
        <w:rPr>
          <w:rFonts w:hint="default" w:ascii="宋体" w:hAnsi="宋体" w:eastAsia="宋体"/>
          <w:color w:val="auto"/>
          <w:sz w:val="24"/>
          <w:szCs w:val="24"/>
          <w:lang w:val="en-US" w:eastAsia="zh-CN"/>
        </w:rPr>
      </w:pPr>
      <w:r>
        <w:rPr>
          <w:rFonts w:hint="eastAsia" w:ascii="宋体" w:hAnsi="宋体"/>
          <w:color w:val="auto"/>
          <w:sz w:val="24"/>
          <w:szCs w:val="24"/>
        </w:rPr>
        <w:t>5</w:t>
      </w:r>
      <w:r>
        <w:rPr>
          <w:rFonts w:ascii="宋体" w:hAnsi="宋体"/>
          <w:color w:val="auto"/>
          <w:sz w:val="24"/>
          <w:szCs w:val="24"/>
        </w:rPr>
        <w:t>.2</w:t>
      </w:r>
      <w:r>
        <w:rPr>
          <w:rFonts w:hint="eastAsia" w:ascii="宋体" w:hAnsi="宋体"/>
          <w:color w:val="auto"/>
          <w:sz w:val="24"/>
          <w:szCs w:val="24"/>
        </w:rPr>
        <w:t>、</w:t>
      </w:r>
      <w:r>
        <w:rPr>
          <w:rFonts w:hint="eastAsia" w:ascii="宋体" w:hAnsi="宋体"/>
          <w:color w:val="auto"/>
          <w:sz w:val="24"/>
          <w:szCs w:val="24"/>
          <w:lang w:val="en-US" w:eastAsia="zh-CN"/>
        </w:rPr>
        <w:t>资金来源：财政资金,已落实。</w:t>
      </w:r>
    </w:p>
    <w:p w14:paraId="71B228AF">
      <w:pPr>
        <w:pageBreakBefore w:val="0"/>
        <w:wordWrap/>
        <w:overflowPunct/>
        <w:bidi w:val="0"/>
        <w:spacing w:line="360" w:lineRule="auto"/>
        <w:ind w:firstLine="480" w:firstLineChars="200"/>
        <w:outlineLvl w:val="9"/>
        <w:rPr>
          <w:rFonts w:hint="eastAsia" w:ascii="宋体" w:hAnsi="宋体" w:eastAsia="宋体"/>
          <w:color w:val="auto"/>
          <w:sz w:val="24"/>
          <w:szCs w:val="24"/>
          <w:lang w:eastAsia="zh-CN"/>
        </w:rPr>
      </w:pPr>
      <w:r>
        <w:rPr>
          <w:rFonts w:ascii="宋体" w:hAnsi="宋体"/>
          <w:color w:val="auto"/>
          <w:sz w:val="24"/>
          <w:szCs w:val="24"/>
        </w:rPr>
        <w:t>5.</w:t>
      </w:r>
      <w:r>
        <w:rPr>
          <w:rFonts w:hint="eastAsia" w:ascii="宋体" w:hAnsi="宋体"/>
          <w:color w:val="auto"/>
          <w:sz w:val="24"/>
          <w:szCs w:val="24"/>
          <w:lang w:val="en-US" w:eastAsia="zh-CN"/>
        </w:rPr>
        <w:t>3</w:t>
      </w:r>
      <w:r>
        <w:rPr>
          <w:rFonts w:hint="eastAsia" w:ascii="宋体" w:hAnsi="宋体"/>
          <w:color w:val="auto"/>
          <w:sz w:val="24"/>
          <w:szCs w:val="24"/>
        </w:rPr>
        <w:t>、</w:t>
      </w:r>
      <w:bookmarkStart w:id="13" w:name="OLE_LINK76"/>
      <w:r>
        <w:rPr>
          <w:rFonts w:hint="eastAsia" w:ascii="宋体" w:hAnsi="宋体"/>
          <w:color w:val="auto"/>
          <w:sz w:val="24"/>
          <w:szCs w:val="24"/>
        </w:rPr>
        <w:t>供货期：</w:t>
      </w:r>
      <w:bookmarkStart w:id="14" w:name="OLE_LINK75"/>
      <w:r>
        <w:rPr>
          <w:rFonts w:hint="eastAsia" w:ascii="宋体" w:hAnsi="宋体"/>
          <w:color w:val="auto"/>
          <w:sz w:val="24"/>
          <w:szCs w:val="24"/>
        </w:rPr>
        <w:t>合同签订起一年内</w:t>
      </w:r>
      <w:bookmarkEnd w:id="13"/>
      <w:bookmarkEnd w:id="14"/>
      <w:r>
        <w:rPr>
          <w:rFonts w:hint="eastAsia" w:ascii="宋体" w:hAnsi="宋体"/>
          <w:color w:val="auto"/>
          <w:sz w:val="24"/>
          <w:szCs w:val="24"/>
          <w:lang w:eastAsia="zh-CN"/>
        </w:rPr>
        <w:t>（</w:t>
      </w:r>
      <w:r>
        <w:rPr>
          <w:rFonts w:hint="eastAsia" w:ascii="宋体" w:hAnsi="宋体"/>
          <w:color w:val="auto"/>
          <w:sz w:val="24"/>
          <w:szCs w:val="24"/>
          <w:lang w:val="en-US" w:eastAsia="zh-CN"/>
        </w:rPr>
        <w:t>2026年5月-2027年4月</w:t>
      </w:r>
      <w:r>
        <w:rPr>
          <w:rFonts w:hint="eastAsia" w:ascii="宋体" w:hAnsi="宋体"/>
          <w:color w:val="auto"/>
          <w:sz w:val="24"/>
          <w:szCs w:val="24"/>
          <w:lang w:eastAsia="zh-CN"/>
        </w:rPr>
        <w:t>）。</w:t>
      </w:r>
    </w:p>
    <w:p w14:paraId="6D9D7462">
      <w:pPr>
        <w:pageBreakBefore w:val="0"/>
        <w:wordWrap/>
        <w:overflowPunct/>
        <w:bidi w:val="0"/>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5</w:t>
      </w:r>
      <w:r>
        <w:rPr>
          <w:rFonts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w:t>
      </w:r>
      <w:bookmarkStart w:id="15" w:name="OLE_LINK78"/>
      <w:r>
        <w:rPr>
          <w:rFonts w:hint="eastAsia" w:ascii="宋体" w:hAnsi="宋体"/>
          <w:color w:val="auto"/>
          <w:sz w:val="24"/>
          <w:szCs w:val="24"/>
        </w:rPr>
        <w:t>质量要求：符合国家相关质量标准规定，满足使用要求</w:t>
      </w:r>
      <w:bookmarkEnd w:id="15"/>
      <w:r>
        <w:rPr>
          <w:rFonts w:hint="eastAsia" w:ascii="宋体" w:hAnsi="宋体"/>
          <w:color w:val="auto"/>
          <w:sz w:val="24"/>
          <w:szCs w:val="24"/>
        </w:rPr>
        <w:t>。</w:t>
      </w:r>
    </w:p>
    <w:p w14:paraId="4C86BB27">
      <w:pPr>
        <w:pageBreakBefore w:val="0"/>
        <w:wordWrap/>
        <w:overflowPunct/>
        <w:bidi w:val="0"/>
        <w:spacing w:line="360" w:lineRule="auto"/>
        <w:ind w:firstLine="480" w:firstLineChars="200"/>
        <w:outlineLvl w:val="9"/>
        <w:rPr>
          <w:rFonts w:hint="eastAsia" w:ascii="宋体" w:hAnsi="宋体" w:eastAsia="宋体"/>
          <w:color w:val="auto"/>
          <w:sz w:val="24"/>
          <w:szCs w:val="24"/>
          <w:lang w:eastAsia="zh-CN"/>
        </w:rPr>
      </w:pPr>
      <w:r>
        <w:rPr>
          <w:rFonts w:hint="eastAsia" w:ascii="宋体" w:hAnsi="宋体"/>
          <w:color w:val="auto"/>
          <w:sz w:val="24"/>
          <w:szCs w:val="24"/>
        </w:rPr>
        <w:t>5</w:t>
      </w:r>
      <w:r>
        <w:rPr>
          <w:rFonts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、交货地点：</w:t>
      </w:r>
      <w:bookmarkStart w:id="16" w:name="OLE_LINK77"/>
      <w:r>
        <w:rPr>
          <w:rFonts w:hint="eastAsia" w:ascii="宋体" w:hAnsi="宋体"/>
          <w:color w:val="auto"/>
          <w:sz w:val="24"/>
          <w:szCs w:val="24"/>
        </w:rPr>
        <w:t>采购人指定地点</w:t>
      </w:r>
      <w:bookmarkEnd w:id="16"/>
      <w:r>
        <w:rPr>
          <w:rFonts w:hint="eastAsia" w:ascii="宋体" w:hAnsi="宋体"/>
          <w:color w:val="auto"/>
          <w:sz w:val="24"/>
          <w:szCs w:val="24"/>
          <w:lang w:eastAsia="zh-CN"/>
        </w:rPr>
        <w:t>。</w:t>
      </w:r>
    </w:p>
    <w:p w14:paraId="4A499954">
      <w:pPr>
        <w:pageBreakBefore w:val="0"/>
        <w:wordWrap/>
        <w:overflowPunct/>
        <w:bidi w:val="0"/>
        <w:spacing w:line="360" w:lineRule="auto"/>
        <w:ind w:firstLine="480" w:firstLineChars="200"/>
        <w:outlineLvl w:val="9"/>
        <w:rPr>
          <w:rFonts w:hint="eastAsia" w:ascii="宋体" w:hAnsi="宋体" w:eastAsia="宋体"/>
          <w:color w:val="auto"/>
          <w:sz w:val="24"/>
          <w:szCs w:val="24"/>
          <w:lang w:eastAsia="zh-CN"/>
        </w:rPr>
      </w:pPr>
      <w:r>
        <w:rPr>
          <w:rFonts w:hint="eastAsia" w:ascii="宋体" w:hAnsi="宋体"/>
          <w:color w:val="auto"/>
          <w:sz w:val="24"/>
          <w:szCs w:val="24"/>
        </w:rPr>
        <w:t>5</w:t>
      </w:r>
      <w:r>
        <w:rPr>
          <w:rFonts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、本项目是否接受联合体投标：否</w:t>
      </w:r>
      <w:r>
        <w:rPr>
          <w:rFonts w:hint="eastAsia" w:ascii="宋体" w:hAnsi="宋体"/>
          <w:color w:val="auto"/>
          <w:sz w:val="24"/>
          <w:szCs w:val="24"/>
          <w:lang w:eastAsia="zh-CN"/>
        </w:rPr>
        <w:t>。</w:t>
      </w:r>
    </w:p>
    <w:p w14:paraId="048C0FB3">
      <w:pPr>
        <w:pageBreakBefore w:val="0"/>
        <w:wordWrap/>
        <w:overflowPunct/>
        <w:bidi w:val="0"/>
        <w:spacing w:line="360" w:lineRule="auto"/>
        <w:ind w:firstLine="480" w:firstLineChars="200"/>
        <w:outlineLvl w:val="9"/>
        <w:rPr>
          <w:rFonts w:hint="eastAsia" w:ascii="宋体" w:hAnsi="宋体" w:eastAsia="宋体"/>
          <w:color w:val="auto"/>
          <w:sz w:val="24"/>
          <w:szCs w:val="24"/>
          <w:lang w:eastAsia="zh-CN"/>
        </w:rPr>
      </w:pPr>
      <w:r>
        <w:rPr>
          <w:rFonts w:hint="eastAsia" w:ascii="宋体" w:hAnsi="宋体"/>
          <w:color w:val="auto"/>
          <w:sz w:val="24"/>
          <w:szCs w:val="24"/>
          <w:lang w:val="en-US" w:eastAsia="zh-CN"/>
        </w:rPr>
        <w:t>5.7、</w:t>
      </w:r>
      <w:r>
        <w:rPr>
          <w:rFonts w:hint="eastAsia" w:ascii="宋体" w:hAnsi="宋体"/>
          <w:color w:val="auto"/>
          <w:sz w:val="24"/>
          <w:szCs w:val="24"/>
        </w:rPr>
        <w:t>是否接受进口产品：否</w:t>
      </w:r>
      <w:r>
        <w:rPr>
          <w:rFonts w:hint="eastAsia" w:ascii="宋体" w:hAnsi="宋体"/>
          <w:color w:val="auto"/>
          <w:sz w:val="24"/>
          <w:szCs w:val="24"/>
          <w:lang w:eastAsia="zh-CN"/>
        </w:rPr>
        <w:t>。</w:t>
      </w:r>
    </w:p>
    <w:p w14:paraId="0C42F3E3">
      <w:pPr>
        <w:pageBreakBefore w:val="0"/>
        <w:wordWrap/>
        <w:overflowPunct/>
        <w:bidi w:val="0"/>
        <w:spacing w:line="360" w:lineRule="auto"/>
        <w:ind w:firstLine="480" w:firstLineChars="200"/>
        <w:outlineLvl w:val="9"/>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 xml:space="preserve">、需要落实的政府采购政策: </w:t>
      </w:r>
      <w:bookmarkStart w:id="17" w:name="OLE_LINK53"/>
      <w:r>
        <w:rPr>
          <w:rFonts w:hint="eastAsia" w:ascii="宋体" w:hAnsi="宋体"/>
          <w:color w:val="auto"/>
          <w:sz w:val="24"/>
          <w:szCs w:val="24"/>
        </w:rPr>
        <w:t>促进中小微企业、监狱企业及残疾人福利性单位发展扶持政策、政府强制采购节能产品强制采购、节能产品及环境标志产品优先采购。</w:t>
      </w:r>
      <w:bookmarkEnd w:id="17"/>
    </w:p>
    <w:p w14:paraId="7F93053B">
      <w:pPr>
        <w:pageBreakBefore w:val="0"/>
        <w:wordWrap/>
        <w:overflowPunct/>
        <w:bidi w:val="0"/>
        <w:spacing w:line="360" w:lineRule="auto"/>
        <w:ind w:firstLine="482" w:firstLineChars="200"/>
        <w:outlineLvl w:val="9"/>
        <w:rPr>
          <w:rFonts w:ascii="宋体" w:hAnsi="宋体"/>
          <w:b/>
          <w:bCs/>
          <w:color w:val="auto"/>
          <w:sz w:val="24"/>
          <w:szCs w:val="24"/>
        </w:rPr>
      </w:pPr>
      <w:r>
        <w:rPr>
          <w:rFonts w:hint="eastAsia" w:ascii="宋体" w:hAnsi="宋体"/>
          <w:b/>
          <w:bCs/>
          <w:color w:val="auto"/>
          <w:sz w:val="24"/>
          <w:szCs w:val="24"/>
        </w:rPr>
        <w:t>二、供应商</w:t>
      </w:r>
      <w:r>
        <w:rPr>
          <w:rFonts w:ascii="宋体" w:hAnsi="宋体"/>
          <w:b/>
          <w:bCs/>
          <w:color w:val="auto"/>
          <w:sz w:val="24"/>
          <w:szCs w:val="24"/>
        </w:rPr>
        <w:t>资格要求</w:t>
      </w:r>
    </w:p>
    <w:p w14:paraId="559F0C9A">
      <w:pPr>
        <w:pageBreakBefore w:val="0"/>
        <w:wordWrap/>
        <w:overflowPunct/>
        <w:bidi w:val="0"/>
        <w:spacing w:line="360" w:lineRule="auto"/>
        <w:ind w:firstLine="482" w:firstLineChars="200"/>
        <w:outlineLvl w:val="9"/>
        <w:rPr>
          <w:rFonts w:hint="eastAsia" w:ascii="宋体" w:hAnsi="宋体"/>
          <w:b/>
          <w:bCs/>
          <w:color w:val="auto"/>
          <w:sz w:val="24"/>
          <w:szCs w:val="24"/>
        </w:rPr>
      </w:pPr>
      <w:bookmarkStart w:id="18" w:name="OLE_LINK54"/>
      <w:bookmarkStart w:id="19" w:name="OLE_LINK68"/>
      <w:r>
        <w:rPr>
          <w:rFonts w:hint="eastAsia" w:ascii="宋体" w:hAnsi="宋体"/>
          <w:b/>
          <w:bCs/>
          <w:color w:val="auto"/>
          <w:sz w:val="24"/>
          <w:szCs w:val="24"/>
        </w:rPr>
        <w:t>供应商参加本次采购活动必须符合《中华人民共和国政府采购法》第二十二条的规定，并符合以下资格条件：</w:t>
      </w:r>
    </w:p>
    <w:p w14:paraId="5C2CFDF2">
      <w:pPr>
        <w:pageBreakBefore w:val="0"/>
        <w:wordWrap/>
        <w:overflowPunct/>
        <w:bidi w:val="0"/>
        <w:spacing w:line="360" w:lineRule="auto"/>
        <w:ind w:firstLine="482" w:firstLineChars="200"/>
        <w:outlineLvl w:val="9"/>
        <w:rPr>
          <w:rFonts w:hint="eastAsia" w:ascii="宋体" w:hAnsi="宋体"/>
          <w:b/>
          <w:bCs/>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eastAsia="zh-CN"/>
        </w:rPr>
        <w:t>供应商须具有独立承担民事责任的能力（提供有效的法人或者其他组织的营业执照等证明文件或自然人的身份证明）</w:t>
      </w:r>
      <w:r>
        <w:rPr>
          <w:rFonts w:hint="eastAsia" w:ascii="宋体" w:hAnsi="宋体"/>
          <w:b/>
          <w:bCs/>
          <w:color w:val="auto"/>
          <w:sz w:val="24"/>
          <w:szCs w:val="24"/>
        </w:rPr>
        <w:t>；</w:t>
      </w:r>
    </w:p>
    <w:p w14:paraId="59B0C086">
      <w:pPr>
        <w:pageBreakBefore w:val="0"/>
        <w:wordWrap/>
        <w:overflowPunct/>
        <w:bidi w:val="0"/>
        <w:spacing w:line="360" w:lineRule="auto"/>
        <w:ind w:firstLine="482" w:firstLineChars="200"/>
        <w:outlineLvl w:val="9"/>
        <w:rPr>
          <w:rFonts w:hint="eastAsia" w:ascii="宋体" w:hAnsi="宋体"/>
          <w:b/>
          <w:bCs/>
          <w:color w:val="auto"/>
          <w:sz w:val="24"/>
          <w:szCs w:val="24"/>
        </w:rPr>
      </w:pPr>
      <w:r>
        <w:rPr>
          <w:rFonts w:hint="eastAsia" w:ascii="宋体" w:hAnsi="宋体"/>
          <w:b/>
          <w:bCs/>
          <w:color w:val="auto"/>
          <w:sz w:val="24"/>
          <w:szCs w:val="24"/>
        </w:rPr>
        <w:t>2、供应商须提供本企业无商业贿赂和不正当竞争行为承诺书；</w:t>
      </w:r>
    </w:p>
    <w:p w14:paraId="3A74B1CB">
      <w:pPr>
        <w:pageBreakBefore w:val="0"/>
        <w:wordWrap/>
        <w:overflowPunct/>
        <w:bidi w:val="0"/>
        <w:spacing w:line="360" w:lineRule="auto"/>
        <w:ind w:firstLine="482" w:firstLineChars="200"/>
        <w:outlineLvl w:val="9"/>
        <w:rPr>
          <w:rFonts w:hint="eastAsia" w:ascii="宋体" w:hAnsi="宋体"/>
          <w:b/>
          <w:bCs/>
          <w:color w:val="auto"/>
          <w:sz w:val="24"/>
          <w:szCs w:val="24"/>
        </w:rPr>
      </w:pPr>
      <w:r>
        <w:rPr>
          <w:rFonts w:hint="eastAsia" w:ascii="宋体" w:hAnsi="宋体"/>
          <w:b/>
          <w:bCs/>
          <w:color w:val="auto"/>
          <w:sz w:val="24"/>
          <w:szCs w:val="24"/>
        </w:rPr>
        <w:t>3、根据《关于在政府采购活动中查询及使用信用记录有关问题的通知》(财库[2016]125号)和豫财购【2016】15号的规定，对列入失信被执行人</w:t>
      </w:r>
      <w:r>
        <w:rPr>
          <w:rFonts w:hint="eastAsia" w:ascii="宋体" w:hAnsi="宋体"/>
          <w:b/>
          <w:bCs/>
          <w:color w:val="auto"/>
          <w:sz w:val="24"/>
          <w:szCs w:val="24"/>
          <w:lang w:eastAsia="zh-CN"/>
        </w:rPr>
        <w:t>、</w:t>
      </w:r>
      <w:r>
        <w:rPr>
          <w:rFonts w:hint="eastAsia" w:ascii="宋体" w:hAnsi="宋体"/>
          <w:b/>
          <w:bCs/>
          <w:color w:val="auto"/>
          <w:sz w:val="24"/>
          <w:szCs w:val="24"/>
        </w:rPr>
        <w:t>重大税收违法失信主体、政府采购严重违法失信行为记录名单的供应商，拒绝其参与本招标项目；（（①通过“信用中国”网站（http://www.creditchina.gov.cn/）“信用</w:t>
      </w:r>
      <w:r>
        <w:rPr>
          <w:rFonts w:hint="eastAsia" w:ascii="宋体" w:hAnsi="宋体"/>
          <w:b/>
          <w:bCs/>
          <w:color w:val="auto"/>
          <w:sz w:val="24"/>
          <w:szCs w:val="24"/>
          <w:lang w:val="en-US" w:eastAsia="zh-CN"/>
        </w:rPr>
        <w:t>公示</w:t>
      </w:r>
      <w:r>
        <w:rPr>
          <w:rFonts w:hint="eastAsia" w:ascii="宋体" w:hAnsi="宋体"/>
          <w:b/>
          <w:bCs/>
          <w:color w:val="auto"/>
          <w:sz w:val="24"/>
          <w:szCs w:val="24"/>
        </w:rPr>
        <w:t>”-“失信被执行人”会跳转至“中国执行信息公开网”网站（http://zxgk.court.gov.cn/shixin/）查询企业（省份默认全部）②通过“信用中国”网站（http://www.creditchina.gov.cn/）“信用</w:t>
      </w:r>
      <w:r>
        <w:rPr>
          <w:rFonts w:hint="eastAsia" w:ascii="宋体" w:hAnsi="宋体"/>
          <w:b/>
          <w:bCs/>
          <w:color w:val="auto"/>
          <w:sz w:val="24"/>
          <w:szCs w:val="24"/>
          <w:lang w:val="en-US" w:eastAsia="zh-CN"/>
        </w:rPr>
        <w:t>公示</w:t>
      </w:r>
      <w:r>
        <w:rPr>
          <w:rFonts w:hint="eastAsia" w:ascii="宋体" w:hAnsi="宋体"/>
          <w:b/>
          <w:bCs/>
          <w:color w:val="auto"/>
          <w:sz w:val="24"/>
          <w:szCs w:val="24"/>
        </w:rPr>
        <w:t>”-“重大税收违法失信主体”查询企业③通过“中国政府采购”网（www.ccgp.gov.cn）-“政府采购严重违法失信行为记录名单”查询企业），提供网站的查询结果截图；</w:t>
      </w:r>
    </w:p>
    <w:p w14:paraId="66112217">
      <w:pPr>
        <w:pageBreakBefore w:val="0"/>
        <w:wordWrap/>
        <w:overflowPunct/>
        <w:bidi w:val="0"/>
        <w:spacing w:line="360" w:lineRule="auto"/>
        <w:ind w:firstLine="482" w:firstLineChars="200"/>
        <w:outlineLvl w:val="9"/>
        <w:rPr>
          <w:rFonts w:hint="eastAsia" w:ascii="宋体" w:hAnsi="宋体"/>
          <w:b/>
          <w:bCs/>
          <w:color w:val="auto"/>
          <w:sz w:val="24"/>
          <w:szCs w:val="24"/>
        </w:rPr>
      </w:pPr>
      <w:r>
        <w:rPr>
          <w:rFonts w:hint="eastAsia" w:ascii="宋体" w:hAnsi="宋体"/>
          <w:b/>
          <w:bCs/>
          <w:color w:val="auto"/>
          <w:sz w:val="24"/>
          <w:szCs w:val="24"/>
        </w:rPr>
        <w:t>4、本项目不接受联合体投标；</w:t>
      </w:r>
    </w:p>
    <w:p w14:paraId="50CEB5F0">
      <w:pPr>
        <w:pageBreakBefore w:val="0"/>
        <w:wordWrap/>
        <w:overflowPunct/>
        <w:bidi w:val="0"/>
        <w:spacing w:line="360" w:lineRule="auto"/>
        <w:ind w:firstLine="482" w:firstLineChars="200"/>
        <w:outlineLvl w:val="9"/>
        <w:rPr>
          <w:rFonts w:hint="eastAsia" w:ascii="宋体" w:hAnsi="宋体"/>
          <w:b/>
          <w:bCs/>
          <w:color w:val="auto"/>
          <w:sz w:val="24"/>
          <w:szCs w:val="24"/>
        </w:rPr>
      </w:pPr>
      <w:r>
        <w:rPr>
          <w:rFonts w:hint="eastAsia" w:ascii="宋体" w:hAnsi="宋体"/>
          <w:b/>
          <w:bCs/>
          <w:color w:val="auto"/>
          <w:sz w:val="24"/>
          <w:szCs w:val="24"/>
        </w:rPr>
        <w:t>5、本次采购实行资格后审，资格审查的具体要求见招标文件；</w:t>
      </w:r>
      <w:bookmarkEnd w:id="18"/>
    </w:p>
    <w:bookmarkEnd w:id="19"/>
    <w:p w14:paraId="1C1169EC">
      <w:pPr>
        <w:pageBreakBefore w:val="0"/>
        <w:wordWrap/>
        <w:overflowPunct/>
        <w:bidi w:val="0"/>
        <w:spacing w:line="360" w:lineRule="auto"/>
        <w:ind w:firstLine="480" w:firstLineChars="200"/>
        <w:outlineLvl w:val="9"/>
        <w:rPr>
          <w:rFonts w:ascii="宋体" w:hAnsi="宋体"/>
          <w:bCs/>
          <w:color w:val="auto"/>
          <w:sz w:val="24"/>
          <w:szCs w:val="24"/>
        </w:rPr>
      </w:pPr>
      <w:r>
        <w:rPr>
          <w:rFonts w:hint="eastAsia" w:ascii="宋体" w:hAnsi="宋体"/>
          <w:bCs/>
          <w:color w:val="auto"/>
          <w:sz w:val="24"/>
          <w:szCs w:val="24"/>
        </w:rPr>
        <w:t>三</w:t>
      </w:r>
      <w:r>
        <w:rPr>
          <w:rFonts w:ascii="宋体" w:hAnsi="宋体"/>
          <w:bCs/>
          <w:color w:val="auto"/>
          <w:sz w:val="24"/>
          <w:szCs w:val="24"/>
        </w:rPr>
        <w:t>、</w:t>
      </w:r>
      <w:r>
        <w:rPr>
          <w:rFonts w:hint="eastAsia" w:ascii="宋体" w:hAnsi="宋体"/>
          <w:bCs/>
          <w:color w:val="auto"/>
          <w:sz w:val="24"/>
          <w:szCs w:val="24"/>
        </w:rPr>
        <w:t>获取招标文件</w:t>
      </w:r>
    </w:p>
    <w:p w14:paraId="63195561">
      <w:pPr>
        <w:pStyle w:val="8"/>
        <w:pageBreakBefore w:val="0"/>
        <w:wordWrap/>
        <w:overflowPunct/>
        <w:bidi w:val="0"/>
        <w:spacing w:line="360" w:lineRule="auto"/>
        <w:ind w:firstLine="480" w:firstLineChars="200"/>
        <w:jc w:val="left"/>
        <w:outlineLvl w:val="9"/>
        <w:rPr>
          <w:rFonts w:hAnsi="宋体" w:eastAsia="宋体"/>
          <w:color w:val="auto"/>
          <w:kern w:val="0"/>
          <w:sz w:val="24"/>
          <w:szCs w:val="24"/>
          <w:lang w:eastAsia="zh-TW"/>
        </w:rPr>
      </w:pPr>
      <w:r>
        <w:rPr>
          <w:rFonts w:hint="eastAsia" w:hAnsi="宋体" w:eastAsia="宋体"/>
          <w:color w:val="auto"/>
          <w:kern w:val="0"/>
          <w:sz w:val="24"/>
          <w:szCs w:val="24"/>
          <w:lang w:eastAsia="zh-TW"/>
        </w:rPr>
        <w:t>1、时间：</w:t>
      </w:r>
      <w:r>
        <w:rPr>
          <w:rFonts w:hint="eastAsia" w:hAnsi="宋体" w:eastAsia="宋体"/>
          <w:color w:val="auto"/>
          <w:kern w:val="0"/>
          <w:sz w:val="24"/>
          <w:szCs w:val="24"/>
          <w:highlight w:val="none"/>
          <w:lang w:eastAsia="zh-CN"/>
        </w:rPr>
        <w:t>2026年</w:t>
      </w:r>
      <w:r>
        <w:rPr>
          <w:rFonts w:hint="eastAsia" w:hAnsi="宋体" w:eastAsia="宋体"/>
          <w:color w:val="auto"/>
          <w:kern w:val="0"/>
          <w:sz w:val="24"/>
          <w:szCs w:val="24"/>
          <w:highlight w:val="none"/>
          <w:lang w:val="en-US" w:eastAsia="zh-CN"/>
        </w:rPr>
        <w:t>4</w:t>
      </w:r>
      <w:r>
        <w:rPr>
          <w:rFonts w:hint="eastAsia" w:hAnsi="宋体" w:eastAsia="宋体"/>
          <w:color w:val="auto"/>
          <w:kern w:val="0"/>
          <w:sz w:val="24"/>
          <w:szCs w:val="24"/>
          <w:highlight w:val="none"/>
          <w:lang w:eastAsia="zh-TW"/>
        </w:rPr>
        <w:t>月</w:t>
      </w:r>
      <w:r>
        <w:rPr>
          <w:rFonts w:hint="eastAsia" w:hAnsi="宋体" w:eastAsia="宋体"/>
          <w:color w:val="auto"/>
          <w:kern w:val="0"/>
          <w:sz w:val="24"/>
          <w:szCs w:val="24"/>
          <w:highlight w:val="none"/>
          <w:lang w:val="en-US" w:eastAsia="zh-CN"/>
        </w:rPr>
        <w:t>16</w:t>
      </w:r>
      <w:r>
        <w:rPr>
          <w:rFonts w:hint="eastAsia" w:hAnsi="宋体" w:eastAsia="宋体"/>
          <w:color w:val="auto"/>
          <w:kern w:val="0"/>
          <w:sz w:val="24"/>
          <w:szCs w:val="24"/>
          <w:highlight w:val="none"/>
          <w:lang w:eastAsia="zh-TW"/>
        </w:rPr>
        <w:t>日至</w:t>
      </w:r>
      <w:r>
        <w:rPr>
          <w:rFonts w:hint="eastAsia" w:hAnsi="宋体" w:eastAsia="宋体"/>
          <w:color w:val="auto"/>
          <w:kern w:val="0"/>
          <w:sz w:val="24"/>
          <w:szCs w:val="24"/>
          <w:highlight w:val="none"/>
          <w:lang w:eastAsia="zh-CN"/>
        </w:rPr>
        <w:t>2026年</w:t>
      </w:r>
      <w:r>
        <w:rPr>
          <w:rFonts w:hint="eastAsia" w:hAnsi="宋体" w:eastAsia="宋体"/>
          <w:color w:val="auto"/>
          <w:kern w:val="0"/>
          <w:sz w:val="24"/>
          <w:szCs w:val="24"/>
          <w:highlight w:val="none"/>
          <w:lang w:val="en-US" w:eastAsia="zh-CN"/>
        </w:rPr>
        <w:t>5</w:t>
      </w:r>
      <w:r>
        <w:rPr>
          <w:rFonts w:hint="eastAsia" w:hAnsi="宋体" w:eastAsia="宋体"/>
          <w:color w:val="auto"/>
          <w:kern w:val="0"/>
          <w:sz w:val="24"/>
          <w:szCs w:val="24"/>
          <w:highlight w:val="none"/>
          <w:lang w:eastAsia="zh-TW"/>
        </w:rPr>
        <w:t>月</w:t>
      </w:r>
      <w:r>
        <w:rPr>
          <w:rFonts w:hint="eastAsia" w:hAnsi="宋体" w:eastAsia="宋体"/>
          <w:color w:val="auto"/>
          <w:kern w:val="0"/>
          <w:sz w:val="24"/>
          <w:szCs w:val="24"/>
          <w:highlight w:val="none"/>
          <w:lang w:val="en-US" w:eastAsia="zh-CN"/>
        </w:rPr>
        <w:t>7</w:t>
      </w:r>
      <w:r>
        <w:rPr>
          <w:rFonts w:hint="eastAsia" w:hAnsi="宋体" w:eastAsia="宋体"/>
          <w:color w:val="auto"/>
          <w:kern w:val="0"/>
          <w:sz w:val="24"/>
          <w:szCs w:val="24"/>
          <w:highlight w:val="none"/>
          <w:lang w:eastAsia="zh-TW"/>
        </w:rPr>
        <w:t>日</w:t>
      </w:r>
      <w:r>
        <w:rPr>
          <w:rFonts w:hint="eastAsia" w:hAnsi="宋体" w:eastAsia="宋体"/>
          <w:color w:val="auto"/>
          <w:kern w:val="0"/>
          <w:sz w:val="24"/>
          <w:szCs w:val="24"/>
          <w:lang w:eastAsia="zh-TW"/>
        </w:rPr>
        <w:t>，每天上午00:00至12:00，下午12:0</w:t>
      </w:r>
      <w:r>
        <w:rPr>
          <w:rFonts w:hint="eastAsia" w:hAnsi="宋体" w:eastAsia="宋体"/>
          <w:color w:val="auto"/>
          <w:kern w:val="0"/>
          <w:sz w:val="24"/>
          <w:szCs w:val="24"/>
          <w:lang w:val="en-US" w:eastAsia="zh-CN"/>
        </w:rPr>
        <w:t>1</w:t>
      </w:r>
      <w:r>
        <w:rPr>
          <w:rFonts w:hint="eastAsia" w:hAnsi="宋体" w:eastAsia="宋体"/>
          <w:color w:val="auto"/>
          <w:kern w:val="0"/>
          <w:sz w:val="24"/>
          <w:szCs w:val="24"/>
          <w:lang w:eastAsia="zh-TW"/>
        </w:rPr>
        <w:t xml:space="preserve">至23:59（北京时间，法定节假日除外。） </w:t>
      </w:r>
    </w:p>
    <w:p w14:paraId="5DED517D">
      <w:pPr>
        <w:pStyle w:val="8"/>
        <w:pageBreakBefore w:val="0"/>
        <w:wordWrap/>
        <w:overflowPunct/>
        <w:bidi w:val="0"/>
        <w:spacing w:line="360" w:lineRule="auto"/>
        <w:ind w:firstLine="480" w:firstLineChars="200"/>
        <w:jc w:val="left"/>
        <w:outlineLvl w:val="9"/>
        <w:rPr>
          <w:rFonts w:hAnsi="宋体" w:eastAsia="宋体"/>
          <w:color w:val="auto"/>
          <w:kern w:val="0"/>
          <w:sz w:val="24"/>
          <w:szCs w:val="24"/>
          <w:lang w:eastAsia="zh-TW"/>
        </w:rPr>
      </w:pPr>
      <w:r>
        <w:rPr>
          <w:rFonts w:hint="eastAsia" w:hAnsi="宋体" w:eastAsia="宋体"/>
          <w:color w:val="auto"/>
          <w:kern w:val="0"/>
          <w:sz w:val="24"/>
          <w:szCs w:val="24"/>
          <w:lang w:eastAsia="zh-TW"/>
        </w:rPr>
        <w:t>2、地点：</w:t>
      </w:r>
      <w:bookmarkStart w:id="20" w:name="OLE_LINK55"/>
      <w:r>
        <w:rPr>
          <w:rFonts w:hint="eastAsia" w:hAnsi="宋体" w:eastAsia="宋体"/>
          <w:color w:val="auto"/>
          <w:kern w:val="0"/>
          <w:sz w:val="24"/>
          <w:szCs w:val="24"/>
          <w:lang w:eastAsia="zh-TW"/>
        </w:rPr>
        <w:t>三门峡市公共资源交易中心网上获取</w:t>
      </w:r>
      <w:bookmarkEnd w:id="20"/>
      <w:r>
        <w:rPr>
          <w:rFonts w:hint="eastAsia" w:hAnsi="宋体" w:eastAsia="宋体"/>
          <w:color w:val="auto"/>
          <w:kern w:val="0"/>
          <w:sz w:val="24"/>
          <w:szCs w:val="24"/>
          <w:lang w:eastAsia="zh-TW"/>
        </w:rPr>
        <w:t xml:space="preserve"> </w:t>
      </w:r>
    </w:p>
    <w:p w14:paraId="745C0DC9">
      <w:pPr>
        <w:pStyle w:val="8"/>
        <w:pageBreakBefore w:val="0"/>
        <w:wordWrap/>
        <w:overflowPunct/>
        <w:bidi w:val="0"/>
        <w:spacing w:line="360" w:lineRule="auto"/>
        <w:ind w:firstLine="480" w:firstLineChars="200"/>
        <w:jc w:val="left"/>
        <w:outlineLvl w:val="9"/>
        <w:rPr>
          <w:rFonts w:hAnsi="宋体" w:eastAsia="宋体"/>
          <w:color w:val="auto"/>
          <w:kern w:val="0"/>
          <w:sz w:val="24"/>
          <w:szCs w:val="24"/>
          <w:lang w:eastAsia="zh-TW"/>
        </w:rPr>
      </w:pPr>
      <w:r>
        <w:rPr>
          <w:rFonts w:hint="eastAsia" w:hAnsi="宋体" w:eastAsia="宋体"/>
          <w:color w:val="auto"/>
          <w:kern w:val="0"/>
          <w:sz w:val="24"/>
          <w:szCs w:val="24"/>
          <w:lang w:eastAsia="zh-TW"/>
        </w:rPr>
        <w:t>3、方式：</w:t>
      </w:r>
      <w:bookmarkStart w:id="21" w:name="OLE_LINK56"/>
      <w:bookmarkStart w:id="22" w:name="OLE_LINK70"/>
      <w:r>
        <w:rPr>
          <w:rFonts w:hint="eastAsia" w:hAnsi="宋体" w:eastAsia="宋体"/>
          <w:color w:val="auto"/>
          <w:kern w:val="0"/>
          <w:sz w:val="24"/>
          <w:szCs w:val="24"/>
          <w:lang w:eastAsia="zh-TW"/>
        </w:rPr>
        <w:t>供应商凭CA 数字证书通过三门峡市公共资源交易中心网（网址：http://gzjy.smx.gov.cn），点击交易平台选择“市场主体登录”，在所参与项目右侧点击参与投标，即可直接下载本项目招标文件。本项目为全电子招标，不再收取招标文件费（招标文件中包含图纸、清单等投标所需一切内容）。</w:t>
      </w:r>
      <w:bookmarkEnd w:id="21"/>
    </w:p>
    <w:bookmarkEnd w:id="22"/>
    <w:p w14:paraId="0A89CF02">
      <w:pPr>
        <w:pStyle w:val="8"/>
        <w:pageBreakBefore w:val="0"/>
        <w:wordWrap/>
        <w:overflowPunct/>
        <w:bidi w:val="0"/>
        <w:spacing w:line="360" w:lineRule="auto"/>
        <w:ind w:firstLine="480" w:firstLineChars="200"/>
        <w:jc w:val="left"/>
        <w:outlineLvl w:val="9"/>
        <w:rPr>
          <w:rFonts w:hAnsi="宋体" w:eastAsia="宋体"/>
          <w:color w:val="auto"/>
          <w:kern w:val="0"/>
          <w:sz w:val="24"/>
          <w:szCs w:val="24"/>
          <w:lang w:eastAsia="zh-TW"/>
        </w:rPr>
      </w:pPr>
      <w:r>
        <w:rPr>
          <w:rFonts w:hint="eastAsia" w:hAnsi="宋体" w:eastAsia="宋体"/>
          <w:color w:val="auto"/>
          <w:kern w:val="0"/>
          <w:sz w:val="24"/>
          <w:szCs w:val="24"/>
          <w:lang w:eastAsia="zh-TW"/>
        </w:rPr>
        <w:t>办理CA证书：</w:t>
      </w:r>
      <w:r>
        <w:rPr>
          <w:rFonts w:hint="eastAsia" w:ascii="宋体" w:hAnsi="宋体" w:eastAsia="宋体" w:cs="宋体"/>
          <w:i w:val="0"/>
          <w:iCs w:val="0"/>
          <w:caps w:val="0"/>
          <w:color w:val="333333"/>
          <w:spacing w:val="0"/>
          <w:sz w:val="24"/>
          <w:szCs w:val="24"/>
        </w:rPr>
        <w:t>http://gzjy.smx.gov.cn/bzzx/008001/20211105/57b16af9-ab87-4395-a723-7758c628a3f8.html</w:t>
      </w:r>
      <w:r>
        <w:rPr>
          <w:rFonts w:hint="eastAsia" w:hAnsi="宋体" w:eastAsia="宋体"/>
          <w:color w:val="auto"/>
          <w:kern w:val="0"/>
          <w:sz w:val="24"/>
          <w:szCs w:val="24"/>
          <w:lang w:eastAsia="zh-TW"/>
        </w:rPr>
        <w:t xml:space="preserve"> </w:t>
      </w:r>
    </w:p>
    <w:p w14:paraId="63D74449">
      <w:pPr>
        <w:pStyle w:val="8"/>
        <w:pageBreakBefore w:val="0"/>
        <w:wordWrap/>
        <w:overflowPunct/>
        <w:bidi w:val="0"/>
        <w:spacing w:line="360" w:lineRule="auto"/>
        <w:ind w:firstLine="480" w:firstLineChars="200"/>
        <w:jc w:val="left"/>
        <w:outlineLvl w:val="9"/>
        <w:rPr>
          <w:rFonts w:hAnsi="宋体" w:eastAsia="宋体"/>
          <w:color w:val="auto"/>
          <w:kern w:val="0"/>
          <w:sz w:val="24"/>
          <w:szCs w:val="24"/>
        </w:rPr>
      </w:pPr>
      <w:r>
        <w:rPr>
          <w:rFonts w:hint="eastAsia" w:hAnsi="宋体" w:eastAsia="宋体"/>
          <w:color w:val="auto"/>
          <w:kern w:val="0"/>
          <w:sz w:val="24"/>
          <w:szCs w:val="24"/>
          <w:lang w:eastAsia="zh-TW"/>
        </w:rPr>
        <w:t>4、售价：0元</w:t>
      </w:r>
      <w:r>
        <w:rPr>
          <w:rFonts w:hint="eastAsia" w:hAnsi="宋体" w:eastAsia="宋体"/>
          <w:color w:val="auto"/>
          <w:kern w:val="0"/>
          <w:sz w:val="24"/>
          <w:szCs w:val="24"/>
        </w:rPr>
        <w:t>。</w:t>
      </w:r>
    </w:p>
    <w:p w14:paraId="54638613">
      <w:pPr>
        <w:pStyle w:val="8"/>
        <w:pageBreakBefore w:val="0"/>
        <w:wordWrap/>
        <w:overflowPunct/>
        <w:bidi w:val="0"/>
        <w:spacing w:line="360" w:lineRule="auto"/>
        <w:ind w:firstLine="480" w:firstLineChars="200"/>
        <w:jc w:val="left"/>
        <w:outlineLvl w:val="9"/>
        <w:rPr>
          <w:rFonts w:hAnsi="宋体" w:eastAsia="宋体"/>
          <w:color w:val="auto"/>
          <w:kern w:val="0"/>
          <w:sz w:val="24"/>
          <w:szCs w:val="24"/>
        </w:rPr>
      </w:pPr>
      <w:r>
        <w:rPr>
          <w:rFonts w:hint="eastAsia" w:hAnsi="宋体" w:eastAsia="宋体"/>
          <w:color w:val="auto"/>
          <w:kern w:val="0"/>
          <w:sz w:val="24"/>
          <w:szCs w:val="24"/>
        </w:rPr>
        <w:t>四、投标保证金</w:t>
      </w:r>
    </w:p>
    <w:p w14:paraId="091B73C7">
      <w:pPr>
        <w:pStyle w:val="8"/>
        <w:pageBreakBefore w:val="0"/>
        <w:wordWrap/>
        <w:overflowPunct/>
        <w:bidi w:val="0"/>
        <w:spacing w:line="360" w:lineRule="auto"/>
        <w:ind w:firstLine="480" w:firstLineChars="200"/>
        <w:jc w:val="left"/>
        <w:outlineLvl w:val="9"/>
        <w:rPr>
          <w:rFonts w:hAnsi="宋体" w:eastAsia="宋体"/>
          <w:color w:val="auto"/>
          <w:kern w:val="0"/>
          <w:sz w:val="24"/>
          <w:szCs w:val="24"/>
        </w:rPr>
      </w:pPr>
      <w:r>
        <w:rPr>
          <w:rFonts w:hint="eastAsia" w:hAnsi="宋体" w:eastAsia="宋体"/>
          <w:color w:val="auto"/>
          <w:kern w:val="0"/>
          <w:sz w:val="24"/>
          <w:szCs w:val="24"/>
        </w:rPr>
        <w:t>根据《河南省财政厅关于优化政府采购营商环境有关问题的通知》（豫财购【2019】4号）第6条的规定，投标保证金不再收取。</w:t>
      </w:r>
    </w:p>
    <w:p w14:paraId="7D3549D8">
      <w:pPr>
        <w:pStyle w:val="8"/>
        <w:pageBreakBefore w:val="0"/>
        <w:wordWrap/>
        <w:overflowPunct/>
        <w:bidi w:val="0"/>
        <w:spacing w:line="360" w:lineRule="auto"/>
        <w:ind w:firstLine="480" w:firstLineChars="200"/>
        <w:jc w:val="left"/>
        <w:outlineLvl w:val="9"/>
        <w:rPr>
          <w:rFonts w:hAnsi="宋体" w:eastAsia="宋体"/>
          <w:color w:val="auto"/>
          <w:sz w:val="24"/>
          <w:szCs w:val="24"/>
        </w:rPr>
      </w:pPr>
      <w:r>
        <w:rPr>
          <w:rFonts w:hint="eastAsia" w:hAnsi="宋体" w:eastAsia="宋体"/>
          <w:color w:val="auto"/>
          <w:sz w:val="24"/>
          <w:szCs w:val="24"/>
        </w:rPr>
        <w:t xml:space="preserve">五、投标截止时间及地点 </w:t>
      </w:r>
    </w:p>
    <w:p w14:paraId="005ED849">
      <w:pPr>
        <w:pStyle w:val="8"/>
        <w:pageBreakBefore w:val="0"/>
        <w:wordWrap/>
        <w:overflowPunct/>
        <w:bidi w:val="0"/>
        <w:spacing w:line="360" w:lineRule="auto"/>
        <w:ind w:firstLine="480" w:firstLineChars="200"/>
        <w:jc w:val="left"/>
        <w:outlineLvl w:val="9"/>
        <w:rPr>
          <w:rFonts w:hAnsi="宋体" w:eastAsia="宋体"/>
          <w:color w:val="auto"/>
          <w:sz w:val="24"/>
          <w:szCs w:val="24"/>
          <w:highlight w:val="none"/>
        </w:rPr>
      </w:pPr>
      <w:r>
        <w:rPr>
          <w:rFonts w:hint="eastAsia" w:hAnsi="宋体" w:eastAsia="宋体"/>
          <w:color w:val="auto"/>
          <w:sz w:val="24"/>
          <w:szCs w:val="24"/>
        </w:rPr>
        <w:t>1、时间：</w:t>
      </w:r>
      <w:r>
        <w:rPr>
          <w:rFonts w:hint="eastAsia" w:hAnsi="宋体" w:eastAsia="宋体"/>
          <w:color w:val="auto"/>
          <w:sz w:val="24"/>
          <w:szCs w:val="24"/>
          <w:highlight w:val="none"/>
          <w:lang w:eastAsia="zh-CN"/>
        </w:rPr>
        <w:t>2026年</w:t>
      </w:r>
      <w:r>
        <w:rPr>
          <w:rFonts w:hint="eastAsia" w:hAnsi="宋体" w:eastAsia="宋体"/>
          <w:color w:val="auto"/>
          <w:sz w:val="24"/>
          <w:szCs w:val="24"/>
          <w:highlight w:val="none"/>
          <w:lang w:val="en-US" w:eastAsia="zh-CN"/>
        </w:rPr>
        <w:t>5</w:t>
      </w:r>
      <w:r>
        <w:rPr>
          <w:rFonts w:hint="eastAsia" w:hAnsi="宋体" w:eastAsia="宋体"/>
          <w:color w:val="auto"/>
          <w:sz w:val="24"/>
          <w:szCs w:val="24"/>
          <w:highlight w:val="none"/>
          <w:lang w:eastAsia="zh-CN"/>
        </w:rPr>
        <w:t>月</w:t>
      </w:r>
      <w:r>
        <w:rPr>
          <w:rFonts w:hint="eastAsia" w:hAnsi="宋体" w:eastAsia="宋体"/>
          <w:color w:val="auto"/>
          <w:sz w:val="24"/>
          <w:szCs w:val="24"/>
          <w:highlight w:val="none"/>
          <w:lang w:val="en-US" w:eastAsia="zh-CN"/>
        </w:rPr>
        <w:t>7</w:t>
      </w:r>
      <w:r>
        <w:rPr>
          <w:rFonts w:hint="eastAsia" w:hAnsi="宋体" w:eastAsia="宋体"/>
          <w:color w:val="auto"/>
          <w:sz w:val="24"/>
          <w:szCs w:val="24"/>
          <w:highlight w:val="none"/>
          <w:lang w:eastAsia="zh-CN"/>
        </w:rPr>
        <w:t>日08时</w:t>
      </w:r>
      <w:r>
        <w:rPr>
          <w:rFonts w:hint="eastAsia" w:hAnsi="宋体" w:eastAsia="宋体"/>
          <w:color w:val="auto"/>
          <w:sz w:val="24"/>
          <w:szCs w:val="24"/>
          <w:highlight w:val="none"/>
          <w:lang w:val="en-US" w:eastAsia="zh-CN"/>
        </w:rPr>
        <w:t>3</w:t>
      </w:r>
      <w:r>
        <w:rPr>
          <w:rFonts w:hint="eastAsia" w:hAnsi="宋体" w:eastAsia="宋体"/>
          <w:color w:val="auto"/>
          <w:sz w:val="24"/>
          <w:szCs w:val="24"/>
          <w:highlight w:val="none"/>
          <w:lang w:eastAsia="zh-CN"/>
        </w:rPr>
        <w:t>0分</w:t>
      </w:r>
      <w:r>
        <w:rPr>
          <w:rFonts w:hint="eastAsia" w:hAnsi="宋体" w:eastAsia="宋体"/>
          <w:color w:val="auto"/>
          <w:sz w:val="24"/>
          <w:szCs w:val="24"/>
          <w:highlight w:val="none"/>
        </w:rPr>
        <w:t xml:space="preserve">（北京时间） </w:t>
      </w:r>
    </w:p>
    <w:p w14:paraId="519C22E3">
      <w:pPr>
        <w:pStyle w:val="8"/>
        <w:pageBreakBefore w:val="0"/>
        <w:wordWrap/>
        <w:overflowPunct/>
        <w:bidi w:val="0"/>
        <w:spacing w:line="360" w:lineRule="auto"/>
        <w:ind w:firstLine="480" w:firstLineChars="200"/>
        <w:jc w:val="left"/>
        <w:outlineLvl w:val="9"/>
        <w:rPr>
          <w:rFonts w:hAnsi="宋体" w:eastAsia="宋体"/>
          <w:color w:val="auto"/>
          <w:sz w:val="24"/>
          <w:szCs w:val="24"/>
          <w:highlight w:val="none"/>
        </w:rPr>
      </w:pPr>
      <w:r>
        <w:rPr>
          <w:rFonts w:hint="eastAsia" w:hAnsi="宋体" w:eastAsia="宋体"/>
          <w:color w:val="auto"/>
          <w:sz w:val="24"/>
          <w:szCs w:val="24"/>
          <w:highlight w:val="none"/>
        </w:rPr>
        <w:t>2、地点：</w:t>
      </w:r>
      <w:bookmarkStart w:id="23" w:name="OLE_LINK57"/>
      <w:r>
        <w:rPr>
          <w:rFonts w:hint="eastAsia" w:hAnsi="宋体" w:eastAsia="宋体"/>
          <w:color w:val="auto"/>
          <w:sz w:val="24"/>
          <w:szCs w:val="24"/>
          <w:highlight w:val="none"/>
        </w:rPr>
        <w:t>加密电子投标文件须在投标截止时间前通过三门峡市公共资源交易中心电子交易平台加密上传。逾期上传的或者未上传指定地点的投标文件，采购人不予受理。</w:t>
      </w:r>
      <w:bookmarkEnd w:id="23"/>
      <w:r>
        <w:rPr>
          <w:rFonts w:hint="eastAsia" w:hAnsi="宋体" w:eastAsia="宋体"/>
          <w:color w:val="auto"/>
          <w:sz w:val="24"/>
          <w:szCs w:val="24"/>
          <w:highlight w:val="none"/>
        </w:rPr>
        <w:t xml:space="preserve"> </w:t>
      </w:r>
    </w:p>
    <w:p w14:paraId="6DF34B69">
      <w:pPr>
        <w:pStyle w:val="8"/>
        <w:pageBreakBefore w:val="0"/>
        <w:wordWrap/>
        <w:overflowPunct/>
        <w:bidi w:val="0"/>
        <w:spacing w:line="360" w:lineRule="auto"/>
        <w:ind w:firstLine="480" w:firstLineChars="200"/>
        <w:jc w:val="left"/>
        <w:outlineLvl w:val="9"/>
        <w:rPr>
          <w:rFonts w:hAnsi="宋体" w:eastAsia="宋体"/>
          <w:color w:val="auto"/>
          <w:sz w:val="24"/>
          <w:szCs w:val="24"/>
          <w:highlight w:val="none"/>
        </w:rPr>
      </w:pPr>
      <w:r>
        <w:rPr>
          <w:rFonts w:hint="eastAsia" w:hAnsi="宋体" w:eastAsia="宋体"/>
          <w:color w:val="auto"/>
          <w:sz w:val="24"/>
          <w:szCs w:val="24"/>
          <w:highlight w:val="none"/>
        </w:rPr>
        <w:t xml:space="preserve">六、开标时间及地点 </w:t>
      </w:r>
    </w:p>
    <w:p w14:paraId="29A0E76B">
      <w:pPr>
        <w:pStyle w:val="8"/>
        <w:pageBreakBefore w:val="0"/>
        <w:wordWrap/>
        <w:overflowPunct/>
        <w:bidi w:val="0"/>
        <w:spacing w:line="360" w:lineRule="auto"/>
        <w:ind w:firstLine="480" w:firstLineChars="200"/>
        <w:jc w:val="left"/>
        <w:outlineLvl w:val="9"/>
        <w:rPr>
          <w:rFonts w:hAnsi="宋体" w:eastAsia="宋体"/>
          <w:color w:val="auto"/>
          <w:sz w:val="24"/>
          <w:szCs w:val="24"/>
          <w:highlight w:val="none"/>
        </w:rPr>
      </w:pPr>
      <w:r>
        <w:rPr>
          <w:rFonts w:hint="eastAsia" w:hAnsi="宋体" w:eastAsia="宋体"/>
          <w:color w:val="auto"/>
          <w:sz w:val="24"/>
          <w:szCs w:val="24"/>
          <w:highlight w:val="none"/>
        </w:rPr>
        <w:t xml:space="preserve">1、时间：2026年5月7日08时30分（北京时间） </w:t>
      </w:r>
    </w:p>
    <w:p w14:paraId="1CDAB97B">
      <w:pPr>
        <w:pStyle w:val="8"/>
        <w:pageBreakBefore w:val="0"/>
        <w:wordWrap/>
        <w:overflowPunct/>
        <w:bidi w:val="0"/>
        <w:spacing w:line="360" w:lineRule="auto"/>
        <w:ind w:firstLine="480" w:firstLineChars="200"/>
        <w:jc w:val="left"/>
        <w:outlineLvl w:val="9"/>
        <w:rPr>
          <w:rFonts w:hAnsi="宋体" w:eastAsia="宋体"/>
          <w:color w:val="auto"/>
          <w:sz w:val="24"/>
          <w:szCs w:val="24"/>
        </w:rPr>
      </w:pPr>
      <w:r>
        <w:rPr>
          <w:rFonts w:hint="eastAsia" w:hAnsi="宋体" w:eastAsia="宋体"/>
          <w:color w:val="auto"/>
          <w:sz w:val="24"/>
          <w:szCs w:val="24"/>
        </w:rPr>
        <w:t>2、地点：</w:t>
      </w:r>
      <w:bookmarkStart w:id="24" w:name="OLE_LINK58"/>
      <w:r>
        <w:rPr>
          <w:rFonts w:hint="eastAsia" w:hAnsi="宋体" w:eastAsia="宋体"/>
          <w:color w:val="auto"/>
          <w:sz w:val="24"/>
          <w:szCs w:val="24"/>
        </w:rPr>
        <w:t>三门峡市公共资源交易中心五楼开标区</w:t>
      </w:r>
      <w:bookmarkEnd w:id="24"/>
    </w:p>
    <w:p w14:paraId="0E0A73B6">
      <w:pPr>
        <w:pStyle w:val="8"/>
        <w:pageBreakBefore w:val="0"/>
        <w:wordWrap/>
        <w:overflowPunct/>
        <w:bidi w:val="0"/>
        <w:spacing w:line="360" w:lineRule="auto"/>
        <w:ind w:firstLine="480" w:firstLineChars="200"/>
        <w:jc w:val="left"/>
        <w:outlineLvl w:val="9"/>
        <w:rPr>
          <w:rFonts w:hAnsi="宋体" w:eastAsia="宋体"/>
          <w:color w:val="auto"/>
          <w:sz w:val="24"/>
          <w:szCs w:val="24"/>
        </w:rPr>
      </w:pPr>
      <w:r>
        <w:rPr>
          <w:rFonts w:hint="eastAsia" w:hAnsi="宋体" w:eastAsia="宋体"/>
          <w:color w:val="auto"/>
          <w:sz w:val="24"/>
          <w:szCs w:val="24"/>
        </w:rPr>
        <w:t xml:space="preserve">七、发布公告的媒介及招标公告期限 </w:t>
      </w:r>
    </w:p>
    <w:p w14:paraId="4205C04B">
      <w:pPr>
        <w:pStyle w:val="8"/>
        <w:pageBreakBefore w:val="0"/>
        <w:wordWrap/>
        <w:overflowPunct/>
        <w:bidi w:val="0"/>
        <w:spacing w:line="360" w:lineRule="auto"/>
        <w:ind w:firstLine="480" w:firstLineChars="200"/>
        <w:jc w:val="left"/>
        <w:outlineLvl w:val="9"/>
        <w:rPr>
          <w:rFonts w:hAnsi="宋体" w:eastAsia="宋体"/>
          <w:color w:val="auto"/>
          <w:sz w:val="24"/>
          <w:szCs w:val="24"/>
        </w:rPr>
      </w:pPr>
      <w:r>
        <w:rPr>
          <w:rFonts w:hint="eastAsia" w:hAnsi="宋体" w:eastAsia="宋体"/>
          <w:color w:val="auto"/>
          <w:sz w:val="24"/>
          <w:szCs w:val="24"/>
        </w:rPr>
        <w:t>本次</w:t>
      </w:r>
      <w:r>
        <w:rPr>
          <w:rFonts w:hint="eastAsia" w:hAnsi="宋体" w:eastAsia="宋体"/>
          <w:color w:val="auto"/>
          <w:sz w:val="24"/>
          <w:szCs w:val="24"/>
          <w:lang w:val="en-US" w:eastAsia="zh-CN"/>
        </w:rPr>
        <w:t>招标</w:t>
      </w:r>
      <w:r>
        <w:rPr>
          <w:rFonts w:hint="eastAsia" w:hAnsi="宋体" w:eastAsia="宋体"/>
          <w:color w:val="auto"/>
          <w:sz w:val="24"/>
          <w:szCs w:val="24"/>
        </w:rPr>
        <w:t>公告同时在</w:t>
      </w:r>
      <w:bookmarkStart w:id="25" w:name="OLE_LINK59"/>
      <w:r>
        <w:rPr>
          <w:rFonts w:hint="eastAsia" w:hAnsi="宋体" w:eastAsia="宋体"/>
          <w:color w:val="auto"/>
          <w:sz w:val="24"/>
          <w:szCs w:val="24"/>
        </w:rPr>
        <w:t>《中国采购与招标网》、《中国招标投标公共服务平台》、《河南省政府采购网》和《三门峡市公共资源交易中心网》</w:t>
      </w:r>
      <w:bookmarkEnd w:id="25"/>
      <w:r>
        <w:rPr>
          <w:rFonts w:hint="eastAsia" w:hAnsi="宋体" w:eastAsia="宋体"/>
          <w:color w:val="auto"/>
          <w:sz w:val="24"/>
          <w:szCs w:val="24"/>
        </w:rPr>
        <w:t xml:space="preserve">发布。  </w:t>
      </w:r>
    </w:p>
    <w:p w14:paraId="71AED968">
      <w:pPr>
        <w:pStyle w:val="8"/>
        <w:pageBreakBefore w:val="0"/>
        <w:wordWrap/>
        <w:overflowPunct/>
        <w:bidi w:val="0"/>
        <w:spacing w:line="360" w:lineRule="auto"/>
        <w:ind w:firstLine="480" w:firstLineChars="200"/>
        <w:jc w:val="left"/>
        <w:outlineLvl w:val="9"/>
        <w:rPr>
          <w:rFonts w:hAnsi="宋体" w:eastAsia="宋体"/>
          <w:color w:val="auto"/>
          <w:sz w:val="24"/>
          <w:szCs w:val="24"/>
        </w:rPr>
      </w:pPr>
      <w:r>
        <w:rPr>
          <w:rFonts w:hint="eastAsia" w:hAnsi="宋体" w:eastAsia="宋体"/>
          <w:color w:val="auto"/>
          <w:sz w:val="24"/>
          <w:szCs w:val="24"/>
        </w:rPr>
        <w:t>八、其他补充事宜</w:t>
      </w:r>
    </w:p>
    <w:p w14:paraId="3DC61EB4">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0724EEAC">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.本项目实行资格后审，评审中资格审查、评审打分以投标文件为准，其上传资料真实性由供应商自行承担。</w:t>
      </w:r>
    </w:p>
    <w:p w14:paraId="6697EC55">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.本项目为电子化、无纸化交易项目，开标时不再接受任何纸质资料，为保证您能投标成功，请需仔细阅读招标文件和三门峡市公共资源交易中心官网业务办理指南。</w:t>
      </w:r>
    </w:p>
    <w:p w14:paraId="2BC1A33D">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.根据优化营商环境的要求，评标时以投标文件为准：</w:t>
      </w:r>
    </w:p>
    <w:p w14:paraId="527D9A3F">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（1）资格评（预）审部分：资格评（预）以投标文件为准，其上传资料真实性由供应商自行承担。</w:t>
      </w:r>
    </w:p>
    <w:p w14:paraId="1A9BBF40">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（2）评标打分部分：评标打分部分仍按照100分制原则进行，涉及到资格审查、企业荣誉、人员业绩、企业业绩等计分部分时，以投标单位自行上传到投标文件中的相应内容为准。</w:t>
      </w:r>
    </w:p>
    <w:p w14:paraId="395E76D2">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3）投标文件编制部分：在投标文件中要求供应商按照投标文件格式进行投标文件编制，在投标文件编制时，应明确将投标单位企业基本情况、资质情况、人员情况、财务情况、业绩情况编入投标文件，便于进行资格审查及评标打分。</w:t>
      </w:r>
    </w:p>
    <w:p w14:paraId="2656AED1">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.投标所发生的一切费用由各供应商自行承担，并承担相应的风险和责任。</w:t>
      </w:r>
    </w:p>
    <w:p w14:paraId="46203F71">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.我单位（采购人）严格按三财购（2021）9 号文要求的时限发布结果公告，发出中标通知书，签订采购合同，上传采购合同。</w:t>
      </w:r>
    </w:p>
    <w:p w14:paraId="12D42FF3">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温馨提示：本项目为电子化、无纸化交易项目，开标时不再接受任何纸质资料，为保证您能投标成功，请需仔细阅读招标文件和三门峡市公共资源交易中心官网业务办理指南。</w:t>
      </w:r>
    </w:p>
    <w:p w14:paraId="2EAC4019">
      <w:pPr>
        <w:pageBreakBefore w:val="0"/>
        <w:wordWrap/>
        <w:overflowPunct/>
        <w:bidi w:val="0"/>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九</w:t>
      </w:r>
      <w:r>
        <w:rPr>
          <w:rFonts w:ascii="宋体" w:hAnsi="宋体"/>
          <w:color w:val="auto"/>
          <w:sz w:val="24"/>
          <w:szCs w:val="24"/>
        </w:rPr>
        <w:t>、</w:t>
      </w:r>
      <w:bookmarkStart w:id="26" w:name="OLE_LINK3"/>
      <w:r>
        <w:rPr>
          <w:rFonts w:hint="eastAsia" w:ascii="宋体" w:hAnsi="宋体"/>
          <w:color w:val="auto"/>
          <w:sz w:val="24"/>
          <w:szCs w:val="24"/>
        </w:rPr>
        <w:t>凡对本次招标提出询问，请按照以下方式联系：</w:t>
      </w:r>
    </w:p>
    <w:bookmarkEnd w:id="8"/>
    <w:bookmarkEnd w:id="26"/>
    <w:p w14:paraId="2123D720">
      <w:pPr>
        <w:pageBreakBefore w:val="0"/>
        <w:wordWrap/>
        <w:overflowPunct/>
        <w:bidi w:val="0"/>
        <w:spacing w:line="360" w:lineRule="auto"/>
        <w:ind w:firstLine="480" w:firstLineChars="200"/>
        <w:outlineLvl w:val="9"/>
        <w:rPr>
          <w:rFonts w:ascii="宋体" w:hAnsi="宋体"/>
          <w:color w:val="auto"/>
          <w:sz w:val="24"/>
          <w:szCs w:val="24"/>
        </w:rPr>
      </w:pPr>
      <w:bookmarkStart w:id="27" w:name="_Toc32746"/>
      <w:bookmarkStart w:id="28" w:name="_Toc454525912"/>
      <w:r>
        <w:rPr>
          <w:rFonts w:hint="eastAsia" w:ascii="宋体" w:hAnsi="宋体"/>
          <w:color w:val="auto"/>
          <w:sz w:val="24"/>
          <w:szCs w:val="24"/>
        </w:rPr>
        <w:t>1、采购人信息：</w:t>
      </w:r>
    </w:p>
    <w:p w14:paraId="3F0918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宋体" w:hAnsi="宋体" w:eastAsia="宋体" w:cs="宋体"/>
          <w:sz w:val="24"/>
          <w:szCs w:val="24"/>
          <w:highlight w:val="none"/>
          <w:lang w:val="en-US" w:eastAsia="zh-CN"/>
        </w:rPr>
      </w:pPr>
      <w:bookmarkStart w:id="29" w:name="OLE_LINK79"/>
      <w:r>
        <w:rPr>
          <w:rFonts w:hint="eastAsia" w:ascii="宋体" w:hAnsi="宋体" w:eastAsia="宋体" w:cs="宋体"/>
          <w:sz w:val="24"/>
          <w:szCs w:val="24"/>
          <w:highlight w:val="none"/>
          <w:lang w:val="en-US" w:eastAsia="zh-CN"/>
        </w:rPr>
        <w:t>采 购 人：三门峡市城市建设发展服务中心</w:t>
      </w:r>
    </w:p>
    <w:p w14:paraId="05B551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    址： 三门峡市文明路西段</w:t>
      </w:r>
    </w:p>
    <w:p w14:paraId="1E581E3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 系 人：</w:t>
      </w:r>
      <w:r>
        <w:rPr>
          <w:rFonts w:hint="eastAsia" w:ascii="宋体" w:hAnsi="宋体" w:cs="宋体"/>
          <w:sz w:val="24"/>
          <w:szCs w:val="24"/>
          <w:highlight w:val="none"/>
          <w:lang w:val="en-US" w:eastAsia="zh-CN"/>
        </w:rPr>
        <w:t>陈仁挥</w:t>
      </w:r>
    </w:p>
    <w:p w14:paraId="7D1100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    话：</w:t>
      </w:r>
      <w:bookmarkStart w:id="30" w:name="OLE_LINK6"/>
      <w:r>
        <w:rPr>
          <w:rFonts w:hint="eastAsia" w:ascii="宋体" w:hAnsi="宋体" w:cs="宋体"/>
          <w:sz w:val="24"/>
          <w:szCs w:val="24"/>
          <w:highlight w:val="none"/>
          <w:lang w:val="en-US" w:eastAsia="zh-CN"/>
        </w:rPr>
        <w:t>0398-2820222</w:t>
      </w:r>
      <w:bookmarkEnd w:id="30"/>
    </w:p>
    <w:bookmarkEnd w:id="29"/>
    <w:p w14:paraId="5FF41B7F">
      <w:pPr>
        <w:pageBreakBefore w:val="0"/>
        <w:wordWrap/>
        <w:overflowPunct/>
        <w:bidi w:val="0"/>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2、采购代理机构信息：</w:t>
      </w:r>
    </w:p>
    <w:p w14:paraId="73A5360E">
      <w:pPr>
        <w:pageBreakBefore w:val="0"/>
        <w:wordWrap/>
        <w:overflowPunct/>
        <w:bidi w:val="0"/>
        <w:spacing w:line="360" w:lineRule="auto"/>
        <w:ind w:firstLine="480" w:firstLineChars="200"/>
        <w:outlineLvl w:val="9"/>
        <w:rPr>
          <w:rFonts w:hint="eastAsia" w:ascii="宋体" w:hAnsi="宋体" w:eastAsia="宋体"/>
          <w:color w:val="auto"/>
          <w:sz w:val="24"/>
          <w:szCs w:val="24"/>
          <w:lang w:eastAsia="zh-CN"/>
        </w:rPr>
      </w:pPr>
      <w:bookmarkStart w:id="31" w:name="OLE_LINK80"/>
      <w:r>
        <w:rPr>
          <w:rFonts w:hint="eastAsia" w:ascii="宋体" w:hAnsi="宋体"/>
          <w:color w:val="auto"/>
          <w:sz w:val="24"/>
          <w:szCs w:val="24"/>
        </w:rPr>
        <w:t>采购代理机构：</w:t>
      </w:r>
      <w:r>
        <w:rPr>
          <w:rFonts w:hint="eastAsia" w:ascii="宋体" w:hAnsi="宋体"/>
          <w:color w:val="auto"/>
          <w:sz w:val="24"/>
          <w:szCs w:val="24"/>
          <w:lang w:eastAsia="zh-CN"/>
        </w:rPr>
        <w:t>厚德（河南省）企业管理有限责任公司</w:t>
      </w:r>
    </w:p>
    <w:p w14:paraId="45F8B5BE">
      <w:pPr>
        <w:pageBreakBefore w:val="0"/>
        <w:wordWrap/>
        <w:overflowPunct/>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地    址：</w:t>
      </w:r>
      <w:bookmarkStart w:id="32" w:name="OLE_LINK81"/>
      <w:r>
        <w:rPr>
          <w:rFonts w:hint="eastAsia" w:ascii="宋体" w:hAnsi="宋体"/>
          <w:color w:val="auto"/>
          <w:sz w:val="24"/>
          <w:szCs w:val="24"/>
        </w:rPr>
        <w:t>三门峡市商务中心区召公西路市民中心2号楼708室</w:t>
      </w:r>
      <w:bookmarkEnd w:id="32"/>
    </w:p>
    <w:p w14:paraId="0AD91205">
      <w:pPr>
        <w:pageBreakBefore w:val="0"/>
        <w:wordWrap/>
        <w:overflowPunct/>
        <w:bidi w:val="0"/>
        <w:spacing w:line="360" w:lineRule="auto"/>
        <w:ind w:firstLine="480" w:firstLineChars="200"/>
        <w:outlineLvl w:val="9"/>
        <w:rPr>
          <w:rFonts w:hint="eastAsia" w:ascii="宋体" w:hAnsi="宋体" w:eastAsia="宋体"/>
          <w:color w:val="auto"/>
          <w:sz w:val="24"/>
          <w:szCs w:val="24"/>
          <w:lang w:eastAsia="zh-CN"/>
        </w:rPr>
      </w:pPr>
      <w:r>
        <w:rPr>
          <w:rFonts w:hint="eastAsia" w:ascii="宋体" w:hAnsi="宋体"/>
          <w:color w:val="auto"/>
          <w:sz w:val="24"/>
          <w:szCs w:val="24"/>
        </w:rPr>
        <w:t>联系人：</w:t>
      </w:r>
      <w:r>
        <w:rPr>
          <w:rFonts w:hint="eastAsia" w:ascii="宋体" w:hAnsi="宋体"/>
          <w:color w:val="auto"/>
          <w:sz w:val="24"/>
          <w:szCs w:val="24"/>
          <w:lang w:eastAsia="zh-CN"/>
        </w:rPr>
        <w:t>闫沛</w:t>
      </w:r>
    </w:p>
    <w:p w14:paraId="1BB503D6">
      <w:pPr>
        <w:pageBreakBefore w:val="0"/>
        <w:wordWrap/>
        <w:overflowPunct/>
        <w:bidi w:val="0"/>
        <w:spacing w:line="360" w:lineRule="auto"/>
        <w:ind w:firstLine="480" w:firstLineChars="200"/>
        <w:outlineLvl w:val="9"/>
        <w:rPr>
          <w:rFonts w:hint="eastAsia" w:ascii="宋体" w:hAnsi="宋体" w:eastAsia="宋体"/>
          <w:color w:val="auto"/>
          <w:sz w:val="24"/>
          <w:szCs w:val="24"/>
          <w:lang w:eastAsia="zh-CN"/>
        </w:rPr>
      </w:pPr>
      <w:r>
        <w:rPr>
          <w:rFonts w:hint="eastAsia" w:ascii="宋体" w:hAnsi="宋体"/>
          <w:color w:val="auto"/>
          <w:sz w:val="24"/>
          <w:szCs w:val="24"/>
        </w:rPr>
        <w:t>电  话：</w:t>
      </w:r>
      <w:r>
        <w:rPr>
          <w:rFonts w:hint="eastAsia" w:ascii="宋体" w:hAnsi="宋体"/>
          <w:color w:val="auto"/>
          <w:sz w:val="24"/>
          <w:szCs w:val="24"/>
          <w:lang w:eastAsia="zh-CN"/>
        </w:rPr>
        <w:t>0398-2888588</w:t>
      </w:r>
    </w:p>
    <w:p w14:paraId="1B6F3790">
      <w:pPr>
        <w:pageBreakBefore w:val="0"/>
        <w:wordWrap/>
        <w:overflowPunct/>
        <w:bidi w:val="0"/>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邮  箱：HD3163892@163.com</w:t>
      </w:r>
      <w:bookmarkEnd w:id="31"/>
      <w:r>
        <w:rPr>
          <w:rFonts w:hint="eastAsia" w:ascii="宋体" w:hAnsi="宋体"/>
          <w:color w:val="auto"/>
          <w:sz w:val="24"/>
          <w:szCs w:val="24"/>
        </w:rPr>
        <w:t xml:space="preserve"> </w:t>
      </w:r>
    </w:p>
    <w:p w14:paraId="14B35C91">
      <w:pPr>
        <w:pageBreakBefore w:val="0"/>
        <w:wordWrap/>
        <w:overflowPunct/>
        <w:bidi w:val="0"/>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3、项目联系方式：</w:t>
      </w:r>
    </w:p>
    <w:p w14:paraId="3FF2E491">
      <w:pPr>
        <w:pageBreakBefore w:val="0"/>
        <w:wordWrap/>
        <w:overflowPunct/>
        <w:bidi w:val="0"/>
        <w:spacing w:line="360" w:lineRule="auto"/>
        <w:ind w:firstLine="480" w:firstLineChars="200"/>
        <w:outlineLvl w:val="9"/>
        <w:rPr>
          <w:rFonts w:hint="eastAsia" w:ascii="宋体" w:hAnsi="宋体" w:eastAsia="宋体"/>
          <w:color w:val="auto"/>
          <w:sz w:val="24"/>
          <w:szCs w:val="24"/>
          <w:lang w:eastAsia="zh-CN"/>
        </w:rPr>
      </w:pPr>
      <w:r>
        <w:rPr>
          <w:rFonts w:hint="eastAsia" w:ascii="宋体" w:hAnsi="宋体"/>
          <w:color w:val="auto"/>
          <w:sz w:val="24"/>
          <w:szCs w:val="24"/>
        </w:rPr>
        <w:t>项目联系人：</w:t>
      </w:r>
      <w:r>
        <w:rPr>
          <w:rFonts w:hint="eastAsia" w:ascii="宋体" w:hAnsi="宋体"/>
          <w:color w:val="auto"/>
          <w:sz w:val="24"/>
          <w:szCs w:val="24"/>
          <w:lang w:eastAsia="zh-CN"/>
        </w:rPr>
        <w:t>闫沛</w:t>
      </w:r>
    </w:p>
    <w:p w14:paraId="643769DD">
      <w:pPr>
        <w:pageBreakBefore w:val="0"/>
        <w:wordWrap/>
        <w:overflowPunct/>
        <w:bidi w:val="0"/>
        <w:spacing w:line="360" w:lineRule="auto"/>
        <w:ind w:firstLine="480" w:firstLineChars="200"/>
        <w:outlineLvl w:val="9"/>
        <w:rPr>
          <w:rFonts w:hint="eastAsia" w:ascii="宋体" w:hAnsi="宋体" w:eastAsia="宋体"/>
          <w:color w:val="auto"/>
          <w:sz w:val="24"/>
          <w:szCs w:val="24"/>
          <w:lang w:eastAsia="zh-CN"/>
        </w:rPr>
      </w:pPr>
      <w:r>
        <w:rPr>
          <w:rFonts w:hint="eastAsia" w:ascii="宋体" w:hAnsi="宋体"/>
          <w:color w:val="auto"/>
          <w:sz w:val="24"/>
          <w:szCs w:val="24"/>
        </w:rPr>
        <w:t>联系方式：</w:t>
      </w:r>
      <w:r>
        <w:rPr>
          <w:rFonts w:hint="eastAsia" w:ascii="宋体" w:hAnsi="宋体"/>
          <w:color w:val="auto"/>
          <w:sz w:val="24"/>
          <w:szCs w:val="24"/>
          <w:lang w:eastAsia="zh-CN"/>
        </w:rPr>
        <w:t>0398-2888588</w:t>
      </w:r>
    </w:p>
    <w:p w14:paraId="3CE51F4C">
      <w:pPr>
        <w:pageBreakBefore w:val="0"/>
        <w:wordWrap/>
        <w:overflowPunct/>
        <w:bidi w:val="0"/>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4、</w:t>
      </w:r>
      <w:bookmarkStart w:id="33" w:name="OLE_LINK63"/>
      <w:r>
        <w:rPr>
          <w:rFonts w:hint="eastAsia" w:ascii="宋体" w:hAnsi="宋体"/>
          <w:color w:val="auto"/>
          <w:sz w:val="24"/>
          <w:szCs w:val="24"/>
        </w:rPr>
        <w:t>监督单位：</w:t>
      </w:r>
      <w:bookmarkStart w:id="34" w:name="OLE_LINK66"/>
      <w:r>
        <w:rPr>
          <w:rFonts w:hint="eastAsia" w:ascii="宋体" w:hAnsi="宋体"/>
          <w:color w:val="auto"/>
          <w:sz w:val="24"/>
          <w:szCs w:val="24"/>
        </w:rPr>
        <w:t>三门峡市财政局政府采购监督管理科</w:t>
      </w:r>
      <w:bookmarkEnd w:id="34"/>
    </w:p>
    <w:p w14:paraId="3CEE828C">
      <w:pPr>
        <w:pageBreakBefore w:val="0"/>
        <w:wordWrap/>
        <w:overflowPunct/>
        <w:bidi w:val="0"/>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联系方式：0398-2608915</w:t>
      </w:r>
    </w:p>
    <w:bookmarkEnd w:id="9"/>
    <w:bookmarkEnd w:id="33"/>
    <w:p w14:paraId="251309D4">
      <w:pPr>
        <w:pageBreakBefore w:val="0"/>
        <w:wordWrap/>
        <w:overflowPunct/>
        <w:bidi w:val="0"/>
        <w:spacing w:line="360" w:lineRule="auto"/>
        <w:outlineLvl w:val="9"/>
        <w:rPr>
          <w:rFonts w:ascii="宋体" w:hAnsi="宋体"/>
          <w:sz w:val="30"/>
          <w:szCs w:val="30"/>
        </w:rPr>
      </w:pPr>
      <w:r>
        <w:rPr>
          <w:rFonts w:hint="eastAsia" w:ascii="宋体" w:hAnsi="宋体"/>
          <w:sz w:val="30"/>
          <w:szCs w:val="30"/>
        </w:rPr>
        <w:br w:type="page"/>
      </w:r>
    </w:p>
    <w:p w14:paraId="0E2BA514">
      <w:pPr>
        <w:pageBreakBefore w:val="0"/>
        <w:wordWrap/>
        <w:overflowPunct/>
        <w:bidi w:val="0"/>
        <w:spacing w:line="360" w:lineRule="auto"/>
        <w:jc w:val="center"/>
        <w:outlineLvl w:val="9"/>
        <w:rPr>
          <w:rFonts w:ascii="宋体" w:hAnsi="宋体"/>
          <w:sz w:val="30"/>
          <w:szCs w:val="30"/>
        </w:rPr>
        <w:sectPr>
          <w:footerReference r:id="rId11" w:type="default"/>
          <w:endnotePr>
            <w:numFmt w:val="decimal"/>
          </w:endnotePr>
          <w:pgSz w:w="12247" w:h="15819"/>
          <w:pgMar w:top="1440" w:right="1080" w:bottom="1440" w:left="1080" w:header="719" w:footer="1133" w:gutter="0"/>
          <w:pgNumType w:fmt="decimal" w:start="1"/>
          <w:cols w:space="720" w:num="1"/>
          <w:docGrid w:type="lines" w:linePitch="312" w:charSpace="0"/>
        </w:sectPr>
      </w:pPr>
    </w:p>
    <w:p w14:paraId="7A515B85">
      <w:pPr>
        <w:pageBreakBefore w:val="0"/>
        <w:wordWrap/>
        <w:overflowPunct/>
        <w:bidi w:val="0"/>
        <w:spacing w:line="360" w:lineRule="auto"/>
        <w:jc w:val="center"/>
        <w:outlineLvl w:val="0"/>
        <w:rPr>
          <w:rFonts w:hint="eastAsia"/>
          <w:b/>
          <w:bCs/>
          <w:sz w:val="44"/>
          <w:szCs w:val="40"/>
        </w:rPr>
      </w:pPr>
      <w:bookmarkStart w:id="35" w:name="_Toc23137"/>
      <w:r>
        <w:rPr>
          <w:rFonts w:hint="eastAsia"/>
          <w:b/>
          <w:bCs/>
          <w:sz w:val="44"/>
          <w:szCs w:val="40"/>
        </w:rPr>
        <w:t>第二章  供应商须知</w:t>
      </w:r>
      <w:bookmarkEnd w:id="27"/>
      <w:bookmarkEnd w:id="28"/>
      <w:bookmarkEnd w:id="35"/>
    </w:p>
    <w:p w14:paraId="1E30FFEB">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供应商须知前附表</w:t>
      </w:r>
    </w:p>
    <w:tbl>
      <w:tblPr>
        <w:tblStyle w:val="17"/>
        <w:tblW w:w="9733"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586"/>
        <w:gridCol w:w="6"/>
        <w:gridCol w:w="7196"/>
      </w:tblGrid>
      <w:tr w14:paraId="3EDB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5" w:type="dxa"/>
            <w:vAlign w:val="center"/>
          </w:tcPr>
          <w:p w14:paraId="58D6A4EC">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条款号</w:t>
            </w:r>
          </w:p>
        </w:tc>
        <w:tc>
          <w:tcPr>
            <w:tcW w:w="1586" w:type="dxa"/>
            <w:vAlign w:val="center"/>
          </w:tcPr>
          <w:p w14:paraId="3D81E7AC">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条 款 名 称</w:t>
            </w:r>
          </w:p>
        </w:tc>
        <w:tc>
          <w:tcPr>
            <w:tcW w:w="7202" w:type="dxa"/>
            <w:gridSpan w:val="2"/>
            <w:vAlign w:val="center"/>
          </w:tcPr>
          <w:p w14:paraId="3BA18794">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编  列  内  容</w:t>
            </w:r>
          </w:p>
        </w:tc>
      </w:tr>
      <w:tr w14:paraId="0429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45" w:type="dxa"/>
            <w:vAlign w:val="center"/>
          </w:tcPr>
          <w:p w14:paraId="73B38981">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1.1.2</w:t>
            </w:r>
          </w:p>
        </w:tc>
        <w:tc>
          <w:tcPr>
            <w:tcW w:w="1586" w:type="dxa"/>
            <w:vAlign w:val="center"/>
          </w:tcPr>
          <w:p w14:paraId="49AF2215">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采购人</w:t>
            </w:r>
          </w:p>
        </w:tc>
        <w:tc>
          <w:tcPr>
            <w:tcW w:w="7202" w:type="dxa"/>
            <w:gridSpan w:val="2"/>
            <w:vAlign w:val="center"/>
          </w:tcPr>
          <w:p w14:paraId="7854E7E3">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采 购 人：</w:t>
            </w:r>
            <w:bookmarkStart w:id="36" w:name="OLE_LINK64"/>
            <w:r>
              <w:rPr>
                <w:rFonts w:hint="eastAsia" w:ascii="宋体" w:hAnsi="宋体"/>
                <w:color w:val="auto"/>
                <w:sz w:val="24"/>
                <w:szCs w:val="24"/>
              </w:rPr>
              <w:t>三门峡市城市建设发展服务中心</w:t>
            </w:r>
            <w:bookmarkEnd w:id="36"/>
          </w:p>
          <w:p w14:paraId="636DE474">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地    址： 三门峡市文明路西段</w:t>
            </w:r>
          </w:p>
          <w:p w14:paraId="6BBDB3F5">
            <w:pPr>
              <w:pageBreakBefore w:val="0"/>
              <w:wordWrap/>
              <w:overflowPunct/>
              <w:bidi w:val="0"/>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rPr>
              <w:t>联 系 人：</w:t>
            </w:r>
            <w:r>
              <w:rPr>
                <w:rFonts w:hint="eastAsia" w:ascii="宋体" w:hAnsi="宋体"/>
                <w:color w:val="auto"/>
                <w:sz w:val="24"/>
                <w:szCs w:val="24"/>
                <w:lang w:eastAsia="zh-CN"/>
              </w:rPr>
              <w:t>陈仁挥</w:t>
            </w:r>
          </w:p>
          <w:p w14:paraId="5DF83F01">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电    话：</w:t>
            </w:r>
            <w:bookmarkStart w:id="37" w:name="OLE_LINK5"/>
            <w:r>
              <w:rPr>
                <w:rFonts w:hint="eastAsia" w:ascii="宋体" w:hAnsi="宋体"/>
                <w:color w:val="auto"/>
                <w:sz w:val="24"/>
                <w:szCs w:val="24"/>
              </w:rPr>
              <w:t>0398-2820222</w:t>
            </w:r>
            <w:bookmarkEnd w:id="37"/>
          </w:p>
        </w:tc>
      </w:tr>
      <w:tr w14:paraId="7C71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945" w:type="dxa"/>
            <w:vAlign w:val="center"/>
          </w:tcPr>
          <w:p w14:paraId="3C683A3F">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1.1.3</w:t>
            </w:r>
          </w:p>
        </w:tc>
        <w:tc>
          <w:tcPr>
            <w:tcW w:w="1586" w:type="dxa"/>
            <w:vAlign w:val="center"/>
          </w:tcPr>
          <w:p w14:paraId="058F56E3">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招标代理机构</w:t>
            </w:r>
          </w:p>
        </w:tc>
        <w:tc>
          <w:tcPr>
            <w:tcW w:w="7202" w:type="dxa"/>
            <w:gridSpan w:val="2"/>
            <w:vAlign w:val="center"/>
          </w:tcPr>
          <w:p w14:paraId="3DC21670">
            <w:pPr>
              <w:pageBreakBefore w:val="0"/>
              <w:wordWrap/>
              <w:overflowPunct/>
              <w:bidi w:val="0"/>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rPr>
              <w:t>采购代理机构：</w:t>
            </w:r>
            <w:r>
              <w:rPr>
                <w:rFonts w:hint="eastAsia" w:ascii="宋体" w:hAnsi="宋体"/>
                <w:color w:val="auto"/>
                <w:sz w:val="24"/>
                <w:szCs w:val="24"/>
                <w:lang w:eastAsia="zh-CN"/>
              </w:rPr>
              <w:t>厚德（河南省）企业管理有限责任公司</w:t>
            </w:r>
          </w:p>
          <w:p w14:paraId="6F183DB7">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地    址：三门峡市商务中心区召公西路市民中心2号楼708室</w:t>
            </w:r>
          </w:p>
          <w:p w14:paraId="093A845D">
            <w:pPr>
              <w:pageBreakBefore w:val="0"/>
              <w:wordWrap/>
              <w:overflowPunct/>
              <w:bidi w:val="0"/>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rPr>
              <w:t>联系人：</w:t>
            </w:r>
            <w:r>
              <w:rPr>
                <w:rFonts w:hint="eastAsia" w:ascii="宋体" w:hAnsi="宋体"/>
                <w:color w:val="auto"/>
                <w:sz w:val="24"/>
                <w:szCs w:val="24"/>
                <w:lang w:eastAsia="zh-CN"/>
              </w:rPr>
              <w:t>闫沛</w:t>
            </w:r>
          </w:p>
          <w:p w14:paraId="0587591A">
            <w:pPr>
              <w:pageBreakBefore w:val="0"/>
              <w:wordWrap/>
              <w:overflowPunct/>
              <w:bidi w:val="0"/>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rPr>
              <w:t>电  话：</w:t>
            </w:r>
            <w:r>
              <w:rPr>
                <w:rFonts w:hint="eastAsia" w:ascii="宋体" w:hAnsi="宋体"/>
                <w:color w:val="auto"/>
                <w:sz w:val="24"/>
                <w:szCs w:val="24"/>
                <w:lang w:eastAsia="zh-CN"/>
              </w:rPr>
              <w:t>0398-2888588</w:t>
            </w:r>
          </w:p>
          <w:p w14:paraId="36B67C0C">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邮  箱：HD3163892@163.com</w:t>
            </w:r>
          </w:p>
        </w:tc>
      </w:tr>
      <w:tr w14:paraId="76F9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945" w:type="dxa"/>
            <w:vAlign w:val="center"/>
          </w:tcPr>
          <w:p w14:paraId="1679AA5D">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1.1.4</w:t>
            </w:r>
          </w:p>
        </w:tc>
        <w:tc>
          <w:tcPr>
            <w:tcW w:w="1586" w:type="dxa"/>
            <w:vAlign w:val="center"/>
          </w:tcPr>
          <w:p w14:paraId="54897EBC">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项目名称</w:t>
            </w:r>
          </w:p>
        </w:tc>
        <w:tc>
          <w:tcPr>
            <w:tcW w:w="7202" w:type="dxa"/>
            <w:gridSpan w:val="2"/>
            <w:vAlign w:val="center"/>
          </w:tcPr>
          <w:p w14:paraId="39CFE10B">
            <w:pPr>
              <w:pageBreakBefore w:val="0"/>
              <w:wordWrap/>
              <w:overflowPunct/>
              <w:bidi w:val="0"/>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lang w:eastAsia="zh-CN"/>
              </w:rPr>
              <w:t>三门峡市城市建设发展服务中心2026年度城市道路维护抢险作业沥青混凝土材料采购项目</w:t>
            </w:r>
          </w:p>
        </w:tc>
      </w:tr>
      <w:tr w14:paraId="06E2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945" w:type="dxa"/>
            <w:vAlign w:val="center"/>
          </w:tcPr>
          <w:p w14:paraId="4F8C12D9">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1.2.1</w:t>
            </w:r>
          </w:p>
        </w:tc>
        <w:tc>
          <w:tcPr>
            <w:tcW w:w="1586" w:type="dxa"/>
            <w:vAlign w:val="center"/>
          </w:tcPr>
          <w:p w14:paraId="4BBBF8DB">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资金来源</w:t>
            </w:r>
          </w:p>
        </w:tc>
        <w:tc>
          <w:tcPr>
            <w:tcW w:w="7202" w:type="dxa"/>
            <w:gridSpan w:val="2"/>
            <w:vAlign w:val="center"/>
          </w:tcPr>
          <w:p w14:paraId="0546C43A">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财政资金</w:t>
            </w:r>
          </w:p>
        </w:tc>
      </w:tr>
      <w:tr w14:paraId="0916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45" w:type="dxa"/>
            <w:vAlign w:val="center"/>
          </w:tcPr>
          <w:p w14:paraId="3CC6D2C2">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1.2.2</w:t>
            </w:r>
          </w:p>
        </w:tc>
        <w:tc>
          <w:tcPr>
            <w:tcW w:w="1586" w:type="dxa"/>
            <w:vAlign w:val="center"/>
          </w:tcPr>
          <w:p w14:paraId="32902ED3">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出资比例</w:t>
            </w:r>
          </w:p>
        </w:tc>
        <w:tc>
          <w:tcPr>
            <w:tcW w:w="7202" w:type="dxa"/>
            <w:gridSpan w:val="2"/>
            <w:vAlign w:val="center"/>
          </w:tcPr>
          <w:p w14:paraId="60612007">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100%</w:t>
            </w:r>
          </w:p>
        </w:tc>
      </w:tr>
      <w:tr w14:paraId="7804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945" w:type="dxa"/>
            <w:vAlign w:val="center"/>
          </w:tcPr>
          <w:p w14:paraId="44613EE8">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1.2.3</w:t>
            </w:r>
          </w:p>
        </w:tc>
        <w:tc>
          <w:tcPr>
            <w:tcW w:w="1586" w:type="dxa"/>
            <w:vAlign w:val="center"/>
          </w:tcPr>
          <w:p w14:paraId="61B71CED">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资金落实情况</w:t>
            </w:r>
          </w:p>
        </w:tc>
        <w:tc>
          <w:tcPr>
            <w:tcW w:w="7202" w:type="dxa"/>
            <w:gridSpan w:val="2"/>
            <w:vAlign w:val="center"/>
          </w:tcPr>
          <w:p w14:paraId="48DD9759">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已落实</w:t>
            </w:r>
          </w:p>
        </w:tc>
      </w:tr>
      <w:tr w14:paraId="5461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45" w:type="dxa"/>
            <w:vAlign w:val="center"/>
          </w:tcPr>
          <w:p w14:paraId="4FE814BD">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1.3.1</w:t>
            </w:r>
          </w:p>
        </w:tc>
        <w:tc>
          <w:tcPr>
            <w:tcW w:w="1586" w:type="dxa"/>
            <w:vAlign w:val="center"/>
          </w:tcPr>
          <w:p w14:paraId="15708196">
            <w:pPr>
              <w:pageBreakBefore w:val="0"/>
              <w:wordWrap/>
              <w:overflowPunct/>
              <w:bidi w:val="0"/>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lang w:eastAsia="zh-CN"/>
              </w:rPr>
              <w:t>采购内容</w:t>
            </w:r>
          </w:p>
        </w:tc>
        <w:tc>
          <w:tcPr>
            <w:tcW w:w="7202" w:type="dxa"/>
            <w:gridSpan w:val="2"/>
            <w:vAlign w:val="center"/>
          </w:tcPr>
          <w:p w14:paraId="26298C94">
            <w:pPr>
              <w:pageBreakBefore w:val="0"/>
              <w:wordWrap/>
              <w:overflowPunct/>
              <w:bidi w:val="0"/>
              <w:spacing w:line="360" w:lineRule="auto"/>
              <w:jc w:val="left"/>
              <w:rPr>
                <w:rFonts w:ascii="宋体" w:hAnsi="宋体" w:cs="宋体"/>
                <w:color w:val="auto"/>
                <w:sz w:val="24"/>
                <w:szCs w:val="24"/>
              </w:rPr>
            </w:pPr>
            <w:r>
              <w:rPr>
                <w:rFonts w:hint="eastAsia" w:ascii="宋体" w:hAnsi="宋体" w:cs="宋体"/>
                <w:color w:val="auto"/>
                <w:sz w:val="24"/>
                <w:szCs w:val="24"/>
              </w:rPr>
              <w:t>本项目为三门峡市市区城市道路</w:t>
            </w:r>
            <w:r>
              <w:rPr>
                <w:rFonts w:hint="eastAsia" w:ascii="宋体" w:hAnsi="宋体" w:cs="宋体"/>
                <w:color w:val="auto"/>
                <w:sz w:val="24"/>
                <w:szCs w:val="24"/>
                <w:lang w:eastAsia="zh-CN"/>
              </w:rPr>
              <w:t>2026年</w:t>
            </w:r>
            <w:r>
              <w:rPr>
                <w:rFonts w:hint="eastAsia" w:ascii="宋体" w:hAnsi="宋体" w:cs="宋体"/>
                <w:color w:val="auto"/>
                <w:sz w:val="24"/>
                <w:szCs w:val="24"/>
              </w:rPr>
              <w:t>度实施日常养护、专项维护、应急抢险等养护维修任务时采购沥青混凝土维修材料进行的公开招标，拟采用单价招标。本采购项目拟以三门峡市定额站发布的</w:t>
            </w:r>
            <w:r>
              <w:rPr>
                <w:rFonts w:hint="eastAsia" w:ascii="宋体" w:hAnsi="宋体" w:cs="宋体"/>
                <w:color w:val="auto"/>
                <w:sz w:val="24"/>
                <w:szCs w:val="24"/>
                <w:lang w:eastAsia="zh-CN"/>
              </w:rPr>
              <w:t>2026年</w:t>
            </w:r>
            <w:r>
              <w:rPr>
                <w:rFonts w:hint="eastAsia" w:ascii="宋体" w:hAnsi="宋体" w:cs="宋体"/>
                <w:color w:val="auto"/>
                <w:sz w:val="24"/>
                <w:szCs w:val="24"/>
              </w:rPr>
              <w:t>当期《三门峡工程标准造价信息》中沥青混凝土的价格为基准价，各供应商以下浮百分比</w:t>
            </w:r>
            <w:r>
              <w:rPr>
                <w:rFonts w:hint="eastAsia" w:ascii="宋体" w:hAnsi="宋体"/>
                <w:color w:val="auto"/>
                <w:sz w:val="24"/>
                <w:szCs w:val="24"/>
                <w:lang w:val="en-US" w:eastAsia="zh-CN"/>
              </w:rPr>
              <w:t>后的数值</w:t>
            </w:r>
            <w:r>
              <w:rPr>
                <w:rFonts w:hint="eastAsia" w:ascii="宋体" w:hAnsi="宋体" w:cs="宋体"/>
                <w:color w:val="auto"/>
                <w:sz w:val="24"/>
                <w:szCs w:val="24"/>
              </w:rPr>
              <w:t>进行报价。采购完成后，结算时按照供料时间当期信息价，下浮百分比</w:t>
            </w:r>
            <w:r>
              <w:rPr>
                <w:rFonts w:hint="eastAsia" w:ascii="宋体" w:hAnsi="宋体"/>
                <w:color w:val="auto"/>
                <w:sz w:val="24"/>
                <w:szCs w:val="24"/>
                <w:lang w:val="en-US" w:eastAsia="zh-CN"/>
              </w:rPr>
              <w:t>后的数值</w:t>
            </w:r>
            <w:r>
              <w:rPr>
                <w:rFonts w:hint="eastAsia" w:ascii="宋体" w:hAnsi="宋体" w:cs="宋体"/>
                <w:color w:val="auto"/>
                <w:sz w:val="24"/>
                <w:szCs w:val="24"/>
              </w:rPr>
              <w:t>进行结算。</w:t>
            </w:r>
          </w:p>
        </w:tc>
      </w:tr>
      <w:tr w14:paraId="3031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45" w:type="dxa"/>
            <w:vAlign w:val="center"/>
          </w:tcPr>
          <w:p w14:paraId="42BADC55">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1.3.2</w:t>
            </w:r>
          </w:p>
        </w:tc>
        <w:tc>
          <w:tcPr>
            <w:tcW w:w="1586" w:type="dxa"/>
            <w:vAlign w:val="center"/>
          </w:tcPr>
          <w:p w14:paraId="15A37755">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供货期</w:t>
            </w:r>
          </w:p>
        </w:tc>
        <w:tc>
          <w:tcPr>
            <w:tcW w:w="7202" w:type="dxa"/>
            <w:gridSpan w:val="2"/>
            <w:vAlign w:val="center"/>
          </w:tcPr>
          <w:p w14:paraId="3B25B22C">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合同签订起一年内</w:t>
            </w:r>
            <w:r>
              <w:rPr>
                <w:rFonts w:hint="eastAsia" w:ascii="宋体" w:hAnsi="宋体"/>
                <w:color w:val="auto"/>
                <w:sz w:val="24"/>
                <w:szCs w:val="24"/>
                <w:lang w:eastAsia="zh-CN"/>
              </w:rPr>
              <w:t>（</w:t>
            </w:r>
            <w:r>
              <w:rPr>
                <w:rFonts w:hint="eastAsia" w:ascii="宋体" w:hAnsi="宋体"/>
                <w:color w:val="auto"/>
                <w:sz w:val="24"/>
                <w:szCs w:val="24"/>
                <w:lang w:val="en-US" w:eastAsia="zh-CN"/>
              </w:rPr>
              <w:t>2026年5月-2027年4月</w:t>
            </w:r>
            <w:r>
              <w:rPr>
                <w:rFonts w:hint="eastAsia" w:ascii="宋体" w:hAnsi="宋体"/>
                <w:color w:val="auto"/>
                <w:sz w:val="24"/>
                <w:szCs w:val="24"/>
                <w:lang w:eastAsia="zh-CN"/>
              </w:rPr>
              <w:t>）</w:t>
            </w:r>
          </w:p>
        </w:tc>
      </w:tr>
      <w:tr w14:paraId="508B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45" w:type="dxa"/>
            <w:shd w:val="clear" w:color="auto" w:fill="auto"/>
            <w:vAlign w:val="center"/>
          </w:tcPr>
          <w:p w14:paraId="58620230">
            <w:pPr>
              <w:pageBreakBefore w:val="0"/>
              <w:wordWrap/>
              <w:overflowPunct/>
              <w:bidi w:val="0"/>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rPr>
              <w:t>1.3.</w:t>
            </w:r>
            <w:r>
              <w:rPr>
                <w:rFonts w:hint="eastAsia" w:ascii="宋体" w:hAnsi="宋体"/>
                <w:color w:val="auto"/>
                <w:sz w:val="24"/>
                <w:szCs w:val="24"/>
                <w:lang w:val="en-US" w:eastAsia="zh-CN"/>
              </w:rPr>
              <w:t>3</w:t>
            </w:r>
          </w:p>
        </w:tc>
        <w:tc>
          <w:tcPr>
            <w:tcW w:w="1586" w:type="dxa"/>
            <w:shd w:val="clear" w:color="auto" w:fill="auto"/>
            <w:vAlign w:val="center"/>
          </w:tcPr>
          <w:p w14:paraId="42FAC8E0">
            <w:pPr>
              <w:pageBreakBefore w:val="0"/>
              <w:wordWrap/>
              <w:overflowPunct/>
              <w:bidi w:val="0"/>
              <w:spacing w:line="360" w:lineRule="auto"/>
              <w:ind w:firstLine="240" w:firstLineChars="100"/>
              <w:jc w:val="center"/>
              <w:rPr>
                <w:rFonts w:ascii="宋体" w:hAnsi="宋体"/>
                <w:color w:val="auto"/>
                <w:sz w:val="24"/>
                <w:szCs w:val="24"/>
              </w:rPr>
            </w:pPr>
            <w:r>
              <w:rPr>
                <w:rFonts w:hint="eastAsia" w:ascii="宋体" w:hAnsi="宋体"/>
                <w:color w:val="auto"/>
                <w:sz w:val="24"/>
                <w:szCs w:val="24"/>
              </w:rPr>
              <w:t>质量要求</w:t>
            </w:r>
          </w:p>
        </w:tc>
        <w:tc>
          <w:tcPr>
            <w:tcW w:w="7202" w:type="dxa"/>
            <w:gridSpan w:val="2"/>
            <w:shd w:val="clear" w:color="auto" w:fill="auto"/>
            <w:vAlign w:val="center"/>
          </w:tcPr>
          <w:p w14:paraId="29F90042">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符合国家相关质量标准规定，满足使用要求。</w:t>
            </w:r>
          </w:p>
        </w:tc>
      </w:tr>
      <w:tr w14:paraId="7CF2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Align w:val="center"/>
          </w:tcPr>
          <w:p w14:paraId="1B0697B9">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1.4.1</w:t>
            </w:r>
          </w:p>
        </w:tc>
        <w:tc>
          <w:tcPr>
            <w:tcW w:w="1586" w:type="dxa"/>
            <w:vAlign w:val="center"/>
          </w:tcPr>
          <w:p w14:paraId="66F7505F">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供应商资格条件</w:t>
            </w:r>
          </w:p>
        </w:tc>
        <w:tc>
          <w:tcPr>
            <w:tcW w:w="7202" w:type="dxa"/>
            <w:gridSpan w:val="2"/>
            <w:vAlign w:val="center"/>
          </w:tcPr>
          <w:p w14:paraId="14EDC891">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供应商参加本次采购活动必须符合《中华人民共和国政府采购法》第二十二条的规定，并符合以下资格条件：</w:t>
            </w:r>
          </w:p>
          <w:p w14:paraId="3B376867">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供应商须具有独立承担民事责任的能力（提供有效的法人或者其他组织的营业执照等证明文件或自然人的身份证明）</w:t>
            </w:r>
            <w:r>
              <w:rPr>
                <w:rFonts w:hint="eastAsia" w:ascii="宋体" w:hAnsi="宋体"/>
                <w:color w:val="auto"/>
                <w:sz w:val="24"/>
                <w:szCs w:val="24"/>
              </w:rPr>
              <w:t>；</w:t>
            </w:r>
          </w:p>
          <w:p w14:paraId="51C2DDD5">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2、供应商须提供本企业无商业贿赂和不正当竞争行为承诺书；</w:t>
            </w:r>
          </w:p>
          <w:p w14:paraId="461582BE">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3、根据《关于在政府采购活动中查询及使用信用记录有关问题的通知》(财库[2016]125号)和豫财购【2016】15号的规定，对列入失信被执行人、重大税收违法失信主体、政府采购严重违法失信行为记录名单的供应商，拒绝其参与本招标项目；（（①通过“信用中国”网站（http://www.creditchina.gov.cn/）“信用公示”-“失信被执行人”会跳转至“中国执行信息公开网”网站（http://zxgk.court.gov.cn/shixin/）查询企业（省份默认全部）②通过“信用中国”网站（http://www.creditchina.gov.cn/）“信用公示”-“重大税收违法失信主体”查询企业③通过“中国政府采购”网（www.ccgp.gov.cn）-“政府采购严重违法失信行为记录名单”查询企业），提供网站的查询结果截图；</w:t>
            </w:r>
          </w:p>
          <w:p w14:paraId="46AC6E1C">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4、本项目不接受联合体投标；</w:t>
            </w:r>
          </w:p>
          <w:p w14:paraId="4E81721C">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5、本次采购实行资格后审，资格审查的具体要求见招标文件；</w:t>
            </w:r>
          </w:p>
        </w:tc>
      </w:tr>
      <w:tr w14:paraId="5B6C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45" w:type="dxa"/>
            <w:vAlign w:val="center"/>
          </w:tcPr>
          <w:p w14:paraId="7AF9A207">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1.4.2</w:t>
            </w:r>
          </w:p>
        </w:tc>
        <w:tc>
          <w:tcPr>
            <w:tcW w:w="1586" w:type="dxa"/>
            <w:vAlign w:val="center"/>
          </w:tcPr>
          <w:p w14:paraId="55C9E459">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是否接受联合体投标</w:t>
            </w:r>
          </w:p>
        </w:tc>
        <w:tc>
          <w:tcPr>
            <w:tcW w:w="7202" w:type="dxa"/>
            <w:gridSpan w:val="2"/>
            <w:vAlign w:val="center"/>
          </w:tcPr>
          <w:p w14:paraId="3D4A0346">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■不接受</w:t>
            </w:r>
          </w:p>
        </w:tc>
      </w:tr>
      <w:tr w14:paraId="130E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5" w:type="dxa"/>
            <w:vAlign w:val="center"/>
          </w:tcPr>
          <w:p w14:paraId="678D58BB">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1.9.1</w:t>
            </w:r>
          </w:p>
        </w:tc>
        <w:tc>
          <w:tcPr>
            <w:tcW w:w="1586" w:type="dxa"/>
            <w:vAlign w:val="center"/>
          </w:tcPr>
          <w:p w14:paraId="3491EE07">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踏勘现场</w:t>
            </w:r>
          </w:p>
        </w:tc>
        <w:tc>
          <w:tcPr>
            <w:tcW w:w="7202" w:type="dxa"/>
            <w:gridSpan w:val="2"/>
            <w:vAlign w:val="center"/>
          </w:tcPr>
          <w:p w14:paraId="5D655231">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■不组织</w:t>
            </w:r>
          </w:p>
        </w:tc>
      </w:tr>
      <w:tr w14:paraId="7A52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45" w:type="dxa"/>
            <w:vAlign w:val="center"/>
          </w:tcPr>
          <w:p w14:paraId="41542EB0">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1.10.1</w:t>
            </w:r>
          </w:p>
        </w:tc>
        <w:tc>
          <w:tcPr>
            <w:tcW w:w="1586" w:type="dxa"/>
            <w:vAlign w:val="center"/>
          </w:tcPr>
          <w:p w14:paraId="558FFDF0">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投标预备会</w:t>
            </w:r>
          </w:p>
        </w:tc>
        <w:tc>
          <w:tcPr>
            <w:tcW w:w="7202" w:type="dxa"/>
            <w:gridSpan w:val="2"/>
            <w:vAlign w:val="center"/>
          </w:tcPr>
          <w:p w14:paraId="100DBE87">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■不召开</w:t>
            </w:r>
          </w:p>
        </w:tc>
      </w:tr>
      <w:tr w14:paraId="6CAE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45" w:type="dxa"/>
            <w:vAlign w:val="center"/>
          </w:tcPr>
          <w:p w14:paraId="59AC98CF">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1.11</w:t>
            </w:r>
          </w:p>
        </w:tc>
        <w:tc>
          <w:tcPr>
            <w:tcW w:w="1586" w:type="dxa"/>
            <w:vAlign w:val="center"/>
          </w:tcPr>
          <w:p w14:paraId="4D6F21FA">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分  包</w:t>
            </w:r>
          </w:p>
        </w:tc>
        <w:tc>
          <w:tcPr>
            <w:tcW w:w="7202" w:type="dxa"/>
            <w:gridSpan w:val="2"/>
            <w:vAlign w:val="center"/>
          </w:tcPr>
          <w:p w14:paraId="3B77596C">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■不允许</w:t>
            </w:r>
          </w:p>
        </w:tc>
      </w:tr>
      <w:tr w14:paraId="7CFB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45" w:type="dxa"/>
            <w:vAlign w:val="center"/>
          </w:tcPr>
          <w:p w14:paraId="7A1C3C65">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1.12</w:t>
            </w:r>
          </w:p>
        </w:tc>
        <w:tc>
          <w:tcPr>
            <w:tcW w:w="1586" w:type="dxa"/>
            <w:vAlign w:val="center"/>
          </w:tcPr>
          <w:p w14:paraId="2845F7E3">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偏  离</w:t>
            </w:r>
          </w:p>
        </w:tc>
        <w:tc>
          <w:tcPr>
            <w:tcW w:w="7202" w:type="dxa"/>
            <w:gridSpan w:val="2"/>
            <w:vAlign w:val="center"/>
          </w:tcPr>
          <w:p w14:paraId="1F43896C">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■允许</w:t>
            </w:r>
          </w:p>
        </w:tc>
      </w:tr>
      <w:tr w14:paraId="6E21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45" w:type="dxa"/>
            <w:vAlign w:val="center"/>
          </w:tcPr>
          <w:p w14:paraId="5EF8D04B">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2.1</w:t>
            </w:r>
          </w:p>
        </w:tc>
        <w:tc>
          <w:tcPr>
            <w:tcW w:w="1586" w:type="dxa"/>
            <w:vAlign w:val="center"/>
          </w:tcPr>
          <w:p w14:paraId="0A5BBF37">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构成招标文件的其他材料</w:t>
            </w:r>
          </w:p>
        </w:tc>
        <w:tc>
          <w:tcPr>
            <w:tcW w:w="7202" w:type="dxa"/>
            <w:gridSpan w:val="2"/>
            <w:vAlign w:val="center"/>
          </w:tcPr>
          <w:p w14:paraId="7CC35F05">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对招标文件所作的澄清（含答疑）、修改，补充构成招标文件的组成部分。</w:t>
            </w:r>
          </w:p>
        </w:tc>
      </w:tr>
      <w:tr w14:paraId="3EA2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45" w:type="dxa"/>
            <w:vAlign w:val="center"/>
          </w:tcPr>
          <w:p w14:paraId="099F9066">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2.2.1</w:t>
            </w:r>
          </w:p>
        </w:tc>
        <w:tc>
          <w:tcPr>
            <w:tcW w:w="1586" w:type="dxa"/>
            <w:vAlign w:val="center"/>
          </w:tcPr>
          <w:p w14:paraId="4973566C">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供应商要求澄清招标文件的截止时间</w:t>
            </w:r>
          </w:p>
        </w:tc>
        <w:tc>
          <w:tcPr>
            <w:tcW w:w="7202" w:type="dxa"/>
            <w:gridSpan w:val="2"/>
            <w:vAlign w:val="center"/>
          </w:tcPr>
          <w:p w14:paraId="68C73E01">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投标截止时间15日前</w:t>
            </w:r>
          </w:p>
        </w:tc>
      </w:tr>
      <w:tr w14:paraId="1F9F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45" w:type="dxa"/>
            <w:vAlign w:val="center"/>
          </w:tcPr>
          <w:p w14:paraId="00A95507">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2.2.2</w:t>
            </w:r>
          </w:p>
        </w:tc>
        <w:tc>
          <w:tcPr>
            <w:tcW w:w="1586" w:type="dxa"/>
            <w:vAlign w:val="center"/>
          </w:tcPr>
          <w:p w14:paraId="7B2F8E6F">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投标截止时间</w:t>
            </w:r>
          </w:p>
        </w:tc>
        <w:tc>
          <w:tcPr>
            <w:tcW w:w="7202" w:type="dxa"/>
            <w:gridSpan w:val="2"/>
            <w:vAlign w:val="center"/>
          </w:tcPr>
          <w:p w14:paraId="6A782E8F">
            <w:pPr>
              <w:pageBreakBefore w:val="0"/>
              <w:wordWrap/>
              <w:overflowPunct/>
              <w:bidi w:val="0"/>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highlight w:val="none"/>
                <w:lang w:eastAsia="zh-CN"/>
              </w:rPr>
              <w:t>2026年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日08时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0分</w:t>
            </w:r>
          </w:p>
        </w:tc>
      </w:tr>
      <w:tr w14:paraId="4A8E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36D3427F">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2.2.3</w:t>
            </w:r>
          </w:p>
        </w:tc>
        <w:tc>
          <w:tcPr>
            <w:tcW w:w="1586" w:type="dxa"/>
            <w:vAlign w:val="center"/>
          </w:tcPr>
          <w:p w14:paraId="61AAD66E">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供应商确认收到招标文件澄清的时间</w:t>
            </w:r>
          </w:p>
        </w:tc>
        <w:tc>
          <w:tcPr>
            <w:tcW w:w="7202" w:type="dxa"/>
            <w:gridSpan w:val="2"/>
            <w:vAlign w:val="center"/>
          </w:tcPr>
          <w:p w14:paraId="71F1210F">
            <w:pPr>
              <w:pageBreakBefore w:val="0"/>
              <w:wordWrap/>
              <w:overflowPunct/>
              <w:bidi w:val="0"/>
              <w:spacing w:line="360" w:lineRule="auto"/>
              <w:jc w:val="left"/>
              <w:rPr>
                <w:rFonts w:ascii="宋体" w:hAnsi="宋体"/>
                <w:color w:val="auto"/>
                <w:sz w:val="24"/>
                <w:szCs w:val="24"/>
                <w:u w:val="single"/>
              </w:rPr>
            </w:pPr>
            <w:r>
              <w:rPr>
                <w:rFonts w:hint="eastAsia" w:ascii="宋体" w:hAnsi="宋体"/>
                <w:color w:val="auto"/>
                <w:sz w:val="24"/>
                <w:szCs w:val="24"/>
              </w:rPr>
              <w:t>在收到相应澄清文件后</w:t>
            </w:r>
            <w:r>
              <w:rPr>
                <w:rFonts w:hint="eastAsia" w:ascii="宋体" w:hAnsi="宋体"/>
                <w:color w:val="auto"/>
                <w:sz w:val="24"/>
                <w:szCs w:val="24"/>
                <w:u w:val="single"/>
              </w:rPr>
              <w:t xml:space="preserve"> 24 </w:t>
            </w:r>
            <w:r>
              <w:rPr>
                <w:rFonts w:hint="eastAsia" w:ascii="宋体" w:hAnsi="宋体"/>
                <w:color w:val="auto"/>
                <w:sz w:val="24"/>
                <w:szCs w:val="24"/>
              </w:rPr>
              <w:t>小时内</w:t>
            </w:r>
          </w:p>
        </w:tc>
      </w:tr>
      <w:tr w14:paraId="786C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45" w:type="dxa"/>
            <w:vAlign w:val="center"/>
          </w:tcPr>
          <w:p w14:paraId="4D5DA88D">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2.3.2</w:t>
            </w:r>
          </w:p>
        </w:tc>
        <w:tc>
          <w:tcPr>
            <w:tcW w:w="1586" w:type="dxa"/>
            <w:vAlign w:val="center"/>
          </w:tcPr>
          <w:p w14:paraId="1D181A5E">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供应商确认收到招标文件修改的时间</w:t>
            </w:r>
          </w:p>
        </w:tc>
        <w:tc>
          <w:tcPr>
            <w:tcW w:w="7202" w:type="dxa"/>
            <w:gridSpan w:val="2"/>
            <w:vAlign w:val="center"/>
          </w:tcPr>
          <w:p w14:paraId="40B84644">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在收到相应修改文件后</w:t>
            </w:r>
            <w:r>
              <w:rPr>
                <w:rFonts w:hint="eastAsia" w:ascii="宋体" w:hAnsi="宋体"/>
                <w:color w:val="auto"/>
                <w:sz w:val="24"/>
                <w:szCs w:val="24"/>
                <w:u w:val="single"/>
              </w:rPr>
              <w:t xml:space="preserve"> 24</w:t>
            </w:r>
            <w:r>
              <w:rPr>
                <w:rFonts w:hint="eastAsia" w:ascii="宋体" w:hAnsi="宋体"/>
                <w:color w:val="auto"/>
                <w:sz w:val="24"/>
                <w:szCs w:val="24"/>
              </w:rPr>
              <w:t>小时内</w:t>
            </w:r>
          </w:p>
        </w:tc>
      </w:tr>
      <w:tr w14:paraId="5177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Align w:val="center"/>
          </w:tcPr>
          <w:p w14:paraId="71EF39F8">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3.1.1</w:t>
            </w:r>
          </w:p>
        </w:tc>
        <w:tc>
          <w:tcPr>
            <w:tcW w:w="1586" w:type="dxa"/>
            <w:vAlign w:val="center"/>
          </w:tcPr>
          <w:p w14:paraId="018FE299">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构成投标文件的其他材料</w:t>
            </w:r>
          </w:p>
        </w:tc>
        <w:tc>
          <w:tcPr>
            <w:tcW w:w="7202" w:type="dxa"/>
            <w:gridSpan w:val="2"/>
            <w:vAlign w:val="center"/>
          </w:tcPr>
          <w:p w14:paraId="07F4B2AB">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w:t>
            </w:r>
          </w:p>
        </w:tc>
      </w:tr>
      <w:tr w14:paraId="2C2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5F783666">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3.3.1</w:t>
            </w:r>
          </w:p>
        </w:tc>
        <w:tc>
          <w:tcPr>
            <w:tcW w:w="1586" w:type="dxa"/>
            <w:vAlign w:val="center"/>
          </w:tcPr>
          <w:p w14:paraId="21CBC05F">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投标有效期</w:t>
            </w:r>
          </w:p>
        </w:tc>
        <w:tc>
          <w:tcPr>
            <w:tcW w:w="7202" w:type="dxa"/>
            <w:gridSpan w:val="2"/>
            <w:vAlign w:val="center"/>
          </w:tcPr>
          <w:p w14:paraId="209FC3C5">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投标截止之日起90日历天</w:t>
            </w:r>
          </w:p>
        </w:tc>
      </w:tr>
      <w:tr w14:paraId="5ADA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45" w:type="dxa"/>
            <w:vAlign w:val="center"/>
          </w:tcPr>
          <w:p w14:paraId="4F83B6A7">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3.4.1</w:t>
            </w:r>
          </w:p>
        </w:tc>
        <w:tc>
          <w:tcPr>
            <w:tcW w:w="1586" w:type="dxa"/>
            <w:vAlign w:val="center"/>
          </w:tcPr>
          <w:p w14:paraId="0B030913">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投标保证金</w:t>
            </w:r>
          </w:p>
        </w:tc>
        <w:tc>
          <w:tcPr>
            <w:tcW w:w="7202" w:type="dxa"/>
            <w:gridSpan w:val="2"/>
            <w:vAlign w:val="center"/>
          </w:tcPr>
          <w:p w14:paraId="0E7FE0AB">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按照《河南省财政厅关于优化政府采购营商环境有关问题的通知》（豫财购[2019]4号文）的要求本项目不再收取投标保证金。</w:t>
            </w:r>
          </w:p>
        </w:tc>
      </w:tr>
      <w:tr w14:paraId="49DF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45" w:type="dxa"/>
            <w:vAlign w:val="center"/>
          </w:tcPr>
          <w:p w14:paraId="123FF0BB">
            <w:pPr>
              <w:pageBreakBefore w:val="0"/>
              <w:wordWrap/>
              <w:overflowPunct/>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3.5.3</w:t>
            </w:r>
          </w:p>
        </w:tc>
        <w:tc>
          <w:tcPr>
            <w:tcW w:w="1586" w:type="dxa"/>
            <w:vAlign w:val="center"/>
          </w:tcPr>
          <w:p w14:paraId="3A0303DC">
            <w:pPr>
              <w:pageBreakBefore w:val="0"/>
              <w:wordWrap/>
              <w:overflowPunct/>
              <w:bidi w:val="0"/>
              <w:spacing w:line="360" w:lineRule="auto"/>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类似项目业绩</w:t>
            </w:r>
          </w:p>
        </w:tc>
        <w:tc>
          <w:tcPr>
            <w:tcW w:w="7202" w:type="dxa"/>
            <w:gridSpan w:val="2"/>
            <w:vAlign w:val="center"/>
          </w:tcPr>
          <w:p w14:paraId="20B7E52B">
            <w:pPr>
              <w:pageBreakBefore w:val="0"/>
              <w:wordWrap/>
              <w:overflowPunct/>
              <w:bidi w:val="0"/>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指</w:t>
            </w:r>
            <w:r>
              <w:rPr>
                <w:rFonts w:hint="eastAsia"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日以来</w:t>
            </w:r>
          </w:p>
        </w:tc>
      </w:tr>
      <w:tr w14:paraId="1E89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45" w:type="dxa"/>
            <w:vAlign w:val="center"/>
          </w:tcPr>
          <w:p w14:paraId="08522BE1">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3.6</w:t>
            </w:r>
          </w:p>
        </w:tc>
        <w:tc>
          <w:tcPr>
            <w:tcW w:w="1586" w:type="dxa"/>
            <w:vAlign w:val="center"/>
          </w:tcPr>
          <w:p w14:paraId="536A0618">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是否允许递交备选投标方案</w:t>
            </w:r>
          </w:p>
        </w:tc>
        <w:tc>
          <w:tcPr>
            <w:tcW w:w="7202" w:type="dxa"/>
            <w:gridSpan w:val="2"/>
            <w:vAlign w:val="center"/>
          </w:tcPr>
          <w:p w14:paraId="257898C4">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■不允许</w:t>
            </w:r>
          </w:p>
        </w:tc>
      </w:tr>
      <w:tr w14:paraId="24F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192A2B86">
            <w:pPr>
              <w:pageBreakBefore w:val="0"/>
              <w:wordWrap/>
              <w:overflowPunct/>
              <w:bidi w:val="0"/>
              <w:spacing w:line="360" w:lineRule="auto"/>
              <w:jc w:val="center"/>
              <w:rPr>
                <w:rFonts w:ascii="宋体" w:hAnsi="宋体" w:cs="宋体"/>
                <w:color w:val="auto"/>
                <w:sz w:val="24"/>
                <w:szCs w:val="24"/>
              </w:rPr>
            </w:pPr>
            <w:r>
              <w:rPr>
                <w:rFonts w:hint="eastAsia" w:ascii="宋体" w:hAnsi="宋体" w:cs="宋体"/>
                <w:color w:val="auto"/>
                <w:sz w:val="24"/>
                <w:szCs w:val="24"/>
              </w:rPr>
              <w:t>3.7.3</w:t>
            </w:r>
          </w:p>
        </w:tc>
        <w:tc>
          <w:tcPr>
            <w:tcW w:w="1586" w:type="dxa"/>
            <w:vAlign w:val="center"/>
          </w:tcPr>
          <w:p w14:paraId="01D4814F">
            <w:pPr>
              <w:pageBreakBefore w:val="0"/>
              <w:wordWrap/>
              <w:overflowPunct/>
              <w:bidi w:val="0"/>
              <w:spacing w:line="360" w:lineRule="auto"/>
              <w:jc w:val="center"/>
              <w:rPr>
                <w:rFonts w:ascii="宋体" w:hAnsi="宋体" w:cs="宋体"/>
                <w:color w:val="auto"/>
                <w:sz w:val="24"/>
                <w:szCs w:val="24"/>
              </w:rPr>
            </w:pPr>
            <w:r>
              <w:rPr>
                <w:rFonts w:hint="eastAsia" w:ascii="宋体" w:hAnsi="宋体" w:cs="宋体"/>
                <w:color w:val="auto"/>
                <w:sz w:val="24"/>
                <w:szCs w:val="24"/>
              </w:rPr>
              <w:t>投标文件签章</w:t>
            </w:r>
          </w:p>
        </w:tc>
        <w:tc>
          <w:tcPr>
            <w:tcW w:w="7202" w:type="dxa"/>
            <w:gridSpan w:val="2"/>
            <w:vAlign w:val="center"/>
          </w:tcPr>
          <w:p w14:paraId="50716E11">
            <w:pPr>
              <w:pStyle w:val="22"/>
              <w:pageBreakBefore w:val="0"/>
              <w:widowControl/>
              <w:wordWrap/>
              <w:overflowPunct/>
              <w:bidi w:val="0"/>
              <w:spacing w:line="360" w:lineRule="auto"/>
              <w:jc w:val="left"/>
              <w:rPr>
                <w:rFonts w:hAnsi="宋体" w:cs="宋体"/>
                <w:color w:val="auto"/>
                <w:kern w:val="2"/>
                <w:sz w:val="24"/>
                <w:szCs w:val="24"/>
              </w:rPr>
            </w:pPr>
            <w:r>
              <w:rPr>
                <w:rFonts w:hAnsi="宋体" w:cs="宋体"/>
                <w:color w:val="auto"/>
                <w:kern w:val="2"/>
                <w:sz w:val="24"/>
                <w:szCs w:val="24"/>
              </w:rPr>
              <w:t>电子化投标文件的签章：</w:t>
            </w:r>
          </w:p>
          <w:p w14:paraId="2A986F20">
            <w:pPr>
              <w:pStyle w:val="22"/>
              <w:pageBreakBefore w:val="0"/>
              <w:widowControl/>
              <w:wordWrap/>
              <w:overflowPunct/>
              <w:bidi w:val="0"/>
              <w:spacing w:line="360" w:lineRule="auto"/>
              <w:jc w:val="left"/>
              <w:rPr>
                <w:rFonts w:hAnsi="宋体" w:cs="宋体"/>
                <w:color w:val="auto"/>
                <w:kern w:val="2"/>
                <w:sz w:val="24"/>
                <w:szCs w:val="24"/>
              </w:rPr>
            </w:pPr>
            <w:r>
              <w:rPr>
                <w:rFonts w:hAnsi="宋体" w:cs="宋体"/>
                <w:color w:val="auto"/>
                <w:kern w:val="2"/>
                <w:sz w:val="24"/>
                <w:szCs w:val="24"/>
              </w:rPr>
              <w:t>1、供应商在生成电子化投标文件后，应对电子化投标文件进行签章，未进行签章的视为无效投标。</w:t>
            </w:r>
          </w:p>
          <w:p w14:paraId="34EBED27">
            <w:pPr>
              <w:pStyle w:val="22"/>
              <w:pageBreakBefore w:val="0"/>
              <w:widowControl/>
              <w:wordWrap/>
              <w:overflowPunct/>
              <w:bidi w:val="0"/>
              <w:spacing w:line="360" w:lineRule="auto"/>
              <w:jc w:val="left"/>
              <w:rPr>
                <w:rFonts w:hAnsi="宋体" w:cs="宋体"/>
                <w:color w:val="auto"/>
                <w:kern w:val="2"/>
                <w:sz w:val="24"/>
                <w:szCs w:val="24"/>
              </w:rPr>
            </w:pPr>
            <w:r>
              <w:rPr>
                <w:rFonts w:hAnsi="宋体" w:cs="宋体"/>
                <w:color w:val="auto"/>
                <w:kern w:val="2"/>
                <w:sz w:val="24"/>
                <w:szCs w:val="24"/>
              </w:rPr>
              <w:t>2、招标文件中要求法定代表人或授权委托人签字或盖章的，供应商在进行电子化投标文件签章时，以签盖法定代表人签章为准。</w:t>
            </w:r>
          </w:p>
          <w:p w14:paraId="59F5B26E">
            <w:pPr>
              <w:pStyle w:val="22"/>
              <w:pageBreakBefore w:val="0"/>
              <w:widowControl/>
              <w:wordWrap/>
              <w:overflowPunct/>
              <w:bidi w:val="0"/>
              <w:spacing w:line="360" w:lineRule="auto"/>
              <w:jc w:val="left"/>
              <w:rPr>
                <w:rFonts w:hAnsi="宋体" w:cs="宋体"/>
                <w:color w:val="auto"/>
                <w:kern w:val="2"/>
                <w:sz w:val="24"/>
                <w:szCs w:val="24"/>
              </w:rPr>
            </w:pPr>
            <w:r>
              <w:rPr>
                <w:rFonts w:hAnsi="宋体" w:cs="宋体"/>
                <w:color w:val="auto"/>
                <w:kern w:val="2"/>
                <w:sz w:val="24"/>
                <w:szCs w:val="24"/>
              </w:rPr>
              <w:t>3、电子化投标文件工具请点击</w:t>
            </w:r>
            <w:r>
              <w:rPr>
                <w:rFonts w:hint="eastAsia" w:hAnsi="宋体" w:cs="宋体"/>
                <w:color w:val="auto"/>
                <w:kern w:val="2"/>
                <w:sz w:val="24"/>
                <w:szCs w:val="24"/>
              </w:rPr>
              <w:t>：</w:t>
            </w:r>
          </w:p>
          <w:p w14:paraId="41CB07D1">
            <w:pPr>
              <w:pStyle w:val="22"/>
              <w:pageBreakBefore w:val="0"/>
              <w:widowControl/>
              <w:wordWrap/>
              <w:overflowPunct/>
              <w:bidi w:val="0"/>
              <w:spacing w:line="360" w:lineRule="auto"/>
              <w:jc w:val="left"/>
              <w:rPr>
                <w:rFonts w:hAnsi="宋体" w:cs="宋体"/>
                <w:color w:val="auto"/>
                <w:kern w:val="2"/>
                <w:sz w:val="24"/>
                <w:szCs w:val="24"/>
              </w:rPr>
            </w:pPr>
            <w:r>
              <w:rPr>
                <w:rFonts w:hint="eastAsia" w:hAnsi="宋体" w:cs="宋体"/>
                <w:color w:val="auto"/>
                <w:kern w:val="2"/>
                <w:sz w:val="24"/>
                <w:szCs w:val="24"/>
              </w:rPr>
              <w:t>https://download.bqpoint.com/download/downloaddetail.html?SourceFrom=Ztb&amp;ZtbSoftXiaQuCode=1506&amp;ZtbSoftType=tballinclusive</w:t>
            </w:r>
            <w:r>
              <w:rPr>
                <w:rFonts w:hAnsi="宋体" w:cs="宋体"/>
                <w:color w:val="auto"/>
                <w:kern w:val="2"/>
                <w:sz w:val="24"/>
                <w:szCs w:val="24"/>
              </w:rPr>
              <w:t>进行下载。</w:t>
            </w:r>
          </w:p>
        </w:tc>
      </w:tr>
      <w:tr w14:paraId="0739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4F730022">
            <w:pPr>
              <w:pageBreakBefore w:val="0"/>
              <w:wordWrap/>
              <w:overflowPunct/>
              <w:bidi w:val="0"/>
              <w:spacing w:line="360" w:lineRule="auto"/>
              <w:jc w:val="center"/>
              <w:rPr>
                <w:rFonts w:ascii="宋体" w:hAnsi="宋体" w:cs="宋体"/>
                <w:color w:val="auto"/>
                <w:sz w:val="24"/>
                <w:szCs w:val="24"/>
              </w:rPr>
            </w:pPr>
            <w:r>
              <w:rPr>
                <w:rFonts w:hint="eastAsia" w:ascii="宋体" w:hAnsi="宋体" w:cs="宋体"/>
                <w:color w:val="auto"/>
                <w:sz w:val="24"/>
                <w:szCs w:val="24"/>
              </w:rPr>
              <w:t>3.7.4</w:t>
            </w:r>
          </w:p>
        </w:tc>
        <w:tc>
          <w:tcPr>
            <w:tcW w:w="1586" w:type="dxa"/>
            <w:vAlign w:val="center"/>
          </w:tcPr>
          <w:p w14:paraId="09D8E84E">
            <w:pPr>
              <w:pageBreakBefore w:val="0"/>
              <w:wordWrap/>
              <w:overflowPunct/>
              <w:bidi w:val="0"/>
              <w:spacing w:line="360" w:lineRule="auto"/>
              <w:jc w:val="center"/>
              <w:rPr>
                <w:rFonts w:ascii="宋体" w:hAnsi="宋体" w:cs="宋体"/>
                <w:color w:val="auto"/>
                <w:sz w:val="24"/>
                <w:szCs w:val="24"/>
              </w:rPr>
            </w:pPr>
            <w:r>
              <w:rPr>
                <w:rFonts w:hint="eastAsia" w:ascii="宋体" w:hAnsi="宋体" w:cs="宋体"/>
                <w:color w:val="auto"/>
                <w:sz w:val="24"/>
                <w:szCs w:val="24"/>
              </w:rPr>
              <w:t>投标文件</w:t>
            </w:r>
          </w:p>
        </w:tc>
        <w:tc>
          <w:tcPr>
            <w:tcW w:w="7202" w:type="dxa"/>
            <w:gridSpan w:val="2"/>
            <w:vAlign w:val="center"/>
          </w:tcPr>
          <w:p w14:paraId="6154A48B">
            <w:pPr>
              <w:pageBreakBefore w:val="0"/>
              <w:wordWrap/>
              <w:overflowPunct/>
              <w:bidi w:val="0"/>
              <w:spacing w:line="360" w:lineRule="auto"/>
              <w:jc w:val="left"/>
              <w:rPr>
                <w:rFonts w:ascii="宋体" w:hAnsi="宋体" w:cs="宋体"/>
                <w:color w:val="auto"/>
                <w:sz w:val="24"/>
                <w:szCs w:val="24"/>
              </w:rPr>
            </w:pPr>
            <w:r>
              <w:rPr>
                <w:rFonts w:hint="eastAsia" w:ascii="宋体" w:hAnsi="宋体"/>
                <w:color w:val="auto"/>
                <w:sz w:val="24"/>
                <w:szCs w:val="24"/>
              </w:rPr>
              <w:t>用CA在电子平台上传电子投标文件；</w:t>
            </w:r>
          </w:p>
        </w:tc>
      </w:tr>
      <w:tr w14:paraId="4F8C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45" w:type="dxa"/>
            <w:vAlign w:val="center"/>
          </w:tcPr>
          <w:p w14:paraId="3BA9E3CB">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4.2.2</w:t>
            </w:r>
          </w:p>
        </w:tc>
        <w:tc>
          <w:tcPr>
            <w:tcW w:w="1586" w:type="dxa"/>
            <w:vAlign w:val="center"/>
          </w:tcPr>
          <w:p w14:paraId="7F94B2FE">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递交投标文件地点</w:t>
            </w:r>
          </w:p>
        </w:tc>
        <w:tc>
          <w:tcPr>
            <w:tcW w:w="7202" w:type="dxa"/>
            <w:gridSpan w:val="2"/>
            <w:vAlign w:val="center"/>
          </w:tcPr>
          <w:p w14:paraId="06A3A8B9">
            <w:pPr>
              <w:pageBreakBefore w:val="0"/>
              <w:wordWrap/>
              <w:overflowPunct/>
              <w:bidi w:val="0"/>
              <w:spacing w:before="120" w:beforeLines="50" w:line="360" w:lineRule="auto"/>
              <w:jc w:val="left"/>
              <w:rPr>
                <w:rFonts w:ascii="宋体" w:hAnsi="宋体"/>
                <w:color w:val="auto"/>
                <w:sz w:val="24"/>
                <w:szCs w:val="24"/>
              </w:rPr>
            </w:pPr>
            <w:r>
              <w:rPr>
                <w:rFonts w:hint="eastAsia" w:ascii="宋体" w:hAnsi="宋体"/>
                <w:color w:val="auto"/>
                <w:sz w:val="24"/>
                <w:szCs w:val="24"/>
              </w:rPr>
              <w:t>于三门峡市公共资源交易平台网上上传递交、并由供应商在规定时间远程解密。</w:t>
            </w:r>
          </w:p>
        </w:tc>
      </w:tr>
      <w:tr w14:paraId="7F62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5" w:type="dxa"/>
            <w:vAlign w:val="center"/>
          </w:tcPr>
          <w:p w14:paraId="58E9C051">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4.2.3</w:t>
            </w:r>
          </w:p>
        </w:tc>
        <w:tc>
          <w:tcPr>
            <w:tcW w:w="1586" w:type="dxa"/>
            <w:vAlign w:val="center"/>
          </w:tcPr>
          <w:p w14:paraId="1A83C3B6">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是否退还投标文件</w:t>
            </w:r>
          </w:p>
        </w:tc>
        <w:tc>
          <w:tcPr>
            <w:tcW w:w="7202" w:type="dxa"/>
            <w:gridSpan w:val="2"/>
            <w:vAlign w:val="center"/>
          </w:tcPr>
          <w:p w14:paraId="4BF7E041">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否</w:t>
            </w:r>
          </w:p>
        </w:tc>
      </w:tr>
      <w:tr w14:paraId="07B1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45" w:type="dxa"/>
            <w:vAlign w:val="center"/>
          </w:tcPr>
          <w:p w14:paraId="114BFF5F">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5.1</w:t>
            </w:r>
          </w:p>
        </w:tc>
        <w:tc>
          <w:tcPr>
            <w:tcW w:w="1586" w:type="dxa"/>
            <w:vAlign w:val="center"/>
          </w:tcPr>
          <w:p w14:paraId="2B908919">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开标时间和</w:t>
            </w:r>
          </w:p>
          <w:p w14:paraId="62E856A7">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地点</w:t>
            </w:r>
          </w:p>
        </w:tc>
        <w:tc>
          <w:tcPr>
            <w:tcW w:w="7202" w:type="dxa"/>
            <w:gridSpan w:val="2"/>
            <w:vAlign w:val="center"/>
          </w:tcPr>
          <w:p w14:paraId="065124F4">
            <w:pPr>
              <w:pageBreakBefore w:val="0"/>
              <w:wordWrap/>
              <w:overflowPunct/>
              <w:bidi w:val="0"/>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rPr>
              <w:t>开标时间：</w:t>
            </w:r>
            <w:r>
              <w:rPr>
                <w:rFonts w:hint="eastAsia" w:ascii="宋体" w:hAnsi="宋体"/>
                <w:color w:val="auto"/>
                <w:sz w:val="24"/>
                <w:szCs w:val="24"/>
                <w:highlight w:val="none"/>
                <w:lang w:eastAsia="zh-CN"/>
              </w:rPr>
              <w:t>2026年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日08时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0分</w:t>
            </w:r>
          </w:p>
          <w:p w14:paraId="720367C6">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开标地点：三门峡市公共资源交易中心五楼开标区</w:t>
            </w:r>
          </w:p>
        </w:tc>
      </w:tr>
      <w:tr w14:paraId="37E6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945" w:type="dxa"/>
            <w:vAlign w:val="center"/>
          </w:tcPr>
          <w:p w14:paraId="2E6155A7">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6.1.1</w:t>
            </w:r>
          </w:p>
        </w:tc>
        <w:tc>
          <w:tcPr>
            <w:tcW w:w="1586" w:type="dxa"/>
            <w:vAlign w:val="center"/>
          </w:tcPr>
          <w:p w14:paraId="671FBE6F">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评标委员会的组建</w:t>
            </w:r>
          </w:p>
        </w:tc>
        <w:tc>
          <w:tcPr>
            <w:tcW w:w="7202" w:type="dxa"/>
            <w:gridSpan w:val="2"/>
            <w:vAlign w:val="center"/>
          </w:tcPr>
          <w:p w14:paraId="65E0AE36">
            <w:pPr>
              <w:pageBreakBefore w:val="0"/>
              <w:wordWrap/>
              <w:overflowPunct/>
              <w:bidi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评标委员会成员为5人，其中采购人代表1人，其余技术、经济等方面的专家4人从河南省电子化政府采购系统评标专家库中随机抽取。</w:t>
            </w:r>
          </w:p>
          <w:p w14:paraId="41DE4068">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highlight w:val="none"/>
              </w:rPr>
              <w:t>根据省政府关于评标专家的有关管理规定，业主评委不能获取评标劳务费。</w:t>
            </w:r>
          </w:p>
        </w:tc>
      </w:tr>
      <w:tr w14:paraId="5E8E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45" w:type="dxa"/>
            <w:vAlign w:val="center"/>
          </w:tcPr>
          <w:p w14:paraId="299A19B4">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7.1</w:t>
            </w:r>
          </w:p>
        </w:tc>
        <w:tc>
          <w:tcPr>
            <w:tcW w:w="1586" w:type="dxa"/>
            <w:vAlign w:val="center"/>
          </w:tcPr>
          <w:p w14:paraId="17D8E995">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是否授权评标委员会确定中标人</w:t>
            </w:r>
          </w:p>
        </w:tc>
        <w:tc>
          <w:tcPr>
            <w:tcW w:w="7202" w:type="dxa"/>
            <w:gridSpan w:val="2"/>
            <w:vAlign w:val="center"/>
          </w:tcPr>
          <w:p w14:paraId="7785AEC6">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否，按顺序推荐的中标候选人数：3名</w:t>
            </w:r>
          </w:p>
        </w:tc>
      </w:tr>
      <w:tr w14:paraId="66A4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Align w:val="center"/>
          </w:tcPr>
          <w:p w14:paraId="2AD6807B">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10</w:t>
            </w:r>
          </w:p>
        </w:tc>
        <w:tc>
          <w:tcPr>
            <w:tcW w:w="8788" w:type="dxa"/>
            <w:gridSpan w:val="3"/>
            <w:vAlign w:val="center"/>
          </w:tcPr>
          <w:p w14:paraId="0349ED63">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需要补充的其他内容</w:t>
            </w:r>
          </w:p>
        </w:tc>
      </w:tr>
      <w:tr w14:paraId="6868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45" w:type="dxa"/>
            <w:vAlign w:val="center"/>
          </w:tcPr>
          <w:p w14:paraId="144765D6">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10.1</w:t>
            </w:r>
          </w:p>
        </w:tc>
        <w:tc>
          <w:tcPr>
            <w:tcW w:w="8788" w:type="dxa"/>
            <w:gridSpan w:val="3"/>
            <w:vAlign w:val="center"/>
          </w:tcPr>
          <w:p w14:paraId="6022E27E">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词语定义</w:t>
            </w:r>
          </w:p>
        </w:tc>
      </w:tr>
      <w:tr w14:paraId="1A42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45" w:type="dxa"/>
            <w:vAlign w:val="center"/>
          </w:tcPr>
          <w:p w14:paraId="1CA0863C">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10.2</w:t>
            </w:r>
          </w:p>
        </w:tc>
        <w:tc>
          <w:tcPr>
            <w:tcW w:w="1592" w:type="dxa"/>
            <w:gridSpan w:val="2"/>
            <w:vAlign w:val="center"/>
          </w:tcPr>
          <w:p w14:paraId="554A7D18">
            <w:pPr>
              <w:pageBreakBefore w:val="0"/>
              <w:wordWrap/>
              <w:overflowPunct/>
              <w:bidi w:val="0"/>
              <w:spacing w:line="360" w:lineRule="auto"/>
              <w:jc w:val="center"/>
              <w:rPr>
                <w:rFonts w:ascii="宋体" w:hAnsi="宋体"/>
                <w:b/>
                <w:bCs/>
                <w:color w:val="auto"/>
                <w:sz w:val="24"/>
                <w:szCs w:val="24"/>
              </w:rPr>
            </w:pPr>
            <w:r>
              <w:rPr>
                <w:rFonts w:hint="eastAsia" w:ascii="宋体" w:hAnsi="宋体"/>
                <w:b/>
                <w:bCs/>
                <w:color w:val="auto"/>
                <w:sz w:val="24"/>
                <w:szCs w:val="24"/>
              </w:rPr>
              <w:t>投标报价</w:t>
            </w:r>
          </w:p>
        </w:tc>
        <w:tc>
          <w:tcPr>
            <w:tcW w:w="7196" w:type="dxa"/>
            <w:vAlign w:val="center"/>
          </w:tcPr>
          <w:p w14:paraId="25ADDEA2">
            <w:pPr>
              <w:pageBreakBefore w:val="0"/>
              <w:wordWrap/>
              <w:overflowPunct/>
              <w:bidi w:val="0"/>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本采购项目拟以三门峡市定额站发布的</w:t>
            </w:r>
            <w:r>
              <w:rPr>
                <w:rFonts w:hint="eastAsia" w:ascii="宋体" w:hAnsi="宋体" w:cs="宋体"/>
                <w:b w:val="0"/>
                <w:bCs w:val="0"/>
                <w:sz w:val="24"/>
                <w:szCs w:val="24"/>
                <w:highlight w:val="none"/>
                <w:lang w:val="en-US" w:eastAsia="zh-CN"/>
              </w:rPr>
              <w:t>2026年</w:t>
            </w:r>
            <w:r>
              <w:rPr>
                <w:rFonts w:hint="eastAsia" w:ascii="宋体" w:hAnsi="宋体" w:eastAsia="宋体" w:cs="宋体"/>
                <w:b w:val="0"/>
                <w:bCs w:val="0"/>
                <w:sz w:val="24"/>
                <w:szCs w:val="24"/>
                <w:highlight w:val="none"/>
                <w:lang w:val="en-US" w:eastAsia="zh-CN"/>
              </w:rPr>
              <w:t>当期《三门峡工程标准造价信息》中沥青混凝土的价格为基准价，各供应商以下浮百分比后的数值进行报价。采购完成后，结算时按照供料时间当期信息价，下浮百分比后的数值进行结算。</w:t>
            </w:r>
          </w:p>
          <w:p w14:paraId="7A753DCB">
            <w:pPr>
              <w:pageBreakBefore w:val="0"/>
              <w:wordWrap/>
              <w:overflowPunct/>
              <w:bidi w:val="0"/>
              <w:spacing w:line="360" w:lineRule="auto"/>
              <w:jc w:val="left"/>
              <w:rPr>
                <w:rFonts w:hint="eastAsia" w:eastAsiaTheme="majorEastAsia"/>
                <w:lang w:eastAsia="zh-CN"/>
              </w:rPr>
            </w:pPr>
            <w:r>
              <w:rPr>
                <w:rFonts w:hint="eastAsia" w:ascii="宋体" w:hAnsi="宋体" w:eastAsia="宋体" w:cs="宋体"/>
                <w:b/>
                <w:bCs/>
                <w:sz w:val="24"/>
                <w:szCs w:val="24"/>
                <w:highlight w:val="none"/>
                <w:lang w:val="en-US" w:eastAsia="zh-CN"/>
              </w:rPr>
              <w:t>本项目采用费率报价方式。</w:t>
            </w:r>
          </w:p>
        </w:tc>
      </w:tr>
      <w:tr w14:paraId="4BF7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45" w:type="dxa"/>
            <w:vAlign w:val="center"/>
          </w:tcPr>
          <w:p w14:paraId="0A6678AC">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10.3</w:t>
            </w:r>
          </w:p>
        </w:tc>
        <w:tc>
          <w:tcPr>
            <w:tcW w:w="1592" w:type="dxa"/>
            <w:gridSpan w:val="2"/>
            <w:vAlign w:val="center"/>
          </w:tcPr>
          <w:p w14:paraId="183015B6">
            <w:pPr>
              <w:pageBreakBefore w:val="0"/>
              <w:wordWrap/>
              <w:overflowPunct/>
              <w:bidi w:val="0"/>
              <w:spacing w:line="360" w:lineRule="auto"/>
              <w:jc w:val="center"/>
              <w:rPr>
                <w:rFonts w:ascii="宋体" w:hAnsi="宋体" w:cs="宋体"/>
                <w:color w:val="auto"/>
                <w:sz w:val="24"/>
                <w:szCs w:val="24"/>
              </w:rPr>
            </w:pPr>
            <w:r>
              <w:rPr>
                <w:rFonts w:hint="eastAsia" w:ascii="宋体" w:hAnsi="宋体" w:cs="宋体"/>
                <w:color w:val="auto"/>
                <w:sz w:val="24"/>
                <w:szCs w:val="24"/>
              </w:rPr>
              <w:t>招标文件的解释</w:t>
            </w:r>
          </w:p>
        </w:tc>
        <w:tc>
          <w:tcPr>
            <w:tcW w:w="7196" w:type="dxa"/>
            <w:vAlign w:val="center"/>
          </w:tcPr>
          <w:p w14:paraId="57CF6F8B">
            <w:pPr>
              <w:pageBreakBefore w:val="0"/>
              <w:wordWrap/>
              <w:overflowPunct/>
              <w:bidi w:val="0"/>
              <w:spacing w:line="360" w:lineRule="auto"/>
              <w:ind w:right="-153" w:rightChars="-73"/>
              <w:jc w:val="left"/>
              <w:rPr>
                <w:rFonts w:ascii="宋体" w:hAnsi="宋体" w:cs="宋体"/>
                <w:color w:val="auto"/>
                <w:sz w:val="24"/>
                <w:szCs w:val="24"/>
              </w:rPr>
            </w:pPr>
            <w:r>
              <w:rPr>
                <w:rFonts w:hint="eastAsia" w:ascii="宋体" w:hAnsi="宋体" w:cs="宋体"/>
                <w:color w:val="auto"/>
                <w:sz w:val="24"/>
                <w:szCs w:val="24"/>
              </w:rPr>
              <w:t>在符合相关法律法规的前题下，招标文件的解释权归采购人所有。</w:t>
            </w:r>
            <w:r>
              <w:rPr>
                <w:rFonts w:hint="eastAsia" w:ascii="宋体" w:hAnsi="宋体"/>
                <w:color w:val="auto"/>
                <w:sz w:val="24"/>
                <w:szCs w:val="24"/>
              </w:rPr>
              <w:t>本招标文件中其他部分内容与供应商须知前附表不一致的，以供应商须知前附表为准。</w:t>
            </w:r>
          </w:p>
        </w:tc>
      </w:tr>
      <w:tr w14:paraId="0D46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45" w:type="dxa"/>
            <w:vAlign w:val="center"/>
          </w:tcPr>
          <w:p w14:paraId="5E3A4F11">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10.4</w:t>
            </w:r>
          </w:p>
        </w:tc>
        <w:tc>
          <w:tcPr>
            <w:tcW w:w="1592" w:type="dxa"/>
            <w:gridSpan w:val="2"/>
            <w:vAlign w:val="center"/>
          </w:tcPr>
          <w:p w14:paraId="357C56BE">
            <w:pPr>
              <w:pageBreakBefore w:val="0"/>
              <w:wordWrap/>
              <w:overflowPunct/>
              <w:bidi w:val="0"/>
              <w:spacing w:line="360" w:lineRule="auto"/>
              <w:jc w:val="center"/>
              <w:rPr>
                <w:rFonts w:ascii="宋体" w:hAnsi="宋体"/>
                <w:sz w:val="24"/>
                <w:szCs w:val="24"/>
              </w:rPr>
            </w:pPr>
            <w:r>
              <w:rPr>
                <w:rFonts w:hint="eastAsia" w:ascii="宋体" w:hAnsi="宋体" w:cs="宋体"/>
                <w:color w:val="auto"/>
                <w:sz w:val="24"/>
                <w:szCs w:val="24"/>
              </w:rPr>
              <w:t>合同签订特别说明</w:t>
            </w:r>
          </w:p>
        </w:tc>
        <w:tc>
          <w:tcPr>
            <w:tcW w:w="7196" w:type="dxa"/>
            <w:vAlign w:val="center"/>
          </w:tcPr>
          <w:p w14:paraId="7E18822C">
            <w:pPr>
              <w:pageBreakBefore w:val="0"/>
              <w:wordWrap/>
              <w:overflowPunct/>
              <w:bidi w:val="0"/>
              <w:spacing w:line="360" w:lineRule="auto"/>
              <w:jc w:val="left"/>
              <w:rPr>
                <w:rFonts w:ascii="宋体" w:hAnsi="宋体"/>
                <w:sz w:val="24"/>
                <w:szCs w:val="24"/>
              </w:rPr>
            </w:pPr>
            <w:bookmarkStart w:id="38" w:name="OLE_LINK8"/>
            <w:r>
              <w:rPr>
                <w:rFonts w:hint="eastAsia" w:ascii="宋体" w:hAnsi="宋体"/>
                <w:color w:val="auto"/>
                <w:sz w:val="24"/>
                <w:szCs w:val="24"/>
              </w:rPr>
              <w:t>按《三门峡市财政局关于市本级政府采购合同备案管理工作的通知》（三财购[2021]9号）文要求，集中采购目录以外政府采购项目，原则上自成交通知书发出之日起2个工作日内与中标（成交）供应商按照采购文件确定的事项与供应商签订政府采购合同。</w:t>
            </w:r>
            <w:bookmarkEnd w:id="38"/>
          </w:p>
        </w:tc>
      </w:tr>
      <w:tr w14:paraId="7EA9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45" w:type="dxa"/>
            <w:vAlign w:val="center"/>
          </w:tcPr>
          <w:p w14:paraId="720B60F8">
            <w:pPr>
              <w:pageBreakBefore w:val="0"/>
              <w:wordWrap/>
              <w:overflowPunct/>
              <w:bidi w:val="0"/>
              <w:spacing w:line="360" w:lineRule="auto"/>
              <w:jc w:val="center"/>
              <w:rPr>
                <w:rFonts w:ascii="宋体" w:hAnsi="宋体" w:cs="宋体"/>
                <w:b/>
                <w:color w:val="auto"/>
                <w:sz w:val="24"/>
                <w:szCs w:val="24"/>
              </w:rPr>
            </w:pPr>
            <w:r>
              <w:rPr>
                <w:rFonts w:hint="eastAsia" w:ascii="宋体" w:hAnsi="宋体" w:cs="宋体"/>
                <w:bCs/>
                <w:color w:val="auto"/>
                <w:sz w:val="24"/>
                <w:szCs w:val="24"/>
              </w:rPr>
              <w:t>10.5</w:t>
            </w:r>
          </w:p>
        </w:tc>
        <w:tc>
          <w:tcPr>
            <w:tcW w:w="1592" w:type="dxa"/>
            <w:gridSpan w:val="2"/>
            <w:vAlign w:val="center"/>
          </w:tcPr>
          <w:p w14:paraId="39940FEB">
            <w:pPr>
              <w:pageBreakBefore w:val="0"/>
              <w:wordWrap/>
              <w:overflowPunct/>
              <w:bidi w:val="0"/>
              <w:spacing w:line="360" w:lineRule="auto"/>
              <w:jc w:val="center"/>
              <w:rPr>
                <w:rFonts w:ascii="宋体" w:hAnsi="宋体" w:cs="宋体"/>
                <w:color w:val="auto"/>
                <w:sz w:val="24"/>
                <w:szCs w:val="24"/>
              </w:rPr>
            </w:pPr>
            <w:r>
              <w:rPr>
                <w:rFonts w:hint="eastAsia" w:ascii="宋体" w:hAnsi="宋体" w:cs="宋体"/>
                <w:color w:val="auto"/>
                <w:sz w:val="24"/>
                <w:szCs w:val="24"/>
              </w:rPr>
              <w:t>答疑</w:t>
            </w:r>
          </w:p>
        </w:tc>
        <w:tc>
          <w:tcPr>
            <w:tcW w:w="7196" w:type="dxa"/>
            <w:vAlign w:val="center"/>
          </w:tcPr>
          <w:p w14:paraId="50058416">
            <w:pPr>
              <w:pageBreakBefore w:val="0"/>
              <w:wordWrap/>
              <w:overflowPunct/>
              <w:bidi w:val="0"/>
              <w:spacing w:line="360" w:lineRule="auto"/>
              <w:ind w:right="-153" w:rightChars="-73"/>
              <w:jc w:val="left"/>
              <w:rPr>
                <w:rFonts w:ascii="宋体" w:hAnsi="宋体" w:cs="仿宋_GB2312"/>
                <w:b/>
                <w:color w:val="auto"/>
                <w:sz w:val="24"/>
                <w:szCs w:val="24"/>
              </w:rPr>
            </w:pPr>
            <w:r>
              <w:rPr>
                <w:rFonts w:hint="eastAsia" w:ascii="宋体" w:hAnsi="宋体"/>
                <w:color w:val="auto"/>
                <w:sz w:val="24"/>
                <w:szCs w:val="24"/>
              </w:rPr>
              <w:t>需要解答的疑问以书面形式加盖单位公章递交至采购人或代理机构，逾期提交的问题概不做回复。采购人将需要解答的内容以公告形式发至所有潜在供应商。</w:t>
            </w:r>
          </w:p>
        </w:tc>
      </w:tr>
      <w:tr w14:paraId="073F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45" w:type="dxa"/>
            <w:vAlign w:val="center"/>
          </w:tcPr>
          <w:p w14:paraId="51D20612">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10.6</w:t>
            </w:r>
          </w:p>
        </w:tc>
        <w:tc>
          <w:tcPr>
            <w:tcW w:w="1592" w:type="dxa"/>
            <w:gridSpan w:val="2"/>
            <w:vAlign w:val="center"/>
          </w:tcPr>
          <w:p w14:paraId="36D10414">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中标公告媒介及期限</w:t>
            </w:r>
          </w:p>
        </w:tc>
        <w:tc>
          <w:tcPr>
            <w:tcW w:w="7196" w:type="dxa"/>
            <w:vAlign w:val="center"/>
          </w:tcPr>
          <w:p w14:paraId="1111E8D6">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公告媒介：</w:t>
            </w:r>
            <w:r>
              <w:rPr>
                <w:rFonts w:hint="eastAsia" w:hAnsi="宋体" w:eastAsia="宋体"/>
                <w:color w:val="auto"/>
                <w:sz w:val="24"/>
                <w:szCs w:val="24"/>
              </w:rPr>
              <w:t>《中国采购与招标网》、《中国招标投标公共服务平台》、《河南省政府采购网》和《三门峡市公共资源交易中心网》</w:t>
            </w:r>
          </w:p>
          <w:p w14:paraId="024616E5">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公告期限：1个工作日</w:t>
            </w:r>
          </w:p>
        </w:tc>
      </w:tr>
      <w:tr w14:paraId="5A51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945" w:type="dxa"/>
            <w:vAlign w:val="center"/>
          </w:tcPr>
          <w:p w14:paraId="5CE41543">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10.7</w:t>
            </w:r>
          </w:p>
        </w:tc>
        <w:tc>
          <w:tcPr>
            <w:tcW w:w="1592" w:type="dxa"/>
            <w:gridSpan w:val="2"/>
            <w:vAlign w:val="center"/>
          </w:tcPr>
          <w:p w14:paraId="0817349C">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知识产权</w:t>
            </w:r>
          </w:p>
        </w:tc>
        <w:tc>
          <w:tcPr>
            <w:tcW w:w="7196" w:type="dxa"/>
            <w:vAlign w:val="center"/>
          </w:tcPr>
          <w:p w14:paraId="3510A330">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构成本招标文件各个组成部分的文件，未经采购人书面同意，供应商不得擅自复印和用于非本招标项目所需的其他目的。</w:t>
            </w:r>
          </w:p>
        </w:tc>
      </w:tr>
      <w:tr w14:paraId="5377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45" w:type="dxa"/>
            <w:vAlign w:val="center"/>
          </w:tcPr>
          <w:p w14:paraId="1DB82374">
            <w:pPr>
              <w:pageBreakBefore w:val="0"/>
              <w:wordWrap/>
              <w:overflowPunct/>
              <w:bidi w:val="0"/>
              <w:snapToGrid w:val="0"/>
              <w:spacing w:line="360" w:lineRule="auto"/>
              <w:ind w:left="630" w:hanging="630"/>
              <w:jc w:val="center"/>
              <w:rPr>
                <w:rFonts w:hint="eastAsia" w:ascii="宋体" w:hAnsi="宋体" w:eastAsia="宋体"/>
                <w:color w:val="auto"/>
                <w:sz w:val="24"/>
                <w:szCs w:val="24"/>
                <w:lang w:val="en-US" w:eastAsia="zh-CN"/>
              </w:rPr>
            </w:pPr>
            <w:r>
              <w:rPr>
                <w:rFonts w:hint="eastAsia" w:ascii="宋体" w:hAnsi="宋体"/>
                <w:color w:val="auto"/>
                <w:sz w:val="24"/>
                <w:szCs w:val="24"/>
              </w:rPr>
              <w:t>10.</w:t>
            </w:r>
            <w:r>
              <w:rPr>
                <w:rFonts w:hint="eastAsia" w:ascii="宋体" w:hAnsi="宋体"/>
                <w:color w:val="auto"/>
                <w:sz w:val="24"/>
                <w:szCs w:val="24"/>
                <w:lang w:val="en-US" w:eastAsia="zh-CN"/>
              </w:rPr>
              <w:t>8</w:t>
            </w:r>
          </w:p>
        </w:tc>
        <w:tc>
          <w:tcPr>
            <w:tcW w:w="1592" w:type="dxa"/>
            <w:gridSpan w:val="2"/>
            <w:vAlign w:val="center"/>
          </w:tcPr>
          <w:p w14:paraId="24307CAB">
            <w:pPr>
              <w:pageBreakBefore w:val="0"/>
              <w:wordWrap/>
              <w:overflowPunct/>
              <w:bidi w:val="0"/>
              <w:snapToGrid w:val="0"/>
              <w:spacing w:line="360" w:lineRule="auto"/>
              <w:ind w:left="630" w:hanging="630"/>
              <w:jc w:val="center"/>
              <w:rPr>
                <w:rFonts w:hint="eastAsia" w:ascii="宋体" w:hAnsi="宋体" w:cs="宋体"/>
                <w:color w:val="auto"/>
                <w:kern w:val="2"/>
                <w:sz w:val="24"/>
                <w:szCs w:val="24"/>
              </w:rPr>
            </w:pPr>
            <w:r>
              <w:rPr>
                <w:rFonts w:hint="eastAsia" w:ascii="宋体" w:hAnsi="宋体"/>
                <w:color w:val="auto"/>
                <w:sz w:val="24"/>
                <w:szCs w:val="24"/>
              </w:rPr>
              <w:t>付款</w:t>
            </w:r>
          </w:p>
        </w:tc>
        <w:tc>
          <w:tcPr>
            <w:tcW w:w="7196" w:type="dxa"/>
            <w:vAlign w:val="center"/>
          </w:tcPr>
          <w:p w14:paraId="6A37479F">
            <w:pPr>
              <w:pageBreakBefore w:val="0"/>
              <w:widowControl w:val="0"/>
              <w:wordWrap/>
              <w:overflowPunct/>
              <w:bidi w:val="0"/>
              <w:spacing w:line="360" w:lineRule="auto"/>
              <w:jc w:val="left"/>
              <w:textAlignment w:val="auto"/>
              <w:rPr>
                <w:rFonts w:ascii="宋体" w:hAnsi="宋体"/>
                <w:color w:val="auto"/>
                <w:sz w:val="24"/>
                <w:szCs w:val="24"/>
              </w:rPr>
            </w:pPr>
            <w:r>
              <w:rPr>
                <w:rFonts w:hint="eastAsia" w:ascii="宋体" w:hAnsi="宋体"/>
                <w:color w:val="auto"/>
                <w:sz w:val="24"/>
                <w:szCs w:val="24"/>
              </w:rPr>
              <w:t>供货期：合同签订起一年内</w:t>
            </w:r>
            <w:r>
              <w:rPr>
                <w:rFonts w:hint="eastAsia" w:ascii="宋体" w:hAnsi="宋体"/>
                <w:color w:val="auto"/>
                <w:sz w:val="24"/>
                <w:szCs w:val="24"/>
                <w:lang w:eastAsia="zh-CN"/>
              </w:rPr>
              <w:t>（</w:t>
            </w:r>
            <w:r>
              <w:rPr>
                <w:rFonts w:hint="eastAsia" w:ascii="宋体" w:hAnsi="宋体"/>
                <w:color w:val="auto"/>
                <w:sz w:val="24"/>
                <w:szCs w:val="24"/>
                <w:lang w:val="en-US" w:eastAsia="zh-CN"/>
              </w:rPr>
              <w:t>2026年5月-2027年4月</w:t>
            </w:r>
            <w:r>
              <w:rPr>
                <w:rFonts w:hint="eastAsia" w:ascii="宋体" w:hAnsi="宋体"/>
                <w:color w:val="auto"/>
                <w:sz w:val="24"/>
                <w:szCs w:val="24"/>
                <w:lang w:eastAsia="zh-CN"/>
              </w:rPr>
              <w:t>）</w:t>
            </w:r>
            <w:r>
              <w:rPr>
                <w:rFonts w:hint="eastAsia" w:ascii="宋体" w:hAnsi="宋体"/>
                <w:color w:val="000000" w:themeColor="text1"/>
                <w:sz w:val="24"/>
                <w:szCs w:val="24"/>
                <w14:textFill>
                  <w14:solidFill>
                    <w14:schemeClr w14:val="tx1"/>
                  </w14:solidFill>
                </w14:textFill>
              </w:rPr>
              <w:t>；</w:t>
            </w:r>
          </w:p>
          <w:p w14:paraId="422B2C1F">
            <w:pPr>
              <w:pageBreakBefore w:val="0"/>
              <w:widowControl w:val="0"/>
              <w:wordWrap/>
              <w:overflowPunct/>
              <w:bidi w:val="0"/>
              <w:spacing w:line="360" w:lineRule="auto"/>
              <w:jc w:val="left"/>
              <w:textAlignment w:val="auto"/>
              <w:rPr>
                <w:rFonts w:ascii="宋体" w:hAnsi="宋体"/>
                <w:color w:val="auto"/>
                <w:sz w:val="24"/>
                <w:szCs w:val="24"/>
              </w:rPr>
            </w:pPr>
            <w:r>
              <w:rPr>
                <w:rFonts w:hint="eastAsia" w:ascii="宋体" w:hAnsi="宋体"/>
                <w:color w:val="auto"/>
                <w:sz w:val="24"/>
                <w:szCs w:val="24"/>
              </w:rPr>
              <w:t>验收方式：最终用户按国家验收规范及合同、本招标文件的规定验收；</w:t>
            </w:r>
          </w:p>
          <w:p w14:paraId="5A54B34A">
            <w:pPr>
              <w:pageBreakBefore w:val="0"/>
              <w:wordWrap/>
              <w:overflowPunct/>
              <w:bidi w:val="0"/>
              <w:spacing w:line="360" w:lineRule="auto"/>
              <w:jc w:val="left"/>
              <w:rPr>
                <w:rFonts w:hint="eastAsia" w:ascii="宋体" w:hAnsi="宋体"/>
                <w:b w:val="0"/>
                <w:bCs w:val="0"/>
                <w:color w:val="auto"/>
                <w:sz w:val="24"/>
                <w:szCs w:val="24"/>
              </w:rPr>
            </w:pPr>
            <w:r>
              <w:rPr>
                <w:rFonts w:hint="eastAsia" w:ascii="宋体" w:hAnsi="宋体" w:cs="仿宋"/>
                <w:b w:val="0"/>
                <w:bCs w:val="0"/>
                <w:color w:val="auto"/>
                <w:kern w:val="2"/>
                <w:sz w:val="24"/>
                <w:szCs w:val="24"/>
              </w:rPr>
              <w:t>付款方式：</w:t>
            </w:r>
            <w:r>
              <w:rPr>
                <w:rFonts w:hint="eastAsia" w:ascii="宋体" w:hAnsi="宋体"/>
                <w:b w:val="0"/>
                <w:bCs w:val="0"/>
                <w:color w:val="auto"/>
                <w:sz w:val="24"/>
                <w:szCs w:val="24"/>
              </w:rPr>
              <w:t>待财政拨付资金后，根据资金情况，按比例拨付。</w:t>
            </w:r>
          </w:p>
          <w:p w14:paraId="39760AD9">
            <w:pPr>
              <w:pageBreakBefore w:val="0"/>
              <w:wordWrap/>
              <w:overflowPunct/>
              <w:bidi w:val="0"/>
              <w:spacing w:line="360" w:lineRule="auto"/>
              <w:jc w:val="left"/>
              <w:rPr>
                <w:rFonts w:hint="eastAsia" w:ascii="宋体" w:hAnsi="宋体" w:cs="宋体"/>
                <w:color w:val="auto"/>
                <w:kern w:val="2"/>
                <w:sz w:val="24"/>
                <w:szCs w:val="24"/>
              </w:rPr>
            </w:pPr>
            <w:r>
              <w:rPr>
                <w:rFonts w:hint="eastAsia" w:ascii="宋体" w:hAnsi="宋体" w:cs="宋体"/>
                <w:color w:val="auto"/>
                <w:kern w:val="2"/>
                <w:sz w:val="24"/>
                <w:szCs w:val="24"/>
              </w:rPr>
              <w:t>备注：本支付方式以财政拨付资金为准，若财政资金不能及时拨付，甲乙双方另行协商。</w:t>
            </w:r>
          </w:p>
        </w:tc>
      </w:tr>
      <w:tr w14:paraId="25C9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45" w:type="dxa"/>
            <w:vAlign w:val="center"/>
          </w:tcPr>
          <w:p w14:paraId="030D2450">
            <w:pPr>
              <w:pageBreakBefore w:val="0"/>
              <w:widowControl w:val="0"/>
              <w:wordWrap/>
              <w:overflowPunct/>
              <w:bidi w:val="0"/>
              <w:spacing w:line="360" w:lineRule="auto"/>
              <w:jc w:val="center"/>
              <w:textAlignment w:val="auto"/>
              <w:rPr>
                <w:rFonts w:hint="eastAsia" w:ascii="宋体" w:hAnsi="宋体" w:eastAsia="宋体" w:cs="仿宋"/>
                <w:color w:val="auto"/>
                <w:kern w:val="2"/>
                <w:sz w:val="24"/>
                <w:szCs w:val="24"/>
                <w:lang w:eastAsia="zh-CN"/>
              </w:rPr>
            </w:pPr>
            <w:r>
              <w:rPr>
                <w:rFonts w:hint="eastAsia" w:ascii="宋体" w:hAnsi="宋体"/>
                <w:color w:val="auto"/>
                <w:sz w:val="24"/>
                <w:szCs w:val="24"/>
              </w:rPr>
              <w:t>10.</w:t>
            </w:r>
            <w:r>
              <w:rPr>
                <w:rFonts w:hint="eastAsia" w:ascii="宋体" w:hAnsi="宋体"/>
                <w:color w:val="auto"/>
                <w:sz w:val="24"/>
                <w:szCs w:val="24"/>
                <w:lang w:val="en-US" w:eastAsia="zh-CN"/>
              </w:rPr>
              <w:t>9</w:t>
            </w:r>
          </w:p>
        </w:tc>
        <w:tc>
          <w:tcPr>
            <w:tcW w:w="1592" w:type="dxa"/>
            <w:gridSpan w:val="2"/>
            <w:vAlign w:val="center"/>
          </w:tcPr>
          <w:p w14:paraId="070DEAAC">
            <w:pPr>
              <w:pageBreakBefore w:val="0"/>
              <w:widowControl w:val="0"/>
              <w:wordWrap/>
              <w:overflowPunct/>
              <w:bidi w:val="0"/>
              <w:spacing w:line="360" w:lineRule="auto"/>
              <w:jc w:val="center"/>
              <w:textAlignment w:val="auto"/>
              <w:rPr>
                <w:rFonts w:hint="eastAsia" w:ascii="宋体" w:hAnsi="宋体" w:cs="仿宋"/>
                <w:color w:val="auto"/>
                <w:kern w:val="2"/>
                <w:sz w:val="24"/>
                <w:szCs w:val="24"/>
              </w:rPr>
            </w:pPr>
            <w:r>
              <w:rPr>
                <w:rFonts w:hint="eastAsia" w:ascii="宋体" w:hAnsi="宋体"/>
                <w:color w:val="auto"/>
                <w:sz w:val="24"/>
                <w:szCs w:val="24"/>
              </w:rPr>
              <w:t>验收</w:t>
            </w:r>
          </w:p>
        </w:tc>
        <w:tc>
          <w:tcPr>
            <w:tcW w:w="7196" w:type="dxa"/>
            <w:vAlign w:val="center"/>
          </w:tcPr>
          <w:p w14:paraId="139590BE">
            <w:pPr>
              <w:pageBreakBefore w:val="0"/>
              <w:widowControl w:val="0"/>
              <w:wordWrap/>
              <w:overflowPunct/>
              <w:bidi w:val="0"/>
              <w:spacing w:line="360" w:lineRule="auto"/>
              <w:jc w:val="left"/>
              <w:textAlignment w:val="auto"/>
              <w:rPr>
                <w:rFonts w:hint="eastAsia" w:ascii="宋体" w:hAnsi="宋体" w:cs="仿宋"/>
                <w:color w:val="auto"/>
                <w:kern w:val="2"/>
                <w:sz w:val="24"/>
                <w:szCs w:val="24"/>
              </w:rPr>
            </w:pPr>
            <w:r>
              <w:rPr>
                <w:rFonts w:hint="eastAsia" w:ascii="宋体" w:hAnsi="宋体" w:cs="仿宋"/>
                <w:color w:val="auto"/>
                <w:kern w:val="2"/>
                <w:sz w:val="24"/>
                <w:szCs w:val="24"/>
              </w:rPr>
              <w:t>中标人对本项目的销售及售后服务应委派专人负责，在合同履行中未经业主同意不得擅自更换他人。在项目实施过程中，若发现中标人有转包或未经最终用户（业主）同意擅自分包的，最终用户（业主）有权终止合同并</w:t>
            </w:r>
            <w:r>
              <w:rPr>
                <w:rFonts w:hint="eastAsia" w:ascii="宋体" w:hAnsi="宋体" w:cs="仿宋"/>
                <w:color w:val="auto"/>
                <w:kern w:val="2"/>
                <w:sz w:val="24"/>
                <w:szCs w:val="24"/>
                <w:lang w:val="en-US" w:eastAsia="zh-CN"/>
              </w:rPr>
              <w:t>保留其索赔的权利</w:t>
            </w:r>
            <w:r>
              <w:rPr>
                <w:rFonts w:hint="eastAsia" w:ascii="宋体" w:hAnsi="宋体" w:cs="仿宋"/>
                <w:color w:val="auto"/>
                <w:kern w:val="2"/>
                <w:sz w:val="24"/>
                <w:szCs w:val="24"/>
              </w:rPr>
              <w:t>，由此造成的一切损失</w:t>
            </w:r>
            <w:r>
              <w:rPr>
                <w:rFonts w:hint="eastAsia" w:ascii="宋体" w:hAnsi="宋体" w:cs="仿宋"/>
                <w:color w:val="auto"/>
                <w:kern w:val="2"/>
                <w:sz w:val="24"/>
                <w:szCs w:val="24"/>
                <w:lang w:val="en-US" w:eastAsia="zh-CN"/>
              </w:rPr>
              <w:t>均</w:t>
            </w:r>
            <w:r>
              <w:rPr>
                <w:rFonts w:hint="eastAsia" w:ascii="宋体" w:hAnsi="宋体" w:cs="仿宋"/>
                <w:color w:val="auto"/>
                <w:kern w:val="2"/>
                <w:sz w:val="24"/>
                <w:szCs w:val="24"/>
              </w:rPr>
              <w:t>由中标人负责；采购人在授予中标人合同时，保留对货物数量予以增减的权利。投标供应商不得在此情况下对投标文件作出修改，如单价、供货期、售后服务等。</w:t>
            </w:r>
          </w:p>
        </w:tc>
      </w:tr>
      <w:tr w14:paraId="3AB1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45" w:type="dxa"/>
            <w:vAlign w:val="center"/>
          </w:tcPr>
          <w:p w14:paraId="4EECC0AD">
            <w:pPr>
              <w:pageBreakBefore w:val="0"/>
              <w:wordWrap/>
              <w:overflowPunct/>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rPr>
              <w:t>10.</w:t>
            </w:r>
            <w:r>
              <w:rPr>
                <w:rFonts w:hint="eastAsia" w:ascii="宋体" w:hAnsi="宋体"/>
                <w:color w:val="auto"/>
                <w:sz w:val="24"/>
                <w:szCs w:val="24"/>
                <w:lang w:val="en-US" w:eastAsia="zh-CN"/>
              </w:rPr>
              <w:t>10</w:t>
            </w:r>
          </w:p>
        </w:tc>
        <w:tc>
          <w:tcPr>
            <w:tcW w:w="1592" w:type="dxa"/>
            <w:gridSpan w:val="2"/>
            <w:vAlign w:val="center"/>
          </w:tcPr>
          <w:p w14:paraId="2809F18B">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重新招标的其他情形</w:t>
            </w:r>
          </w:p>
        </w:tc>
        <w:tc>
          <w:tcPr>
            <w:tcW w:w="7196" w:type="dxa"/>
            <w:vAlign w:val="center"/>
          </w:tcPr>
          <w:p w14:paraId="6BA882DD">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除供应商须知正文规定的情形外，除非已经产生中标候选人，在投标有效期内同意延长投标有效期的供应商少于三个的，采购人应当依法重新招标。</w:t>
            </w:r>
          </w:p>
        </w:tc>
      </w:tr>
      <w:tr w14:paraId="57A5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5" w:type="dxa"/>
            <w:vAlign w:val="center"/>
          </w:tcPr>
          <w:p w14:paraId="1D569676">
            <w:pPr>
              <w:pageBreakBefore w:val="0"/>
              <w:wordWrap/>
              <w:overflowPunct/>
              <w:bidi w:val="0"/>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rPr>
              <w:t>10.1</w:t>
            </w:r>
            <w:r>
              <w:rPr>
                <w:rFonts w:hint="eastAsia" w:ascii="宋体" w:hAnsi="宋体"/>
                <w:color w:val="auto"/>
                <w:sz w:val="24"/>
                <w:szCs w:val="24"/>
                <w:lang w:val="en-US" w:eastAsia="zh-CN"/>
              </w:rPr>
              <w:t>1</w:t>
            </w:r>
          </w:p>
        </w:tc>
        <w:tc>
          <w:tcPr>
            <w:tcW w:w="1592" w:type="dxa"/>
            <w:gridSpan w:val="2"/>
            <w:vAlign w:val="center"/>
          </w:tcPr>
          <w:p w14:paraId="459B203A">
            <w:pPr>
              <w:pageBreakBefore w:val="0"/>
              <w:wordWrap/>
              <w:overflowPunct/>
              <w:bidi w:val="0"/>
              <w:spacing w:line="360" w:lineRule="auto"/>
              <w:jc w:val="center"/>
              <w:rPr>
                <w:rFonts w:ascii="宋体" w:hAnsi="宋体"/>
                <w:color w:val="auto"/>
                <w:sz w:val="24"/>
                <w:szCs w:val="24"/>
              </w:rPr>
            </w:pPr>
            <w:r>
              <w:rPr>
                <w:rFonts w:hint="eastAsia" w:ascii="宋体" w:hAnsi="宋体"/>
                <w:color w:val="auto"/>
                <w:sz w:val="24"/>
                <w:szCs w:val="24"/>
              </w:rPr>
              <w:t>同义词语</w:t>
            </w:r>
          </w:p>
        </w:tc>
        <w:tc>
          <w:tcPr>
            <w:tcW w:w="7196" w:type="dxa"/>
            <w:vAlign w:val="center"/>
          </w:tcPr>
          <w:p w14:paraId="1DD6E1EB">
            <w:pPr>
              <w:pageBreakBefore w:val="0"/>
              <w:wordWrap/>
              <w:overflowPunct/>
              <w:bidi w:val="0"/>
              <w:spacing w:line="360" w:lineRule="auto"/>
              <w:jc w:val="left"/>
              <w:rPr>
                <w:rFonts w:ascii="宋体" w:hAnsi="宋体"/>
                <w:color w:val="auto"/>
                <w:sz w:val="24"/>
                <w:szCs w:val="24"/>
              </w:rPr>
            </w:pPr>
            <w:r>
              <w:rPr>
                <w:rFonts w:hint="eastAsia" w:ascii="宋体" w:hAnsi="宋体"/>
                <w:color w:val="auto"/>
                <w:sz w:val="24"/>
                <w:szCs w:val="24"/>
              </w:rPr>
              <w:t>构成招标文件组成部分的“通用合同条款”、“专用合同条款”、“技术标准和要求”等章节中出现的措辞“发包人”和“承包人”，在招标投标阶段应当分别按“采购人”和“供应商”进行理解。</w:t>
            </w:r>
          </w:p>
        </w:tc>
      </w:tr>
      <w:tr w14:paraId="2668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5" w:type="dxa"/>
            <w:vAlign w:val="center"/>
          </w:tcPr>
          <w:p w14:paraId="094CEDDF">
            <w:pPr>
              <w:pageBreakBefore w:val="0"/>
              <w:wordWrap/>
              <w:overflowPunct/>
              <w:bidi w:val="0"/>
              <w:spacing w:line="360" w:lineRule="auto"/>
              <w:jc w:val="center"/>
              <w:rPr>
                <w:rFonts w:hint="eastAsia" w:ascii="宋体" w:hAnsi="宋体"/>
                <w:b/>
                <w:color w:val="auto"/>
                <w:sz w:val="24"/>
                <w:szCs w:val="24"/>
              </w:rPr>
            </w:pPr>
            <w:r>
              <w:rPr>
                <w:rFonts w:hint="eastAsia" w:ascii="宋体" w:hAnsi="宋体"/>
                <w:b w:val="0"/>
                <w:bCs/>
                <w:color w:val="auto"/>
                <w:sz w:val="24"/>
                <w:szCs w:val="24"/>
                <w:lang w:val="en-US" w:eastAsia="zh-CN"/>
              </w:rPr>
              <w:t>10.12</w:t>
            </w:r>
          </w:p>
        </w:tc>
        <w:tc>
          <w:tcPr>
            <w:tcW w:w="1592" w:type="dxa"/>
            <w:gridSpan w:val="2"/>
            <w:vAlign w:val="center"/>
          </w:tcPr>
          <w:p w14:paraId="1821BADB">
            <w:pPr>
              <w:pageBreakBefore w:val="0"/>
              <w:wordWrap/>
              <w:overflowPunct/>
              <w:bidi w:val="0"/>
              <w:spacing w:line="360" w:lineRule="auto"/>
              <w:jc w:val="center"/>
              <w:rPr>
                <w:rFonts w:hint="eastAsia" w:ascii="宋体" w:hAnsi="宋体"/>
                <w:b/>
                <w:color w:val="auto"/>
                <w:sz w:val="24"/>
                <w:szCs w:val="24"/>
              </w:rPr>
            </w:pPr>
            <w:r>
              <w:rPr>
                <w:rFonts w:hint="eastAsia" w:ascii="宋体" w:hAnsi="宋体"/>
                <w:b w:val="0"/>
                <w:bCs/>
                <w:color w:val="auto"/>
                <w:sz w:val="24"/>
                <w:szCs w:val="24"/>
              </w:rPr>
              <w:t>招标代理服务费</w:t>
            </w:r>
          </w:p>
        </w:tc>
        <w:tc>
          <w:tcPr>
            <w:tcW w:w="7196" w:type="dxa"/>
            <w:vAlign w:val="center"/>
          </w:tcPr>
          <w:p w14:paraId="32221003">
            <w:pPr>
              <w:pageBreakBefore w:val="0"/>
              <w:wordWrap/>
              <w:overflowPunct/>
              <w:bidi w:val="0"/>
              <w:spacing w:line="360" w:lineRule="auto"/>
              <w:jc w:val="left"/>
              <w:rPr>
                <w:rFonts w:hint="eastAsia" w:ascii="宋体" w:hAnsi="宋体"/>
                <w:b/>
                <w:color w:val="auto"/>
                <w:sz w:val="24"/>
                <w:szCs w:val="24"/>
              </w:rPr>
            </w:pPr>
            <w:r>
              <w:rPr>
                <w:rFonts w:hint="eastAsia" w:ascii="宋体" w:hAnsi="宋体"/>
                <w:b w:val="0"/>
                <w:bCs/>
                <w:color w:val="auto"/>
                <w:sz w:val="24"/>
                <w:szCs w:val="24"/>
              </w:rPr>
              <w:t>招标代理服务费参照《河南省招标代理服务收费指导意见》（豫招协【2023】002号）计取，由中标人支付。</w:t>
            </w:r>
          </w:p>
        </w:tc>
      </w:tr>
      <w:tr w14:paraId="3EA6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5" w:type="dxa"/>
            <w:vAlign w:val="center"/>
          </w:tcPr>
          <w:p w14:paraId="124FDC75">
            <w:pPr>
              <w:pageBreakBefore w:val="0"/>
              <w:wordWrap/>
              <w:overflowPunct/>
              <w:bidi w:val="0"/>
              <w:spacing w:line="360" w:lineRule="auto"/>
              <w:jc w:val="center"/>
              <w:rPr>
                <w:rFonts w:hint="default" w:ascii="宋体" w:hAnsi="宋体" w:eastAsia="宋体"/>
                <w:b/>
                <w:color w:val="auto"/>
                <w:sz w:val="24"/>
                <w:szCs w:val="24"/>
                <w:lang w:val="en-US" w:eastAsia="zh-CN"/>
              </w:rPr>
            </w:pPr>
            <w:r>
              <w:rPr>
                <w:rFonts w:hint="eastAsia" w:ascii="宋体" w:hAnsi="宋体"/>
                <w:b w:val="0"/>
                <w:bCs/>
                <w:color w:val="auto"/>
                <w:sz w:val="24"/>
                <w:szCs w:val="24"/>
                <w:lang w:val="en-US" w:eastAsia="zh-CN"/>
              </w:rPr>
              <w:t>10.13</w:t>
            </w:r>
          </w:p>
        </w:tc>
        <w:tc>
          <w:tcPr>
            <w:tcW w:w="1592" w:type="dxa"/>
            <w:gridSpan w:val="2"/>
            <w:vAlign w:val="center"/>
          </w:tcPr>
          <w:p w14:paraId="19CC811A">
            <w:pPr>
              <w:pageBreakBefore w:val="0"/>
              <w:wordWrap/>
              <w:overflowPunct/>
              <w:bidi w:val="0"/>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本项目对应的中小企业划分标准所属行业</w:t>
            </w:r>
          </w:p>
        </w:tc>
        <w:tc>
          <w:tcPr>
            <w:tcW w:w="7196" w:type="dxa"/>
            <w:vAlign w:val="center"/>
          </w:tcPr>
          <w:p w14:paraId="64C2DA05">
            <w:pPr>
              <w:pageBreakBefore w:val="0"/>
              <w:wordWrap/>
              <w:overflowPunct/>
              <w:bidi w:val="0"/>
              <w:spacing w:line="360" w:lineRule="auto"/>
              <w:jc w:val="left"/>
              <w:rPr>
                <w:rFonts w:hint="eastAsia" w:ascii="宋体" w:hAnsi="宋体" w:eastAsia="宋体"/>
                <w:b/>
                <w:color w:val="auto"/>
                <w:sz w:val="24"/>
                <w:szCs w:val="24"/>
                <w:lang w:val="en-US" w:eastAsia="zh-CN"/>
              </w:rPr>
            </w:pPr>
            <w:r>
              <w:rPr>
                <w:rFonts w:hint="eastAsia" w:ascii="宋体" w:hAnsi="宋体"/>
                <w:b w:val="0"/>
                <w:bCs/>
                <w:color w:val="auto"/>
                <w:sz w:val="24"/>
                <w:szCs w:val="24"/>
                <w:lang w:val="en-US" w:eastAsia="zh-CN"/>
              </w:rPr>
              <w:t>工业</w:t>
            </w:r>
          </w:p>
        </w:tc>
      </w:tr>
      <w:tr w14:paraId="256F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5" w:type="dxa"/>
            <w:vAlign w:val="center"/>
          </w:tcPr>
          <w:p w14:paraId="7336894A">
            <w:pPr>
              <w:pageBreakBefore w:val="0"/>
              <w:wordWrap/>
              <w:overflowPunct/>
              <w:bidi w:val="0"/>
              <w:spacing w:line="360" w:lineRule="auto"/>
              <w:jc w:val="center"/>
              <w:rPr>
                <w:rFonts w:ascii="宋体" w:hAnsi="宋体"/>
                <w:b w:val="0"/>
                <w:bCs/>
                <w:color w:val="auto"/>
                <w:sz w:val="24"/>
                <w:szCs w:val="24"/>
              </w:rPr>
            </w:pPr>
            <w:r>
              <w:rPr>
                <w:rFonts w:hint="eastAsia" w:ascii="宋体" w:hAnsi="宋体"/>
                <w:b w:val="0"/>
                <w:bCs/>
                <w:color w:val="auto"/>
                <w:sz w:val="24"/>
                <w:szCs w:val="24"/>
              </w:rPr>
              <w:t>11</w:t>
            </w:r>
          </w:p>
        </w:tc>
        <w:tc>
          <w:tcPr>
            <w:tcW w:w="1592" w:type="dxa"/>
            <w:gridSpan w:val="2"/>
            <w:vAlign w:val="center"/>
          </w:tcPr>
          <w:p w14:paraId="7AAD0FF3">
            <w:pPr>
              <w:pageBreakBefore w:val="0"/>
              <w:wordWrap/>
              <w:overflowPunct/>
              <w:bidi w:val="0"/>
              <w:spacing w:line="360" w:lineRule="auto"/>
              <w:jc w:val="center"/>
              <w:rPr>
                <w:rFonts w:ascii="宋体" w:hAnsi="宋体"/>
                <w:b w:val="0"/>
                <w:bCs/>
                <w:color w:val="auto"/>
                <w:sz w:val="24"/>
                <w:szCs w:val="24"/>
              </w:rPr>
            </w:pPr>
            <w:r>
              <w:rPr>
                <w:rFonts w:hint="eastAsia" w:ascii="宋体" w:hAnsi="宋体"/>
                <w:b w:val="0"/>
                <w:bCs/>
                <w:color w:val="auto"/>
                <w:sz w:val="24"/>
                <w:szCs w:val="24"/>
              </w:rPr>
              <w:t>电子化交易注意事项</w:t>
            </w:r>
          </w:p>
        </w:tc>
        <w:tc>
          <w:tcPr>
            <w:tcW w:w="7196" w:type="dxa"/>
            <w:vAlign w:val="center"/>
          </w:tcPr>
          <w:p w14:paraId="0E3DC383">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电子化交易注意事项</w:t>
            </w:r>
          </w:p>
          <w:p w14:paraId="72823428">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具体要求：本项目为电子化、无纸化交易项目，投标文件是</w:t>
            </w:r>
            <w:r>
              <w:rPr>
                <w:rFonts w:hint="eastAsia" w:ascii="宋体" w:hAnsi="宋体"/>
                <w:color w:val="auto"/>
                <w:sz w:val="24"/>
                <w:szCs w:val="24"/>
                <w:lang w:eastAsia="zh-CN"/>
              </w:rPr>
              <w:t>供应商</w:t>
            </w:r>
            <w:r>
              <w:rPr>
                <w:rFonts w:hint="eastAsia" w:ascii="宋体" w:hAnsi="宋体"/>
                <w:color w:val="auto"/>
                <w:sz w:val="24"/>
                <w:szCs w:val="24"/>
              </w:rPr>
              <w:t>（以下简称“</w:t>
            </w:r>
            <w:r>
              <w:rPr>
                <w:rFonts w:hint="eastAsia" w:ascii="宋体" w:hAnsi="宋体"/>
                <w:color w:val="auto"/>
                <w:sz w:val="24"/>
                <w:szCs w:val="24"/>
                <w:lang w:eastAsia="zh-CN"/>
              </w:rPr>
              <w:t>供应商</w:t>
            </w:r>
            <w:r>
              <w:rPr>
                <w:rFonts w:hint="eastAsia" w:ascii="宋体" w:hAnsi="宋体"/>
                <w:color w:val="auto"/>
                <w:sz w:val="24"/>
                <w:szCs w:val="24"/>
              </w:rPr>
              <w:t>”）通过中心投标文件制作系统制作，并经过签章和加密后生成的电子版投标文件。</w:t>
            </w:r>
          </w:p>
          <w:p w14:paraId="0817CBE2">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电子化投标文件具体制作文件请点击 https://download.bqpoint.com/download/downloaddetail.html?SourceFrom=Ztb&amp;ZtbSoftXiaQuCode=1506&amp;ZtbSoftType=tballinclusive进行下载。</w:t>
            </w:r>
          </w:p>
          <w:p w14:paraId="13F55F91">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温馨提示：本项目为电子化、无纸化交易项目，为保证您能投标成功，请需仔细阅读以下条款。</w:t>
            </w:r>
          </w:p>
          <w:p w14:paraId="475FF592">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电子化投标</w:t>
            </w:r>
          </w:p>
          <w:p w14:paraId="475CCF36">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（一）电子化投标文件的签章</w:t>
            </w:r>
          </w:p>
          <w:p w14:paraId="4E86170B">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供应商</w:t>
            </w:r>
            <w:r>
              <w:rPr>
                <w:rFonts w:hint="eastAsia" w:ascii="宋体" w:hAnsi="宋体"/>
                <w:color w:val="auto"/>
                <w:sz w:val="24"/>
                <w:szCs w:val="24"/>
              </w:rPr>
              <w:t>在生成电子化投标文件后，应对电子化投标文件进行签章，未进行签章的视为无效投标。</w:t>
            </w:r>
          </w:p>
          <w:p w14:paraId="092EE554">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2、招标文件中要求法定代表人或授权委托人签字或盖章的，</w:t>
            </w:r>
            <w:r>
              <w:rPr>
                <w:rFonts w:hint="eastAsia" w:ascii="宋体" w:hAnsi="宋体"/>
                <w:color w:val="auto"/>
                <w:sz w:val="24"/>
                <w:szCs w:val="24"/>
                <w:lang w:eastAsia="zh-CN"/>
              </w:rPr>
              <w:t>供应商</w:t>
            </w:r>
            <w:r>
              <w:rPr>
                <w:rFonts w:hint="eastAsia" w:ascii="宋体" w:hAnsi="宋体"/>
                <w:color w:val="auto"/>
                <w:sz w:val="24"/>
                <w:szCs w:val="24"/>
              </w:rPr>
              <w:t>在进行电子化投标文件签章时，以签盖法定代表人签章为准。</w:t>
            </w:r>
          </w:p>
          <w:p w14:paraId="6720834E">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（二）电子化投标文件的格式及上传投标</w:t>
            </w:r>
          </w:p>
          <w:p w14:paraId="655A4597">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供应商</w:t>
            </w:r>
            <w:r>
              <w:rPr>
                <w:rFonts w:hint="eastAsia" w:ascii="宋体" w:hAnsi="宋体"/>
                <w:color w:val="auto"/>
                <w:sz w:val="24"/>
                <w:szCs w:val="24"/>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w:t>
            </w:r>
            <w:r>
              <w:rPr>
                <w:rFonts w:hint="eastAsia" w:ascii="宋体" w:hAnsi="宋体"/>
                <w:color w:val="auto"/>
                <w:sz w:val="24"/>
                <w:szCs w:val="24"/>
                <w:lang w:eastAsia="zh-CN"/>
              </w:rPr>
              <w:t>供应商</w:t>
            </w:r>
            <w:r>
              <w:rPr>
                <w:rFonts w:hint="eastAsia" w:ascii="宋体" w:hAnsi="宋体"/>
                <w:color w:val="auto"/>
                <w:sz w:val="24"/>
                <w:szCs w:val="24"/>
              </w:rPr>
              <w:t>随身携带。</w:t>
            </w:r>
          </w:p>
          <w:p w14:paraId="532C8E2B">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注：</w:t>
            </w:r>
            <w:r>
              <w:rPr>
                <w:rFonts w:hint="eastAsia" w:ascii="宋体" w:hAnsi="宋体"/>
                <w:color w:val="auto"/>
                <w:sz w:val="24"/>
                <w:szCs w:val="24"/>
                <w:lang w:eastAsia="zh-CN"/>
              </w:rPr>
              <w:t>供应商</w:t>
            </w:r>
            <w:r>
              <w:rPr>
                <w:rFonts w:hint="eastAsia" w:ascii="宋体" w:hAnsi="宋体"/>
                <w:color w:val="auto"/>
                <w:sz w:val="24"/>
                <w:szCs w:val="24"/>
              </w:rPr>
              <w:t>投报多个标段的，需要每个标段单独制作电子投标文件。</w:t>
            </w:r>
          </w:p>
          <w:p w14:paraId="6F56D911">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2、电子化投标文件应在投标截止时间前成功上传至三门峡市公共资源电子化交易系统。至投标截止时间止，仍未上传成功的电子化投标文件将不予接收。</w:t>
            </w:r>
          </w:p>
          <w:p w14:paraId="71D24C05">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注：如按照电子化投标操作教材制作完成的电子化投标文件无法上传的，</w:t>
            </w:r>
            <w:r>
              <w:rPr>
                <w:rFonts w:hint="eastAsia" w:ascii="宋体" w:hAnsi="宋体"/>
                <w:color w:val="auto"/>
                <w:sz w:val="24"/>
                <w:szCs w:val="24"/>
                <w:lang w:eastAsia="zh-CN"/>
              </w:rPr>
              <w:t>供应商</w:t>
            </w:r>
            <w:r>
              <w:rPr>
                <w:rFonts w:hint="eastAsia" w:ascii="宋体" w:hAnsi="宋体"/>
                <w:color w:val="auto"/>
                <w:sz w:val="24"/>
                <w:szCs w:val="24"/>
              </w:rPr>
              <w:t>应在投标截止时间前尽早的联系中心技术人员，以便有充分的时间进行处理。</w:t>
            </w:r>
            <w:r>
              <w:rPr>
                <w:rFonts w:hint="eastAsia" w:ascii="宋体" w:hAnsi="宋体"/>
                <w:color w:val="auto"/>
                <w:sz w:val="24"/>
                <w:szCs w:val="24"/>
                <w:lang w:eastAsia="zh-CN"/>
              </w:rPr>
              <w:t>供应商</w:t>
            </w:r>
            <w:r>
              <w:rPr>
                <w:rFonts w:hint="eastAsia" w:ascii="宋体" w:hAnsi="宋体"/>
                <w:color w:val="auto"/>
                <w:sz w:val="24"/>
                <w:szCs w:val="24"/>
              </w:rPr>
              <w:t>应充分考虑到处理技术问题和上传数据等工作所需的时间问题，投标文件未在投标截止时间前成功上传的，其投标文件不予接收。</w:t>
            </w:r>
          </w:p>
          <w:p w14:paraId="2BBB5CEB">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标书制作技术联系电话：0398-31170</w:t>
            </w:r>
            <w:r>
              <w:rPr>
                <w:rFonts w:hint="eastAsia" w:ascii="宋体" w:hAnsi="宋体"/>
                <w:color w:val="auto"/>
                <w:sz w:val="24"/>
                <w:szCs w:val="24"/>
                <w:lang w:val="en-US" w:eastAsia="zh-CN"/>
              </w:rPr>
              <w:t>80</w:t>
            </w:r>
            <w:r>
              <w:rPr>
                <w:rFonts w:hint="eastAsia" w:ascii="宋体" w:hAnsi="宋体"/>
                <w:color w:val="auto"/>
                <w:sz w:val="24"/>
                <w:szCs w:val="24"/>
              </w:rPr>
              <w:t>、</w:t>
            </w:r>
            <w:r>
              <w:rPr>
                <w:rFonts w:hint="eastAsia" w:ascii="宋体" w:hAnsi="宋体"/>
                <w:color w:val="auto"/>
                <w:sz w:val="24"/>
                <w:szCs w:val="24"/>
                <w:lang w:val="en-US" w:eastAsia="zh-CN"/>
              </w:rPr>
              <w:t>0512-58188538</w:t>
            </w:r>
            <w:r>
              <w:rPr>
                <w:rFonts w:hint="eastAsia" w:ascii="宋体" w:hAnsi="宋体"/>
                <w:color w:val="auto"/>
                <w:sz w:val="24"/>
                <w:szCs w:val="24"/>
              </w:rPr>
              <w:t>、4009980000</w:t>
            </w:r>
          </w:p>
          <w:p w14:paraId="6AEA545B">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（三）电子化项目开标、解密、唱标、评标</w:t>
            </w:r>
          </w:p>
          <w:p w14:paraId="3AB31C06">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1、本项目采用电子化、无纸化进行招标，开标当日，</w:t>
            </w:r>
            <w:r>
              <w:rPr>
                <w:rFonts w:hint="eastAsia" w:ascii="宋体" w:hAnsi="宋体"/>
                <w:color w:val="auto"/>
                <w:sz w:val="24"/>
                <w:szCs w:val="24"/>
                <w:lang w:eastAsia="zh-CN"/>
              </w:rPr>
              <w:t>供应商</w:t>
            </w:r>
            <w:r>
              <w:rPr>
                <w:rFonts w:hint="eastAsia" w:ascii="宋体" w:hAnsi="宋体"/>
                <w:color w:val="auto"/>
                <w:sz w:val="24"/>
                <w:szCs w:val="24"/>
              </w:rPr>
              <w:t>无需到开标现场参加开标会议，</w:t>
            </w:r>
            <w:r>
              <w:rPr>
                <w:rFonts w:hint="eastAsia" w:ascii="宋体" w:hAnsi="宋体"/>
                <w:color w:val="auto"/>
                <w:sz w:val="24"/>
                <w:szCs w:val="24"/>
                <w:lang w:eastAsia="zh-CN"/>
              </w:rPr>
              <w:t>供应商</w:t>
            </w:r>
            <w:r>
              <w:rPr>
                <w:rFonts w:hint="eastAsia" w:ascii="宋体" w:hAnsi="宋体"/>
                <w:color w:val="auto"/>
                <w:sz w:val="24"/>
                <w:szCs w:val="24"/>
              </w:rPr>
              <w:t>应当在投标截止时间前，登陆不见面开标大厅选择登陆三门峡市公共资源电子招投标系统进行登陆（网址为 http://120.194.249.36:10094/BidOpening/bidopeninghallaction/hall/login）,在线准时参加开标活动并进行投标文件解密等</w:t>
            </w:r>
          </w:p>
          <w:p w14:paraId="0446DA7D">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2、电子化投标文件采用一次加密方式。开标时，由</w:t>
            </w:r>
            <w:r>
              <w:rPr>
                <w:rFonts w:hint="eastAsia" w:ascii="宋体" w:hAnsi="宋体"/>
                <w:color w:val="auto"/>
                <w:sz w:val="24"/>
                <w:szCs w:val="24"/>
                <w:lang w:eastAsia="zh-CN"/>
              </w:rPr>
              <w:t>供应商</w:t>
            </w:r>
            <w:r>
              <w:rPr>
                <w:rFonts w:hint="eastAsia" w:ascii="宋体" w:hAnsi="宋体"/>
                <w:color w:val="auto"/>
                <w:sz w:val="24"/>
                <w:szCs w:val="24"/>
              </w:rPr>
              <w:t>使用 CA 证书，在规定时间内对其电子化投标文件进行解密。每位</w:t>
            </w:r>
            <w:r>
              <w:rPr>
                <w:rFonts w:hint="eastAsia" w:ascii="宋体" w:hAnsi="宋体"/>
                <w:color w:val="auto"/>
                <w:sz w:val="24"/>
                <w:szCs w:val="24"/>
                <w:lang w:eastAsia="zh-CN"/>
              </w:rPr>
              <w:t>供应商</w:t>
            </w:r>
            <w:r>
              <w:rPr>
                <w:rFonts w:hint="eastAsia" w:ascii="宋体" w:hAnsi="宋体"/>
                <w:color w:val="auto"/>
                <w:sz w:val="24"/>
                <w:szCs w:val="24"/>
              </w:rPr>
              <w:t>的解密时间为开标时间起30分钟内，如在规定时间内未完成解密的，其投标文件不予开标、唱标。</w:t>
            </w:r>
          </w:p>
          <w:p w14:paraId="2D38ABC1">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3、电子化投标文件解密异常的处理</w:t>
            </w:r>
          </w:p>
          <w:p w14:paraId="7221C362">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如出现</w:t>
            </w:r>
            <w:r>
              <w:rPr>
                <w:rFonts w:hint="eastAsia" w:ascii="宋体" w:hAnsi="宋体"/>
                <w:color w:val="auto"/>
                <w:sz w:val="24"/>
                <w:szCs w:val="24"/>
                <w:lang w:eastAsia="zh-CN"/>
              </w:rPr>
              <w:t>供应商</w:t>
            </w:r>
            <w:r>
              <w:rPr>
                <w:rFonts w:hint="eastAsia" w:ascii="宋体" w:hAnsi="宋体"/>
                <w:color w:val="auto"/>
                <w:sz w:val="24"/>
                <w:szCs w:val="24"/>
              </w:rPr>
              <w:t>的电子投标文件无法解密等异常情况，</w:t>
            </w:r>
            <w:r>
              <w:rPr>
                <w:rFonts w:hint="eastAsia" w:ascii="宋体" w:hAnsi="宋体"/>
                <w:color w:val="auto"/>
                <w:sz w:val="24"/>
                <w:szCs w:val="24"/>
                <w:lang w:eastAsia="zh-CN"/>
              </w:rPr>
              <w:t>供应商</w:t>
            </w:r>
            <w:r>
              <w:rPr>
                <w:rFonts w:hint="eastAsia" w:ascii="宋体" w:hAnsi="宋体"/>
                <w:color w:val="auto"/>
                <w:sz w:val="24"/>
                <w:szCs w:val="24"/>
              </w:rPr>
              <w:t>应及时致电中介服务机构说明。投标文件异常，按以下步骤进行处理：</w:t>
            </w:r>
          </w:p>
          <w:p w14:paraId="14517041">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首先由技术人员进行问题排查。</w:t>
            </w:r>
          </w:p>
          <w:p w14:paraId="134C2596">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经技术人员排查后，是</w:t>
            </w:r>
            <w:r>
              <w:rPr>
                <w:rFonts w:hint="eastAsia" w:ascii="宋体" w:hAnsi="宋体"/>
                <w:color w:val="auto"/>
                <w:sz w:val="24"/>
                <w:szCs w:val="24"/>
                <w:lang w:eastAsia="zh-CN"/>
              </w:rPr>
              <w:t>供应商</w:t>
            </w:r>
            <w:r>
              <w:rPr>
                <w:rFonts w:hint="eastAsia" w:ascii="宋体" w:hAnsi="宋体"/>
                <w:color w:val="auto"/>
                <w:sz w:val="24"/>
                <w:szCs w:val="24"/>
              </w:rPr>
              <w:t>文件自身问题导致投标文件无法解密的，该投标文件将不予接收、解密和唱标。开标会议继续进行。</w:t>
            </w:r>
          </w:p>
          <w:p w14:paraId="6B4AB944">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经技术人员排查后，如果是电子化交易系统问题造成投标文件无法解密的，将由技术人员对问题进行处理。如短时间内问题无法解决的，将由中介服务机构向监督部门申请</w:t>
            </w:r>
            <w:r>
              <w:rPr>
                <w:rFonts w:hint="eastAsia" w:ascii="宋体" w:hAnsi="宋体"/>
                <w:color w:val="auto"/>
                <w:sz w:val="24"/>
                <w:szCs w:val="24"/>
                <w:lang w:eastAsia="zh-CN"/>
              </w:rPr>
              <w:t>，</w:t>
            </w:r>
            <w:r>
              <w:rPr>
                <w:rFonts w:hint="eastAsia" w:ascii="宋体" w:hAnsi="宋体"/>
                <w:color w:val="auto"/>
                <w:sz w:val="24"/>
                <w:szCs w:val="24"/>
              </w:rPr>
              <w:t>经监督部门同意后，暂停开标会议，待问题解决后继续开标。</w:t>
            </w:r>
          </w:p>
          <w:p w14:paraId="2CB25460">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4、待所有</w:t>
            </w:r>
            <w:r>
              <w:rPr>
                <w:rFonts w:hint="eastAsia" w:ascii="宋体" w:hAnsi="宋体"/>
                <w:color w:val="auto"/>
                <w:sz w:val="24"/>
                <w:szCs w:val="24"/>
                <w:lang w:eastAsia="zh-CN"/>
              </w:rPr>
              <w:t>供应商</w:t>
            </w:r>
            <w:r>
              <w:rPr>
                <w:rFonts w:hint="eastAsia" w:ascii="宋体" w:hAnsi="宋体"/>
                <w:color w:val="auto"/>
                <w:sz w:val="24"/>
                <w:szCs w:val="24"/>
              </w:rPr>
              <w:t>投标文件解密完成后，由中介服务机构操作，对所有已解密投标文件进行唱标。</w:t>
            </w:r>
          </w:p>
          <w:p w14:paraId="505BA54A">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应保证在开标期间电话、电脑、网络能够正常工作，</w:t>
            </w:r>
            <w:r>
              <w:rPr>
                <w:rFonts w:hint="eastAsia" w:ascii="宋体" w:hAnsi="宋体"/>
                <w:color w:val="auto"/>
                <w:sz w:val="24"/>
                <w:szCs w:val="24"/>
                <w:lang w:eastAsia="zh-CN"/>
              </w:rPr>
              <w:t>供应商</w:t>
            </w:r>
            <w:r>
              <w:rPr>
                <w:rFonts w:hint="eastAsia" w:ascii="宋体" w:hAnsi="宋体"/>
                <w:color w:val="auto"/>
                <w:sz w:val="24"/>
                <w:szCs w:val="24"/>
              </w:rPr>
              <w:t>因停电、电脑病毒网络堵塞等原因，未在规定的解密时间内对投标文件进行解密的，其投标文件不予接收、唱标。</w:t>
            </w:r>
          </w:p>
          <w:p w14:paraId="66E0ED7C">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5、开标时</w:t>
            </w:r>
            <w:r>
              <w:rPr>
                <w:rFonts w:hint="eastAsia" w:ascii="宋体" w:hAnsi="宋体"/>
                <w:color w:val="auto"/>
                <w:sz w:val="24"/>
                <w:szCs w:val="24"/>
                <w:lang w:eastAsia="zh-CN"/>
              </w:rPr>
              <w:t>供应商</w:t>
            </w:r>
            <w:r>
              <w:rPr>
                <w:rFonts w:hint="eastAsia" w:ascii="宋体" w:hAnsi="宋体"/>
                <w:color w:val="auto"/>
                <w:sz w:val="24"/>
                <w:szCs w:val="24"/>
              </w:rPr>
              <w:t>可登录到交易系统中在开标解密栏中点击报价一览表查看自己的投标报价。如对自己的唱标内容有异议的，应在</w:t>
            </w:r>
            <w:r>
              <w:rPr>
                <w:rFonts w:hint="eastAsia" w:ascii="宋体" w:hAnsi="宋体"/>
                <w:color w:val="auto"/>
                <w:sz w:val="24"/>
                <w:szCs w:val="24"/>
                <w:lang w:eastAsia="zh-CN"/>
              </w:rPr>
              <w:t>供应商</w:t>
            </w:r>
            <w:r>
              <w:rPr>
                <w:rFonts w:hint="eastAsia" w:ascii="宋体" w:hAnsi="宋体"/>
                <w:color w:val="auto"/>
                <w:sz w:val="24"/>
                <w:szCs w:val="24"/>
              </w:rPr>
              <w:t>解密成功后10分钟内向中介服务机构电话质疑。中介服务机构应在监督人员的监督下进行免提通话接受</w:t>
            </w:r>
            <w:r>
              <w:rPr>
                <w:rFonts w:hint="eastAsia" w:ascii="宋体" w:hAnsi="宋体"/>
                <w:color w:val="auto"/>
                <w:sz w:val="24"/>
                <w:szCs w:val="24"/>
                <w:lang w:eastAsia="zh-CN"/>
              </w:rPr>
              <w:t>供应商</w:t>
            </w:r>
            <w:r>
              <w:rPr>
                <w:rFonts w:hint="eastAsia" w:ascii="宋体" w:hAnsi="宋体"/>
                <w:color w:val="auto"/>
                <w:sz w:val="24"/>
                <w:szCs w:val="24"/>
              </w:rPr>
              <w:t>的质疑并做好书面记录。</w:t>
            </w:r>
            <w:r>
              <w:rPr>
                <w:rFonts w:hint="eastAsia" w:ascii="宋体" w:hAnsi="宋体"/>
                <w:color w:val="auto"/>
                <w:sz w:val="24"/>
                <w:szCs w:val="24"/>
                <w:lang w:eastAsia="zh-CN"/>
              </w:rPr>
              <w:t>供应商</w:t>
            </w:r>
            <w:r>
              <w:rPr>
                <w:rFonts w:hint="eastAsia" w:ascii="宋体" w:hAnsi="宋体"/>
                <w:color w:val="auto"/>
                <w:sz w:val="24"/>
                <w:szCs w:val="24"/>
              </w:rPr>
              <w:t>未在规定时间内提出质疑的，视为认可唱标内容。</w:t>
            </w:r>
          </w:p>
          <w:p w14:paraId="5E039393">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6、评标时，评标委员会对电子化投标文件有质疑的，将通过电子化交易系统对</w:t>
            </w:r>
            <w:r>
              <w:rPr>
                <w:rFonts w:hint="eastAsia" w:ascii="宋体" w:hAnsi="宋体"/>
                <w:color w:val="auto"/>
                <w:sz w:val="24"/>
                <w:szCs w:val="24"/>
                <w:lang w:eastAsia="zh-CN"/>
              </w:rPr>
              <w:t>供应商</w:t>
            </w:r>
            <w:r>
              <w:rPr>
                <w:rFonts w:hint="eastAsia" w:ascii="宋体" w:hAnsi="宋体"/>
                <w:color w:val="auto"/>
                <w:sz w:val="24"/>
                <w:szCs w:val="24"/>
              </w:rPr>
              <w:t>发起质疑，并在监督人员的监督下，用免提模式致电需要答复的。</w:t>
            </w:r>
            <w:r>
              <w:rPr>
                <w:rFonts w:hint="eastAsia" w:ascii="宋体" w:hAnsi="宋体"/>
                <w:color w:val="auto"/>
                <w:sz w:val="24"/>
                <w:szCs w:val="24"/>
                <w:lang w:eastAsia="zh-CN"/>
              </w:rPr>
              <w:t>供应商</w:t>
            </w:r>
            <w:r>
              <w:rPr>
                <w:rFonts w:hint="eastAsia" w:ascii="宋体" w:hAnsi="宋体"/>
                <w:color w:val="auto"/>
                <w:sz w:val="24"/>
                <w:szCs w:val="24"/>
              </w:rPr>
              <w:t>对质疑进行回复。</w:t>
            </w:r>
            <w:r>
              <w:rPr>
                <w:rFonts w:hint="eastAsia" w:ascii="宋体" w:hAnsi="宋体"/>
                <w:color w:val="auto"/>
                <w:sz w:val="24"/>
                <w:szCs w:val="24"/>
                <w:lang w:eastAsia="zh-CN"/>
              </w:rPr>
              <w:t>供应商</w:t>
            </w:r>
            <w:r>
              <w:rPr>
                <w:rFonts w:hint="eastAsia" w:ascii="宋体" w:hAnsi="宋体"/>
                <w:color w:val="auto"/>
                <w:sz w:val="24"/>
                <w:szCs w:val="24"/>
              </w:rPr>
              <w:t>的回复文件必须以经过</w:t>
            </w:r>
            <w:r>
              <w:rPr>
                <w:rFonts w:hint="eastAsia" w:ascii="宋体" w:hAnsi="宋体"/>
                <w:color w:val="auto"/>
                <w:sz w:val="24"/>
                <w:szCs w:val="24"/>
                <w:lang w:eastAsia="zh-CN"/>
              </w:rPr>
              <w:t>供应商</w:t>
            </w:r>
            <w:r>
              <w:rPr>
                <w:rFonts w:hint="eastAsia" w:ascii="宋体" w:hAnsi="宋体"/>
                <w:color w:val="auto"/>
                <w:sz w:val="24"/>
                <w:szCs w:val="24"/>
              </w:rPr>
              <w:t>和其法定代表人签章的PDF格式文件为准，并通过电子化交易系统提交至评标委员会。</w:t>
            </w:r>
          </w:p>
          <w:p w14:paraId="4A414CF6">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7、如评标委员会对需要回复的</w:t>
            </w:r>
            <w:r>
              <w:rPr>
                <w:rFonts w:hint="eastAsia" w:ascii="宋体" w:hAnsi="宋体"/>
                <w:color w:val="auto"/>
                <w:sz w:val="24"/>
                <w:szCs w:val="24"/>
                <w:lang w:eastAsia="zh-CN"/>
              </w:rPr>
              <w:t>供应商</w:t>
            </w:r>
            <w:r>
              <w:rPr>
                <w:rFonts w:hint="eastAsia" w:ascii="宋体" w:hAnsi="宋体"/>
                <w:color w:val="auto"/>
                <w:sz w:val="24"/>
                <w:szCs w:val="24"/>
              </w:rPr>
              <w:t>连续三次致电未接通的，视为</w:t>
            </w:r>
            <w:r>
              <w:rPr>
                <w:rFonts w:hint="eastAsia" w:ascii="宋体" w:hAnsi="宋体"/>
                <w:color w:val="auto"/>
                <w:sz w:val="24"/>
                <w:szCs w:val="24"/>
                <w:lang w:eastAsia="zh-CN"/>
              </w:rPr>
              <w:t>供应商</w:t>
            </w:r>
            <w:r>
              <w:rPr>
                <w:rFonts w:hint="eastAsia" w:ascii="宋体" w:hAnsi="宋体"/>
                <w:color w:val="auto"/>
                <w:sz w:val="24"/>
                <w:szCs w:val="24"/>
              </w:rPr>
              <w:t>放弃回复，评标委员会将自行对需要回复的内容进行认定。</w:t>
            </w:r>
          </w:p>
          <w:p w14:paraId="46325C0C">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二、相关证书原件的提交</w:t>
            </w:r>
          </w:p>
          <w:p w14:paraId="15021AAB">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本项目实行资格后审，招标文件中要求</w:t>
            </w:r>
            <w:r>
              <w:rPr>
                <w:rFonts w:hint="eastAsia" w:ascii="宋体" w:hAnsi="宋体"/>
                <w:color w:val="auto"/>
                <w:sz w:val="24"/>
                <w:szCs w:val="24"/>
                <w:lang w:eastAsia="zh-CN"/>
              </w:rPr>
              <w:t>供应商</w:t>
            </w:r>
            <w:r>
              <w:rPr>
                <w:rFonts w:hint="eastAsia" w:ascii="宋体" w:hAnsi="宋体"/>
                <w:color w:val="auto"/>
                <w:sz w:val="24"/>
                <w:szCs w:val="24"/>
              </w:rPr>
              <w:t>提交相关资料原件的，根据优化营商环境的要求，评标时以投标文件为准：</w:t>
            </w:r>
          </w:p>
          <w:p w14:paraId="0CC5D197">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1、资格评（预）审部分：资格评（预）以投标文件为准，其上传资料真实性由</w:t>
            </w:r>
            <w:r>
              <w:rPr>
                <w:rFonts w:hint="eastAsia" w:ascii="宋体" w:hAnsi="宋体"/>
                <w:color w:val="auto"/>
                <w:sz w:val="24"/>
                <w:szCs w:val="24"/>
                <w:lang w:eastAsia="zh-CN"/>
              </w:rPr>
              <w:t>供应商</w:t>
            </w:r>
            <w:r>
              <w:rPr>
                <w:rFonts w:hint="eastAsia" w:ascii="宋体" w:hAnsi="宋体"/>
                <w:color w:val="auto"/>
                <w:sz w:val="24"/>
                <w:szCs w:val="24"/>
              </w:rPr>
              <w:t>自行承担。</w:t>
            </w:r>
          </w:p>
          <w:p w14:paraId="1C063B90">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2、评标打分部分：评标打分部分仍按照100分制原则进行，涉及到资格审查、企业荣誉、人员业绩、企业业绩等计分部分时，以投标单位自行上传到投标文件中的相应内容为准。</w:t>
            </w:r>
          </w:p>
          <w:p w14:paraId="3627D582">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3、投标文件编制部分：在招标文件中要求</w:t>
            </w:r>
            <w:r>
              <w:rPr>
                <w:rFonts w:hint="eastAsia" w:ascii="宋体" w:hAnsi="宋体"/>
                <w:color w:val="auto"/>
                <w:sz w:val="24"/>
                <w:szCs w:val="24"/>
                <w:lang w:eastAsia="zh-CN"/>
              </w:rPr>
              <w:t>供应商</w:t>
            </w:r>
            <w:r>
              <w:rPr>
                <w:rFonts w:hint="eastAsia" w:ascii="宋体" w:hAnsi="宋体"/>
                <w:color w:val="auto"/>
                <w:sz w:val="24"/>
                <w:szCs w:val="24"/>
              </w:rPr>
              <w:t>按照投标文件格式进行投标文件编制，在投标文件编制时，应明确将投标单位企业基本情况、资质情况、人员情况、财务情况、业绩情况编入投标文件，便于进行资格审查及评标打分。</w:t>
            </w:r>
          </w:p>
          <w:p w14:paraId="3136C008">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4、我单位（采购人）严格按三财购【2021】9号文要求的时限发布中标结果公告，发出中标通知书，签订采购合同，上传采购合同。</w:t>
            </w:r>
          </w:p>
          <w:p w14:paraId="1C71CAA6">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（二）项目评标结果公示时，接受社会监督。</w:t>
            </w:r>
          </w:p>
          <w:p w14:paraId="547810AE">
            <w:pPr>
              <w:pageBreakBefore w:val="0"/>
              <w:wordWrap/>
              <w:overflowPunct/>
              <w:bidi w:val="0"/>
              <w:spacing w:line="360" w:lineRule="auto"/>
              <w:jc w:val="left"/>
              <w:rPr>
                <w:rFonts w:hint="eastAsia" w:ascii="宋体" w:hAnsi="宋体"/>
                <w:color w:val="auto"/>
                <w:sz w:val="24"/>
                <w:szCs w:val="24"/>
              </w:rPr>
            </w:pPr>
            <w:r>
              <w:rPr>
                <w:rFonts w:hint="eastAsia" w:ascii="宋体" w:hAnsi="宋体"/>
                <w:color w:val="auto"/>
                <w:sz w:val="24"/>
                <w:szCs w:val="24"/>
              </w:rPr>
              <w:t>（三）</w:t>
            </w:r>
            <w:r>
              <w:rPr>
                <w:rFonts w:hint="eastAsia" w:ascii="宋体" w:hAnsi="宋体"/>
                <w:color w:val="auto"/>
                <w:sz w:val="24"/>
                <w:szCs w:val="24"/>
                <w:lang w:eastAsia="zh-CN"/>
              </w:rPr>
              <w:t>供应商</w:t>
            </w:r>
            <w:r>
              <w:rPr>
                <w:rFonts w:hint="eastAsia" w:ascii="宋体" w:hAnsi="宋体"/>
                <w:color w:val="auto"/>
                <w:sz w:val="24"/>
                <w:szCs w:val="24"/>
              </w:rPr>
              <w:t>需应仔细阅读操作手册，保证上传内容齐全，真实有效，原件扫描件清晰可辨。因</w:t>
            </w:r>
            <w:r>
              <w:rPr>
                <w:rFonts w:hint="eastAsia" w:ascii="宋体" w:hAnsi="宋体"/>
                <w:color w:val="auto"/>
                <w:sz w:val="24"/>
                <w:szCs w:val="24"/>
                <w:lang w:eastAsia="zh-CN"/>
              </w:rPr>
              <w:t>供应商</w:t>
            </w:r>
            <w:r>
              <w:rPr>
                <w:rFonts w:hint="eastAsia" w:ascii="宋体" w:hAnsi="宋体"/>
                <w:color w:val="auto"/>
                <w:sz w:val="24"/>
                <w:szCs w:val="24"/>
              </w:rPr>
              <w:t>上传原因导致应得分项而未得分或资格审查不合格等情况的，由</w:t>
            </w:r>
            <w:r>
              <w:rPr>
                <w:rFonts w:hint="eastAsia" w:ascii="宋体" w:hAnsi="宋体"/>
                <w:color w:val="auto"/>
                <w:sz w:val="24"/>
                <w:szCs w:val="24"/>
                <w:lang w:eastAsia="zh-CN"/>
              </w:rPr>
              <w:t>供应商</w:t>
            </w:r>
            <w:r>
              <w:rPr>
                <w:rFonts w:hint="eastAsia" w:ascii="宋体" w:hAnsi="宋体"/>
                <w:color w:val="auto"/>
                <w:sz w:val="24"/>
                <w:szCs w:val="24"/>
              </w:rPr>
              <w:t>自行承担责任。</w:t>
            </w:r>
          </w:p>
          <w:p w14:paraId="1D24BCE7">
            <w:pPr>
              <w:pageBreakBefore w:val="0"/>
              <w:wordWrap/>
              <w:overflowPunct/>
              <w:bidi w:val="0"/>
              <w:spacing w:line="360" w:lineRule="auto"/>
              <w:jc w:val="left"/>
              <w:rPr>
                <w:rFonts w:ascii="宋体" w:hAnsi="宋体"/>
                <w:b/>
                <w:color w:val="auto"/>
                <w:sz w:val="24"/>
                <w:szCs w:val="24"/>
              </w:rPr>
            </w:pPr>
            <w:r>
              <w:rPr>
                <w:rFonts w:hint="eastAsia" w:ascii="宋体" w:hAnsi="宋体"/>
                <w:color w:val="auto"/>
                <w:sz w:val="24"/>
                <w:szCs w:val="24"/>
              </w:rPr>
              <w:t>提示：本项目为电子化、无纸化交易项目，为保证您能投标成功，请需仔细阅读以上条款。</w:t>
            </w:r>
          </w:p>
        </w:tc>
      </w:tr>
    </w:tbl>
    <w:p w14:paraId="02B57474">
      <w:pPr>
        <w:pageBreakBefore w:val="0"/>
        <w:wordWrap/>
        <w:overflowPunct/>
        <w:bidi w:val="0"/>
        <w:spacing w:line="360" w:lineRule="auto"/>
        <w:ind w:firstLine="482" w:firstLineChars="200"/>
        <w:outlineLvl w:val="1"/>
        <w:rPr>
          <w:rFonts w:ascii="宋体" w:hAnsi="宋体"/>
          <w:b/>
          <w:color w:val="auto"/>
          <w:sz w:val="24"/>
          <w:szCs w:val="24"/>
        </w:rPr>
      </w:pPr>
      <w:bookmarkStart w:id="39" w:name="_Toc7763"/>
      <w:bookmarkStart w:id="40" w:name="_Toc452907930"/>
      <w:r>
        <w:rPr>
          <w:rFonts w:hint="eastAsia" w:ascii="宋体" w:hAnsi="宋体"/>
          <w:b/>
          <w:color w:val="auto"/>
          <w:sz w:val="24"/>
          <w:szCs w:val="24"/>
        </w:rPr>
        <w:t>1.总则</w:t>
      </w:r>
      <w:bookmarkEnd w:id="39"/>
    </w:p>
    <w:p w14:paraId="06413294">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1.1 项目概况</w:t>
      </w:r>
    </w:p>
    <w:p w14:paraId="0E3E003C">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1.1.1 根据《中华人民共和国政府采购法》 等有关法律、法规和规章的规定，本招标项目已具备招标条件，现对本项目进行招标。</w:t>
      </w:r>
    </w:p>
    <w:p w14:paraId="7B9BA532">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1.1.2 本招标项目采购人：见供应商须知前附表。</w:t>
      </w:r>
    </w:p>
    <w:p w14:paraId="1D1D74F3">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1.1.3 本招标项目招标代理机构：见供应商须知前附表。</w:t>
      </w:r>
    </w:p>
    <w:p w14:paraId="0E1C613A">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1.1.4 本招标项目名称：见供应商须知前附表。</w:t>
      </w:r>
    </w:p>
    <w:p w14:paraId="71CAA477">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1.2 资金来源和落实情况</w:t>
      </w:r>
    </w:p>
    <w:p w14:paraId="0614647E">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1.2.1 本招标项目的资金来源：见供应商须知前附表。</w:t>
      </w:r>
    </w:p>
    <w:p w14:paraId="575FE19B">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1.2.2 本招标项目的出资比例：见供应商须知前附表。</w:t>
      </w:r>
    </w:p>
    <w:p w14:paraId="145EDB1E">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1.2.3 本招标项目的资金落实情况：见供应商须知前附表。</w:t>
      </w:r>
    </w:p>
    <w:p w14:paraId="1608BF47">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 xml:space="preserve">1.3 </w:t>
      </w:r>
      <w:r>
        <w:rPr>
          <w:rFonts w:hint="eastAsia" w:ascii="宋体" w:hAnsi="宋体"/>
          <w:b/>
          <w:color w:val="auto"/>
          <w:sz w:val="24"/>
          <w:szCs w:val="24"/>
          <w:lang w:eastAsia="zh-CN"/>
        </w:rPr>
        <w:t>采购内容</w:t>
      </w:r>
      <w:r>
        <w:rPr>
          <w:rFonts w:hint="eastAsia" w:ascii="宋体" w:hAnsi="宋体"/>
          <w:b/>
          <w:color w:val="auto"/>
          <w:sz w:val="24"/>
          <w:szCs w:val="24"/>
        </w:rPr>
        <w:t>、</w:t>
      </w:r>
      <w:r>
        <w:rPr>
          <w:rFonts w:hint="eastAsia" w:ascii="宋体" w:hAnsi="宋体"/>
          <w:b/>
          <w:color w:val="auto"/>
          <w:sz w:val="24"/>
          <w:szCs w:val="24"/>
          <w:lang w:eastAsia="zh-CN"/>
        </w:rPr>
        <w:t>供货期</w:t>
      </w:r>
      <w:r>
        <w:rPr>
          <w:rFonts w:hint="eastAsia" w:ascii="宋体" w:hAnsi="宋体"/>
          <w:b/>
          <w:color w:val="auto"/>
          <w:sz w:val="24"/>
          <w:szCs w:val="24"/>
        </w:rPr>
        <w:t>和质量要求</w:t>
      </w:r>
    </w:p>
    <w:p w14:paraId="689ED52A">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1.3.1 本次</w:t>
      </w:r>
      <w:r>
        <w:rPr>
          <w:rFonts w:hint="eastAsia" w:ascii="宋体" w:hAnsi="宋体"/>
          <w:color w:val="auto"/>
          <w:sz w:val="24"/>
          <w:szCs w:val="24"/>
          <w:lang w:eastAsia="zh-CN"/>
        </w:rPr>
        <w:t>采购内容</w:t>
      </w:r>
      <w:r>
        <w:rPr>
          <w:rFonts w:hint="eastAsia" w:ascii="宋体" w:hAnsi="宋体"/>
          <w:color w:val="auto"/>
          <w:sz w:val="24"/>
          <w:szCs w:val="24"/>
        </w:rPr>
        <w:t>：见供应商须知前附表。</w:t>
      </w:r>
    </w:p>
    <w:p w14:paraId="3064AC50">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1.3.2 本项目的</w:t>
      </w:r>
      <w:r>
        <w:rPr>
          <w:rFonts w:hint="eastAsia" w:ascii="宋体" w:hAnsi="宋体"/>
          <w:sz w:val="24"/>
          <w:szCs w:val="24"/>
        </w:rPr>
        <w:t>供货期</w:t>
      </w:r>
      <w:r>
        <w:rPr>
          <w:rFonts w:hint="eastAsia" w:ascii="宋体" w:hAnsi="宋体"/>
          <w:color w:val="auto"/>
          <w:sz w:val="24"/>
          <w:szCs w:val="24"/>
        </w:rPr>
        <w:t>：见供应商须知前附表。</w:t>
      </w:r>
    </w:p>
    <w:p w14:paraId="21333CCD">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1.3.3 本项目的质量要求：见供应商须知前附表。</w:t>
      </w:r>
    </w:p>
    <w:p w14:paraId="45B03FBE">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1.4 供应商资格要求</w:t>
      </w:r>
    </w:p>
    <w:p w14:paraId="158A2981">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1.4.1 供应商应具备承担本项目的资质条件、能力和信誉见前附表。</w:t>
      </w:r>
    </w:p>
    <w:p w14:paraId="7066E64B">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1.5 费用承担</w:t>
      </w:r>
    </w:p>
    <w:p w14:paraId="369DC06F">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供应商准备和参加投标活动发生的费用自理。</w:t>
      </w:r>
    </w:p>
    <w:p w14:paraId="5CEC3F75">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1.6 保密</w:t>
      </w:r>
    </w:p>
    <w:p w14:paraId="6E4B633D">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参与招标投标活动的各方应对招标文件和投标文件中的商业和技术等秘密保密，违者应对由此造成的后果承担法律责任。</w:t>
      </w:r>
    </w:p>
    <w:p w14:paraId="5D2AFF0A">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1.7 语言文字</w:t>
      </w:r>
    </w:p>
    <w:p w14:paraId="5587016B">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除专用术语外，与招标投标有关的语言均使用中文。必要时专用术语应附有中文注释。</w:t>
      </w:r>
    </w:p>
    <w:p w14:paraId="374E3718">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1.8 计量单位</w:t>
      </w:r>
    </w:p>
    <w:p w14:paraId="4EA469A9">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所有计量均采用中华人民共和国法定计量单位。</w:t>
      </w:r>
    </w:p>
    <w:p w14:paraId="14765F59">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1.9 踏勘现场</w:t>
      </w:r>
    </w:p>
    <w:p w14:paraId="1C34A2D7">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不组织。</w:t>
      </w:r>
    </w:p>
    <w:p w14:paraId="2A57CCDA">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1.10 投标预备会</w:t>
      </w:r>
    </w:p>
    <w:p w14:paraId="055A8A43">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不组织。</w:t>
      </w:r>
    </w:p>
    <w:p w14:paraId="7D76CF41">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1.11 分包</w:t>
      </w:r>
    </w:p>
    <w:p w14:paraId="51F9E32E">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不允许分包。</w:t>
      </w:r>
    </w:p>
    <w:p w14:paraId="7A8D2B35">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1.12 偏离</w:t>
      </w:r>
    </w:p>
    <w:p w14:paraId="14BF85BF">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允计偏离。</w:t>
      </w:r>
    </w:p>
    <w:bookmarkEnd w:id="40"/>
    <w:p w14:paraId="127A9CAC">
      <w:pPr>
        <w:pageBreakBefore w:val="0"/>
        <w:wordWrap/>
        <w:overflowPunct/>
        <w:bidi w:val="0"/>
        <w:spacing w:line="360" w:lineRule="auto"/>
        <w:ind w:firstLine="482" w:firstLineChars="200"/>
        <w:outlineLvl w:val="1"/>
        <w:rPr>
          <w:rFonts w:ascii="宋体" w:hAnsi="宋体"/>
          <w:b/>
          <w:color w:val="auto"/>
          <w:sz w:val="24"/>
          <w:szCs w:val="24"/>
        </w:rPr>
      </w:pPr>
      <w:bookmarkStart w:id="41" w:name="_Toc26321"/>
      <w:bookmarkStart w:id="42" w:name="_Toc452907931"/>
      <w:r>
        <w:rPr>
          <w:rFonts w:hint="eastAsia" w:ascii="宋体" w:hAnsi="宋体"/>
          <w:b/>
          <w:color w:val="auto"/>
          <w:sz w:val="24"/>
          <w:szCs w:val="24"/>
        </w:rPr>
        <w:t>2.招标文件</w:t>
      </w:r>
      <w:bookmarkEnd w:id="41"/>
      <w:bookmarkEnd w:id="42"/>
    </w:p>
    <w:p w14:paraId="04D93360">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2.1  招标文件的组成</w:t>
      </w:r>
    </w:p>
    <w:p w14:paraId="1B94A8E4">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本招标文件包括：</w:t>
      </w:r>
    </w:p>
    <w:p w14:paraId="31200374">
      <w:pPr>
        <w:pageBreakBefore w:val="0"/>
        <w:wordWrap/>
        <w:overflowPunct/>
        <w:bidi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2.1.1 招标公告</w:t>
      </w:r>
      <w:r>
        <w:rPr>
          <w:rFonts w:hint="eastAsia" w:ascii="宋体" w:hAnsi="宋体"/>
          <w:color w:val="auto"/>
          <w:sz w:val="24"/>
          <w:szCs w:val="24"/>
          <w:lang w:eastAsia="zh-CN"/>
        </w:rPr>
        <w:t>；</w:t>
      </w:r>
    </w:p>
    <w:p w14:paraId="34313DB3">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2.1.2 供应商须知；</w:t>
      </w:r>
    </w:p>
    <w:p w14:paraId="6018DD95">
      <w:pPr>
        <w:pageBreakBefore w:val="0"/>
        <w:wordWrap/>
        <w:overflowPunct/>
        <w:bidi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2.1.3 评标办法</w:t>
      </w:r>
      <w:r>
        <w:rPr>
          <w:rFonts w:hint="eastAsia" w:ascii="宋体" w:hAnsi="宋体"/>
          <w:color w:val="auto"/>
          <w:sz w:val="24"/>
          <w:szCs w:val="24"/>
          <w:lang w:eastAsia="zh-CN"/>
        </w:rPr>
        <w:t>；</w:t>
      </w:r>
    </w:p>
    <w:p w14:paraId="34F98A00">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2.1.4采购内容及要求；</w:t>
      </w:r>
    </w:p>
    <w:p w14:paraId="642FF8EA">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2.1.5合同条款及格式；</w:t>
      </w:r>
    </w:p>
    <w:p w14:paraId="1F6D1DD3">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2.1.6投标文件格式；</w:t>
      </w:r>
    </w:p>
    <w:p w14:paraId="381DE1F3">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根据本章第 2.2 款和第 2.3 款对招标文件所作的澄清、修改，构成招标文件的组成部分。</w:t>
      </w:r>
    </w:p>
    <w:p w14:paraId="6D71E6E4">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2.2 招标文件的澄清</w:t>
      </w:r>
    </w:p>
    <w:p w14:paraId="45B39AD6">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2.2.1 供应商应仔细阅读和检查招标文件的全部内容。如发现缺页或附件不全，应及时向采购人提出，以便补齐。如有疑问，应在供应商须知前附表规定的时间前以书面形式（包括信函、电报、传真等可以有形地表现所载内容的形式，下同），要求采购人对招标文件予以澄清。</w:t>
      </w:r>
    </w:p>
    <w:p w14:paraId="1647CDB3">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2.2.2 招标文件的澄清将在供应商须知前附表规定的投标截止时间15天前以书面形式发给所有</w:t>
      </w:r>
      <w:r>
        <w:rPr>
          <w:rFonts w:hint="eastAsia" w:ascii="宋体" w:hAnsi="宋体"/>
          <w:color w:val="auto"/>
          <w:sz w:val="24"/>
          <w:szCs w:val="24"/>
          <w:lang w:val="en-US" w:eastAsia="zh-CN"/>
        </w:rPr>
        <w:t>下载</w:t>
      </w:r>
      <w:r>
        <w:rPr>
          <w:rFonts w:hint="eastAsia" w:ascii="宋体" w:hAnsi="宋体"/>
          <w:color w:val="auto"/>
          <w:sz w:val="24"/>
          <w:szCs w:val="24"/>
        </w:rPr>
        <w:t>招标文件的</w:t>
      </w:r>
      <w:r>
        <w:rPr>
          <w:rFonts w:hint="eastAsia" w:ascii="宋体" w:hAnsi="宋体"/>
          <w:color w:val="auto"/>
          <w:sz w:val="24"/>
          <w:szCs w:val="24"/>
          <w:lang w:val="en-US" w:eastAsia="zh-CN"/>
        </w:rPr>
        <w:t>潜在</w:t>
      </w:r>
      <w:r>
        <w:rPr>
          <w:rFonts w:hint="eastAsia" w:ascii="宋体" w:hAnsi="宋体"/>
          <w:color w:val="auto"/>
          <w:sz w:val="24"/>
          <w:szCs w:val="24"/>
        </w:rPr>
        <w:t>供应商，但不指明澄清问题的来源。如果澄清发出的时间距投标截时间不足15天，相应延长投标截止时间。</w:t>
      </w:r>
    </w:p>
    <w:p w14:paraId="5BAB0A37">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2.3 招标文件的修改</w:t>
      </w:r>
    </w:p>
    <w:p w14:paraId="4BB3D70B">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2.3.1 在投标截止时间15天前，采购人可以以书面形式修改招标文件，并告知所有已</w:t>
      </w:r>
      <w:r>
        <w:rPr>
          <w:rFonts w:hint="eastAsia" w:ascii="宋体" w:hAnsi="宋体"/>
          <w:color w:val="auto"/>
          <w:sz w:val="24"/>
          <w:szCs w:val="24"/>
          <w:lang w:val="en-US" w:eastAsia="zh-CN"/>
        </w:rPr>
        <w:t>下载</w:t>
      </w:r>
      <w:r>
        <w:rPr>
          <w:rFonts w:hint="eastAsia" w:ascii="宋体" w:hAnsi="宋体"/>
          <w:color w:val="auto"/>
          <w:sz w:val="24"/>
          <w:szCs w:val="24"/>
        </w:rPr>
        <w:t>招标文件的</w:t>
      </w:r>
      <w:r>
        <w:rPr>
          <w:rFonts w:hint="eastAsia" w:ascii="宋体" w:hAnsi="宋体"/>
          <w:color w:val="auto"/>
          <w:sz w:val="24"/>
          <w:szCs w:val="24"/>
          <w:lang w:val="en-US" w:eastAsia="zh-CN"/>
        </w:rPr>
        <w:t>潜在</w:t>
      </w:r>
      <w:r>
        <w:rPr>
          <w:rFonts w:hint="eastAsia" w:ascii="宋体" w:hAnsi="宋体"/>
          <w:color w:val="auto"/>
          <w:sz w:val="24"/>
          <w:szCs w:val="24"/>
        </w:rPr>
        <w:t>供应商。如果修改招标文件的时间距投标截止时间不足15天，相应延长投标截止时间。</w:t>
      </w:r>
    </w:p>
    <w:p w14:paraId="4D4D8C86">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2.4 当招标文件、澄清文件、修改文件内容相互矛盾时，以最后发出文件内容为准。</w:t>
      </w:r>
    </w:p>
    <w:p w14:paraId="3314CE1E">
      <w:pPr>
        <w:pageBreakBefore w:val="0"/>
        <w:wordWrap/>
        <w:overflowPunct/>
        <w:bidi w:val="0"/>
        <w:spacing w:line="360" w:lineRule="auto"/>
        <w:ind w:firstLine="482" w:firstLineChars="200"/>
        <w:outlineLvl w:val="1"/>
        <w:rPr>
          <w:rFonts w:ascii="宋体" w:hAnsi="宋体"/>
          <w:b/>
          <w:color w:val="auto"/>
          <w:sz w:val="24"/>
          <w:szCs w:val="24"/>
        </w:rPr>
      </w:pPr>
      <w:bookmarkStart w:id="43" w:name="_Toc452907933"/>
      <w:bookmarkStart w:id="44" w:name="_Toc3595"/>
      <w:r>
        <w:rPr>
          <w:rFonts w:hint="eastAsia" w:ascii="宋体" w:hAnsi="宋体"/>
          <w:b/>
          <w:color w:val="auto"/>
          <w:sz w:val="24"/>
          <w:szCs w:val="24"/>
        </w:rPr>
        <w:t>3.投标文件</w:t>
      </w:r>
      <w:bookmarkEnd w:id="43"/>
      <w:bookmarkEnd w:id="44"/>
    </w:p>
    <w:p w14:paraId="40341BC8">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本项目为电子化交易项目，投标文件是供应商（以下简称“供应商”）通过中心投标文件制作系统制作，并经过电子签章和加密后生成的电子版投标文件。</w:t>
      </w:r>
    </w:p>
    <w:p w14:paraId="2A1A9B0E">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电子化投标文件具体制作教材请供应商通过CA证书登录三门峡市公共资源电子化交易系统在“帮助中心”中查看。</w:t>
      </w:r>
    </w:p>
    <w:p w14:paraId="59BB21EE">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 xml:space="preserve">3.1  投标文件的组成         </w:t>
      </w:r>
    </w:p>
    <w:p w14:paraId="7B1189FD">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投标函</w:t>
      </w:r>
    </w:p>
    <w:p w14:paraId="6AE7A9A4">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开标一览表</w:t>
      </w:r>
    </w:p>
    <w:p w14:paraId="0291DF4B">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法定代表人身份证明</w:t>
      </w:r>
    </w:p>
    <w:p w14:paraId="0672A136">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授权委托书</w:t>
      </w:r>
    </w:p>
    <w:p w14:paraId="5A1090BB">
      <w:pPr>
        <w:pageBreakBefore w:val="0"/>
        <w:wordWrap/>
        <w:overflowPunct/>
        <w:bidi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lang w:eastAsia="zh-CN"/>
        </w:rPr>
        <w:t>货物质量保障方案</w:t>
      </w:r>
    </w:p>
    <w:p w14:paraId="488D499F">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投标承诺函</w:t>
      </w:r>
    </w:p>
    <w:p w14:paraId="284BF093">
      <w:pPr>
        <w:pageBreakBefore w:val="0"/>
        <w:wordWrap/>
        <w:overflowPunct/>
        <w:bidi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资格证明文件</w:t>
      </w:r>
    </w:p>
    <w:p w14:paraId="714B1BC7">
      <w:pPr>
        <w:pageBreakBefore w:val="0"/>
        <w:wordWrap/>
        <w:overflowPunct/>
        <w:bidi w:val="0"/>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其他资料</w:t>
      </w:r>
    </w:p>
    <w:p w14:paraId="0458F765">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3.2  投标报价</w:t>
      </w:r>
    </w:p>
    <w:p w14:paraId="641795D0">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3.2.1最低报价不能作为中标的保证；</w:t>
      </w:r>
    </w:p>
    <w:p w14:paraId="77DB2846">
      <w:pPr>
        <w:pageBreakBefore w:val="0"/>
        <w:wordWrap/>
        <w:overflowPunct/>
        <w:bidi w:val="0"/>
        <w:spacing w:line="360" w:lineRule="auto"/>
        <w:ind w:firstLine="480" w:firstLineChars="200"/>
        <w:rPr>
          <w:rFonts w:ascii="宋体" w:hAnsi="宋体" w:cs="宋体"/>
          <w:b/>
          <w:bCs/>
          <w:color w:val="auto"/>
          <w:sz w:val="24"/>
          <w:szCs w:val="24"/>
        </w:rPr>
      </w:pPr>
      <w:r>
        <w:rPr>
          <w:rFonts w:hint="eastAsia" w:ascii="宋体" w:hAnsi="宋体"/>
          <w:color w:val="auto"/>
          <w:sz w:val="24"/>
          <w:szCs w:val="24"/>
        </w:rPr>
        <w:t>3.2.2各供应商应充分考虑该项目实施时的各种风险，</w:t>
      </w:r>
      <w:r>
        <w:rPr>
          <w:rFonts w:hint="eastAsia" w:ascii="宋体" w:hAnsi="宋体" w:cs="宋体"/>
          <w:b/>
          <w:bCs/>
          <w:color w:val="auto"/>
          <w:sz w:val="24"/>
          <w:szCs w:val="24"/>
        </w:rPr>
        <w:t>投标报价应是为完成本招标文件所确定的</w:t>
      </w:r>
      <w:r>
        <w:rPr>
          <w:rFonts w:hint="eastAsia" w:ascii="宋体" w:hAnsi="宋体" w:cs="宋体"/>
          <w:b/>
          <w:bCs/>
          <w:color w:val="auto"/>
          <w:sz w:val="24"/>
          <w:szCs w:val="24"/>
          <w:lang w:eastAsia="zh-CN"/>
        </w:rPr>
        <w:t>采购内容</w:t>
      </w:r>
      <w:r>
        <w:rPr>
          <w:rFonts w:hint="eastAsia" w:ascii="宋体" w:hAnsi="宋体" w:cs="宋体"/>
          <w:b/>
          <w:bCs/>
          <w:color w:val="auto"/>
          <w:sz w:val="24"/>
          <w:szCs w:val="24"/>
        </w:rPr>
        <w:t>并满足本招标文件各项要求的全部内容所需的生产设备、劳务、管理、材料、包装、利润、配合费、税金及政策性文件规定的各项应有全部费用，供应商在报价时应充分考虑各项因素并根据企业自身具体情况自主报价</w:t>
      </w:r>
      <w:r>
        <w:rPr>
          <w:rFonts w:hint="eastAsia" w:ascii="宋体" w:hAnsi="宋体"/>
          <w:color w:val="auto"/>
          <w:sz w:val="24"/>
          <w:szCs w:val="24"/>
        </w:rPr>
        <w:t>。</w:t>
      </w:r>
    </w:p>
    <w:p w14:paraId="2DA4EBDC">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3.2.3投标文件中报价采用</w:t>
      </w:r>
      <w:r>
        <w:rPr>
          <w:rFonts w:hint="eastAsia" w:ascii="宋体" w:hAnsi="宋体"/>
          <w:color w:val="auto"/>
          <w:sz w:val="24"/>
          <w:szCs w:val="24"/>
          <w:lang w:val="en-US" w:eastAsia="zh-CN"/>
        </w:rPr>
        <w:t>%</w:t>
      </w:r>
      <w:r>
        <w:rPr>
          <w:rFonts w:hint="eastAsia" w:ascii="宋体" w:hAnsi="宋体"/>
          <w:color w:val="auto"/>
          <w:sz w:val="24"/>
          <w:szCs w:val="24"/>
        </w:rPr>
        <w:t>表示</w:t>
      </w:r>
      <w:r>
        <w:rPr>
          <w:rFonts w:hint="eastAsia" w:ascii="宋体" w:hAnsi="宋体"/>
          <w:color w:val="auto"/>
          <w:sz w:val="24"/>
          <w:szCs w:val="24"/>
          <w:lang w:eastAsia="zh-CN"/>
        </w:rPr>
        <w:t>，</w:t>
      </w:r>
      <w:r>
        <w:rPr>
          <w:rFonts w:hint="eastAsia" w:ascii="宋体" w:hAnsi="宋体"/>
          <w:color w:val="auto"/>
          <w:sz w:val="24"/>
          <w:szCs w:val="24"/>
          <w:lang w:val="en-US" w:eastAsia="zh-CN"/>
        </w:rPr>
        <w:t>结算时以人民币进行结算</w:t>
      </w:r>
      <w:r>
        <w:rPr>
          <w:rFonts w:hint="eastAsia" w:ascii="宋体" w:hAnsi="宋体"/>
          <w:color w:val="auto"/>
          <w:sz w:val="24"/>
          <w:szCs w:val="24"/>
        </w:rPr>
        <w:t>。</w:t>
      </w:r>
    </w:p>
    <w:p w14:paraId="2AF91617">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3.3  投标有效期</w:t>
      </w:r>
    </w:p>
    <w:p w14:paraId="30D1288E">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3.3.1 在供应商须知前附表规定的投标有效期内，供应商不得要求撤销或修改其投标文件。</w:t>
      </w:r>
    </w:p>
    <w:p w14:paraId="630D8BE7">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3.3.2 出现特殊情况需要延长投标有效期的，采购人以书面形式通知所有供应商延长投标有效期。供应商同意延长的，应相应延长其投标保证金的有效期，但不得要求或被允许修改或撤销其投标文件；供应商拒绝延长的，其投标失效。</w:t>
      </w:r>
    </w:p>
    <w:p w14:paraId="19BCFF3A">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3.4  投标保证金</w:t>
      </w:r>
    </w:p>
    <w:p w14:paraId="0298138A">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按照《河南省财政厅关于优化政府采购营商环境有关问题的通知》（豫财购[2019]4号文）的要求本项目不再收取投标保证金。</w:t>
      </w:r>
    </w:p>
    <w:p w14:paraId="1F3242D7">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3.5 备选投标方案</w:t>
      </w:r>
    </w:p>
    <w:p w14:paraId="663B044D">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除供应商须知前附表另有规定外，供应商不得递交备选投标方案。</w:t>
      </w:r>
    </w:p>
    <w:p w14:paraId="0120F8C9">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3.6 投标文件编制要求</w:t>
      </w:r>
    </w:p>
    <w:p w14:paraId="68F4DF54">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3.5.1 投标文件应按“投标文件格式”进行编写，如有必要，可以增加附页，作为投标文件的组成部分。其中，投标函在满足招标文件实质性要求的基础上，可以提出比招标文件要求更有利于采购人的承诺。</w:t>
      </w:r>
    </w:p>
    <w:p w14:paraId="15288F15">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3.5.2 投标文件应当对招标文件有关</w:t>
      </w:r>
      <w:r>
        <w:rPr>
          <w:rFonts w:hint="eastAsia" w:ascii="宋体" w:hAnsi="宋体"/>
          <w:color w:val="auto"/>
          <w:sz w:val="24"/>
          <w:szCs w:val="24"/>
          <w:lang w:eastAsia="zh-CN"/>
        </w:rPr>
        <w:t>供货期</w:t>
      </w:r>
      <w:r>
        <w:rPr>
          <w:rFonts w:hint="eastAsia" w:ascii="宋体" w:hAnsi="宋体"/>
          <w:color w:val="auto"/>
          <w:sz w:val="24"/>
          <w:szCs w:val="24"/>
        </w:rPr>
        <w:t>、投标有效期、质量要求、</w:t>
      </w:r>
      <w:r>
        <w:rPr>
          <w:rFonts w:hint="eastAsia" w:ascii="宋体" w:hAnsi="宋体"/>
          <w:color w:val="auto"/>
          <w:sz w:val="24"/>
          <w:szCs w:val="24"/>
          <w:lang w:eastAsia="zh-CN"/>
        </w:rPr>
        <w:t>采购内容</w:t>
      </w:r>
      <w:r>
        <w:rPr>
          <w:rFonts w:hint="eastAsia" w:ascii="宋体" w:hAnsi="宋体"/>
          <w:color w:val="auto"/>
          <w:sz w:val="24"/>
          <w:szCs w:val="24"/>
        </w:rPr>
        <w:t>等实质性内容作出响应。</w:t>
      </w:r>
    </w:p>
    <w:p w14:paraId="5005D758">
      <w:pPr>
        <w:pageBreakBefore w:val="0"/>
        <w:wordWrap/>
        <w:overflowPunct/>
        <w:bidi w:val="0"/>
        <w:spacing w:line="360" w:lineRule="auto"/>
        <w:ind w:firstLine="482" w:firstLineChars="200"/>
        <w:rPr>
          <w:rFonts w:ascii="宋体" w:hAnsi="宋体"/>
          <w:b/>
          <w:color w:val="auto"/>
          <w:sz w:val="24"/>
          <w:szCs w:val="24"/>
        </w:rPr>
      </w:pPr>
      <w:bookmarkStart w:id="45" w:name="_Toc214173884"/>
      <w:bookmarkStart w:id="46" w:name="_Toc452907934"/>
      <w:r>
        <w:rPr>
          <w:rFonts w:hint="eastAsia" w:ascii="宋体" w:hAnsi="宋体"/>
          <w:b/>
          <w:color w:val="auto"/>
          <w:sz w:val="24"/>
          <w:szCs w:val="24"/>
        </w:rPr>
        <w:t>3.7 投标文件的签署</w:t>
      </w:r>
    </w:p>
    <w:bookmarkEnd w:id="45"/>
    <w:bookmarkEnd w:id="46"/>
    <w:p w14:paraId="0B232616">
      <w:pPr>
        <w:pageBreakBefore w:val="0"/>
        <w:wordWrap/>
        <w:overflowPunct/>
        <w:bidi w:val="0"/>
        <w:spacing w:line="360" w:lineRule="auto"/>
        <w:ind w:firstLine="360" w:firstLineChars="150"/>
        <w:rPr>
          <w:rFonts w:ascii="宋体" w:hAnsi="宋体"/>
          <w:color w:val="auto"/>
          <w:sz w:val="24"/>
          <w:szCs w:val="24"/>
        </w:rPr>
      </w:pPr>
      <w:bookmarkStart w:id="47" w:name="_Toc14807"/>
      <w:bookmarkStart w:id="48" w:name="_Toc11024"/>
      <w:bookmarkStart w:id="49" w:name="_Toc29312"/>
      <w:bookmarkStart w:id="50" w:name="_Toc184635074"/>
      <w:bookmarkStart w:id="51" w:name="_Toc452907939"/>
      <w:bookmarkStart w:id="52" w:name="_Toc452708898"/>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）电子投标文件必须上传电子评标系统</w:t>
      </w:r>
      <w:r>
        <w:rPr>
          <w:rFonts w:hint="eastAsia" w:ascii="宋体" w:hAnsi="宋体" w:cs="仿宋_GB2312"/>
          <w:b/>
          <w:color w:val="auto"/>
          <w:sz w:val="24"/>
          <w:szCs w:val="24"/>
        </w:rPr>
        <w:t>。</w:t>
      </w:r>
    </w:p>
    <w:p w14:paraId="5E78C8AC">
      <w:pPr>
        <w:pageBreakBefore w:val="0"/>
        <w:wordWrap/>
        <w:overflowPunct/>
        <w:bidi w:val="0"/>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）电子投标文件由供应商</w:t>
      </w:r>
      <w:r>
        <w:rPr>
          <w:rFonts w:hint="eastAsia" w:ascii="宋体" w:hAnsi="宋体"/>
          <w:color w:val="000000" w:themeColor="text1"/>
          <w:sz w:val="24"/>
          <w:szCs w:val="24"/>
          <w14:textFill>
            <w14:solidFill>
              <w14:schemeClr w14:val="tx1"/>
            </w14:solidFill>
          </w14:textFill>
        </w:rPr>
        <w:t>的法定代表人</w:t>
      </w:r>
      <w:r>
        <w:rPr>
          <w:rFonts w:hint="eastAsia" w:ascii="宋体" w:hAnsi="宋体"/>
          <w:color w:val="000000" w:themeColor="text1"/>
          <w:sz w:val="24"/>
          <w:szCs w:val="24"/>
          <w:highlight w:val="none"/>
          <w14:textFill>
            <w14:solidFill>
              <w14:schemeClr w14:val="tx1"/>
            </w14:solidFill>
          </w14:textFill>
        </w:rPr>
        <w:t>签字盖章</w:t>
      </w:r>
      <w:r>
        <w:rPr>
          <w:rFonts w:hint="eastAsia" w:ascii="宋体" w:hAnsi="宋体"/>
          <w:color w:val="000000" w:themeColor="text1"/>
          <w:sz w:val="24"/>
          <w:szCs w:val="24"/>
          <w14:textFill>
            <w14:solidFill>
              <w14:schemeClr w14:val="tx1"/>
            </w14:solidFill>
          </w14:textFill>
        </w:rPr>
        <w:t>。</w:t>
      </w:r>
    </w:p>
    <w:p w14:paraId="5AB74E8B">
      <w:pPr>
        <w:pageBreakBefore w:val="0"/>
        <w:wordWrap/>
        <w:overflowPunct/>
        <w:bidi w:val="0"/>
        <w:spacing w:line="360" w:lineRule="auto"/>
        <w:ind w:firstLine="482" w:firstLineChars="200"/>
        <w:outlineLvl w:val="1"/>
        <w:rPr>
          <w:rFonts w:ascii="宋体" w:hAnsi="宋体"/>
          <w:b/>
          <w:color w:val="auto"/>
          <w:sz w:val="24"/>
          <w:szCs w:val="24"/>
        </w:rPr>
      </w:pPr>
      <w:bookmarkStart w:id="53" w:name="_Toc7470"/>
      <w:r>
        <w:rPr>
          <w:rFonts w:hint="eastAsia" w:ascii="宋体" w:hAnsi="宋体"/>
          <w:b/>
          <w:color w:val="auto"/>
          <w:sz w:val="24"/>
          <w:szCs w:val="24"/>
        </w:rPr>
        <w:t>4</w:t>
      </w:r>
      <w:r>
        <w:rPr>
          <w:rFonts w:hint="eastAsia" w:ascii="宋体" w:hAnsi="宋体"/>
          <w:b/>
          <w:color w:val="auto"/>
          <w:sz w:val="24"/>
          <w:szCs w:val="24"/>
          <w:lang w:val="en-US" w:eastAsia="zh-CN"/>
        </w:rPr>
        <w:t>.</w:t>
      </w:r>
      <w:r>
        <w:rPr>
          <w:rFonts w:hint="eastAsia" w:ascii="宋体" w:hAnsi="宋体"/>
          <w:b/>
          <w:color w:val="auto"/>
          <w:sz w:val="24"/>
          <w:szCs w:val="24"/>
        </w:rPr>
        <w:t>投标</w:t>
      </w:r>
      <w:bookmarkEnd w:id="47"/>
      <w:bookmarkEnd w:id="48"/>
      <w:bookmarkEnd w:id="49"/>
      <w:bookmarkEnd w:id="50"/>
      <w:bookmarkEnd w:id="53"/>
    </w:p>
    <w:p w14:paraId="454CFF17">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4.1电子投标文件的递交</w:t>
      </w:r>
    </w:p>
    <w:p w14:paraId="35E2F1F8">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4.1.1 供应商应在规定的投标截止时间前递交投标文件。</w:t>
      </w:r>
    </w:p>
    <w:p w14:paraId="5E697E0D">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4.1.2 供应商递交投标文件的地点：见供应商须知前附表。</w:t>
      </w:r>
    </w:p>
    <w:p w14:paraId="10159317">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4.1.3 逾期送达的或者未送达指定地点的投标文件，采购人不予受理。</w:t>
      </w:r>
    </w:p>
    <w:p w14:paraId="26B88F15">
      <w:pPr>
        <w:pageBreakBefore w:val="0"/>
        <w:wordWrap/>
        <w:overflowPunct/>
        <w:bidi w:val="0"/>
        <w:spacing w:line="360" w:lineRule="auto"/>
        <w:ind w:firstLine="482" w:firstLineChars="200"/>
        <w:outlineLvl w:val="1"/>
        <w:rPr>
          <w:rFonts w:ascii="宋体" w:hAnsi="宋体"/>
          <w:b/>
          <w:color w:val="auto"/>
          <w:sz w:val="24"/>
          <w:szCs w:val="24"/>
        </w:rPr>
      </w:pPr>
      <w:bookmarkStart w:id="54" w:name="_Toc184635075"/>
      <w:bookmarkStart w:id="55" w:name="_Toc1848"/>
      <w:bookmarkStart w:id="56" w:name="_Toc3202"/>
      <w:bookmarkStart w:id="57" w:name="_Toc12860"/>
      <w:bookmarkStart w:id="58" w:name="_Toc31268"/>
      <w:r>
        <w:rPr>
          <w:rFonts w:hint="eastAsia" w:ascii="宋体" w:hAnsi="宋体"/>
          <w:b/>
          <w:color w:val="auto"/>
          <w:sz w:val="24"/>
          <w:szCs w:val="24"/>
        </w:rPr>
        <w:t>5</w:t>
      </w:r>
      <w:r>
        <w:rPr>
          <w:rFonts w:hint="eastAsia" w:ascii="宋体" w:hAnsi="宋体"/>
          <w:b/>
          <w:color w:val="auto"/>
          <w:sz w:val="24"/>
          <w:szCs w:val="24"/>
          <w:lang w:val="en-US" w:eastAsia="zh-CN"/>
        </w:rPr>
        <w:t>.</w:t>
      </w:r>
      <w:r>
        <w:rPr>
          <w:rFonts w:hint="eastAsia" w:ascii="宋体" w:hAnsi="宋体"/>
          <w:b/>
          <w:color w:val="auto"/>
          <w:sz w:val="24"/>
          <w:szCs w:val="24"/>
        </w:rPr>
        <w:t>开标</w:t>
      </w:r>
      <w:bookmarkEnd w:id="54"/>
      <w:bookmarkEnd w:id="55"/>
      <w:bookmarkEnd w:id="56"/>
      <w:bookmarkEnd w:id="57"/>
      <w:bookmarkEnd w:id="58"/>
    </w:p>
    <w:p w14:paraId="1155D52D">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5.1 开标时间和地点</w:t>
      </w:r>
    </w:p>
    <w:p w14:paraId="24DFC9D6">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采购代理机构在投标供应商须知前附表中规定的时间和地点组织公开开标。</w:t>
      </w:r>
    </w:p>
    <w:p w14:paraId="384EC9D8">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5.2 开标程序</w:t>
      </w:r>
    </w:p>
    <w:p w14:paraId="41A238AA">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主持人按下列程序进行开标：</w:t>
      </w:r>
    </w:p>
    <w:p w14:paraId="07649965">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（1）宣布开标纪律；</w:t>
      </w:r>
    </w:p>
    <w:p w14:paraId="395D5DAE">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（2）宣布参加开标会议的人员名单；</w:t>
      </w:r>
    </w:p>
    <w:p w14:paraId="4DDFB992">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（3）供应商通过电子招标投标交易平台对已递交的电子投标文件进行解密；</w:t>
      </w:r>
    </w:p>
    <w:p w14:paraId="1ADEFC52">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（4）唱标；</w:t>
      </w:r>
    </w:p>
    <w:p w14:paraId="778286F0">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（5）开标结束。</w:t>
      </w:r>
    </w:p>
    <w:p w14:paraId="657FAB62">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注：开标过程予以记录，存档备查。</w:t>
      </w:r>
    </w:p>
    <w:p w14:paraId="6DDEB4BA">
      <w:pPr>
        <w:pageBreakBefore w:val="0"/>
        <w:wordWrap/>
        <w:overflowPunct/>
        <w:bidi w:val="0"/>
        <w:spacing w:line="360" w:lineRule="auto"/>
        <w:ind w:firstLine="482" w:firstLineChars="200"/>
        <w:rPr>
          <w:rFonts w:ascii="宋体" w:hAnsi="宋体"/>
          <w:b/>
          <w:color w:val="auto"/>
          <w:sz w:val="24"/>
          <w:szCs w:val="24"/>
        </w:rPr>
      </w:pPr>
      <w:bookmarkStart w:id="59" w:name="_Toc24359"/>
      <w:bookmarkStart w:id="60" w:name="_Toc184635076"/>
      <w:bookmarkStart w:id="61" w:name="_Toc24220"/>
      <w:bookmarkStart w:id="62" w:name="_Toc27649"/>
      <w:r>
        <w:rPr>
          <w:rFonts w:hint="eastAsia" w:ascii="宋体" w:hAnsi="宋体"/>
          <w:b/>
          <w:color w:val="auto"/>
          <w:sz w:val="24"/>
          <w:szCs w:val="24"/>
        </w:rPr>
        <w:t>5.3资格审查工作</w:t>
      </w:r>
    </w:p>
    <w:p w14:paraId="13C83384">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5.3.1开标结束后，由采购人</w:t>
      </w:r>
      <w:r>
        <w:rPr>
          <w:rFonts w:hint="eastAsia" w:ascii="宋体" w:hAnsi="宋体"/>
          <w:color w:val="auto"/>
          <w:sz w:val="24"/>
          <w:szCs w:val="24"/>
          <w:lang w:val="en-US" w:eastAsia="zh-CN"/>
        </w:rPr>
        <w:t>或代理机构</w:t>
      </w:r>
      <w:r>
        <w:rPr>
          <w:rFonts w:hint="eastAsia" w:ascii="宋体" w:hAnsi="宋体"/>
          <w:color w:val="auto"/>
          <w:sz w:val="24"/>
          <w:szCs w:val="24"/>
        </w:rPr>
        <w:t>对各投标供应商资格进行审查。合格投标供应商不足3家的，不得评标。</w:t>
      </w:r>
    </w:p>
    <w:p w14:paraId="026D10D2">
      <w:pPr>
        <w:pageBreakBefore w:val="0"/>
        <w:wordWrap/>
        <w:overflowPunct/>
        <w:bidi w:val="0"/>
        <w:spacing w:line="360" w:lineRule="auto"/>
        <w:ind w:firstLine="482" w:firstLineChars="200"/>
        <w:outlineLvl w:val="1"/>
        <w:rPr>
          <w:rFonts w:ascii="宋体" w:hAnsi="宋体"/>
          <w:b/>
          <w:color w:val="auto"/>
          <w:sz w:val="24"/>
          <w:szCs w:val="24"/>
        </w:rPr>
      </w:pPr>
      <w:bookmarkStart w:id="63" w:name="_Toc9919"/>
      <w:r>
        <w:rPr>
          <w:rFonts w:hint="eastAsia" w:ascii="宋体" w:hAnsi="宋体"/>
          <w:b/>
          <w:color w:val="auto"/>
          <w:sz w:val="24"/>
          <w:szCs w:val="24"/>
        </w:rPr>
        <w:t>6</w:t>
      </w:r>
      <w:r>
        <w:rPr>
          <w:rFonts w:hint="eastAsia" w:ascii="宋体" w:hAnsi="宋体"/>
          <w:b/>
          <w:color w:val="auto"/>
          <w:sz w:val="24"/>
          <w:szCs w:val="24"/>
          <w:lang w:val="en-US" w:eastAsia="zh-CN"/>
        </w:rPr>
        <w:t>.</w:t>
      </w:r>
      <w:r>
        <w:rPr>
          <w:rFonts w:hint="eastAsia" w:ascii="宋体" w:hAnsi="宋体"/>
          <w:b/>
          <w:color w:val="auto"/>
          <w:sz w:val="24"/>
          <w:szCs w:val="24"/>
        </w:rPr>
        <w:t>评标</w:t>
      </w:r>
      <w:bookmarkEnd w:id="59"/>
      <w:bookmarkEnd w:id="60"/>
      <w:bookmarkEnd w:id="61"/>
      <w:bookmarkEnd w:id="62"/>
      <w:bookmarkEnd w:id="63"/>
    </w:p>
    <w:p w14:paraId="2D2AEECE">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6.1 评标委员会</w:t>
      </w:r>
    </w:p>
    <w:p w14:paraId="63181640">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6.1.1评标由采购人依法组建的评标委员会负责。评标委员会由采购人或其委托的招标代理机构熟悉相关业务的代表，以及有关技术、经济等方面的专家组成。评标委员会成员人数以及技术、经济等方面专家的确定方式见供应商须知前附表。</w:t>
      </w:r>
    </w:p>
    <w:p w14:paraId="2E1A75AF">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6.1.2 评标委员会成员有下列情形之一的，应当回避：</w:t>
      </w:r>
    </w:p>
    <w:p w14:paraId="48218BA5">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（1）供应商或供应商的主要负责人的近亲属；</w:t>
      </w:r>
    </w:p>
    <w:p w14:paraId="49F7274F">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（2）项目主管部门或者行政监督部门的人员：</w:t>
      </w:r>
    </w:p>
    <w:p w14:paraId="29ABF0E5">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（3）与供应商有经济利益关系，可能影响对投标公正评审的；</w:t>
      </w:r>
    </w:p>
    <w:p w14:paraId="444549F2">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（4）曾因在招标、评标以及其他与招标投标有关活动中从事违法行为而受过行政处罚或刑事处罚；</w:t>
      </w:r>
    </w:p>
    <w:p w14:paraId="3132B111">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（5）与供应商有其他利害关系。</w:t>
      </w:r>
    </w:p>
    <w:p w14:paraId="00BF9F17">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6.2 评标原则</w:t>
      </w:r>
    </w:p>
    <w:p w14:paraId="5246D486">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评标活动遵循公平、公正、科学和择优的原则。</w:t>
      </w:r>
    </w:p>
    <w:p w14:paraId="0254081A">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6.3 评标</w:t>
      </w:r>
    </w:p>
    <w:p w14:paraId="6CC79034">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1.评标委员会按照第三章“评标办法”规定的方法、评审因素、标准和程序对投标文件进行评审。第三章“评标办法”没有规定的方法、评审因素和标准，不作为评标依据。</w:t>
      </w:r>
    </w:p>
    <w:p w14:paraId="3EF41507">
      <w:pPr>
        <w:pageBreakBefore w:val="0"/>
        <w:wordWrap/>
        <w:overflowPunct/>
        <w:bidi w:val="0"/>
        <w:spacing w:line="360" w:lineRule="auto"/>
        <w:ind w:firstLine="482" w:firstLineChars="200"/>
        <w:outlineLvl w:val="1"/>
        <w:rPr>
          <w:rFonts w:ascii="宋体" w:hAnsi="宋体"/>
          <w:b/>
          <w:color w:val="auto"/>
          <w:sz w:val="24"/>
          <w:szCs w:val="24"/>
        </w:rPr>
      </w:pPr>
      <w:bookmarkStart w:id="64" w:name="_Toc30599"/>
      <w:bookmarkStart w:id="65" w:name="_Toc184635077"/>
      <w:bookmarkStart w:id="66" w:name="_Toc5958"/>
      <w:bookmarkStart w:id="67" w:name="_Toc9227"/>
      <w:bookmarkStart w:id="68" w:name="_Toc836"/>
      <w:r>
        <w:rPr>
          <w:rFonts w:hint="eastAsia" w:ascii="宋体" w:hAnsi="宋体"/>
          <w:b/>
          <w:color w:val="auto"/>
          <w:sz w:val="24"/>
          <w:szCs w:val="24"/>
        </w:rPr>
        <w:t>7</w:t>
      </w:r>
      <w:r>
        <w:rPr>
          <w:rFonts w:hint="eastAsia" w:ascii="宋体" w:hAnsi="宋体"/>
          <w:b/>
          <w:color w:val="auto"/>
          <w:sz w:val="24"/>
          <w:szCs w:val="24"/>
          <w:lang w:val="en-US" w:eastAsia="zh-CN"/>
        </w:rPr>
        <w:t>.</w:t>
      </w:r>
      <w:r>
        <w:rPr>
          <w:rFonts w:hint="eastAsia" w:ascii="宋体" w:hAnsi="宋体"/>
          <w:b/>
          <w:color w:val="auto"/>
          <w:sz w:val="24"/>
          <w:szCs w:val="24"/>
        </w:rPr>
        <w:t>合同授予</w:t>
      </w:r>
      <w:bookmarkEnd w:id="64"/>
      <w:bookmarkEnd w:id="65"/>
      <w:bookmarkEnd w:id="66"/>
      <w:bookmarkEnd w:id="67"/>
      <w:bookmarkEnd w:id="68"/>
    </w:p>
    <w:p w14:paraId="34D77AF2">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7.1 定标方式</w:t>
      </w:r>
    </w:p>
    <w:p w14:paraId="499461BE">
      <w:pPr>
        <w:pageBreakBefore w:val="0"/>
        <w:wordWrap/>
        <w:overflowPunct/>
        <w:bidi w:val="0"/>
        <w:spacing w:line="360" w:lineRule="auto"/>
        <w:ind w:firstLine="480" w:firstLineChars="200"/>
        <w:rPr>
          <w:rFonts w:ascii="宋体" w:hAnsi="宋体"/>
          <w:color w:val="auto"/>
          <w:sz w:val="24"/>
          <w:szCs w:val="24"/>
        </w:rPr>
      </w:pPr>
      <w:r>
        <w:rPr>
          <w:rFonts w:ascii="宋体" w:hAnsi="宋体"/>
          <w:color w:val="auto"/>
          <w:sz w:val="24"/>
          <w:szCs w:val="24"/>
        </w:rPr>
        <w:t>本次招标的评标方法采用综合评分法，评标工作将严格按照招标文件的要求和条件，对投标文件进行评审，评审分为</w:t>
      </w:r>
      <w:r>
        <w:rPr>
          <w:rFonts w:hint="eastAsia" w:ascii="宋体" w:hAnsi="宋体"/>
          <w:color w:val="auto"/>
          <w:sz w:val="24"/>
          <w:szCs w:val="24"/>
        </w:rPr>
        <w:t>初步评审</w:t>
      </w:r>
      <w:r>
        <w:rPr>
          <w:rFonts w:ascii="宋体" w:hAnsi="宋体"/>
          <w:color w:val="auto"/>
          <w:sz w:val="24"/>
          <w:szCs w:val="24"/>
        </w:rPr>
        <w:t>、</w:t>
      </w:r>
      <w:r>
        <w:rPr>
          <w:rFonts w:hint="eastAsia" w:ascii="宋体" w:hAnsi="宋体"/>
          <w:color w:val="auto"/>
          <w:sz w:val="24"/>
          <w:szCs w:val="24"/>
        </w:rPr>
        <w:t>详细</w:t>
      </w:r>
      <w:r>
        <w:rPr>
          <w:rFonts w:ascii="宋体" w:hAnsi="宋体"/>
          <w:color w:val="auto"/>
          <w:sz w:val="24"/>
          <w:szCs w:val="24"/>
        </w:rPr>
        <w:t>评审两部分。通过评审，根据评审得分</w:t>
      </w:r>
      <w:r>
        <w:rPr>
          <w:rFonts w:hint="eastAsia" w:ascii="宋体" w:hAnsi="宋体"/>
          <w:color w:val="auto"/>
          <w:sz w:val="24"/>
          <w:szCs w:val="24"/>
        </w:rPr>
        <w:t>由</w:t>
      </w:r>
      <w:r>
        <w:rPr>
          <w:rFonts w:ascii="宋体" w:hAnsi="宋体"/>
          <w:color w:val="auto"/>
          <w:sz w:val="24"/>
          <w:szCs w:val="24"/>
        </w:rPr>
        <w:t>高</w:t>
      </w:r>
      <w:r>
        <w:rPr>
          <w:rFonts w:hint="eastAsia" w:ascii="宋体" w:hAnsi="宋体"/>
          <w:color w:val="auto"/>
          <w:sz w:val="24"/>
          <w:szCs w:val="24"/>
        </w:rPr>
        <w:t>到</w:t>
      </w:r>
      <w:r>
        <w:rPr>
          <w:rFonts w:ascii="宋体" w:hAnsi="宋体"/>
          <w:color w:val="auto"/>
          <w:sz w:val="24"/>
          <w:szCs w:val="24"/>
        </w:rPr>
        <w:t>低向采购人推荐</w:t>
      </w:r>
      <w:r>
        <w:rPr>
          <w:rFonts w:hint="eastAsia" w:ascii="宋体" w:hAnsi="宋体"/>
          <w:color w:val="auto"/>
          <w:sz w:val="24"/>
          <w:szCs w:val="24"/>
        </w:rPr>
        <w:t>3</w:t>
      </w:r>
      <w:r>
        <w:rPr>
          <w:rFonts w:ascii="宋体" w:hAnsi="宋体"/>
          <w:color w:val="auto"/>
          <w:sz w:val="24"/>
          <w:szCs w:val="24"/>
        </w:rPr>
        <w:t>名中标候选人</w:t>
      </w:r>
      <w:r>
        <w:rPr>
          <w:rFonts w:hint="eastAsia" w:ascii="宋体" w:hAnsi="宋体"/>
          <w:color w:val="auto"/>
          <w:sz w:val="24"/>
          <w:szCs w:val="24"/>
        </w:rPr>
        <w:t>。</w:t>
      </w:r>
    </w:p>
    <w:p w14:paraId="5C7688F8">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7.2 中标通知</w:t>
      </w:r>
    </w:p>
    <w:p w14:paraId="4A716EDB">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在供应商须知前附表第3.3.1款规定的投标有效期内，采购人以书面形式向中标人发出中标通知书，同时将中标结果通知未中标的供应商。</w:t>
      </w:r>
    </w:p>
    <w:p w14:paraId="7CB69C73">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7.3 签订合同</w:t>
      </w:r>
    </w:p>
    <w:p w14:paraId="049CE044">
      <w:pPr>
        <w:pageBreakBefore w:val="0"/>
        <w:wordWrap/>
        <w:overflowPunct/>
        <w:bidi w:val="0"/>
        <w:spacing w:line="360" w:lineRule="auto"/>
        <w:ind w:firstLine="480" w:firstLineChars="200"/>
        <w:rPr>
          <w:rFonts w:ascii="宋体" w:hAnsi="宋体"/>
          <w:color w:val="auto"/>
          <w:sz w:val="24"/>
          <w:szCs w:val="24"/>
        </w:rPr>
      </w:pPr>
      <w:bookmarkStart w:id="69" w:name="_Toc26252"/>
      <w:bookmarkStart w:id="70" w:name="_Toc184635078"/>
      <w:bookmarkStart w:id="71" w:name="_Toc30855"/>
      <w:bookmarkStart w:id="72" w:name="_Toc6261"/>
      <w:r>
        <w:rPr>
          <w:rFonts w:hint="eastAsia" w:ascii="宋体" w:hAnsi="宋体"/>
          <w:color w:val="auto"/>
          <w:sz w:val="24"/>
          <w:szCs w:val="24"/>
        </w:rPr>
        <w:t>7.3.1 采购人和中标人应当在投标有效期内并且在自中标通知书发出之日起</w:t>
      </w:r>
      <w:r>
        <w:rPr>
          <w:rFonts w:hint="eastAsia" w:ascii="宋体" w:hAnsi="宋体"/>
          <w:color w:val="auto"/>
          <w:sz w:val="24"/>
          <w:szCs w:val="24"/>
          <w:lang w:val="en-US" w:eastAsia="zh-CN"/>
        </w:rPr>
        <w:t>2个工作日</w:t>
      </w:r>
      <w:r>
        <w:rPr>
          <w:rFonts w:hint="eastAsia" w:ascii="宋体" w:hAnsi="宋体"/>
          <w:color w:val="auto"/>
          <w:sz w:val="24"/>
          <w:szCs w:val="24"/>
        </w:rPr>
        <w:t>内，根据招标文件和中标人的投标文件订立书面合同。采购人发出中标结果通知，中标人无正当理由不领取中标通知书及拒签合同的，采购人取消其中标资格；给采购人造成的损失，</w:t>
      </w:r>
      <w:r>
        <w:rPr>
          <w:rFonts w:hint="eastAsia" w:ascii="宋体" w:hAnsi="宋体"/>
          <w:color w:val="auto"/>
          <w:sz w:val="24"/>
          <w:szCs w:val="24"/>
          <w:lang w:val="en-US" w:eastAsia="zh-CN"/>
        </w:rPr>
        <w:t>由</w:t>
      </w:r>
      <w:r>
        <w:rPr>
          <w:rFonts w:hint="eastAsia" w:ascii="宋体" w:hAnsi="宋体"/>
          <w:color w:val="auto"/>
          <w:sz w:val="24"/>
          <w:szCs w:val="24"/>
        </w:rPr>
        <w:t>中标人予以赔偿。</w:t>
      </w:r>
    </w:p>
    <w:p w14:paraId="1154472E">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7.3.2 发出中标通知书后，采购人无正当理由拒签合同的给中标人造成损失，应当赔偿损失。</w:t>
      </w:r>
    </w:p>
    <w:p w14:paraId="693B6535">
      <w:pPr>
        <w:pageBreakBefore w:val="0"/>
        <w:wordWrap/>
        <w:overflowPunct/>
        <w:bidi w:val="0"/>
        <w:spacing w:line="360" w:lineRule="auto"/>
        <w:ind w:firstLine="482" w:firstLineChars="200"/>
        <w:outlineLvl w:val="1"/>
        <w:rPr>
          <w:rFonts w:ascii="宋体" w:hAnsi="宋体"/>
          <w:b/>
          <w:color w:val="auto"/>
          <w:sz w:val="24"/>
          <w:szCs w:val="24"/>
        </w:rPr>
      </w:pPr>
      <w:bookmarkStart w:id="73" w:name="_Toc31245"/>
      <w:r>
        <w:rPr>
          <w:rFonts w:hint="eastAsia" w:ascii="宋体" w:hAnsi="宋体"/>
          <w:b/>
          <w:color w:val="auto"/>
          <w:sz w:val="24"/>
          <w:szCs w:val="24"/>
        </w:rPr>
        <w:t>8</w:t>
      </w:r>
      <w:r>
        <w:rPr>
          <w:rFonts w:hint="eastAsia" w:ascii="宋体" w:hAnsi="宋体"/>
          <w:b/>
          <w:color w:val="auto"/>
          <w:sz w:val="24"/>
          <w:szCs w:val="24"/>
          <w:lang w:val="en-US" w:eastAsia="zh-CN"/>
        </w:rPr>
        <w:t>.</w:t>
      </w:r>
      <w:r>
        <w:rPr>
          <w:rFonts w:hint="eastAsia" w:ascii="宋体" w:hAnsi="宋体"/>
          <w:b/>
          <w:color w:val="auto"/>
          <w:sz w:val="24"/>
          <w:szCs w:val="24"/>
        </w:rPr>
        <w:t>重新招标和不再招标</w:t>
      </w:r>
      <w:bookmarkEnd w:id="69"/>
      <w:bookmarkEnd w:id="70"/>
      <w:bookmarkEnd w:id="71"/>
      <w:bookmarkEnd w:id="72"/>
      <w:bookmarkEnd w:id="73"/>
    </w:p>
    <w:p w14:paraId="26A6969F">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8.1 重新招标</w:t>
      </w:r>
    </w:p>
    <w:p w14:paraId="5FED089C">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有下列情形之一的，采购人将重新招标：</w:t>
      </w:r>
    </w:p>
    <w:p w14:paraId="23702104">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(l）投标截止时间止，供应商少于3个的；</w:t>
      </w:r>
    </w:p>
    <w:p w14:paraId="1FAF4FDA">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(2）评标委员会评审后否决所有投标的；</w:t>
      </w:r>
    </w:p>
    <w:p w14:paraId="239716EB">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8.2 不再招标</w:t>
      </w:r>
    </w:p>
    <w:p w14:paraId="7656FC1A">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重新招标后供应商仍少于3个或者所有投标被否决的，属于必须审批或核准的工程建设项目，经原审批或核准部门批准后不再进行招标。</w:t>
      </w:r>
    </w:p>
    <w:p w14:paraId="02125D45">
      <w:pPr>
        <w:pageBreakBefore w:val="0"/>
        <w:wordWrap/>
        <w:overflowPunct/>
        <w:bidi w:val="0"/>
        <w:spacing w:line="360" w:lineRule="auto"/>
        <w:ind w:firstLine="482" w:firstLineChars="200"/>
        <w:outlineLvl w:val="1"/>
        <w:rPr>
          <w:rFonts w:ascii="宋体" w:hAnsi="宋体"/>
          <w:b/>
          <w:color w:val="auto"/>
          <w:sz w:val="24"/>
          <w:szCs w:val="24"/>
        </w:rPr>
      </w:pPr>
      <w:bookmarkStart w:id="74" w:name="_Toc14473"/>
      <w:bookmarkStart w:id="75" w:name="_Toc26367"/>
      <w:bookmarkStart w:id="76" w:name="_Toc184635079"/>
      <w:bookmarkStart w:id="77" w:name="_Toc3560"/>
      <w:bookmarkStart w:id="78" w:name="_Toc15032"/>
      <w:r>
        <w:rPr>
          <w:rFonts w:hint="eastAsia" w:ascii="宋体" w:hAnsi="宋体"/>
          <w:b/>
          <w:color w:val="auto"/>
          <w:sz w:val="24"/>
          <w:szCs w:val="24"/>
        </w:rPr>
        <w:t>9</w:t>
      </w:r>
      <w:r>
        <w:rPr>
          <w:rFonts w:hint="eastAsia" w:ascii="宋体" w:hAnsi="宋体"/>
          <w:b/>
          <w:color w:val="auto"/>
          <w:sz w:val="24"/>
          <w:szCs w:val="24"/>
          <w:lang w:val="en-US" w:eastAsia="zh-CN"/>
        </w:rPr>
        <w:t>.</w:t>
      </w:r>
      <w:r>
        <w:rPr>
          <w:rFonts w:hint="eastAsia" w:ascii="宋体" w:hAnsi="宋体"/>
          <w:b/>
          <w:color w:val="auto"/>
          <w:sz w:val="24"/>
          <w:szCs w:val="24"/>
        </w:rPr>
        <w:t>纪律和监督</w:t>
      </w:r>
      <w:bookmarkEnd w:id="74"/>
      <w:bookmarkEnd w:id="75"/>
      <w:bookmarkEnd w:id="76"/>
      <w:bookmarkEnd w:id="77"/>
      <w:bookmarkEnd w:id="78"/>
    </w:p>
    <w:p w14:paraId="1590E23B">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9.1 对采购人的纪律要求</w:t>
      </w:r>
    </w:p>
    <w:p w14:paraId="7243B3D2">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采购人不得泄露招标投标活动中应当保密的情况和资料，不得与供应商串通损害国家利益、社会公共利益或者他人合法权益。</w:t>
      </w:r>
    </w:p>
    <w:p w14:paraId="2A566D96">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9.2 对供应商的纪律要求</w:t>
      </w:r>
    </w:p>
    <w:p w14:paraId="50B6D55A">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1123D0F0">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9.3 对评标委员会成员的纪律要求</w:t>
      </w:r>
    </w:p>
    <w:p w14:paraId="2613489A">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CD50560">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9.4 对与评标活动有关的工作人员的纪律要求</w:t>
      </w:r>
    </w:p>
    <w:p w14:paraId="233C0E04">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1F276A2">
      <w:pPr>
        <w:pageBreakBefore w:val="0"/>
        <w:wordWrap/>
        <w:overflowPunct/>
        <w:bidi w:val="0"/>
        <w:spacing w:line="360" w:lineRule="auto"/>
        <w:ind w:firstLine="482" w:firstLineChars="200"/>
        <w:rPr>
          <w:rFonts w:ascii="宋体" w:hAnsi="宋体"/>
          <w:b/>
          <w:color w:val="auto"/>
          <w:sz w:val="24"/>
          <w:szCs w:val="24"/>
        </w:rPr>
      </w:pPr>
      <w:r>
        <w:rPr>
          <w:rFonts w:hint="eastAsia" w:ascii="宋体" w:hAnsi="宋体"/>
          <w:b/>
          <w:color w:val="auto"/>
          <w:sz w:val="24"/>
          <w:szCs w:val="24"/>
        </w:rPr>
        <w:t>9.5 投诉</w:t>
      </w:r>
    </w:p>
    <w:p w14:paraId="5DBE141E">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供应商和其他利害关系人认为本次招标活动违反法律、法规和规章规定的，有权向有关行政监督部门投诉。</w:t>
      </w:r>
    </w:p>
    <w:p w14:paraId="6016B8FC">
      <w:pPr>
        <w:pageBreakBefore w:val="0"/>
        <w:wordWrap/>
        <w:overflowPunct/>
        <w:bidi w:val="0"/>
        <w:spacing w:line="360" w:lineRule="auto"/>
        <w:ind w:firstLine="482" w:firstLineChars="200"/>
        <w:outlineLvl w:val="1"/>
        <w:rPr>
          <w:rFonts w:ascii="宋体" w:hAnsi="宋体"/>
          <w:b/>
          <w:color w:val="auto"/>
          <w:sz w:val="24"/>
          <w:szCs w:val="24"/>
        </w:rPr>
      </w:pPr>
      <w:bookmarkStart w:id="79" w:name="_Toc31998"/>
      <w:r>
        <w:rPr>
          <w:rFonts w:hint="eastAsia" w:ascii="宋体" w:hAnsi="宋体"/>
          <w:b/>
          <w:color w:val="auto"/>
          <w:sz w:val="24"/>
          <w:szCs w:val="24"/>
        </w:rPr>
        <w:t>10.支付办法</w:t>
      </w:r>
      <w:bookmarkEnd w:id="51"/>
      <w:bookmarkEnd w:id="52"/>
      <w:bookmarkEnd w:id="79"/>
    </w:p>
    <w:p w14:paraId="62C37F93">
      <w:pPr>
        <w:pageBreakBefore w:val="0"/>
        <w:wordWrap/>
        <w:overflowPunct/>
        <w:bidi w:val="0"/>
        <w:spacing w:line="360" w:lineRule="auto"/>
        <w:ind w:firstLine="480" w:firstLineChars="200"/>
        <w:rPr>
          <w:rFonts w:ascii="宋体" w:hAnsi="宋体"/>
          <w:color w:val="auto"/>
          <w:sz w:val="24"/>
          <w:szCs w:val="24"/>
        </w:rPr>
      </w:pPr>
      <w:r>
        <w:rPr>
          <w:rFonts w:hint="eastAsia" w:ascii="宋体" w:hAnsi="宋体"/>
          <w:color w:val="auto"/>
          <w:sz w:val="24"/>
          <w:szCs w:val="24"/>
        </w:rPr>
        <w:t>以采购人和中标人签订合同为准。</w:t>
      </w:r>
    </w:p>
    <w:p w14:paraId="6EFE5CCC">
      <w:pPr>
        <w:pageBreakBefore w:val="0"/>
        <w:wordWrap/>
        <w:overflowPunct/>
        <w:bidi w:val="0"/>
        <w:spacing w:line="360" w:lineRule="auto"/>
        <w:ind w:firstLine="482" w:firstLineChars="200"/>
        <w:outlineLvl w:val="1"/>
        <w:rPr>
          <w:rFonts w:hint="eastAsia" w:ascii="宋体" w:hAnsi="宋体"/>
          <w:b/>
          <w:color w:val="auto"/>
          <w:sz w:val="24"/>
          <w:szCs w:val="24"/>
        </w:rPr>
      </w:pPr>
      <w:bookmarkStart w:id="80" w:name="_Toc11150"/>
      <w:bookmarkStart w:id="81" w:name="_Toc466566702"/>
      <w:bookmarkStart w:id="82" w:name="_Toc466566791"/>
      <w:bookmarkStart w:id="83" w:name="_Toc184635080"/>
      <w:r>
        <w:rPr>
          <w:rFonts w:hint="eastAsia" w:ascii="宋体" w:hAnsi="宋体"/>
          <w:b/>
          <w:color w:val="auto"/>
          <w:sz w:val="24"/>
          <w:szCs w:val="24"/>
        </w:rPr>
        <w:t>11</w:t>
      </w:r>
      <w:r>
        <w:rPr>
          <w:rFonts w:hint="eastAsia" w:ascii="宋体" w:hAnsi="宋体"/>
          <w:b/>
          <w:color w:val="auto"/>
          <w:sz w:val="24"/>
          <w:szCs w:val="24"/>
          <w:lang w:val="en-US" w:eastAsia="zh-CN"/>
        </w:rPr>
        <w:t>.</w:t>
      </w:r>
      <w:r>
        <w:rPr>
          <w:rFonts w:hint="eastAsia" w:ascii="宋体" w:hAnsi="宋体"/>
          <w:b/>
          <w:color w:val="auto"/>
          <w:sz w:val="24"/>
          <w:szCs w:val="24"/>
        </w:rPr>
        <w:t>异常低价审查程序</w:t>
      </w:r>
      <w:bookmarkEnd w:id="80"/>
    </w:p>
    <w:p w14:paraId="38B38E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本次采购活动中出现下列情形之一的，评标委员会应当启动异常低价投标（响应）审查程序： </w:t>
      </w:r>
    </w:p>
    <w:p w14:paraId="5ECB6E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1.投标（响应）报价低于全部通过符合性审查供应商投标（响应）报价平均值50%的，即投标（响应）报价&lt;全部通过符合性审查供应商投标（响应）报价平均值×50%； </w:t>
      </w:r>
    </w:p>
    <w:p w14:paraId="5676B9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 </w:t>
      </w:r>
    </w:p>
    <w:p w14:paraId="65229F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3.投标（响应）报价低于采购项目最高限价45%的，即投标（响应）报价&lt;采购项目最高限价×45%； </w:t>
      </w:r>
    </w:p>
    <w:p w14:paraId="5BE73B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4.评标委员会基于专业判断，认为供应商报价过低，有可能影响产品质量或者不能诚信履约的其他情形。 </w:t>
      </w:r>
    </w:p>
    <w:p w14:paraId="5CF13B1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相关法律法规对供应商报价有规定的，从其规定。 </w:t>
      </w:r>
    </w:p>
    <w:p w14:paraId="0246DB2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21945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 </w:t>
      </w:r>
    </w:p>
    <w:p w14:paraId="26B5BB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2FAE11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异常低价投标（响应）审查的启动原因、审查意见和审查结果应当在评标报告中记录，并随供应商提供的相关书面说明及证明材料，以及评标委员会有关互联网浏览、查询历史一并归档。</w:t>
      </w:r>
    </w:p>
    <w:p w14:paraId="0102170D">
      <w:pPr>
        <w:pageBreakBefore w:val="0"/>
        <w:wordWrap/>
        <w:overflowPunct/>
        <w:bidi w:val="0"/>
        <w:spacing w:line="360" w:lineRule="auto"/>
        <w:ind w:firstLine="482" w:firstLineChars="200"/>
        <w:outlineLvl w:val="1"/>
        <w:rPr>
          <w:rFonts w:ascii="宋体" w:hAnsi="宋体"/>
          <w:b/>
          <w:color w:val="auto"/>
          <w:sz w:val="24"/>
          <w:szCs w:val="24"/>
          <w:highlight w:val="none"/>
        </w:rPr>
      </w:pPr>
      <w:bookmarkStart w:id="84" w:name="_Toc30979"/>
      <w:r>
        <w:rPr>
          <w:rFonts w:hint="eastAsia" w:ascii="宋体" w:hAnsi="宋体"/>
          <w:b/>
          <w:color w:val="auto"/>
          <w:sz w:val="24"/>
          <w:szCs w:val="24"/>
          <w:highlight w:val="none"/>
          <w:lang w:val="en-US" w:eastAsia="zh-CN"/>
        </w:rPr>
        <w:t>12.</w:t>
      </w:r>
      <w:r>
        <w:rPr>
          <w:rFonts w:hint="eastAsia" w:ascii="宋体" w:hAnsi="宋体"/>
          <w:b/>
          <w:color w:val="auto"/>
          <w:sz w:val="24"/>
          <w:szCs w:val="24"/>
          <w:highlight w:val="none"/>
        </w:rPr>
        <w:t>需要补充的其他内容</w:t>
      </w:r>
      <w:bookmarkEnd w:id="81"/>
      <w:bookmarkEnd w:id="82"/>
      <w:bookmarkEnd w:id="83"/>
      <w:bookmarkEnd w:id="84"/>
    </w:p>
    <w:p w14:paraId="483B0FBC">
      <w:pPr>
        <w:pageBreakBefore w:val="0"/>
        <w:wordWrap/>
        <w:overflowPunct/>
        <w:bidi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需要补充的其他内容：见供应商须知前附表。  </w:t>
      </w:r>
      <w:bookmarkStart w:id="85" w:name="_Toc454525914"/>
      <w:bookmarkStart w:id="86" w:name="_Toc452907944"/>
      <w:bookmarkStart w:id="87" w:name="_Toc452908014"/>
    </w:p>
    <w:p w14:paraId="1CD77A1D">
      <w:pPr>
        <w:pStyle w:val="3"/>
        <w:pageBreakBefore w:val="0"/>
        <w:wordWrap/>
        <w:overflowPunct/>
        <w:bidi w:val="0"/>
        <w:spacing w:after="0" w:line="360" w:lineRule="auto"/>
        <w:jc w:val="center"/>
        <w:rPr>
          <w:rFonts w:ascii="宋体" w:hAnsi="宋体"/>
          <w:sz w:val="30"/>
          <w:szCs w:val="30"/>
          <w:highlight w:val="none"/>
        </w:rPr>
      </w:pPr>
      <w:r>
        <w:rPr>
          <w:rFonts w:hint="eastAsia" w:ascii="宋体" w:hAnsi="宋体"/>
          <w:sz w:val="30"/>
          <w:szCs w:val="30"/>
          <w:highlight w:val="none"/>
        </w:rPr>
        <w:br w:type="page"/>
      </w:r>
      <w:bookmarkEnd w:id="85"/>
      <w:bookmarkStart w:id="88" w:name="_Toc2500"/>
      <w:bookmarkStart w:id="89" w:name="_Toc24168"/>
      <w:bookmarkStart w:id="90" w:name="_Toc23174"/>
      <w:bookmarkStart w:id="91" w:name="_Toc5473"/>
      <w:bookmarkStart w:id="92" w:name="_Toc20033"/>
      <w:r>
        <w:rPr>
          <w:rFonts w:hint="eastAsia" w:ascii="Times New Roman" w:hAnsi="Times New Roman" w:eastAsia="宋体" w:cs="Times New Roman"/>
          <w:b/>
          <w:bCs/>
          <w:color w:val="000000"/>
          <w:kern w:val="0"/>
          <w:sz w:val="44"/>
          <w:szCs w:val="40"/>
          <w:highlight w:val="none"/>
          <w:u w:color="000000"/>
          <w:lang w:val="en-US" w:eastAsia="zh-CN" w:bidi="ar-SA"/>
        </w:rPr>
        <w:t>第三章  评标办法</w:t>
      </w:r>
      <w:bookmarkEnd w:id="88"/>
      <w:bookmarkEnd w:id="89"/>
    </w:p>
    <w:p w14:paraId="11746F2C">
      <w:pPr>
        <w:pStyle w:val="5"/>
        <w:pageBreakBefore w:val="0"/>
        <w:wordWrap/>
        <w:overflowPunct/>
        <w:bidi w:val="0"/>
        <w:spacing w:line="360" w:lineRule="auto"/>
        <w:jc w:val="center"/>
        <w:outlineLvl w:val="1"/>
        <w:rPr>
          <w:rFonts w:ascii="宋体" w:hAnsi="宋体" w:eastAsia="宋体" w:cs="宋体"/>
          <w:b w:val="0"/>
          <w:bCs/>
          <w:color w:val="auto"/>
          <w:sz w:val="24"/>
          <w:szCs w:val="24"/>
          <w:highlight w:val="none"/>
        </w:rPr>
      </w:pPr>
      <w:bookmarkStart w:id="93" w:name="_Toc31074"/>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评标办法前附表</w:t>
      </w:r>
      <w:bookmarkEnd w:id="93"/>
    </w:p>
    <w:tbl>
      <w:tblPr>
        <w:tblStyle w:val="17"/>
        <w:tblW w:w="9885"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17"/>
        <w:gridCol w:w="2011"/>
        <w:gridCol w:w="6317"/>
      </w:tblGrid>
      <w:tr w14:paraId="29E8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7" w:type="dxa"/>
            <w:gridSpan w:val="2"/>
            <w:vAlign w:val="center"/>
          </w:tcPr>
          <w:p w14:paraId="3AD9AD26">
            <w:pPr>
              <w:pageBreakBefore w:val="0"/>
              <w:widowControl w:val="0"/>
              <w:wordWrap/>
              <w:overflowPunct/>
              <w:bidi w:val="0"/>
              <w:snapToGrid w:val="0"/>
              <w:spacing w:before="102" w:after="102" w:line="360" w:lineRule="auto"/>
              <w:jc w:val="center"/>
              <w:textAlignment w:val="auto"/>
              <w:rPr>
                <w:rFonts w:ascii="宋体" w:hAnsi="宋体"/>
                <w:b/>
                <w:bCs/>
                <w:color w:val="auto"/>
                <w:sz w:val="24"/>
                <w:szCs w:val="24"/>
                <w:highlight w:val="none"/>
              </w:rPr>
            </w:pPr>
            <w:r>
              <w:rPr>
                <w:rFonts w:hint="eastAsia" w:ascii="宋体" w:hAnsi="宋体"/>
                <w:b/>
                <w:bCs/>
                <w:color w:val="auto"/>
                <w:sz w:val="24"/>
                <w:szCs w:val="24"/>
                <w:highlight w:val="none"/>
              </w:rPr>
              <w:t>条款号</w:t>
            </w:r>
          </w:p>
        </w:tc>
        <w:tc>
          <w:tcPr>
            <w:tcW w:w="2011" w:type="dxa"/>
            <w:vAlign w:val="center"/>
          </w:tcPr>
          <w:p w14:paraId="4BD44D31">
            <w:pPr>
              <w:pageBreakBefore w:val="0"/>
              <w:widowControl w:val="0"/>
              <w:wordWrap/>
              <w:overflowPunct/>
              <w:bidi w:val="0"/>
              <w:snapToGrid w:val="0"/>
              <w:spacing w:before="102" w:after="102" w:line="360" w:lineRule="auto"/>
              <w:textAlignment w:val="auto"/>
              <w:rPr>
                <w:rFonts w:ascii="宋体" w:hAnsi="宋体"/>
                <w:b/>
                <w:bCs/>
                <w:color w:val="auto"/>
                <w:sz w:val="24"/>
                <w:szCs w:val="24"/>
                <w:highlight w:val="none"/>
              </w:rPr>
            </w:pPr>
            <w:r>
              <w:rPr>
                <w:rFonts w:hint="eastAsia" w:ascii="宋体" w:hAnsi="宋体"/>
                <w:b/>
                <w:bCs/>
                <w:color w:val="auto"/>
                <w:sz w:val="24"/>
                <w:szCs w:val="24"/>
                <w:highlight w:val="none"/>
              </w:rPr>
              <w:t xml:space="preserve"> 评审因素</w:t>
            </w:r>
          </w:p>
        </w:tc>
        <w:tc>
          <w:tcPr>
            <w:tcW w:w="6317" w:type="dxa"/>
            <w:vAlign w:val="center"/>
          </w:tcPr>
          <w:p w14:paraId="2AA22818">
            <w:pPr>
              <w:pageBreakBefore w:val="0"/>
              <w:widowControl w:val="0"/>
              <w:wordWrap/>
              <w:overflowPunct/>
              <w:bidi w:val="0"/>
              <w:snapToGrid w:val="0"/>
              <w:spacing w:before="102" w:after="102" w:line="360" w:lineRule="auto"/>
              <w:jc w:val="center"/>
              <w:textAlignment w:val="auto"/>
              <w:rPr>
                <w:rFonts w:ascii="宋体" w:hAnsi="宋体"/>
                <w:b/>
                <w:bCs/>
                <w:color w:val="auto"/>
                <w:sz w:val="24"/>
                <w:szCs w:val="24"/>
                <w:highlight w:val="none"/>
              </w:rPr>
            </w:pPr>
            <w:r>
              <w:rPr>
                <w:rFonts w:hint="eastAsia" w:ascii="宋体" w:hAnsi="宋体"/>
                <w:b/>
                <w:bCs/>
                <w:color w:val="auto"/>
                <w:sz w:val="24"/>
                <w:szCs w:val="24"/>
                <w:highlight w:val="none"/>
              </w:rPr>
              <w:t>评审标准</w:t>
            </w:r>
          </w:p>
        </w:tc>
      </w:tr>
      <w:tr w14:paraId="16C0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vMerge w:val="restart"/>
            <w:vAlign w:val="center"/>
          </w:tcPr>
          <w:p w14:paraId="67A50B5B">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2.1.1</w:t>
            </w:r>
          </w:p>
        </w:tc>
        <w:tc>
          <w:tcPr>
            <w:tcW w:w="717" w:type="dxa"/>
            <w:vMerge w:val="restart"/>
            <w:vAlign w:val="center"/>
          </w:tcPr>
          <w:p w14:paraId="41B189E9">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符合性评审标准</w:t>
            </w:r>
          </w:p>
        </w:tc>
        <w:tc>
          <w:tcPr>
            <w:tcW w:w="2011" w:type="dxa"/>
            <w:vAlign w:val="center"/>
          </w:tcPr>
          <w:p w14:paraId="5304800B">
            <w:pPr>
              <w:pageBreakBefore w:val="0"/>
              <w:widowControl w:val="0"/>
              <w:wordWrap/>
              <w:overflowPunct/>
              <w:bidi w:val="0"/>
              <w:spacing w:before="102" w:after="102" w:line="360" w:lineRule="auto"/>
              <w:jc w:val="center"/>
              <w:rPr>
                <w:rFonts w:ascii="宋体" w:hAnsi="宋体" w:cs="宋体"/>
                <w:color w:val="auto"/>
                <w:sz w:val="24"/>
                <w:szCs w:val="24"/>
                <w:highlight w:val="none"/>
              </w:rPr>
            </w:pPr>
            <w:bookmarkStart w:id="94" w:name="OLE_LINK21"/>
            <w:r>
              <w:rPr>
                <w:rFonts w:hint="eastAsia" w:ascii="宋体" w:hAnsi="宋体" w:cs="宋体"/>
                <w:color w:val="auto"/>
                <w:sz w:val="24"/>
                <w:szCs w:val="24"/>
                <w:highlight w:val="none"/>
              </w:rPr>
              <w:t>供应商名称</w:t>
            </w:r>
            <w:bookmarkEnd w:id="94"/>
          </w:p>
        </w:tc>
        <w:tc>
          <w:tcPr>
            <w:tcW w:w="6317" w:type="dxa"/>
            <w:vAlign w:val="center"/>
          </w:tcPr>
          <w:p w14:paraId="6EB0FC03">
            <w:pPr>
              <w:pageBreakBefore w:val="0"/>
              <w:widowControl w:val="0"/>
              <w:wordWrap/>
              <w:overflowPunct/>
              <w:bidi w:val="0"/>
              <w:spacing w:before="102" w:after="102" w:line="360" w:lineRule="auto"/>
              <w:jc w:val="left"/>
              <w:rPr>
                <w:rFonts w:ascii="宋体" w:hAnsi="宋体" w:cs="宋体"/>
                <w:color w:val="auto"/>
                <w:sz w:val="24"/>
                <w:szCs w:val="24"/>
                <w:highlight w:val="none"/>
              </w:rPr>
            </w:pPr>
            <w:bookmarkStart w:id="95" w:name="OLE_LINK22"/>
            <w:r>
              <w:rPr>
                <w:rFonts w:hint="eastAsia" w:ascii="宋体" w:hAnsi="宋体" w:cs="宋体"/>
                <w:color w:val="auto"/>
                <w:sz w:val="24"/>
                <w:szCs w:val="24"/>
                <w:highlight w:val="none"/>
              </w:rPr>
              <w:t>与</w:t>
            </w:r>
            <w:r>
              <w:rPr>
                <w:rFonts w:hint="eastAsia" w:ascii="宋体" w:hAnsi="宋体" w:cs="宋体"/>
                <w:color w:val="auto"/>
                <w:sz w:val="24"/>
                <w:szCs w:val="24"/>
                <w:highlight w:val="none"/>
                <w:lang w:val="en-US" w:eastAsia="zh-CN"/>
              </w:rPr>
              <w:t>证明文件或身份证明</w:t>
            </w:r>
            <w:r>
              <w:rPr>
                <w:rFonts w:hint="eastAsia" w:ascii="宋体" w:hAnsi="宋体" w:cs="宋体"/>
                <w:color w:val="auto"/>
                <w:sz w:val="24"/>
                <w:szCs w:val="24"/>
                <w:highlight w:val="none"/>
              </w:rPr>
              <w:t>一致</w:t>
            </w:r>
            <w:bookmarkEnd w:id="95"/>
          </w:p>
        </w:tc>
      </w:tr>
      <w:tr w14:paraId="4218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vMerge w:val="continue"/>
            <w:vAlign w:val="center"/>
          </w:tcPr>
          <w:p w14:paraId="0251518D">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717" w:type="dxa"/>
            <w:vMerge w:val="continue"/>
            <w:vAlign w:val="center"/>
          </w:tcPr>
          <w:p w14:paraId="04B25050">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2011" w:type="dxa"/>
            <w:vAlign w:val="center"/>
          </w:tcPr>
          <w:p w14:paraId="47BFC87C">
            <w:pPr>
              <w:pageBreakBefore w:val="0"/>
              <w:widowControl w:val="0"/>
              <w:wordWrap/>
              <w:overflowPunct/>
              <w:bidi w:val="0"/>
              <w:spacing w:before="102" w:after="102" w:line="360" w:lineRule="auto"/>
              <w:jc w:val="center"/>
              <w:rPr>
                <w:rFonts w:ascii="宋体" w:hAnsi="宋体" w:cs="宋体"/>
                <w:color w:val="auto"/>
                <w:sz w:val="24"/>
                <w:szCs w:val="24"/>
                <w:highlight w:val="none"/>
              </w:rPr>
            </w:pPr>
            <w:bookmarkStart w:id="96" w:name="OLE_LINK23"/>
            <w:r>
              <w:rPr>
                <w:rFonts w:hint="eastAsia" w:ascii="宋体" w:hAnsi="宋体" w:cs="宋体"/>
                <w:color w:val="auto"/>
                <w:sz w:val="24"/>
                <w:szCs w:val="24"/>
                <w:highlight w:val="none"/>
              </w:rPr>
              <w:t>投标文件签署、盖章</w:t>
            </w:r>
            <w:bookmarkEnd w:id="96"/>
          </w:p>
        </w:tc>
        <w:tc>
          <w:tcPr>
            <w:tcW w:w="6317" w:type="dxa"/>
            <w:vAlign w:val="center"/>
          </w:tcPr>
          <w:p w14:paraId="237B0917">
            <w:pPr>
              <w:pageBreakBefore w:val="0"/>
              <w:widowControl w:val="0"/>
              <w:wordWrap/>
              <w:overflowPunct/>
              <w:bidi w:val="0"/>
              <w:spacing w:before="102" w:after="102" w:line="360" w:lineRule="auto"/>
              <w:jc w:val="left"/>
              <w:rPr>
                <w:rFonts w:ascii="宋体" w:hAnsi="宋体" w:cs="宋体"/>
                <w:color w:val="auto"/>
                <w:sz w:val="24"/>
                <w:szCs w:val="24"/>
                <w:highlight w:val="none"/>
              </w:rPr>
            </w:pPr>
            <w:bookmarkStart w:id="97" w:name="OLE_LINK24"/>
            <w:r>
              <w:rPr>
                <w:rFonts w:hint="eastAsia" w:ascii="宋体" w:hAnsi="宋体" w:cs="宋体"/>
                <w:color w:val="auto"/>
                <w:sz w:val="24"/>
                <w:szCs w:val="24"/>
                <w:highlight w:val="none"/>
              </w:rPr>
              <w:t>按招标文件要求签署、盖章</w:t>
            </w:r>
            <w:bookmarkEnd w:id="97"/>
          </w:p>
        </w:tc>
      </w:tr>
      <w:tr w14:paraId="2BEC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0" w:type="dxa"/>
            <w:vMerge w:val="continue"/>
            <w:vAlign w:val="center"/>
          </w:tcPr>
          <w:p w14:paraId="43561F09">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717" w:type="dxa"/>
            <w:vMerge w:val="continue"/>
            <w:vAlign w:val="center"/>
          </w:tcPr>
          <w:p w14:paraId="59F16EFD">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2011" w:type="dxa"/>
            <w:vAlign w:val="center"/>
          </w:tcPr>
          <w:p w14:paraId="1E3BCE22">
            <w:pPr>
              <w:pageBreakBefore w:val="0"/>
              <w:widowControl w:val="0"/>
              <w:wordWrap/>
              <w:overflowPunct/>
              <w:bidi w:val="0"/>
              <w:snapToGrid w:val="0"/>
              <w:spacing w:before="102" w:after="102" w:line="360" w:lineRule="auto"/>
              <w:jc w:val="center"/>
              <w:textAlignment w:val="auto"/>
              <w:rPr>
                <w:rFonts w:ascii="宋体" w:hAnsi="宋体"/>
                <w:color w:val="auto"/>
                <w:sz w:val="24"/>
                <w:szCs w:val="24"/>
                <w:highlight w:val="none"/>
              </w:rPr>
            </w:pPr>
            <w:bookmarkStart w:id="98" w:name="OLE_LINK25"/>
            <w:r>
              <w:rPr>
                <w:rFonts w:hint="eastAsia" w:ascii="宋体" w:hAnsi="宋体"/>
                <w:color w:val="auto"/>
                <w:sz w:val="24"/>
                <w:szCs w:val="24"/>
                <w:highlight w:val="none"/>
              </w:rPr>
              <w:t>报价唯一</w:t>
            </w:r>
            <w:bookmarkEnd w:id="98"/>
          </w:p>
        </w:tc>
        <w:tc>
          <w:tcPr>
            <w:tcW w:w="6317" w:type="dxa"/>
            <w:vAlign w:val="center"/>
          </w:tcPr>
          <w:p w14:paraId="775FA93E">
            <w:pPr>
              <w:pageBreakBefore w:val="0"/>
              <w:widowControl w:val="0"/>
              <w:wordWrap/>
              <w:overflowPunct/>
              <w:bidi w:val="0"/>
              <w:snapToGrid w:val="0"/>
              <w:spacing w:before="102" w:after="102" w:line="360" w:lineRule="auto"/>
              <w:jc w:val="left"/>
              <w:rPr>
                <w:rFonts w:ascii="宋体" w:hAnsi="宋体"/>
                <w:color w:val="auto"/>
                <w:sz w:val="24"/>
                <w:szCs w:val="24"/>
                <w:highlight w:val="none"/>
              </w:rPr>
            </w:pPr>
            <w:bookmarkStart w:id="99" w:name="OLE_LINK26"/>
            <w:r>
              <w:rPr>
                <w:rFonts w:hint="eastAsia" w:ascii="宋体" w:hAnsi="宋体" w:cs="Courier New"/>
                <w:color w:val="auto"/>
                <w:sz w:val="24"/>
                <w:szCs w:val="24"/>
                <w:highlight w:val="none"/>
              </w:rPr>
              <w:t>只能有一个有效报价</w:t>
            </w:r>
            <w:bookmarkEnd w:id="99"/>
          </w:p>
        </w:tc>
      </w:tr>
      <w:tr w14:paraId="2A74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40" w:type="dxa"/>
            <w:vMerge w:val="restart"/>
            <w:vAlign w:val="center"/>
          </w:tcPr>
          <w:p w14:paraId="30CB1394">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2.1.2</w:t>
            </w:r>
          </w:p>
        </w:tc>
        <w:tc>
          <w:tcPr>
            <w:tcW w:w="717" w:type="dxa"/>
            <w:vMerge w:val="restart"/>
            <w:vAlign w:val="center"/>
          </w:tcPr>
          <w:p w14:paraId="79BAE8AF">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资格评审标准</w:t>
            </w:r>
          </w:p>
        </w:tc>
        <w:tc>
          <w:tcPr>
            <w:tcW w:w="2011" w:type="dxa"/>
            <w:vAlign w:val="center"/>
          </w:tcPr>
          <w:p w14:paraId="127D6C33">
            <w:pPr>
              <w:pStyle w:val="22"/>
              <w:pageBreakBefore w:val="0"/>
              <w:widowControl/>
              <w:wordWrap/>
              <w:overflowPunct/>
              <w:bidi w:val="0"/>
              <w:spacing w:line="360" w:lineRule="auto"/>
              <w:jc w:val="center"/>
              <w:rPr>
                <w:rFonts w:hAnsi="宋体"/>
                <w:color w:val="auto"/>
                <w:sz w:val="24"/>
                <w:szCs w:val="24"/>
                <w:highlight w:val="none"/>
                <w:u w:color="000000"/>
              </w:rPr>
            </w:pPr>
            <w:r>
              <w:rPr>
                <w:rFonts w:hint="eastAsia" w:ascii="宋体" w:hAnsi="宋体" w:cs="宋体"/>
                <w:color w:val="auto"/>
                <w:sz w:val="24"/>
                <w:szCs w:val="24"/>
                <w:highlight w:val="none"/>
                <w:lang w:val="en-US" w:eastAsia="zh-CN"/>
              </w:rPr>
              <w:t>证明文件或身份证明</w:t>
            </w:r>
          </w:p>
        </w:tc>
        <w:tc>
          <w:tcPr>
            <w:tcW w:w="6317" w:type="dxa"/>
            <w:vAlign w:val="center"/>
          </w:tcPr>
          <w:p w14:paraId="70ACA648">
            <w:pPr>
              <w:pStyle w:val="22"/>
              <w:pageBreakBefore w:val="0"/>
              <w:widowControl/>
              <w:wordWrap/>
              <w:overflowPunct/>
              <w:bidi w:val="0"/>
              <w:spacing w:line="360" w:lineRule="auto"/>
              <w:jc w:val="left"/>
              <w:rPr>
                <w:rFonts w:hAnsi="宋体"/>
                <w:color w:val="auto"/>
                <w:sz w:val="24"/>
                <w:szCs w:val="24"/>
                <w:highlight w:val="none"/>
                <w:u w:color="000000"/>
              </w:rPr>
            </w:pPr>
            <w:bookmarkStart w:id="100" w:name="OLE_LINK14"/>
            <w:r>
              <w:rPr>
                <w:rFonts w:hint="eastAsia" w:hAnsi="宋体"/>
                <w:color w:val="auto"/>
                <w:sz w:val="24"/>
                <w:szCs w:val="24"/>
                <w:highlight w:val="none"/>
                <w:u w:color="000000"/>
                <w:lang w:eastAsia="zh-CN"/>
              </w:rPr>
              <w:t>供应商须具有独立承担民事责任的能力（提供有效的法人或者其他组织的营业执照等证明文件或自然人的身份证明）</w:t>
            </w:r>
            <w:r>
              <w:rPr>
                <w:rFonts w:hint="eastAsia" w:hAnsi="宋体"/>
                <w:color w:val="auto"/>
                <w:sz w:val="24"/>
                <w:szCs w:val="24"/>
                <w:highlight w:val="none"/>
                <w:u w:color="000000"/>
              </w:rPr>
              <w:t>；</w:t>
            </w:r>
            <w:bookmarkEnd w:id="100"/>
          </w:p>
        </w:tc>
      </w:tr>
      <w:tr w14:paraId="727C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vMerge w:val="continue"/>
            <w:vAlign w:val="center"/>
          </w:tcPr>
          <w:p w14:paraId="43756C21">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717" w:type="dxa"/>
            <w:vMerge w:val="continue"/>
            <w:vAlign w:val="center"/>
          </w:tcPr>
          <w:p w14:paraId="0AC218D7">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2011" w:type="dxa"/>
            <w:vAlign w:val="center"/>
          </w:tcPr>
          <w:p w14:paraId="533FA454">
            <w:pPr>
              <w:pStyle w:val="8"/>
              <w:pageBreakBefore w:val="0"/>
              <w:wordWrap/>
              <w:overflowPunct/>
              <w:bidi w:val="0"/>
              <w:spacing w:line="360" w:lineRule="auto"/>
              <w:jc w:val="center"/>
              <w:rPr>
                <w:rFonts w:hAnsi="宋体" w:eastAsia="宋体"/>
                <w:color w:val="auto"/>
                <w:sz w:val="24"/>
                <w:szCs w:val="24"/>
                <w:highlight w:val="none"/>
              </w:rPr>
            </w:pPr>
            <w:bookmarkStart w:id="101" w:name="OLE_LINK15"/>
            <w:r>
              <w:rPr>
                <w:rFonts w:hint="eastAsia" w:hAnsi="宋体" w:eastAsia="宋体"/>
                <w:color w:val="auto"/>
                <w:sz w:val="24"/>
                <w:szCs w:val="24"/>
                <w:highlight w:val="none"/>
              </w:rPr>
              <w:t>无商业贿赂及无不正当竞争行为的承诺书</w:t>
            </w:r>
            <w:bookmarkEnd w:id="101"/>
          </w:p>
        </w:tc>
        <w:tc>
          <w:tcPr>
            <w:tcW w:w="6317" w:type="dxa"/>
            <w:vAlign w:val="center"/>
          </w:tcPr>
          <w:p w14:paraId="4B901B82">
            <w:pPr>
              <w:pStyle w:val="8"/>
              <w:pageBreakBefore w:val="0"/>
              <w:wordWrap/>
              <w:overflowPunct/>
              <w:bidi w:val="0"/>
              <w:spacing w:line="360" w:lineRule="auto"/>
              <w:jc w:val="left"/>
              <w:rPr>
                <w:rFonts w:hAnsi="宋体" w:eastAsia="宋体"/>
                <w:color w:val="auto"/>
                <w:sz w:val="24"/>
                <w:szCs w:val="24"/>
                <w:highlight w:val="none"/>
              </w:rPr>
            </w:pPr>
            <w:bookmarkStart w:id="102" w:name="OLE_LINK16"/>
            <w:r>
              <w:rPr>
                <w:rFonts w:hint="eastAsia" w:hAnsi="宋体" w:eastAsia="宋体"/>
                <w:color w:val="auto"/>
                <w:sz w:val="24"/>
                <w:szCs w:val="24"/>
                <w:highlight w:val="none"/>
              </w:rPr>
              <w:t>供应商须提供本企业无商业贿赂和不正当竞争行为承诺书；</w:t>
            </w:r>
            <w:bookmarkEnd w:id="102"/>
          </w:p>
        </w:tc>
      </w:tr>
      <w:tr w14:paraId="6E58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vMerge w:val="continue"/>
            <w:vAlign w:val="center"/>
          </w:tcPr>
          <w:p w14:paraId="1F01F78A">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717" w:type="dxa"/>
            <w:vMerge w:val="continue"/>
            <w:vAlign w:val="center"/>
          </w:tcPr>
          <w:p w14:paraId="2982382F">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2011" w:type="dxa"/>
            <w:vAlign w:val="center"/>
          </w:tcPr>
          <w:p w14:paraId="03B22EC1">
            <w:pPr>
              <w:pStyle w:val="8"/>
              <w:pageBreakBefore w:val="0"/>
              <w:wordWrap/>
              <w:overflowPunct/>
              <w:bidi w:val="0"/>
              <w:spacing w:line="360" w:lineRule="auto"/>
              <w:jc w:val="center"/>
              <w:rPr>
                <w:rFonts w:hAnsi="宋体" w:eastAsia="宋体"/>
                <w:color w:val="auto"/>
                <w:sz w:val="24"/>
                <w:szCs w:val="24"/>
                <w:highlight w:val="none"/>
              </w:rPr>
            </w:pPr>
            <w:bookmarkStart w:id="103" w:name="OLE_LINK17"/>
            <w:r>
              <w:rPr>
                <w:rFonts w:hint="eastAsia" w:hAnsi="宋体" w:eastAsia="宋体"/>
                <w:color w:val="auto"/>
                <w:sz w:val="24"/>
                <w:szCs w:val="24"/>
                <w:highlight w:val="none"/>
              </w:rPr>
              <w:t>信用查询</w:t>
            </w:r>
            <w:bookmarkEnd w:id="103"/>
          </w:p>
        </w:tc>
        <w:tc>
          <w:tcPr>
            <w:tcW w:w="6317" w:type="dxa"/>
            <w:vAlign w:val="center"/>
          </w:tcPr>
          <w:p w14:paraId="65B8671F">
            <w:pPr>
              <w:pStyle w:val="8"/>
              <w:pageBreakBefore w:val="0"/>
              <w:wordWrap/>
              <w:overflowPunct/>
              <w:bidi w:val="0"/>
              <w:spacing w:line="360" w:lineRule="auto"/>
              <w:rPr>
                <w:rFonts w:hAnsi="宋体" w:eastAsia="宋体"/>
                <w:color w:val="auto"/>
                <w:kern w:val="0"/>
                <w:sz w:val="24"/>
                <w:szCs w:val="24"/>
                <w:highlight w:val="none"/>
              </w:rPr>
            </w:pPr>
            <w:bookmarkStart w:id="104" w:name="OLE_LINK18"/>
            <w:r>
              <w:rPr>
                <w:rFonts w:hint="eastAsia" w:hAnsi="宋体" w:eastAsia="宋体"/>
                <w:color w:val="auto"/>
                <w:kern w:val="0"/>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其参与本招标项目；（（①通过“信用中国”网站（http://www.creditchina.gov.cn/）“信用公示”-“失信被执行人”会跳转至“中国执行信息公开网”网站（http://zxgk.court.gov.cn/shixin/）查询企业（省份默认全部）②通过“信用中国”网站（http://www.creditchina.gov.cn/）“信用公示”-“重大税收违法失信主体”查询企业③通过“中国政府采购”网（www.ccgp.gov.cn）-“政府采购严重违法失信行为记录名单”查询企业），提供网站的查询结果截图；</w:t>
            </w:r>
            <w:bookmarkEnd w:id="104"/>
          </w:p>
        </w:tc>
      </w:tr>
      <w:tr w14:paraId="301A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vMerge w:val="continue"/>
            <w:vAlign w:val="center"/>
          </w:tcPr>
          <w:p w14:paraId="65C605D8">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717" w:type="dxa"/>
            <w:vMerge w:val="continue"/>
            <w:vAlign w:val="center"/>
          </w:tcPr>
          <w:p w14:paraId="78DB2F12">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2011" w:type="dxa"/>
            <w:vAlign w:val="center"/>
          </w:tcPr>
          <w:p w14:paraId="0BA9AC32">
            <w:pPr>
              <w:pStyle w:val="8"/>
              <w:pageBreakBefore w:val="0"/>
              <w:wordWrap/>
              <w:overflowPunct/>
              <w:bidi w:val="0"/>
              <w:spacing w:line="360" w:lineRule="auto"/>
              <w:jc w:val="center"/>
              <w:rPr>
                <w:rFonts w:hint="eastAsia" w:hAnsi="宋体" w:eastAsia="宋体"/>
                <w:color w:val="auto"/>
                <w:sz w:val="24"/>
                <w:szCs w:val="24"/>
                <w:highlight w:val="none"/>
                <w:lang w:eastAsia="zh-CN"/>
              </w:rPr>
            </w:pPr>
            <w:bookmarkStart w:id="105" w:name="OLE_LINK19"/>
            <w:r>
              <w:rPr>
                <w:rFonts w:hint="eastAsia" w:hAnsi="宋体" w:eastAsia="宋体"/>
                <w:color w:val="auto"/>
                <w:sz w:val="24"/>
                <w:szCs w:val="24"/>
                <w:highlight w:val="none"/>
                <w:lang w:val="en-US" w:eastAsia="zh-CN"/>
              </w:rPr>
              <w:t>非联合体承诺书</w:t>
            </w:r>
            <w:bookmarkEnd w:id="105"/>
          </w:p>
        </w:tc>
        <w:tc>
          <w:tcPr>
            <w:tcW w:w="6317" w:type="dxa"/>
            <w:vAlign w:val="center"/>
          </w:tcPr>
          <w:p w14:paraId="073FA7F3">
            <w:pPr>
              <w:pStyle w:val="8"/>
              <w:pageBreakBefore w:val="0"/>
              <w:wordWrap/>
              <w:overflowPunct/>
              <w:bidi w:val="0"/>
              <w:spacing w:line="360" w:lineRule="auto"/>
              <w:rPr>
                <w:rFonts w:hAnsi="宋体" w:eastAsia="宋体"/>
                <w:color w:val="auto"/>
                <w:kern w:val="0"/>
                <w:sz w:val="24"/>
                <w:szCs w:val="24"/>
                <w:highlight w:val="none"/>
              </w:rPr>
            </w:pPr>
            <w:bookmarkStart w:id="106" w:name="OLE_LINK20"/>
            <w:r>
              <w:rPr>
                <w:rFonts w:hint="eastAsia" w:hAnsi="宋体" w:eastAsia="宋体"/>
                <w:color w:val="auto"/>
                <w:kern w:val="0"/>
                <w:sz w:val="24"/>
                <w:szCs w:val="24"/>
                <w:highlight w:val="none"/>
              </w:rPr>
              <w:t>本项目不接受联合体投标；</w:t>
            </w:r>
            <w:bookmarkEnd w:id="106"/>
          </w:p>
        </w:tc>
      </w:tr>
      <w:tr w14:paraId="49F3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9885" w:type="dxa"/>
            <w:gridSpan w:val="4"/>
            <w:vAlign w:val="center"/>
          </w:tcPr>
          <w:p w14:paraId="43C6C00D">
            <w:pPr>
              <w:pageBreakBefore w:val="0"/>
              <w:tabs>
                <w:tab w:val="left" w:pos="3892"/>
              </w:tabs>
              <w:wordWrap/>
              <w:overflowPunct/>
              <w:bidi w:val="0"/>
              <w:snapToGrid w:val="0"/>
              <w:spacing w:before="120" w:beforeLines="50" w:after="120" w:afterLines="50" w:line="360" w:lineRule="auto"/>
              <w:jc w:val="center"/>
              <w:rPr>
                <w:rFonts w:hint="eastAsia" w:ascii="宋体" w:hAnsi="宋体" w:eastAsia="宋体"/>
                <w:color w:val="auto"/>
                <w:sz w:val="24"/>
                <w:szCs w:val="24"/>
                <w:highlight w:val="none"/>
                <w:lang w:eastAsia="zh-CN"/>
              </w:rPr>
            </w:pPr>
            <w:r>
              <w:rPr>
                <w:rFonts w:hint="eastAsia" w:ascii="宋体" w:hAnsi="宋体"/>
                <w:b/>
                <w:bCs/>
                <w:color w:val="auto"/>
                <w:sz w:val="24"/>
                <w:szCs w:val="24"/>
                <w:highlight w:val="none"/>
                <w:lang w:eastAsia="zh-CN"/>
              </w:rPr>
              <w:t>根据中华人民共和国财政部令第87号《政府采购货物和服务招标投标管理办法》第四十四条的规定，公开招标采购项目开标结束后，采购人或者采购代理机构应当依法对投标供应商的资格进行审查。合格投标供应商不足3家的，不得评标。资格评审以投标文件为准，其上传资料真实性由供应商自行承担。</w:t>
            </w:r>
          </w:p>
        </w:tc>
      </w:tr>
      <w:tr w14:paraId="7A2B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vMerge w:val="restart"/>
            <w:vAlign w:val="center"/>
          </w:tcPr>
          <w:p w14:paraId="0E7A86F4">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2.1.3</w:t>
            </w:r>
          </w:p>
        </w:tc>
        <w:tc>
          <w:tcPr>
            <w:tcW w:w="717" w:type="dxa"/>
            <w:vMerge w:val="restart"/>
            <w:vAlign w:val="center"/>
          </w:tcPr>
          <w:p w14:paraId="0D97F065">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响应性评审标准</w:t>
            </w:r>
          </w:p>
        </w:tc>
        <w:tc>
          <w:tcPr>
            <w:tcW w:w="2011" w:type="dxa"/>
            <w:vAlign w:val="center"/>
          </w:tcPr>
          <w:p w14:paraId="18EE1D8C">
            <w:pPr>
              <w:pStyle w:val="22"/>
              <w:pageBreakBefore w:val="0"/>
              <w:widowControl/>
              <w:wordWrap/>
              <w:overflowPunct/>
              <w:bidi w:val="0"/>
              <w:spacing w:before="120" w:beforeLines="50" w:after="120" w:afterLines="50" w:line="360" w:lineRule="auto"/>
              <w:jc w:val="center"/>
              <w:rPr>
                <w:rFonts w:hAnsi="宋体"/>
                <w:color w:val="auto"/>
                <w:kern w:val="2"/>
                <w:sz w:val="24"/>
                <w:szCs w:val="24"/>
                <w:highlight w:val="none"/>
              </w:rPr>
            </w:pPr>
            <w:bookmarkStart w:id="107" w:name="OLE_LINK27"/>
            <w:r>
              <w:rPr>
                <w:rFonts w:hint="eastAsia" w:hAnsi="宋体"/>
                <w:color w:val="auto"/>
                <w:sz w:val="24"/>
                <w:szCs w:val="24"/>
                <w:highlight w:val="none"/>
              </w:rPr>
              <w:t>供货期</w:t>
            </w:r>
            <w:bookmarkEnd w:id="107"/>
          </w:p>
        </w:tc>
        <w:tc>
          <w:tcPr>
            <w:tcW w:w="6317" w:type="dxa"/>
            <w:vAlign w:val="center"/>
          </w:tcPr>
          <w:p w14:paraId="01F048F3">
            <w:pPr>
              <w:pageBreakBefore w:val="0"/>
              <w:wordWrap/>
              <w:overflowPunct/>
              <w:bidi w:val="0"/>
              <w:snapToGrid w:val="0"/>
              <w:spacing w:before="120" w:beforeLines="50" w:after="120" w:afterLines="50" w:line="360" w:lineRule="auto"/>
              <w:jc w:val="left"/>
              <w:rPr>
                <w:rFonts w:ascii="宋体" w:hAnsi="宋体"/>
                <w:color w:val="auto"/>
                <w:kern w:val="2"/>
                <w:sz w:val="24"/>
                <w:szCs w:val="24"/>
                <w:highlight w:val="none"/>
              </w:rPr>
            </w:pPr>
            <w:bookmarkStart w:id="108" w:name="OLE_LINK28"/>
            <w:r>
              <w:rPr>
                <w:rFonts w:hint="eastAsia" w:ascii="宋体" w:hAnsi="宋体"/>
                <w:color w:val="auto"/>
                <w:sz w:val="24"/>
                <w:szCs w:val="24"/>
                <w:highlight w:val="none"/>
              </w:rPr>
              <w:t>合同签订起一年内</w:t>
            </w:r>
            <w:bookmarkEnd w:id="108"/>
            <w:r>
              <w:rPr>
                <w:rFonts w:hint="eastAsia" w:ascii="宋体" w:hAnsi="宋体"/>
                <w:color w:val="auto"/>
                <w:sz w:val="24"/>
                <w:szCs w:val="24"/>
                <w:lang w:eastAsia="zh-CN"/>
              </w:rPr>
              <w:t>（</w:t>
            </w:r>
            <w:r>
              <w:rPr>
                <w:rFonts w:hint="eastAsia" w:ascii="宋体" w:hAnsi="宋体"/>
                <w:color w:val="auto"/>
                <w:sz w:val="24"/>
                <w:szCs w:val="24"/>
                <w:lang w:val="en-US" w:eastAsia="zh-CN"/>
              </w:rPr>
              <w:t>2026年5月-2027年4月</w:t>
            </w:r>
            <w:r>
              <w:rPr>
                <w:rFonts w:hint="eastAsia" w:ascii="宋体" w:hAnsi="宋体"/>
                <w:color w:val="auto"/>
                <w:sz w:val="24"/>
                <w:szCs w:val="24"/>
                <w:lang w:eastAsia="zh-CN"/>
              </w:rPr>
              <w:t>）</w:t>
            </w:r>
          </w:p>
        </w:tc>
      </w:tr>
      <w:tr w14:paraId="44C9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0" w:type="dxa"/>
            <w:vMerge w:val="continue"/>
            <w:vAlign w:val="center"/>
          </w:tcPr>
          <w:p w14:paraId="6617B1B4">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717" w:type="dxa"/>
            <w:vMerge w:val="continue"/>
            <w:vAlign w:val="center"/>
          </w:tcPr>
          <w:p w14:paraId="36093702">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2011" w:type="dxa"/>
            <w:vAlign w:val="center"/>
          </w:tcPr>
          <w:p w14:paraId="1A9021CB">
            <w:pPr>
              <w:pStyle w:val="22"/>
              <w:pageBreakBefore w:val="0"/>
              <w:widowControl/>
              <w:wordWrap/>
              <w:overflowPunct/>
              <w:bidi w:val="0"/>
              <w:spacing w:before="120" w:beforeLines="50" w:after="120" w:afterLines="50" w:line="360" w:lineRule="auto"/>
              <w:jc w:val="center"/>
              <w:rPr>
                <w:rFonts w:hAnsi="宋体"/>
                <w:color w:val="auto"/>
                <w:sz w:val="24"/>
                <w:szCs w:val="24"/>
                <w:highlight w:val="none"/>
              </w:rPr>
            </w:pPr>
            <w:bookmarkStart w:id="109" w:name="OLE_LINK29"/>
            <w:r>
              <w:rPr>
                <w:rFonts w:hint="eastAsia" w:ascii="宋体" w:hAnsi="宋体"/>
                <w:color w:val="auto"/>
                <w:sz w:val="24"/>
                <w:szCs w:val="24"/>
                <w:highlight w:val="none"/>
              </w:rPr>
              <w:t>交货地点</w:t>
            </w:r>
            <w:bookmarkEnd w:id="109"/>
          </w:p>
        </w:tc>
        <w:tc>
          <w:tcPr>
            <w:tcW w:w="6317" w:type="dxa"/>
            <w:vAlign w:val="center"/>
          </w:tcPr>
          <w:p w14:paraId="6962C3EB">
            <w:pPr>
              <w:pageBreakBefore w:val="0"/>
              <w:wordWrap/>
              <w:overflowPunct/>
              <w:bidi w:val="0"/>
              <w:spacing w:line="360" w:lineRule="auto"/>
              <w:jc w:val="left"/>
              <w:outlineLvl w:val="9"/>
              <w:rPr>
                <w:rFonts w:hAnsi="宋体"/>
                <w:color w:val="auto"/>
                <w:sz w:val="24"/>
                <w:szCs w:val="24"/>
                <w:highlight w:val="none"/>
              </w:rPr>
            </w:pPr>
            <w:bookmarkStart w:id="110" w:name="OLE_LINK30"/>
            <w:r>
              <w:rPr>
                <w:rFonts w:hint="eastAsia" w:ascii="宋体" w:hAnsi="宋体"/>
                <w:color w:val="auto"/>
                <w:sz w:val="24"/>
                <w:szCs w:val="24"/>
                <w:highlight w:val="none"/>
              </w:rPr>
              <w:t>采购人指定地点</w:t>
            </w:r>
            <w:bookmarkEnd w:id="110"/>
          </w:p>
        </w:tc>
      </w:tr>
      <w:tr w14:paraId="415D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40" w:type="dxa"/>
            <w:vMerge w:val="continue"/>
            <w:vAlign w:val="center"/>
          </w:tcPr>
          <w:p w14:paraId="759F1C0A">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717" w:type="dxa"/>
            <w:vMerge w:val="continue"/>
            <w:vAlign w:val="center"/>
          </w:tcPr>
          <w:p w14:paraId="7403932E">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2011" w:type="dxa"/>
            <w:vAlign w:val="center"/>
          </w:tcPr>
          <w:p w14:paraId="48324D1D">
            <w:pPr>
              <w:pStyle w:val="22"/>
              <w:pageBreakBefore w:val="0"/>
              <w:widowControl/>
              <w:wordWrap/>
              <w:overflowPunct/>
              <w:bidi w:val="0"/>
              <w:spacing w:before="120" w:beforeLines="50" w:after="120" w:afterLines="50" w:line="360" w:lineRule="auto"/>
              <w:jc w:val="center"/>
              <w:rPr>
                <w:rFonts w:hAnsi="宋体"/>
                <w:color w:val="auto"/>
                <w:sz w:val="24"/>
                <w:szCs w:val="24"/>
                <w:highlight w:val="none"/>
              </w:rPr>
            </w:pPr>
            <w:bookmarkStart w:id="111" w:name="OLE_LINK31"/>
            <w:r>
              <w:rPr>
                <w:rFonts w:hAnsi="宋体"/>
                <w:color w:val="auto"/>
                <w:sz w:val="24"/>
                <w:szCs w:val="24"/>
                <w:highlight w:val="none"/>
              </w:rPr>
              <w:t>质量要求</w:t>
            </w:r>
            <w:bookmarkEnd w:id="111"/>
          </w:p>
        </w:tc>
        <w:tc>
          <w:tcPr>
            <w:tcW w:w="6317" w:type="dxa"/>
            <w:vAlign w:val="center"/>
          </w:tcPr>
          <w:p w14:paraId="4CC51FAF">
            <w:pPr>
              <w:pageBreakBefore w:val="0"/>
              <w:wordWrap/>
              <w:overflowPunct/>
              <w:bidi w:val="0"/>
              <w:snapToGrid w:val="0"/>
              <w:spacing w:before="120" w:beforeLines="50" w:after="120" w:afterLines="50" w:line="360" w:lineRule="auto"/>
              <w:jc w:val="left"/>
              <w:rPr>
                <w:rFonts w:ascii="宋体" w:hAnsi="宋体"/>
                <w:color w:val="auto"/>
                <w:sz w:val="24"/>
                <w:szCs w:val="24"/>
                <w:highlight w:val="none"/>
              </w:rPr>
            </w:pPr>
            <w:bookmarkStart w:id="112" w:name="OLE_LINK32"/>
            <w:r>
              <w:rPr>
                <w:rFonts w:hint="eastAsia" w:ascii="宋体" w:hAnsi="宋体"/>
                <w:color w:val="auto"/>
                <w:sz w:val="24"/>
                <w:szCs w:val="24"/>
                <w:highlight w:val="none"/>
              </w:rPr>
              <w:t>符合国家相关质量标准规定，满足使用要求</w:t>
            </w:r>
            <w:bookmarkEnd w:id="112"/>
          </w:p>
        </w:tc>
      </w:tr>
      <w:tr w14:paraId="5EC4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40" w:type="dxa"/>
            <w:vMerge w:val="continue"/>
            <w:vAlign w:val="center"/>
          </w:tcPr>
          <w:p w14:paraId="15FDFE85">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717" w:type="dxa"/>
            <w:vMerge w:val="continue"/>
            <w:vAlign w:val="center"/>
          </w:tcPr>
          <w:p w14:paraId="10E330AF">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2011" w:type="dxa"/>
            <w:vAlign w:val="center"/>
          </w:tcPr>
          <w:p w14:paraId="2EEE04D5">
            <w:pPr>
              <w:pStyle w:val="22"/>
              <w:pageBreakBefore w:val="0"/>
              <w:widowControl/>
              <w:wordWrap/>
              <w:overflowPunct/>
              <w:bidi w:val="0"/>
              <w:spacing w:before="120" w:beforeLines="50" w:after="120" w:afterLines="50" w:line="360" w:lineRule="auto"/>
              <w:jc w:val="center"/>
              <w:rPr>
                <w:rFonts w:hAnsi="宋体"/>
                <w:color w:val="auto"/>
                <w:sz w:val="24"/>
                <w:szCs w:val="24"/>
                <w:highlight w:val="none"/>
              </w:rPr>
            </w:pPr>
            <w:bookmarkStart w:id="113" w:name="OLE_LINK33"/>
            <w:r>
              <w:rPr>
                <w:rFonts w:hint="eastAsia" w:ascii="宋体" w:hAnsi="宋体"/>
                <w:color w:val="auto"/>
                <w:sz w:val="24"/>
                <w:szCs w:val="24"/>
              </w:rPr>
              <w:t>投标有效期</w:t>
            </w:r>
            <w:bookmarkEnd w:id="113"/>
          </w:p>
        </w:tc>
        <w:tc>
          <w:tcPr>
            <w:tcW w:w="6317" w:type="dxa"/>
            <w:vAlign w:val="center"/>
          </w:tcPr>
          <w:p w14:paraId="5DD0F552">
            <w:pPr>
              <w:pageBreakBefore w:val="0"/>
              <w:wordWrap/>
              <w:overflowPunct/>
              <w:bidi w:val="0"/>
              <w:snapToGrid w:val="0"/>
              <w:spacing w:before="120" w:beforeLines="50" w:after="120" w:afterLines="50" w:line="360" w:lineRule="auto"/>
              <w:jc w:val="left"/>
              <w:rPr>
                <w:rFonts w:hint="eastAsia" w:ascii="宋体" w:hAnsi="宋体"/>
                <w:color w:val="auto"/>
                <w:sz w:val="24"/>
                <w:szCs w:val="24"/>
                <w:highlight w:val="none"/>
              </w:rPr>
            </w:pPr>
            <w:bookmarkStart w:id="114" w:name="OLE_LINK34"/>
            <w:r>
              <w:rPr>
                <w:rFonts w:hint="eastAsia" w:ascii="宋体" w:hAnsi="宋体"/>
                <w:color w:val="auto"/>
                <w:sz w:val="24"/>
                <w:szCs w:val="24"/>
                <w:highlight w:val="none"/>
              </w:rPr>
              <w:t>投标截止之日起90日历天</w:t>
            </w:r>
            <w:bookmarkEnd w:id="114"/>
          </w:p>
        </w:tc>
      </w:tr>
      <w:tr w14:paraId="4A30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840" w:type="dxa"/>
            <w:vMerge w:val="continue"/>
            <w:vAlign w:val="center"/>
          </w:tcPr>
          <w:p w14:paraId="49D2B7E5">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717" w:type="dxa"/>
            <w:vMerge w:val="continue"/>
            <w:vAlign w:val="center"/>
          </w:tcPr>
          <w:p w14:paraId="13850054">
            <w:pPr>
              <w:pageBreakBefore w:val="0"/>
              <w:widowControl w:val="0"/>
              <w:wordWrap/>
              <w:overflowPunct/>
              <w:bidi w:val="0"/>
              <w:snapToGrid w:val="0"/>
              <w:spacing w:before="102" w:after="102" w:line="360" w:lineRule="auto"/>
              <w:textAlignment w:val="auto"/>
              <w:rPr>
                <w:rFonts w:ascii="宋体" w:hAnsi="宋体"/>
                <w:color w:val="auto"/>
                <w:sz w:val="24"/>
                <w:szCs w:val="24"/>
                <w:highlight w:val="none"/>
              </w:rPr>
            </w:pPr>
          </w:p>
        </w:tc>
        <w:tc>
          <w:tcPr>
            <w:tcW w:w="2011" w:type="dxa"/>
            <w:vAlign w:val="center"/>
          </w:tcPr>
          <w:p w14:paraId="6ED2CD7E">
            <w:pPr>
              <w:pStyle w:val="22"/>
              <w:pageBreakBefore w:val="0"/>
              <w:widowControl/>
              <w:wordWrap/>
              <w:overflowPunct/>
              <w:bidi w:val="0"/>
              <w:spacing w:before="120" w:beforeLines="50" w:after="120" w:afterLines="50" w:line="360" w:lineRule="auto"/>
              <w:jc w:val="center"/>
              <w:rPr>
                <w:rFonts w:hAnsi="宋体"/>
                <w:color w:val="auto"/>
                <w:sz w:val="24"/>
                <w:szCs w:val="24"/>
                <w:highlight w:val="none"/>
              </w:rPr>
            </w:pPr>
            <w:bookmarkStart w:id="115" w:name="OLE_LINK35"/>
            <w:r>
              <w:rPr>
                <w:rFonts w:hint="eastAsia" w:ascii="宋体" w:hAnsi="宋体"/>
                <w:color w:val="auto"/>
                <w:sz w:val="24"/>
                <w:szCs w:val="24"/>
                <w:lang w:eastAsia="zh-CN"/>
              </w:rPr>
              <w:t>采购内容</w:t>
            </w:r>
            <w:bookmarkEnd w:id="115"/>
          </w:p>
        </w:tc>
        <w:tc>
          <w:tcPr>
            <w:tcW w:w="6317" w:type="dxa"/>
            <w:vAlign w:val="center"/>
          </w:tcPr>
          <w:p w14:paraId="5DBDE2E4">
            <w:pPr>
              <w:pageBreakBefore w:val="0"/>
              <w:wordWrap/>
              <w:overflowPunct/>
              <w:bidi w:val="0"/>
              <w:snapToGrid w:val="0"/>
              <w:spacing w:before="120" w:beforeLines="50" w:after="120" w:afterLines="50" w:line="360" w:lineRule="auto"/>
              <w:jc w:val="left"/>
              <w:rPr>
                <w:rFonts w:hint="eastAsia" w:ascii="宋体" w:hAnsi="宋体" w:eastAsia="宋体"/>
                <w:color w:val="auto"/>
                <w:sz w:val="24"/>
                <w:szCs w:val="24"/>
                <w:highlight w:val="none"/>
                <w:lang w:eastAsia="zh-CN"/>
              </w:rPr>
            </w:pPr>
            <w:bookmarkStart w:id="116" w:name="OLE_LINK36"/>
            <w:r>
              <w:rPr>
                <w:rFonts w:hint="eastAsia" w:ascii="宋体" w:hAnsi="宋体"/>
                <w:color w:val="auto"/>
                <w:sz w:val="24"/>
                <w:szCs w:val="24"/>
                <w:highlight w:val="none"/>
              </w:rPr>
              <w:t>本项目为三门峡市市区城市道路</w:t>
            </w:r>
            <w:r>
              <w:rPr>
                <w:rFonts w:hint="eastAsia" w:ascii="宋体" w:hAnsi="宋体"/>
                <w:color w:val="auto"/>
                <w:sz w:val="24"/>
                <w:szCs w:val="24"/>
                <w:highlight w:val="none"/>
                <w:lang w:eastAsia="zh-CN"/>
              </w:rPr>
              <w:t>2026年</w:t>
            </w:r>
            <w:r>
              <w:rPr>
                <w:rFonts w:hint="eastAsia" w:ascii="宋体" w:hAnsi="宋体"/>
                <w:color w:val="auto"/>
                <w:sz w:val="24"/>
                <w:szCs w:val="24"/>
                <w:highlight w:val="none"/>
              </w:rPr>
              <w:t>度实施日常养护、专项维护、应急抢险等养护维修任务时采购沥青混凝土维修材料进行的公开招标，拟采用单价招标。本采购项目拟以三门峡市定额站发布的</w:t>
            </w:r>
            <w:r>
              <w:rPr>
                <w:rFonts w:hint="eastAsia" w:ascii="宋体" w:hAnsi="宋体"/>
                <w:color w:val="auto"/>
                <w:sz w:val="24"/>
                <w:szCs w:val="24"/>
                <w:highlight w:val="none"/>
                <w:lang w:eastAsia="zh-CN"/>
              </w:rPr>
              <w:t>2026年</w:t>
            </w:r>
            <w:r>
              <w:rPr>
                <w:rFonts w:hint="eastAsia" w:ascii="宋体" w:hAnsi="宋体"/>
                <w:color w:val="auto"/>
                <w:sz w:val="24"/>
                <w:szCs w:val="24"/>
                <w:highlight w:val="none"/>
              </w:rPr>
              <w:t>当期《三门峡工程标准造价信息》中沥青混凝土的价格为基准价，各供应商以下浮百分比</w:t>
            </w:r>
            <w:r>
              <w:rPr>
                <w:rFonts w:hint="eastAsia" w:ascii="宋体" w:hAnsi="宋体"/>
                <w:color w:val="auto"/>
                <w:sz w:val="24"/>
                <w:szCs w:val="24"/>
                <w:lang w:val="en-US" w:eastAsia="zh-CN"/>
              </w:rPr>
              <w:t>后的数值</w:t>
            </w:r>
            <w:r>
              <w:rPr>
                <w:rFonts w:hint="eastAsia" w:ascii="宋体" w:hAnsi="宋体"/>
                <w:color w:val="auto"/>
                <w:sz w:val="24"/>
                <w:szCs w:val="24"/>
                <w:highlight w:val="none"/>
              </w:rPr>
              <w:t>进行报价。采购完成后，结算时按照供料时间当期信息价，下浮百分比</w:t>
            </w:r>
            <w:r>
              <w:rPr>
                <w:rFonts w:hint="eastAsia" w:ascii="宋体" w:hAnsi="宋体"/>
                <w:color w:val="auto"/>
                <w:sz w:val="24"/>
                <w:szCs w:val="24"/>
                <w:lang w:val="en-US" w:eastAsia="zh-CN"/>
              </w:rPr>
              <w:t>后的数值</w:t>
            </w:r>
            <w:r>
              <w:rPr>
                <w:rFonts w:hint="eastAsia" w:ascii="宋体" w:hAnsi="宋体"/>
                <w:color w:val="auto"/>
                <w:sz w:val="24"/>
                <w:szCs w:val="24"/>
                <w:highlight w:val="none"/>
              </w:rPr>
              <w:t>进行结算</w:t>
            </w:r>
            <w:r>
              <w:rPr>
                <w:rFonts w:hint="eastAsia" w:ascii="宋体" w:hAnsi="宋体"/>
                <w:color w:val="auto"/>
                <w:sz w:val="24"/>
                <w:szCs w:val="24"/>
                <w:highlight w:val="none"/>
                <w:lang w:eastAsia="zh-CN"/>
              </w:rPr>
              <w:t>。</w:t>
            </w:r>
            <w:bookmarkEnd w:id="116"/>
          </w:p>
        </w:tc>
      </w:tr>
    </w:tbl>
    <w:p w14:paraId="3760F44E">
      <w:pPr>
        <w:pageBreakBefore w:val="0"/>
        <w:numPr>
          <w:ilvl w:val="0"/>
          <w:numId w:val="0"/>
        </w:numPr>
        <w:wordWrap/>
        <w:overflowPunct/>
        <w:bidi w:val="0"/>
        <w:spacing w:line="360" w:lineRule="auto"/>
        <w:jc w:val="center"/>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br w:type="page"/>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评分标准分项明细表</w:t>
      </w:r>
    </w:p>
    <w:tbl>
      <w:tblPr>
        <w:tblStyle w:val="17"/>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901"/>
        <w:gridCol w:w="7037"/>
        <w:gridCol w:w="1025"/>
      </w:tblGrid>
      <w:tr w14:paraId="50F1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1D8934D9">
            <w:pPr>
              <w:pageBreakBefore w:val="0"/>
              <w:wordWrap/>
              <w:overflowPunct/>
              <w:bidi w:val="0"/>
              <w:spacing w:line="360" w:lineRule="auto"/>
              <w:jc w:val="center"/>
              <w:rPr>
                <w:rFonts w:ascii="宋体" w:hAnsi="宋体"/>
                <w:sz w:val="24"/>
                <w:szCs w:val="24"/>
                <w:highlight w:val="none"/>
              </w:rPr>
            </w:pPr>
            <w:r>
              <w:rPr>
                <w:rFonts w:hint="eastAsia" w:ascii="宋体" w:hAnsi="宋体"/>
                <w:sz w:val="24"/>
                <w:szCs w:val="24"/>
                <w:highlight w:val="none"/>
              </w:rPr>
              <w:t>序号</w:t>
            </w:r>
          </w:p>
        </w:tc>
        <w:tc>
          <w:tcPr>
            <w:tcW w:w="901" w:type="dxa"/>
            <w:shd w:val="clear" w:color="auto" w:fill="auto"/>
            <w:vAlign w:val="center"/>
          </w:tcPr>
          <w:p w14:paraId="33BD1A83">
            <w:pPr>
              <w:pageBreakBefore w:val="0"/>
              <w:wordWrap/>
              <w:overflowPunct/>
              <w:bidi w:val="0"/>
              <w:spacing w:line="360" w:lineRule="auto"/>
              <w:jc w:val="center"/>
              <w:rPr>
                <w:rFonts w:ascii="宋体" w:hAnsi="宋体"/>
                <w:sz w:val="24"/>
                <w:szCs w:val="24"/>
                <w:highlight w:val="none"/>
              </w:rPr>
            </w:pPr>
            <w:r>
              <w:rPr>
                <w:rFonts w:hint="eastAsia" w:ascii="宋体" w:hAnsi="宋体"/>
                <w:sz w:val="24"/>
                <w:szCs w:val="24"/>
                <w:highlight w:val="none"/>
              </w:rPr>
              <w:t>分类</w:t>
            </w:r>
          </w:p>
        </w:tc>
        <w:tc>
          <w:tcPr>
            <w:tcW w:w="7037" w:type="dxa"/>
            <w:shd w:val="clear" w:color="auto" w:fill="auto"/>
            <w:vAlign w:val="center"/>
          </w:tcPr>
          <w:p w14:paraId="78AED779">
            <w:pPr>
              <w:pageBreakBefore w:val="0"/>
              <w:wordWrap/>
              <w:overflowPunct/>
              <w:bidi w:val="0"/>
              <w:spacing w:line="360" w:lineRule="auto"/>
              <w:jc w:val="center"/>
              <w:rPr>
                <w:rFonts w:ascii="宋体" w:hAnsi="宋体"/>
                <w:sz w:val="24"/>
                <w:szCs w:val="24"/>
                <w:highlight w:val="none"/>
              </w:rPr>
            </w:pPr>
            <w:r>
              <w:rPr>
                <w:rFonts w:hint="eastAsia" w:ascii="宋体" w:hAnsi="宋体"/>
                <w:sz w:val="24"/>
                <w:szCs w:val="24"/>
                <w:highlight w:val="none"/>
              </w:rPr>
              <w:t>评分标准</w:t>
            </w:r>
          </w:p>
        </w:tc>
        <w:tc>
          <w:tcPr>
            <w:tcW w:w="1025" w:type="dxa"/>
            <w:shd w:val="clear" w:color="auto" w:fill="auto"/>
            <w:vAlign w:val="center"/>
          </w:tcPr>
          <w:p w14:paraId="668D2C86">
            <w:pPr>
              <w:pageBreakBefore w:val="0"/>
              <w:wordWrap/>
              <w:overflowPunct/>
              <w:bidi w:val="0"/>
              <w:spacing w:line="360" w:lineRule="auto"/>
              <w:jc w:val="center"/>
              <w:rPr>
                <w:rFonts w:ascii="宋体" w:hAnsi="宋体"/>
                <w:sz w:val="24"/>
                <w:szCs w:val="24"/>
                <w:highlight w:val="none"/>
              </w:rPr>
            </w:pPr>
            <w:r>
              <w:rPr>
                <w:rFonts w:hint="eastAsia" w:ascii="宋体" w:hAnsi="宋体"/>
                <w:sz w:val="24"/>
                <w:szCs w:val="24"/>
                <w:highlight w:val="none"/>
              </w:rPr>
              <w:t>分数</w:t>
            </w:r>
          </w:p>
        </w:tc>
      </w:tr>
      <w:tr w14:paraId="02B0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0" w:type="dxa"/>
            <w:gridSpan w:val="4"/>
            <w:shd w:val="clear" w:color="auto" w:fill="auto"/>
            <w:vAlign w:val="center"/>
          </w:tcPr>
          <w:p w14:paraId="159B5248">
            <w:pPr>
              <w:pageBreakBefore w:val="0"/>
              <w:wordWrap/>
              <w:overflowPunct/>
              <w:bidi w:val="0"/>
              <w:spacing w:line="360" w:lineRule="auto"/>
              <w:jc w:val="center"/>
              <w:rPr>
                <w:rFonts w:ascii="宋体" w:hAnsi="宋体"/>
                <w:sz w:val="24"/>
                <w:szCs w:val="24"/>
                <w:highlight w:val="none"/>
              </w:rPr>
            </w:pPr>
            <w:r>
              <w:rPr>
                <w:rFonts w:hint="eastAsia" w:ascii="宋体" w:hAnsi="宋体"/>
                <w:b/>
                <w:bCs/>
                <w:sz w:val="24"/>
                <w:szCs w:val="24"/>
                <w:highlight w:val="none"/>
              </w:rPr>
              <w:t>报价部分（3</w:t>
            </w:r>
            <w:r>
              <w:rPr>
                <w:rFonts w:ascii="宋体" w:hAnsi="宋体"/>
                <w:b/>
                <w:bCs/>
                <w:sz w:val="24"/>
                <w:szCs w:val="24"/>
                <w:highlight w:val="none"/>
              </w:rPr>
              <w:t>0</w:t>
            </w:r>
            <w:r>
              <w:rPr>
                <w:rFonts w:hint="eastAsia" w:ascii="宋体" w:hAnsi="宋体"/>
                <w:b/>
                <w:bCs/>
                <w:sz w:val="24"/>
                <w:szCs w:val="24"/>
                <w:highlight w:val="none"/>
              </w:rPr>
              <w:t>分）</w:t>
            </w:r>
          </w:p>
        </w:tc>
      </w:tr>
      <w:tr w14:paraId="603A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3FDB61F9">
            <w:pPr>
              <w:pageBreakBefore w:val="0"/>
              <w:wordWrap/>
              <w:overflowPunct/>
              <w:bidi w:val="0"/>
              <w:spacing w:line="360" w:lineRule="auto"/>
              <w:jc w:val="center"/>
              <w:rPr>
                <w:rFonts w:ascii="宋体" w:hAnsi="宋体"/>
                <w:sz w:val="24"/>
                <w:szCs w:val="24"/>
                <w:highlight w:val="none"/>
              </w:rPr>
            </w:pPr>
            <w:r>
              <w:rPr>
                <w:rFonts w:hint="eastAsia" w:ascii="宋体" w:hAnsi="宋体"/>
                <w:sz w:val="24"/>
                <w:szCs w:val="24"/>
                <w:highlight w:val="none"/>
              </w:rPr>
              <w:t>1</w:t>
            </w:r>
          </w:p>
        </w:tc>
        <w:tc>
          <w:tcPr>
            <w:tcW w:w="901" w:type="dxa"/>
            <w:shd w:val="clear" w:color="auto" w:fill="auto"/>
            <w:vAlign w:val="center"/>
          </w:tcPr>
          <w:p w14:paraId="65AF0B33">
            <w:pPr>
              <w:pageBreakBefore w:val="0"/>
              <w:wordWrap/>
              <w:overflowPunct/>
              <w:bidi w:val="0"/>
              <w:spacing w:line="360" w:lineRule="auto"/>
              <w:jc w:val="center"/>
              <w:rPr>
                <w:rFonts w:hint="default" w:ascii="宋体" w:hAnsi="宋体" w:eastAsia="宋体"/>
                <w:sz w:val="24"/>
                <w:szCs w:val="24"/>
                <w:highlight w:val="none"/>
                <w:lang w:val="en-US" w:eastAsia="zh-CN"/>
              </w:rPr>
            </w:pPr>
            <w:bookmarkStart w:id="117" w:name="OLE_LINK38"/>
            <w:r>
              <w:rPr>
                <w:rFonts w:hint="eastAsia" w:ascii="宋体" w:hAnsi="宋体"/>
                <w:sz w:val="24"/>
                <w:szCs w:val="24"/>
                <w:highlight w:val="none"/>
                <w:lang w:val="en-US" w:eastAsia="zh-CN"/>
              </w:rPr>
              <w:t>报价部分</w:t>
            </w:r>
            <w:bookmarkEnd w:id="117"/>
          </w:p>
        </w:tc>
        <w:tc>
          <w:tcPr>
            <w:tcW w:w="7037" w:type="dxa"/>
            <w:shd w:val="clear" w:color="auto" w:fill="auto"/>
            <w:vAlign w:val="center"/>
          </w:tcPr>
          <w:p w14:paraId="474C2386">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highlight w:val="none"/>
              </w:rPr>
            </w:pPr>
            <w:bookmarkStart w:id="118" w:name="OLE_LINK37"/>
            <w:r>
              <w:rPr>
                <w:rFonts w:hint="eastAsia" w:ascii="宋体" w:hAnsi="宋体" w:eastAsia="宋体" w:cs="宋体"/>
                <w:sz w:val="24"/>
                <w:szCs w:val="24"/>
                <w:highlight w:val="none"/>
              </w:rPr>
              <w:t>采用低价优先法计算，即满足招标文件要求且投标价格最低的投标报价为评标基准价，其价格分为满分。其他供应商的价格分按照下列公式计算（保留两位小数）。投标报价得分=（评标基准价／投标报价）*30%*100</w:t>
            </w:r>
          </w:p>
          <w:p w14:paraId="35A1F602">
            <w:pPr>
              <w:keepNext w:val="0"/>
              <w:keepLines w:val="0"/>
              <w:pageBreakBefore w:val="0"/>
              <w:kinsoku/>
              <w:wordWrap/>
              <w:overflowPunct/>
              <w:topLinePunct w:val="0"/>
              <w:bidi w:val="0"/>
              <w:spacing w:line="440" w:lineRule="exact"/>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D2B0A71">
            <w:pPr>
              <w:pStyle w:val="23"/>
              <w:keepNext w:val="0"/>
              <w:keepLines w:val="0"/>
              <w:pageBreakBefore w:val="0"/>
              <w:numPr>
                <w:ilvl w:val="0"/>
                <w:numId w:val="0"/>
              </w:numPr>
              <w:tabs>
                <w:tab w:val="left" w:pos="343"/>
              </w:tabs>
              <w:kinsoku/>
              <w:wordWrap/>
              <w:overflowPunct/>
              <w:topLinePunct w:val="0"/>
              <w:bidi w:val="0"/>
              <w:adjustRightInd w:val="0"/>
              <w:snapToGrid w:val="0"/>
              <w:spacing w:line="44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为了促进中小企业发展，根据《三门峡市财政局关于进一步加大政府采购支持中小企业发展有关事项的通知》（三财购﹝2022﹞9号）的规定，对小微企业产品的价格给予10%～20%的扣除，本项目小微企业按20%扣除，用扣除后的价格参加评审。中小企业划型标准见《关于印发中小企业划型标准规定的通知》（工信部联企业[2011]300号）。</w:t>
            </w:r>
          </w:p>
          <w:p w14:paraId="734668E8">
            <w:pPr>
              <w:pStyle w:val="23"/>
              <w:keepNext w:val="0"/>
              <w:keepLines w:val="0"/>
              <w:pageBreakBefore w:val="0"/>
              <w:numPr>
                <w:ilvl w:val="0"/>
                <w:numId w:val="0"/>
              </w:numPr>
              <w:tabs>
                <w:tab w:val="left" w:pos="343"/>
              </w:tabs>
              <w:kinsoku/>
              <w:wordWrap/>
              <w:overflowPunct/>
              <w:topLinePunct w:val="0"/>
              <w:bidi w:val="0"/>
              <w:adjustRightInd w:val="0"/>
              <w:snapToGrid w:val="0"/>
              <w:spacing w:line="44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为了发挥政府采购促进残疾人就业的作用，进一步保障残疾人权益，根据财库【2017】141号的规定，给予残疾人福利性单位（供应商为残疾人福利性单位且提供的所有投标产品均为残疾人福利性单位产品）价格20%的扣除，用扣除后的价格参与评审，残疾人福利性单位投标报价=残疾人福利性单位报价×（1-20%）。</w:t>
            </w:r>
          </w:p>
          <w:p w14:paraId="4BC6A8E0">
            <w:pPr>
              <w:pStyle w:val="23"/>
              <w:keepNext w:val="0"/>
              <w:keepLines w:val="0"/>
              <w:pageBreakBefore w:val="0"/>
              <w:numPr>
                <w:ilvl w:val="0"/>
                <w:numId w:val="0"/>
              </w:numPr>
              <w:tabs>
                <w:tab w:val="left" w:pos="343"/>
              </w:tabs>
              <w:kinsoku/>
              <w:wordWrap/>
              <w:overflowPunct/>
              <w:topLinePunct w:val="0"/>
              <w:bidi w:val="0"/>
              <w:adjustRightInd w:val="0"/>
              <w:snapToGrid w:val="0"/>
              <w:spacing w:line="44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（3）根据《关于政府采购支持监狱企业发展有关问题的通知》（财库[2014]68 号）文件规定，监狱企业视同小型、微型企业，评审中享受价格20%扣除，用扣除后的价格参与评审，监狱企业产品投标报价=监狱企业产品报价×（1-20%）。（须提供由省级以上监狱管理局、戒毒管理局（含新疆生产建设兵团）出具的属于监狱企业的证明文件）。</w:t>
            </w:r>
          </w:p>
          <w:p w14:paraId="1173EEA1">
            <w:pPr>
              <w:pStyle w:val="23"/>
              <w:keepNext w:val="0"/>
              <w:keepLines w:val="0"/>
              <w:pageBreakBefore w:val="0"/>
              <w:numPr>
                <w:ilvl w:val="0"/>
                <w:numId w:val="0"/>
              </w:numPr>
              <w:tabs>
                <w:tab w:val="left" w:pos="343"/>
              </w:tabs>
              <w:kinsoku/>
              <w:wordWrap/>
              <w:overflowPunct/>
              <w:topLinePunct w:val="0"/>
              <w:bidi w:val="0"/>
              <w:adjustRightInd w:val="0"/>
              <w:snapToGrid w:val="0"/>
              <w:spacing w:line="44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（4）监狱企业、残疾人福利性单位属于小型、微型企业的，不重复享受政策，仅给予一次价格20%的扣除。</w:t>
            </w:r>
          </w:p>
          <w:p w14:paraId="131B3F02">
            <w:pPr>
              <w:pageBreakBefore w:val="0"/>
              <w:wordWrap/>
              <w:overflowPunct/>
              <w:bidi w:val="0"/>
              <w:spacing w:line="360" w:lineRule="auto"/>
              <w:rPr>
                <w:rFonts w:ascii="宋体" w:hAnsi="宋体"/>
                <w:sz w:val="24"/>
                <w:szCs w:val="24"/>
                <w:highlight w:val="none"/>
              </w:rPr>
            </w:pPr>
            <w:r>
              <w:rPr>
                <w:rFonts w:hint="eastAsia" w:ascii="宋体" w:hAnsi="宋体" w:eastAsia="宋体" w:cs="宋体"/>
                <w:kern w:val="0"/>
                <w:sz w:val="24"/>
                <w:szCs w:val="24"/>
                <w:highlight w:val="none"/>
                <w:lang w:val="en-US" w:eastAsia="zh-CN"/>
              </w:rPr>
              <w:t>（5）评标委员会认为供应商的报价明显低于其他通过实质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bookmarkEnd w:id="118"/>
          </w:p>
        </w:tc>
        <w:tc>
          <w:tcPr>
            <w:tcW w:w="1025" w:type="dxa"/>
            <w:shd w:val="clear" w:color="auto" w:fill="auto"/>
            <w:vAlign w:val="center"/>
          </w:tcPr>
          <w:p w14:paraId="7B53FDBF">
            <w:pPr>
              <w:pageBreakBefore w:val="0"/>
              <w:wordWrap/>
              <w:overflowPunct/>
              <w:bidi w:val="0"/>
              <w:spacing w:line="360" w:lineRule="auto"/>
              <w:jc w:val="center"/>
              <w:rPr>
                <w:rFonts w:hint="eastAsia" w:ascii="宋体" w:hAnsi="宋体" w:eastAsia="宋体"/>
                <w:sz w:val="24"/>
                <w:szCs w:val="24"/>
                <w:highlight w:val="none"/>
                <w:lang w:val="en-US" w:eastAsia="zh-CN"/>
              </w:rPr>
            </w:pPr>
            <w:r>
              <w:rPr>
                <w:rFonts w:hint="eastAsia" w:ascii="宋体" w:hAnsi="宋体"/>
                <w:sz w:val="24"/>
                <w:szCs w:val="24"/>
                <w:highlight w:val="none"/>
              </w:rPr>
              <w:t>30</w:t>
            </w:r>
            <w:r>
              <w:rPr>
                <w:rFonts w:hint="eastAsia" w:ascii="宋体" w:hAnsi="宋体"/>
                <w:sz w:val="24"/>
                <w:szCs w:val="24"/>
                <w:highlight w:val="none"/>
                <w:lang w:val="en-US" w:eastAsia="zh-CN"/>
              </w:rPr>
              <w:t>分</w:t>
            </w:r>
          </w:p>
        </w:tc>
      </w:tr>
      <w:tr w14:paraId="3F96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0" w:type="dxa"/>
            <w:gridSpan w:val="4"/>
            <w:shd w:val="clear" w:color="auto" w:fill="auto"/>
            <w:vAlign w:val="center"/>
          </w:tcPr>
          <w:p w14:paraId="3E077817">
            <w:pPr>
              <w:pageBreakBefore w:val="0"/>
              <w:wordWrap/>
              <w:overflowPunct/>
              <w:bidi w:val="0"/>
              <w:spacing w:line="360" w:lineRule="auto"/>
              <w:jc w:val="center"/>
              <w:rPr>
                <w:rFonts w:ascii="宋体" w:hAnsi="宋体"/>
                <w:b/>
                <w:bCs/>
                <w:sz w:val="24"/>
                <w:szCs w:val="24"/>
                <w:highlight w:val="none"/>
              </w:rPr>
            </w:pPr>
            <w:r>
              <w:rPr>
                <w:rFonts w:hint="eastAsia" w:ascii="宋体" w:hAnsi="宋体"/>
                <w:b/>
                <w:bCs/>
                <w:sz w:val="24"/>
                <w:szCs w:val="24"/>
                <w:highlight w:val="none"/>
              </w:rPr>
              <w:t>商务部分（</w:t>
            </w:r>
            <w:r>
              <w:rPr>
                <w:rFonts w:hint="eastAsia" w:ascii="宋体" w:hAnsi="宋体"/>
                <w:b/>
                <w:bCs/>
                <w:sz w:val="24"/>
                <w:szCs w:val="24"/>
                <w:highlight w:val="none"/>
                <w:lang w:val="en-US" w:eastAsia="zh-CN"/>
              </w:rPr>
              <w:t>20</w:t>
            </w:r>
            <w:r>
              <w:rPr>
                <w:rFonts w:hint="eastAsia" w:ascii="宋体" w:hAnsi="宋体"/>
                <w:b/>
                <w:bCs/>
                <w:sz w:val="24"/>
                <w:szCs w:val="24"/>
                <w:highlight w:val="none"/>
              </w:rPr>
              <w:t>分）</w:t>
            </w:r>
          </w:p>
        </w:tc>
      </w:tr>
      <w:tr w14:paraId="6A82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18CBDA36">
            <w:pPr>
              <w:pageBreakBefore w:val="0"/>
              <w:wordWrap/>
              <w:overflowPunct/>
              <w:bidi w:val="0"/>
              <w:spacing w:line="360" w:lineRule="auto"/>
              <w:jc w:val="center"/>
              <w:rPr>
                <w:rFonts w:ascii="宋体" w:hAnsi="宋体"/>
                <w:sz w:val="24"/>
                <w:szCs w:val="24"/>
                <w:highlight w:val="none"/>
              </w:rPr>
            </w:pPr>
            <w:r>
              <w:rPr>
                <w:rFonts w:hint="eastAsia" w:ascii="宋体" w:hAnsi="宋体"/>
                <w:sz w:val="24"/>
                <w:szCs w:val="24"/>
                <w:highlight w:val="none"/>
              </w:rPr>
              <w:t>2</w:t>
            </w:r>
          </w:p>
        </w:tc>
        <w:tc>
          <w:tcPr>
            <w:tcW w:w="901" w:type="dxa"/>
            <w:shd w:val="clear" w:color="auto" w:fill="auto"/>
            <w:vAlign w:val="center"/>
          </w:tcPr>
          <w:p w14:paraId="5F7F130C">
            <w:pPr>
              <w:pageBreakBefore w:val="0"/>
              <w:wordWrap/>
              <w:overflowPunct/>
              <w:bidi w:val="0"/>
              <w:spacing w:line="360" w:lineRule="auto"/>
              <w:jc w:val="center"/>
              <w:rPr>
                <w:rFonts w:ascii="宋体" w:hAnsi="宋体"/>
                <w:sz w:val="24"/>
                <w:szCs w:val="24"/>
                <w:highlight w:val="none"/>
              </w:rPr>
            </w:pPr>
            <w:bookmarkStart w:id="119" w:name="OLE_LINK47"/>
            <w:r>
              <w:rPr>
                <w:rFonts w:hint="eastAsia" w:ascii="宋体" w:hAnsi="宋体"/>
                <w:sz w:val="24"/>
                <w:szCs w:val="24"/>
                <w:highlight w:val="none"/>
              </w:rPr>
              <w:t>类似项目业绩</w:t>
            </w:r>
            <w:bookmarkEnd w:id="119"/>
          </w:p>
        </w:tc>
        <w:tc>
          <w:tcPr>
            <w:tcW w:w="7037" w:type="dxa"/>
            <w:shd w:val="clear" w:color="auto" w:fill="auto"/>
            <w:vAlign w:val="center"/>
          </w:tcPr>
          <w:p w14:paraId="725969D2">
            <w:pPr>
              <w:keepNext w:val="0"/>
              <w:keepLines w:val="0"/>
              <w:pageBreakBefore w:val="0"/>
              <w:numPr>
                <w:ilvl w:val="0"/>
                <w:numId w:val="0"/>
              </w:numPr>
              <w:shd w:val="clear" w:color="auto" w:fill="auto"/>
              <w:tabs>
                <w:tab w:val="left" w:pos="720"/>
              </w:tabs>
              <w:kinsoku/>
              <w:wordWrap/>
              <w:overflowPunct/>
              <w:topLinePunct w:val="0"/>
              <w:bidi w:val="0"/>
              <w:spacing w:line="440" w:lineRule="exact"/>
              <w:ind w:leftChars="0"/>
              <w:jc w:val="left"/>
              <w:textAlignment w:val="auto"/>
              <w:rPr>
                <w:rFonts w:hint="eastAsia" w:ascii="宋体" w:hAnsi="宋体" w:eastAsia="宋体" w:cs="宋体"/>
                <w:bCs/>
                <w:color w:val="000000"/>
                <w:sz w:val="24"/>
                <w:szCs w:val="24"/>
                <w:highlight w:val="none"/>
                <w:shd w:val="clear" w:color="auto" w:fill="auto"/>
              </w:rPr>
            </w:pPr>
            <w:bookmarkStart w:id="120" w:name="OLE_LINK48"/>
            <w:r>
              <w:rPr>
                <w:rFonts w:hint="eastAsia" w:ascii="宋体" w:hAnsi="宋体" w:eastAsia="宋体" w:cs="宋体"/>
                <w:bCs/>
                <w:color w:val="000000"/>
                <w:sz w:val="24"/>
                <w:szCs w:val="24"/>
                <w:highlight w:val="none"/>
                <w:shd w:val="clear" w:color="auto" w:fill="auto"/>
                <w:lang w:val="en-US" w:eastAsia="zh-CN"/>
              </w:rPr>
              <w:t>供应商须提供</w:t>
            </w:r>
            <w:r>
              <w:rPr>
                <w:rFonts w:hint="eastAsia" w:ascii="宋体" w:hAnsi="宋体" w:eastAsia="宋体" w:cs="宋体"/>
                <w:bCs/>
                <w:color w:val="000000"/>
                <w:sz w:val="24"/>
                <w:szCs w:val="24"/>
                <w:highlight w:val="none"/>
                <w:shd w:val="clear" w:color="auto" w:fill="auto"/>
              </w:rPr>
              <w:t>202</w:t>
            </w:r>
            <w:r>
              <w:rPr>
                <w:rFonts w:hint="eastAsia" w:ascii="宋体" w:hAnsi="宋体" w:cs="宋体"/>
                <w:bCs/>
                <w:color w:val="000000"/>
                <w:sz w:val="24"/>
                <w:szCs w:val="24"/>
                <w:highlight w:val="none"/>
                <w:shd w:val="clear" w:color="auto" w:fill="auto"/>
                <w:lang w:val="en-US" w:eastAsia="zh-CN"/>
              </w:rPr>
              <w:t>3</w:t>
            </w:r>
            <w:r>
              <w:rPr>
                <w:rFonts w:hint="eastAsia" w:ascii="宋体" w:hAnsi="宋体" w:eastAsia="宋体" w:cs="宋体"/>
                <w:bCs/>
                <w:color w:val="000000"/>
                <w:sz w:val="24"/>
                <w:szCs w:val="24"/>
                <w:highlight w:val="none"/>
                <w:shd w:val="clear" w:color="auto" w:fill="auto"/>
              </w:rPr>
              <w:t>年1月1日（合同签订时间）以来</w:t>
            </w:r>
            <w:r>
              <w:rPr>
                <w:rFonts w:hint="eastAsia" w:ascii="宋体" w:hAnsi="宋体" w:eastAsia="宋体" w:cs="宋体"/>
                <w:bCs/>
                <w:color w:val="000000"/>
                <w:sz w:val="24"/>
                <w:szCs w:val="24"/>
                <w:highlight w:val="none"/>
                <w:shd w:val="clear" w:color="auto" w:fill="auto"/>
                <w:lang w:val="en-US" w:eastAsia="zh-CN"/>
              </w:rPr>
              <w:t>类似项目业绩，每提供1份</w:t>
            </w:r>
            <w:r>
              <w:rPr>
                <w:rFonts w:hint="eastAsia" w:ascii="宋体" w:hAnsi="宋体" w:eastAsia="宋体" w:cs="宋体"/>
                <w:bCs/>
                <w:color w:val="000000"/>
                <w:sz w:val="24"/>
                <w:szCs w:val="24"/>
                <w:highlight w:val="none"/>
                <w:shd w:val="clear" w:color="auto" w:fill="auto"/>
              </w:rPr>
              <w:t>得</w:t>
            </w:r>
            <w:r>
              <w:rPr>
                <w:rFonts w:hint="eastAsia" w:ascii="宋体" w:hAnsi="宋体" w:cs="宋体"/>
                <w:bCs/>
                <w:color w:val="000000"/>
                <w:sz w:val="24"/>
                <w:szCs w:val="24"/>
                <w:highlight w:val="none"/>
                <w:shd w:val="clear" w:color="auto" w:fill="auto"/>
                <w:lang w:val="en-US" w:eastAsia="zh-CN"/>
              </w:rPr>
              <w:t>1</w:t>
            </w:r>
            <w:r>
              <w:rPr>
                <w:rFonts w:hint="eastAsia" w:ascii="宋体" w:hAnsi="宋体" w:eastAsia="宋体" w:cs="宋体"/>
                <w:bCs/>
                <w:color w:val="000000"/>
                <w:sz w:val="24"/>
                <w:szCs w:val="24"/>
                <w:highlight w:val="none"/>
                <w:shd w:val="clear" w:color="auto" w:fill="auto"/>
              </w:rPr>
              <w:t>分，本项最高得</w:t>
            </w:r>
            <w:r>
              <w:rPr>
                <w:rFonts w:hint="eastAsia" w:ascii="宋体" w:hAnsi="宋体" w:cs="宋体"/>
                <w:bCs/>
                <w:color w:val="000000"/>
                <w:sz w:val="24"/>
                <w:szCs w:val="24"/>
                <w:highlight w:val="none"/>
                <w:shd w:val="clear" w:color="auto" w:fill="auto"/>
                <w:lang w:val="en-US" w:eastAsia="zh-CN"/>
              </w:rPr>
              <w:t>2</w:t>
            </w:r>
            <w:r>
              <w:rPr>
                <w:rFonts w:hint="eastAsia" w:ascii="宋体" w:hAnsi="宋体" w:eastAsia="宋体" w:cs="宋体"/>
                <w:bCs/>
                <w:color w:val="000000"/>
                <w:sz w:val="24"/>
                <w:szCs w:val="24"/>
                <w:highlight w:val="none"/>
                <w:shd w:val="clear" w:color="auto" w:fill="auto"/>
              </w:rPr>
              <w:t>分。</w:t>
            </w:r>
          </w:p>
          <w:p w14:paraId="7F85D615">
            <w:pPr>
              <w:pageBreakBefore w:val="0"/>
              <w:wordWrap/>
              <w:overflowPunct/>
              <w:bidi w:val="0"/>
              <w:spacing w:line="360" w:lineRule="auto"/>
              <w:rPr>
                <w:rFonts w:hint="eastAsia" w:ascii="宋体" w:hAnsi="宋体"/>
                <w:kern w:val="2"/>
                <w:sz w:val="24"/>
                <w:szCs w:val="24"/>
                <w:highlight w:val="none"/>
              </w:rPr>
            </w:pPr>
            <w:r>
              <w:rPr>
                <w:rFonts w:hint="eastAsia" w:ascii="宋体" w:hAnsi="宋体" w:eastAsia="宋体" w:cs="宋体"/>
                <w:bCs/>
                <w:color w:val="000000"/>
                <w:sz w:val="24"/>
                <w:szCs w:val="24"/>
                <w:highlight w:val="none"/>
                <w:shd w:val="clear" w:color="auto" w:fill="auto"/>
              </w:rPr>
              <w:t>注：合格的业绩须附合同</w:t>
            </w:r>
            <w:r>
              <w:rPr>
                <w:rFonts w:hint="eastAsia" w:ascii="宋体" w:hAnsi="宋体" w:eastAsia="宋体" w:cs="宋体"/>
                <w:bCs/>
                <w:color w:val="000000"/>
                <w:sz w:val="24"/>
                <w:szCs w:val="24"/>
                <w:highlight w:val="none"/>
                <w:shd w:val="clear" w:color="auto" w:fill="auto"/>
                <w:lang w:val="en-US" w:eastAsia="zh-CN"/>
              </w:rPr>
              <w:t>关键页或中标（成交）通知书</w:t>
            </w:r>
            <w:r>
              <w:rPr>
                <w:rFonts w:hint="eastAsia" w:ascii="宋体" w:hAnsi="宋体" w:eastAsia="宋体" w:cs="宋体"/>
                <w:bCs/>
                <w:color w:val="000000"/>
                <w:sz w:val="24"/>
                <w:szCs w:val="24"/>
                <w:highlight w:val="none"/>
                <w:shd w:val="clear" w:color="auto" w:fill="auto"/>
              </w:rPr>
              <w:t>原件扫描件，不符合要求的业绩不得分。</w:t>
            </w:r>
            <w:bookmarkEnd w:id="120"/>
          </w:p>
        </w:tc>
        <w:tc>
          <w:tcPr>
            <w:tcW w:w="1025" w:type="dxa"/>
            <w:shd w:val="clear" w:color="auto" w:fill="auto"/>
            <w:vAlign w:val="center"/>
          </w:tcPr>
          <w:p w14:paraId="14E32EAF">
            <w:pPr>
              <w:pageBreakBefore w:val="0"/>
              <w:wordWrap/>
              <w:overflowPunct/>
              <w:bidi w:val="0"/>
              <w:spacing w:line="360" w:lineRule="auto"/>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2分</w:t>
            </w:r>
          </w:p>
        </w:tc>
      </w:tr>
      <w:tr w14:paraId="1C6C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33EC1669">
            <w:pPr>
              <w:pageBreakBefore w:val="0"/>
              <w:wordWrap/>
              <w:overflowPunct/>
              <w:bidi w:val="0"/>
              <w:spacing w:line="360" w:lineRule="auto"/>
              <w:jc w:val="center"/>
              <w:rPr>
                <w:rFonts w:ascii="宋体" w:hAnsi="宋体"/>
                <w:sz w:val="24"/>
                <w:szCs w:val="24"/>
                <w:highlight w:val="none"/>
              </w:rPr>
            </w:pPr>
            <w:r>
              <w:rPr>
                <w:rFonts w:hint="eastAsia" w:ascii="宋体" w:hAnsi="宋体"/>
                <w:sz w:val="24"/>
                <w:szCs w:val="24"/>
                <w:highlight w:val="none"/>
              </w:rPr>
              <w:t>3</w:t>
            </w:r>
          </w:p>
        </w:tc>
        <w:tc>
          <w:tcPr>
            <w:tcW w:w="901" w:type="dxa"/>
            <w:shd w:val="clear" w:color="auto" w:fill="auto"/>
            <w:vAlign w:val="center"/>
          </w:tcPr>
          <w:p w14:paraId="032477D1">
            <w:pPr>
              <w:pageBreakBefore w:val="0"/>
              <w:wordWrap/>
              <w:overflowPunct/>
              <w:bidi w:val="0"/>
              <w:spacing w:line="360" w:lineRule="auto"/>
              <w:jc w:val="center"/>
              <w:rPr>
                <w:rFonts w:ascii="宋体" w:hAnsi="宋体"/>
                <w:sz w:val="24"/>
                <w:szCs w:val="24"/>
                <w:highlight w:val="none"/>
              </w:rPr>
            </w:pPr>
            <w:bookmarkStart w:id="121" w:name="OLE_LINK49"/>
            <w:r>
              <w:rPr>
                <w:rFonts w:hint="eastAsia" w:ascii="宋体" w:hAnsi="宋体"/>
                <w:sz w:val="24"/>
                <w:szCs w:val="24"/>
                <w:highlight w:val="none"/>
              </w:rPr>
              <w:t>售后服务方案</w:t>
            </w:r>
            <w:bookmarkEnd w:id="121"/>
          </w:p>
        </w:tc>
        <w:tc>
          <w:tcPr>
            <w:tcW w:w="7037" w:type="dxa"/>
            <w:shd w:val="clear" w:color="auto" w:fill="auto"/>
            <w:vAlign w:val="center"/>
          </w:tcPr>
          <w:p w14:paraId="45DBCB2A">
            <w:pPr>
              <w:keepNext w:val="0"/>
              <w:keepLines w:val="0"/>
              <w:pageBreakBefore w:val="0"/>
              <w:numPr>
                <w:ilvl w:val="0"/>
                <w:numId w:val="0"/>
              </w:numPr>
              <w:kinsoku/>
              <w:wordWrap/>
              <w:overflowPunct/>
              <w:topLinePunct w:val="0"/>
              <w:bidi w:val="0"/>
              <w:spacing w:line="360" w:lineRule="auto"/>
              <w:jc w:val="left"/>
              <w:rPr>
                <w:rFonts w:hint="eastAsia" w:ascii="宋体" w:hAnsi="宋体" w:eastAsia="宋体" w:cs="宋体"/>
                <w:sz w:val="24"/>
                <w:szCs w:val="24"/>
                <w:highlight w:val="none"/>
              </w:rPr>
            </w:pPr>
            <w:bookmarkStart w:id="122" w:name="OLE_LINK50"/>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响应人</w:t>
            </w:r>
            <w:r>
              <w:rPr>
                <w:rFonts w:hint="eastAsia" w:ascii="宋体" w:hAnsi="宋体" w:eastAsia="宋体" w:cs="宋体"/>
                <w:sz w:val="24"/>
                <w:szCs w:val="24"/>
                <w:highlight w:val="none"/>
              </w:rPr>
              <w:t>提供的售后服务方案进行综合评审，包含但不限于：售后服务计划、保证措施条款、服务响应时间、服务承诺等。</w:t>
            </w:r>
            <w:r>
              <w:rPr>
                <w:rFonts w:hint="eastAsia" w:ascii="宋体" w:hAnsi="宋体" w:eastAsia="宋体" w:cs="宋体"/>
                <w:sz w:val="24"/>
                <w:szCs w:val="24"/>
                <w:highlight w:val="none"/>
                <w:lang w:val="en-US" w:eastAsia="zh-CN"/>
              </w:rPr>
              <w:t>方案内容</w:t>
            </w:r>
            <w:r>
              <w:rPr>
                <w:rFonts w:hint="eastAsia" w:ascii="宋体" w:hAnsi="宋体" w:eastAsia="宋体" w:cs="宋体"/>
                <w:sz w:val="24"/>
                <w:szCs w:val="24"/>
                <w:highlight w:val="none"/>
              </w:rPr>
              <w:t>满足或优于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文件要求，内容详细，可操作性强得</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分；</w:t>
            </w:r>
          </w:p>
          <w:p w14:paraId="6C755956">
            <w:pPr>
              <w:keepNext w:val="0"/>
              <w:keepLines w:val="0"/>
              <w:pageBreakBefore w:val="0"/>
              <w:numPr>
                <w:ilvl w:val="0"/>
                <w:numId w:val="0"/>
              </w:numPr>
              <w:kinsoku/>
              <w:wordWrap/>
              <w:overflowPunct/>
              <w:topLinePunct w:val="0"/>
              <w:bidi w:val="0"/>
              <w:spacing w:line="360" w:lineRule="auto"/>
              <w:jc w:val="left"/>
              <w:rPr>
                <w:rFonts w:ascii="宋体" w:hAnsi="宋体"/>
                <w:sz w:val="24"/>
                <w:szCs w:val="24"/>
                <w:highlight w:val="none"/>
              </w:rPr>
            </w:pPr>
            <w:r>
              <w:rPr>
                <w:rFonts w:hint="eastAsia" w:ascii="宋体" w:hAnsi="宋体" w:eastAsia="宋体" w:cs="宋体"/>
                <w:sz w:val="24"/>
                <w:szCs w:val="24"/>
                <w:highlight w:val="none"/>
                <w:lang w:val="en-US" w:eastAsia="zh-CN"/>
              </w:rPr>
              <w:t>方案内容</w:t>
            </w:r>
            <w:r>
              <w:rPr>
                <w:rFonts w:hint="eastAsia" w:ascii="宋体" w:hAnsi="宋体" w:eastAsia="宋体" w:cs="宋体"/>
                <w:sz w:val="24"/>
                <w:szCs w:val="24"/>
                <w:highlight w:val="none"/>
              </w:rPr>
              <w:t>基本完整，可行性及针对性一般的得</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方案内容</w:t>
            </w:r>
            <w:r>
              <w:rPr>
                <w:rFonts w:hint="eastAsia" w:ascii="宋体" w:hAnsi="宋体" w:eastAsia="宋体" w:cs="宋体"/>
                <w:sz w:val="24"/>
                <w:szCs w:val="24"/>
                <w:highlight w:val="none"/>
              </w:rPr>
              <w:t>不完整，可行性不强</w:t>
            </w:r>
            <w:r>
              <w:rPr>
                <w:rFonts w:hint="eastAsia" w:ascii="宋体" w:hAnsi="宋体" w:eastAsia="宋体" w:cs="宋体"/>
                <w:sz w:val="24"/>
                <w:szCs w:val="24"/>
                <w:highlight w:val="none"/>
                <w:lang w:val="en-US" w:eastAsia="zh-CN"/>
              </w:rPr>
              <w:t>得4分；</w:t>
            </w:r>
            <w:r>
              <w:rPr>
                <w:rFonts w:hint="eastAsia" w:ascii="宋体" w:hAnsi="宋体" w:eastAsia="宋体" w:cs="宋体"/>
                <w:sz w:val="24"/>
                <w:szCs w:val="24"/>
                <w:highlight w:val="none"/>
              </w:rPr>
              <w:t>未提供</w:t>
            </w:r>
            <w:r>
              <w:rPr>
                <w:rFonts w:hint="eastAsia" w:ascii="宋体" w:hAnsi="宋体" w:eastAsia="宋体" w:cs="宋体"/>
                <w:sz w:val="24"/>
                <w:szCs w:val="24"/>
                <w:highlight w:val="none"/>
                <w:lang w:val="en-US" w:eastAsia="zh-CN"/>
              </w:rPr>
              <w:t>不得分</w:t>
            </w:r>
            <w:r>
              <w:rPr>
                <w:rFonts w:hint="eastAsia" w:ascii="宋体" w:hAnsi="宋体" w:eastAsia="宋体" w:cs="宋体"/>
                <w:sz w:val="24"/>
                <w:szCs w:val="24"/>
                <w:highlight w:val="none"/>
              </w:rPr>
              <w:t>。</w:t>
            </w:r>
            <w:bookmarkEnd w:id="122"/>
          </w:p>
        </w:tc>
        <w:tc>
          <w:tcPr>
            <w:tcW w:w="1025" w:type="dxa"/>
            <w:shd w:val="clear" w:color="auto" w:fill="auto"/>
            <w:vAlign w:val="center"/>
          </w:tcPr>
          <w:p w14:paraId="4D71A8FC">
            <w:pPr>
              <w:pageBreakBefore w:val="0"/>
              <w:wordWrap/>
              <w:overflowPunct/>
              <w:bidi w:val="0"/>
              <w:spacing w:line="360" w:lineRule="auto"/>
              <w:jc w:val="center"/>
              <w:rPr>
                <w:rFonts w:ascii="宋体" w:hAnsi="宋体"/>
                <w:sz w:val="24"/>
                <w:szCs w:val="24"/>
                <w:highlight w:val="none"/>
              </w:rPr>
            </w:pPr>
            <w:r>
              <w:rPr>
                <w:rFonts w:hint="eastAsia" w:ascii="宋体" w:hAnsi="宋体"/>
                <w:sz w:val="24"/>
                <w:szCs w:val="24"/>
                <w:highlight w:val="none"/>
                <w:lang w:val="en-US" w:eastAsia="zh-CN"/>
              </w:rPr>
              <w:t>12分</w:t>
            </w:r>
          </w:p>
        </w:tc>
      </w:tr>
      <w:tr w14:paraId="7744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2A781269">
            <w:pPr>
              <w:pageBreakBefore w:val="0"/>
              <w:wordWrap/>
              <w:overflowPunct/>
              <w:bidi w:val="0"/>
              <w:spacing w:line="360" w:lineRule="auto"/>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4</w:t>
            </w:r>
          </w:p>
        </w:tc>
        <w:tc>
          <w:tcPr>
            <w:tcW w:w="901" w:type="dxa"/>
            <w:shd w:val="clear" w:color="auto" w:fill="auto"/>
            <w:vAlign w:val="center"/>
          </w:tcPr>
          <w:p w14:paraId="07C19352">
            <w:pPr>
              <w:pageBreakBefore w:val="0"/>
              <w:wordWrap/>
              <w:overflowPunct/>
              <w:bidi w:val="0"/>
              <w:spacing w:line="360" w:lineRule="auto"/>
              <w:jc w:val="center"/>
              <w:rPr>
                <w:rFonts w:hint="eastAsia" w:ascii="宋体" w:hAnsi="宋体"/>
                <w:sz w:val="24"/>
                <w:szCs w:val="24"/>
                <w:highlight w:val="none"/>
              </w:rPr>
            </w:pPr>
            <w:bookmarkStart w:id="123" w:name="OLE_LINK51"/>
            <w:r>
              <w:rPr>
                <w:rFonts w:ascii="宋体" w:hAnsi="宋体" w:eastAsia="宋体" w:cs="宋体"/>
                <w:sz w:val="24"/>
                <w:szCs w:val="24"/>
                <w:highlight w:val="none"/>
              </w:rPr>
              <w:t>优惠承诺</w:t>
            </w:r>
            <w:bookmarkEnd w:id="123"/>
          </w:p>
        </w:tc>
        <w:tc>
          <w:tcPr>
            <w:tcW w:w="7037" w:type="dxa"/>
            <w:shd w:val="clear" w:color="auto" w:fill="auto"/>
            <w:vAlign w:val="center"/>
          </w:tcPr>
          <w:p w14:paraId="49CF132A">
            <w:pPr>
              <w:pageBreakBefore w:val="0"/>
              <w:wordWrap/>
              <w:overflowPunct/>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优惠承诺完全符合本项目实际情况，确保依法依规，优惠合理，详实可行得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分；优惠承诺基本符合本项目实际情况，依法依规，优惠合理得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分；优惠承诺基本符合本项目实际情况，依法依规得1分。</w:t>
            </w:r>
            <w:r>
              <w:rPr>
                <w:rFonts w:hint="eastAsia" w:ascii="宋体" w:hAnsi="宋体" w:eastAsia="宋体" w:cs="宋体"/>
                <w:sz w:val="24"/>
                <w:szCs w:val="24"/>
                <w:highlight w:val="none"/>
              </w:rPr>
              <w:t>未提供</w:t>
            </w:r>
            <w:r>
              <w:rPr>
                <w:rFonts w:hint="eastAsia" w:ascii="宋体" w:hAnsi="宋体" w:eastAsia="宋体" w:cs="宋体"/>
                <w:sz w:val="24"/>
                <w:szCs w:val="24"/>
                <w:highlight w:val="none"/>
                <w:lang w:val="en-US" w:eastAsia="zh-CN"/>
              </w:rPr>
              <w:t>不得分。</w:t>
            </w:r>
          </w:p>
        </w:tc>
        <w:tc>
          <w:tcPr>
            <w:tcW w:w="1025" w:type="dxa"/>
            <w:shd w:val="clear" w:color="auto" w:fill="auto"/>
            <w:vAlign w:val="center"/>
          </w:tcPr>
          <w:p w14:paraId="183BB6ED">
            <w:pPr>
              <w:pageBreakBefore w:val="0"/>
              <w:wordWrap/>
              <w:overflowPunct/>
              <w:bidi w:val="0"/>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6分</w:t>
            </w:r>
          </w:p>
        </w:tc>
      </w:tr>
      <w:tr w14:paraId="6588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0" w:type="dxa"/>
            <w:gridSpan w:val="4"/>
            <w:shd w:val="clear" w:color="auto" w:fill="auto"/>
            <w:vAlign w:val="center"/>
          </w:tcPr>
          <w:p w14:paraId="5A3605C9">
            <w:pPr>
              <w:pageBreakBefore w:val="0"/>
              <w:wordWrap/>
              <w:overflowPunct/>
              <w:bidi w:val="0"/>
              <w:spacing w:line="360" w:lineRule="auto"/>
              <w:jc w:val="center"/>
              <w:rPr>
                <w:rFonts w:ascii="宋体" w:hAnsi="宋体"/>
                <w:b/>
                <w:bCs/>
                <w:sz w:val="24"/>
                <w:szCs w:val="24"/>
                <w:highlight w:val="none"/>
              </w:rPr>
            </w:pPr>
            <w:r>
              <w:rPr>
                <w:rFonts w:hint="eastAsia" w:ascii="宋体" w:hAnsi="宋体"/>
                <w:b/>
                <w:bCs/>
                <w:sz w:val="24"/>
                <w:szCs w:val="24"/>
                <w:highlight w:val="none"/>
              </w:rPr>
              <w:t>技术部分（</w:t>
            </w:r>
            <w:r>
              <w:rPr>
                <w:rFonts w:hint="eastAsia" w:ascii="宋体" w:hAnsi="宋体"/>
                <w:b/>
                <w:bCs/>
                <w:sz w:val="24"/>
                <w:szCs w:val="24"/>
                <w:highlight w:val="none"/>
                <w:lang w:val="en-US" w:eastAsia="zh-CN"/>
              </w:rPr>
              <w:t>50</w:t>
            </w:r>
            <w:r>
              <w:rPr>
                <w:rFonts w:hint="eastAsia" w:ascii="宋体" w:hAnsi="宋体"/>
                <w:b/>
                <w:bCs/>
                <w:sz w:val="24"/>
                <w:szCs w:val="24"/>
                <w:highlight w:val="none"/>
              </w:rPr>
              <w:t>分）</w:t>
            </w:r>
          </w:p>
        </w:tc>
      </w:tr>
      <w:tr w14:paraId="09CA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0564AF58">
            <w:pPr>
              <w:pageBreakBefore w:val="0"/>
              <w:wordWrap/>
              <w:overflowPunct/>
              <w:bidi w:val="0"/>
              <w:spacing w:line="360" w:lineRule="auto"/>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901" w:type="dxa"/>
            <w:shd w:val="clear" w:color="auto" w:fill="auto"/>
            <w:vAlign w:val="center"/>
          </w:tcPr>
          <w:p w14:paraId="4DA0C214">
            <w:pPr>
              <w:spacing w:line="360" w:lineRule="auto"/>
              <w:jc w:val="center"/>
              <w:rPr>
                <w:rFonts w:hint="eastAsia" w:ascii="宋体" w:hAnsi="宋体" w:eastAsia="宋体" w:cs="宋体"/>
                <w:sz w:val="24"/>
                <w:szCs w:val="24"/>
                <w:highlight w:val="none"/>
                <w:lang w:val="en-US" w:eastAsia="zh-CN"/>
              </w:rPr>
            </w:pPr>
            <w:bookmarkStart w:id="124" w:name="OLE_LINK39"/>
            <w:r>
              <w:rPr>
                <w:rFonts w:hint="eastAsia" w:ascii="宋体" w:hAnsi="宋体" w:eastAsia="宋体" w:cs="宋体"/>
                <w:sz w:val="24"/>
                <w:szCs w:val="24"/>
                <w:highlight w:val="none"/>
                <w:lang w:val="en-US" w:eastAsia="zh-CN"/>
              </w:rPr>
              <w:t>安全管理体系与措施</w:t>
            </w:r>
            <w:bookmarkEnd w:id="124"/>
          </w:p>
        </w:tc>
        <w:tc>
          <w:tcPr>
            <w:tcW w:w="7037" w:type="dxa"/>
            <w:shd w:val="clear" w:color="auto" w:fill="auto"/>
            <w:vAlign w:val="center"/>
          </w:tcPr>
          <w:p w14:paraId="1466D064">
            <w:pPr>
              <w:spacing w:line="360" w:lineRule="auto"/>
              <w:jc w:val="both"/>
              <w:rPr>
                <w:rFonts w:hint="eastAsia" w:ascii="宋体" w:hAnsi="宋体" w:eastAsia="宋体" w:cs="宋体"/>
                <w:sz w:val="24"/>
                <w:szCs w:val="24"/>
                <w:highlight w:val="none"/>
                <w:lang w:val="en-US" w:eastAsia="zh-CN"/>
              </w:rPr>
            </w:pPr>
            <w:bookmarkStart w:id="125" w:name="OLE_LINK40"/>
            <w:r>
              <w:rPr>
                <w:rFonts w:hint="eastAsia" w:ascii="宋体" w:hAnsi="宋体" w:eastAsia="宋体" w:cs="宋体"/>
                <w:sz w:val="24"/>
                <w:szCs w:val="24"/>
                <w:highlight w:val="none"/>
                <w:lang w:val="en-US" w:eastAsia="zh-CN"/>
              </w:rPr>
              <w:t>对本项目现状和业务需求的理解与分析透彻，制定出的安全管理体系与措施能够满足需求，整体结构完整，切中关键问题得10分；基本能够满足需求，整体结构较完整，内容较充实得7分；基本满足需求，整体结构一般，内容一般得4分；内容中不能满足项目需求、不具体，描述模糊、不清晰得0分。</w:t>
            </w:r>
            <w:bookmarkEnd w:id="125"/>
          </w:p>
        </w:tc>
        <w:tc>
          <w:tcPr>
            <w:tcW w:w="1025" w:type="dxa"/>
            <w:shd w:val="clear" w:color="auto" w:fill="auto"/>
            <w:vAlign w:val="center"/>
          </w:tcPr>
          <w:p w14:paraId="1516C709">
            <w:pPr>
              <w:pageBreakBefore w:val="0"/>
              <w:wordWrap/>
              <w:overflowPunct/>
              <w:bidi w:val="0"/>
              <w:spacing w:line="360" w:lineRule="auto"/>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10分</w:t>
            </w:r>
          </w:p>
        </w:tc>
      </w:tr>
      <w:tr w14:paraId="379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4E44311B">
            <w:pPr>
              <w:pageBreakBefore w:val="0"/>
              <w:wordWrap/>
              <w:overflowPunct/>
              <w:bidi w:val="0"/>
              <w:spacing w:line="360" w:lineRule="auto"/>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w:t>
            </w:r>
          </w:p>
        </w:tc>
        <w:tc>
          <w:tcPr>
            <w:tcW w:w="901" w:type="dxa"/>
            <w:shd w:val="clear" w:color="auto" w:fill="auto"/>
            <w:vAlign w:val="center"/>
          </w:tcPr>
          <w:p w14:paraId="291CC5AE">
            <w:pPr>
              <w:spacing w:line="360" w:lineRule="auto"/>
              <w:jc w:val="center"/>
              <w:rPr>
                <w:rFonts w:ascii="宋体" w:hAnsi="宋体"/>
                <w:sz w:val="24"/>
                <w:szCs w:val="24"/>
                <w:highlight w:val="none"/>
              </w:rPr>
            </w:pPr>
            <w:bookmarkStart w:id="126" w:name="OLE_LINK41"/>
            <w:r>
              <w:rPr>
                <w:rFonts w:ascii="宋体" w:hAnsi="宋体" w:eastAsia="宋体" w:cs="宋体"/>
                <w:sz w:val="24"/>
                <w:szCs w:val="24"/>
                <w:highlight w:val="none"/>
              </w:rPr>
              <w:t>货物质量保障方案</w:t>
            </w:r>
            <w:bookmarkEnd w:id="126"/>
          </w:p>
        </w:tc>
        <w:tc>
          <w:tcPr>
            <w:tcW w:w="7037" w:type="dxa"/>
            <w:shd w:val="clear" w:color="auto" w:fill="auto"/>
            <w:vAlign w:val="center"/>
          </w:tcPr>
          <w:p w14:paraId="07F8A1F3">
            <w:pPr>
              <w:spacing w:line="360" w:lineRule="auto"/>
              <w:jc w:val="both"/>
              <w:rPr>
                <w:rFonts w:ascii="宋体" w:hAnsi="宋体"/>
                <w:sz w:val="24"/>
                <w:szCs w:val="24"/>
                <w:highlight w:val="none"/>
              </w:rPr>
            </w:pPr>
            <w:bookmarkStart w:id="127" w:name="OLE_LINK42"/>
            <w:r>
              <w:rPr>
                <w:rFonts w:ascii="宋体" w:hAnsi="宋体" w:eastAsia="宋体" w:cs="宋体"/>
                <w:sz w:val="24"/>
                <w:szCs w:val="24"/>
                <w:highlight w:val="none"/>
              </w:rPr>
              <w:t>供应商针对本项目情况从货物原材料、生产工艺、成品自检、货物运输四个方面就如何根据自身条件采取相应措施</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保质保量</w:t>
            </w:r>
            <w:r>
              <w:rPr>
                <w:rFonts w:hint="eastAsia" w:ascii="宋体" w:hAnsi="宋体" w:cs="宋体"/>
                <w:sz w:val="24"/>
                <w:szCs w:val="24"/>
                <w:highlight w:val="none"/>
                <w:lang w:val="en-US" w:eastAsia="zh-CN"/>
              </w:rPr>
              <w:t>的</w:t>
            </w:r>
            <w:r>
              <w:rPr>
                <w:rFonts w:ascii="宋体" w:hAnsi="宋体" w:eastAsia="宋体" w:cs="宋体"/>
                <w:sz w:val="24"/>
                <w:szCs w:val="24"/>
                <w:highlight w:val="none"/>
              </w:rPr>
              <w:t>送料到现场自拟货物质量保障方案，</w:t>
            </w:r>
            <w:r>
              <w:rPr>
                <w:rFonts w:hint="eastAsia" w:ascii="宋体" w:hAnsi="宋体" w:eastAsia="宋体" w:cs="宋体"/>
                <w:sz w:val="24"/>
                <w:szCs w:val="24"/>
                <w:highlight w:val="none"/>
                <w:lang w:val="en-US" w:eastAsia="zh-CN"/>
              </w:rPr>
              <w:t>评标委员会</w:t>
            </w:r>
            <w:r>
              <w:rPr>
                <w:rFonts w:ascii="宋体" w:hAnsi="宋体" w:eastAsia="宋体" w:cs="宋体"/>
                <w:sz w:val="24"/>
                <w:szCs w:val="24"/>
                <w:highlight w:val="none"/>
              </w:rPr>
              <w:t>进行综合评分。 货物原材料保障较为及时、生产工艺较为先进、成品自检能力较强、货物运输较及时的得</w:t>
            </w:r>
            <w:r>
              <w:rPr>
                <w:rFonts w:hint="eastAsia" w:ascii="宋体" w:hAnsi="宋体" w:eastAsia="宋体" w:cs="宋体"/>
                <w:sz w:val="24"/>
                <w:szCs w:val="24"/>
                <w:highlight w:val="none"/>
                <w:lang w:val="en-US" w:eastAsia="zh-CN"/>
              </w:rPr>
              <w:t>15</w:t>
            </w:r>
            <w:r>
              <w:rPr>
                <w:rFonts w:ascii="宋体" w:hAnsi="宋体" w:eastAsia="宋体" w:cs="宋体"/>
                <w:sz w:val="24"/>
                <w:szCs w:val="24"/>
                <w:highlight w:val="none"/>
              </w:rPr>
              <w:t>分；货物原材料保障及时、生产工艺先进、成品自检能力强、货物运输及时的得</w:t>
            </w: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分；货物原材料保障基本及时、生产工艺一般、成品自检能力一般、货物运输基本满足的得</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未提供或提供不全</w:t>
            </w:r>
            <w:r>
              <w:rPr>
                <w:rFonts w:ascii="宋体" w:hAnsi="宋体" w:eastAsia="宋体" w:cs="宋体"/>
                <w:sz w:val="24"/>
                <w:szCs w:val="24"/>
                <w:highlight w:val="none"/>
              </w:rPr>
              <w:t>不得分。</w:t>
            </w:r>
            <w:bookmarkEnd w:id="127"/>
          </w:p>
        </w:tc>
        <w:tc>
          <w:tcPr>
            <w:tcW w:w="1025" w:type="dxa"/>
            <w:shd w:val="clear" w:color="auto" w:fill="auto"/>
            <w:vAlign w:val="center"/>
          </w:tcPr>
          <w:p w14:paraId="6869A2EB">
            <w:pPr>
              <w:pageBreakBefore w:val="0"/>
              <w:wordWrap/>
              <w:overflowPunct/>
              <w:bidi w:val="0"/>
              <w:spacing w:line="360" w:lineRule="auto"/>
              <w:jc w:val="center"/>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5</w:t>
            </w:r>
            <w:r>
              <w:rPr>
                <w:rFonts w:hint="eastAsia" w:ascii="宋体" w:hAnsi="宋体"/>
                <w:sz w:val="24"/>
                <w:szCs w:val="24"/>
                <w:highlight w:val="none"/>
              </w:rPr>
              <w:t>分</w:t>
            </w:r>
          </w:p>
        </w:tc>
      </w:tr>
      <w:tr w14:paraId="1A98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76F9A17D">
            <w:pPr>
              <w:pageBreakBefore w:val="0"/>
              <w:wordWrap/>
              <w:overflowPunct/>
              <w:bidi w:val="0"/>
              <w:spacing w:line="360" w:lineRule="auto"/>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7</w:t>
            </w:r>
          </w:p>
        </w:tc>
        <w:tc>
          <w:tcPr>
            <w:tcW w:w="901" w:type="dxa"/>
            <w:shd w:val="clear" w:color="auto" w:fill="auto"/>
            <w:vAlign w:val="center"/>
          </w:tcPr>
          <w:p w14:paraId="61B52F78">
            <w:pPr>
              <w:spacing w:line="360" w:lineRule="auto"/>
              <w:jc w:val="center"/>
              <w:rPr>
                <w:rFonts w:ascii="宋体" w:hAnsi="宋体"/>
                <w:sz w:val="24"/>
                <w:szCs w:val="24"/>
                <w:highlight w:val="none"/>
              </w:rPr>
            </w:pPr>
            <w:bookmarkStart w:id="128" w:name="OLE_LINK43"/>
            <w:r>
              <w:rPr>
                <w:rFonts w:ascii="宋体" w:hAnsi="宋体" w:eastAsia="宋体" w:cs="宋体"/>
                <w:sz w:val="24"/>
                <w:szCs w:val="24"/>
                <w:highlight w:val="none"/>
              </w:rPr>
              <w:t>环境保护管理体系与措施</w:t>
            </w:r>
            <w:bookmarkEnd w:id="128"/>
          </w:p>
        </w:tc>
        <w:tc>
          <w:tcPr>
            <w:tcW w:w="7037" w:type="dxa"/>
            <w:shd w:val="clear" w:color="auto" w:fill="auto"/>
            <w:vAlign w:val="center"/>
          </w:tcPr>
          <w:p w14:paraId="43D45F0F">
            <w:pPr>
              <w:spacing w:line="360" w:lineRule="auto"/>
              <w:jc w:val="both"/>
              <w:rPr>
                <w:rFonts w:ascii="宋体" w:hAnsi="宋体"/>
                <w:sz w:val="24"/>
                <w:szCs w:val="24"/>
                <w:highlight w:val="none"/>
              </w:rPr>
            </w:pPr>
            <w:bookmarkStart w:id="129" w:name="OLE_LINK44"/>
            <w:r>
              <w:rPr>
                <w:rFonts w:ascii="宋体" w:hAnsi="宋体" w:eastAsia="宋体" w:cs="宋体"/>
                <w:sz w:val="24"/>
                <w:szCs w:val="24"/>
                <w:highlight w:val="none"/>
              </w:rPr>
              <w:t>环境保护管理体系健全、污染物处理技术及管理措施结构完整，切中关键问题得10分；环境保护管理体系健全、污染物处理技术及管理措施到位比较完整，内容较充实得</w:t>
            </w:r>
            <w:r>
              <w:rPr>
                <w:rFonts w:hint="eastAsia" w:ascii="宋体" w:hAnsi="宋体" w:eastAsia="宋体" w:cs="宋体"/>
                <w:sz w:val="24"/>
                <w:szCs w:val="24"/>
                <w:highlight w:val="none"/>
                <w:lang w:val="en-US" w:eastAsia="zh-CN"/>
              </w:rPr>
              <w:t>7</w:t>
            </w:r>
            <w:r>
              <w:rPr>
                <w:rFonts w:ascii="宋体" w:hAnsi="宋体" w:eastAsia="宋体" w:cs="宋体"/>
                <w:sz w:val="24"/>
                <w:szCs w:val="24"/>
                <w:highlight w:val="none"/>
              </w:rPr>
              <w:t>分；环境保护管理体系健全、污染物处理技术及管理措施一般，内容一般得</w:t>
            </w: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分；</w:t>
            </w:r>
            <w:r>
              <w:rPr>
                <w:rFonts w:hint="eastAsia" w:ascii="宋体" w:hAnsi="宋体" w:eastAsia="宋体" w:cs="宋体"/>
                <w:sz w:val="24"/>
                <w:szCs w:val="24"/>
                <w:highlight w:val="none"/>
                <w:lang w:val="en-US" w:eastAsia="zh-CN"/>
              </w:rPr>
              <w:t>未提供或提供不全</w:t>
            </w:r>
            <w:r>
              <w:rPr>
                <w:rFonts w:ascii="宋体" w:hAnsi="宋体" w:eastAsia="宋体" w:cs="宋体"/>
                <w:sz w:val="24"/>
                <w:szCs w:val="24"/>
                <w:highlight w:val="none"/>
              </w:rPr>
              <w:t>不得分。</w:t>
            </w:r>
            <w:bookmarkEnd w:id="129"/>
          </w:p>
        </w:tc>
        <w:tc>
          <w:tcPr>
            <w:tcW w:w="1025" w:type="dxa"/>
            <w:shd w:val="clear" w:color="auto" w:fill="auto"/>
            <w:vAlign w:val="center"/>
          </w:tcPr>
          <w:p w14:paraId="454F9F23">
            <w:pPr>
              <w:pageBreakBefore w:val="0"/>
              <w:wordWrap/>
              <w:overflowPunct/>
              <w:bidi w:val="0"/>
              <w:spacing w:line="360" w:lineRule="auto"/>
              <w:jc w:val="center"/>
              <w:rPr>
                <w:rFonts w:ascii="宋体" w:hAnsi="宋体"/>
                <w:sz w:val="24"/>
                <w:szCs w:val="24"/>
                <w:highlight w:val="none"/>
              </w:rPr>
            </w:pPr>
            <w:r>
              <w:rPr>
                <w:rFonts w:ascii="宋体" w:hAnsi="宋体"/>
                <w:sz w:val="24"/>
                <w:szCs w:val="24"/>
                <w:highlight w:val="none"/>
              </w:rPr>
              <w:t>10</w:t>
            </w:r>
            <w:r>
              <w:rPr>
                <w:rFonts w:hint="eastAsia" w:ascii="宋体" w:hAnsi="宋体"/>
                <w:sz w:val="24"/>
                <w:szCs w:val="24"/>
                <w:highlight w:val="none"/>
              </w:rPr>
              <w:t>分</w:t>
            </w:r>
          </w:p>
        </w:tc>
      </w:tr>
      <w:tr w14:paraId="555D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73629CD1">
            <w:pPr>
              <w:pageBreakBefore w:val="0"/>
              <w:wordWrap/>
              <w:overflowPunct/>
              <w:bidi w:val="0"/>
              <w:spacing w:line="360" w:lineRule="auto"/>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8</w:t>
            </w:r>
          </w:p>
        </w:tc>
        <w:tc>
          <w:tcPr>
            <w:tcW w:w="901" w:type="dxa"/>
            <w:shd w:val="clear" w:color="auto" w:fill="auto"/>
            <w:vAlign w:val="center"/>
          </w:tcPr>
          <w:p w14:paraId="292700C1">
            <w:pPr>
              <w:spacing w:line="360" w:lineRule="auto"/>
              <w:jc w:val="center"/>
              <w:rPr>
                <w:rFonts w:ascii="宋体" w:hAnsi="宋体" w:cs="宋体"/>
                <w:bCs/>
                <w:sz w:val="24"/>
                <w:szCs w:val="24"/>
                <w:highlight w:val="none"/>
              </w:rPr>
            </w:pPr>
            <w:bookmarkStart w:id="130" w:name="OLE_LINK45"/>
            <w:r>
              <w:rPr>
                <w:rFonts w:ascii="宋体" w:hAnsi="宋体" w:eastAsia="宋体" w:cs="宋体"/>
                <w:sz w:val="24"/>
                <w:szCs w:val="24"/>
                <w:highlight w:val="none"/>
              </w:rPr>
              <w:t>实施难点解决方案</w:t>
            </w:r>
            <w:bookmarkEnd w:id="130"/>
          </w:p>
        </w:tc>
        <w:tc>
          <w:tcPr>
            <w:tcW w:w="7037" w:type="dxa"/>
            <w:shd w:val="clear" w:color="auto" w:fill="auto"/>
            <w:vAlign w:val="center"/>
          </w:tcPr>
          <w:p w14:paraId="27C04A05">
            <w:pPr>
              <w:spacing w:line="360" w:lineRule="auto"/>
              <w:jc w:val="both"/>
              <w:rPr>
                <w:rFonts w:ascii="宋体" w:hAnsi="宋体"/>
                <w:sz w:val="24"/>
                <w:szCs w:val="24"/>
                <w:highlight w:val="none"/>
              </w:rPr>
            </w:pPr>
            <w:bookmarkStart w:id="131" w:name="OLE_LINK46"/>
            <w:bookmarkStart w:id="278" w:name="_GoBack"/>
            <w:r>
              <w:rPr>
                <w:rFonts w:ascii="宋体" w:hAnsi="宋体" w:eastAsia="宋体" w:cs="宋体"/>
                <w:sz w:val="24"/>
                <w:szCs w:val="24"/>
                <w:highlight w:val="none"/>
              </w:rPr>
              <w:t>供应商针对本项目特点从交通组织、节能环保、应急处置三个方面提出实施难点并针对难点提出切实可行的解决方案，</w:t>
            </w:r>
            <w:r>
              <w:rPr>
                <w:rFonts w:hint="eastAsia" w:ascii="宋体" w:hAnsi="宋体" w:eastAsia="宋体" w:cs="宋体"/>
                <w:sz w:val="24"/>
                <w:szCs w:val="24"/>
                <w:highlight w:val="none"/>
                <w:lang w:val="en-US" w:eastAsia="zh-CN"/>
              </w:rPr>
              <w:t>评标委员会</w:t>
            </w:r>
            <w:r>
              <w:rPr>
                <w:rFonts w:ascii="宋体" w:hAnsi="宋体" w:eastAsia="宋体" w:cs="宋体"/>
                <w:sz w:val="24"/>
                <w:szCs w:val="24"/>
                <w:highlight w:val="none"/>
              </w:rPr>
              <w:t>进行综合评分。实施难点阐述全面、解决方案可操作性强的得 15分；实施难点阐述较全面、解决方案可操作性一般的得</w:t>
            </w: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分；实施难点阐述不全面、解决方案可操作性不强的得</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分；</w:t>
            </w:r>
            <w:r>
              <w:rPr>
                <w:rFonts w:hint="eastAsia" w:ascii="宋体" w:hAnsi="宋体" w:eastAsia="宋体" w:cs="宋体"/>
                <w:sz w:val="24"/>
                <w:szCs w:val="24"/>
                <w:highlight w:val="none"/>
                <w:lang w:val="en-US" w:eastAsia="zh-CN"/>
              </w:rPr>
              <w:t>未提供或提供不全</w:t>
            </w:r>
            <w:r>
              <w:rPr>
                <w:rFonts w:ascii="宋体" w:hAnsi="宋体" w:eastAsia="宋体" w:cs="宋体"/>
                <w:sz w:val="24"/>
                <w:szCs w:val="24"/>
                <w:highlight w:val="none"/>
              </w:rPr>
              <w:t>不得分。</w:t>
            </w:r>
            <w:bookmarkEnd w:id="131"/>
            <w:bookmarkEnd w:id="278"/>
          </w:p>
        </w:tc>
        <w:tc>
          <w:tcPr>
            <w:tcW w:w="1025" w:type="dxa"/>
            <w:shd w:val="clear" w:color="auto" w:fill="auto"/>
            <w:vAlign w:val="center"/>
          </w:tcPr>
          <w:p w14:paraId="16E474B1">
            <w:pPr>
              <w:pageBreakBefore w:val="0"/>
              <w:wordWrap/>
              <w:overflowPunct/>
              <w:bidi w:val="0"/>
              <w:spacing w:line="360" w:lineRule="auto"/>
              <w:jc w:val="center"/>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分</w:t>
            </w:r>
          </w:p>
        </w:tc>
      </w:tr>
    </w:tbl>
    <w:p w14:paraId="75558D0C">
      <w:pPr>
        <w:pageBreakBefore w:val="0"/>
        <w:wordWrap/>
        <w:overflowPunct/>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本次评标采用综合评分法。评标委员会对满足招标文件实质性要求的投标文件，按照</w:t>
      </w:r>
      <w:r>
        <w:rPr>
          <w:rFonts w:hint="eastAsia" w:ascii="宋体" w:hAnsi="宋体" w:cs="宋体"/>
          <w:color w:val="auto"/>
          <w:sz w:val="24"/>
          <w:szCs w:val="24"/>
          <w:highlight w:val="none"/>
          <w:lang w:val="en-US" w:eastAsia="zh-CN"/>
        </w:rPr>
        <w:t>上述</w:t>
      </w:r>
      <w:r>
        <w:rPr>
          <w:rFonts w:hint="eastAsia" w:ascii="宋体" w:hAnsi="宋体" w:cs="宋体"/>
          <w:color w:val="auto"/>
          <w:sz w:val="24"/>
          <w:szCs w:val="24"/>
          <w:highlight w:val="none"/>
        </w:rPr>
        <w:t>规定的评分标准进行打分，并按得分由高到低顺序推荐3名中标候选人。综合评分相等时，以投标报价低的优先；投标报价也相等的，以</w:t>
      </w:r>
      <w:r>
        <w:rPr>
          <w:rFonts w:hint="eastAsia" w:ascii="宋体" w:hAnsi="宋体" w:cs="宋体"/>
          <w:color w:val="auto"/>
          <w:sz w:val="24"/>
          <w:szCs w:val="24"/>
          <w:highlight w:val="none"/>
          <w:lang w:val="en-US" w:eastAsia="zh-CN"/>
        </w:rPr>
        <w:t>技术部分得分较高</w:t>
      </w:r>
      <w:r>
        <w:rPr>
          <w:rFonts w:hint="eastAsia" w:ascii="宋体" w:hAnsi="宋体" w:cs="宋体"/>
          <w:color w:val="auto"/>
          <w:sz w:val="24"/>
          <w:szCs w:val="24"/>
          <w:highlight w:val="none"/>
        </w:rPr>
        <w:t>的优先</w:t>
      </w:r>
      <w:r>
        <w:rPr>
          <w:rFonts w:hint="eastAsia" w:ascii="宋体" w:hAnsi="宋体" w:cs="宋体"/>
          <w:color w:val="auto"/>
          <w:sz w:val="24"/>
          <w:szCs w:val="24"/>
          <w:highlight w:val="none"/>
          <w:lang w:eastAsia="zh-CN"/>
        </w:rPr>
        <w:t>。</w:t>
      </w:r>
    </w:p>
    <w:p w14:paraId="6E10F4C6">
      <w:pPr>
        <w:pStyle w:val="5"/>
        <w:pageBreakBefore w:val="0"/>
        <w:wordWrap/>
        <w:overflowPunct/>
        <w:bidi w:val="0"/>
        <w:spacing w:line="360" w:lineRule="auto"/>
        <w:outlineLvl w:val="1"/>
        <w:rPr>
          <w:rFonts w:ascii="宋体" w:hAnsi="宋体" w:eastAsia="宋体" w:cs="宋体"/>
          <w:color w:val="auto"/>
          <w:sz w:val="24"/>
          <w:szCs w:val="24"/>
          <w:highlight w:val="none"/>
        </w:rPr>
      </w:pPr>
      <w:bookmarkStart w:id="132" w:name="_Toc144974568"/>
      <w:bookmarkStart w:id="133" w:name="_Toc179632619"/>
      <w:bookmarkStart w:id="134" w:name="_Toc152042378"/>
      <w:bookmarkStart w:id="135" w:name="_Toc152045601"/>
      <w:bookmarkStart w:id="136" w:name="_Toc29880"/>
      <w:bookmarkStart w:id="137" w:name="_Toc27049"/>
      <w:bookmarkStart w:id="138" w:name="_Toc19618"/>
      <w:bookmarkStart w:id="139" w:name="_Toc28030"/>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评审标准</w:t>
      </w:r>
      <w:bookmarkEnd w:id="132"/>
      <w:bookmarkEnd w:id="133"/>
      <w:bookmarkEnd w:id="134"/>
      <w:bookmarkEnd w:id="135"/>
      <w:bookmarkEnd w:id="136"/>
      <w:bookmarkEnd w:id="137"/>
      <w:bookmarkEnd w:id="138"/>
      <w:bookmarkEnd w:id="139"/>
    </w:p>
    <w:p w14:paraId="1B8B5408">
      <w:pPr>
        <w:pageBreakBefore w:val="0"/>
        <w:wordWrap/>
        <w:overflowPunct/>
        <w:bidi w:val="0"/>
        <w:spacing w:line="360" w:lineRule="auto"/>
        <w:ind w:firstLine="480" w:firstLineChars="200"/>
        <w:rPr>
          <w:rFonts w:ascii="宋体" w:hAnsi="宋体" w:cs="宋体"/>
          <w:color w:val="auto"/>
          <w:sz w:val="24"/>
          <w:szCs w:val="24"/>
          <w:highlight w:val="none"/>
        </w:rPr>
      </w:pPr>
      <w:bookmarkStart w:id="140" w:name="_Toc144974569"/>
      <w:bookmarkStart w:id="141" w:name="_Toc23196"/>
      <w:bookmarkStart w:id="142" w:name="_Toc152045602"/>
      <w:bookmarkStart w:id="143" w:name="_Toc31847"/>
      <w:bookmarkStart w:id="144" w:name="_Toc179632620"/>
      <w:bookmarkStart w:id="145" w:name="_Toc152042379"/>
      <w:bookmarkStart w:id="146" w:name="_Toc12931"/>
      <w:r>
        <w:rPr>
          <w:rFonts w:hint="eastAsia" w:ascii="宋体" w:hAnsi="宋体" w:cs="宋体"/>
          <w:color w:val="auto"/>
          <w:sz w:val="24"/>
          <w:szCs w:val="24"/>
          <w:highlight w:val="none"/>
        </w:rPr>
        <w:t>2.1 初步评审标准</w:t>
      </w:r>
      <w:bookmarkEnd w:id="140"/>
      <w:bookmarkEnd w:id="141"/>
      <w:bookmarkEnd w:id="142"/>
      <w:bookmarkEnd w:id="143"/>
      <w:bookmarkEnd w:id="144"/>
      <w:bookmarkEnd w:id="145"/>
      <w:bookmarkEnd w:id="146"/>
      <w:r>
        <w:rPr>
          <w:rFonts w:hint="eastAsia" w:ascii="宋体" w:hAnsi="宋体" w:cs="宋体"/>
          <w:color w:val="auto"/>
          <w:sz w:val="24"/>
          <w:szCs w:val="24"/>
          <w:highlight w:val="none"/>
        </w:rPr>
        <w:t>：评标办法前附表。</w:t>
      </w:r>
    </w:p>
    <w:p w14:paraId="4B23735F">
      <w:pPr>
        <w:pageBreakBefore w:val="0"/>
        <w:wordWrap/>
        <w:overflowPunct/>
        <w:bidi w:val="0"/>
        <w:spacing w:line="360" w:lineRule="auto"/>
        <w:ind w:firstLine="480" w:firstLineChars="200"/>
        <w:rPr>
          <w:rFonts w:hint="eastAsia" w:ascii="宋体" w:hAnsi="宋体" w:eastAsia="宋体" w:cs="宋体"/>
          <w:color w:val="auto"/>
          <w:sz w:val="24"/>
          <w:szCs w:val="24"/>
          <w:highlight w:val="none"/>
          <w:lang w:eastAsia="zh-CN"/>
        </w:rPr>
      </w:pPr>
      <w:bookmarkStart w:id="147" w:name="_Toc11804"/>
      <w:bookmarkStart w:id="148" w:name="_Toc152042380"/>
      <w:bookmarkStart w:id="149" w:name="_Toc607"/>
      <w:bookmarkStart w:id="150" w:name="_Toc144974570"/>
      <w:bookmarkStart w:id="151" w:name="_Toc152045603"/>
      <w:bookmarkStart w:id="152" w:name="_Toc179632621"/>
      <w:bookmarkStart w:id="153" w:name="_Toc16603"/>
      <w:r>
        <w:rPr>
          <w:rFonts w:hint="eastAsia" w:ascii="宋体" w:hAnsi="宋体" w:cs="宋体"/>
          <w:color w:val="auto"/>
          <w:sz w:val="24"/>
          <w:szCs w:val="24"/>
          <w:highlight w:val="none"/>
        </w:rPr>
        <w:t>2.2 分值构成与评分标准</w:t>
      </w:r>
      <w:bookmarkEnd w:id="147"/>
      <w:bookmarkEnd w:id="148"/>
      <w:bookmarkEnd w:id="149"/>
      <w:bookmarkEnd w:id="150"/>
      <w:bookmarkEnd w:id="151"/>
      <w:bookmarkEnd w:id="152"/>
      <w:bookmarkEnd w:id="153"/>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评分标准分项明细表</w:t>
      </w:r>
      <w:r>
        <w:rPr>
          <w:rFonts w:hint="eastAsia" w:ascii="宋体" w:hAnsi="宋体" w:eastAsia="宋体" w:cs="宋体"/>
          <w:color w:val="auto"/>
          <w:sz w:val="24"/>
          <w:szCs w:val="24"/>
          <w:highlight w:val="none"/>
          <w:lang w:eastAsia="zh-CN"/>
        </w:rPr>
        <w:t>。</w:t>
      </w:r>
    </w:p>
    <w:p w14:paraId="2A0DF3C2">
      <w:pPr>
        <w:pageBreakBefore w:val="0"/>
        <w:wordWrap/>
        <w:overflowPunct/>
        <w:bidi w:val="0"/>
        <w:spacing w:line="360" w:lineRule="auto"/>
        <w:ind w:firstLine="480" w:firstLineChars="200"/>
        <w:rPr>
          <w:rFonts w:ascii="宋体" w:hAnsi="宋体" w:cs="宋体"/>
          <w:color w:val="auto"/>
          <w:sz w:val="24"/>
          <w:szCs w:val="24"/>
          <w:highlight w:val="none"/>
        </w:rPr>
      </w:pPr>
      <w:bookmarkStart w:id="154" w:name="_Toc25534"/>
      <w:bookmarkStart w:id="155" w:name="_Toc179632622"/>
      <w:bookmarkStart w:id="156" w:name="_Toc152042381"/>
      <w:bookmarkStart w:id="157" w:name="_Toc11715"/>
      <w:bookmarkStart w:id="158" w:name="_Toc152045604"/>
      <w:bookmarkStart w:id="159" w:name="_Toc13158"/>
      <w:bookmarkStart w:id="160" w:name="_Toc144974571"/>
      <w:r>
        <w:rPr>
          <w:rFonts w:hint="eastAsia" w:ascii="宋体" w:hAnsi="宋体" w:cs="宋体"/>
          <w:color w:val="auto"/>
          <w:sz w:val="24"/>
          <w:szCs w:val="24"/>
          <w:highlight w:val="none"/>
        </w:rPr>
        <w:t>第一部分：</w:t>
      </w:r>
      <w:r>
        <w:rPr>
          <w:rFonts w:hint="eastAsia" w:ascii="宋体" w:hAnsi="宋体" w:cs="宋体"/>
          <w:color w:val="auto"/>
          <w:sz w:val="24"/>
          <w:szCs w:val="24"/>
          <w:highlight w:val="none"/>
          <w:lang w:val="en-US" w:eastAsia="zh-CN"/>
        </w:rPr>
        <w:t>报价部分</w:t>
      </w:r>
      <w:r>
        <w:rPr>
          <w:rFonts w:hint="eastAsia" w:ascii="宋体" w:hAnsi="宋体" w:cs="宋体"/>
          <w:color w:val="auto"/>
          <w:sz w:val="24"/>
          <w:szCs w:val="24"/>
          <w:highlight w:val="none"/>
        </w:rPr>
        <w:t>；第二部分：商务部分；第三部分：技术部分。</w:t>
      </w:r>
    </w:p>
    <w:p w14:paraId="744D10B2">
      <w:pPr>
        <w:pStyle w:val="5"/>
        <w:pageBreakBefore w:val="0"/>
        <w:wordWrap/>
        <w:overflowPunct/>
        <w:bidi w:val="0"/>
        <w:spacing w:line="360" w:lineRule="auto"/>
        <w:outlineLvl w:val="1"/>
        <w:rPr>
          <w:rFonts w:ascii="宋体" w:hAnsi="宋体" w:eastAsia="宋体" w:cs="宋体"/>
          <w:color w:val="auto"/>
          <w:sz w:val="24"/>
          <w:szCs w:val="24"/>
          <w:highlight w:val="none"/>
        </w:rPr>
      </w:pPr>
      <w:bookmarkStart w:id="161" w:name="_Toc11555"/>
      <w:r>
        <w:rPr>
          <w:rFonts w:hint="eastAsia" w:ascii="宋体" w:hAnsi="宋体" w:eastAsia="宋体" w:cs="宋体"/>
          <w:color w:val="auto"/>
          <w:sz w:val="24"/>
          <w:szCs w:val="24"/>
          <w:highlight w:val="none"/>
        </w:rPr>
        <w:t>3.评标程序</w:t>
      </w:r>
      <w:bookmarkEnd w:id="154"/>
      <w:bookmarkEnd w:id="155"/>
      <w:bookmarkEnd w:id="156"/>
      <w:bookmarkEnd w:id="157"/>
      <w:bookmarkEnd w:id="158"/>
      <w:bookmarkEnd w:id="159"/>
      <w:bookmarkEnd w:id="160"/>
      <w:bookmarkEnd w:id="161"/>
    </w:p>
    <w:p w14:paraId="4B8677D9">
      <w:pPr>
        <w:pStyle w:val="24"/>
        <w:keepNext w:val="0"/>
        <w:keepLines w:val="0"/>
        <w:pageBreakBefore w:val="0"/>
        <w:wordWrap/>
        <w:overflowPunct/>
        <w:bidi w:val="0"/>
        <w:spacing w:line="360" w:lineRule="auto"/>
        <w:ind w:firstLine="480" w:firstLineChars="200"/>
        <w:outlineLvl w:val="9"/>
        <w:rPr>
          <w:rFonts w:ascii="宋体" w:hAnsi="宋体" w:eastAsia="宋体"/>
          <w:sz w:val="24"/>
          <w:szCs w:val="24"/>
          <w:highlight w:val="none"/>
        </w:rPr>
      </w:pPr>
      <w:bookmarkStart w:id="162" w:name="_Toc152045605"/>
      <w:bookmarkStart w:id="163" w:name="_Toc8644"/>
      <w:bookmarkStart w:id="164" w:name="_Toc30372"/>
      <w:bookmarkStart w:id="165" w:name="_Toc152042382"/>
      <w:bookmarkStart w:id="166" w:name="_Toc144974572"/>
      <w:bookmarkStart w:id="167" w:name="_Toc31010"/>
      <w:bookmarkStart w:id="168" w:name="_Toc179632623"/>
      <w:r>
        <w:rPr>
          <w:rFonts w:hint="eastAsia" w:ascii="宋体" w:hAnsi="宋体" w:eastAsia="宋体"/>
          <w:sz w:val="24"/>
          <w:szCs w:val="24"/>
          <w:highlight w:val="none"/>
        </w:rPr>
        <w:t>3.1初步评审</w:t>
      </w:r>
      <w:bookmarkEnd w:id="162"/>
      <w:bookmarkEnd w:id="163"/>
      <w:bookmarkEnd w:id="164"/>
      <w:bookmarkEnd w:id="165"/>
      <w:bookmarkEnd w:id="166"/>
      <w:bookmarkEnd w:id="167"/>
      <w:bookmarkEnd w:id="168"/>
    </w:p>
    <w:p w14:paraId="00B08AFD">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3.1.1 采购人或者采购代理机构应该以供应商投标文件中的有关证明和证件的原件扫描件为准，进行核验。采购人或者采购代理机构依据本章第2.1</w:t>
      </w:r>
      <w:r>
        <w:rPr>
          <w:rFonts w:hint="eastAsia" w:ascii="宋体" w:hAnsi="宋体" w:cs="宋体"/>
          <w:color w:val="auto"/>
          <w:sz w:val="24"/>
          <w:szCs w:val="24"/>
          <w:highlight w:val="none"/>
          <w:lang w:val="en-US" w:eastAsia="zh-CN"/>
        </w:rPr>
        <w:t>.2项</w:t>
      </w:r>
      <w:r>
        <w:rPr>
          <w:rFonts w:hint="eastAsia" w:ascii="宋体" w:hAnsi="宋体" w:cs="宋体"/>
          <w:color w:val="auto"/>
          <w:sz w:val="24"/>
          <w:szCs w:val="24"/>
          <w:highlight w:val="none"/>
        </w:rPr>
        <w:t>款规定的标准对投标文件进行初步评审。有一项不符合评审标准的，其投标将被否决。</w:t>
      </w:r>
    </w:p>
    <w:p w14:paraId="0FD0C682">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3.1.2评标委员会依据本章第2.1.1项、第2.1.3项规定的评审标准对符合资格的投标供应商的投标文件进行初步评审。有一项不符合评审标准的，其投标将被否决。</w:t>
      </w:r>
    </w:p>
    <w:p w14:paraId="575C1E5A">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3.1.3 供应商有以下情形之一的，其投标将被否决：</w:t>
      </w:r>
    </w:p>
    <w:p w14:paraId="04053FB9">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（1）串通投标或弄虚作假或有其他违法行为的；</w:t>
      </w:r>
    </w:p>
    <w:p w14:paraId="586A4FE8">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（2）不按评标委员会要求澄清、说明或补正的。</w:t>
      </w:r>
    </w:p>
    <w:p w14:paraId="01885DDD">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3.1.4投标报价有算术错误的，评标委员会按以下原则对投标报价进行修正，修正的价格经供应商书面确认后具有约束力。供应商不接受修正价格的，其投标作废标处理。</w:t>
      </w:r>
    </w:p>
    <w:p w14:paraId="67858DF2">
      <w:pPr>
        <w:pageBreakBefore w:val="0"/>
        <w:wordWrap/>
        <w:overflowPunct/>
        <w:bidi w:val="0"/>
        <w:spacing w:line="360" w:lineRule="auto"/>
        <w:ind w:firstLine="480" w:firstLineChars="200"/>
        <w:outlineLvl w:val="9"/>
        <w:rPr>
          <w:rFonts w:ascii="宋体" w:hAnsi="宋体" w:cs="宋体"/>
          <w:color w:val="auto"/>
          <w:sz w:val="24"/>
          <w:szCs w:val="24"/>
          <w:highlight w:val="none"/>
        </w:rPr>
      </w:pPr>
      <w:bookmarkStart w:id="169" w:name="_Toc152042383"/>
      <w:r>
        <w:rPr>
          <w:rFonts w:hint="eastAsia" w:ascii="宋体" w:hAnsi="宋体" w:cs="宋体"/>
          <w:color w:val="auto"/>
          <w:sz w:val="24"/>
          <w:szCs w:val="24"/>
          <w:highlight w:val="none"/>
        </w:rPr>
        <w:t>（1）投标文件中的大写金额与小写金额不一致的，以大写金额为准；</w:t>
      </w:r>
      <w:bookmarkEnd w:id="169"/>
    </w:p>
    <w:p w14:paraId="09A372A2">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（2）总价金额与依据单价计算出的结果不一致的，以单价金额为准修正总价，但单价金额小数点有明显错误的除外。</w:t>
      </w:r>
    </w:p>
    <w:p w14:paraId="5E715723">
      <w:pPr>
        <w:pStyle w:val="24"/>
        <w:keepNext w:val="0"/>
        <w:keepLines w:val="0"/>
        <w:pageBreakBefore w:val="0"/>
        <w:wordWrap/>
        <w:overflowPunct/>
        <w:bidi w:val="0"/>
        <w:spacing w:line="360" w:lineRule="auto"/>
        <w:ind w:firstLine="480" w:firstLineChars="200"/>
        <w:outlineLvl w:val="9"/>
        <w:rPr>
          <w:rFonts w:ascii="宋体" w:hAnsi="宋体" w:eastAsia="宋体"/>
          <w:sz w:val="24"/>
          <w:szCs w:val="24"/>
          <w:highlight w:val="none"/>
        </w:rPr>
      </w:pPr>
      <w:bookmarkStart w:id="170" w:name="_Toc144974573"/>
      <w:bookmarkStart w:id="171" w:name="_Toc152042384"/>
      <w:bookmarkStart w:id="172" w:name="_Toc152045606"/>
      <w:bookmarkStart w:id="173" w:name="_Toc179632624"/>
      <w:r>
        <w:rPr>
          <w:rFonts w:hint="eastAsia" w:ascii="宋体" w:hAnsi="宋体" w:eastAsia="宋体"/>
          <w:sz w:val="24"/>
          <w:szCs w:val="24"/>
          <w:highlight w:val="none"/>
        </w:rPr>
        <w:t>3.2详细评审</w:t>
      </w:r>
      <w:bookmarkEnd w:id="170"/>
      <w:bookmarkEnd w:id="171"/>
      <w:bookmarkEnd w:id="172"/>
      <w:bookmarkEnd w:id="173"/>
    </w:p>
    <w:p w14:paraId="3D28D2F3">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3.2.1 评标委员会按本章第2.2款规定的量化因素和分值进行打分，并计算出综合评估得分。</w:t>
      </w:r>
    </w:p>
    <w:p w14:paraId="62318A12">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3.2.2 评标委员会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委员会认定该供应商以低于成本报价竞标，其投标将被否决。</w:t>
      </w:r>
    </w:p>
    <w:p w14:paraId="218AAD8E">
      <w:pPr>
        <w:pStyle w:val="24"/>
        <w:keepNext w:val="0"/>
        <w:keepLines w:val="0"/>
        <w:pageBreakBefore w:val="0"/>
        <w:wordWrap/>
        <w:overflowPunct/>
        <w:bidi w:val="0"/>
        <w:spacing w:line="360" w:lineRule="auto"/>
        <w:ind w:firstLine="480" w:firstLineChars="200"/>
        <w:outlineLvl w:val="9"/>
        <w:rPr>
          <w:rFonts w:ascii="宋体" w:hAnsi="宋体" w:eastAsia="宋体"/>
          <w:sz w:val="24"/>
          <w:szCs w:val="24"/>
          <w:highlight w:val="none"/>
        </w:rPr>
      </w:pPr>
      <w:bookmarkStart w:id="174" w:name="_Toc144974575"/>
      <w:bookmarkStart w:id="175" w:name="_Toc152045607"/>
      <w:bookmarkStart w:id="176" w:name="_Toc401512224"/>
      <w:bookmarkStart w:id="177" w:name="_Toc387498748"/>
      <w:bookmarkStart w:id="178" w:name="_Toc418605429"/>
      <w:bookmarkStart w:id="179" w:name="_Toc421698384"/>
      <w:bookmarkStart w:id="180" w:name="_Toc418608950"/>
      <w:bookmarkStart w:id="181" w:name="_Toc152042385"/>
      <w:bookmarkStart w:id="182" w:name="_Toc423358132"/>
      <w:bookmarkStart w:id="183" w:name="_Toc466566711"/>
      <w:bookmarkStart w:id="184" w:name="_Toc401926485"/>
      <w:bookmarkStart w:id="185" w:name="_Toc389384087"/>
      <w:bookmarkStart w:id="186" w:name="_Toc421805017"/>
      <w:bookmarkStart w:id="187" w:name="_Toc179632625"/>
      <w:bookmarkStart w:id="188" w:name="_Toc466566800"/>
      <w:r>
        <w:rPr>
          <w:rFonts w:hint="eastAsia" w:ascii="宋体" w:hAnsi="宋体" w:eastAsia="宋体"/>
          <w:sz w:val="24"/>
          <w:szCs w:val="24"/>
          <w:highlight w:val="none"/>
        </w:rPr>
        <w:t>3.3投标文件的澄清</w:t>
      </w:r>
      <w:bookmarkEnd w:id="174"/>
      <w:r>
        <w:rPr>
          <w:rFonts w:hint="eastAsia" w:ascii="宋体" w:hAnsi="宋体" w:eastAsia="宋体"/>
          <w:sz w:val="24"/>
          <w:szCs w:val="24"/>
          <w:highlight w:val="none"/>
        </w:rPr>
        <w:t>和补正</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030F255">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3.3.1在评标过程中，评标委员会可以书面形式要求供应商对所提交投标文件中不明确的内容进行书面澄清或说明，或者对细微偏差进行补正。评标委员会不接受供应商主动提出的澄清、说明或补正。</w:t>
      </w:r>
    </w:p>
    <w:p w14:paraId="50CD873C">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3.3.2 澄清、说明和补正不得改变投标文件的实质性内容（算术性错误修正的除外）。供应商的书面澄清、说明和补正属于投标文件的组成部分。</w:t>
      </w:r>
    </w:p>
    <w:p w14:paraId="77C9F943">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3.3.3 评标委员会对供应商提交的澄清、说明或补正有疑问的，可以要求供应商进一步澄清、说明或补正，直至满足评标委员会的要求。</w:t>
      </w:r>
    </w:p>
    <w:p w14:paraId="1A6C71D5">
      <w:pPr>
        <w:pStyle w:val="24"/>
        <w:keepNext w:val="0"/>
        <w:keepLines w:val="0"/>
        <w:pageBreakBefore w:val="0"/>
        <w:wordWrap/>
        <w:overflowPunct/>
        <w:bidi w:val="0"/>
        <w:spacing w:line="360" w:lineRule="auto"/>
        <w:ind w:firstLine="480" w:firstLineChars="200"/>
        <w:outlineLvl w:val="9"/>
        <w:rPr>
          <w:rFonts w:ascii="宋体" w:hAnsi="宋体" w:eastAsia="宋体"/>
          <w:sz w:val="24"/>
          <w:szCs w:val="24"/>
          <w:highlight w:val="none"/>
        </w:rPr>
      </w:pPr>
      <w:bookmarkStart w:id="189" w:name="_Toc152045608"/>
      <w:bookmarkStart w:id="190" w:name="_Toc389384088"/>
      <w:bookmarkStart w:id="191" w:name="_Toc144974576"/>
      <w:bookmarkStart w:id="192" w:name="_Toc387498749"/>
      <w:bookmarkStart w:id="193" w:name="_Toc466566801"/>
      <w:bookmarkStart w:id="194" w:name="_Toc423358133"/>
      <w:bookmarkStart w:id="195" w:name="_Toc466566712"/>
      <w:bookmarkStart w:id="196" w:name="_Toc421805018"/>
      <w:bookmarkStart w:id="197" w:name="_Toc179632626"/>
      <w:bookmarkStart w:id="198" w:name="_Toc401512225"/>
      <w:bookmarkStart w:id="199" w:name="_Toc152042386"/>
      <w:bookmarkStart w:id="200" w:name="_Toc401926486"/>
      <w:bookmarkStart w:id="201" w:name="_Toc418605430"/>
      <w:bookmarkStart w:id="202" w:name="_Toc418608951"/>
      <w:bookmarkStart w:id="203" w:name="_Toc421698385"/>
      <w:r>
        <w:rPr>
          <w:rFonts w:hint="eastAsia" w:ascii="宋体" w:hAnsi="宋体" w:eastAsia="宋体"/>
          <w:sz w:val="24"/>
          <w:szCs w:val="24"/>
          <w:highlight w:val="none"/>
        </w:rPr>
        <w:t>3.4供应商的最总得分</w:t>
      </w:r>
    </w:p>
    <w:p w14:paraId="4D57C0D6">
      <w:pPr>
        <w:pageBreakBefore w:val="0"/>
        <w:wordWrap/>
        <w:overflowPunct/>
        <w:bidi w:val="0"/>
        <w:spacing w:line="360" w:lineRule="auto"/>
        <w:ind w:firstLine="480" w:firstLineChars="200"/>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（1）计算分值均保留两位小数。</w:t>
      </w:r>
    </w:p>
    <w:p w14:paraId="3A8D9E05">
      <w:pPr>
        <w:pStyle w:val="24"/>
        <w:keepNext w:val="0"/>
        <w:keepLines w:val="0"/>
        <w:pageBreakBefore w:val="0"/>
        <w:wordWrap/>
        <w:overflowPunct/>
        <w:bidi w:val="0"/>
        <w:spacing w:line="360" w:lineRule="auto"/>
        <w:ind w:firstLine="480" w:firstLineChars="200"/>
        <w:outlineLvl w:val="9"/>
        <w:rPr>
          <w:rFonts w:ascii="宋体" w:hAnsi="宋体" w:eastAsia="宋体"/>
          <w:sz w:val="24"/>
          <w:szCs w:val="24"/>
          <w:highlight w:val="none"/>
        </w:rPr>
      </w:pPr>
      <w:r>
        <w:rPr>
          <w:rFonts w:hint="eastAsia" w:ascii="宋体" w:hAnsi="宋体" w:eastAsia="宋体"/>
          <w:sz w:val="24"/>
          <w:szCs w:val="24"/>
          <w:highlight w:val="none"/>
        </w:rPr>
        <w:t>3.5评标结果</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5F3FC35">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3.5.1评标委员会按照得分由高到低的顺序推荐3名中标候选人。</w:t>
      </w:r>
    </w:p>
    <w:p w14:paraId="5C1F67A7">
      <w:pPr>
        <w:pageBreakBefore w:val="0"/>
        <w:wordWrap/>
        <w:overflowPunct/>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3.5.2 评标委员会完成评标后，应当向采购人提交书面评标报告。</w:t>
      </w:r>
    </w:p>
    <w:p w14:paraId="3BD848CF">
      <w:pPr>
        <w:pageBreakBefore w:val="0"/>
        <w:wordWrap/>
        <w:overflowPunct/>
        <w:bidi w:val="0"/>
        <w:spacing w:line="360" w:lineRule="auto"/>
        <w:jc w:val="left"/>
        <w:textAlignment w:val="auto"/>
        <w:outlineLvl w:val="9"/>
        <w:rPr>
          <w:rFonts w:ascii="宋体" w:hAnsi="宋体"/>
          <w:b/>
          <w:bCs/>
          <w:color w:val="auto"/>
          <w:kern w:val="44"/>
          <w:sz w:val="24"/>
          <w:szCs w:val="24"/>
          <w:highlight w:val="none"/>
        </w:rPr>
      </w:pPr>
      <w:r>
        <w:rPr>
          <w:rFonts w:ascii="宋体" w:hAnsi="宋体"/>
          <w:sz w:val="24"/>
          <w:szCs w:val="24"/>
          <w:highlight w:val="none"/>
        </w:rPr>
        <w:br w:type="page"/>
      </w:r>
    </w:p>
    <w:p w14:paraId="736E108D">
      <w:pPr>
        <w:pageBreakBefore w:val="0"/>
        <w:wordWrap/>
        <w:overflowPunct/>
        <w:bidi w:val="0"/>
        <w:spacing w:line="360" w:lineRule="auto"/>
        <w:jc w:val="center"/>
        <w:outlineLvl w:val="0"/>
        <w:rPr>
          <w:rFonts w:hint="eastAsia"/>
          <w:b/>
          <w:bCs/>
          <w:sz w:val="44"/>
          <w:szCs w:val="40"/>
        </w:rPr>
      </w:pPr>
      <w:bookmarkStart w:id="204" w:name="_Toc24052"/>
      <w:r>
        <w:rPr>
          <w:rFonts w:hint="eastAsia"/>
          <w:b/>
          <w:bCs/>
          <w:sz w:val="44"/>
          <w:szCs w:val="40"/>
        </w:rPr>
        <w:t xml:space="preserve">第四章  </w:t>
      </w:r>
      <w:bookmarkEnd w:id="90"/>
      <w:r>
        <w:rPr>
          <w:rFonts w:hint="eastAsia"/>
          <w:b/>
          <w:bCs/>
          <w:sz w:val="44"/>
          <w:szCs w:val="40"/>
        </w:rPr>
        <w:t>采购内容及要求</w:t>
      </w:r>
      <w:bookmarkEnd w:id="204"/>
    </w:p>
    <w:p w14:paraId="585BD993">
      <w:pPr>
        <w:pageBreakBefore w:val="0"/>
        <w:wordWrap/>
        <w:overflowPunct/>
        <w:bidi w:val="0"/>
        <w:spacing w:line="360" w:lineRule="auto"/>
        <w:ind w:firstLine="480" w:firstLineChars="200"/>
        <w:rPr>
          <w:rFonts w:hint="eastAsia" w:ascii="宋体" w:hAnsi="宋体"/>
          <w:sz w:val="24"/>
          <w:szCs w:val="24"/>
        </w:rPr>
      </w:pPr>
      <w:r>
        <w:rPr>
          <w:rFonts w:hint="eastAsia" w:ascii="宋体" w:hAnsi="宋体"/>
          <w:sz w:val="24"/>
          <w:szCs w:val="24"/>
        </w:rPr>
        <w:t>根据</w:t>
      </w:r>
      <w:r>
        <w:rPr>
          <w:rFonts w:hint="eastAsia" w:ascii="宋体" w:hAnsi="宋体"/>
          <w:color w:val="auto"/>
          <w:sz w:val="24"/>
          <w:szCs w:val="24"/>
          <w:lang w:eastAsia="zh-CN"/>
        </w:rPr>
        <w:t>三门峡市城市建设发展服务中心</w:t>
      </w:r>
      <w:r>
        <w:rPr>
          <w:rFonts w:hint="eastAsia" w:ascii="宋体" w:hAnsi="宋体"/>
          <w:sz w:val="24"/>
          <w:szCs w:val="24"/>
        </w:rPr>
        <w:t>《关于2026年度城市道路维护抢险作业采购沥青混凝土材料价格招标的请示》（</w:t>
      </w:r>
      <w:bookmarkStart w:id="205" w:name="OLE_LINK4"/>
      <w:r>
        <w:rPr>
          <w:rFonts w:hint="eastAsia" w:ascii="宋体" w:hAnsi="宋体"/>
          <w:sz w:val="24"/>
          <w:szCs w:val="24"/>
          <w:lang w:val="en-US" w:eastAsia="zh-CN"/>
        </w:rPr>
        <w:t>三城建服务</w:t>
      </w: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号</w:t>
      </w:r>
      <w:bookmarkEnd w:id="205"/>
      <w:r>
        <w:rPr>
          <w:rFonts w:hint="eastAsia" w:ascii="宋体" w:hAnsi="宋体"/>
          <w:sz w:val="24"/>
          <w:szCs w:val="24"/>
        </w:rPr>
        <w:t>）</w:t>
      </w:r>
      <w:r>
        <w:rPr>
          <w:rFonts w:hint="eastAsia" w:ascii="宋体" w:hAnsi="宋体"/>
          <w:sz w:val="24"/>
          <w:szCs w:val="24"/>
          <w:highlight w:val="none"/>
        </w:rPr>
        <w:t>和市财政局（三财预〔202</w:t>
      </w:r>
      <w:r>
        <w:rPr>
          <w:rFonts w:hint="eastAsia" w:ascii="宋体" w:hAnsi="宋体"/>
          <w:sz w:val="24"/>
          <w:szCs w:val="24"/>
          <w:highlight w:val="none"/>
          <w:lang w:val="en-US" w:eastAsia="zh-CN"/>
        </w:rPr>
        <w:t>6</w:t>
      </w:r>
      <w:r>
        <w:rPr>
          <w:rFonts w:hint="eastAsia" w:ascii="宋体" w:hAnsi="宋体"/>
          <w:sz w:val="24"/>
          <w:szCs w:val="24"/>
          <w:highlight w:val="none"/>
        </w:rPr>
        <w:t>〕60号）文件安排的部门预算</w:t>
      </w:r>
      <w:r>
        <w:rPr>
          <w:rFonts w:hint="eastAsia" w:ascii="宋体" w:hAnsi="宋体"/>
          <w:sz w:val="24"/>
          <w:szCs w:val="24"/>
        </w:rPr>
        <w:t>。</w:t>
      </w:r>
      <w:r>
        <w:rPr>
          <w:rFonts w:hint="eastAsia" w:ascii="宋体" w:hAnsi="宋体"/>
          <w:color w:val="auto"/>
          <w:sz w:val="24"/>
          <w:szCs w:val="24"/>
        </w:rPr>
        <w:t>本项目为三门峡市市区城市道路</w:t>
      </w:r>
      <w:r>
        <w:rPr>
          <w:rFonts w:hint="eastAsia" w:ascii="宋体" w:hAnsi="宋体"/>
          <w:color w:val="auto"/>
          <w:sz w:val="24"/>
          <w:szCs w:val="24"/>
          <w:lang w:eastAsia="zh-CN"/>
        </w:rPr>
        <w:t>2026年</w:t>
      </w:r>
      <w:r>
        <w:rPr>
          <w:rFonts w:hint="eastAsia" w:ascii="宋体" w:hAnsi="宋体"/>
          <w:color w:val="auto"/>
          <w:sz w:val="24"/>
          <w:szCs w:val="24"/>
        </w:rPr>
        <w:t>度实施日常养护、专项维护、应急抢险等养护维修任务时采购的沥青混凝土</w:t>
      </w:r>
      <w:r>
        <w:rPr>
          <w:rFonts w:hint="eastAsia" w:ascii="宋体" w:hAnsi="宋体"/>
          <w:color w:val="auto"/>
          <w:sz w:val="24"/>
          <w:szCs w:val="24"/>
          <w:lang w:val="en-US" w:eastAsia="zh-CN"/>
        </w:rPr>
        <w:t>维修材料</w:t>
      </w:r>
      <w:r>
        <w:rPr>
          <w:rFonts w:hint="eastAsia" w:ascii="宋体" w:hAnsi="宋体"/>
          <w:color w:val="auto"/>
          <w:sz w:val="24"/>
          <w:szCs w:val="24"/>
        </w:rPr>
        <w:t>进行招标，拟采用单价招标</w:t>
      </w:r>
      <w:r>
        <w:rPr>
          <w:rFonts w:hint="eastAsia" w:ascii="宋体" w:hAnsi="宋体"/>
          <w:color w:val="auto"/>
          <w:sz w:val="24"/>
          <w:szCs w:val="24"/>
          <w:lang w:eastAsia="zh-CN"/>
        </w:rPr>
        <w:t>，</w:t>
      </w:r>
      <w:r>
        <w:rPr>
          <w:rFonts w:hint="eastAsia" w:ascii="宋体" w:hAnsi="宋体"/>
          <w:sz w:val="24"/>
          <w:szCs w:val="24"/>
        </w:rPr>
        <w:t>以公开招标的方式进行公开采购</w:t>
      </w:r>
      <w:r>
        <w:rPr>
          <w:rFonts w:hint="eastAsia" w:ascii="宋体" w:hAnsi="宋体"/>
          <w:color w:val="auto"/>
          <w:sz w:val="24"/>
          <w:szCs w:val="24"/>
        </w:rPr>
        <w:t>。本采购项目拟以三门峡市定额站发布的</w:t>
      </w:r>
      <w:r>
        <w:rPr>
          <w:rFonts w:hint="eastAsia" w:ascii="宋体" w:hAnsi="宋体"/>
          <w:color w:val="auto"/>
          <w:sz w:val="24"/>
          <w:szCs w:val="24"/>
          <w:lang w:eastAsia="zh-CN"/>
        </w:rPr>
        <w:t>2026年</w:t>
      </w:r>
      <w:r>
        <w:rPr>
          <w:rFonts w:hint="eastAsia" w:ascii="宋体" w:hAnsi="宋体"/>
          <w:color w:val="auto"/>
          <w:sz w:val="24"/>
          <w:szCs w:val="24"/>
        </w:rPr>
        <w:t>当期《三门峡工程标准造价信息》中</w:t>
      </w:r>
      <w:r>
        <w:rPr>
          <w:rFonts w:hint="eastAsia" w:ascii="宋体" w:hAnsi="宋体" w:eastAsia="宋体" w:cs="宋体"/>
          <w:sz w:val="24"/>
          <w:szCs w:val="24"/>
          <w:highlight w:val="none"/>
          <w:lang w:val="en-US" w:eastAsia="zh-CN"/>
        </w:rPr>
        <w:t>沥青混凝土</w:t>
      </w:r>
      <w:r>
        <w:rPr>
          <w:rFonts w:hint="eastAsia" w:ascii="宋体" w:hAnsi="宋体"/>
          <w:color w:val="auto"/>
          <w:sz w:val="24"/>
          <w:szCs w:val="24"/>
        </w:rPr>
        <w:t>的价格为基准价，各</w:t>
      </w:r>
      <w:r>
        <w:rPr>
          <w:rFonts w:hint="eastAsia" w:ascii="宋体" w:hAnsi="宋体"/>
          <w:color w:val="auto"/>
          <w:sz w:val="24"/>
          <w:szCs w:val="24"/>
          <w:lang w:val="en-US" w:eastAsia="zh-CN"/>
        </w:rPr>
        <w:t>供应商</w:t>
      </w:r>
      <w:r>
        <w:rPr>
          <w:rFonts w:hint="eastAsia" w:ascii="宋体" w:hAnsi="宋体"/>
          <w:color w:val="auto"/>
          <w:sz w:val="24"/>
          <w:szCs w:val="24"/>
        </w:rPr>
        <w:t>以下浮百分比</w:t>
      </w:r>
      <w:r>
        <w:rPr>
          <w:rFonts w:hint="eastAsia" w:ascii="宋体" w:hAnsi="宋体"/>
          <w:color w:val="auto"/>
          <w:sz w:val="24"/>
          <w:szCs w:val="24"/>
          <w:lang w:val="en-US" w:eastAsia="zh-CN"/>
        </w:rPr>
        <w:t>后的数值</w:t>
      </w:r>
      <w:r>
        <w:rPr>
          <w:rFonts w:hint="eastAsia" w:ascii="宋体" w:hAnsi="宋体"/>
          <w:color w:val="auto"/>
          <w:sz w:val="24"/>
          <w:szCs w:val="24"/>
        </w:rPr>
        <w:t>进行报价。采购完成后，结算时按照供料时间当期信息价，下浮百分比</w:t>
      </w:r>
      <w:r>
        <w:rPr>
          <w:rFonts w:hint="eastAsia" w:ascii="宋体" w:hAnsi="宋体"/>
          <w:color w:val="auto"/>
          <w:sz w:val="24"/>
          <w:szCs w:val="24"/>
          <w:lang w:val="en-US" w:eastAsia="zh-CN"/>
        </w:rPr>
        <w:t>后的数值</w:t>
      </w:r>
      <w:r>
        <w:rPr>
          <w:rFonts w:hint="eastAsia" w:ascii="宋体" w:hAnsi="宋体"/>
          <w:color w:val="auto"/>
          <w:sz w:val="24"/>
          <w:szCs w:val="24"/>
        </w:rPr>
        <w:t>进行结算。</w:t>
      </w:r>
    </w:p>
    <w:bookmarkEnd w:id="86"/>
    <w:bookmarkEnd w:id="87"/>
    <w:bookmarkEnd w:id="91"/>
    <w:bookmarkEnd w:id="92"/>
    <w:p w14:paraId="59CEFDEA">
      <w:pPr>
        <w:pageBreakBefore w:val="0"/>
        <w:wordWrap/>
        <w:overflowPunct/>
        <w:bidi w:val="0"/>
        <w:spacing w:line="360" w:lineRule="auto"/>
        <w:jc w:val="left"/>
        <w:textAlignment w:val="auto"/>
        <w:rPr>
          <w:rFonts w:hint="eastAsia" w:ascii="宋体" w:hAnsi="宋体" w:eastAsia="宋体"/>
          <w:b/>
          <w:bCs/>
          <w:color w:val="auto"/>
          <w:kern w:val="44"/>
          <w:sz w:val="30"/>
          <w:szCs w:val="30"/>
          <w:lang w:eastAsia="zh-CN"/>
        </w:rPr>
      </w:pPr>
      <w:bookmarkStart w:id="206" w:name="_Toc452907945"/>
      <w:bookmarkStart w:id="207" w:name="_Toc29246"/>
      <w:bookmarkStart w:id="208" w:name="_Toc454525915"/>
      <w:bookmarkStart w:id="209" w:name="_Toc452908015"/>
      <w:r>
        <w:rPr>
          <w:rFonts w:ascii="宋体" w:hAnsi="宋体"/>
          <w:sz w:val="30"/>
          <w:szCs w:val="30"/>
        </w:rPr>
        <w:br w:type="page"/>
      </w:r>
    </w:p>
    <w:p w14:paraId="74EFD86A">
      <w:pPr>
        <w:pageBreakBefore w:val="0"/>
        <w:wordWrap/>
        <w:overflowPunct/>
        <w:bidi w:val="0"/>
        <w:spacing w:line="360" w:lineRule="auto"/>
        <w:jc w:val="center"/>
        <w:outlineLvl w:val="0"/>
        <w:rPr>
          <w:rFonts w:hint="eastAsia"/>
          <w:b/>
          <w:bCs/>
          <w:sz w:val="44"/>
          <w:szCs w:val="40"/>
          <w:highlight w:val="none"/>
        </w:rPr>
      </w:pPr>
      <w:bookmarkStart w:id="210" w:name="_Toc28981"/>
      <w:r>
        <w:rPr>
          <w:rFonts w:hint="eastAsia"/>
          <w:b/>
          <w:bCs/>
          <w:sz w:val="44"/>
          <w:szCs w:val="40"/>
          <w:highlight w:val="none"/>
        </w:rPr>
        <w:t>第五章  合同条款及格式</w:t>
      </w:r>
      <w:bookmarkEnd w:id="206"/>
      <w:bookmarkEnd w:id="207"/>
      <w:bookmarkEnd w:id="208"/>
      <w:bookmarkEnd w:id="209"/>
      <w:bookmarkEnd w:id="210"/>
    </w:p>
    <w:p w14:paraId="304E559E">
      <w:pPr>
        <w:pageBreakBefore w:val="0"/>
        <w:wordWrap/>
        <w:overflowPunct/>
        <w:bidi w:val="0"/>
        <w:spacing w:line="360" w:lineRule="auto"/>
        <w:ind w:right="120" w:firstLine="559"/>
        <w:jc w:val="center"/>
        <w:outlineLvl w:val="9"/>
        <w:rPr>
          <w:rFonts w:ascii="宋体" w:hAnsi="宋体"/>
          <w:color w:val="auto"/>
          <w:sz w:val="24"/>
          <w:szCs w:val="24"/>
          <w:highlight w:val="none"/>
        </w:rPr>
      </w:pPr>
      <w:bookmarkStart w:id="211" w:name="_Toc422041002"/>
      <w:bookmarkStart w:id="212" w:name="_Toc421648791"/>
      <w:bookmarkStart w:id="213" w:name="_Toc454525916"/>
      <w:bookmarkStart w:id="214" w:name="_Toc452907949"/>
      <w:bookmarkStart w:id="215" w:name="_Toc452908016"/>
      <w:r>
        <w:rPr>
          <w:rFonts w:ascii="宋体" w:hAnsi="宋体"/>
          <w:sz w:val="24"/>
          <w:szCs w:val="24"/>
          <w:highlight w:val="none"/>
        </w:rPr>
        <w:t>（</w:t>
      </w:r>
      <w:r>
        <w:rPr>
          <w:rFonts w:hint="eastAsia" w:ascii="宋体" w:hAnsi="宋体"/>
          <w:sz w:val="24"/>
          <w:szCs w:val="24"/>
          <w:highlight w:val="none"/>
        </w:rPr>
        <w:t>以双方最终协商签订的</w:t>
      </w:r>
      <w:r>
        <w:rPr>
          <w:rFonts w:ascii="宋体" w:hAnsi="宋体"/>
          <w:sz w:val="24"/>
          <w:szCs w:val="24"/>
          <w:highlight w:val="none"/>
        </w:rPr>
        <w:t>合同为准</w:t>
      </w:r>
      <w:r>
        <w:rPr>
          <w:rFonts w:hint="eastAsia" w:ascii="宋体" w:hAnsi="宋体"/>
          <w:sz w:val="24"/>
          <w:szCs w:val="24"/>
          <w:highlight w:val="none"/>
        </w:rPr>
        <w:t>）</w:t>
      </w:r>
    </w:p>
    <w:p w14:paraId="483752A8">
      <w:pPr>
        <w:pageBreakBefore w:val="0"/>
        <w:wordWrap/>
        <w:overflowPunct/>
        <w:bidi w:val="0"/>
        <w:spacing w:line="360" w:lineRule="auto"/>
        <w:ind w:right="120" w:firstLine="559"/>
        <w:outlineLvl w:val="9"/>
        <w:rPr>
          <w:rFonts w:hint="eastAsia" w:ascii="宋体" w:hAnsi="宋体"/>
          <w:color w:val="auto"/>
          <w:sz w:val="24"/>
          <w:szCs w:val="24"/>
          <w:highlight w:val="none"/>
        </w:rPr>
      </w:pPr>
      <w:r>
        <w:rPr>
          <w:rFonts w:hint="eastAsia" w:ascii="宋体" w:hAnsi="宋体"/>
          <w:color w:val="auto"/>
          <w:sz w:val="24"/>
          <w:szCs w:val="24"/>
          <w:highlight w:val="none"/>
        </w:rPr>
        <w:t>根据《中华人民共和国民法典》等相关法律以及本项目招标文件的要求及供应商的承诺，甲、乙双方在签订合同时协商确定。</w:t>
      </w:r>
    </w:p>
    <w:p w14:paraId="7B0C6174">
      <w:pPr>
        <w:spacing w:line="360" w:lineRule="auto"/>
        <w:ind w:firstLine="480" w:firstLineChars="200"/>
        <w:outlineLvl w:val="9"/>
        <w:rPr>
          <w:rFonts w:hint="eastAsia" w:ascii="宋体" w:hAnsi="宋体" w:eastAsia="宋体" w:cs="Times New Roman"/>
          <w:b w:val="0"/>
          <w:bCs w:val="0"/>
          <w:color w:val="auto"/>
          <w:sz w:val="24"/>
          <w:szCs w:val="24"/>
          <w:highlight w:val="none"/>
          <w:u w:color="000000"/>
          <w:lang w:val="en-US" w:eastAsia="zh-CN" w:bidi="ar-SA"/>
        </w:rPr>
      </w:pPr>
      <w:r>
        <w:rPr>
          <w:rFonts w:hint="eastAsia" w:ascii="宋体" w:hAnsi="宋体" w:eastAsia="宋体" w:cs="Times New Roman"/>
          <w:b w:val="0"/>
          <w:bCs w:val="0"/>
          <w:color w:val="auto"/>
          <w:sz w:val="24"/>
          <w:szCs w:val="24"/>
          <w:highlight w:val="none"/>
          <w:u w:color="000000"/>
          <w:lang w:val="en-US" w:eastAsia="zh-CN" w:bidi="ar-SA"/>
        </w:rPr>
        <w:t>按《三门峡市财政局关于市本级政府采购合同备案管理工作的通知》（三财购[2021]9号）文要求，集中采购目录以外政府采购项目，原则上自成交通知书发出之日起2个工作日内与中标（成交）供应商按照采购文件确定的事项与供应商签订政府采购合同。</w:t>
      </w:r>
    </w:p>
    <w:p w14:paraId="0D6AE315">
      <w:pPr>
        <w:pageBreakBefore w:val="0"/>
        <w:wordWrap/>
        <w:overflowPunct/>
        <w:bidi w:val="0"/>
        <w:spacing w:line="360" w:lineRule="auto"/>
        <w:ind w:firstLine="480"/>
        <w:jc w:val="center"/>
        <w:outlineLvl w:val="9"/>
        <w:rPr>
          <w:rFonts w:ascii="宋体" w:hAnsi="宋体"/>
          <w:b/>
          <w:bCs/>
          <w:color w:val="auto"/>
          <w:sz w:val="24"/>
          <w:szCs w:val="24"/>
          <w:highlight w:val="none"/>
        </w:rPr>
      </w:pPr>
      <w:r>
        <w:rPr>
          <w:rFonts w:hint="eastAsia" w:ascii="宋体" w:hAnsi="宋体"/>
          <w:b/>
          <w:bCs/>
          <w:color w:val="auto"/>
          <w:sz w:val="24"/>
          <w:szCs w:val="24"/>
          <w:highlight w:val="none"/>
        </w:rPr>
        <w:t>项目政府采购合同</w:t>
      </w:r>
    </w:p>
    <w:p w14:paraId="58964D42">
      <w:pPr>
        <w:pageBreakBefore w:val="0"/>
        <w:wordWrap/>
        <w:overflowPunct/>
        <w:bidi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合同编号：</w:t>
      </w:r>
    </w:p>
    <w:p w14:paraId="191EB266">
      <w:pPr>
        <w:pageBreakBefore w:val="0"/>
        <w:wordWrap/>
        <w:overflowPunct/>
        <w:bidi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项目名称：</w:t>
      </w:r>
    </w:p>
    <w:p w14:paraId="49AEA93A">
      <w:pPr>
        <w:pageBreakBefore w:val="0"/>
        <w:wordWrap/>
        <w:overflowPunct/>
        <w:bidi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合同名称：</w:t>
      </w:r>
    </w:p>
    <w:p w14:paraId="4C9EFC6C">
      <w:pPr>
        <w:pageBreakBefore w:val="0"/>
        <w:wordWrap/>
        <w:overflowPunct/>
        <w:bidi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项目编号：</w:t>
      </w:r>
    </w:p>
    <w:p w14:paraId="0A4699B9">
      <w:pPr>
        <w:pageBreakBefore w:val="0"/>
        <w:wordWrap/>
        <w:overflowPunct/>
        <w:bidi w:val="0"/>
        <w:snapToGrid w:val="0"/>
        <w:spacing w:line="360" w:lineRule="auto"/>
        <w:outlineLvl w:val="9"/>
        <w:rPr>
          <w:rFonts w:ascii="宋体" w:hAnsi="宋体"/>
          <w:color w:val="auto"/>
          <w:sz w:val="24"/>
          <w:szCs w:val="24"/>
          <w:highlight w:val="none"/>
          <w:u w:val="single"/>
        </w:rPr>
      </w:pPr>
      <w:r>
        <w:rPr>
          <w:rFonts w:hint="eastAsia" w:ascii="宋体" w:hAnsi="宋体"/>
          <w:color w:val="auto"/>
          <w:sz w:val="24"/>
          <w:szCs w:val="24"/>
          <w:highlight w:val="none"/>
        </w:rPr>
        <w:t>甲方：</w:t>
      </w:r>
      <w:r>
        <w:rPr>
          <w:rFonts w:hint="eastAsia" w:ascii="宋体" w:hAnsi="宋体"/>
          <w:b/>
          <w:bCs/>
          <w:color w:val="auto"/>
          <w:sz w:val="24"/>
          <w:szCs w:val="24"/>
          <w:highlight w:val="none"/>
          <w:u w:val="single"/>
        </w:rPr>
        <w:t>（采购单位）</w:t>
      </w:r>
    </w:p>
    <w:p w14:paraId="5184038E">
      <w:pPr>
        <w:pageBreakBefore w:val="0"/>
        <w:wordWrap/>
        <w:overflowPunct/>
        <w:bidi w:val="0"/>
        <w:spacing w:line="360" w:lineRule="auto"/>
        <w:outlineLvl w:val="9"/>
        <w:rPr>
          <w:rFonts w:ascii="宋体" w:hAnsi="宋体"/>
          <w:b/>
          <w:bCs/>
          <w:color w:val="auto"/>
          <w:sz w:val="24"/>
          <w:szCs w:val="24"/>
          <w:highlight w:val="none"/>
        </w:rPr>
      </w:pPr>
      <w:r>
        <w:rPr>
          <w:rFonts w:hint="eastAsia" w:ascii="宋体" w:hAnsi="宋体"/>
          <w:color w:val="auto"/>
          <w:sz w:val="24"/>
          <w:szCs w:val="24"/>
          <w:highlight w:val="none"/>
        </w:rPr>
        <w:t>乙方：</w:t>
      </w:r>
      <w:r>
        <w:rPr>
          <w:rFonts w:hint="eastAsia" w:ascii="宋体" w:hAnsi="宋体"/>
          <w:b/>
          <w:bCs/>
          <w:color w:val="auto"/>
          <w:sz w:val="24"/>
          <w:szCs w:val="24"/>
          <w:highlight w:val="none"/>
          <w:u w:val="single"/>
        </w:rPr>
        <w:t>（中标供应商）</w:t>
      </w:r>
    </w:p>
    <w:p w14:paraId="50894503">
      <w:pPr>
        <w:pageBreakBefore w:val="0"/>
        <w:wordWrap/>
        <w:overflowPunct/>
        <w:bidi w:val="0"/>
        <w:spacing w:line="360" w:lineRule="auto"/>
        <w:outlineLvl w:val="9"/>
        <w:rPr>
          <w:rFonts w:ascii="宋体" w:hAnsi="宋体"/>
          <w:b/>
          <w:bCs/>
          <w:color w:val="auto"/>
          <w:sz w:val="24"/>
          <w:szCs w:val="24"/>
          <w:highlight w:val="none"/>
        </w:rPr>
      </w:pPr>
      <w:r>
        <w:rPr>
          <w:rFonts w:hint="eastAsia" w:ascii="宋体" w:hAnsi="宋体"/>
          <w:b/>
          <w:bCs/>
          <w:color w:val="auto"/>
          <w:sz w:val="24"/>
          <w:szCs w:val="24"/>
          <w:highlight w:val="none"/>
        </w:rPr>
        <w:t>1．总则</w:t>
      </w:r>
    </w:p>
    <w:p w14:paraId="3D29698B">
      <w:pPr>
        <w:pageBreakBefore w:val="0"/>
        <w:wordWrap/>
        <w:overflowPunct/>
        <w:bidi w:val="0"/>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甲、乙双方根据年月日</w:t>
      </w:r>
      <w:r>
        <w:rPr>
          <w:rFonts w:hint="eastAsia" w:ascii="宋体" w:hAnsi="宋体"/>
          <w:color w:val="auto"/>
          <w:sz w:val="24"/>
          <w:szCs w:val="24"/>
          <w:highlight w:val="none"/>
          <w:u w:val="single"/>
        </w:rPr>
        <w:t xml:space="preserve">       (采购单位)     </w:t>
      </w:r>
      <w:r>
        <w:rPr>
          <w:rFonts w:hint="eastAsia" w:ascii="宋体" w:hAnsi="宋体"/>
          <w:color w:val="auto"/>
          <w:sz w:val="24"/>
          <w:szCs w:val="24"/>
          <w:highlight w:val="none"/>
        </w:rPr>
        <w:t>的项目(以下简称本项目)的采购(或成交)结果，甲方同意接受乙方为本项目采购所做的投标文件(或询价文件)，乙方必须完全按中标(或成交)通知书和本合同条款履行义务。甲、乙双方同意签署本合同。</w:t>
      </w:r>
    </w:p>
    <w:p w14:paraId="78C2D116">
      <w:pPr>
        <w:pageBreakBefore w:val="0"/>
        <w:wordWrap/>
        <w:overflowPunct/>
        <w:bidi w:val="0"/>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注:本项目合同由中标单位与需方签订。</w:t>
      </w:r>
    </w:p>
    <w:p w14:paraId="64DC1FCB">
      <w:pPr>
        <w:pageBreakBefore w:val="0"/>
        <w:wordWrap/>
        <w:overflowPunct/>
        <w:bidi w:val="0"/>
        <w:spacing w:line="360" w:lineRule="auto"/>
        <w:outlineLvl w:val="9"/>
        <w:rPr>
          <w:rFonts w:ascii="宋体" w:hAnsi="宋体"/>
          <w:b/>
          <w:bCs/>
          <w:color w:val="auto"/>
          <w:sz w:val="24"/>
          <w:szCs w:val="24"/>
          <w:highlight w:val="none"/>
        </w:rPr>
      </w:pPr>
      <w:r>
        <w:rPr>
          <w:rFonts w:hint="eastAsia" w:ascii="宋体" w:hAnsi="宋体"/>
          <w:b/>
          <w:bCs/>
          <w:color w:val="auto"/>
          <w:sz w:val="24"/>
          <w:szCs w:val="24"/>
          <w:highlight w:val="none"/>
        </w:rPr>
        <w:t>2．合同文件</w:t>
      </w:r>
    </w:p>
    <w:p w14:paraId="6BBC90AD">
      <w:pPr>
        <w:pageBreakBefore w:val="0"/>
        <w:wordWrap/>
        <w:overflowPunct/>
        <w:bidi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2.1   本合同条款。</w:t>
      </w:r>
    </w:p>
    <w:p w14:paraId="3C072633">
      <w:pPr>
        <w:pageBreakBefore w:val="0"/>
        <w:wordWrap/>
        <w:overflowPunct/>
        <w:bidi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2.2   中标通知书(或成交通知书)。</w:t>
      </w:r>
    </w:p>
    <w:p w14:paraId="795134FC">
      <w:pPr>
        <w:pageBreakBefore w:val="0"/>
        <w:wordWrap/>
        <w:overflowPunct/>
        <w:bidi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2.3   开标一览表。</w:t>
      </w:r>
    </w:p>
    <w:p w14:paraId="3B6AAC2C">
      <w:pPr>
        <w:pageBreakBefore w:val="0"/>
        <w:wordWrap/>
        <w:overflowPunct/>
        <w:bidi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2.4   变更补充文件。</w:t>
      </w:r>
    </w:p>
    <w:p w14:paraId="065BDAF2">
      <w:pPr>
        <w:pageBreakBefore w:val="0"/>
        <w:wordWrap/>
        <w:overflowPunct/>
        <w:bidi w:val="0"/>
        <w:spacing w:line="360" w:lineRule="auto"/>
        <w:outlineLvl w:val="9"/>
        <w:rPr>
          <w:rFonts w:ascii="宋体" w:hAnsi="宋体"/>
          <w:b/>
          <w:bCs/>
          <w:color w:val="auto"/>
          <w:sz w:val="24"/>
          <w:szCs w:val="24"/>
          <w:highlight w:val="none"/>
        </w:rPr>
      </w:pPr>
      <w:r>
        <w:rPr>
          <w:rFonts w:hint="eastAsia" w:ascii="宋体" w:hAnsi="宋体"/>
          <w:color w:val="auto"/>
          <w:sz w:val="24"/>
          <w:szCs w:val="24"/>
          <w:highlight w:val="none"/>
        </w:rPr>
        <w:t>2.5   技术规格及要求。</w:t>
      </w:r>
    </w:p>
    <w:p w14:paraId="0CEB29EB">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2.6   招标文件。</w:t>
      </w:r>
    </w:p>
    <w:p w14:paraId="34B3D218">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2.7   其它。</w:t>
      </w:r>
    </w:p>
    <w:p w14:paraId="718FC59F">
      <w:pPr>
        <w:pageBreakBefore w:val="0"/>
        <w:wordWrap/>
        <w:overflowPunct/>
        <w:bidi w:val="0"/>
        <w:spacing w:line="360" w:lineRule="auto"/>
        <w:outlineLvl w:val="9"/>
        <w:rPr>
          <w:rFonts w:ascii="宋体" w:hAnsi="宋体"/>
          <w:b/>
          <w:bCs/>
          <w:color w:val="auto"/>
          <w:sz w:val="24"/>
          <w:szCs w:val="24"/>
          <w:highlight w:val="none"/>
        </w:rPr>
      </w:pPr>
      <w:r>
        <w:rPr>
          <w:rFonts w:hint="eastAsia" w:ascii="宋体" w:hAnsi="宋体"/>
          <w:color w:val="auto"/>
          <w:sz w:val="24"/>
          <w:szCs w:val="24"/>
          <w:highlight w:val="none"/>
        </w:rPr>
        <w:t>上述所指合同文件应认为是互相补充和解释的，但是有模棱两可或互相矛盾之处，以其所列内容先后顺序为准。</w:t>
      </w:r>
    </w:p>
    <w:p w14:paraId="339D5BF9">
      <w:pPr>
        <w:pageBreakBefore w:val="0"/>
        <w:wordWrap/>
        <w:overflowPunct/>
        <w:bidi w:val="0"/>
        <w:spacing w:line="360" w:lineRule="auto"/>
        <w:outlineLvl w:val="9"/>
        <w:rPr>
          <w:rFonts w:ascii="宋体" w:hAnsi="宋体"/>
          <w:b/>
          <w:bCs/>
          <w:color w:val="auto"/>
          <w:sz w:val="24"/>
          <w:szCs w:val="24"/>
          <w:highlight w:val="none"/>
        </w:rPr>
      </w:pPr>
      <w:r>
        <w:rPr>
          <w:rFonts w:hint="eastAsia" w:ascii="宋体" w:hAnsi="宋体"/>
          <w:b/>
          <w:bCs/>
          <w:color w:val="auto"/>
          <w:sz w:val="24"/>
          <w:szCs w:val="24"/>
          <w:highlight w:val="none"/>
        </w:rPr>
        <w:t>3．货物名称、型号、规格、配置、技术参数、数量及合同价款</w:t>
      </w:r>
    </w:p>
    <w:tbl>
      <w:tblPr>
        <w:tblStyle w:val="17"/>
        <w:tblW w:w="0" w:type="auto"/>
        <w:tblInd w:w="108" w:type="dxa"/>
        <w:tblLayout w:type="fixed"/>
        <w:tblCellMar>
          <w:top w:w="0" w:type="dxa"/>
          <w:left w:w="108" w:type="dxa"/>
          <w:bottom w:w="0" w:type="dxa"/>
          <w:right w:w="108" w:type="dxa"/>
        </w:tblCellMar>
      </w:tblPr>
      <w:tblGrid>
        <w:gridCol w:w="689"/>
        <w:gridCol w:w="1516"/>
        <w:gridCol w:w="3324"/>
        <w:gridCol w:w="708"/>
        <w:gridCol w:w="727"/>
        <w:gridCol w:w="936"/>
        <w:gridCol w:w="889"/>
        <w:gridCol w:w="1276"/>
      </w:tblGrid>
      <w:tr w14:paraId="2E2035FA">
        <w:tblPrEx>
          <w:tblCellMar>
            <w:top w:w="0" w:type="dxa"/>
            <w:left w:w="108" w:type="dxa"/>
            <w:bottom w:w="0" w:type="dxa"/>
            <w:right w:w="108" w:type="dxa"/>
          </w:tblCellMar>
        </w:tblPrEx>
        <w:trPr>
          <w:trHeight w:val="738" w:hRule="atLeast"/>
        </w:trPr>
        <w:tc>
          <w:tcPr>
            <w:tcW w:w="689" w:type="dxa"/>
            <w:tcBorders>
              <w:top w:val="single" w:color="auto" w:sz="4" w:space="0"/>
              <w:left w:val="single" w:color="auto" w:sz="4" w:space="0"/>
              <w:bottom w:val="single" w:color="auto" w:sz="4" w:space="0"/>
              <w:right w:val="single" w:color="auto" w:sz="4" w:space="0"/>
            </w:tcBorders>
            <w:vAlign w:val="center"/>
          </w:tcPr>
          <w:p w14:paraId="36DE38FF">
            <w:pPr>
              <w:pageBreakBefore w:val="0"/>
              <w:widowControl w:val="0"/>
              <w:wordWrap/>
              <w:overflowPunct/>
              <w:bidi w:val="0"/>
              <w:spacing w:line="360" w:lineRule="auto"/>
              <w:jc w:val="center"/>
              <w:outlineLvl w:val="9"/>
              <w:rPr>
                <w:rFonts w:ascii="宋体" w:hAnsi="宋体"/>
                <w:color w:val="auto"/>
                <w:kern w:val="2"/>
                <w:sz w:val="24"/>
                <w:szCs w:val="24"/>
                <w:highlight w:val="none"/>
              </w:rPr>
            </w:pPr>
            <w:r>
              <w:rPr>
                <w:rFonts w:hint="eastAsia" w:ascii="宋体" w:hAnsi="宋体"/>
                <w:color w:val="auto"/>
                <w:sz w:val="24"/>
                <w:szCs w:val="24"/>
                <w:highlight w:val="none"/>
              </w:rPr>
              <w:t>序号</w:t>
            </w:r>
          </w:p>
        </w:tc>
        <w:tc>
          <w:tcPr>
            <w:tcW w:w="1516" w:type="dxa"/>
            <w:tcBorders>
              <w:top w:val="single" w:color="auto" w:sz="4" w:space="0"/>
              <w:left w:val="nil"/>
              <w:bottom w:val="single" w:color="auto" w:sz="4" w:space="0"/>
              <w:right w:val="single" w:color="auto" w:sz="4" w:space="0"/>
            </w:tcBorders>
            <w:vAlign w:val="center"/>
          </w:tcPr>
          <w:p w14:paraId="063D6ACD">
            <w:pPr>
              <w:pageBreakBefore w:val="0"/>
              <w:widowControl w:val="0"/>
              <w:wordWrap/>
              <w:overflowPunct/>
              <w:bidi w:val="0"/>
              <w:spacing w:line="360" w:lineRule="auto"/>
              <w:jc w:val="center"/>
              <w:outlineLvl w:val="9"/>
              <w:rPr>
                <w:rFonts w:ascii="宋体" w:hAnsi="宋体"/>
                <w:color w:val="auto"/>
                <w:kern w:val="2"/>
                <w:sz w:val="24"/>
                <w:szCs w:val="24"/>
                <w:highlight w:val="none"/>
              </w:rPr>
            </w:pPr>
            <w:r>
              <w:rPr>
                <w:rFonts w:hint="eastAsia" w:ascii="宋体" w:hAnsi="宋体"/>
                <w:color w:val="auto"/>
                <w:sz w:val="24"/>
                <w:szCs w:val="24"/>
                <w:highlight w:val="none"/>
              </w:rPr>
              <w:t>名称</w:t>
            </w:r>
          </w:p>
        </w:tc>
        <w:tc>
          <w:tcPr>
            <w:tcW w:w="3324" w:type="dxa"/>
            <w:tcBorders>
              <w:top w:val="single" w:color="auto" w:sz="4" w:space="0"/>
              <w:left w:val="nil"/>
              <w:bottom w:val="single" w:color="auto" w:sz="4" w:space="0"/>
              <w:right w:val="single" w:color="auto" w:sz="4" w:space="0"/>
            </w:tcBorders>
            <w:vAlign w:val="center"/>
          </w:tcPr>
          <w:p w14:paraId="7D36FDFB">
            <w:pPr>
              <w:pageBreakBefore w:val="0"/>
              <w:widowControl w:val="0"/>
              <w:wordWrap/>
              <w:overflowPunct/>
              <w:bidi w:val="0"/>
              <w:spacing w:line="360" w:lineRule="auto"/>
              <w:jc w:val="center"/>
              <w:outlineLvl w:val="9"/>
              <w:rPr>
                <w:rFonts w:ascii="宋体" w:hAnsi="宋体"/>
                <w:color w:val="auto"/>
                <w:kern w:val="2"/>
                <w:sz w:val="24"/>
                <w:szCs w:val="24"/>
                <w:highlight w:val="none"/>
              </w:rPr>
            </w:pPr>
            <w:r>
              <w:rPr>
                <w:rFonts w:hint="eastAsia" w:ascii="宋体" w:hAnsi="宋体"/>
                <w:color w:val="auto"/>
                <w:sz w:val="24"/>
                <w:szCs w:val="24"/>
                <w:highlight w:val="none"/>
              </w:rPr>
              <w:t>产品参数</w:t>
            </w:r>
          </w:p>
        </w:tc>
        <w:tc>
          <w:tcPr>
            <w:tcW w:w="708" w:type="dxa"/>
            <w:tcBorders>
              <w:top w:val="single" w:color="auto" w:sz="4" w:space="0"/>
              <w:left w:val="nil"/>
              <w:bottom w:val="single" w:color="auto" w:sz="4" w:space="0"/>
              <w:right w:val="single" w:color="auto" w:sz="4" w:space="0"/>
            </w:tcBorders>
            <w:vAlign w:val="center"/>
          </w:tcPr>
          <w:p w14:paraId="41BA7946">
            <w:pPr>
              <w:pageBreakBefore w:val="0"/>
              <w:widowControl w:val="0"/>
              <w:wordWrap/>
              <w:overflowPunct/>
              <w:bidi w:val="0"/>
              <w:spacing w:line="360" w:lineRule="auto"/>
              <w:jc w:val="center"/>
              <w:outlineLvl w:val="9"/>
              <w:rPr>
                <w:rFonts w:ascii="宋体" w:hAnsi="宋体"/>
                <w:color w:val="auto"/>
                <w:kern w:val="2"/>
                <w:sz w:val="24"/>
                <w:szCs w:val="24"/>
                <w:highlight w:val="none"/>
              </w:rPr>
            </w:pPr>
            <w:r>
              <w:rPr>
                <w:rFonts w:hint="eastAsia" w:ascii="宋体" w:hAnsi="宋体"/>
                <w:color w:val="auto"/>
                <w:sz w:val="24"/>
                <w:szCs w:val="24"/>
                <w:highlight w:val="none"/>
              </w:rPr>
              <w:t>单位</w:t>
            </w:r>
          </w:p>
        </w:tc>
        <w:tc>
          <w:tcPr>
            <w:tcW w:w="727" w:type="dxa"/>
            <w:tcBorders>
              <w:top w:val="single" w:color="auto" w:sz="4" w:space="0"/>
              <w:left w:val="nil"/>
              <w:bottom w:val="single" w:color="auto" w:sz="4" w:space="0"/>
              <w:right w:val="single" w:color="auto" w:sz="4" w:space="0"/>
            </w:tcBorders>
            <w:vAlign w:val="center"/>
          </w:tcPr>
          <w:p w14:paraId="29CB4C45">
            <w:pPr>
              <w:pageBreakBefore w:val="0"/>
              <w:widowControl w:val="0"/>
              <w:wordWrap/>
              <w:overflowPunct/>
              <w:bidi w:val="0"/>
              <w:spacing w:line="360" w:lineRule="auto"/>
              <w:jc w:val="center"/>
              <w:outlineLvl w:val="9"/>
              <w:rPr>
                <w:rFonts w:ascii="宋体" w:hAnsi="宋体"/>
                <w:color w:val="auto"/>
                <w:kern w:val="2"/>
                <w:sz w:val="24"/>
                <w:szCs w:val="24"/>
                <w:highlight w:val="none"/>
              </w:rPr>
            </w:pPr>
            <w:r>
              <w:rPr>
                <w:rFonts w:hint="eastAsia" w:ascii="宋体" w:hAnsi="宋体"/>
                <w:color w:val="auto"/>
                <w:sz w:val="24"/>
                <w:szCs w:val="24"/>
                <w:highlight w:val="none"/>
              </w:rPr>
              <w:t>数量</w:t>
            </w:r>
          </w:p>
        </w:tc>
        <w:tc>
          <w:tcPr>
            <w:tcW w:w="936" w:type="dxa"/>
            <w:tcBorders>
              <w:top w:val="single" w:color="auto" w:sz="4" w:space="0"/>
              <w:left w:val="nil"/>
              <w:bottom w:val="single" w:color="auto" w:sz="4" w:space="0"/>
              <w:right w:val="single" w:color="auto" w:sz="4" w:space="0"/>
            </w:tcBorders>
            <w:vAlign w:val="center"/>
          </w:tcPr>
          <w:p w14:paraId="7739C4BC">
            <w:pPr>
              <w:pageBreakBefore w:val="0"/>
              <w:widowControl w:val="0"/>
              <w:wordWrap/>
              <w:overflowPunct/>
              <w:bidi w:val="0"/>
              <w:spacing w:line="360" w:lineRule="auto"/>
              <w:jc w:val="center"/>
              <w:outlineLvl w:val="9"/>
              <w:rPr>
                <w:rFonts w:ascii="宋体" w:hAnsi="宋体"/>
                <w:color w:val="auto"/>
                <w:kern w:val="2"/>
                <w:sz w:val="24"/>
                <w:szCs w:val="24"/>
                <w:highlight w:val="none"/>
              </w:rPr>
            </w:pPr>
            <w:r>
              <w:rPr>
                <w:rFonts w:hint="eastAsia" w:ascii="宋体" w:hAnsi="宋体"/>
                <w:color w:val="auto"/>
                <w:sz w:val="24"/>
                <w:szCs w:val="24"/>
                <w:highlight w:val="none"/>
              </w:rPr>
              <w:t>单价(元)</w:t>
            </w:r>
          </w:p>
        </w:tc>
        <w:tc>
          <w:tcPr>
            <w:tcW w:w="889" w:type="dxa"/>
            <w:tcBorders>
              <w:top w:val="single" w:color="auto" w:sz="4" w:space="0"/>
              <w:left w:val="nil"/>
              <w:bottom w:val="single" w:color="auto" w:sz="4" w:space="0"/>
              <w:right w:val="single" w:color="auto" w:sz="4" w:space="0"/>
            </w:tcBorders>
          </w:tcPr>
          <w:p w14:paraId="7E3D600C">
            <w:pPr>
              <w:pageBreakBefore w:val="0"/>
              <w:widowControl w:val="0"/>
              <w:wordWrap/>
              <w:overflowPunct/>
              <w:bidi w:val="0"/>
              <w:spacing w:line="360" w:lineRule="auto"/>
              <w:jc w:val="center"/>
              <w:outlineLvl w:val="9"/>
              <w:rPr>
                <w:rFonts w:ascii="宋体" w:hAnsi="宋体"/>
                <w:color w:val="auto"/>
                <w:sz w:val="24"/>
                <w:szCs w:val="24"/>
                <w:highlight w:val="none"/>
              </w:rPr>
            </w:pPr>
            <w:r>
              <w:rPr>
                <w:rFonts w:hint="eastAsia" w:ascii="宋体" w:hAnsi="宋体"/>
                <w:color w:val="auto"/>
                <w:sz w:val="24"/>
                <w:szCs w:val="24"/>
                <w:highlight w:val="none"/>
              </w:rPr>
              <w:t>合价(元)</w:t>
            </w:r>
          </w:p>
        </w:tc>
        <w:tc>
          <w:tcPr>
            <w:tcW w:w="1276" w:type="dxa"/>
            <w:tcBorders>
              <w:top w:val="single" w:color="auto" w:sz="4" w:space="0"/>
              <w:left w:val="single" w:color="auto" w:sz="4" w:space="0"/>
              <w:bottom w:val="single" w:color="auto" w:sz="4" w:space="0"/>
              <w:right w:val="single" w:color="auto" w:sz="4" w:space="0"/>
            </w:tcBorders>
            <w:vAlign w:val="center"/>
          </w:tcPr>
          <w:p w14:paraId="139AA107">
            <w:pPr>
              <w:pageBreakBefore w:val="0"/>
              <w:widowControl w:val="0"/>
              <w:wordWrap/>
              <w:overflowPunct/>
              <w:bidi w:val="0"/>
              <w:spacing w:line="360" w:lineRule="auto"/>
              <w:jc w:val="center"/>
              <w:outlineLvl w:val="9"/>
              <w:rPr>
                <w:rFonts w:ascii="宋体" w:hAnsi="宋体"/>
                <w:color w:val="auto"/>
                <w:kern w:val="2"/>
                <w:sz w:val="24"/>
                <w:szCs w:val="24"/>
                <w:highlight w:val="none"/>
              </w:rPr>
            </w:pPr>
            <w:r>
              <w:rPr>
                <w:rFonts w:hint="eastAsia" w:ascii="宋体" w:hAnsi="宋体"/>
                <w:color w:val="auto"/>
                <w:sz w:val="24"/>
                <w:szCs w:val="24"/>
                <w:highlight w:val="none"/>
              </w:rPr>
              <w:t>备注</w:t>
            </w:r>
          </w:p>
        </w:tc>
      </w:tr>
      <w:tr w14:paraId="44BE29A6">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4C386A6">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1516" w:type="dxa"/>
            <w:tcBorders>
              <w:top w:val="single" w:color="auto" w:sz="4" w:space="0"/>
              <w:left w:val="nil"/>
              <w:bottom w:val="single" w:color="auto" w:sz="4" w:space="0"/>
              <w:right w:val="single" w:color="auto" w:sz="4" w:space="0"/>
            </w:tcBorders>
            <w:vAlign w:val="center"/>
          </w:tcPr>
          <w:p w14:paraId="7C114513">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3324" w:type="dxa"/>
            <w:tcBorders>
              <w:top w:val="single" w:color="auto" w:sz="4" w:space="0"/>
              <w:left w:val="nil"/>
              <w:bottom w:val="single" w:color="auto" w:sz="4" w:space="0"/>
              <w:right w:val="single" w:color="auto" w:sz="4" w:space="0"/>
            </w:tcBorders>
            <w:vAlign w:val="center"/>
          </w:tcPr>
          <w:p w14:paraId="3D93E1A3">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6D440E3E">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727" w:type="dxa"/>
            <w:tcBorders>
              <w:top w:val="single" w:color="auto" w:sz="4" w:space="0"/>
              <w:left w:val="nil"/>
              <w:bottom w:val="single" w:color="auto" w:sz="4" w:space="0"/>
              <w:right w:val="single" w:color="auto" w:sz="4" w:space="0"/>
            </w:tcBorders>
            <w:vAlign w:val="center"/>
          </w:tcPr>
          <w:p w14:paraId="66E34D2B">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936" w:type="dxa"/>
            <w:tcBorders>
              <w:top w:val="single" w:color="auto" w:sz="4" w:space="0"/>
              <w:left w:val="nil"/>
              <w:bottom w:val="single" w:color="auto" w:sz="4" w:space="0"/>
              <w:right w:val="single" w:color="auto" w:sz="4" w:space="0"/>
            </w:tcBorders>
            <w:vAlign w:val="center"/>
          </w:tcPr>
          <w:p w14:paraId="39145326">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889" w:type="dxa"/>
            <w:tcBorders>
              <w:top w:val="single" w:color="auto" w:sz="4" w:space="0"/>
              <w:left w:val="nil"/>
              <w:bottom w:val="single" w:color="auto" w:sz="4" w:space="0"/>
              <w:right w:val="single" w:color="auto" w:sz="4" w:space="0"/>
            </w:tcBorders>
          </w:tcPr>
          <w:p w14:paraId="5BC69B31">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D3C7E17">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r>
      <w:tr w14:paraId="011DE7E6">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E50915B">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1516" w:type="dxa"/>
            <w:tcBorders>
              <w:top w:val="single" w:color="auto" w:sz="4" w:space="0"/>
              <w:left w:val="nil"/>
              <w:bottom w:val="single" w:color="auto" w:sz="4" w:space="0"/>
              <w:right w:val="single" w:color="auto" w:sz="4" w:space="0"/>
            </w:tcBorders>
            <w:vAlign w:val="center"/>
          </w:tcPr>
          <w:p w14:paraId="03E537EA">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3324" w:type="dxa"/>
            <w:tcBorders>
              <w:top w:val="single" w:color="auto" w:sz="4" w:space="0"/>
              <w:left w:val="nil"/>
              <w:bottom w:val="single" w:color="auto" w:sz="4" w:space="0"/>
              <w:right w:val="single" w:color="auto" w:sz="4" w:space="0"/>
            </w:tcBorders>
            <w:vAlign w:val="center"/>
          </w:tcPr>
          <w:p w14:paraId="0B9EB60C">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62BA9A03">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727" w:type="dxa"/>
            <w:tcBorders>
              <w:top w:val="single" w:color="auto" w:sz="4" w:space="0"/>
              <w:left w:val="nil"/>
              <w:bottom w:val="single" w:color="auto" w:sz="4" w:space="0"/>
              <w:right w:val="single" w:color="auto" w:sz="4" w:space="0"/>
            </w:tcBorders>
            <w:vAlign w:val="center"/>
          </w:tcPr>
          <w:p w14:paraId="2BB35303">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936" w:type="dxa"/>
            <w:tcBorders>
              <w:top w:val="single" w:color="auto" w:sz="4" w:space="0"/>
              <w:left w:val="nil"/>
              <w:bottom w:val="single" w:color="auto" w:sz="4" w:space="0"/>
              <w:right w:val="single" w:color="auto" w:sz="4" w:space="0"/>
            </w:tcBorders>
            <w:vAlign w:val="center"/>
          </w:tcPr>
          <w:p w14:paraId="19845F7A">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889" w:type="dxa"/>
            <w:tcBorders>
              <w:top w:val="single" w:color="auto" w:sz="4" w:space="0"/>
              <w:left w:val="nil"/>
              <w:bottom w:val="single" w:color="auto" w:sz="4" w:space="0"/>
              <w:right w:val="single" w:color="auto" w:sz="4" w:space="0"/>
            </w:tcBorders>
          </w:tcPr>
          <w:p w14:paraId="064F8671">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3E55C97">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r>
      <w:tr w14:paraId="4F27A90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3560A44">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1516" w:type="dxa"/>
            <w:tcBorders>
              <w:top w:val="single" w:color="auto" w:sz="4" w:space="0"/>
              <w:left w:val="nil"/>
              <w:bottom w:val="single" w:color="auto" w:sz="4" w:space="0"/>
              <w:right w:val="single" w:color="auto" w:sz="4" w:space="0"/>
            </w:tcBorders>
            <w:vAlign w:val="center"/>
          </w:tcPr>
          <w:p w14:paraId="46D4B6E2">
            <w:pPr>
              <w:pageBreakBefore w:val="0"/>
              <w:widowControl w:val="0"/>
              <w:wordWrap/>
              <w:overflowPunct/>
              <w:bidi w:val="0"/>
              <w:spacing w:line="360" w:lineRule="auto"/>
              <w:outlineLvl w:val="9"/>
              <w:rPr>
                <w:rFonts w:ascii="宋体" w:hAnsi="宋体"/>
                <w:color w:val="auto"/>
                <w:kern w:val="2"/>
                <w:sz w:val="24"/>
                <w:szCs w:val="24"/>
                <w:highlight w:val="none"/>
              </w:rPr>
            </w:pPr>
            <w:r>
              <w:rPr>
                <w:rFonts w:hint="eastAsia" w:ascii="宋体" w:hAnsi="宋体"/>
                <w:color w:val="auto"/>
                <w:sz w:val="24"/>
                <w:szCs w:val="24"/>
                <w:highlight w:val="none"/>
              </w:rPr>
              <w:t>备品备件</w:t>
            </w:r>
          </w:p>
        </w:tc>
        <w:tc>
          <w:tcPr>
            <w:tcW w:w="3324" w:type="dxa"/>
            <w:tcBorders>
              <w:top w:val="single" w:color="auto" w:sz="4" w:space="0"/>
              <w:left w:val="nil"/>
              <w:bottom w:val="single" w:color="auto" w:sz="4" w:space="0"/>
              <w:right w:val="single" w:color="auto" w:sz="4" w:space="0"/>
            </w:tcBorders>
            <w:vAlign w:val="center"/>
          </w:tcPr>
          <w:p w14:paraId="6978DBEF">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5C9A45E0">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727" w:type="dxa"/>
            <w:tcBorders>
              <w:top w:val="single" w:color="auto" w:sz="4" w:space="0"/>
              <w:left w:val="nil"/>
              <w:bottom w:val="single" w:color="auto" w:sz="4" w:space="0"/>
              <w:right w:val="single" w:color="auto" w:sz="4" w:space="0"/>
            </w:tcBorders>
            <w:vAlign w:val="center"/>
          </w:tcPr>
          <w:p w14:paraId="25778B5A">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936" w:type="dxa"/>
            <w:tcBorders>
              <w:top w:val="single" w:color="auto" w:sz="4" w:space="0"/>
              <w:left w:val="nil"/>
              <w:bottom w:val="single" w:color="auto" w:sz="4" w:space="0"/>
              <w:right w:val="single" w:color="auto" w:sz="4" w:space="0"/>
            </w:tcBorders>
            <w:vAlign w:val="center"/>
          </w:tcPr>
          <w:p w14:paraId="7629C187">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889" w:type="dxa"/>
            <w:tcBorders>
              <w:top w:val="single" w:color="auto" w:sz="4" w:space="0"/>
              <w:left w:val="nil"/>
              <w:bottom w:val="single" w:color="auto" w:sz="4" w:space="0"/>
              <w:right w:val="single" w:color="auto" w:sz="4" w:space="0"/>
            </w:tcBorders>
          </w:tcPr>
          <w:p w14:paraId="3AF23CF9">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A19E9B4">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r>
      <w:tr w14:paraId="7AC7B5E4">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F8B8D11">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1516" w:type="dxa"/>
            <w:tcBorders>
              <w:top w:val="single" w:color="auto" w:sz="4" w:space="0"/>
              <w:left w:val="nil"/>
              <w:bottom w:val="single" w:color="auto" w:sz="4" w:space="0"/>
              <w:right w:val="single" w:color="auto" w:sz="4" w:space="0"/>
            </w:tcBorders>
            <w:vAlign w:val="center"/>
          </w:tcPr>
          <w:p w14:paraId="67AF88C2">
            <w:pPr>
              <w:pageBreakBefore w:val="0"/>
              <w:widowControl w:val="0"/>
              <w:wordWrap/>
              <w:overflowPunct/>
              <w:bidi w:val="0"/>
              <w:spacing w:line="360" w:lineRule="auto"/>
              <w:outlineLvl w:val="9"/>
              <w:rPr>
                <w:rFonts w:ascii="宋体" w:hAnsi="宋体"/>
                <w:color w:val="auto"/>
                <w:kern w:val="2"/>
                <w:sz w:val="24"/>
                <w:szCs w:val="24"/>
                <w:highlight w:val="none"/>
              </w:rPr>
            </w:pPr>
            <w:r>
              <w:rPr>
                <w:rFonts w:hint="eastAsia" w:ascii="宋体" w:hAnsi="宋体"/>
                <w:color w:val="auto"/>
                <w:sz w:val="24"/>
                <w:szCs w:val="24"/>
                <w:highlight w:val="none"/>
              </w:rPr>
              <w:t>配套工具</w:t>
            </w:r>
          </w:p>
        </w:tc>
        <w:tc>
          <w:tcPr>
            <w:tcW w:w="3324" w:type="dxa"/>
            <w:tcBorders>
              <w:top w:val="single" w:color="auto" w:sz="4" w:space="0"/>
              <w:left w:val="nil"/>
              <w:bottom w:val="single" w:color="auto" w:sz="4" w:space="0"/>
              <w:right w:val="single" w:color="auto" w:sz="4" w:space="0"/>
            </w:tcBorders>
            <w:vAlign w:val="center"/>
          </w:tcPr>
          <w:p w14:paraId="541E7489">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2F69817D">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727" w:type="dxa"/>
            <w:tcBorders>
              <w:top w:val="single" w:color="auto" w:sz="4" w:space="0"/>
              <w:left w:val="nil"/>
              <w:bottom w:val="single" w:color="auto" w:sz="4" w:space="0"/>
              <w:right w:val="single" w:color="auto" w:sz="4" w:space="0"/>
            </w:tcBorders>
            <w:vAlign w:val="center"/>
          </w:tcPr>
          <w:p w14:paraId="7D996A74">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936" w:type="dxa"/>
            <w:tcBorders>
              <w:top w:val="single" w:color="auto" w:sz="4" w:space="0"/>
              <w:left w:val="nil"/>
              <w:bottom w:val="single" w:color="auto" w:sz="4" w:space="0"/>
              <w:right w:val="single" w:color="auto" w:sz="4" w:space="0"/>
            </w:tcBorders>
            <w:vAlign w:val="center"/>
          </w:tcPr>
          <w:p w14:paraId="0195E060">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889" w:type="dxa"/>
            <w:tcBorders>
              <w:top w:val="single" w:color="auto" w:sz="4" w:space="0"/>
              <w:left w:val="nil"/>
              <w:bottom w:val="single" w:color="auto" w:sz="4" w:space="0"/>
              <w:right w:val="single" w:color="auto" w:sz="4" w:space="0"/>
            </w:tcBorders>
          </w:tcPr>
          <w:p w14:paraId="6DCD7CA4">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F33A180">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r>
      <w:tr w14:paraId="3B663C1B">
        <w:tblPrEx>
          <w:tblCellMar>
            <w:top w:w="0" w:type="dxa"/>
            <w:left w:w="108" w:type="dxa"/>
            <w:bottom w:w="0" w:type="dxa"/>
            <w:right w:w="108" w:type="dxa"/>
          </w:tblCellMar>
        </w:tblPrEx>
        <w:tc>
          <w:tcPr>
            <w:tcW w:w="6237" w:type="dxa"/>
            <w:gridSpan w:val="4"/>
            <w:tcBorders>
              <w:top w:val="single" w:color="auto" w:sz="4" w:space="0"/>
              <w:left w:val="single" w:color="auto" w:sz="4" w:space="0"/>
              <w:bottom w:val="single" w:color="auto" w:sz="4" w:space="0"/>
              <w:right w:val="single" w:color="auto" w:sz="4" w:space="0"/>
            </w:tcBorders>
            <w:vAlign w:val="center"/>
          </w:tcPr>
          <w:p w14:paraId="5A99D88C">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r>
              <w:rPr>
                <w:rFonts w:hint="eastAsia" w:ascii="宋体" w:hAnsi="宋体"/>
                <w:color w:val="auto"/>
                <w:sz w:val="24"/>
                <w:szCs w:val="24"/>
                <w:highlight w:val="none"/>
              </w:rPr>
              <w:t>合计</w:t>
            </w:r>
          </w:p>
        </w:tc>
        <w:tc>
          <w:tcPr>
            <w:tcW w:w="727" w:type="dxa"/>
            <w:tcBorders>
              <w:top w:val="single" w:color="auto" w:sz="4" w:space="0"/>
              <w:left w:val="nil"/>
              <w:bottom w:val="single" w:color="auto" w:sz="4" w:space="0"/>
              <w:right w:val="single" w:color="auto" w:sz="4" w:space="0"/>
            </w:tcBorders>
            <w:vAlign w:val="center"/>
          </w:tcPr>
          <w:p w14:paraId="5B156247">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936" w:type="dxa"/>
            <w:tcBorders>
              <w:top w:val="single" w:color="auto" w:sz="4" w:space="0"/>
              <w:left w:val="nil"/>
              <w:bottom w:val="single" w:color="auto" w:sz="4" w:space="0"/>
              <w:right w:val="single" w:color="auto" w:sz="4" w:space="0"/>
            </w:tcBorders>
            <w:vAlign w:val="center"/>
          </w:tcPr>
          <w:p w14:paraId="5E681B74">
            <w:pPr>
              <w:pageBreakBefore w:val="0"/>
              <w:widowControl w:val="0"/>
              <w:wordWrap/>
              <w:overflowPunct/>
              <w:bidi w:val="0"/>
              <w:spacing w:line="360" w:lineRule="auto"/>
              <w:ind w:firstLine="600" w:firstLineChars="250"/>
              <w:jc w:val="center"/>
              <w:outlineLvl w:val="9"/>
              <w:rPr>
                <w:rFonts w:ascii="宋体" w:hAnsi="宋体"/>
                <w:color w:val="auto"/>
                <w:kern w:val="2"/>
                <w:sz w:val="24"/>
                <w:szCs w:val="24"/>
                <w:highlight w:val="none"/>
              </w:rPr>
            </w:pPr>
          </w:p>
        </w:tc>
        <w:tc>
          <w:tcPr>
            <w:tcW w:w="889" w:type="dxa"/>
            <w:tcBorders>
              <w:top w:val="single" w:color="auto" w:sz="4" w:space="0"/>
              <w:left w:val="nil"/>
              <w:bottom w:val="single" w:color="auto" w:sz="4" w:space="0"/>
              <w:right w:val="single" w:color="auto" w:sz="4" w:space="0"/>
            </w:tcBorders>
          </w:tcPr>
          <w:p w14:paraId="5AF20CED">
            <w:pPr>
              <w:pageBreakBefore w:val="0"/>
              <w:widowControl w:val="0"/>
              <w:wordWrap/>
              <w:overflowPunct/>
              <w:bidi w:val="0"/>
              <w:spacing w:line="360" w:lineRule="auto"/>
              <w:outlineLvl w:val="9"/>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2E6CD7F">
            <w:pPr>
              <w:pageBreakBefore w:val="0"/>
              <w:widowControl w:val="0"/>
              <w:wordWrap/>
              <w:overflowPunct/>
              <w:bidi w:val="0"/>
              <w:spacing w:line="360" w:lineRule="auto"/>
              <w:outlineLvl w:val="9"/>
              <w:rPr>
                <w:rFonts w:ascii="宋体" w:hAnsi="宋体"/>
                <w:color w:val="auto"/>
                <w:kern w:val="2"/>
                <w:sz w:val="24"/>
                <w:szCs w:val="24"/>
                <w:highlight w:val="none"/>
              </w:rPr>
            </w:pPr>
            <w:r>
              <w:rPr>
                <w:rFonts w:hint="eastAsia" w:ascii="宋体" w:hAnsi="宋体"/>
                <w:color w:val="auto"/>
                <w:sz w:val="24"/>
                <w:szCs w:val="24"/>
                <w:highlight w:val="none"/>
              </w:rPr>
              <w:t>----</w:t>
            </w:r>
          </w:p>
        </w:tc>
      </w:tr>
      <w:tr w14:paraId="5B7D3EF1">
        <w:tblPrEx>
          <w:tblCellMar>
            <w:top w:w="0" w:type="dxa"/>
            <w:left w:w="108" w:type="dxa"/>
            <w:bottom w:w="0" w:type="dxa"/>
            <w:right w:w="108" w:type="dxa"/>
          </w:tblCellMar>
        </w:tblPrEx>
        <w:tc>
          <w:tcPr>
            <w:tcW w:w="6237" w:type="dxa"/>
            <w:gridSpan w:val="4"/>
            <w:tcBorders>
              <w:top w:val="single" w:color="auto" w:sz="4" w:space="0"/>
              <w:left w:val="single" w:color="auto" w:sz="4" w:space="0"/>
              <w:bottom w:val="single" w:color="auto" w:sz="4" w:space="0"/>
              <w:right w:val="single" w:color="auto" w:sz="4" w:space="0"/>
            </w:tcBorders>
            <w:vAlign w:val="center"/>
          </w:tcPr>
          <w:p w14:paraId="5C1CAFC6">
            <w:pPr>
              <w:pageBreakBefore w:val="0"/>
              <w:widowControl w:val="0"/>
              <w:wordWrap/>
              <w:overflowPunct/>
              <w:bidi w:val="0"/>
              <w:spacing w:line="360" w:lineRule="auto"/>
              <w:outlineLvl w:val="9"/>
              <w:rPr>
                <w:rFonts w:ascii="宋体" w:hAnsi="宋体"/>
                <w:color w:val="auto"/>
                <w:kern w:val="2"/>
                <w:sz w:val="24"/>
                <w:szCs w:val="24"/>
                <w:highlight w:val="none"/>
              </w:rPr>
            </w:pPr>
            <w:r>
              <w:rPr>
                <w:rFonts w:hint="eastAsia" w:ascii="宋体" w:hAnsi="宋体"/>
                <w:color w:val="auto"/>
                <w:sz w:val="24"/>
                <w:szCs w:val="24"/>
                <w:highlight w:val="none"/>
              </w:rPr>
              <w:t>合同价款大写：</w:t>
            </w:r>
          </w:p>
        </w:tc>
        <w:tc>
          <w:tcPr>
            <w:tcW w:w="3828" w:type="dxa"/>
            <w:gridSpan w:val="4"/>
            <w:tcBorders>
              <w:top w:val="single" w:color="auto" w:sz="4" w:space="0"/>
              <w:left w:val="nil"/>
              <w:bottom w:val="single" w:color="auto" w:sz="4" w:space="0"/>
              <w:right w:val="single" w:color="auto" w:sz="4" w:space="0"/>
            </w:tcBorders>
          </w:tcPr>
          <w:p w14:paraId="53902235">
            <w:pPr>
              <w:pageBreakBefore w:val="0"/>
              <w:widowControl w:val="0"/>
              <w:wordWrap/>
              <w:overflowPunct/>
              <w:bidi w:val="0"/>
              <w:spacing w:line="360" w:lineRule="auto"/>
              <w:outlineLvl w:val="9"/>
              <w:rPr>
                <w:rFonts w:ascii="宋体" w:hAnsi="宋体"/>
                <w:color w:val="auto"/>
                <w:kern w:val="2"/>
                <w:sz w:val="24"/>
                <w:szCs w:val="24"/>
                <w:highlight w:val="none"/>
              </w:rPr>
            </w:pPr>
            <w:r>
              <w:rPr>
                <w:rFonts w:hint="eastAsia" w:ascii="宋体" w:hAnsi="宋体"/>
                <w:color w:val="auto"/>
                <w:kern w:val="2"/>
                <w:sz w:val="24"/>
                <w:szCs w:val="24"/>
                <w:highlight w:val="none"/>
              </w:rPr>
              <w:t>小写：</w:t>
            </w:r>
          </w:p>
        </w:tc>
      </w:tr>
    </w:tbl>
    <w:p w14:paraId="6EE48EC5">
      <w:pPr>
        <w:pageBreakBefore w:val="0"/>
        <w:wordWrap/>
        <w:overflowPunct/>
        <w:bidi w:val="0"/>
        <w:spacing w:line="360" w:lineRule="auto"/>
        <w:outlineLvl w:val="9"/>
        <w:rPr>
          <w:rFonts w:ascii="宋体" w:hAnsi="宋体"/>
          <w:color w:val="auto"/>
          <w:kern w:val="2"/>
          <w:sz w:val="24"/>
          <w:szCs w:val="24"/>
          <w:highlight w:val="none"/>
        </w:rPr>
      </w:pPr>
      <w:r>
        <w:rPr>
          <w:rFonts w:hint="eastAsia" w:ascii="宋体" w:hAnsi="宋体"/>
          <w:color w:val="auto"/>
          <w:sz w:val="24"/>
          <w:szCs w:val="24"/>
          <w:highlight w:val="none"/>
        </w:rPr>
        <w:t>（合同价款包括含货款、标准附件、备品备件、专用工具、包装、运输、装卸、保险、税金、货到就位以及安装、调试、培训、保修等一切税金和费用及其他因本项目而产生的一切费用）。</w:t>
      </w:r>
    </w:p>
    <w:p w14:paraId="514618FF">
      <w:pPr>
        <w:pageBreakBefore w:val="0"/>
        <w:wordWrap/>
        <w:overflowPunct/>
        <w:bidi w:val="0"/>
        <w:snapToGrid w:val="0"/>
        <w:spacing w:line="360" w:lineRule="auto"/>
        <w:outlineLvl w:val="9"/>
        <w:rPr>
          <w:rFonts w:ascii="宋体" w:hAnsi="宋体"/>
          <w:b/>
          <w:bCs/>
          <w:color w:val="auto"/>
          <w:sz w:val="24"/>
          <w:szCs w:val="24"/>
          <w:highlight w:val="none"/>
        </w:rPr>
      </w:pPr>
      <w:r>
        <w:rPr>
          <w:rFonts w:hint="eastAsia" w:ascii="宋体" w:hAnsi="宋体"/>
          <w:b/>
          <w:bCs/>
          <w:color w:val="auto"/>
          <w:sz w:val="24"/>
          <w:szCs w:val="24"/>
          <w:highlight w:val="none"/>
        </w:rPr>
        <w:t>4．合同的范围，交货时间、地点及方式。</w:t>
      </w:r>
    </w:p>
    <w:p w14:paraId="0939CB2D">
      <w:pPr>
        <w:pageBreakBefore w:val="0"/>
        <w:wordWrap/>
        <w:overflowPunct/>
        <w:bidi w:val="0"/>
        <w:snapToGrid w:val="0"/>
        <w:spacing w:line="360" w:lineRule="auto"/>
        <w:ind w:left="753" w:leftChars="-8" w:hanging="770" w:hangingChars="321"/>
        <w:outlineLvl w:val="9"/>
        <w:rPr>
          <w:rFonts w:ascii="宋体" w:hAnsi="宋体"/>
          <w:color w:val="auto"/>
          <w:sz w:val="24"/>
          <w:szCs w:val="24"/>
          <w:highlight w:val="none"/>
        </w:rPr>
      </w:pPr>
      <w:r>
        <w:rPr>
          <w:rFonts w:hint="eastAsia" w:ascii="宋体" w:hAnsi="宋体"/>
          <w:color w:val="auto"/>
          <w:sz w:val="24"/>
          <w:szCs w:val="24"/>
          <w:highlight w:val="none"/>
        </w:rPr>
        <w:t>4.1   合同的范围：仅指</w:t>
      </w:r>
      <w:r>
        <w:rPr>
          <w:rFonts w:hint="eastAsia" w:ascii="宋体" w:hAnsi="宋体"/>
          <w:color w:val="auto"/>
          <w:sz w:val="24"/>
          <w:szCs w:val="24"/>
          <w:highlight w:val="none"/>
          <w:u w:val="single"/>
        </w:rPr>
        <w:t>（采购单位）</w:t>
      </w:r>
      <w:r>
        <w:rPr>
          <w:rFonts w:hint="eastAsia" w:ascii="宋体" w:hAnsi="宋体"/>
          <w:color w:val="auto"/>
          <w:sz w:val="24"/>
          <w:szCs w:val="24"/>
          <w:highlight w:val="none"/>
        </w:rPr>
        <w:t>的项目采购。</w:t>
      </w:r>
    </w:p>
    <w:p w14:paraId="09343D57">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4.2   交货及安装时间：按需方要求。（乙方需保证甲方用料需求，保质、按需、按时供料，如乙方遇特殊情况不能满足甲方需求的，甲方可从其他单位临时进行采购）</w:t>
      </w:r>
    </w:p>
    <w:p w14:paraId="3421EABA">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4.3   交货地点：采购单位指定地点。</w:t>
      </w:r>
    </w:p>
    <w:p w14:paraId="1436BD49">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4.4   交货方式：乙方免费送至甲方指定地。</w:t>
      </w:r>
    </w:p>
    <w:p w14:paraId="13085996">
      <w:pPr>
        <w:pageBreakBefore w:val="0"/>
        <w:wordWrap/>
        <w:overflowPunct/>
        <w:bidi w:val="0"/>
        <w:snapToGrid w:val="0"/>
        <w:spacing w:line="360" w:lineRule="auto"/>
        <w:outlineLvl w:val="9"/>
        <w:rPr>
          <w:rFonts w:ascii="宋体" w:hAnsi="宋体"/>
          <w:b/>
          <w:bCs/>
          <w:color w:val="auto"/>
          <w:sz w:val="24"/>
          <w:szCs w:val="24"/>
          <w:highlight w:val="none"/>
        </w:rPr>
      </w:pPr>
      <w:r>
        <w:rPr>
          <w:rFonts w:hint="eastAsia" w:ascii="宋体" w:hAnsi="宋体"/>
          <w:b/>
          <w:bCs/>
          <w:color w:val="auto"/>
          <w:sz w:val="24"/>
          <w:szCs w:val="24"/>
          <w:highlight w:val="none"/>
        </w:rPr>
        <w:t>5．合同条款及特别条款</w:t>
      </w:r>
    </w:p>
    <w:p w14:paraId="42618E95">
      <w:pPr>
        <w:pageBreakBefore w:val="0"/>
        <w:wordWrap/>
        <w:overflowPunct/>
        <w:bidi w:val="0"/>
        <w:snapToGrid w:val="0"/>
        <w:spacing w:line="360" w:lineRule="auto"/>
        <w:ind w:left="718" w:hanging="720"/>
        <w:outlineLvl w:val="9"/>
        <w:rPr>
          <w:rFonts w:ascii="宋体" w:hAnsi="宋体"/>
          <w:color w:val="auto"/>
          <w:sz w:val="24"/>
          <w:szCs w:val="24"/>
          <w:highlight w:val="none"/>
        </w:rPr>
      </w:pPr>
      <w:r>
        <w:rPr>
          <w:rFonts w:hint="eastAsia" w:ascii="宋体" w:hAnsi="宋体"/>
          <w:color w:val="auto"/>
          <w:sz w:val="24"/>
          <w:szCs w:val="24"/>
          <w:highlight w:val="none"/>
        </w:rPr>
        <w:t>5.1   货物验收：</w:t>
      </w:r>
    </w:p>
    <w:p w14:paraId="394437BB">
      <w:pPr>
        <w:pStyle w:val="2"/>
        <w:rPr>
          <w:rFonts w:hint="eastAsia" w:ascii="宋体" w:hAnsi="宋体"/>
          <w:color w:val="auto"/>
          <w:sz w:val="24"/>
          <w:szCs w:val="24"/>
          <w:highlight w:val="none"/>
        </w:rPr>
      </w:pPr>
      <w:r>
        <w:rPr>
          <w:rFonts w:hint="eastAsia" w:ascii="宋体" w:hAnsi="宋体"/>
          <w:color w:val="auto"/>
          <w:sz w:val="24"/>
          <w:szCs w:val="24"/>
          <w:highlight w:val="none"/>
        </w:rPr>
        <w:t>5.1.1乙方应严格按照国家质量标准进行供料，原材料及成品料在乙方场内进行试验，甲方人员进行监督配合，当现场检测或监理检测发生质量不合格情况时，甲方有权把不合格成品料退回给乙方，由此引起的所有损失由乙方承担。</w:t>
      </w:r>
    </w:p>
    <w:p w14:paraId="58E23306">
      <w:pPr>
        <w:pStyle w:val="2"/>
        <w:rPr>
          <w:rFonts w:hint="eastAsia" w:ascii="宋体" w:hAnsi="宋体"/>
          <w:color w:val="auto"/>
          <w:sz w:val="24"/>
          <w:szCs w:val="24"/>
          <w:highlight w:val="none"/>
        </w:rPr>
      </w:pPr>
      <w:r>
        <w:rPr>
          <w:rFonts w:hint="eastAsia" w:ascii="宋体" w:hAnsi="宋体"/>
          <w:color w:val="auto"/>
          <w:sz w:val="24"/>
          <w:szCs w:val="24"/>
          <w:highlight w:val="none"/>
        </w:rPr>
        <w:t>5.1.2 决算:甲、乙双方共同签认的发货单和交货单为决算依据。</w:t>
      </w:r>
    </w:p>
    <w:p w14:paraId="463B5575">
      <w:pPr>
        <w:pageBreakBefore w:val="0"/>
        <w:wordWrap/>
        <w:overflowPunct/>
        <w:bidi w:val="0"/>
        <w:snapToGrid w:val="0"/>
        <w:spacing w:line="360" w:lineRule="auto"/>
        <w:ind w:left="720" w:hanging="720"/>
        <w:outlineLvl w:val="9"/>
        <w:rPr>
          <w:rFonts w:ascii="宋体" w:hAnsi="宋体"/>
          <w:b/>
          <w:bCs/>
          <w:color w:val="auto"/>
          <w:sz w:val="24"/>
          <w:szCs w:val="24"/>
          <w:highlight w:val="none"/>
        </w:rPr>
      </w:pPr>
      <w:r>
        <w:rPr>
          <w:rFonts w:hint="eastAsia" w:ascii="宋体" w:hAnsi="宋体"/>
          <w:b/>
          <w:bCs/>
          <w:color w:val="auto"/>
          <w:sz w:val="24"/>
          <w:szCs w:val="24"/>
          <w:highlight w:val="none"/>
        </w:rPr>
        <w:t>5.2   质量保证、售后服务及故障处理</w:t>
      </w:r>
    </w:p>
    <w:p w14:paraId="6D4A4E81">
      <w:pPr>
        <w:pageBreakBefore w:val="0"/>
        <w:wordWrap/>
        <w:overflowPunct/>
        <w:bidi w:val="0"/>
        <w:snapToGrid w:val="0"/>
        <w:spacing w:line="360" w:lineRule="auto"/>
        <w:ind w:left="882" w:hanging="882"/>
        <w:outlineLvl w:val="9"/>
        <w:rPr>
          <w:rFonts w:ascii="宋体" w:hAnsi="宋体"/>
          <w:color w:val="auto"/>
          <w:sz w:val="24"/>
          <w:szCs w:val="24"/>
          <w:highlight w:val="none"/>
        </w:rPr>
      </w:pPr>
      <w:r>
        <w:rPr>
          <w:rFonts w:hint="eastAsia" w:ascii="宋体" w:hAnsi="宋体"/>
          <w:color w:val="auto"/>
          <w:sz w:val="24"/>
          <w:szCs w:val="24"/>
          <w:highlight w:val="none"/>
        </w:rPr>
        <w:t>5.2.1 乙方应按招标文件规定的材料性能、技术要求、质量标准向甲方按时供应材料，保证材料质量。</w:t>
      </w:r>
    </w:p>
    <w:p w14:paraId="56B2A55F">
      <w:pPr>
        <w:pageBreakBefore w:val="0"/>
        <w:wordWrap/>
        <w:overflowPunct/>
        <w:bidi w:val="0"/>
        <w:snapToGrid w:val="0"/>
        <w:spacing w:line="360" w:lineRule="auto"/>
        <w:ind w:left="854" w:hanging="854"/>
        <w:outlineLvl w:val="9"/>
        <w:rPr>
          <w:rFonts w:ascii="宋体" w:hAnsi="宋体"/>
          <w:color w:val="auto"/>
          <w:sz w:val="24"/>
          <w:szCs w:val="24"/>
          <w:highlight w:val="none"/>
        </w:rPr>
      </w:pPr>
      <w:r>
        <w:rPr>
          <w:rFonts w:hint="eastAsia" w:ascii="宋体" w:hAnsi="宋体"/>
          <w:color w:val="auto"/>
          <w:sz w:val="24"/>
          <w:szCs w:val="24"/>
          <w:highlight w:val="none"/>
        </w:rPr>
        <w:t>5.2.2 乙方提供材料的质量保证期为自经验收合格后之日起不少于1年。在服务期内发现因材料本身的质量问题，乙方应负责免费更换或免费维修。对达不到技术要求者，根据实际情况，经双方协商，可按以下办法处理：</w:t>
      </w:r>
    </w:p>
    <w:p w14:paraId="1E7F06C1">
      <w:pPr>
        <w:pageBreakBefore w:val="0"/>
        <w:wordWrap/>
        <w:overflowPunct/>
        <w:bidi w:val="0"/>
        <w:snapToGrid w:val="0"/>
        <w:spacing w:line="360" w:lineRule="auto"/>
        <w:ind w:left="630" w:leftChars="300"/>
        <w:outlineLvl w:val="9"/>
        <w:rPr>
          <w:rFonts w:ascii="宋体" w:hAnsi="宋体"/>
          <w:color w:val="auto"/>
          <w:sz w:val="24"/>
          <w:szCs w:val="24"/>
          <w:highlight w:val="none"/>
        </w:rPr>
      </w:pPr>
      <w:r>
        <w:rPr>
          <w:rFonts w:hint="eastAsia" w:ascii="宋体" w:hAnsi="宋体"/>
          <w:color w:val="auto"/>
          <w:sz w:val="24"/>
          <w:szCs w:val="24"/>
          <w:highlight w:val="none"/>
        </w:rPr>
        <w:t>⑴更换：由乙方承担所发生的全部费用。</w:t>
      </w:r>
    </w:p>
    <w:p w14:paraId="0A32DA68">
      <w:pPr>
        <w:pageBreakBefore w:val="0"/>
        <w:wordWrap/>
        <w:overflowPunct/>
        <w:bidi w:val="0"/>
        <w:snapToGrid w:val="0"/>
        <w:spacing w:line="360" w:lineRule="auto"/>
        <w:ind w:left="630" w:leftChars="300" w:firstLine="14"/>
        <w:outlineLvl w:val="9"/>
        <w:rPr>
          <w:rFonts w:ascii="宋体" w:hAnsi="宋体"/>
          <w:color w:val="auto"/>
          <w:sz w:val="24"/>
          <w:szCs w:val="24"/>
          <w:highlight w:val="none"/>
        </w:rPr>
      </w:pPr>
      <w:r>
        <w:rPr>
          <w:rFonts w:hint="eastAsia" w:ascii="宋体" w:hAnsi="宋体"/>
          <w:color w:val="auto"/>
          <w:sz w:val="24"/>
          <w:szCs w:val="24"/>
          <w:highlight w:val="none"/>
        </w:rPr>
        <w:t>⑵贬值处理：由甲方、乙方双方合议定价。</w:t>
      </w:r>
    </w:p>
    <w:p w14:paraId="5BF17569">
      <w:pPr>
        <w:pageBreakBefore w:val="0"/>
        <w:wordWrap/>
        <w:overflowPunct/>
        <w:bidi w:val="0"/>
        <w:snapToGrid w:val="0"/>
        <w:spacing w:line="360" w:lineRule="auto"/>
        <w:ind w:left="630" w:leftChars="300" w:firstLine="1"/>
        <w:outlineLvl w:val="9"/>
        <w:rPr>
          <w:rFonts w:ascii="宋体" w:hAnsi="宋体"/>
          <w:color w:val="auto"/>
          <w:sz w:val="24"/>
          <w:szCs w:val="24"/>
          <w:highlight w:val="none"/>
        </w:rPr>
      </w:pPr>
      <w:r>
        <w:rPr>
          <w:rFonts w:hint="eastAsia" w:ascii="宋体" w:hAnsi="宋体"/>
          <w:color w:val="auto"/>
          <w:sz w:val="24"/>
          <w:szCs w:val="24"/>
          <w:highlight w:val="none"/>
        </w:rPr>
        <w:t>⑶退料处理：乙方应退还甲方支付的货物款，同时应承担该货物的直接费用（运输、保险、检验、货款利息及银行手续费等）。</w:t>
      </w:r>
    </w:p>
    <w:p w14:paraId="59322EBC">
      <w:pPr>
        <w:pageBreakBefore w:val="0"/>
        <w:wordWrap/>
        <w:overflowPunct/>
        <w:bidi w:val="0"/>
        <w:snapToGrid w:val="0"/>
        <w:spacing w:line="360" w:lineRule="auto"/>
        <w:ind w:left="734" w:hanging="734" w:hangingChars="306"/>
        <w:outlineLvl w:val="9"/>
        <w:rPr>
          <w:rFonts w:ascii="宋体" w:hAnsi="宋体"/>
          <w:color w:val="auto"/>
          <w:sz w:val="24"/>
          <w:szCs w:val="24"/>
          <w:highlight w:val="none"/>
        </w:rPr>
      </w:pPr>
      <w:r>
        <w:rPr>
          <w:rFonts w:hint="eastAsia" w:ascii="宋体" w:hAnsi="宋体"/>
          <w:color w:val="auto"/>
          <w:sz w:val="24"/>
          <w:szCs w:val="24"/>
          <w:highlight w:val="none"/>
        </w:rPr>
        <w:t>5.2.3 在服务期内，乙方应对货物出现的质量及安全问题负责处理解决并承担一切费用。</w:t>
      </w:r>
    </w:p>
    <w:p w14:paraId="7537CA38">
      <w:pPr>
        <w:pageBreakBefore w:val="0"/>
        <w:wordWrap/>
        <w:overflowPunct/>
        <w:bidi w:val="0"/>
        <w:snapToGrid w:val="0"/>
        <w:spacing w:line="360" w:lineRule="auto"/>
        <w:ind w:left="868" w:hanging="868"/>
        <w:outlineLvl w:val="9"/>
        <w:rPr>
          <w:rFonts w:hint="eastAsia" w:ascii="宋体" w:hAnsi="宋体" w:eastAsia="宋体"/>
          <w:color w:val="auto"/>
          <w:sz w:val="24"/>
          <w:szCs w:val="24"/>
          <w:highlight w:val="green"/>
          <w:lang w:val="en-US" w:eastAsia="zh-CN"/>
        </w:rPr>
      </w:pPr>
      <w:r>
        <w:rPr>
          <w:rFonts w:hint="eastAsia" w:ascii="宋体" w:hAnsi="宋体"/>
          <w:color w:val="auto"/>
          <w:sz w:val="24"/>
          <w:szCs w:val="24"/>
          <w:highlight w:val="none"/>
        </w:rPr>
        <w:t>5.2.4 因人为因素出现的故障（或不可抗力引起的故障）不在免费维护范围内。</w:t>
      </w:r>
    </w:p>
    <w:p w14:paraId="31C9BD21">
      <w:pPr>
        <w:pStyle w:val="2"/>
        <w:rPr>
          <w:rFonts w:hint="eastAsia" w:ascii="宋体" w:hAnsi="宋体" w:eastAsia="宋体" w:cs="Times New Roman"/>
          <w:color w:val="auto"/>
          <w:sz w:val="24"/>
          <w:szCs w:val="24"/>
          <w:highlight w:val="none"/>
          <w:u w:color="000000"/>
          <w:lang w:val="en-US" w:eastAsia="zh-CN" w:bidi="ar-SA"/>
        </w:rPr>
      </w:pPr>
      <w:r>
        <w:rPr>
          <w:rFonts w:hint="eastAsia" w:ascii="宋体" w:hAnsi="宋体" w:eastAsia="宋体" w:cs="Times New Roman"/>
          <w:color w:val="auto"/>
          <w:sz w:val="24"/>
          <w:szCs w:val="24"/>
          <w:highlight w:val="none"/>
          <w:u w:color="000000"/>
          <w:lang w:val="en-US" w:eastAsia="zh-CN" w:bidi="ar-SA"/>
        </w:rPr>
        <w:t>5.3  特别条款</w:t>
      </w:r>
    </w:p>
    <w:p w14:paraId="783C0052">
      <w:pPr>
        <w:pStyle w:val="2"/>
        <w:rPr>
          <w:rFonts w:hint="eastAsia" w:ascii="宋体" w:hAnsi="宋体" w:eastAsia="宋体" w:cs="Times New Roman"/>
          <w:color w:val="auto"/>
          <w:sz w:val="24"/>
          <w:szCs w:val="24"/>
          <w:highlight w:val="none"/>
          <w:u w:color="000000"/>
          <w:lang w:val="en-US" w:eastAsia="zh-CN" w:bidi="ar-SA"/>
        </w:rPr>
      </w:pPr>
      <w:r>
        <w:rPr>
          <w:rFonts w:hint="eastAsia" w:ascii="宋体" w:hAnsi="宋体" w:eastAsia="宋体" w:cs="Times New Roman"/>
          <w:color w:val="auto"/>
          <w:sz w:val="24"/>
          <w:szCs w:val="24"/>
          <w:highlight w:val="none"/>
          <w:u w:color="000000"/>
          <w:lang w:val="en-US" w:eastAsia="zh-CN" w:bidi="ar-SA"/>
        </w:rPr>
        <w:t>5.3.1 如遇特殊情况，乙方不能按时供货，或者供货量、供货质量不能满足甲方需求时，甲方可同时联系其他供料单位供料。</w:t>
      </w:r>
    </w:p>
    <w:p w14:paraId="7855C412">
      <w:pPr>
        <w:pageBreakBefore w:val="0"/>
        <w:wordWrap/>
        <w:overflowPunct/>
        <w:bidi w:val="0"/>
        <w:snapToGrid w:val="0"/>
        <w:spacing w:line="360" w:lineRule="auto"/>
        <w:outlineLvl w:val="9"/>
        <w:rPr>
          <w:rFonts w:ascii="宋体" w:hAnsi="宋体"/>
          <w:b/>
          <w:bCs/>
          <w:color w:val="auto"/>
          <w:sz w:val="24"/>
          <w:szCs w:val="24"/>
          <w:highlight w:val="none"/>
        </w:rPr>
      </w:pPr>
      <w:r>
        <w:rPr>
          <w:rFonts w:hint="eastAsia" w:ascii="宋体" w:hAnsi="宋体"/>
          <w:b/>
          <w:bCs/>
          <w:color w:val="auto"/>
          <w:sz w:val="24"/>
          <w:szCs w:val="24"/>
          <w:highlight w:val="none"/>
        </w:rPr>
        <w:t>6．违约行为</w:t>
      </w:r>
    </w:p>
    <w:p w14:paraId="0D4FDEF4">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6.1   乙方有下列行为将作为违约：</w:t>
      </w:r>
    </w:p>
    <w:p w14:paraId="4C28E638">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⑴逾期供料及供料不符合国家相关质量标准规定，不能满足使用要求，不可抗力除外。</w:t>
      </w:r>
    </w:p>
    <w:p w14:paraId="5814D94B">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⑵交料规格和技术参数、质量等跟乙方的投标文件中相关承诺存在着不符，并私自降低材料的规格和技术参数、质量等。</w:t>
      </w:r>
    </w:p>
    <w:p w14:paraId="32E1021D">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（3）不履行合同条款或只履行部分合同条款，或拒绝履行合同义务。</w:t>
      </w:r>
    </w:p>
    <w:p w14:paraId="7D1AF3A4">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（4）不履行售后服务承诺及相关的伴随服务。</w:t>
      </w:r>
    </w:p>
    <w:p w14:paraId="0E01C401">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（5）没有按本合同提供质量保证期。</w:t>
      </w:r>
    </w:p>
    <w:p w14:paraId="74C923B7">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（6）违反政府采购法和国家其他的相关法律法规。</w:t>
      </w:r>
    </w:p>
    <w:p w14:paraId="636C1D03">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6.2   甲方有下列行为将作为违约：</w:t>
      </w:r>
    </w:p>
    <w:p w14:paraId="45A1EDE8">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⑴无正当理由拒绝接受乙方交付的材料或逾期延迟验收。</w:t>
      </w:r>
    </w:p>
    <w:p w14:paraId="7030B3BF">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⑵违反政府采购法和国家其他的相关法律法规。</w:t>
      </w:r>
    </w:p>
    <w:p w14:paraId="176C97C2">
      <w:pPr>
        <w:pageBreakBefore w:val="0"/>
        <w:wordWrap/>
        <w:overflowPunct/>
        <w:bidi w:val="0"/>
        <w:snapToGrid w:val="0"/>
        <w:spacing w:line="360" w:lineRule="auto"/>
        <w:outlineLvl w:val="9"/>
        <w:rPr>
          <w:rFonts w:ascii="宋体" w:hAnsi="宋体"/>
          <w:b/>
          <w:bCs/>
          <w:color w:val="auto"/>
          <w:sz w:val="24"/>
          <w:szCs w:val="24"/>
          <w:highlight w:val="none"/>
        </w:rPr>
      </w:pPr>
      <w:r>
        <w:rPr>
          <w:rFonts w:hint="eastAsia" w:ascii="宋体" w:hAnsi="宋体"/>
          <w:b/>
          <w:bCs/>
          <w:color w:val="auto"/>
          <w:sz w:val="24"/>
          <w:szCs w:val="24"/>
          <w:highlight w:val="none"/>
        </w:rPr>
        <w:t>7. 违约责任</w:t>
      </w:r>
    </w:p>
    <w:p w14:paraId="3C069A36">
      <w:pPr>
        <w:pageBreakBefore w:val="0"/>
        <w:wordWrap/>
        <w:overflowPunct/>
        <w:bidi w:val="0"/>
        <w:snapToGrid w:val="0"/>
        <w:spacing w:line="360" w:lineRule="auto"/>
        <w:ind w:left="630" w:hanging="630"/>
        <w:outlineLvl w:val="9"/>
        <w:rPr>
          <w:rFonts w:ascii="宋体" w:hAnsi="宋体"/>
          <w:color w:val="auto"/>
          <w:sz w:val="24"/>
          <w:szCs w:val="24"/>
          <w:highlight w:val="none"/>
        </w:rPr>
      </w:pPr>
      <w:r>
        <w:rPr>
          <w:rFonts w:hint="eastAsia" w:ascii="宋体" w:hAnsi="宋体"/>
          <w:color w:val="auto"/>
          <w:sz w:val="24"/>
          <w:szCs w:val="24"/>
          <w:highlight w:val="none"/>
        </w:rPr>
        <w:t>7.1 乙方违反本合同条款第6.1条的，将受到以下制裁：</w:t>
      </w:r>
    </w:p>
    <w:p w14:paraId="6456CDF3">
      <w:pPr>
        <w:pageBreakBefore w:val="0"/>
        <w:wordWrap/>
        <w:overflowPunct/>
        <w:bidi w:val="0"/>
        <w:snapToGrid w:val="0"/>
        <w:spacing w:line="360" w:lineRule="auto"/>
        <w:ind w:left="526" w:leftChars="245" w:hanging="12" w:hangingChars="5"/>
        <w:outlineLvl w:val="9"/>
        <w:rPr>
          <w:rFonts w:ascii="宋体" w:hAnsi="宋体"/>
          <w:color w:val="auto"/>
          <w:sz w:val="24"/>
          <w:szCs w:val="24"/>
          <w:highlight w:val="none"/>
        </w:rPr>
      </w:pPr>
      <w:r>
        <w:rPr>
          <w:rFonts w:hint="eastAsia" w:ascii="宋体" w:hAnsi="宋体"/>
          <w:color w:val="auto"/>
          <w:sz w:val="24"/>
          <w:szCs w:val="24"/>
          <w:highlight w:val="none"/>
        </w:rPr>
        <w:t>⑴违反本合同条款第6.1条第⑴款时，其中违约金由甲方从应付款中扣除。逾期超过约定日期二十日历天不能交付的，甲方可单方解除本合同，乙方应按合同款的百分之五向甲方支付违约金，并追加乙方承提因此造成的损失和相关法律责任。</w:t>
      </w:r>
    </w:p>
    <w:p w14:paraId="7127D64A">
      <w:pPr>
        <w:pageBreakBefore w:val="0"/>
        <w:wordWrap/>
        <w:overflowPunct/>
        <w:bidi w:val="0"/>
        <w:snapToGrid w:val="0"/>
        <w:spacing w:line="360" w:lineRule="auto"/>
        <w:ind w:left="514" w:leftChars="245"/>
        <w:outlineLvl w:val="9"/>
        <w:rPr>
          <w:rFonts w:ascii="宋体" w:hAnsi="宋体"/>
          <w:color w:val="auto"/>
          <w:sz w:val="24"/>
          <w:szCs w:val="24"/>
          <w:highlight w:val="none"/>
        </w:rPr>
      </w:pPr>
      <w:r>
        <w:rPr>
          <w:rFonts w:hint="eastAsia" w:ascii="宋体" w:hAnsi="宋体"/>
          <w:color w:val="auto"/>
          <w:sz w:val="24"/>
          <w:szCs w:val="24"/>
          <w:highlight w:val="none"/>
        </w:rPr>
        <w:t>⑵违反本合同条款第6.1条第⑵款时；一是甲方有权要求更换材料。而乙方愿意更换材料但逾期交货而造成交付延期的，则按乙方逾期交付处理；二是乙方拒绝更换材料的，甲方可单方面解除合同，并要求乙方承担甲方因此造成的损失及相关法律责任；三是甲方也可以有权拒绝接受材料，甲方有权单方中止合同，并追加乙方承担因此造成的损失和相关法律责任。</w:t>
      </w:r>
    </w:p>
    <w:p w14:paraId="2054CE1E">
      <w:pPr>
        <w:pageBreakBefore w:val="0"/>
        <w:wordWrap/>
        <w:overflowPunct/>
        <w:bidi w:val="0"/>
        <w:snapToGrid w:val="0"/>
        <w:spacing w:line="360" w:lineRule="auto"/>
        <w:ind w:left="479" w:leftChars="228"/>
        <w:outlineLvl w:val="9"/>
        <w:rPr>
          <w:rFonts w:ascii="宋体" w:hAnsi="宋体"/>
          <w:color w:val="auto"/>
          <w:sz w:val="24"/>
          <w:szCs w:val="24"/>
          <w:highlight w:val="none"/>
        </w:rPr>
      </w:pPr>
      <w:r>
        <w:rPr>
          <w:rFonts w:hint="eastAsia" w:ascii="宋体" w:hAnsi="宋体"/>
          <w:color w:val="auto"/>
          <w:sz w:val="24"/>
          <w:szCs w:val="24"/>
          <w:highlight w:val="none"/>
        </w:rPr>
        <w:t>⑶违反本合同条款第6.1条第⑶-⑹款时，甲方有权单方中止合同，并追加乙方承担因此造成的损失及相关法律责任。</w:t>
      </w:r>
    </w:p>
    <w:p w14:paraId="70742AD7">
      <w:pPr>
        <w:pageBreakBefore w:val="0"/>
        <w:wordWrap/>
        <w:overflowPunct/>
        <w:bidi w:val="0"/>
        <w:snapToGrid w:val="0"/>
        <w:spacing w:line="360" w:lineRule="auto"/>
        <w:ind w:left="479" w:leftChars="228"/>
        <w:outlineLvl w:val="9"/>
        <w:rPr>
          <w:rFonts w:ascii="宋体" w:hAnsi="宋体"/>
          <w:color w:val="auto"/>
          <w:sz w:val="24"/>
          <w:szCs w:val="24"/>
          <w:highlight w:val="none"/>
        </w:rPr>
      </w:pPr>
      <w:r>
        <w:rPr>
          <w:rFonts w:hint="eastAsia" w:ascii="宋体" w:hAnsi="宋体"/>
          <w:color w:val="auto"/>
          <w:sz w:val="24"/>
          <w:szCs w:val="24"/>
          <w:highlight w:val="none"/>
        </w:rPr>
        <w:t>⑷因乙方的违约行为导致甲方单方解除合同的，乙方应要承担相应的法律责任。而因乙方违约行为此造成的损失超出由乙方继续承担赔偿责任。</w:t>
      </w:r>
    </w:p>
    <w:p w14:paraId="339C610F">
      <w:pPr>
        <w:pageBreakBefore w:val="0"/>
        <w:wordWrap/>
        <w:overflowPunct/>
        <w:bidi w:val="0"/>
        <w:snapToGrid w:val="0"/>
        <w:spacing w:line="360" w:lineRule="auto"/>
        <w:ind w:left="630" w:hanging="630"/>
        <w:outlineLvl w:val="9"/>
        <w:rPr>
          <w:rFonts w:ascii="宋体" w:hAnsi="宋体"/>
          <w:color w:val="auto"/>
          <w:sz w:val="24"/>
          <w:szCs w:val="24"/>
          <w:highlight w:val="none"/>
        </w:rPr>
      </w:pPr>
      <w:r>
        <w:rPr>
          <w:rFonts w:hint="eastAsia" w:ascii="宋体" w:hAnsi="宋体"/>
          <w:color w:val="auto"/>
          <w:sz w:val="24"/>
          <w:szCs w:val="24"/>
          <w:highlight w:val="none"/>
        </w:rPr>
        <w:t>7.2甲方违反本合同条款第6.2条的，将受到以下制裁：</w:t>
      </w:r>
    </w:p>
    <w:p w14:paraId="1144461B">
      <w:pPr>
        <w:pageBreakBefore w:val="0"/>
        <w:wordWrap/>
        <w:overflowPunct/>
        <w:bidi w:val="0"/>
        <w:snapToGrid w:val="0"/>
        <w:spacing w:line="360" w:lineRule="auto"/>
        <w:ind w:left="630" w:leftChars="300"/>
        <w:outlineLvl w:val="9"/>
        <w:rPr>
          <w:rFonts w:ascii="宋体" w:hAnsi="宋体"/>
          <w:color w:val="auto"/>
          <w:sz w:val="24"/>
          <w:szCs w:val="24"/>
          <w:highlight w:val="none"/>
        </w:rPr>
      </w:pPr>
      <w:r>
        <w:rPr>
          <w:rFonts w:hint="eastAsia" w:ascii="宋体" w:hAnsi="宋体"/>
          <w:color w:val="auto"/>
          <w:sz w:val="24"/>
          <w:szCs w:val="24"/>
          <w:highlight w:val="none"/>
        </w:rPr>
        <w:t>⑴违反本合同条款第6.2条时，甲方应按货款的百分之五向乙方支付违约金。</w:t>
      </w:r>
    </w:p>
    <w:p w14:paraId="0342427E">
      <w:pPr>
        <w:pageBreakBefore w:val="0"/>
        <w:wordWrap/>
        <w:overflowPunct/>
        <w:bidi w:val="0"/>
        <w:snapToGrid w:val="0"/>
        <w:spacing w:line="360" w:lineRule="auto"/>
        <w:ind w:left="630" w:leftChars="300"/>
        <w:outlineLvl w:val="9"/>
        <w:rPr>
          <w:rFonts w:ascii="宋体" w:hAnsi="宋体"/>
          <w:color w:val="auto"/>
          <w:sz w:val="24"/>
          <w:szCs w:val="24"/>
          <w:highlight w:val="none"/>
        </w:rPr>
      </w:pPr>
      <w:r>
        <w:rPr>
          <w:rFonts w:hint="eastAsia" w:ascii="宋体" w:hAnsi="宋体"/>
          <w:color w:val="auto"/>
          <w:sz w:val="24"/>
          <w:szCs w:val="24"/>
          <w:highlight w:val="none"/>
        </w:rPr>
        <w:t>⑵乙方可有权单方面解除本合同，并追加甲方承担因此造成的损失和相关法律责任。</w:t>
      </w:r>
    </w:p>
    <w:p w14:paraId="04C8B070">
      <w:pPr>
        <w:pStyle w:val="2"/>
        <w:numPr>
          <w:ilvl w:val="0"/>
          <w:numId w:val="0"/>
        </w:numPr>
        <w:ind w:leftChars="0"/>
        <w:rPr>
          <w:rFonts w:hint="default" w:ascii="宋体" w:hAnsi="宋体" w:eastAsia="宋体" w:cs="Times New Roman"/>
          <w:b/>
          <w:bCs/>
          <w:color w:val="auto"/>
          <w:sz w:val="24"/>
          <w:szCs w:val="24"/>
          <w:highlight w:val="none"/>
          <w:u w:color="000000"/>
          <w:lang w:val="en-US" w:eastAsia="zh-CN" w:bidi="ar-SA"/>
        </w:rPr>
      </w:pPr>
      <w:r>
        <w:rPr>
          <w:rFonts w:hint="eastAsia" w:ascii="宋体" w:hAnsi="宋体" w:eastAsia="宋体" w:cs="Times New Roman"/>
          <w:b/>
          <w:bCs/>
          <w:color w:val="auto"/>
          <w:sz w:val="24"/>
          <w:szCs w:val="24"/>
          <w:highlight w:val="none"/>
          <w:u w:color="000000"/>
          <w:lang w:val="en-US" w:eastAsia="zh-CN" w:bidi="ar-SA"/>
        </w:rPr>
        <w:t>8.</w:t>
      </w:r>
      <w:r>
        <w:rPr>
          <w:rFonts w:hint="default" w:ascii="宋体" w:hAnsi="宋体" w:eastAsia="宋体" w:cs="Times New Roman"/>
          <w:b/>
          <w:bCs/>
          <w:color w:val="auto"/>
          <w:sz w:val="24"/>
          <w:szCs w:val="24"/>
          <w:highlight w:val="none"/>
          <w:u w:color="000000"/>
          <w:lang w:val="en-US" w:eastAsia="zh-CN" w:bidi="ar-SA"/>
        </w:rPr>
        <w:t>合同价款及付款方式</w:t>
      </w:r>
    </w:p>
    <w:p w14:paraId="4BF35A9E">
      <w:pPr>
        <w:pStyle w:val="2"/>
        <w:numPr>
          <w:ilvl w:val="0"/>
          <w:numId w:val="0"/>
        </w:numPr>
        <w:ind w:leftChars="0"/>
        <w:rPr>
          <w:rFonts w:hint="eastAsia" w:ascii="宋体" w:hAnsi="宋体" w:cs="Times New Roman"/>
          <w:color w:val="auto"/>
          <w:sz w:val="24"/>
          <w:szCs w:val="24"/>
          <w:highlight w:val="none"/>
          <w:u w:color="000000"/>
          <w:lang w:val="en-US" w:eastAsia="zh-CN" w:bidi="ar-SA"/>
        </w:rPr>
      </w:pPr>
      <w:r>
        <w:rPr>
          <w:rFonts w:hint="default" w:ascii="宋体" w:hAnsi="宋体" w:eastAsia="宋体" w:cs="Times New Roman"/>
          <w:color w:val="auto"/>
          <w:sz w:val="24"/>
          <w:szCs w:val="24"/>
          <w:highlight w:val="none"/>
          <w:u w:color="000000"/>
          <w:lang w:val="en-US" w:eastAsia="zh-CN" w:bidi="ar-SA"/>
        </w:rPr>
        <w:t>8.1合同单价（含税）按照三门峡供料期间，三门峡市定额站发布的202</w:t>
      </w:r>
      <w:r>
        <w:rPr>
          <w:rFonts w:hint="eastAsia" w:ascii="宋体" w:hAnsi="宋体" w:cs="Times New Roman"/>
          <w:color w:val="auto"/>
          <w:sz w:val="24"/>
          <w:szCs w:val="24"/>
          <w:highlight w:val="none"/>
          <w:u w:color="000000"/>
          <w:lang w:val="en-US" w:eastAsia="zh-CN" w:bidi="ar-SA"/>
        </w:rPr>
        <w:t>6</w:t>
      </w:r>
      <w:r>
        <w:rPr>
          <w:rFonts w:hint="default" w:ascii="宋体" w:hAnsi="宋体" w:eastAsia="宋体" w:cs="Times New Roman"/>
          <w:color w:val="auto"/>
          <w:sz w:val="24"/>
          <w:szCs w:val="24"/>
          <w:highlight w:val="none"/>
          <w:u w:color="000000"/>
          <w:lang w:val="en-US" w:eastAsia="zh-CN" w:bidi="ar-SA"/>
        </w:rPr>
        <w:t>年当期《三门峡工程标准造价信息》中沥青混凝土当期信息价的</w:t>
      </w:r>
      <w:r>
        <w:rPr>
          <w:rFonts w:hint="eastAsia" w:ascii="宋体" w:hAnsi="宋体" w:cs="Times New Roman"/>
          <w:color w:val="auto"/>
          <w:sz w:val="24"/>
          <w:szCs w:val="24"/>
          <w:highlight w:val="none"/>
          <w:u w:color="000000"/>
          <w:lang w:val="en-US" w:eastAsia="zh-CN" w:bidi="ar-SA"/>
        </w:rPr>
        <w:t xml:space="preserve">    </w:t>
      </w:r>
      <w:r>
        <w:rPr>
          <w:rFonts w:hint="default" w:ascii="宋体" w:hAnsi="宋体" w:eastAsia="宋体" w:cs="Times New Roman"/>
          <w:color w:val="auto"/>
          <w:sz w:val="24"/>
          <w:szCs w:val="24"/>
          <w:highlight w:val="none"/>
          <w:u w:color="000000"/>
          <w:lang w:val="en-US" w:eastAsia="zh-CN" w:bidi="ar-SA"/>
        </w:rPr>
        <w:t>为准</w:t>
      </w:r>
      <w:r>
        <w:rPr>
          <w:rFonts w:hint="eastAsia" w:ascii="宋体" w:hAnsi="宋体" w:cs="Times New Roman"/>
          <w:color w:val="auto"/>
          <w:sz w:val="24"/>
          <w:szCs w:val="24"/>
          <w:highlight w:val="none"/>
          <w:u w:color="000000"/>
          <w:lang w:val="en-US" w:eastAsia="zh-CN" w:bidi="ar-SA"/>
        </w:rPr>
        <w:t>。</w:t>
      </w:r>
    </w:p>
    <w:p w14:paraId="0C87E2E2">
      <w:pPr>
        <w:pStyle w:val="2"/>
        <w:numPr>
          <w:ilvl w:val="0"/>
          <w:numId w:val="0"/>
        </w:numPr>
        <w:ind w:leftChars="0"/>
        <w:rPr>
          <w:rFonts w:hint="default" w:ascii="宋体" w:hAnsi="宋体" w:cs="Times New Roman"/>
          <w:color w:val="auto"/>
          <w:sz w:val="24"/>
          <w:szCs w:val="24"/>
          <w:highlight w:val="none"/>
          <w:u w:color="000000"/>
          <w:lang w:val="en-US" w:eastAsia="zh-CN" w:bidi="ar-SA"/>
        </w:rPr>
      </w:pPr>
      <w:r>
        <w:rPr>
          <w:rFonts w:hint="default" w:ascii="宋体" w:hAnsi="宋体" w:cs="Times New Roman"/>
          <w:color w:val="auto"/>
          <w:sz w:val="24"/>
          <w:szCs w:val="24"/>
          <w:highlight w:val="none"/>
          <w:u w:color="000000"/>
          <w:lang w:val="en-US" w:eastAsia="zh-CN" w:bidi="ar-SA"/>
        </w:rPr>
        <w:t>8.2产品到达工地后，经物理性能检测和化学分析检测均符合国家相关标准后，用于施工现场。8.3甲乙双方每月根据双方签字确认的过磅单以及工程现场各方材料签证单作为结算依据，结算后甲方财务部门开具核算清单，乙方按结算清单提供全额等值正规发票后，向甲方申请资金。待财政拨付资金后，根据资金情况，按比例拨付。8.4材料价格根据市场原材料价格浮动（附书面申请）。</w:t>
      </w:r>
    </w:p>
    <w:p w14:paraId="288F7A5E">
      <w:pPr>
        <w:pStyle w:val="2"/>
        <w:numPr>
          <w:ilvl w:val="0"/>
          <w:numId w:val="0"/>
        </w:numPr>
        <w:ind w:left="0" w:leftChars="0" w:firstLine="0" w:firstLineChars="0"/>
        <w:rPr>
          <w:rFonts w:hint="default" w:ascii="宋体" w:hAnsi="宋体" w:eastAsia="宋体" w:cs="Times New Roman"/>
          <w:b/>
          <w:bCs/>
          <w:color w:val="auto"/>
          <w:sz w:val="24"/>
          <w:szCs w:val="24"/>
          <w:highlight w:val="none"/>
          <w:u w:color="000000"/>
          <w:lang w:val="en-US" w:eastAsia="zh-CN" w:bidi="ar-SA"/>
        </w:rPr>
      </w:pPr>
      <w:r>
        <w:rPr>
          <w:rFonts w:hint="default" w:ascii="宋体" w:hAnsi="宋体" w:eastAsia="宋体" w:cs="Times New Roman"/>
          <w:b/>
          <w:bCs/>
          <w:color w:val="auto"/>
          <w:sz w:val="24"/>
          <w:szCs w:val="24"/>
          <w:highlight w:val="none"/>
          <w:u w:color="000000"/>
          <w:lang w:val="en-US" w:eastAsia="zh-CN" w:bidi="ar-SA"/>
        </w:rPr>
        <w:t>9.补充协议</w:t>
      </w:r>
    </w:p>
    <w:p w14:paraId="5069F64A">
      <w:pPr>
        <w:pStyle w:val="2"/>
        <w:numPr>
          <w:ilvl w:val="0"/>
          <w:numId w:val="0"/>
        </w:numPr>
        <w:ind w:leftChars="0" w:firstLine="240" w:firstLineChars="100"/>
        <w:rPr>
          <w:rFonts w:hint="default" w:ascii="宋体" w:hAnsi="宋体" w:cs="Times New Roman"/>
          <w:color w:val="auto"/>
          <w:sz w:val="24"/>
          <w:szCs w:val="24"/>
          <w:highlight w:val="none"/>
          <w:u w:color="000000"/>
          <w:lang w:val="en-US" w:eastAsia="zh-CN" w:bidi="ar-SA"/>
        </w:rPr>
      </w:pPr>
      <w:r>
        <w:rPr>
          <w:rFonts w:hint="default" w:ascii="宋体" w:hAnsi="宋体" w:cs="Times New Roman"/>
          <w:color w:val="auto"/>
          <w:sz w:val="24"/>
          <w:szCs w:val="24"/>
          <w:highlight w:val="none"/>
          <w:u w:color="000000"/>
          <w:lang w:val="en-US" w:eastAsia="zh-CN" w:bidi="ar-SA"/>
        </w:rPr>
        <w:t>合同未尽事宜，合同当事人另行签订补充协议，补充协议是合同的组成部分。10．合同生效</w:t>
      </w:r>
    </w:p>
    <w:p w14:paraId="66743404">
      <w:pPr>
        <w:pageBreakBefore w:val="0"/>
        <w:wordWrap/>
        <w:overflowPunct/>
        <w:bidi w:val="0"/>
        <w:snapToGrid w:val="0"/>
        <w:spacing w:line="360" w:lineRule="auto"/>
        <w:ind w:left="630" w:hanging="630"/>
        <w:outlineLvl w:val="9"/>
        <w:rPr>
          <w:rFonts w:ascii="宋体" w:hAnsi="宋体"/>
          <w:b/>
          <w:bCs/>
          <w:color w:val="auto"/>
          <w:sz w:val="24"/>
          <w:szCs w:val="24"/>
          <w:highlight w:val="none"/>
        </w:rPr>
      </w:pP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合同生效</w:t>
      </w:r>
    </w:p>
    <w:p w14:paraId="12FC709F">
      <w:pPr>
        <w:pageBreakBefore w:val="0"/>
        <w:wordWrap/>
        <w:overflowPunct/>
        <w:bidi w:val="0"/>
        <w:snapToGrid w:val="0"/>
        <w:spacing w:line="360" w:lineRule="auto"/>
        <w:ind w:left="755" w:leftChars="1" w:hanging="753" w:hangingChars="314"/>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本合同一式</w:t>
      </w:r>
      <w:r>
        <w:rPr>
          <w:rFonts w:hint="eastAsia" w:ascii="宋体" w:hAnsi="宋体"/>
          <w:color w:val="auto"/>
          <w:sz w:val="24"/>
          <w:szCs w:val="24"/>
          <w:highlight w:val="none"/>
        </w:rPr>
        <w:t xml:space="preserve"> 份，均具有同等法律效力，甲方执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份，乙方执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份。</w:t>
      </w:r>
    </w:p>
    <w:p w14:paraId="79793E34">
      <w:pPr>
        <w:pageBreakBefore w:val="0"/>
        <w:wordWrap/>
        <w:overflowPunct/>
        <w:bidi w:val="0"/>
        <w:snapToGrid w:val="0"/>
        <w:spacing w:line="360" w:lineRule="auto"/>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.2   本合同经双方法定代表人或委托代理人签字盖章后立即生效。</w:t>
      </w:r>
    </w:p>
    <w:p w14:paraId="3B5444CE">
      <w:pPr>
        <w:pStyle w:val="2"/>
        <w:pageBreakBefore w:val="0"/>
        <w:wordWrap/>
        <w:overflowPunct/>
        <w:bidi w:val="0"/>
        <w:spacing w:line="360" w:lineRule="auto"/>
        <w:ind w:firstLine="480" w:firstLineChars="200"/>
        <w:outlineLvl w:val="9"/>
        <w:rPr>
          <w:rFonts w:ascii="宋体" w:hAnsi="宋体"/>
          <w:color w:val="auto"/>
          <w:sz w:val="24"/>
          <w:szCs w:val="24"/>
          <w:highlight w:val="none"/>
        </w:rPr>
      </w:pPr>
    </w:p>
    <w:p w14:paraId="2AE06CAD">
      <w:pPr>
        <w:pStyle w:val="2"/>
        <w:pageBreakBefore w:val="0"/>
        <w:wordWrap/>
        <w:overflowPunct/>
        <w:bidi w:val="0"/>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委托人（盖章）：                      受托人（盖章）：</w:t>
      </w:r>
    </w:p>
    <w:p w14:paraId="7EB5FA84">
      <w:pPr>
        <w:pStyle w:val="2"/>
        <w:pageBreakBefore w:val="0"/>
        <w:wordWrap/>
        <w:overflowPunct/>
        <w:bidi w:val="0"/>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法定代表人（签字或盖章）：            法定代表人（签字或盖章）：</w:t>
      </w:r>
    </w:p>
    <w:p w14:paraId="265899B5">
      <w:pPr>
        <w:pStyle w:val="2"/>
        <w:pageBreakBefore w:val="0"/>
        <w:wordWrap/>
        <w:overflowPunct/>
        <w:bidi w:val="0"/>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授权代理人（签字或盖章）：            授权代理人（签字或盖章）：</w:t>
      </w:r>
    </w:p>
    <w:p w14:paraId="300D830E">
      <w:pPr>
        <w:pStyle w:val="2"/>
        <w:pageBreakBefore w:val="0"/>
        <w:wordWrap/>
        <w:overflowPunct/>
        <w:bidi w:val="0"/>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单位地址：                            单位地址：</w:t>
      </w:r>
    </w:p>
    <w:p w14:paraId="116982CF">
      <w:pPr>
        <w:pStyle w:val="2"/>
        <w:pageBreakBefore w:val="0"/>
        <w:wordWrap/>
        <w:overflowPunct/>
        <w:bidi w:val="0"/>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邮政编码：                            邮政编码：</w:t>
      </w:r>
    </w:p>
    <w:p w14:paraId="17CC070F">
      <w:pPr>
        <w:pStyle w:val="2"/>
        <w:pageBreakBefore w:val="0"/>
        <w:wordWrap/>
        <w:overflowPunct/>
        <w:bidi w:val="0"/>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 xml:space="preserve">联系电话：                            联系电话： </w:t>
      </w:r>
    </w:p>
    <w:p w14:paraId="09378559">
      <w:pPr>
        <w:pStyle w:val="2"/>
        <w:pageBreakBefore w:val="0"/>
        <w:wordWrap/>
        <w:overflowPunct/>
        <w:bidi w:val="0"/>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 xml:space="preserve">传    真：                            传    真： </w:t>
      </w:r>
    </w:p>
    <w:p w14:paraId="320351F8">
      <w:pPr>
        <w:pStyle w:val="2"/>
        <w:pageBreakBefore w:val="0"/>
        <w:wordWrap/>
        <w:overflowPunct/>
        <w:bidi w:val="0"/>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电子信箱：                            电子信箱：</w:t>
      </w:r>
    </w:p>
    <w:p w14:paraId="446C5822">
      <w:pPr>
        <w:pageBreakBefore w:val="0"/>
        <w:wordWrap/>
        <w:overflowPunct/>
        <w:bidi w:val="0"/>
        <w:spacing w:line="360" w:lineRule="auto"/>
        <w:rPr>
          <w:rFonts w:ascii="宋体" w:hAnsi="宋体"/>
          <w:color w:val="auto"/>
          <w:highlight w:val="none"/>
        </w:rPr>
      </w:pPr>
    </w:p>
    <w:p w14:paraId="0B7DDD4E">
      <w:pPr>
        <w:pageBreakBefore w:val="0"/>
        <w:wordWrap/>
        <w:overflowPunct/>
        <w:bidi w:val="0"/>
        <w:spacing w:line="360" w:lineRule="auto"/>
        <w:jc w:val="left"/>
        <w:textAlignment w:val="auto"/>
        <w:rPr>
          <w:rFonts w:ascii="宋体" w:hAnsi="宋体"/>
          <w:color w:val="auto"/>
          <w:highlight w:val="none"/>
        </w:rPr>
      </w:pPr>
      <w:r>
        <w:rPr>
          <w:rFonts w:ascii="宋体" w:hAnsi="宋体"/>
          <w:color w:val="auto"/>
          <w:highlight w:val="none"/>
        </w:rPr>
        <w:br w:type="page"/>
      </w:r>
    </w:p>
    <w:p w14:paraId="69D77526">
      <w:pPr>
        <w:pageBreakBefore w:val="0"/>
        <w:wordWrap/>
        <w:overflowPunct/>
        <w:bidi w:val="0"/>
        <w:spacing w:line="360" w:lineRule="auto"/>
        <w:jc w:val="center"/>
        <w:outlineLvl w:val="0"/>
        <w:rPr>
          <w:rFonts w:hint="eastAsia"/>
          <w:b/>
          <w:bCs/>
          <w:sz w:val="44"/>
          <w:szCs w:val="40"/>
          <w:highlight w:val="none"/>
        </w:rPr>
      </w:pPr>
      <w:bookmarkStart w:id="216" w:name="_Toc20044"/>
      <w:bookmarkStart w:id="217" w:name="_Toc16394"/>
      <w:r>
        <w:rPr>
          <w:rFonts w:hint="eastAsia"/>
          <w:b/>
          <w:bCs/>
          <w:sz w:val="44"/>
          <w:szCs w:val="40"/>
          <w:highlight w:val="none"/>
        </w:rPr>
        <w:t>第六章</w:t>
      </w:r>
      <w:bookmarkEnd w:id="211"/>
      <w:bookmarkEnd w:id="212"/>
      <w:bookmarkEnd w:id="213"/>
      <w:bookmarkEnd w:id="216"/>
      <w:bookmarkStart w:id="218" w:name="_Toc454525917"/>
      <w:bookmarkStart w:id="219" w:name="_Toc19699"/>
      <w:r>
        <w:rPr>
          <w:rFonts w:hint="eastAsia"/>
          <w:b/>
          <w:bCs/>
          <w:sz w:val="44"/>
          <w:szCs w:val="40"/>
          <w:highlight w:val="none"/>
        </w:rPr>
        <w:t xml:space="preserve"> </w:t>
      </w:r>
      <w:r>
        <w:rPr>
          <w:rFonts w:hint="eastAsia"/>
          <w:b/>
          <w:bCs/>
          <w:sz w:val="44"/>
          <w:szCs w:val="40"/>
          <w:highlight w:val="none"/>
          <w:lang w:val="en-US" w:eastAsia="zh-CN"/>
        </w:rPr>
        <w:t xml:space="preserve"> </w:t>
      </w:r>
      <w:r>
        <w:rPr>
          <w:rFonts w:hint="eastAsia"/>
          <w:b/>
          <w:bCs/>
          <w:sz w:val="44"/>
          <w:szCs w:val="40"/>
          <w:highlight w:val="none"/>
        </w:rPr>
        <w:t>投标文件格式</w:t>
      </w:r>
      <w:bookmarkEnd w:id="214"/>
      <w:bookmarkEnd w:id="215"/>
      <w:bookmarkEnd w:id="217"/>
      <w:bookmarkEnd w:id="218"/>
      <w:bookmarkEnd w:id="219"/>
    </w:p>
    <w:p w14:paraId="09B633C3">
      <w:pPr>
        <w:pageBreakBefore w:val="0"/>
        <w:wordWrap/>
        <w:overflowPunct/>
        <w:bidi w:val="0"/>
        <w:spacing w:line="360" w:lineRule="auto"/>
        <w:rPr>
          <w:rFonts w:ascii="宋体" w:hAnsi="宋体"/>
          <w:color w:val="auto"/>
          <w:highlight w:val="none"/>
        </w:rPr>
      </w:pPr>
    </w:p>
    <w:p w14:paraId="60C93659">
      <w:pPr>
        <w:pStyle w:val="8"/>
        <w:pageBreakBefore w:val="0"/>
        <w:wordWrap/>
        <w:overflowPunct/>
        <w:bidi w:val="0"/>
        <w:spacing w:line="360" w:lineRule="auto"/>
        <w:jc w:val="center"/>
        <w:rPr>
          <w:rFonts w:hint="eastAsia" w:hAnsi="宋体" w:eastAsia="宋体"/>
          <w:b/>
          <w:color w:val="auto"/>
          <w:sz w:val="72"/>
          <w:highlight w:val="none"/>
          <w:lang w:eastAsia="zh-CN"/>
        </w:rPr>
      </w:pPr>
      <w:r>
        <w:rPr>
          <w:rFonts w:hint="eastAsia" w:hAnsi="宋体" w:eastAsia="宋体" w:cs="宋体"/>
          <w:b/>
          <w:color w:val="auto"/>
          <w:kern w:val="36"/>
          <w:sz w:val="36"/>
          <w:szCs w:val="36"/>
          <w:highlight w:val="none"/>
          <w:lang w:eastAsia="zh-CN"/>
        </w:rPr>
        <w:t>三门峡市城市建设发展服务中心2026年度城市道路维护抢险作业沥青混凝土材料采购项目</w:t>
      </w:r>
    </w:p>
    <w:p w14:paraId="3407807E">
      <w:pPr>
        <w:pageBreakBefore w:val="0"/>
        <w:wordWrap/>
        <w:overflowPunct/>
        <w:bidi w:val="0"/>
        <w:spacing w:line="360" w:lineRule="auto"/>
        <w:jc w:val="center"/>
        <w:rPr>
          <w:rFonts w:hint="eastAsia" w:ascii="宋体" w:hAnsi="宋体"/>
          <w:color w:val="auto"/>
          <w:sz w:val="72"/>
          <w:szCs w:val="72"/>
          <w:highlight w:val="none"/>
        </w:rPr>
      </w:pPr>
      <w:bookmarkStart w:id="220" w:name="_Toc380589625"/>
    </w:p>
    <w:p w14:paraId="2236ECAB">
      <w:pPr>
        <w:pageBreakBefore w:val="0"/>
        <w:wordWrap/>
        <w:overflowPunct/>
        <w:bidi w:val="0"/>
        <w:spacing w:line="360" w:lineRule="auto"/>
        <w:jc w:val="center"/>
        <w:rPr>
          <w:rFonts w:ascii="宋体" w:hAnsi="宋体"/>
          <w:color w:val="auto"/>
          <w:sz w:val="72"/>
          <w:szCs w:val="72"/>
          <w:highlight w:val="none"/>
        </w:rPr>
      </w:pPr>
      <w:r>
        <w:rPr>
          <w:rFonts w:hint="eastAsia" w:ascii="宋体" w:hAnsi="宋体"/>
          <w:color w:val="auto"/>
          <w:sz w:val="72"/>
          <w:szCs w:val="72"/>
          <w:highlight w:val="none"/>
        </w:rPr>
        <w:t>投 标 文 件</w:t>
      </w:r>
      <w:bookmarkEnd w:id="220"/>
    </w:p>
    <w:p w14:paraId="24741C0E">
      <w:pPr>
        <w:pageBreakBefore w:val="0"/>
        <w:wordWrap/>
        <w:overflowPunct/>
        <w:bidi w:val="0"/>
        <w:spacing w:line="360" w:lineRule="auto"/>
        <w:ind w:firstLine="2570" w:firstLineChars="1071"/>
        <w:rPr>
          <w:rFonts w:hint="eastAsia" w:ascii="宋体" w:hAnsi="宋体"/>
          <w:color w:val="auto"/>
          <w:sz w:val="24"/>
          <w:szCs w:val="24"/>
          <w:highlight w:val="none"/>
        </w:rPr>
      </w:pPr>
    </w:p>
    <w:p w14:paraId="30222B06">
      <w:pPr>
        <w:pageBreakBefore w:val="0"/>
        <w:wordWrap/>
        <w:overflowPunct/>
        <w:bidi w:val="0"/>
        <w:spacing w:line="360" w:lineRule="auto"/>
        <w:ind w:firstLine="2570" w:firstLineChars="1071"/>
        <w:rPr>
          <w:rFonts w:ascii="宋体" w:hAnsi="宋体"/>
          <w:color w:val="auto"/>
          <w:sz w:val="24"/>
          <w:szCs w:val="24"/>
          <w:highlight w:val="none"/>
          <w:u w:val="single"/>
        </w:rPr>
      </w:pPr>
      <w:r>
        <w:rPr>
          <w:rFonts w:hint="eastAsia" w:ascii="宋体" w:hAnsi="宋体"/>
          <w:color w:val="auto"/>
          <w:sz w:val="24"/>
          <w:szCs w:val="24"/>
          <w:highlight w:val="none"/>
        </w:rPr>
        <w:t>项目编号：</w:t>
      </w:r>
    </w:p>
    <w:p w14:paraId="29D942EC">
      <w:pPr>
        <w:pageBreakBefore w:val="0"/>
        <w:wordWrap/>
        <w:overflowPunct/>
        <w:bidi w:val="0"/>
        <w:spacing w:line="360" w:lineRule="auto"/>
        <w:jc w:val="center"/>
        <w:rPr>
          <w:rFonts w:ascii="宋体" w:hAnsi="宋体"/>
          <w:color w:val="auto"/>
          <w:sz w:val="24"/>
          <w:highlight w:val="none"/>
        </w:rPr>
      </w:pPr>
    </w:p>
    <w:p w14:paraId="0EE924FD">
      <w:pPr>
        <w:pStyle w:val="8"/>
        <w:pageBreakBefore w:val="0"/>
        <w:wordWrap/>
        <w:overflowPunct/>
        <w:bidi w:val="0"/>
        <w:spacing w:line="360" w:lineRule="auto"/>
        <w:jc w:val="center"/>
        <w:rPr>
          <w:rFonts w:hAnsi="宋体" w:eastAsia="宋体"/>
          <w:b/>
          <w:color w:val="auto"/>
          <w:highlight w:val="none"/>
        </w:rPr>
      </w:pPr>
    </w:p>
    <w:p w14:paraId="213CBBCE">
      <w:pPr>
        <w:pageBreakBefore w:val="0"/>
        <w:wordWrap/>
        <w:overflowPunct/>
        <w:bidi w:val="0"/>
        <w:spacing w:line="360" w:lineRule="auto"/>
        <w:rPr>
          <w:rFonts w:ascii="宋体" w:hAnsi="宋体"/>
          <w:color w:val="auto"/>
          <w:sz w:val="24"/>
          <w:szCs w:val="24"/>
          <w:highlight w:val="none"/>
        </w:rPr>
      </w:pPr>
    </w:p>
    <w:p w14:paraId="31FD82A9">
      <w:pPr>
        <w:pageBreakBefore w:val="0"/>
        <w:wordWrap/>
        <w:overflowPunct/>
        <w:bidi w:val="0"/>
        <w:spacing w:line="360" w:lineRule="auto"/>
        <w:ind w:left="1365" w:leftChars="650"/>
        <w:rPr>
          <w:rFonts w:ascii="宋体" w:hAnsi="宋体"/>
          <w:color w:val="auto"/>
          <w:sz w:val="24"/>
          <w:szCs w:val="24"/>
          <w:highlight w:val="none"/>
        </w:rPr>
      </w:pPr>
    </w:p>
    <w:p w14:paraId="658A6968">
      <w:pPr>
        <w:pageBreakBefore w:val="0"/>
        <w:wordWrap/>
        <w:overflowPunct/>
        <w:bidi w:val="0"/>
        <w:spacing w:line="360" w:lineRule="auto"/>
        <w:ind w:left="1365" w:leftChars="650"/>
        <w:rPr>
          <w:rFonts w:ascii="宋体" w:hAnsi="宋体"/>
          <w:color w:val="auto"/>
          <w:sz w:val="24"/>
          <w:szCs w:val="24"/>
          <w:highlight w:val="none"/>
        </w:rPr>
      </w:pPr>
    </w:p>
    <w:p w14:paraId="09FA96B9">
      <w:pPr>
        <w:pageBreakBefore w:val="0"/>
        <w:wordWrap/>
        <w:overflowPunct/>
        <w:bidi w:val="0"/>
        <w:spacing w:line="360" w:lineRule="auto"/>
        <w:ind w:left="1365" w:leftChars="650"/>
        <w:rPr>
          <w:rFonts w:ascii="宋体" w:hAnsi="宋体"/>
          <w:color w:val="auto"/>
          <w:sz w:val="24"/>
          <w:szCs w:val="24"/>
          <w:highlight w:val="none"/>
        </w:rPr>
      </w:pPr>
    </w:p>
    <w:p w14:paraId="6D74E5CF">
      <w:pPr>
        <w:pageBreakBefore w:val="0"/>
        <w:wordWrap/>
        <w:overflowPunct/>
        <w:bidi w:val="0"/>
        <w:spacing w:line="360" w:lineRule="auto"/>
        <w:ind w:left="1365" w:leftChars="650"/>
        <w:rPr>
          <w:rFonts w:ascii="宋体" w:hAnsi="宋体"/>
          <w:color w:val="auto"/>
          <w:sz w:val="24"/>
          <w:szCs w:val="24"/>
          <w:highlight w:val="none"/>
        </w:rPr>
      </w:pPr>
    </w:p>
    <w:p w14:paraId="38A135A7">
      <w:pPr>
        <w:pageBreakBefore w:val="0"/>
        <w:wordWrap/>
        <w:overflowPunct/>
        <w:bidi w:val="0"/>
        <w:spacing w:line="360" w:lineRule="auto"/>
        <w:ind w:left="1365" w:leftChars="650" w:firstLine="600" w:firstLineChars="250"/>
        <w:rPr>
          <w:rFonts w:ascii="宋体" w:hAnsi="宋体"/>
          <w:color w:val="auto"/>
          <w:sz w:val="24"/>
          <w:szCs w:val="24"/>
          <w:highlight w:val="none"/>
        </w:rPr>
      </w:pPr>
      <w:r>
        <w:rPr>
          <w:rFonts w:hint="eastAsia" w:ascii="宋体" w:hAnsi="宋体"/>
          <w:color w:val="auto"/>
          <w:sz w:val="24"/>
          <w:szCs w:val="24"/>
          <w:highlight w:val="none"/>
        </w:rPr>
        <w:t>供应商：（单位电子</w:t>
      </w:r>
      <w:r>
        <w:rPr>
          <w:rFonts w:hint="eastAsia" w:ascii="宋体" w:hAnsi="宋体"/>
          <w:color w:val="auto"/>
          <w:sz w:val="24"/>
          <w:szCs w:val="24"/>
          <w:highlight w:val="none"/>
          <w:lang w:val="en-US" w:eastAsia="zh-CN"/>
        </w:rPr>
        <w:t>公</w:t>
      </w:r>
      <w:r>
        <w:rPr>
          <w:rFonts w:hint="eastAsia" w:ascii="宋体" w:hAnsi="宋体"/>
          <w:color w:val="auto"/>
          <w:sz w:val="24"/>
          <w:szCs w:val="24"/>
          <w:highlight w:val="none"/>
        </w:rPr>
        <w:t>章）</w:t>
      </w:r>
    </w:p>
    <w:p w14:paraId="1B942076">
      <w:pPr>
        <w:pageBreakBefore w:val="0"/>
        <w:wordWrap/>
        <w:overflowPunct/>
        <w:bidi w:val="0"/>
        <w:spacing w:line="360" w:lineRule="auto"/>
        <w:ind w:left="1365" w:leftChars="650"/>
        <w:jc w:val="center"/>
        <w:rPr>
          <w:rFonts w:ascii="宋体" w:hAnsi="宋体"/>
          <w:color w:val="auto"/>
          <w:sz w:val="24"/>
          <w:szCs w:val="24"/>
          <w:highlight w:val="none"/>
        </w:rPr>
      </w:pPr>
    </w:p>
    <w:p w14:paraId="1CAE0BB6">
      <w:pPr>
        <w:pageBreakBefore w:val="0"/>
        <w:wordWrap/>
        <w:overflowPunct/>
        <w:bidi w:val="0"/>
        <w:spacing w:line="360" w:lineRule="auto"/>
        <w:ind w:left="1365" w:leftChars="650" w:firstLine="600" w:firstLineChars="250"/>
        <w:rPr>
          <w:rFonts w:ascii="宋体" w:hAnsi="宋体"/>
          <w:color w:val="auto"/>
          <w:sz w:val="24"/>
          <w:szCs w:val="24"/>
          <w:highlight w:val="none"/>
        </w:rPr>
      </w:pPr>
      <w:r>
        <w:rPr>
          <w:rFonts w:hint="eastAsia" w:ascii="宋体" w:hAnsi="宋体"/>
          <w:color w:val="auto"/>
          <w:sz w:val="24"/>
          <w:szCs w:val="24"/>
          <w:highlight w:val="none"/>
        </w:rPr>
        <w:t>法定代表人：（法人电子签章）</w:t>
      </w:r>
    </w:p>
    <w:p w14:paraId="5C040B79">
      <w:pPr>
        <w:pageBreakBefore w:val="0"/>
        <w:wordWrap/>
        <w:overflowPunct/>
        <w:bidi w:val="0"/>
        <w:spacing w:line="360" w:lineRule="auto"/>
        <w:ind w:left="1365" w:leftChars="650" w:firstLine="480" w:firstLineChars="200"/>
        <w:rPr>
          <w:rFonts w:ascii="宋体" w:hAnsi="宋体"/>
          <w:color w:val="auto"/>
          <w:sz w:val="24"/>
          <w:szCs w:val="24"/>
          <w:highlight w:val="none"/>
        </w:rPr>
      </w:pPr>
    </w:p>
    <w:p w14:paraId="2239104D">
      <w:pPr>
        <w:pageBreakBefore w:val="0"/>
        <w:wordWrap/>
        <w:overflowPunct/>
        <w:bidi w:val="0"/>
        <w:spacing w:line="360" w:lineRule="auto"/>
        <w:ind w:left="1365" w:leftChars="650" w:firstLine="600" w:firstLineChars="250"/>
        <w:rPr>
          <w:rFonts w:ascii="宋体" w:hAnsi="宋体"/>
          <w:b/>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ab/>
      </w:r>
      <w:r>
        <w:rPr>
          <w:rFonts w:hint="eastAsia" w:ascii="宋体" w:hAnsi="宋体"/>
          <w:color w:val="auto"/>
          <w:sz w:val="24"/>
          <w:szCs w:val="24"/>
          <w:highlight w:val="none"/>
        </w:rPr>
        <w:t>年月日</w:t>
      </w:r>
    </w:p>
    <w:p w14:paraId="023330AB">
      <w:pPr>
        <w:pStyle w:val="2"/>
        <w:pageBreakBefore w:val="0"/>
        <w:wordWrap/>
        <w:overflowPunct/>
        <w:bidi w:val="0"/>
        <w:spacing w:line="360" w:lineRule="auto"/>
        <w:rPr>
          <w:rFonts w:ascii="宋体" w:hAnsi="宋体"/>
          <w:b/>
          <w:color w:val="auto"/>
          <w:sz w:val="32"/>
          <w:szCs w:val="32"/>
          <w:highlight w:val="none"/>
        </w:rPr>
      </w:pPr>
    </w:p>
    <w:p w14:paraId="00DEC9AC">
      <w:pPr>
        <w:pStyle w:val="14"/>
        <w:pageBreakBefore w:val="0"/>
        <w:wordWrap/>
        <w:overflowPunct/>
        <w:bidi w:val="0"/>
        <w:spacing w:line="360" w:lineRule="auto"/>
        <w:rPr>
          <w:rFonts w:ascii="宋体" w:hAnsi="宋体"/>
          <w:color w:val="auto"/>
          <w:highlight w:val="none"/>
        </w:rPr>
      </w:pPr>
    </w:p>
    <w:p w14:paraId="7DEB6BC7">
      <w:pPr>
        <w:pageBreakBefore w:val="0"/>
        <w:wordWrap/>
        <w:overflowPunct/>
        <w:bidi w:val="0"/>
        <w:spacing w:line="360" w:lineRule="auto"/>
        <w:rPr>
          <w:rFonts w:ascii="宋体" w:hAnsi="宋体"/>
          <w:color w:val="auto"/>
          <w:sz w:val="24"/>
          <w:szCs w:val="24"/>
          <w:highlight w:val="none"/>
        </w:rPr>
      </w:pPr>
      <w:r>
        <w:rPr>
          <w:rFonts w:hint="eastAsia" w:ascii="宋体" w:hAnsi="宋体"/>
          <w:b/>
          <w:color w:val="auto"/>
          <w:sz w:val="32"/>
          <w:szCs w:val="32"/>
          <w:highlight w:val="none"/>
        </w:rPr>
        <w:br w:type="page"/>
      </w:r>
      <w:bookmarkStart w:id="221" w:name="_Toc380589949"/>
      <w:bookmarkStart w:id="222" w:name="_Toc452907950"/>
      <w:bookmarkStart w:id="223" w:name="_Toc2088"/>
      <w:bookmarkStart w:id="224" w:name="_Toc380590003"/>
      <w:bookmarkStart w:id="225" w:name="_Toc380589626"/>
      <w:bookmarkStart w:id="226" w:name="_Toc380589887"/>
    </w:p>
    <w:bookmarkEnd w:id="221"/>
    <w:bookmarkEnd w:id="222"/>
    <w:bookmarkEnd w:id="223"/>
    <w:bookmarkEnd w:id="224"/>
    <w:bookmarkEnd w:id="225"/>
    <w:bookmarkEnd w:id="226"/>
    <w:p w14:paraId="695CD69B">
      <w:pPr>
        <w:keepNext/>
        <w:keepLines/>
        <w:pageBreakBefore w:val="0"/>
        <w:widowControl w:val="0"/>
        <w:wordWrap/>
        <w:overflowPunct/>
        <w:bidi w:val="0"/>
        <w:spacing w:before="260" w:after="260" w:line="360" w:lineRule="auto"/>
        <w:jc w:val="center"/>
        <w:textAlignment w:val="auto"/>
        <w:outlineLvl w:val="9"/>
        <w:rPr>
          <w:rFonts w:hint="eastAsia" w:ascii="宋体" w:hAnsi="宋体" w:cs="仿宋"/>
          <w:b w:val="0"/>
          <w:bCs w:val="0"/>
          <w:kern w:val="2"/>
          <w:sz w:val="24"/>
          <w:szCs w:val="24"/>
          <w:highlight w:val="none"/>
          <w:lang w:val="en-US" w:eastAsia="zh-CN"/>
        </w:rPr>
      </w:pPr>
      <w:bookmarkStart w:id="227" w:name="_Toc13394"/>
      <w:bookmarkStart w:id="228" w:name="_Toc63238018"/>
      <w:bookmarkStart w:id="229" w:name="_Toc452907951"/>
      <w:bookmarkStart w:id="230" w:name="_Toc452708904"/>
      <w:r>
        <w:rPr>
          <w:rFonts w:hint="eastAsia" w:ascii="宋体" w:hAnsi="宋体" w:cs="仿宋"/>
          <w:b w:val="0"/>
          <w:bCs w:val="0"/>
          <w:kern w:val="2"/>
          <w:sz w:val="24"/>
          <w:szCs w:val="24"/>
          <w:highlight w:val="none"/>
          <w:lang w:val="en-US" w:eastAsia="zh-CN"/>
        </w:rPr>
        <w:t>目录</w:t>
      </w:r>
    </w:p>
    <w:p w14:paraId="620A0933">
      <w:pPr>
        <w:pageBreakBefore w:val="0"/>
        <w:wordWrap/>
        <w:overflowPunct/>
        <w:bidi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投标函</w:t>
      </w:r>
    </w:p>
    <w:p w14:paraId="30EEE63F">
      <w:pPr>
        <w:pageBreakBefore w:val="0"/>
        <w:wordWrap/>
        <w:overflowPunct/>
        <w:bidi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开标一览表</w:t>
      </w:r>
    </w:p>
    <w:p w14:paraId="53E8ABA0">
      <w:pPr>
        <w:pageBreakBefore w:val="0"/>
        <w:wordWrap/>
        <w:overflowPunct/>
        <w:bidi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法定代表人身份证明</w:t>
      </w:r>
    </w:p>
    <w:p w14:paraId="5CA9ACD2">
      <w:pPr>
        <w:pageBreakBefore w:val="0"/>
        <w:wordWrap/>
        <w:overflowPunct/>
        <w:bidi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授权委托书</w:t>
      </w:r>
    </w:p>
    <w:p w14:paraId="3F59E028">
      <w:pPr>
        <w:pageBreakBefore w:val="0"/>
        <w:wordWrap/>
        <w:overflowPunct/>
        <w:bidi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lang w:eastAsia="zh-CN"/>
        </w:rPr>
        <w:t>货物质量保障方案</w:t>
      </w:r>
    </w:p>
    <w:p w14:paraId="0451574B">
      <w:pPr>
        <w:pageBreakBefore w:val="0"/>
        <w:wordWrap/>
        <w:overflowPunct/>
        <w:bidi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投标承诺函</w:t>
      </w:r>
    </w:p>
    <w:p w14:paraId="365BA6A0">
      <w:pPr>
        <w:pageBreakBefore w:val="0"/>
        <w:wordWrap/>
        <w:overflowPunct/>
        <w:bidi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资格证明文件</w:t>
      </w:r>
    </w:p>
    <w:p w14:paraId="0068C16A">
      <w:pPr>
        <w:pageBreakBefore w:val="0"/>
        <w:wordWrap/>
        <w:overflowPunct/>
        <w:bidi w:val="0"/>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八、其他资料</w:t>
      </w:r>
    </w:p>
    <w:p w14:paraId="1770986E">
      <w:pPr>
        <w:rPr>
          <w:rFonts w:hint="eastAsia" w:ascii="宋体" w:hAnsi="宋体" w:cs="仿宋"/>
          <w:b/>
          <w:bCs/>
          <w:kern w:val="2"/>
          <w:sz w:val="24"/>
          <w:szCs w:val="24"/>
          <w:highlight w:val="none"/>
        </w:rPr>
      </w:pPr>
      <w:r>
        <w:rPr>
          <w:rFonts w:hint="eastAsia" w:ascii="宋体" w:hAnsi="宋体" w:cs="仿宋"/>
          <w:b/>
          <w:bCs/>
          <w:kern w:val="2"/>
          <w:sz w:val="24"/>
          <w:szCs w:val="24"/>
          <w:highlight w:val="none"/>
        </w:rPr>
        <w:br w:type="page"/>
      </w:r>
    </w:p>
    <w:p w14:paraId="4B92AD25">
      <w:pPr>
        <w:keepNext/>
        <w:keepLines/>
        <w:pageBreakBefore w:val="0"/>
        <w:widowControl w:val="0"/>
        <w:wordWrap/>
        <w:overflowPunct/>
        <w:bidi w:val="0"/>
        <w:spacing w:before="260" w:after="260" w:line="360" w:lineRule="auto"/>
        <w:jc w:val="center"/>
        <w:textAlignment w:val="auto"/>
        <w:outlineLvl w:val="1"/>
        <w:rPr>
          <w:rFonts w:ascii="宋体" w:hAnsi="宋体" w:cs="仿宋"/>
          <w:b/>
          <w:bCs/>
          <w:kern w:val="2"/>
          <w:sz w:val="24"/>
          <w:szCs w:val="24"/>
          <w:highlight w:val="none"/>
        </w:rPr>
      </w:pPr>
      <w:bookmarkStart w:id="231" w:name="_Toc3250"/>
      <w:r>
        <w:rPr>
          <w:rFonts w:hint="eastAsia" w:ascii="宋体" w:hAnsi="宋体" w:cs="仿宋"/>
          <w:b/>
          <w:bCs/>
          <w:kern w:val="2"/>
          <w:sz w:val="24"/>
          <w:szCs w:val="24"/>
          <w:highlight w:val="none"/>
        </w:rPr>
        <w:t>一、投 标 函</w:t>
      </w:r>
      <w:bookmarkEnd w:id="227"/>
      <w:bookmarkEnd w:id="228"/>
      <w:bookmarkEnd w:id="231"/>
    </w:p>
    <w:p w14:paraId="550934D7">
      <w:pPr>
        <w:pageBreakBefore w:val="0"/>
        <w:wordWrap/>
        <w:overflowPunct/>
        <w:bidi w:val="0"/>
        <w:spacing w:before="75" w:after="75" w:line="360" w:lineRule="auto"/>
        <w:jc w:val="left"/>
        <w:textAlignment w:val="auto"/>
        <w:rPr>
          <w:rFonts w:ascii="宋体" w:hAnsi="宋体" w:cs="仿宋"/>
          <w:sz w:val="24"/>
          <w:szCs w:val="24"/>
          <w:highlight w:val="none"/>
        </w:rPr>
      </w:pPr>
      <w:r>
        <w:rPr>
          <w:rFonts w:hint="eastAsia" w:ascii="宋体" w:hAnsi="宋体" w:cs="仿宋"/>
          <w:sz w:val="24"/>
          <w:szCs w:val="24"/>
          <w:highlight w:val="none"/>
        </w:rPr>
        <w:t xml:space="preserve">致:  </w:t>
      </w:r>
      <w:r>
        <w:rPr>
          <w:rFonts w:ascii="宋体" w:hAnsi="宋体" w:cs="仿宋"/>
          <w:sz w:val="24"/>
          <w:szCs w:val="24"/>
          <w:highlight w:val="none"/>
          <w:u w:val="single"/>
        </w:rPr>
        <w:t xml:space="preserve">          </w:t>
      </w:r>
      <w:r>
        <w:rPr>
          <w:rFonts w:hint="eastAsia" w:ascii="宋体" w:hAnsi="宋体" w:cs="仿宋"/>
          <w:sz w:val="24"/>
          <w:szCs w:val="24"/>
          <w:highlight w:val="none"/>
        </w:rPr>
        <w:t>（招标人名称）</w:t>
      </w:r>
    </w:p>
    <w:p w14:paraId="5D3CF21F">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ascii="宋体" w:hAnsi="宋体" w:cs="仿宋"/>
          <w:sz w:val="24"/>
          <w:szCs w:val="24"/>
          <w:highlight w:val="none"/>
          <w:u w:val="single"/>
        </w:rPr>
        <w:t xml:space="preserve">          </w:t>
      </w:r>
      <w:r>
        <w:rPr>
          <w:rFonts w:hint="eastAsia" w:ascii="宋体" w:hAnsi="宋体" w:cs="仿宋"/>
          <w:sz w:val="24"/>
          <w:szCs w:val="24"/>
          <w:highlight w:val="none"/>
        </w:rPr>
        <w:t xml:space="preserve"> (</w:t>
      </w:r>
      <w:r>
        <w:rPr>
          <w:rFonts w:hint="eastAsia" w:ascii="宋体" w:hAnsi="宋体" w:cs="仿宋"/>
          <w:sz w:val="24"/>
          <w:szCs w:val="24"/>
          <w:highlight w:val="none"/>
          <w:lang w:eastAsia="zh-CN"/>
        </w:rPr>
        <w:t>供应商</w:t>
      </w:r>
      <w:r>
        <w:rPr>
          <w:rFonts w:hint="eastAsia" w:ascii="宋体" w:hAnsi="宋体" w:cs="仿宋"/>
          <w:sz w:val="24"/>
          <w:szCs w:val="24"/>
          <w:highlight w:val="none"/>
        </w:rPr>
        <w:t>全称)授权</w:t>
      </w:r>
      <w:r>
        <w:rPr>
          <w:rFonts w:ascii="宋体" w:hAnsi="宋体" w:cs="仿宋"/>
          <w:sz w:val="24"/>
          <w:szCs w:val="24"/>
          <w:highlight w:val="none"/>
          <w:u w:val="single"/>
        </w:rPr>
        <w:t xml:space="preserve">          </w:t>
      </w:r>
      <w:r>
        <w:rPr>
          <w:rFonts w:hint="eastAsia" w:ascii="宋体" w:hAnsi="宋体" w:cs="仿宋"/>
          <w:sz w:val="24"/>
          <w:szCs w:val="24"/>
          <w:highlight w:val="none"/>
        </w:rPr>
        <w:t xml:space="preserve"> (</w:t>
      </w:r>
      <w:r>
        <w:rPr>
          <w:rFonts w:hint="eastAsia" w:ascii="宋体" w:hAnsi="宋体" w:cs="仿宋"/>
          <w:sz w:val="24"/>
          <w:szCs w:val="24"/>
          <w:highlight w:val="none"/>
          <w:lang w:eastAsia="zh-CN"/>
        </w:rPr>
        <w:t>供应商</w:t>
      </w:r>
      <w:r>
        <w:rPr>
          <w:rFonts w:hint="eastAsia" w:ascii="宋体" w:hAnsi="宋体" w:cs="仿宋"/>
          <w:sz w:val="24"/>
          <w:szCs w:val="24"/>
          <w:highlight w:val="none"/>
        </w:rPr>
        <w:t>代表姓名)</w:t>
      </w:r>
      <w:r>
        <w:rPr>
          <w:rFonts w:ascii="宋体" w:hAnsi="宋体" w:cs="仿宋"/>
          <w:sz w:val="24"/>
          <w:szCs w:val="24"/>
          <w:highlight w:val="none"/>
          <w:u w:val="single"/>
        </w:rPr>
        <w:t xml:space="preserve">          </w:t>
      </w:r>
      <w:r>
        <w:rPr>
          <w:rFonts w:hint="eastAsia" w:ascii="宋体" w:hAnsi="宋体" w:cs="仿宋"/>
          <w:sz w:val="24"/>
          <w:szCs w:val="24"/>
          <w:highlight w:val="none"/>
        </w:rPr>
        <w:t xml:space="preserve"> (职务、职称)为我方代表，参加贵方组织的招标的有关活动，并对</w:t>
      </w:r>
      <w:r>
        <w:rPr>
          <w:rFonts w:hint="eastAsia" w:ascii="宋体" w:hAnsi="宋体" w:cs="仿宋"/>
          <w:sz w:val="24"/>
          <w:szCs w:val="24"/>
          <w:highlight w:val="none"/>
          <w:u w:val="single" w:color="auto"/>
          <w:lang w:val="en-US" w:eastAsia="zh-CN"/>
        </w:rPr>
        <w:t xml:space="preserve">        </w:t>
      </w:r>
      <w:r>
        <w:rPr>
          <w:rFonts w:hint="eastAsia" w:ascii="宋体" w:hAnsi="宋体" w:cs="仿宋"/>
          <w:sz w:val="24"/>
          <w:szCs w:val="24"/>
          <w:highlight w:val="none"/>
        </w:rPr>
        <w:t>项目进行投标。为此：</w:t>
      </w:r>
    </w:p>
    <w:p w14:paraId="06217D2F">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1、 我方同意在本项目招标文件中规定的投标截止日期起</w:t>
      </w:r>
      <w:r>
        <w:rPr>
          <w:rFonts w:ascii="宋体" w:hAnsi="宋体" w:cs="仿宋"/>
          <w:sz w:val="24"/>
          <w:szCs w:val="24"/>
          <w:highlight w:val="none"/>
          <w:u w:val="single"/>
        </w:rPr>
        <w:t xml:space="preserve">         </w:t>
      </w:r>
      <w:r>
        <w:rPr>
          <w:rFonts w:hint="eastAsia" w:ascii="宋体" w:hAnsi="宋体" w:cs="仿宋"/>
          <w:sz w:val="24"/>
          <w:szCs w:val="24"/>
          <w:highlight w:val="none"/>
        </w:rPr>
        <w:t>日历天</w:t>
      </w:r>
      <w:r>
        <w:rPr>
          <w:rFonts w:hint="eastAsia" w:ascii="宋体" w:hAnsi="宋体" w:cs="仿宋"/>
          <w:sz w:val="24"/>
          <w:szCs w:val="24"/>
          <w:highlight w:val="none"/>
          <w:lang w:val="en-US" w:eastAsia="zh-CN"/>
        </w:rPr>
        <w:t>内</w:t>
      </w:r>
      <w:r>
        <w:rPr>
          <w:rFonts w:hint="eastAsia" w:ascii="宋体" w:hAnsi="宋体" w:cs="仿宋"/>
          <w:sz w:val="24"/>
          <w:szCs w:val="24"/>
          <w:highlight w:val="none"/>
        </w:rPr>
        <w:t>遵守本投标文件中的承诺且在此期限期满之前均具有约束力。</w:t>
      </w:r>
    </w:p>
    <w:p w14:paraId="4DCC3975">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2、 我方承诺已经具备《中华人民共和国政府采购法》中规定的参加政府采购活动的</w:t>
      </w:r>
      <w:r>
        <w:rPr>
          <w:rFonts w:hint="eastAsia" w:ascii="宋体" w:hAnsi="宋体" w:cs="仿宋"/>
          <w:sz w:val="24"/>
          <w:szCs w:val="24"/>
          <w:highlight w:val="none"/>
          <w:lang w:eastAsia="zh-CN"/>
        </w:rPr>
        <w:t>供应商</w:t>
      </w:r>
      <w:r>
        <w:rPr>
          <w:rFonts w:hint="eastAsia" w:ascii="宋体" w:hAnsi="宋体" w:cs="仿宋"/>
          <w:sz w:val="24"/>
          <w:szCs w:val="24"/>
          <w:highlight w:val="none"/>
        </w:rPr>
        <w:t>应当具备的条件。</w:t>
      </w:r>
    </w:p>
    <w:p w14:paraId="2EC51EFD">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3、我方提供符合投标须知规定的投标文件。</w:t>
      </w:r>
    </w:p>
    <w:p w14:paraId="5B428F73">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4、我方按投标</w:t>
      </w:r>
      <w:r>
        <w:rPr>
          <w:rFonts w:hint="eastAsia" w:ascii="宋体" w:hAnsi="宋体" w:cs="仿宋"/>
          <w:sz w:val="24"/>
          <w:szCs w:val="24"/>
          <w:highlight w:val="none"/>
          <w:lang w:val="en-US" w:eastAsia="zh-CN"/>
        </w:rPr>
        <w:t>承诺</w:t>
      </w:r>
      <w:r>
        <w:rPr>
          <w:rFonts w:hint="eastAsia" w:ascii="宋体" w:hAnsi="宋体" w:cs="仿宋"/>
          <w:sz w:val="24"/>
          <w:szCs w:val="24"/>
          <w:highlight w:val="none"/>
        </w:rPr>
        <w:t>函要求完成承诺。</w:t>
      </w:r>
    </w:p>
    <w:p w14:paraId="238609D1">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5、我方按招标文件要求提供本项目的投标报价为基准价的百分之(大写：</w:t>
      </w:r>
      <w:r>
        <w:rPr>
          <w:rFonts w:ascii="宋体" w:hAnsi="宋体" w:cs="仿宋"/>
          <w:sz w:val="24"/>
          <w:szCs w:val="24"/>
          <w:highlight w:val="none"/>
          <w:u w:val="single"/>
        </w:rPr>
        <w:t xml:space="preserve">          </w:t>
      </w:r>
      <w:r>
        <w:rPr>
          <w:rFonts w:hint="eastAsia" w:ascii="宋体" w:hAnsi="宋体" w:cs="仿宋"/>
          <w:sz w:val="24"/>
          <w:szCs w:val="24"/>
          <w:highlight w:val="none"/>
        </w:rPr>
        <w:t>)，(小写：</w:t>
      </w:r>
      <w:r>
        <w:rPr>
          <w:rFonts w:ascii="宋体" w:hAnsi="宋体" w:cs="仿宋"/>
          <w:sz w:val="24"/>
          <w:szCs w:val="24"/>
          <w:highlight w:val="none"/>
          <w:u w:val="single"/>
        </w:rPr>
        <w:t xml:space="preserve">          </w:t>
      </w:r>
      <w:r>
        <w:rPr>
          <w:rFonts w:hint="eastAsia" w:ascii="宋体" w:hAnsi="宋体" w:cs="仿宋"/>
          <w:sz w:val="24"/>
          <w:szCs w:val="24"/>
          <w:highlight w:val="none"/>
        </w:rPr>
        <w:t>)。（</w:t>
      </w:r>
      <w:r>
        <w:rPr>
          <w:rFonts w:hint="eastAsia" w:ascii="宋体" w:hAnsi="宋体" w:cs="仿宋"/>
          <w:b/>
          <w:bCs/>
          <w:sz w:val="24"/>
          <w:szCs w:val="24"/>
          <w:highlight w:val="none"/>
        </w:rPr>
        <w:t>以三门峡市定额站发布的</w:t>
      </w:r>
      <w:r>
        <w:rPr>
          <w:rFonts w:hint="eastAsia" w:ascii="宋体" w:hAnsi="宋体" w:cs="仿宋"/>
          <w:b/>
          <w:bCs/>
          <w:sz w:val="24"/>
          <w:szCs w:val="24"/>
          <w:highlight w:val="none"/>
          <w:lang w:eastAsia="zh-CN"/>
        </w:rPr>
        <w:t>2026年</w:t>
      </w:r>
      <w:r>
        <w:rPr>
          <w:rFonts w:hint="eastAsia" w:ascii="宋体" w:hAnsi="宋体" w:cs="仿宋"/>
          <w:b/>
          <w:bCs/>
          <w:sz w:val="24"/>
          <w:szCs w:val="24"/>
          <w:highlight w:val="none"/>
        </w:rPr>
        <w:t>当期《三门峡工程标准造价信息》中沥青</w:t>
      </w:r>
      <w:r>
        <w:rPr>
          <w:rFonts w:hint="eastAsia" w:ascii="宋体" w:hAnsi="宋体" w:cs="仿宋"/>
          <w:b/>
          <w:bCs/>
          <w:sz w:val="24"/>
          <w:szCs w:val="24"/>
          <w:highlight w:val="none"/>
          <w:lang w:val="en-US" w:eastAsia="zh-CN"/>
        </w:rPr>
        <w:t>混凝土</w:t>
      </w:r>
      <w:r>
        <w:rPr>
          <w:rFonts w:hint="eastAsia" w:ascii="宋体" w:hAnsi="宋体" w:cs="仿宋"/>
          <w:b/>
          <w:bCs/>
          <w:sz w:val="24"/>
          <w:szCs w:val="24"/>
          <w:highlight w:val="none"/>
        </w:rPr>
        <w:t>的价格为基准价</w:t>
      </w:r>
      <w:r>
        <w:rPr>
          <w:rFonts w:hint="eastAsia" w:ascii="宋体" w:hAnsi="宋体" w:cs="仿宋"/>
          <w:sz w:val="24"/>
          <w:szCs w:val="24"/>
          <w:highlight w:val="none"/>
        </w:rPr>
        <w:t>）</w:t>
      </w:r>
    </w:p>
    <w:p w14:paraId="68336500">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6、我方保证忠实地执行双方所签订的合同，并承担合同规定的责任和义务。</w:t>
      </w:r>
    </w:p>
    <w:p w14:paraId="16B6952F">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7、我方承诺完全满足和响应招标文件中的各项要求。</w:t>
      </w:r>
    </w:p>
    <w:p w14:paraId="7585D9ED">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8、如果在开标后规定的投标有效期内撤回投标，我单位将承担由此而产生的一切后果及责任。</w:t>
      </w:r>
    </w:p>
    <w:p w14:paraId="2B065F98">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9、我方完全理解贵方不一定接受最低价的投标。</w:t>
      </w:r>
    </w:p>
    <w:p w14:paraId="2E8E25DC">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10、我方愿意向贵方提供任何与本项目投标有关的数据、情况和技术资料。若贵方需要，我方愿意提供我方作出的一切承诺的证明材料。</w:t>
      </w:r>
    </w:p>
    <w:p w14:paraId="1E4F2205">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与本投标有关的一切往来通讯请寄：</w:t>
      </w:r>
    </w:p>
    <w:p w14:paraId="5CD8DD07">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地址：</w:t>
      </w:r>
      <w:r>
        <w:rPr>
          <w:rFonts w:ascii="宋体" w:hAnsi="宋体" w:cs="仿宋"/>
          <w:sz w:val="24"/>
          <w:szCs w:val="24"/>
          <w:highlight w:val="none"/>
          <w:u w:val="single"/>
        </w:rPr>
        <w:t xml:space="preserve">          </w:t>
      </w:r>
      <w:r>
        <w:rPr>
          <w:rFonts w:hint="eastAsia" w:ascii="宋体" w:hAnsi="宋体" w:cs="仿宋"/>
          <w:sz w:val="24"/>
          <w:szCs w:val="24"/>
          <w:highlight w:val="none"/>
        </w:rPr>
        <w:t xml:space="preserve">                                        </w:t>
      </w:r>
    </w:p>
    <w:p w14:paraId="06A42CC3">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电话：</w:t>
      </w:r>
      <w:r>
        <w:rPr>
          <w:rFonts w:ascii="宋体" w:hAnsi="宋体" w:cs="仿宋"/>
          <w:sz w:val="24"/>
          <w:szCs w:val="24"/>
          <w:highlight w:val="none"/>
          <w:u w:val="single"/>
        </w:rPr>
        <w:t xml:space="preserve">          </w:t>
      </w:r>
      <w:r>
        <w:rPr>
          <w:rFonts w:hint="eastAsia" w:ascii="宋体" w:hAnsi="宋体" w:cs="仿宋"/>
          <w:sz w:val="24"/>
          <w:szCs w:val="24"/>
          <w:highlight w:val="none"/>
        </w:rPr>
        <w:t xml:space="preserve">                                        </w:t>
      </w:r>
    </w:p>
    <w:p w14:paraId="6355F8CC">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lang w:eastAsia="zh-CN"/>
        </w:rPr>
        <w:t>供应商</w:t>
      </w:r>
      <w:r>
        <w:rPr>
          <w:rFonts w:hint="eastAsia" w:ascii="宋体" w:hAnsi="宋体" w:cs="仿宋"/>
          <w:sz w:val="24"/>
          <w:szCs w:val="24"/>
          <w:highlight w:val="none"/>
        </w:rPr>
        <w:t>：</w:t>
      </w:r>
      <w:r>
        <w:rPr>
          <w:rFonts w:ascii="宋体" w:hAnsi="宋体" w:cs="仿宋"/>
          <w:sz w:val="24"/>
          <w:szCs w:val="24"/>
          <w:highlight w:val="none"/>
          <w:u w:val="single"/>
        </w:rPr>
        <w:t xml:space="preserve">          </w:t>
      </w:r>
      <w:r>
        <w:rPr>
          <w:rFonts w:hint="eastAsia" w:ascii="宋体" w:hAnsi="宋体" w:cs="仿宋"/>
          <w:sz w:val="24"/>
          <w:szCs w:val="24"/>
          <w:highlight w:val="none"/>
        </w:rPr>
        <w:t>（</w:t>
      </w:r>
      <w:r>
        <w:rPr>
          <w:rFonts w:hint="eastAsia" w:ascii="宋体" w:hAnsi="宋体"/>
          <w:color w:val="auto"/>
          <w:sz w:val="24"/>
          <w:szCs w:val="24"/>
          <w:highlight w:val="none"/>
        </w:rPr>
        <w:t>单位电子</w:t>
      </w:r>
      <w:r>
        <w:rPr>
          <w:rFonts w:hint="eastAsia" w:ascii="宋体" w:hAnsi="宋体"/>
          <w:color w:val="auto"/>
          <w:sz w:val="24"/>
          <w:szCs w:val="24"/>
          <w:highlight w:val="none"/>
          <w:lang w:val="en-US" w:eastAsia="zh-CN"/>
        </w:rPr>
        <w:t>公</w:t>
      </w:r>
      <w:r>
        <w:rPr>
          <w:rFonts w:hint="eastAsia" w:ascii="宋体" w:hAnsi="宋体"/>
          <w:color w:val="auto"/>
          <w:sz w:val="24"/>
          <w:szCs w:val="24"/>
          <w:highlight w:val="none"/>
        </w:rPr>
        <w:t>章</w:t>
      </w:r>
      <w:r>
        <w:rPr>
          <w:rFonts w:hint="eastAsia" w:ascii="宋体" w:hAnsi="宋体" w:cs="仿宋"/>
          <w:sz w:val="24"/>
          <w:szCs w:val="24"/>
          <w:highlight w:val="none"/>
        </w:rPr>
        <w:t>）</w:t>
      </w:r>
    </w:p>
    <w:p w14:paraId="7436A0A5">
      <w:pPr>
        <w:pageBreakBefore w:val="0"/>
        <w:wordWrap/>
        <w:overflowPunct/>
        <w:bidi w:val="0"/>
        <w:spacing w:before="75" w:after="75" w:line="360" w:lineRule="auto"/>
        <w:ind w:firstLine="518" w:firstLineChars="216"/>
        <w:jc w:val="left"/>
        <w:textAlignment w:val="auto"/>
        <w:rPr>
          <w:rFonts w:ascii="宋体" w:hAnsi="宋体" w:cs="仿宋"/>
          <w:sz w:val="24"/>
          <w:szCs w:val="24"/>
          <w:highlight w:val="none"/>
        </w:rPr>
      </w:pPr>
      <w:r>
        <w:rPr>
          <w:rFonts w:hint="eastAsia" w:ascii="宋体" w:hAnsi="宋体" w:cs="仿宋"/>
          <w:sz w:val="24"/>
          <w:szCs w:val="24"/>
          <w:highlight w:val="none"/>
        </w:rPr>
        <w:t>法定代表人：</w:t>
      </w:r>
      <w:r>
        <w:rPr>
          <w:rFonts w:ascii="宋体" w:hAnsi="宋体" w:cs="仿宋"/>
          <w:sz w:val="24"/>
          <w:szCs w:val="24"/>
          <w:highlight w:val="none"/>
          <w:u w:val="single"/>
        </w:rPr>
        <w:t xml:space="preserve">          </w:t>
      </w:r>
      <w:r>
        <w:rPr>
          <w:rFonts w:hint="eastAsia" w:ascii="宋体" w:hAnsi="宋体" w:cs="仿宋"/>
          <w:sz w:val="24"/>
          <w:szCs w:val="24"/>
          <w:highlight w:val="none"/>
        </w:rPr>
        <w:t>（法人电子签章）</w:t>
      </w:r>
    </w:p>
    <w:p w14:paraId="6EBDC16A">
      <w:pPr>
        <w:pageBreakBefore w:val="0"/>
        <w:wordWrap/>
        <w:overflowPunct/>
        <w:bidi w:val="0"/>
        <w:spacing w:line="360" w:lineRule="auto"/>
        <w:ind w:firstLine="480" w:firstLineChars="200"/>
        <w:jc w:val="left"/>
        <w:textAlignment w:val="auto"/>
        <w:rPr>
          <w:rFonts w:ascii="宋体" w:hAnsi="宋体" w:cs="仿宋"/>
          <w:kern w:val="2"/>
          <w:sz w:val="24"/>
          <w:szCs w:val="24"/>
          <w:highlight w:val="none"/>
        </w:rPr>
      </w:pPr>
      <w:r>
        <w:rPr>
          <w:rFonts w:hint="eastAsia" w:ascii="宋体" w:hAnsi="宋体" w:cs="仿宋"/>
          <w:kern w:val="2"/>
          <w:sz w:val="24"/>
          <w:szCs w:val="24"/>
          <w:highlight w:val="none"/>
        </w:rPr>
        <w:t xml:space="preserve">日 期：                           </w:t>
      </w:r>
    </w:p>
    <w:p w14:paraId="00B1F9DF">
      <w:pPr>
        <w:pageBreakBefore w:val="0"/>
        <w:wordWrap/>
        <w:overflowPunct/>
        <w:bidi w:val="0"/>
        <w:spacing w:line="360" w:lineRule="auto"/>
        <w:rPr>
          <w:rFonts w:ascii="宋体" w:hAnsi="宋体"/>
          <w:sz w:val="24"/>
          <w:szCs w:val="24"/>
          <w:highlight w:val="none"/>
        </w:rPr>
      </w:pPr>
      <w:r>
        <w:rPr>
          <w:rFonts w:ascii="宋体" w:hAnsi="宋体"/>
          <w:sz w:val="24"/>
          <w:szCs w:val="24"/>
          <w:highlight w:val="none"/>
        </w:rPr>
        <w:br w:type="page"/>
      </w:r>
    </w:p>
    <w:bookmarkEnd w:id="229"/>
    <w:bookmarkEnd w:id="230"/>
    <w:p w14:paraId="46CB84F4">
      <w:pPr>
        <w:keepNext/>
        <w:keepLines/>
        <w:pageBreakBefore w:val="0"/>
        <w:widowControl w:val="0"/>
        <w:wordWrap/>
        <w:overflowPunct/>
        <w:bidi w:val="0"/>
        <w:spacing w:before="260" w:after="260" w:line="360" w:lineRule="auto"/>
        <w:jc w:val="center"/>
        <w:textAlignment w:val="auto"/>
        <w:outlineLvl w:val="1"/>
        <w:rPr>
          <w:rFonts w:ascii="宋体" w:hAnsi="宋体" w:cs="仿宋"/>
          <w:b/>
          <w:bCs/>
          <w:kern w:val="2"/>
          <w:sz w:val="24"/>
          <w:szCs w:val="24"/>
          <w:highlight w:val="none"/>
        </w:rPr>
      </w:pPr>
      <w:bookmarkStart w:id="232" w:name="_Toc10528"/>
      <w:bookmarkStart w:id="233" w:name="_Toc17009"/>
      <w:r>
        <w:rPr>
          <w:rFonts w:hint="eastAsia" w:ascii="宋体" w:hAnsi="宋体" w:cs="仿宋"/>
          <w:b/>
          <w:bCs/>
          <w:kern w:val="2"/>
          <w:sz w:val="24"/>
          <w:szCs w:val="24"/>
          <w:highlight w:val="none"/>
        </w:rPr>
        <w:t>二、开标一览表</w:t>
      </w:r>
      <w:bookmarkEnd w:id="232"/>
      <w:bookmarkEnd w:id="233"/>
    </w:p>
    <w:tbl>
      <w:tblPr>
        <w:tblStyle w:val="17"/>
        <w:tblpPr w:leftFromText="180" w:rightFromText="180" w:vertAnchor="text" w:horzAnchor="margin" w:tblpXSpec="center" w:tblpY="198"/>
        <w:tblW w:w="9750"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5027"/>
        <w:gridCol w:w="1020"/>
        <w:gridCol w:w="1215"/>
        <w:gridCol w:w="1260"/>
      </w:tblGrid>
      <w:tr w14:paraId="21E3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28" w:type="dxa"/>
            <w:vAlign w:val="center"/>
          </w:tcPr>
          <w:p w14:paraId="08B84D2D">
            <w:pPr>
              <w:pageBreakBefore w:val="0"/>
              <w:widowControl w:val="0"/>
              <w:wordWrap/>
              <w:overflowPunct/>
              <w:bidi w:val="0"/>
              <w:snapToGrid w:val="0"/>
              <w:spacing w:line="360" w:lineRule="auto"/>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项目名称</w:t>
            </w:r>
          </w:p>
        </w:tc>
        <w:tc>
          <w:tcPr>
            <w:tcW w:w="5027" w:type="dxa"/>
            <w:vAlign w:val="center"/>
          </w:tcPr>
          <w:p w14:paraId="21756FB2">
            <w:pPr>
              <w:pageBreakBefore w:val="0"/>
              <w:widowControl w:val="0"/>
              <w:wordWrap/>
              <w:overflowPunct/>
              <w:bidi w:val="0"/>
              <w:snapToGrid w:val="0"/>
              <w:spacing w:line="360" w:lineRule="auto"/>
              <w:ind w:firstLine="518" w:firstLineChars="216"/>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投标</w:t>
            </w:r>
            <w:r>
              <w:rPr>
                <w:rFonts w:hint="eastAsia" w:ascii="宋体" w:hAnsi="宋体" w:cs="仿宋"/>
                <w:kern w:val="2"/>
                <w:sz w:val="24"/>
                <w:szCs w:val="24"/>
                <w:highlight w:val="none"/>
                <w:lang w:val="en-US" w:eastAsia="zh-CN"/>
              </w:rPr>
              <w:t>报</w:t>
            </w:r>
            <w:r>
              <w:rPr>
                <w:rFonts w:hint="eastAsia" w:ascii="宋体" w:hAnsi="宋体" w:cs="仿宋"/>
                <w:kern w:val="2"/>
                <w:sz w:val="24"/>
                <w:szCs w:val="24"/>
                <w:highlight w:val="none"/>
              </w:rPr>
              <w:t>价（</w:t>
            </w:r>
            <w:r>
              <w:rPr>
                <w:rFonts w:hint="eastAsia" w:ascii="宋体" w:hAnsi="宋体" w:cs="仿宋"/>
                <w:kern w:val="2"/>
                <w:sz w:val="24"/>
                <w:szCs w:val="24"/>
                <w:highlight w:val="none"/>
                <w:lang w:val="en-US" w:eastAsia="zh-CN"/>
              </w:rPr>
              <w:t>%</w:t>
            </w:r>
            <w:r>
              <w:rPr>
                <w:rFonts w:hint="eastAsia" w:ascii="宋体" w:hAnsi="宋体" w:cs="仿宋"/>
                <w:kern w:val="2"/>
                <w:sz w:val="24"/>
                <w:szCs w:val="24"/>
                <w:highlight w:val="none"/>
              </w:rPr>
              <w:t>）</w:t>
            </w:r>
          </w:p>
        </w:tc>
        <w:tc>
          <w:tcPr>
            <w:tcW w:w="1020" w:type="dxa"/>
            <w:vAlign w:val="center"/>
          </w:tcPr>
          <w:p w14:paraId="314AC9EB">
            <w:pPr>
              <w:pageBreakBefore w:val="0"/>
              <w:widowControl w:val="0"/>
              <w:wordWrap/>
              <w:overflowPunct/>
              <w:bidi w:val="0"/>
              <w:snapToGrid w:val="0"/>
              <w:spacing w:line="360" w:lineRule="auto"/>
              <w:jc w:val="center"/>
              <w:textAlignment w:val="auto"/>
              <w:rPr>
                <w:rFonts w:ascii="宋体" w:hAnsi="宋体" w:cs="仿宋"/>
                <w:kern w:val="2"/>
                <w:sz w:val="24"/>
                <w:szCs w:val="24"/>
                <w:highlight w:val="none"/>
              </w:rPr>
            </w:pPr>
            <w:r>
              <w:rPr>
                <w:rFonts w:hint="eastAsia" w:ascii="宋体" w:hAnsi="宋体" w:cs="仿宋"/>
                <w:color w:val="000000" w:themeColor="text1"/>
                <w:sz w:val="24"/>
                <w:szCs w:val="24"/>
                <w:highlight w:val="none"/>
                <w14:textFill>
                  <w14:solidFill>
                    <w14:schemeClr w14:val="tx1"/>
                  </w14:solidFill>
                </w14:textFill>
              </w:rPr>
              <w:t>供货期</w:t>
            </w:r>
          </w:p>
        </w:tc>
        <w:tc>
          <w:tcPr>
            <w:tcW w:w="1215" w:type="dxa"/>
            <w:vAlign w:val="center"/>
          </w:tcPr>
          <w:p w14:paraId="7F3686E6">
            <w:pPr>
              <w:pageBreakBefore w:val="0"/>
              <w:widowControl w:val="0"/>
              <w:wordWrap/>
              <w:overflowPunct/>
              <w:bidi w:val="0"/>
              <w:snapToGrid w:val="0"/>
              <w:spacing w:line="360" w:lineRule="auto"/>
              <w:jc w:val="center"/>
              <w:textAlignment w:val="auto"/>
              <w:rPr>
                <w:rFonts w:ascii="宋体" w:hAnsi="宋体" w:cs="仿宋"/>
                <w:kern w:val="2"/>
                <w:sz w:val="24"/>
                <w:szCs w:val="24"/>
                <w:highlight w:val="none"/>
              </w:rPr>
            </w:pPr>
            <w:r>
              <w:rPr>
                <w:rFonts w:hint="eastAsia" w:ascii="宋体" w:hAnsi="宋体" w:cs="仿宋"/>
                <w:color w:val="000000" w:themeColor="text1"/>
                <w:sz w:val="24"/>
                <w:szCs w:val="24"/>
                <w:highlight w:val="none"/>
                <w14:textFill>
                  <w14:solidFill>
                    <w14:schemeClr w14:val="tx1"/>
                  </w14:solidFill>
                </w14:textFill>
              </w:rPr>
              <w:t>交货地点</w:t>
            </w:r>
          </w:p>
        </w:tc>
        <w:tc>
          <w:tcPr>
            <w:tcW w:w="1260" w:type="dxa"/>
            <w:vAlign w:val="center"/>
          </w:tcPr>
          <w:p w14:paraId="69E218F1">
            <w:pPr>
              <w:pageBreakBefore w:val="0"/>
              <w:widowControl w:val="0"/>
              <w:wordWrap/>
              <w:overflowPunct/>
              <w:bidi w:val="0"/>
              <w:snapToGrid w:val="0"/>
              <w:spacing w:line="360" w:lineRule="auto"/>
              <w:jc w:val="center"/>
              <w:textAlignment w:val="auto"/>
              <w:rPr>
                <w:rFonts w:ascii="宋体" w:hAnsi="宋体" w:cs="仿宋"/>
                <w:kern w:val="2"/>
                <w:sz w:val="24"/>
                <w:szCs w:val="24"/>
                <w:highlight w:val="none"/>
              </w:rPr>
            </w:pPr>
            <w:r>
              <w:rPr>
                <w:rFonts w:hint="eastAsia" w:ascii="宋体" w:hAnsi="宋体" w:cs="仿宋"/>
                <w:color w:val="000000" w:themeColor="text1"/>
                <w:sz w:val="24"/>
                <w:szCs w:val="24"/>
                <w:highlight w:val="none"/>
                <w14:textFill>
                  <w14:solidFill>
                    <w14:schemeClr w14:val="tx1"/>
                  </w14:solidFill>
                </w14:textFill>
              </w:rPr>
              <w:t>质量要求</w:t>
            </w:r>
          </w:p>
        </w:tc>
      </w:tr>
      <w:tr w14:paraId="1BCB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228" w:type="dxa"/>
            <w:vMerge w:val="restart"/>
            <w:vAlign w:val="center"/>
          </w:tcPr>
          <w:p w14:paraId="3AF9B0E4">
            <w:pPr>
              <w:pageBreakBefore w:val="0"/>
              <w:widowControl w:val="0"/>
              <w:wordWrap/>
              <w:overflowPunct/>
              <w:bidi w:val="0"/>
              <w:snapToGrid w:val="0"/>
              <w:spacing w:line="360" w:lineRule="auto"/>
              <w:ind w:firstLine="518" w:firstLineChars="216"/>
              <w:jc w:val="center"/>
              <w:textAlignment w:val="auto"/>
              <w:rPr>
                <w:rFonts w:ascii="宋体" w:hAnsi="宋体" w:cs="仿宋"/>
                <w:kern w:val="2"/>
                <w:sz w:val="24"/>
                <w:szCs w:val="24"/>
                <w:highlight w:val="none"/>
              </w:rPr>
            </w:pPr>
          </w:p>
        </w:tc>
        <w:tc>
          <w:tcPr>
            <w:tcW w:w="5027" w:type="dxa"/>
            <w:vAlign w:val="center"/>
          </w:tcPr>
          <w:p w14:paraId="1803F5B8">
            <w:pPr>
              <w:pageBreakBefore w:val="0"/>
              <w:widowControl w:val="0"/>
              <w:wordWrap/>
              <w:overflowPunct/>
              <w:bidi w:val="0"/>
              <w:snapToGrid w:val="0"/>
              <w:spacing w:line="360" w:lineRule="auto"/>
              <w:jc w:val="left"/>
              <w:textAlignment w:val="auto"/>
              <w:rPr>
                <w:rFonts w:hint="default" w:ascii="宋体" w:hAnsi="宋体" w:eastAsia="宋体" w:cs="仿宋"/>
                <w:kern w:val="2"/>
                <w:sz w:val="24"/>
                <w:szCs w:val="24"/>
                <w:highlight w:val="none"/>
                <w:lang w:val="en-US" w:eastAsia="zh-CN"/>
              </w:rPr>
            </w:pPr>
            <w:r>
              <w:rPr>
                <w:rFonts w:hint="eastAsia" w:ascii="宋体" w:hAnsi="宋体" w:cs="仿宋"/>
                <w:sz w:val="24"/>
                <w:szCs w:val="24"/>
                <w:highlight w:val="none"/>
              </w:rPr>
              <w:t>基准价的</w:t>
            </w:r>
            <w:r>
              <w:rPr>
                <w:rFonts w:hint="eastAsia" w:ascii="宋体" w:hAnsi="宋体" w:cs="仿宋"/>
                <w:sz w:val="24"/>
                <w:szCs w:val="24"/>
                <w:highlight w:val="none"/>
                <w:lang w:val="en-US" w:eastAsia="zh-CN"/>
              </w:rPr>
              <w:t>百分之（</w:t>
            </w:r>
            <w:r>
              <w:rPr>
                <w:rFonts w:hint="eastAsia" w:ascii="宋体" w:hAnsi="宋体" w:cs="仿宋"/>
                <w:kern w:val="2"/>
                <w:sz w:val="24"/>
                <w:szCs w:val="24"/>
                <w:highlight w:val="none"/>
              </w:rPr>
              <w:t>小写</w:t>
            </w:r>
            <w:r>
              <w:rPr>
                <w:rFonts w:hint="eastAsia" w:ascii="宋体" w:hAnsi="宋体" w:cs="仿宋"/>
                <w:sz w:val="24"/>
                <w:szCs w:val="24"/>
                <w:highlight w:val="none"/>
                <w:lang w:val="en-US" w:eastAsia="zh-CN"/>
              </w:rPr>
              <w:t>）</w:t>
            </w:r>
            <w:r>
              <w:rPr>
                <w:rFonts w:hint="eastAsia" w:ascii="宋体" w:hAnsi="宋体" w:cs="仿宋"/>
                <w:kern w:val="2"/>
                <w:sz w:val="24"/>
                <w:szCs w:val="24"/>
                <w:highlight w:val="none"/>
              </w:rPr>
              <w:t>：</w:t>
            </w:r>
            <w:r>
              <w:rPr>
                <w:rFonts w:hint="eastAsia" w:ascii="宋体" w:hAnsi="宋体" w:cs="仿宋"/>
                <w:kern w:val="2"/>
                <w:sz w:val="24"/>
                <w:szCs w:val="24"/>
                <w:highlight w:val="none"/>
                <w:u w:val="single" w:color="auto"/>
                <w:lang w:val="en-US" w:eastAsia="zh-CN"/>
              </w:rPr>
              <w:t xml:space="preserve">         </w:t>
            </w:r>
          </w:p>
        </w:tc>
        <w:tc>
          <w:tcPr>
            <w:tcW w:w="1020" w:type="dxa"/>
            <w:vMerge w:val="restart"/>
            <w:vAlign w:val="center"/>
          </w:tcPr>
          <w:p w14:paraId="6AF653FB">
            <w:pPr>
              <w:pageBreakBefore w:val="0"/>
              <w:widowControl w:val="0"/>
              <w:wordWrap/>
              <w:overflowPunct/>
              <w:bidi w:val="0"/>
              <w:snapToGrid w:val="0"/>
              <w:spacing w:line="360" w:lineRule="auto"/>
              <w:ind w:firstLine="518" w:firstLineChars="216"/>
              <w:jc w:val="center"/>
              <w:textAlignment w:val="auto"/>
              <w:rPr>
                <w:rFonts w:ascii="宋体" w:hAnsi="宋体" w:cs="仿宋"/>
                <w:kern w:val="2"/>
                <w:sz w:val="24"/>
                <w:szCs w:val="24"/>
                <w:highlight w:val="none"/>
              </w:rPr>
            </w:pPr>
          </w:p>
        </w:tc>
        <w:tc>
          <w:tcPr>
            <w:tcW w:w="1215" w:type="dxa"/>
            <w:vMerge w:val="restart"/>
            <w:vAlign w:val="center"/>
          </w:tcPr>
          <w:p w14:paraId="4083FDDB">
            <w:pPr>
              <w:pageBreakBefore w:val="0"/>
              <w:widowControl w:val="0"/>
              <w:wordWrap/>
              <w:overflowPunct/>
              <w:bidi w:val="0"/>
              <w:snapToGrid w:val="0"/>
              <w:spacing w:line="360" w:lineRule="auto"/>
              <w:ind w:firstLine="518" w:firstLineChars="216"/>
              <w:jc w:val="center"/>
              <w:textAlignment w:val="auto"/>
              <w:rPr>
                <w:rFonts w:ascii="宋体" w:hAnsi="宋体" w:cs="仿宋"/>
                <w:kern w:val="2"/>
                <w:sz w:val="24"/>
                <w:szCs w:val="24"/>
                <w:highlight w:val="none"/>
              </w:rPr>
            </w:pPr>
          </w:p>
        </w:tc>
        <w:tc>
          <w:tcPr>
            <w:tcW w:w="1260" w:type="dxa"/>
            <w:vMerge w:val="restart"/>
            <w:vAlign w:val="center"/>
          </w:tcPr>
          <w:p w14:paraId="22AE8258">
            <w:pPr>
              <w:pageBreakBefore w:val="0"/>
              <w:widowControl w:val="0"/>
              <w:wordWrap/>
              <w:overflowPunct/>
              <w:bidi w:val="0"/>
              <w:snapToGrid w:val="0"/>
              <w:spacing w:line="360" w:lineRule="auto"/>
              <w:ind w:firstLine="518" w:firstLineChars="216"/>
              <w:jc w:val="center"/>
              <w:textAlignment w:val="auto"/>
              <w:rPr>
                <w:rFonts w:ascii="宋体" w:hAnsi="宋体" w:cs="仿宋"/>
                <w:kern w:val="2"/>
                <w:sz w:val="24"/>
                <w:szCs w:val="24"/>
                <w:highlight w:val="none"/>
              </w:rPr>
            </w:pPr>
          </w:p>
        </w:tc>
      </w:tr>
      <w:tr w14:paraId="0D0D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228" w:type="dxa"/>
            <w:vMerge w:val="continue"/>
            <w:vAlign w:val="center"/>
          </w:tcPr>
          <w:p w14:paraId="5A46AF4F">
            <w:pPr>
              <w:pageBreakBefore w:val="0"/>
              <w:wordWrap/>
              <w:overflowPunct/>
              <w:bidi w:val="0"/>
              <w:spacing w:line="360" w:lineRule="auto"/>
              <w:ind w:firstLine="518" w:firstLineChars="216"/>
              <w:jc w:val="left"/>
              <w:textAlignment w:val="auto"/>
              <w:rPr>
                <w:rFonts w:ascii="宋体" w:hAnsi="宋体" w:cs="仿宋"/>
                <w:kern w:val="2"/>
                <w:sz w:val="24"/>
                <w:szCs w:val="24"/>
                <w:highlight w:val="none"/>
              </w:rPr>
            </w:pPr>
          </w:p>
        </w:tc>
        <w:tc>
          <w:tcPr>
            <w:tcW w:w="5027" w:type="dxa"/>
            <w:vAlign w:val="center"/>
          </w:tcPr>
          <w:p w14:paraId="64C050B9">
            <w:pPr>
              <w:pageBreakBefore w:val="0"/>
              <w:widowControl w:val="0"/>
              <w:wordWrap/>
              <w:overflowPunct/>
              <w:bidi w:val="0"/>
              <w:snapToGrid w:val="0"/>
              <w:spacing w:line="360" w:lineRule="auto"/>
              <w:jc w:val="left"/>
              <w:textAlignment w:val="auto"/>
              <w:rPr>
                <w:rFonts w:hint="default" w:ascii="宋体" w:hAnsi="宋体" w:eastAsia="宋体" w:cs="仿宋"/>
                <w:kern w:val="2"/>
                <w:sz w:val="24"/>
                <w:szCs w:val="24"/>
                <w:highlight w:val="none"/>
                <w:lang w:val="en-US" w:eastAsia="zh-CN"/>
              </w:rPr>
            </w:pPr>
            <w:r>
              <w:rPr>
                <w:rFonts w:hint="eastAsia" w:ascii="宋体" w:hAnsi="宋体" w:cs="仿宋"/>
                <w:sz w:val="24"/>
                <w:szCs w:val="24"/>
                <w:highlight w:val="none"/>
              </w:rPr>
              <w:t>基准价的</w:t>
            </w:r>
            <w:r>
              <w:rPr>
                <w:rFonts w:hint="eastAsia" w:ascii="宋体" w:hAnsi="宋体" w:cs="仿宋"/>
                <w:sz w:val="24"/>
                <w:szCs w:val="24"/>
                <w:highlight w:val="none"/>
                <w:lang w:val="en-US" w:eastAsia="zh-CN"/>
              </w:rPr>
              <w:t>百分之（</w:t>
            </w:r>
            <w:r>
              <w:rPr>
                <w:rFonts w:hint="eastAsia" w:ascii="宋体" w:hAnsi="宋体" w:cs="仿宋"/>
                <w:kern w:val="2"/>
                <w:sz w:val="24"/>
                <w:szCs w:val="24"/>
                <w:highlight w:val="none"/>
              </w:rPr>
              <w:t>大写</w:t>
            </w:r>
            <w:r>
              <w:rPr>
                <w:rFonts w:hint="eastAsia" w:ascii="宋体" w:hAnsi="宋体" w:cs="仿宋"/>
                <w:sz w:val="24"/>
                <w:szCs w:val="24"/>
                <w:highlight w:val="none"/>
                <w:lang w:val="en-US" w:eastAsia="zh-CN"/>
              </w:rPr>
              <w:t>）</w:t>
            </w:r>
            <w:r>
              <w:rPr>
                <w:rFonts w:hint="eastAsia" w:ascii="宋体" w:hAnsi="宋体" w:cs="仿宋"/>
                <w:kern w:val="2"/>
                <w:sz w:val="24"/>
                <w:szCs w:val="24"/>
                <w:highlight w:val="none"/>
              </w:rPr>
              <w:t>：</w:t>
            </w:r>
            <w:r>
              <w:rPr>
                <w:rFonts w:hint="eastAsia" w:ascii="宋体" w:hAnsi="宋体" w:cs="仿宋"/>
                <w:kern w:val="2"/>
                <w:sz w:val="24"/>
                <w:szCs w:val="24"/>
                <w:highlight w:val="none"/>
                <w:u w:val="single" w:color="auto"/>
                <w:lang w:val="en-US" w:eastAsia="zh-CN"/>
              </w:rPr>
              <w:t xml:space="preserve">         </w:t>
            </w:r>
          </w:p>
        </w:tc>
        <w:tc>
          <w:tcPr>
            <w:tcW w:w="1020" w:type="dxa"/>
            <w:vMerge w:val="continue"/>
            <w:vAlign w:val="center"/>
          </w:tcPr>
          <w:p w14:paraId="40E5C00B">
            <w:pPr>
              <w:pageBreakBefore w:val="0"/>
              <w:wordWrap/>
              <w:overflowPunct/>
              <w:bidi w:val="0"/>
              <w:spacing w:line="360" w:lineRule="auto"/>
              <w:ind w:firstLine="518" w:firstLineChars="216"/>
              <w:jc w:val="left"/>
              <w:textAlignment w:val="auto"/>
              <w:rPr>
                <w:rFonts w:ascii="宋体" w:hAnsi="宋体" w:cs="仿宋"/>
                <w:kern w:val="2"/>
                <w:sz w:val="24"/>
                <w:szCs w:val="24"/>
                <w:highlight w:val="none"/>
              </w:rPr>
            </w:pPr>
          </w:p>
        </w:tc>
        <w:tc>
          <w:tcPr>
            <w:tcW w:w="1215" w:type="dxa"/>
            <w:vMerge w:val="continue"/>
          </w:tcPr>
          <w:p w14:paraId="69E780FB">
            <w:pPr>
              <w:pageBreakBefore w:val="0"/>
              <w:wordWrap/>
              <w:overflowPunct/>
              <w:bidi w:val="0"/>
              <w:spacing w:line="360" w:lineRule="auto"/>
              <w:ind w:firstLine="518" w:firstLineChars="216"/>
              <w:jc w:val="left"/>
              <w:textAlignment w:val="auto"/>
              <w:rPr>
                <w:rFonts w:ascii="宋体" w:hAnsi="宋体" w:cs="仿宋"/>
                <w:kern w:val="2"/>
                <w:sz w:val="24"/>
                <w:szCs w:val="24"/>
                <w:highlight w:val="none"/>
              </w:rPr>
            </w:pPr>
          </w:p>
        </w:tc>
        <w:tc>
          <w:tcPr>
            <w:tcW w:w="1260" w:type="dxa"/>
            <w:vMerge w:val="continue"/>
          </w:tcPr>
          <w:p w14:paraId="714C094D">
            <w:pPr>
              <w:pageBreakBefore w:val="0"/>
              <w:wordWrap/>
              <w:overflowPunct/>
              <w:bidi w:val="0"/>
              <w:spacing w:line="360" w:lineRule="auto"/>
              <w:ind w:firstLine="518" w:firstLineChars="216"/>
              <w:jc w:val="left"/>
              <w:textAlignment w:val="auto"/>
              <w:rPr>
                <w:rFonts w:ascii="宋体" w:hAnsi="宋体" w:cs="仿宋"/>
                <w:kern w:val="2"/>
                <w:sz w:val="24"/>
                <w:szCs w:val="24"/>
                <w:highlight w:val="none"/>
              </w:rPr>
            </w:pPr>
          </w:p>
        </w:tc>
      </w:tr>
    </w:tbl>
    <w:p w14:paraId="666FDC0E">
      <w:pPr>
        <w:pageBreakBefore w:val="0"/>
        <w:wordWrap/>
        <w:overflowPunct/>
        <w:bidi w:val="0"/>
        <w:spacing w:line="360" w:lineRule="auto"/>
        <w:jc w:val="center"/>
        <w:rPr>
          <w:rFonts w:ascii="宋体" w:hAnsi="宋体"/>
          <w:b/>
          <w:bCs/>
          <w:color w:val="auto"/>
          <w:sz w:val="24"/>
          <w:szCs w:val="24"/>
          <w:highlight w:val="none"/>
        </w:rPr>
      </w:pPr>
    </w:p>
    <w:p w14:paraId="6C59EFEE">
      <w:pPr>
        <w:pageBreakBefore w:val="0"/>
        <w:widowControl w:val="0"/>
        <w:wordWrap/>
        <w:overflowPunct/>
        <w:bidi w:val="0"/>
        <w:spacing w:before="240" w:beforeLines="100" w:line="360" w:lineRule="auto"/>
        <w:ind w:firstLine="518" w:firstLineChars="216"/>
        <w:jc w:val="left"/>
        <w:textAlignment w:val="auto"/>
        <w:rPr>
          <w:rFonts w:ascii="宋体" w:hAnsi="宋体" w:cs="仿宋"/>
          <w:kern w:val="2"/>
          <w:sz w:val="24"/>
          <w:szCs w:val="24"/>
          <w:highlight w:val="none"/>
        </w:rPr>
      </w:pPr>
      <w:bookmarkStart w:id="234" w:name="_Toc303697559"/>
      <w:r>
        <w:rPr>
          <w:rFonts w:hint="eastAsia" w:ascii="宋体" w:hAnsi="宋体" w:cs="仿宋"/>
          <w:kern w:val="2"/>
          <w:sz w:val="24"/>
          <w:szCs w:val="24"/>
          <w:highlight w:val="none"/>
        </w:rPr>
        <w:t>法定代表人</w:t>
      </w:r>
      <w:bookmarkEnd w:id="234"/>
      <w:r>
        <w:rPr>
          <w:rFonts w:hint="eastAsia" w:ascii="宋体" w:hAnsi="宋体" w:cs="仿宋"/>
          <w:kern w:val="2"/>
          <w:sz w:val="24"/>
          <w:szCs w:val="24"/>
          <w:highlight w:val="none"/>
        </w:rPr>
        <w:t>：（法人电子签章）</w:t>
      </w:r>
    </w:p>
    <w:p w14:paraId="51567E69">
      <w:pPr>
        <w:pageBreakBefore w:val="0"/>
        <w:widowControl w:val="0"/>
        <w:wordWrap/>
        <w:overflowPunct/>
        <w:bidi w:val="0"/>
        <w:spacing w:before="240" w:beforeLines="100" w:line="360" w:lineRule="auto"/>
        <w:ind w:firstLine="518" w:firstLineChars="216"/>
        <w:jc w:val="left"/>
        <w:textAlignment w:val="auto"/>
        <w:rPr>
          <w:rFonts w:hint="eastAsia" w:ascii="宋体" w:hAnsi="宋体" w:cs="仿宋"/>
          <w:kern w:val="2"/>
          <w:sz w:val="24"/>
          <w:szCs w:val="24"/>
          <w:highlight w:val="none"/>
        </w:rPr>
      </w:pPr>
      <w:bookmarkStart w:id="235" w:name="_Toc309605966"/>
      <w:bookmarkEnd w:id="235"/>
      <w:bookmarkStart w:id="236" w:name="_Toc322654684"/>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w:t>
      </w:r>
      <w:bookmarkEnd w:id="236"/>
      <w:r>
        <w:rPr>
          <w:rFonts w:hint="eastAsia" w:ascii="宋体" w:hAnsi="宋体" w:cs="仿宋"/>
          <w:kern w:val="2"/>
          <w:sz w:val="24"/>
          <w:szCs w:val="24"/>
          <w:highlight w:val="none"/>
        </w:rPr>
        <w:t>（</w:t>
      </w:r>
      <w:r>
        <w:rPr>
          <w:rFonts w:hint="eastAsia" w:ascii="宋体" w:hAnsi="宋体" w:cs="仿宋"/>
          <w:kern w:val="2"/>
          <w:sz w:val="24"/>
          <w:szCs w:val="24"/>
          <w:highlight w:val="none"/>
          <w:lang w:eastAsia="zh-CN"/>
        </w:rPr>
        <w:t>单位电子公章</w:t>
      </w:r>
      <w:r>
        <w:rPr>
          <w:rFonts w:hint="eastAsia" w:ascii="宋体" w:hAnsi="宋体" w:cs="仿宋"/>
          <w:kern w:val="2"/>
          <w:sz w:val="24"/>
          <w:szCs w:val="24"/>
          <w:highlight w:val="none"/>
        </w:rPr>
        <w:t>）</w:t>
      </w:r>
    </w:p>
    <w:p w14:paraId="43D02B03">
      <w:pPr>
        <w:outlineLvl w:val="9"/>
        <w:rPr>
          <w:rFonts w:hint="eastAsia" w:ascii="宋体" w:hAnsi="宋体" w:cs="仿宋"/>
          <w:kern w:val="2"/>
          <w:sz w:val="24"/>
          <w:szCs w:val="24"/>
          <w:highlight w:val="none"/>
        </w:rPr>
      </w:pPr>
    </w:p>
    <w:p w14:paraId="335CFF2D"/>
    <w:p w14:paraId="7E3C7335">
      <w:pPr>
        <w:pageBreakBefore w:val="0"/>
        <w:widowControl w:val="0"/>
        <w:wordWrap/>
        <w:overflowPunct/>
        <w:bidi w:val="0"/>
        <w:spacing w:before="240" w:beforeLines="100" w:line="360" w:lineRule="auto"/>
        <w:ind w:firstLine="518" w:firstLineChars="216"/>
        <w:jc w:val="left"/>
        <w:textAlignment w:val="auto"/>
        <w:rPr>
          <w:rFonts w:ascii="宋体" w:hAnsi="宋体" w:cs="仿宋"/>
          <w:kern w:val="2"/>
          <w:sz w:val="24"/>
          <w:szCs w:val="24"/>
          <w:highlight w:val="none"/>
        </w:rPr>
      </w:pPr>
      <w:r>
        <w:rPr>
          <w:rFonts w:hint="eastAsia" w:ascii="宋体" w:hAnsi="宋体" w:cs="仿宋"/>
          <w:kern w:val="2"/>
          <w:sz w:val="24"/>
          <w:szCs w:val="24"/>
          <w:highlight w:val="none"/>
        </w:rPr>
        <w:t>注：</w:t>
      </w:r>
    </w:p>
    <w:p w14:paraId="701CBC20">
      <w:pPr>
        <w:pageBreakBefore w:val="0"/>
        <w:widowControl w:val="0"/>
        <w:wordWrap/>
        <w:overflowPunct/>
        <w:bidi w:val="0"/>
        <w:spacing w:line="360" w:lineRule="auto"/>
        <w:ind w:firstLine="518" w:firstLineChars="216"/>
        <w:jc w:val="left"/>
        <w:textAlignment w:val="auto"/>
        <w:rPr>
          <w:rFonts w:ascii="宋体" w:hAnsi="宋体" w:cs="仿宋"/>
          <w:kern w:val="2"/>
          <w:sz w:val="24"/>
          <w:szCs w:val="24"/>
          <w:highlight w:val="none"/>
        </w:rPr>
      </w:pPr>
      <w:r>
        <w:rPr>
          <w:rFonts w:hint="eastAsia" w:ascii="宋体" w:hAnsi="宋体" w:cs="仿宋"/>
          <w:kern w:val="2"/>
          <w:sz w:val="24"/>
          <w:szCs w:val="24"/>
          <w:highlight w:val="none"/>
        </w:rPr>
        <w:t>1.上述价格应包括</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履行本项目所必须的所有成本费用和</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应承担的一切税费，包括但不限于办公、交通、人员、业务、差旅、调研、资料收集、报告编制、印刷、管理、税费及其他管理费用等。此表中的投标总价应和投标函中的投标总价相一致；</w:t>
      </w:r>
    </w:p>
    <w:p w14:paraId="196A0BD7">
      <w:pPr>
        <w:pageBreakBefore w:val="0"/>
        <w:widowControl w:val="0"/>
        <w:wordWrap/>
        <w:overflowPunct/>
        <w:bidi w:val="0"/>
        <w:spacing w:line="360" w:lineRule="auto"/>
        <w:ind w:firstLine="518" w:firstLineChars="216"/>
        <w:jc w:val="left"/>
        <w:textAlignment w:val="auto"/>
        <w:rPr>
          <w:rFonts w:ascii="宋体" w:hAnsi="宋体" w:cs="仿宋"/>
          <w:kern w:val="2"/>
          <w:sz w:val="24"/>
          <w:szCs w:val="24"/>
          <w:highlight w:val="none"/>
        </w:rPr>
      </w:pPr>
      <w:r>
        <w:rPr>
          <w:rFonts w:hint="eastAsia" w:ascii="宋体" w:hAnsi="宋体" w:cs="仿宋"/>
          <w:kern w:val="2"/>
          <w:sz w:val="24"/>
          <w:szCs w:val="24"/>
          <w:highlight w:val="none"/>
        </w:rPr>
        <w:t>2.若用文字表示的数值与用数字表示的数值不一致，以文字表示的数值为准。</w:t>
      </w:r>
      <w:bookmarkStart w:id="237" w:name="_Toc266859802"/>
      <w:bookmarkEnd w:id="237"/>
      <w:bookmarkStart w:id="238" w:name="_Toc325383407"/>
      <w:bookmarkEnd w:id="238"/>
      <w:bookmarkStart w:id="239" w:name="_Toc325446133"/>
      <w:bookmarkEnd w:id="239"/>
      <w:bookmarkStart w:id="240" w:name="_Toc359842905"/>
      <w:bookmarkEnd w:id="240"/>
      <w:bookmarkStart w:id="241" w:name="_Toc324696984"/>
      <w:bookmarkEnd w:id="241"/>
      <w:bookmarkStart w:id="242" w:name="_Toc526072759"/>
      <w:bookmarkEnd w:id="242"/>
      <w:bookmarkStart w:id="243" w:name="_Toc321903857"/>
      <w:bookmarkEnd w:id="243"/>
    </w:p>
    <w:p w14:paraId="1CE577B2">
      <w:pPr>
        <w:pageBreakBefore w:val="0"/>
        <w:wordWrap/>
        <w:overflowPunct/>
        <w:bidi w:val="0"/>
        <w:spacing w:line="360" w:lineRule="auto"/>
        <w:ind w:firstLine="240"/>
        <w:rPr>
          <w:rFonts w:ascii="宋体" w:hAnsi="宋体"/>
          <w:color w:val="auto"/>
          <w:sz w:val="24"/>
          <w:szCs w:val="24"/>
          <w:highlight w:val="none"/>
        </w:rPr>
      </w:pPr>
    </w:p>
    <w:p w14:paraId="2A2D9C31">
      <w:pPr>
        <w:pageBreakBefore w:val="0"/>
        <w:wordWrap/>
        <w:overflowPunct/>
        <w:bidi w:val="0"/>
        <w:spacing w:line="360" w:lineRule="auto"/>
        <w:jc w:val="left"/>
        <w:textAlignment w:val="auto"/>
        <w:rPr>
          <w:rFonts w:ascii="宋体" w:hAnsi="宋体"/>
          <w:color w:val="auto"/>
          <w:sz w:val="24"/>
          <w:szCs w:val="24"/>
          <w:highlight w:val="none"/>
        </w:rPr>
      </w:pPr>
      <w:r>
        <w:rPr>
          <w:rFonts w:ascii="宋体" w:hAnsi="宋体"/>
          <w:color w:val="auto"/>
          <w:sz w:val="24"/>
          <w:szCs w:val="24"/>
          <w:highlight w:val="none"/>
        </w:rPr>
        <w:br w:type="page"/>
      </w:r>
    </w:p>
    <w:p w14:paraId="32CDC3F1">
      <w:pPr>
        <w:keepNext/>
        <w:keepLines/>
        <w:pageBreakBefore w:val="0"/>
        <w:widowControl w:val="0"/>
        <w:wordWrap/>
        <w:overflowPunct/>
        <w:bidi w:val="0"/>
        <w:spacing w:before="260" w:after="260" w:line="360" w:lineRule="auto"/>
        <w:jc w:val="center"/>
        <w:textAlignment w:val="auto"/>
        <w:outlineLvl w:val="1"/>
        <w:rPr>
          <w:rFonts w:ascii="宋体" w:hAnsi="宋体" w:eastAsia="黑体"/>
          <w:b/>
          <w:bCs/>
          <w:kern w:val="2"/>
          <w:sz w:val="24"/>
          <w:szCs w:val="24"/>
          <w:highlight w:val="none"/>
        </w:rPr>
      </w:pPr>
      <w:bookmarkStart w:id="244" w:name="_Toc81482973"/>
      <w:bookmarkStart w:id="245" w:name="_Toc14462"/>
      <w:bookmarkStart w:id="246" w:name="_Toc7193"/>
      <w:bookmarkStart w:id="247" w:name="_Toc452907957"/>
      <w:bookmarkStart w:id="248" w:name="_Toc312141140"/>
      <w:bookmarkStart w:id="249" w:name="_Toc395626667"/>
      <w:bookmarkStart w:id="250" w:name="_Toc422041010"/>
      <w:r>
        <w:rPr>
          <w:rFonts w:hint="eastAsia" w:ascii="宋体" w:hAnsi="宋体"/>
          <w:b/>
          <w:bCs/>
          <w:kern w:val="2"/>
          <w:sz w:val="24"/>
          <w:szCs w:val="24"/>
          <w:highlight w:val="none"/>
        </w:rPr>
        <w:t>三、法定代表人身份证明</w:t>
      </w:r>
      <w:bookmarkEnd w:id="244"/>
      <w:bookmarkEnd w:id="245"/>
    </w:p>
    <w:p w14:paraId="1AE2BA9C">
      <w:pPr>
        <w:pageBreakBefore w:val="0"/>
        <w:widowControl w:val="0"/>
        <w:wordWrap/>
        <w:overflowPunct/>
        <w:bidi w:val="0"/>
        <w:spacing w:line="360" w:lineRule="auto"/>
        <w:ind w:firstLine="480" w:firstLineChars="200"/>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供应商名称：</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 xml:space="preserve"> </w:t>
      </w:r>
    </w:p>
    <w:p w14:paraId="071DC625">
      <w:pPr>
        <w:pageBreakBefore w:val="0"/>
        <w:widowControl w:val="0"/>
        <w:wordWrap/>
        <w:overflowPunct/>
        <w:bidi w:val="0"/>
        <w:spacing w:line="360" w:lineRule="auto"/>
        <w:ind w:firstLine="480" w:firstLineChars="200"/>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单位性质：</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 xml:space="preserve"> </w:t>
      </w:r>
    </w:p>
    <w:p w14:paraId="1C473A42">
      <w:pPr>
        <w:pageBreakBefore w:val="0"/>
        <w:widowControl w:val="0"/>
        <w:wordWrap/>
        <w:overflowPunct/>
        <w:bidi w:val="0"/>
        <w:spacing w:line="360" w:lineRule="auto"/>
        <w:ind w:firstLine="480" w:firstLineChars="200"/>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地址：</w:t>
      </w:r>
      <w:r>
        <w:rPr>
          <w:rFonts w:hint="eastAsia" w:ascii="宋体" w:hAnsi="宋体" w:cs="宋体"/>
          <w:color w:val="auto"/>
          <w:kern w:val="2"/>
          <w:sz w:val="24"/>
          <w:szCs w:val="24"/>
          <w:highlight w:val="none"/>
          <w:u w:val="single"/>
        </w:rPr>
        <w:t xml:space="preserve">                                   </w:t>
      </w:r>
    </w:p>
    <w:p w14:paraId="7392AE05">
      <w:pPr>
        <w:pageBreakBefore w:val="0"/>
        <w:widowControl w:val="0"/>
        <w:wordWrap/>
        <w:overflowPunct/>
        <w:bidi w:val="0"/>
        <w:spacing w:line="360" w:lineRule="auto"/>
        <w:ind w:firstLine="480" w:firstLineChars="200"/>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成立时间：</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 xml:space="preserve"> 年</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 xml:space="preserve"> 月</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 xml:space="preserve"> 日</w:t>
      </w:r>
    </w:p>
    <w:p w14:paraId="5D2AF0EC">
      <w:pPr>
        <w:pageBreakBefore w:val="0"/>
        <w:widowControl w:val="0"/>
        <w:wordWrap/>
        <w:overflowPunct/>
        <w:bidi w:val="0"/>
        <w:spacing w:line="360" w:lineRule="auto"/>
        <w:ind w:firstLine="480" w:firstLineChars="200"/>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经营期限：</w:t>
      </w:r>
      <w:r>
        <w:rPr>
          <w:rFonts w:hint="eastAsia" w:ascii="宋体" w:hAnsi="宋体" w:cs="宋体"/>
          <w:color w:val="auto"/>
          <w:kern w:val="2"/>
          <w:sz w:val="24"/>
          <w:szCs w:val="24"/>
          <w:highlight w:val="none"/>
          <w:u w:val="single"/>
        </w:rPr>
        <w:t xml:space="preserve">                               </w:t>
      </w:r>
    </w:p>
    <w:p w14:paraId="5369785B">
      <w:pPr>
        <w:pageBreakBefore w:val="0"/>
        <w:widowControl w:val="0"/>
        <w:wordWrap/>
        <w:overflowPunct/>
        <w:bidi w:val="0"/>
        <w:spacing w:line="360" w:lineRule="auto"/>
        <w:ind w:firstLine="480" w:firstLineChars="200"/>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姓名：</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 xml:space="preserve"> 性别：</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 xml:space="preserve"> 年龄：</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职务：</w:t>
      </w:r>
      <w:r>
        <w:rPr>
          <w:rFonts w:hint="eastAsia" w:ascii="宋体" w:hAnsi="宋体" w:cs="宋体"/>
          <w:color w:val="auto"/>
          <w:kern w:val="2"/>
          <w:sz w:val="24"/>
          <w:szCs w:val="24"/>
          <w:highlight w:val="none"/>
          <w:u w:val="single"/>
        </w:rPr>
        <w:t xml:space="preserve">        </w:t>
      </w:r>
    </w:p>
    <w:p w14:paraId="103B271C">
      <w:pPr>
        <w:pageBreakBefore w:val="0"/>
        <w:widowControl w:val="0"/>
        <w:wordWrap/>
        <w:overflowPunct/>
        <w:bidi w:val="0"/>
        <w:spacing w:line="360" w:lineRule="auto"/>
        <w:ind w:firstLine="480" w:firstLineChars="200"/>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系</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 xml:space="preserve"> （供应商名称）的法定代表人。</w:t>
      </w:r>
    </w:p>
    <w:p w14:paraId="48580DCD">
      <w:pPr>
        <w:pageBreakBefore w:val="0"/>
        <w:widowControl w:val="0"/>
        <w:wordWrap/>
        <w:overflowPunct/>
        <w:bidi w:val="0"/>
        <w:spacing w:line="360" w:lineRule="auto"/>
        <w:ind w:firstLine="480" w:firstLineChars="200"/>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特此证明。</w:t>
      </w:r>
    </w:p>
    <w:p w14:paraId="751646E3">
      <w:pPr>
        <w:pageBreakBefore w:val="0"/>
        <w:widowControl w:val="0"/>
        <w:wordWrap/>
        <w:overflowPunct/>
        <w:bidi w:val="0"/>
        <w:spacing w:line="360" w:lineRule="auto"/>
        <w:ind w:firstLine="808" w:firstLineChars="337"/>
        <w:textAlignment w:val="auto"/>
        <w:rPr>
          <w:color w:val="auto"/>
          <w:kern w:val="2"/>
          <w:sz w:val="24"/>
          <w:szCs w:val="24"/>
          <w:highlight w:val="none"/>
        </w:rPr>
      </w:pPr>
    </w:p>
    <w:p w14:paraId="10655737">
      <w:pPr>
        <w:pageBreakBefore w:val="0"/>
        <w:widowControl w:val="0"/>
        <w:wordWrap/>
        <w:overflowPunct/>
        <w:bidi w:val="0"/>
        <w:spacing w:line="360" w:lineRule="auto"/>
        <w:ind w:firstLine="808" w:firstLineChars="337"/>
        <w:jc w:val="right"/>
        <w:textAlignment w:val="auto"/>
        <w:rPr>
          <w:color w:val="auto"/>
          <w:kern w:val="2"/>
          <w:sz w:val="24"/>
          <w:szCs w:val="24"/>
          <w:highlight w:val="none"/>
        </w:rPr>
      </w:pPr>
      <w:r>
        <w:rPr>
          <w:color w:val="auto"/>
          <w:kern w:val="2"/>
          <w:sz w:val="24"/>
          <w:szCs w:val="24"/>
          <w:highlight w:val="none"/>
        </w:rPr>
        <w:t xml:space="preserve">                          </w:t>
      </w:r>
      <w:r>
        <w:rPr>
          <w:rFonts w:hint="eastAsia"/>
          <w:color w:val="auto"/>
          <w:kern w:val="2"/>
          <w:sz w:val="24"/>
          <w:szCs w:val="24"/>
          <w:highlight w:val="none"/>
        </w:rPr>
        <w:t>供应商</w:t>
      </w:r>
      <w:r>
        <w:rPr>
          <w:color w:val="auto"/>
          <w:kern w:val="2"/>
          <w:sz w:val="24"/>
          <w:szCs w:val="24"/>
          <w:highlight w:val="none"/>
        </w:rPr>
        <w:t>：</w:t>
      </w:r>
      <w:r>
        <w:rPr>
          <w:color w:val="auto"/>
          <w:kern w:val="2"/>
          <w:sz w:val="24"/>
          <w:szCs w:val="24"/>
          <w:highlight w:val="none"/>
          <w:u w:val="single"/>
        </w:rPr>
        <w:t xml:space="preserve">                 </w:t>
      </w:r>
      <w:r>
        <w:rPr>
          <w:color w:val="auto"/>
          <w:kern w:val="2"/>
          <w:sz w:val="24"/>
          <w:szCs w:val="24"/>
          <w:highlight w:val="none"/>
        </w:rPr>
        <w:t>（</w:t>
      </w:r>
      <w:r>
        <w:rPr>
          <w:rFonts w:hint="eastAsia" w:ascii="宋体" w:hAnsi="宋体"/>
          <w:color w:val="auto"/>
          <w:sz w:val="24"/>
          <w:szCs w:val="24"/>
          <w:highlight w:val="none"/>
        </w:rPr>
        <w:t>单位电子</w:t>
      </w:r>
      <w:r>
        <w:rPr>
          <w:rFonts w:hint="eastAsia" w:ascii="宋体" w:hAnsi="宋体"/>
          <w:color w:val="auto"/>
          <w:sz w:val="24"/>
          <w:szCs w:val="24"/>
          <w:highlight w:val="none"/>
          <w:lang w:val="en-US" w:eastAsia="zh-CN"/>
        </w:rPr>
        <w:t>公</w:t>
      </w:r>
      <w:r>
        <w:rPr>
          <w:rFonts w:hint="eastAsia" w:ascii="宋体" w:hAnsi="宋体"/>
          <w:color w:val="auto"/>
          <w:sz w:val="24"/>
          <w:szCs w:val="24"/>
          <w:highlight w:val="none"/>
        </w:rPr>
        <w:t>章</w:t>
      </w:r>
      <w:r>
        <w:rPr>
          <w:color w:val="auto"/>
          <w:kern w:val="2"/>
          <w:sz w:val="24"/>
          <w:szCs w:val="24"/>
          <w:highlight w:val="none"/>
        </w:rPr>
        <w:t>）</w:t>
      </w:r>
    </w:p>
    <w:p w14:paraId="1ACF9826">
      <w:pPr>
        <w:pageBreakBefore w:val="0"/>
        <w:widowControl w:val="0"/>
        <w:wordWrap/>
        <w:overflowPunct/>
        <w:bidi w:val="0"/>
        <w:spacing w:line="360" w:lineRule="auto"/>
        <w:ind w:firstLine="808" w:firstLineChars="337"/>
        <w:jc w:val="right"/>
        <w:textAlignment w:val="auto"/>
        <w:rPr>
          <w:color w:val="auto"/>
          <w:kern w:val="2"/>
          <w:sz w:val="24"/>
          <w:szCs w:val="24"/>
          <w:highlight w:val="none"/>
        </w:rPr>
      </w:pPr>
      <w:r>
        <w:rPr>
          <w:color w:val="auto"/>
          <w:kern w:val="2"/>
          <w:sz w:val="24"/>
          <w:szCs w:val="24"/>
          <w:highlight w:val="none"/>
        </w:rPr>
        <w:t xml:space="preserve">                                </w:t>
      </w:r>
      <w:r>
        <w:rPr>
          <w:rFonts w:hint="eastAsia"/>
          <w:color w:val="auto"/>
          <w:kern w:val="2"/>
          <w:sz w:val="24"/>
          <w:szCs w:val="24"/>
          <w:highlight w:val="none"/>
        </w:rPr>
        <w:t xml:space="preserve">   </w:t>
      </w:r>
      <w:r>
        <w:rPr>
          <w:color w:val="auto"/>
          <w:kern w:val="2"/>
          <w:sz w:val="24"/>
          <w:szCs w:val="24"/>
          <w:highlight w:val="none"/>
          <w:u w:val="single"/>
        </w:rPr>
        <w:t xml:space="preserve">       </w:t>
      </w:r>
      <w:r>
        <w:rPr>
          <w:color w:val="auto"/>
          <w:kern w:val="2"/>
          <w:sz w:val="24"/>
          <w:szCs w:val="24"/>
          <w:highlight w:val="none"/>
        </w:rPr>
        <w:t>年</w:t>
      </w:r>
      <w:r>
        <w:rPr>
          <w:color w:val="auto"/>
          <w:kern w:val="2"/>
          <w:sz w:val="24"/>
          <w:szCs w:val="24"/>
          <w:highlight w:val="none"/>
          <w:u w:val="single"/>
        </w:rPr>
        <w:t xml:space="preserve">       </w:t>
      </w:r>
      <w:r>
        <w:rPr>
          <w:color w:val="auto"/>
          <w:kern w:val="2"/>
          <w:sz w:val="24"/>
          <w:szCs w:val="24"/>
          <w:highlight w:val="none"/>
        </w:rPr>
        <w:t>月</w:t>
      </w:r>
      <w:r>
        <w:rPr>
          <w:color w:val="auto"/>
          <w:kern w:val="2"/>
          <w:sz w:val="24"/>
          <w:szCs w:val="24"/>
          <w:highlight w:val="none"/>
          <w:u w:val="single"/>
        </w:rPr>
        <w:t xml:space="preserve">       </w:t>
      </w:r>
      <w:r>
        <w:rPr>
          <w:color w:val="auto"/>
          <w:kern w:val="2"/>
          <w:sz w:val="24"/>
          <w:szCs w:val="24"/>
          <w:highlight w:val="none"/>
        </w:rPr>
        <w:t xml:space="preserve">日 </w:t>
      </w:r>
    </w:p>
    <w:p w14:paraId="290CA201">
      <w:pPr>
        <w:pageBreakBefore w:val="0"/>
        <w:widowControl w:val="0"/>
        <w:wordWrap/>
        <w:overflowPunct/>
        <w:bidi w:val="0"/>
        <w:spacing w:line="360" w:lineRule="auto"/>
        <w:ind w:firstLine="480" w:firstLineChars="200"/>
        <w:jc w:val="center"/>
        <w:textAlignment w:val="auto"/>
        <w:rPr>
          <w:rFonts w:ascii="宋体" w:hAnsi="宋体"/>
          <w:kern w:val="2"/>
          <w:sz w:val="24"/>
          <w:szCs w:val="24"/>
          <w:highlight w:val="none"/>
        </w:rPr>
      </w:pPr>
    </w:p>
    <w:p w14:paraId="443BAC18">
      <w:pPr>
        <w:pageBreakBefore w:val="0"/>
        <w:widowControl w:val="0"/>
        <w:wordWrap/>
        <w:overflowPunct/>
        <w:bidi w:val="0"/>
        <w:spacing w:line="360" w:lineRule="auto"/>
        <w:ind w:firstLine="808" w:firstLineChars="337"/>
        <w:textAlignment w:val="auto"/>
        <w:rPr>
          <w:color w:val="auto"/>
          <w:kern w:val="2"/>
          <w:sz w:val="24"/>
          <w:szCs w:val="24"/>
          <w:highlight w:val="none"/>
        </w:rPr>
      </w:pPr>
      <w:r>
        <w:rPr>
          <w:rFonts w:hint="eastAsia"/>
          <w:color w:val="auto"/>
          <w:kern w:val="2"/>
          <w:sz w:val="24"/>
          <w:szCs w:val="24"/>
          <w:highlight w:val="none"/>
        </w:rPr>
        <w:t>后附法定代表人身份证扫描件或复印件</w:t>
      </w:r>
    </w:p>
    <w:p w14:paraId="64AFBCAE">
      <w:pPr>
        <w:keepNext/>
        <w:keepLines/>
        <w:pageBreakBefore w:val="0"/>
        <w:widowControl w:val="0"/>
        <w:wordWrap/>
        <w:overflowPunct/>
        <w:bidi w:val="0"/>
        <w:spacing w:before="260" w:after="260" w:line="360" w:lineRule="auto"/>
        <w:jc w:val="center"/>
        <w:textAlignment w:val="auto"/>
        <w:outlineLvl w:val="1"/>
        <w:rPr>
          <w:rFonts w:ascii="宋体" w:hAnsi="宋体" w:eastAsia="黑体"/>
          <w:b/>
          <w:bCs/>
          <w:kern w:val="2"/>
          <w:sz w:val="24"/>
          <w:szCs w:val="24"/>
          <w:highlight w:val="none"/>
        </w:rPr>
      </w:pPr>
      <w:r>
        <w:rPr>
          <w:rFonts w:hint="eastAsia" w:ascii="宋体" w:hAnsi="宋体" w:eastAsia="黑体"/>
          <w:b/>
          <w:bCs/>
          <w:kern w:val="2"/>
          <w:sz w:val="24"/>
          <w:szCs w:val="24"/>
          <w:highlight w:val="none"/>
        </w:rPr>
        <w:br w:type="page"/>
      </w:r>
      <w:bookmarkStart w:id="251" w:name="_Toc4398"/>
      <w:bookmarkStart w:id="252" w:name="_Toc81482974"/>
      <w:r>
        <w:rPr>
          <w:rFonts w:hint="eastAsia" w:ascii="宋体" w:hAnsi="宋体"/>
          <w:b/>
          <w:bCs/>
          <w:kern w:val="2"/>
          <w:sz w:val="24"/>
          <w:szCs w:val="24"/>
          <w:highlight w:val="none"/>
        </w:rPr>
        <w:t>四、授权委托书</w:t>
      </w:r>
      <w:bookmarkEnd w:id="251"/>
      <w:bookmarkEnd w:id="252"/>
    </w:p>
    <w:p w14:paraId="44E64184">
      <w:pPr>
        <w:pageBreakBefore w:val="0"/>
        <w:widowControl w:val="0"/>
        <w:wordWrap/>
        <w:overflowPunct/>
        <w:topLinePunct/>
        <w:bidi w:val="0"/>
        <w:spacing w:line="360" w:lineRule="auto"/>
        <w:ind w:firstLine="480" w:firstLineChars="200"/>
        <w:textAlignment w:val="auto"/>
        <w:rPr>
          <w:rFonts w:ascii="宋体" w:hAnsi="宋体"/>
          <w:kern w:val="2"/>
          <w:sz w:val="24"/>
          <w:szCs w:val="24"/>
          <w:highlight w:val="none"/>
        </w:rPr>
      </w:pPr>
      <w:r>
        <w:rPr>
          <w:rFonts w:hint="eastAsia" w:ascii="宋体" w:hAnsi="宋体"/>
          <w:kern w:val="2"/>
          <w:sz w:val="24"/>
          <w:szCs w:val="24"/>
          <w:highlight w:val="none"/>
        </w:rPr>
        <w:t>本人</w:t>
      </w:r>
      <w:r>
        <w:rPr>
          <w:rFonts w:hint="eastAsia" w:ascii="宋体" w:hAnsi="宋体"/>
          <w:kern w:val="2"/>
          <w:sz w:val="24"/>
          <w:szCs w:val="24"/>
          <w:highlight w:val="none"/>
          <w:u w:val="single"/>
        </w:rPr>
        <w:t xml:space="preserve"> </w:t>
      </w:r>
      <w:r>
        <w:rPr>
          <w:rFonts w:ascii="宋体" w:hAnsi="宋体"/>
          <w:kern w:val="2"/>
          <w:sz w:val="24"/>
          <w:szCs w:val="24"/>
          <w:highlight w:val="none"/>
          <w:u w:val="single"/>
        </w:rPr>
        <w:t xml:space="preserve">        </w:t>
      </w:r>
      <w:r>
        <w:rPr>
          <w:rFonts w:hint="eastAsia" w:ascii="宋体" w:hAnsi="宋体"/>
          <w:kern w:val="2"/>
          <w:sz w:val="24"/>
          <w:szCs w:val="24"/>
          <w:highlight w:val="none"/>
        </w:rPr>
        <w:t>（姓名）系</w:t>
      </w:r>
      <w:r>
        <w:rPr>
          <w:rFonts w:hint="eastAsia" w:ascii="宋体" w:hAnsi="宋体"/>
          <w:kern w:val="2"/>
          <w:sz w:val="24"/>
          <w:szCs w:val="24"/>
          <w:highlight w:val="none"/>
          <w:u w:val="single"/>
        </w:rPr>
        <w:t xml:space="preserve"> </w:t>
      </w:r>
      <w:r>
        <w:rPr>
          <w:rFonts w:ascii="宋体" w:hAnsi="宋体"/>
          <w:kern w:val="2"/>
          <w:sz w:val="24"/>
          <w:szCs w:val="24"/>
          <w:highlight w:val="none"/>
          <w:u w:val="single"/>
        </w:rPr>
        <w:t xml:space="preserve">       </w:t>
      </w:r>
      <w:r>
        <w:rPr>
          <w:rFonts w:hint="eastAsia" w:ascii="宋体" w:hAnsi="宋体"/>
          <w:kern w:val="2"/>
          <w:sz w:val="24"/>
          <w:szCs w:val="24"/>
          <w:highlight w:val="none"/>
        </w:rPr>
        <w:t>（供应商名称）的法定代表人，现委托</w:t>
      </w:r>
      <w:r>
        <w:rPr>
          <w:rFonts w:hint="eastAsia" w:ascii="宋体" w:hAnsi="宋体"/>
          <w:kern w:val="2"/>
          <w:sz w:val="24"/>
          <w:szCs w:val="24"/>
          <w:highlight w:val="none"/>
          <w:u w:val="single"/>
        </w:rPr>
        <w:t xml:space="preserve"> </w:t>
      </w:r>
      <w:r>
        <w:rPr>
          <w:rFonts w:ascii="宋体" w:hAnsi="宋体"/>
          <w:kern w:val="2"/>
          <w:sz w:val="24"/>
          <w:szCs w:val="24"/>
          <w:highlight w:val="none"/>
          <w:u w:val="single"/>
        </w:rPr>
        <w:t xml:space="preserve">          </w:t>
      </w:r>
      <w:r>
        <w:rPr>
          <w:rFonts w:hint="eastAsia" w:ascii="宋体" w:hAnsi="宋体"/>
          <w:kern w:val="2"/>
          <w:sz w:val="24"/>
          <w:szCs w:val="24"/>
          <w:highlight w:val="none"/>
        </w:rPr>
        <w:t>（姓名）为我方代理人。代理人根据授权，以我方名义签署、澄清、说明、补正、递交、撤回、修改</w:t>
      </w:r>
      <w:r>
        <w:rPr>
          <w:rFonts w:hint="eastAsia" w:ascii="宋体" w:hAnsi="宋体"/>
          <w:kern w:val="2"/>
          <w:sz w:val="24"/>
          <w:szCs w:val="24"/>
          <w:highlight w:val="none"/>
          <w:u w:val="single"/>
        </w:rPr>
        <w:t xml:space="preserve"> </w:t>
      </w:r>
      <w:r>
        <w:rPr>
          <w:rFonts w:ascii="宋体" w:hAnsi="宋体"/>
          <w:kern w:val="2"/>
          <w:sz w:val="24"/>
          <w:szCs w:val="24"/>
          <w:highlight w:val="none"/>
          <w:u w:val="single"/>
        </w:rPr>
        <w:t xml:space="preserve">          </w:t>
      </w:r>
      <w:r>
        <w:rPr>
          <w:rFonts w:hint="eastAsia" w:ascii="宋体" w:hAnsi="宋体"/>
          <w:kern w:val="2"/>
          <w:sz w:val="24"/>
          <w:szCs w:val="24"/>
          <w:highlight w:val="none"/>
        </w:rPr>
        <w:t>（项目名称）响应文件、签订合同和处理有关事宜，其法律后果由我方承担。</w:t>
      </w:r>
    </w:p>
    <w:p w14:paraId="506C4AC8">
      <w:pPr>
        <w:pageBreakBefore w:val="0"/>
        <w:widowControl w:val="0"/>
        <w:wordWrap/>
        <w:overflowPunct/>
        <w:bidi w:val="0"/>
        <w:spacing w:line="360" w:lineRule="auto"/>
        <w:ind w:firstLine="480" w:firstLineChars="200"/>
        <w:textAlignment w:val="auto"/>
        <w:rPr>
          <w:rFonts w:ascii="宋体" w:hAnsi="宋体"/>
          <w:kern w:val="2"/>
          <w:sz w:val="24"/>
          <w:szCs w:val="24"/>
          <w:highlight w:val="none"/>
        </w:rPr>
      </w:pPr>
      <w:r>
        <w:rPr>
          <w:rFonts w:hint="eastAsia" w:ascii="宋体" w:hAnsi="宋体"/>
          <w:kern w:val="2"/>
          <w:sz w:val="24"/>
          <w:szCs w:val="24"/>
          <w:highlight w:val="none"/>
        </w:rPr>
        <w:t>委托期限：</w:t>
      </w:r>
      <w:r>
        <w:rPr>
          <w:rFonts w:hint="eastAsia" w:ascii="宋体" w:hAnsi="宋体"/>
          <w:kern w:val="2"/>
          <w:sz w:val="24"/>
          <w:szCs w:val="24"/>
          <w:highlight w:val="none"/>
          <w:u w:val="single"/>
        </w:rPr>
        <w:t xml:space="preserve"> </w:t>
      </w:r>
      <w:r>
        <w:rPr>
          <w:rFonts w:ascii="宋体" w:hAnsi="宋体"/>
          <w:kern w:val="2"/>
          <w:sz w:val="24"/>
          <w:szCs w:val="24"/>
          <w:highlight w:val="none"/>
          <w:u w:val="single"/>
        </w:rPr>
        <w:t xml:space="preserve">    </w:t>
      </w:r>
      <w:r>
        <w:rPr>
          <w:rFonts w:hint="eastAsia" w:ascii="宋体" w:hAnsi="宋体"/>
          <w:kern w:val="2"/>
          <w:sz w:val="24"/>
          <w:szCs w:val="24"/>
          <w:highlight w:val="none"/>
          <w:u w:val="single"/>
          <w:lang w:val="en-US" w:eastAsia="zh-CN"/>
        </w:rPr>
        <w:t xml:space="preserve">   </w:t>
      </w:r>
      <w:r>
        <w:rPr>
          <w:rFonts w:ascii="宋体" w:hAnsi="宋体"/>
          <w:kern w:val="2"/>
          <w:sz w:val="24"/>
          <w:szCs w:val="24"/>
          <w:highlight w:val="none"/>
          <w:u w:val="single"/>
        </w:rPr>
        <w:t xml:space="preserve">      </w:t>
      </w:r>
      <w:r>
        <w:rPr>
          <w:rFonts w:hint="eastAsia" w:ascii="宋体" w:hAnsi="宋体"/>
          <w:kern w:val="2"/>
          <w:sz w:val="24"/>
          <w:szCs w:val="24"/>
          <w:highlight w:val="none"/>
        </w:rPr>
        <w:t>。</w:t>
      </w:r>
    </w:p>
    <w:p w14:paraId="657DAEB9">
      <w:pPr>
        <w:pageBreakBefore w:val="0"/>
        <w:widowControl w:val="0"/>
        <w:wordWrap/>
        <w:overflowPunct/>
        <w:bidi w:val="0"/>
        <w:spacing w:line="360" w:lineRule="auto"/>
        <w:ind w:firstLine="480" w:firstLineChars="200"/>
        <w:textAlignment w:val="auto"/>
        <w:rPr>
          <w:rFonts w:ascii="宋体" w:hAnsi="宋体"/>
          <w:kern w:val="2"/>
          <w:sz w:val="24"/>
          <w:szCs w:val="24"/>
          <w:highlight w:val="none"/>
        </w:rPr>
      </w:pPr>
      <w:r>
        <w:rPr>
          <w:rFonts w:hint="eastAsia" w:ascii="宋体" w:hAnsi="宋体"/>
          <w:kern w:val="2"/>
          <w:sz w:val="24"/>
          <w:szCs w:val="24"/>
          <w:highlight w:val="none"/>
        </w:rPr>
        <w:t>代理人无转委托权。</w:t>
      </w:r>
    </w:p>
    <w:p w14:paraId="21A4E7C5">
      <w:pPr>
        <w:pageBreakBefore w:val="0"/>
        <w:widowControl w:val="0"/>
        <w:wordWrap/>
        <w:overflowPunct/>
        <w:bidi w:val="0"/>
        <w:spacing w:line="360" w:lineRule="auto"/>
        <w:jc w:val="left"/>
        <w:textAlignment w:val="auto"/>
        <w:rPr>
          <w:rFonts w:ascii="宋体" w:hAnsi="Calibri"/>
          <w:kern w:val="2"/>
          <w:sz w:val="24"/>
          <w:szCs w:val="24"/>
          <w:highlight w:val="none"/>
        </w:rPr>
      </w:pPr>
    </w:p>
    <w:p w14:paraId="4E5C2E02">
      <w:pPr>
        <w:pageBreakBefore w:val="0"/>
        <w:widowControl w:val="0"/>
        <w:wordWrap/>
        <w:overflowPunct/>
        <w:bidi w:val="0"/>
        <w:spacing w:line="360" w:lineRule="auto"/>
        <w:ind w:firstLine="3600" w:firstLineChars="1500"/>
        <w:textAlignment w:val="auto"/>
        <w:rPr>
          <w:rFonts w:ascii="宋体" w:hAnsi="宋体"/>
          <w:bCs/>
          <w:kern w:val="2"/>
          <w:sz w:val="24"/>
          <w:szCs w:val="24"/>
          <w:highlight w:val="none"/>
          <w:u w:val="single"/>
        </w:rPr>
      </w:pPr>
      <w:r>
        <w:rPr>
          <w:rFonts w:hint="eastAsia" w:ascii="宋体" w:hAnsi="宋体"/>
          <w:bCs/>
          <w:kern w:val="2"/>
          <w:sz w:val="24"/>
          <w:szCs w:val="24"/>
          <w:highlight w:val="none"/>
        </w:rPr>
        <w:t>供应商：</w:t>
      </w:r>
      <w:r>
        <w:rPr>
          <w:rFonts w:hint="eastAsia" w:ascii="宋体" w:hAnsi="宋体"/>
          <w:bCs/>
          <w:kern w:val="2"/>
          <w:sz w:val="24"/>
          <w:szCs w:val="24"/>
          <w:highlight w:val="none"/>
          <w:u w:val="single" w:color="auto"/>
        </w:rPr>
        <w:t xml:space="preserve">单位电子公章 </w:t>
      </w:r>
      <w:r>
        <w:rPr>
          <w:rFonts w:hint="eastAsia" w:ascii="宋体" w:hAnsi="宋体"/>
          <w:bCs/>
          <w:kern w:val="2"/>
          <w:sz w:val="24"/>
          <w:szCs w:val="24"/>
          <w:highlight w:val="none"/>
          <w:u w:val="single"/>
        </w:rPr>
        <w:t xml:space="preserve">    </w:t>
      </w:r>
    </w:p>
    <w:p w14:paraId="415DDA78">
      <w:pPr>
        <w:pageBreakBefore w:val="0"/>
        <w:widowControl w:val="0"/>
        <w:wordWrap/>
        <w:overflowPunct/>
        <w:bidi w:val="0"/>
        <w:spacing w:line="360" w:lineRule="auto"/>
        <w:ind w:firstLine="480" w:firstLineChars="200"/>
        <w:textAlignment w:val="auto"/>
        <w:rPr>
          <w:rFonts w:ascii="宋体" w:hAnsi="宋体"/>
          <w:bCs/>
          <w:kern w:val="2"/>
          <w:sz w:val="24"/>
          <w:szCs w:val="24"/>
          <w:highlight w:val="none"/>
        </w:rPr>
      </w:pPr>
    </w:p>
    <w:p w14:paraId="4892FBF8">
      <w:pPr>
        <w:pageBreakBefore w:val="0"/>
        <w:widowControl w:val="0"/>
        <w:wordWrap/>
        <w:overflowPunct/>
        <w:bidi w:val="0"/>
        <w:spacing w:line="360" w:lineRule="auto"/>
        <w:ind w:firstLine="480" w:firstLineChars="200"/>
        <w:textAlignment w:val="auto"/>
        <w:rPr>
          <w:rFonts w:ascii="宋体" w:hAnsi="宋体"/>
          <w:bCs/>
          <w:kern w:val="2"/>
          <w:sz w:val="24"/>
          <w:szCs w:val="24"/>
          <w:highlight w:val="none"/>
          <w:u w:val="single"/>
        </w:rPr>
      </w:pPr>
      <w:r>
        <w:rPr>
          <w:rFonts w:hint="eastAsia" w:ascii="宋体" w:hAnsi="宋体"/>
          <w:bCs/>
          <w:kern w:val="2"/>
          <w:sz w:val="24"/>
          <w:szCs w:val="24"/>
          <w:highlight w:val="none"/>
        </w:rPr>
        <w:t xml:space="preserve">                         法定代表人：</w:t>
      </w:r>
      <w:r>
        <w:rPr>
          <w:rFonts w:hint="eastAsia" w:ascii="宋体" w:hAnsi="宋体"/>
          <w:bCs/>
          <w:kern w:val="2"/>
          <w:sz w:val="24"/>
          <w:szCs w:val="24"/>
          <w:highlight w:val="none"/>
          <w:u w:val="single"/>
        </w:rPr>
        <w:t xml:space="preserve">        （电子签章）</w:t>
      </w:r>
    </w:p>
    <w:p w14:paraId="49D932C8">
      <w:pPr>
        <w:pageBreakBefore w:val="0"/>
        <w:widowControl w:val="0"/>
        <w:wordWrap/>
        <w:overflowPunct/>
        <w:bidi w:val="0"/>
        <w:spacing w:line="360" w:lineRule="auto"/>
        <w:ind w:firstLine="480" w:firstLineChars="200"/>
        <w:textAlignment w:val="auto"/>
        <w:rPr>
          <w:rFonts w:ascii="宋体" w:hAnsi="宋体"/>
          <w:bCs/>
          <w:kern w:val="2"/>
          <w:sz w:val="24"/>
          <w:szCs w:val="24"/>
          <w:highlight w:val="none"/>
        </w:rPr>
      </w:pPr>
    </w:p>
    <w:p w14:paraId="2C7E0CC2">
      <w:pPr>
        <w:pageBreakBefore w:val="0"/>
        <w:widowControl w:val="0"/>
        <w:wordWrap/>
        <w:overflowPunct/>
        <w:bidi w:val="0"/>
        <w:spacing w:line="360" w:lineRule="auto"/>
        <w:ind w:firstLine="3480" w:firstLineChars="1450"/>
        <w:textAlignment w:val="auto"/>
        <w:rPr>
          <w:rFonts w:ascii="宋体" w:hAnsi="宋体"/>
          <w:bCs/>
          <w:kern w:val="2"/>
          <w:sz w:val="24"/>
          <w:szCs w:val="24"/>
          <w:highlight w:val="none"/>
          <w:u w:val="single"/>
        </w:rPr>
      </w:pPr>
      <w:r>
        <w:rPr>
          <w:rFonts w:hint="eastAsia" w:ascii="宋体" w:hAnsi="宋体"/>
          <w:bCs/>
          <w:kern w:val="2"/>
          <w:sz w:val="24"/>
          <w:szCs w:val="24"/>
          <w:highlight w:val="none"/>
        </w:rPr>
        <w:t>委托代理人：</w:t>
      </w:r>
      <w:r>
        <w:rPr>
          <w:rFonts w:hint="eastAsia" w:ascii="宋体" w:hAnsi="宋体"/>
          <w:bCs/>
          <w:kern w:val="2"/>
          <w:sz w:val="24"/>
          <w:szCs w:val="24"/>
          <w:highlight w:val="none"/>
          <w:u w:val="single"/>
        </w:rPr>
        <w:t xml:space="preserve"> </w:t>
      </w:r>
      <w:r>
        <w:rPr>
          <w:rFonts w:ascii="宋体" w:hAnsi="宋体"/>
          <w:bCs/>
          <w:kern w:val="2"/>
          <w:sz w:val="24"/>
          <w:szCs w:val="24"/>
          <w:highlight w:val="none"/>
          <w:u w:val="single"/>
        </w:rPr>
        <w:t xml:space="preserve">   </w:t>
      </w:r>
      <w:r>
        <w:rPr>
          <w:rFonts w:hint="eastAsia" w:ascii="宋体" w:hAnsi="宋体"/>
          <w:bCs/>
          <w:kern w:val="2"/>
          <w:sz w:val="24"/>
          <w:szCs w:val="24"/>
          <w:highlight w:val="none"/>
          <w:u w:val="single"/>
        </w:rPr>
        <w:t>（签字或法定代表人电子签章）</w:t>
      </w:r>
    </w:p>
    <w:p w14:paraId="7ABC29BE">
      <w:pPr>
        <w:pageBreakBefore w:val="0"/>
        <w:widowControl w:val="0"/>
        <w:wordWrap/>
        <w:overflowPunct/>
        <w:bidi w:val="0"/>
        <w:spacing w:line="360" w:lineRule="auto"/>
        <w:ind w:firstLine="480" w:firstLineChars="200"/>
        <w:textAlignment w:val="auto"/>
        <w:rPr>
          <w:rFonts w:ascii="宋体" w:hAnsi="宋体"/>
          <w:bCs/>
          <w:kern w:val="2"/>
          <w:sz w:val="24"/>
          <w:szCs w:val="24"/>
          <w:highlight w:val="none"/>
        </w:rPr>
      </w:pPr>
    </w:p>
    <w:p w14:paraId="1F9A51DD">
      <w:pPr>
        <w:pageBreakBefore w:val="0"/>
        <w:widowControl w:val="0"/>
        <w:wordWrap/>
        <w:overflowPunct/>
        <w:bidi w:val="0"/>
        <w:spacing w:line="360" w:lineRule="auto"/>
        <w:ind w:firstLine="480" w:firstLineChars="200"/>
        <w:jc w:val="center"/>
        <w:textAlignment w:val="auto"/>
        <w:rPr>
          <w:rFonts w:ascii="宋体" w:hAnsi="宋体"/>
          <w:kern w:val="2"/>
          <w:sz w:val="24"/>
          <w:szCs w:val="24"/>
          <w:highlight w:val="none"/>
        </w:rPr>
      </w:pPr>
      <w:r>
        <w:rPr>
          <w:rFonts w:hint="eastAsia" w:ascii="宋体" w:hAnsi="宋体"/>
          <w:kern w:val="2"/>
          <w:sz w:val="24"/>
          <w:szCs w:val="24"/>
          <w:highlight w:val="none"/>
        </w:rPr>
        <w:t>年月日</w:t>
      </w:r>
    </w:p>
    <w:p w14:paraId="7E435E3A">
      <w:pPr>
        <w:pageBreakBefore w:val="0"/>
        <w:widowControl w:val="0"/>
        <w:wordWrap/>
        <w:overflowPunct/>
        <w:bidi w:val="0"/>
        <w:spacing w:line="360" w:lineRule="auto"/>
        <w:ind w:firstLine="480" w:firstLineChars="200"/>
        <w:textAlignment w:val="auto"/>
        <w:rPr>
          <w:rFonts w:ascii="宋体" w:hAnsi="宋体"/>
          <w:bCs/>
          <w:kern w:val="2"/>
          <w:sz w:val="24"/>
          <w:szCs w:val="24"/>
          <w:highlight w:val="none"/>
        </w:rPr>
      </w:pPr>
    </w:p>
    <w:p w14:paraId="2BF98536">
      <w:pPr>
        <w:pageBreakBefore w:val="0"/>
        <w:widowControl w:val="0"/>
        <w:wordWrap/>
        <w:overflowPunct/>
        <w:bidi w:val="0"/>
        <w:spacing w:line="360" w:lineRule="auto"/>
        <w:ind w:firstLine="480" w:firstLineChars="200"/>
        <w:textAlignment w:val="auto"/>
        <w:rPr>
          <w:rFonts w:ascii="宋体" w:hAnsi="宋体"/>
          <w:kern w:val="2"/>
          <w:sz w:val="24"/>
          <w:szCs w:val="24"/>
          <w:highlight w:val="none"/>
        </w:rPr>
      </w:pPr>
      <w:r>
        <w:rPr>
          <w:rFonts w:hint="eastAsia" w:ascii="宋体" w:hAnsi="宋体"/>
          <w:kern w:val="2"/>
          <w:sz w:val="24"/>
          <w:szCs w:val="24"/>
          <w:highlight w:val="none"/>
        </w:rPr>
        <w:t>附法人及委托人的身份证扫描件</w:t>
      </w:r>
    </w:p>
    <w:p w14:paraId="1E782264">
      <w:pPr>
        <w:pageBreakBefore w:val="0"/>
        <w:widowControl w:val="0"/>
        <w:wordWrap/>
        <w:overflowPunct/>
        <w:bidi w:val="0"/>
        <w:spacing w:line="360" w:lineRule="auto"/>
        <w:ind w:firstLine="480" w:firstLineChars="200"/>
        <w:textAlignment w:val="auto"/>
        <w:rPr>
          <w:rFonts w:ascii="宋体" w:hAnsi="宋体"/>
          <w:kern w:val="2"/>
          <w:sz w:val="24"/>
          <w:szCs w:val="24"/>
          <w:highlight w:val="none"/>
        </w:rPr>
      </w:pPr>
    </w:p>
    <w:p w14:paraId="01CC0B88">
      <w:pPr>
        <w:pageBreakBefore w:val="0"/>
        <w:widowControl w:val="0"/>
        <w:wordWrap/>
        <w:overflowPunct/>
        <w:bidi w:val="0"/>
        <w:spacing w:line="360" w:lineRule="auto"/>
        <w:textAlignment w:val="auto"/>
        <w:rPr>
          <w:rFonts w:ascii="宋体" w:hAnsi="宋体"/>
          <w:kern w:val="2"/>
          <w:sz w:val="24"/>
          <w:szCs w:val="24"/>
          <w:highlight w:val="none"/>
        </w:rPr>
      </w:pPr>
    </w:p>
    <w:p w14:paraId="0BE31289">
      <w:pPr>
        <w:keepNext/>
        <w:keepLines/>
        <w:pageBreakBefore w:val="0"/>
        <w:widowControl w:val="0"/>
        <w:wordWrap/>
        <w:overflowPunct/>
        <w:bidi w:val="0"/>
        <w:spacing w:before="260" w:after="260" w:line="360" w:lineRule="auto"/>
        <w:jc w:val="center"/>
        <w:textAlignment w:val="auto"/>
        <w:outlineLvl w:val="9"/>
        <w:rPr>
          <w:rFonts w:ascii="宋体" w:hAnsi="宋体" w:cs="仿宋"/>
          <w:b/>
          <w:bCs/>
          <w:kern w:val="2"/>
          <w:sz w:val="24"/>
          <w:szCs w:val="24"/>
          <w:highlight w:val="none"/>
        </w:rPr>
      </w:pPr>
      <w:r>
        <w:rPr>
          <w:rFonts w:hint="eastAsia" w:ascii="宋体" w:hAnsi="宋体"/>
          <w:bCs/>
          <w:kern w:val="2"/>
          <w:sz w:val="24"/>
          <w:szCs w:val="24"/>
          <w:highlight w:val="none"/>
        </w:rPr>
        <w:br w:type="page"/>
      </w:r>
    </w:p>
    <w:p w14:paraId="214AD91B">
      <w:pPr>
        <w:keepNext/>
        <w:keepLines/>
        <w:pageBreakBefore w:val="0"/>
        <w:widowControl w:val="0"/>
        <w:wordWrap/>
        <w:overflowPunct/>
        <w:bidi w:val="0"/>
        <w:spacing w:before="260" w:after="260" w:line="360" w:lineRule="auto"/>
        <w:jc w:val="center"/>
        <w:textAlignment w:val="auto"/>
        <w:outlineLvl w:val="1"/>
        <w:rPr>
          <w:rFonts w:hint="eastAsia" w:ascii="宋体" w:hAnsi="宋体" w:eastAsia="宋体" w:cs="仿宋"/>
          <w:b/>
          <w:bCs/>
          <w:kern w:val="2"/>
          <w:sz w:val="24"/>
          <w:szCs w:val="24"/>
          <w:highlight w:val="none"/>
          <w:lang w:eastAsia="zh-CN"/>
        </w:rPr>
      </w:pPr>
      <w:bookmarkStart w:id="253" w:name="_Toc5258"/>
      <w:r>
        <w:rPr>
          <w:rFonts w:hint="eastAsia" w:ascii="宋体" w:hAnsi="宋体" w:cs="仿宋"/>
          <w:b/>
          <w:bCs/>
          <w:kern w:val="2"/>
          <w:sz w:val="24"/>
          <w:szCs w:val="24"/>
          <w:highlight w:val="none"/>
        </w:rPr>
        <w:t>五、</w:t>
      </w:r>
      <w:bookmarkEnd w:id="246"/>
      <w:r>
        <w:rPr>
          <w:rFonts w:hint="eastAsia" w:ascii="宋体" w:hAnsi="宋体" w:cs="仿宋"/>
          <w:b/>
          <w:bCs/>
          <w:kern w:val="2"/>
          <w:sz w:val="24"/>
          <w:szCs w:val="24"/>
          <w:highlight w:val="none"/>
          <w:lang w:eastAsia="zh-CN"/>
        </w:rPr>
        <w:t>货物质量保障方案</w:t>
      </w:r>
      <w:bookmarkEnd w:id="253"/>
    </w:p>
    <w:p w14:paraId="4F77A848">
      <w:pPr>
        <w:pageBreakBefore w:val="0"/>
        <w:widowControl w:val="0"/>
        <w:wordWrap/>
        <w:overflowPunct/>
        <w:bidi w:val="0"/>
        <w:spacing w:line="360" w:lineRule="auto"/>
        <w:textAlignment w:val="auto"/>
        <w:rPr>
          <w:rFonts w:ascii="宋体" w:hAnsi="宋体" w:cs="仿宋"/>
          <w:kern w:val="2"/>
          <w:sz w:val="24"/>
          <w:szCs w:val="24"/>
          <w:highlight w:val="none"/>
        </w:rPr>
      </w:pPr>
    </w:p>
    <w:p w14:paraId="3C7FA7B0">
      <w:pPr>
        <w:pageBreakBefore w:val="0"/>
        <w:widowControl w:val="0"/>
        <w:wordWrap/>
        <w:overflowPunct/>
        <w:bidi w:val="0"/>
        <w:spacing w:line="360" w:lineRule="auto"/>
        <w:textAlignment w:val="auto"/>
        <w:rPr>
          <w:rFonts w:ascii="宋体" w:hAnsi="宋体" w:cs="仿宋"/>
          <w:kern w:val="2"/>
          <w:sz w:val="24"/>
          <w:szCs w:val="24"/>
          <w:highlight w:val="none"/>
        </w:rPr>
      </w:pPr>
    </w:p>
    <w:p w14:paraId="0850DEB6">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217CA271">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457096FA">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0B5CCB11">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01E70147">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1628B9D1">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336D432C">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01B6BAF7">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5A2F5040">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64267BC5">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33672137">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1671FCFF">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2E037717">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55FC6686">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4EF61339">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514C44CD">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75F8572B">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5334FFA3">
      <w:pPr>
        <w:pageBreakBefore w:val="0"/>
        <w:wordWrap/>
        <w:overflowPunct/>
        <w:bidi w:val="0"/>
        <w:spacing w:line="360" w:lineRule="auto"/>
        <w:jc w:val="left"/>
        <w:textAlignment w:val="auto"/>
        <w:rPr>
          <w:rFonts w:ascii="宋体" w:hAnsi="宋体" w:cs="仿宋"/>
          <w:kern w:val="2"/>
          <w:sz w:val="24"/>
          <w:szCs w:val="24"/>
          <w:highlight w:val="none"/>
        </w:rPr>
      </w:pPr>
      <w:r>
        <w:rPr>
          <w:rFonts w:ascii="宋体" w:hAnsi="宋体" w:cs="仿宋"/>
          <w:kern w:val="2"/>
          <w:sz w:val="24"/>
          <w:szCs w:val="24"/>
          <w:highlight w:val="none"/>
        </w:rPr>
        <w:br w:type="page"/>
      </w:r>
    </w:p>
    <w:p w14:paraId="34FA78A8">
      <w:pPr>
        <w:keepNext/>
        <w:keepLines/>
        <w:pageBreakBefore w:val="0"/>
        <w:widowControl w:val="0"/>
        <w:wordWrap/>
        <w:overflowPunct/>
        <w:bidi w:val="0"/>
        <w:spacing w:before="260" w:after="260" w:line="360" w:lineRule="auto"/>
        <w:jc w:val="center"/>
        <w:textAlignment w:val="auto"/>
        <w:outlineLvl w:val="1"/>
        <w:rPr>
          <w:rFonts w:ascii="宋体" w:hAnsi="宋体" w:cs="仿宋"/>
          <w:b/>
          <w:bCs/>
          <w:kern w:val="2"/>
          <w:sz w:val="24"/>
          <w:szCs w:val="24"/>
          <w:highlight w:val="none"/>
        </w:rPr>
      </w:pPr>
      <w:bookmarkStart w:id="254" w:name="_Toc22308"/>
      <w:bookmarkEnd w:id="254"/>
      <w:bookmarkStart w:id="255" w:name="_Toc359842906"/>
      <w:bookmarkEnd w:id="255"/>
      <w:bookmarkStart w:id="256" w:name="_Toc324696985"/>
      <w:bookmarkEnd w:id="256"/>
      <w:bookmarkStart w:id="257" w:name="_Toc325446134"/>
      <w:bookmarkEnd w:id="257"/>
      <w:bookmarkStart w:id="258" w:name="_Toc26722"/>
      <w:bookmarkStart w:id="259" w:name="_Toc32714"/>
      <w:bookmarkStart w:id="260" w:name="_Toc63238022"/>
      <w:r>
        <w:rPr>
          <w:rFonts w:hint="eastAsia" w:ascii="宋体" w:hAnsi="宋体" w:cs="仿宋"/>
          <w:b/>
          <w:bCs/>
          <w:kern w:val="2"/>
          <w:sz w:val="24"/>
          <w:szCs w:val="24"/>
          <w:highlight w:val="none"/>
        </w:rPr>
        <w:t>六、投标承诺函</w:t>
      </w:r>
      <w:bookmarkEnd w:id="258"/>
      <w:bookmarkEnd w:id="259"/>
      <w:bookmarkEnd w:id="260"/>
    </w:p>
    <w:p w14:paraId="07F399EE">
      <w:pPr>
        <w:pageBreakBefore w:val="0"/>
        <w:widowControl w:val="0"/>
        <w:wordWrap/>
        <w:overflowPunct/>
        <w:bidi w:val="0"/>
        <w:spacing w:line="360" w:lineRule="auto"/>
        <w:textAlignment w:val="auto"/>
        <w:rPr>
          <w:rFonts w:ascii="宋体" w:hAnsi="宋体" w:cs="仿宋"/>
          <w:kern w:val="2"/>
          <w:sz w:val="24"/>
          <w:szCs w:val="24"/>
          <w:highlight w:val="none"/>
        </w:rPr>
      </w:pPr>
      <w:r>
        <w:rPr>
          <w:rFonts w:hint="eastAsia" w:ascii="宋体" w:hAnsi="宋体" w:cs="仿宋"/>
          <w:kern w:val="2"/>
          <w:sz w:val="24"/>
          <w:szCs w:val="24"/>
          <w:highlight w:val="none"/>
        </w:rPr>
        <w:t>致（招标人及招标代理机构）：</w:t>
      </w:r>
    </w:p>
    <w:p w14:paraId="2764EB39">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我公司作为本次采购项目的</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，根据招标文件要求，现郑重承诺如下：</w:t>
      </w:r>
    </w:p>
    <w:p w14:paraId="65A0A02E">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一、具备《中华人民共和国政府采购法》第二十二条第一款和本项目规定的条件：</w:t>
      </w:r>
    </w:p>
    <w:p w14:paraId="5E2DE092">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（一）具有独立承担民事责任的能力；</w:t>
      </w:r>
      <w:r>
        <w:rPr>
          <w:rFonts w:hint="eastAsia" w:ascii="宋体" w:hAnsi="宋体" w:cs="宋体"/>
          <w:kern w:val="2"/>
          <w:sz w:val="24"/>
          <w:szCs w:val="24"/>
          <w:highlight w:val="none"/>
        </w:rPr>
        <w:t> </w:t>
      </w:r>
      <w:r>
        <w:rPr>
          <w:rFonts w:hint="eastAsia" w:ascii="宋体" w:hAnsi="宋体" w:cs="仿宋"/>
          <w:kern w:val="2"/>
          <w:sz w:val="24"/>
          <w:szCs w:val="24"/>
          <w:highlight w:val="none"/>
        </w:rPr>
        <w:t>　　</w:t>
      </w:r>
    </w:p>
    <w:p w14:paraId="210D3568">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（二）具有良好的商业信誉和健全的财务会计制度；</w:t>
      </w:r>
      <w:r>
        <w:rPr>
          <w:rFonts w:hint="eastAsia" w:ascii="宋体" w:hAnsi="宋体" w:cs="宋体"/>
          <w:kern w:val="2"/>
          <w:sz w:val="24"/>
          <w:szCs w:val="24"/>
          <w:highlight w:val="none"/>
        </w:rPr>
        <w:t> </w:t>
      </w:r>
      <w:r>
        <w:rPr>
          <w:rFonts w:hint="eastAsia" w:ascii="宋体" w:hAnsi="宋体" w:cs="仿宋"/>
          <w:kern w:val="2"/>
          <w:sz w:val="24"/>
          <w:szCs w:val="24"/>
          <w:highlight w:val="none"/>
        </w:rPr>
        <w:t>　</w:t>
      </w:r>
    </w:p>
    <w:p w14:paraId="12C68DA2">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（三）具有履行合同所必需的设备和专业技术能力；</w:t>
      </w:r>
      <w:r>
        <w:rPr>
          <w:rFonts w:hint="eastAsia" w:ascii="宋体" w:hAnsi="宋体" w:cs="宋体"/>
          <w:kern w:val="2"/>
          <w:sz w:val="24"/>
          <w:szCs w:val="24"/>
          <w:highlight w:val="none"/>
        </w:rPr>
        <w:t> </w:t>
      </w:r>
      <w:r>
        <w:rPr>
          <w:rFonts w:hint="eastAsia" w:ascii="宋体" w:hAnsi="宋体" w:cs="仿宋"/>
          <w:kern w:val="2"/>
          <w:sz w:val="24"/>
          <w:szCs w:val="24"/>
          <w:highlight w:val="none"/>
        </w:rPr>
        <w:t>　　</w:t>
      </w:r>
    </w:p>
    <w:p w14:paraId="663431D4">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（四）有依法缴纳税收和社会保障资金的良好记录；</w:t>
      </w:r>
      <w:r>
        <w:rPr>
          <w:rFonts w:hint="eastAsia" w:ascii="宋体" w:hAnsi="宋体" w:cs="宋体"/>
          <w:kern w:val="2"/>
          <w:sz w:val="24"/>
          <w:szCs w:val="24"/>
          <w:highlight w:val="none"/>
        </w:rPr>
        <w:t> </w:t>
      </w:r>
      <w:r>
        <w:rPr>
          <w:rFonts w:hint="eastAsia" w:ascii="宋体" w:hAnsi="宋体" w:cs="仿宋"/>
          <w:kern w:val="2"/>
          <w:sz w:val="24"/>
          <w:szCs w:val="24"/>
          <w:highlight w:val="none"/>
        </w:rPr>
        <w:t>　　</w:t>
      </w:r>
    </w:p>
    <w:p w14:paraId="7B6871C5">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（五）参加政府采购活动前三年内，在经营活动中没有重大违法记录；</w:t>
      </w:r>
    </w:p>
    <w:p w14:paraId="70E19803">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（六）法律、行政法规规定的其他条件；</w:t>
      </w:r>
    </w:p>
    <w:p w14:paraId="19919843">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（七）根据采购项目提出的特殊条件。</w:t>
      </w:r>
    </w:p>
    <w:p w14:paraId="018B0ED9">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4EC53967">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三、参加本次招标采购活动，不存在与单位负责人为同一人或者存在直接控股、管理关系的其他</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参与同一合同项下的政府采购活动的行为。</w:t>
      </w:r>
      <w:r>
        <w:rPr>
          <w:rFonts w:hint="eastAsia" w:ascii="宋体" w:hAnsi="宋体" w:cs="宋体"/>
          <w:kern w:val="2"/>
          <w:sz w:val="24"/>
          <w:szCs w:val="24"/>
          <w:highlight w:val="none"/>
        </w:rPr>
        <w:t>    </w:t>
      </w:r>
    </w:p>
    <w:p w14:paraId="7F380273">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四、参加本次招标采购活动，不存在为采购项目提供整体设计、规范编制或者项目管理、监理、检测等服务的行为。</w:t>
      </w:r>
    </w:p>
    <w:p w14:paraId="22C2FFDF">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五、参加本次招标采购活动，不存在和其他</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在同一合同项下的采购项目中，同时委托同一个自然人、同一家庭的人员、同一单位的人员作为代理人的行为。</w:t>
      </w:r>
    </w:p>
    <w:p w14:paraId="2DDEDEDC">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六、</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参加本次政府采购活动要求在近三年内</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和其法定代表人没有行贿犯罪行为。</w:t>
      </w:r>
    </w:p>
    <w:p w14:paraId="5A187763">
      <w:pPr>
        <w:pageBreakBefore w:val="0"/>
        <w:widowControl w:val="0"/>
        <w:wordWrap/>
        <w:overflowPunct/>
        <w:bidi w:val="0"/>
        <w:spacing w:line="360" w:lineRule="auto"/>
        <w:ind w:firstLine="518" w:firstLineChars="216"/>
        <w:textAlignment w:val="auto"/>
        <w:outlineLvl w:val="9"/>
        <w:rPr>
          <w:rFonts w:ascii="宋体" w:hAnsi="宋体" w:cs="仿宋"/>
          <w:kern w:val="2"/>
          <w:sz w:val="24"/>
          <w:szCs w:val="24"/>
          <w:highlight w:val="none"/>
        </w:rPr>
      </w:pPr>
      <w:r>
        <w:rPr>
          <w:rFonts w:hint="eastAsia" w:ascii="宋体" w:hAnsi="宋体" w:cs="仿宋"/>
          <w:kern w:val="2"/>
          <w:sz w:val="24"/>
          <w:szCs w:val="24"/>
          <w:highlight w:val="none"/>
        </w:rPr>
        <w:t>七、参加本次招标采购活动，不存在联合体投标。</w:t>
      </w:r>
    </w:p>
    <w:p w14:paraId="77A8E628">
      <w:pPr>
        <w:pageBreakBefore w:val="0"/>
        <w:widowControl w:val="0"/>
        <w:wordWrap/>
        <w:overflowPunct/>
        <w:bidi w:val="0"/>
        <w:spacing w:line="360" w:lineRule="auto"/>
        <w:ind w:firstLine="518" w:firstLineChars="216"/>
        <w:textAlignment w:val="auto"/>
        <w:outlineLvl w:val="9"/>
        <w:rPr>
          <w:rFonts w:ascii="宋体" w:hAnsi="宋体" w:cs="仿宋"/>
          <w:kern w:val="2"/>
          <w:sz w:val="24"/>
          <w:szCs w:val="24"/>
          <w:highlight w:val="none"/>
        </w:rPr>
      </w:pPr>
      <w:r>
        <w:rPr>
          <w:rFonts w:hint="eastAsia" w:ascii="宋体" w:hAnsi="宋体" w:cs="仿宋"/>
          <w:kern w:val="2"/>
          <w:sz w:val="24"/>
          <w:szCs w:val="24"/>
          <w:highlight w:val="none"/>
        </w:rPr>
        <w:t>八、投标文件中提供的能够给予我公司带来优惠、好处的任何材料资料和技术、服务、商务等响应承诺情况都是真实的、有效的、合法的。</w:t>
      </w:r>
    </w:p>
    <w:p w14:paraId="25927A87">
      <w:pPr>
        <w:pageBreakBefore w:val="0"/>
        <w:widowControl w:val="0"/>
        <w:wordWrap/>
        <w:overflowPunct/>
        <w:bidi w:val="0"/>
        <w:spacing w:line="360" w:lineRule="auto"/>
        <w:ind w:firstLine="518" w:firstLineChars="216"/>
        <w:textAlignment w:val="auto"/>
        <w:outlineLvl w:val="9"/>
        <w:rPr>
          <w:rFonts w:ascii="宋体" w:hAnsi="宋体" w:cs="仿宋"/>
          <w:kern w:val="2"/>
          <w:sz w:val="24"/>
          <w:szCs w:val="24"/>
          <w:highlight w:val="none"/>
        </w:rPr>
      </w:pPr>
      <w:r>
        <w:rPr>
          <w:rFonts w:hint="eastAsia" w:ascii="宋体" w:hAnsi="宋体" w:cs="仿宋"/>
          <w:kern w:val="2"/>
          <w:sz w:val="24"/>
          <w:szCs w:val="24"/>
          <w:highlight w:val="none"/>
        </w:rPr>
        <w:t xml:space="preserve">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r>
        <w:rPr>
          <w:rFonts w:hint="eastAsia" w:ascii="宋体" w:hAnsi="宋体" w:cs="宋体"/>
          <w:kern w:val="2"/>
          <w:sz w:val="24"/>
          <w:szCs w:val="24"/>
          <w:highlight w:val="none"/>
        </w:rPr>
        <w:t>    </w:t>
      </w:r>
    </w:p>
    <w:p w14:paraId="7F735964">
      <w:pPr>
        <w:pageBreakBefore w:val="0"/>
        <w:widowControl w:val="0"/>
        <w:wordWrap/>
        <w:overflowPunct/>
        <w:bidi w:val="0"/>
        <w:spacing w:line="360" w:lineRule="auto"/>
        <w:ind w:firstLine="518" w:firstLineChars="216"/>
        <w:textAlignment w:val="auto"/>
        <w:outlineLvl w:val="9"/>
        <w:rPr>
          <w:rFonts w:ascii="宋体" w:hAnsi="宋体" w:cs="仿宋"/>
          <w:kern w:val="2"/>
          <w:sz w:val="24"/>
          <w:szCs w:val="24"/>
          <w:highlight w:val="none"/>
        </w:rPr>
      </w:pPr>
      <w:r>
        <w:rPr>
          <w:rFonts w:hint="eastAsia" w:ascii="宋体" w:hAnsi="宋体" w:cs="仿宋"/>
          <w:kern w:val="2"/>
          <w:sz w:val="24"/>
          <w:szCs w:val="24"/>
          <w:highlight w:val="none"/>
        </w:rPr>
        <w:t>十、存在以下行为之一的愿意接受相关部门的处理：</w:t>
      </w:r>
    </w:p>
    <w:p w14:paraId="07395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仿宋"/>
          <w:kern w:val="2"/>
          <w:sz w:val="24"/>
          <w:szCs w:val="24"/>
          <w:highlight w:val="none"/>
        </w:rPr>
      </w:pPr>
      <w:r>
        <w:rPr>
          <w:rFonts w:hint="eastAsia" w:ascii="宋体" w:hAnsi="宋体" w:cs="仿宋"/>
          <w:kern w:val="2"/>
          <w:sz w:val="24"/>
          <w:szCs w:val="24"/>
          <w:highlight w:val="none"/>
        </w:rPr>
        <w:t>（一）投标有效期内撤销投标文件的；</w:t>
      </w:r>
    </w:p>
    <w:p w14:paraId="3D80B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仿宋"/>
          <w:kern w:val="2"/>
          <w:sz w:val="24"/>
          <w:szCs w:val="24"/>
          <w:highlight w:val="none"/>
        </w:rPr>
      </w:pPr>
      <w:r>
        <w:rPr>
          <w:rFonts w:hint="eastAsia" w:ascii="宋体" w:hAnsi="宋体" w:cs="仿宋"/>
          <w:kern w:val="2"/>
          <w:sz w:val="24"/>
          <w:szCs w:val="24"/>
          <w:highlight w:val="none"/>
        </w:rPr>
        <w:t>（二）在招标人确定中标人以前放弃中标候选资格的；</w:t>
      </w:r>
    </w:p>
    <w:p w14:paraId="0E722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仿宋"/>
          <w:kern w:val="2"/>
          <w:sz w:val="24"/>
          <w:szCs w:val="24"/>
          <w:highlight w:val="none"/>
        </w:rPr>
      </w:pPr>
      <w:r>
        <w:rPr>
          <w:rFonts w:hint="eastAsia" w:ascii="宋体" w:hAnsi="宋体" w:cs="仿宋"/>
          <w:kern w:val="2"/>
          <w:sz w:val="24"/>
          <w:szCs w:val="24"/>
          <w:highlight w:val="none"/>
        </w:rPr>
        <w:t>（三）由于中标人的原因未能按照招标文件的规定与招标人签订合同；</w:t>
      </w:r>
    </w:p>
    <w:p w14:paraId="4CA5A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仿宋"/>
          <w:kern w:val="2"/>
          <w:sz w:val="24"/>
          <w:szCs w:val="24"/>
          <w:highlight w:val="none"/>
        </w:rPr>
      </w:pPr>
      <w:r>
        <w:rPr>
          <w:rFonts w:hint="eastAsia" w:ascii="宋体" w:hAnsi="宋体" w:cs="仿宋"/>
          <w:kern w:val="2"/>
          <w:sz w:val="24"/>
          <w:szCs w:val="24"/>
          <w:highlight w:val="none"/>
        </w:rPr>
        <w:t>（四）由于中标人的原因未能按照招标文件的规定交纳履约保证金；</w:t>
      </w:r>
    </w:p>
    <w:p w14:paraId="090DC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仿宋"/>
          <w:kern w:val="2"/>
          <w:sz w:val="24"/>
          <w:szCs w:val="24"/>
          <w:highlight w:val="none"/>
        </w:rPr>
      </w:pPr>
      <w:r>
        <w:rPr>
          <w:rFonts w:hint="eastAsia" w:ascii="宋体" w:hAnsi="宋体" w:cs="仿宋"/>
          <w:kern w:val="2"/>
          <w:sz w:val="24"/>
          <w:szCs w:val="24"/>
          <w:highlight w:val="none"/>
        </w:rPr>
        <w:t>（五）在投标文件中提供虚假材料谋取中标；</w:t>
      </w:r>
    </w:p>
    <w:p w14:paraId="6FC44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kern w:val="2"/>
          <w:sz w:val="24"/>
          <w:szCs w:val="24"/>
          <w:highlight w:val="none"/>
        </w:rPr>
      </w:pPr>
      <w:r>
        <w:rPr>
          <w:rFonts w:hint="eastAsia" w:ascii="宋体" w:hAnsi="宋体" w:cs="仿宋"/>
          <w:kern w:val="2"/>
          <w:sz w:val="24"/>
          <w:szCs w:val="24"/>
          <w:highlight w:val="none"/>
        </w:rPr>
        <w:t>（六）与招标人、其他</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或者招标代理机构恶意串通的；</w:t>
      </w:r>
    </w:p>
    <w:p w14:paraId="57EE4B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kern w:val="2"/>
          <w:sz w:val="24"/>
          <w:szCs w:val="24"/>
          <w:highlight w:val="none"/>
        </w:rPr>
      </w:pPr>
      <w:r>
        <w:rPr>
          <w:rFonts w:hint="eastAsia" w:ascii="宋体" w:hAnsi="宋体" w:cs="仿宋"/>
          <w:kern w:val="2"/>
          <w:sz w:val="24"/>
          <w:szCs w:val="24"/>
          <w:highlight w:val="none"/>
        </w:rPr>
        <w:t>（七）投标有效期内，</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在政府采购活动中有违法、违规、违纪行为。</w:t>
      </w:r>
    </w:p>
    <w:p w14:paraId="6BD71568">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由此产生的一切法律后果和责任由我公司承担。我公司声明放弃对此提出任何异议和追索的权利。</w:t>
      </w:r>
    </w:p>
    <w:p w14:paraId="355D150B">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本公司对上述承诺的内容事项真实性负责。如经查实上述承诺的内容事项存在虚假，我公司愿意接受以提供虚假材料谋取中标追究法律责任。</w:t>
      </w:r>
    </w:p>
    <w:p w14:paraId="4EFD0DF4">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宋体"/>
          <w:kern w:val="2"/>
          <w:sz w:val="24"/>
          <w:szCs w:val="24"/>
          <w:highlight w:val="none"/>
        </w:rPr>
        <w:t>       </w:t>
      </w:r>
    </w:p>
    <w:p w14:paraId="5D0D2401">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名称：</w:t>
      </w:r>
      <w:r>
        <w:rPr>
          <w:rFonts w:hint="eastAsia" w:ascii="宋体" w:hAnsi="宋体" w:cs="宋体"/>
          <w:kern w:val="2"/>
          <w:sz w:val="24"/>
          <w:szCs w:val="24"/>
          <w:highlight w:val="none"/>
        </w:rPr>
        <w:t> </w:t>
      </w:r>
      <w:r>
        <w:rPr>
          <w:rFonts w:hint="eastAsia" w:ascii="宋体" w:hAnsi="宋体" w:cs="仿宋"/>
          <w:kern w:val="2"/>
          <w:sz w:val="24"/>
          <w:szCs w:val="24"/>
          <w:highlight w:val="none"/>
        </w:rPr>
        <w:t>（</w:t>
      </w:r>
      <w:r>
        <w:rPr>
          <w:rFonts w:hint="eastAsia" w:ascii="宋体" w:hAnsi="宋体" w:cs="仿宋"/>
          <w:kern w:val="2"/>
          <w:sz w:val="24"/>
          <w:szCs w:val="24"/>
          <w:highlight w:val="none"/>
          <w:lang w:eastAsia="zh-CN"/>
        </w:rPr>
        <w:t>单位电子公章</w:t>
      </w:r>
      <w:r>
        <w:rPr>
          <w:rFonts w:hint="eastAsia" w:ascii="宋体" w:hAnsi="宋体" w:cs="仿宋"/>
          <w:kern w:val="2"/>
          <w:sz w:val="24"/>
          <w:szCs w:val="24"/>
          <w:highlight w:val="none"/>
        </w:rPr>
        <w:t>）</w:t>
      </w:r>
    </w:p>
    <w:p w14:paraId="5C2B1673">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法定代表人或授权代表：</w:t>
      </w:r>
      <w:r>
        <w:rPr>
          <w:rFonts w:hint="eastAsia" w:ascii="宋体" w:hAnsi="宋体" w:cs="宋体"/>
          <w:kern w:val="2"/>
          <w:sz w:val="24"/>
          <w:szCs w:val="24"/>
          <w:highlight w:val="none"/>
        </w:rPr>
        <w:t> </w:t>
      </w:r>
      <w:r>
        <w:rPr>
          <w:rFonts w:hint="eastAsia" w:ascii="宋体" w:hAnsi="宋体" w:cs="仿宋"/>
          <w:kern w:val="2"/>
          <w:sz w:val="24"/>
          <w:szCs w:val="24"/>
          <w:highlight w:val="none"/>
        </w:rPr>
        <w:t>（法人电子签章）</w:t>
      </w:r>
    </w:p>
    <w:p w14:paraId="7C091CAE">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日期：</w:t>
      </w:r>
      <w:r>
        <w:rPr>
          <w:rFonts w:hint="eastAsia" w:ascii="宋体" w:hAnsi="宋体" w:cs="宋体"/>
          <w:kern w:val="2"/>
          <w:sz w:val="24"/>
          <w:szCs w:val="24"/>
          <w:highlight w:val="none"/>
        </w:rPr>
        <w:t>  </w:t>
      </w:r>
    </w:p>
    <w:p w14:paraId="049E366D">
      <w:pPr>
        <w:pageBreakBefore w:val="0"/>
        <w:widowControl w:val="0"/>
        <w:wordWrap/>
        <w:overflowPunct/>
        <w:bidi w:val="0"/>
        <w:spacing w:line="360" w:lineRule="auto"/>
        <w:textAlignment w:val="auto"/>
        <w:rPr>
          <w:rFonts w:ascii="宋体" w:hAnsi="宋体" w:cs="仿宋"/>
          <w:kern w:val="2"/>
          <w:sz w:val="24"/>
          <w:szCs w:val="24"/>
          <w:highlight w:val="none"/>
        </w:rPr>
      </w:pPr>
      <w:r>
        <w:rPr>
          <w:rFonts w:hint="eastAsia" w:ascii="宋体" w:hAnsi="宋体" w:cs="仿宋"/>
          <w:kern w:val="2"/>
          <w:sz w:val="24"/>
          <w:szCs w:val="24"/>
          <w:highlight w:val="none"/>
        </w:rPr>
        <w:br w:type="page"/>
      </w:r>
    </w:p>
    <w:p w14:paraId="449AA6C6">
      <w:pPr>
        <w:keepNext/>
        <w:keepLines/>
        <w:pageBreakBefore w:val="0"/>
        <w:widowControl w:val="0"/>
        <w:wordWrap/>
        <w:overflowPunct/>
        <w:bidi w:val="0"/>
        <w:spacing w:before="260" w:after="260" w:line="360" w:lineRule="auto"/>
        <w:jc w:val="center"/>
        <w:textAlignment w:val="auto"/>
        <w:outlineLvl w:val="1"/>
        <w:rPr>
          <w:rFonts w:ascii="宋体" w:hAnsi="宋体" w:cs="仿宋"/>
          <w:b/>
          <w:bCs/>
          <w:kern w:val="2"/>
          <w:sz w:val="24"/>
          <w:szCs w:val="24"/>
          <w:highlight w:val="none"/>
        </w:rPr>
      </w:pPr>
      <w:bookmarkStart w:id="261" w:name="_Toc325383409"/>
      <w:bookmarkEnd w:id="261"/>
      <w:bookmarkStart w:id="262" w:name="_Toc22015"/>
      <w:bookmarkEnd w:id="262"/>
      <w:bookmarkStart w:id="263" w:name="_Toc359842907"/>
      <w:bookmarkEnd w:id="263"/>
      <w:bookmarkStart w:id="264" w:name="_Toc324696986"/>
      <w:bookmarkEnd w:id="264"/>
      <w:bookmarkStart w:id="265" w:name="_Toc325446135"/>
      <w:bookmarkEnd w:id="265"/>
      <w:bookmarkStart w:id="266" w:name="_Toc26420"/>
      <w:bookmarkEnd w:id="266"/>
      <w:bookmarkStart w:id="267" w:name="_Toc31170"/>
      <w:bookmarkStart w:id="268" w:name="_Toc130"/>
      <w:bookmarkStart w:id="269" w:name="_Toc63238026"/>
      <w:r>
        <w:rPr>
          <w:rFonts w:hint="eastAsia" w:ascii="宋体" w:hAnsi="宋体" w:cs="仿宋"/>
          <w:b/>
          <w:bCs/>
          <w:kern w:val="2"/>
          <w:sz w:val="24"/>
          <w:szCs w:val="24"/>
          <w:highlight w:val="none"/>
        </w:rPr>
        <w:t>七、资格证明文件</w:t>
      </w:r>
      <w:bookmarkEnd w:id="267"/>
      <w:bookmarkEnd w:id="268"/>
      <w:bookmarkEnd w:id="269"/>
    </w:p>
    <w:p w14:paraId="7BFCD61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仿宋"/>
          <w:kern w:val="2"/>
          <w:sz w:val="24"/>
          <w:szCs w:val="24"/>
          <w:highlight w:val="none"/>
        </w:rPr>
      </w:pPr>
      <w:r>
        <w:rPr>
          <w:rFonts w:ascii="宋体" w:hAnsi="宋体" w:cs="仿宋"/>
          <w:kern w:val="2"/>
          <w:sz w:val="24"/>
          <w:szCs w:val="24"/>
          <w:highlight w:val="none"/>
        </w:rPr>
        <w:t>7</w:t>
      </w:r>
      <w:r>
        <w:rPr>
          <w:rFonts w:hint="eastAsia" w:ascii="宋体" w:hAnsi="宋体" w:cs="仿宋"/>
          <w:kern w:val="2"/>
          <w:sz w:val="24"/>
          <w:szCs w:val="24"/>
          <w:highlight w:val="none"/>
        </w:rPr>
        <w:t>-1</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基本情况表</w:t>
      </w:r>
    </w:p>
    <w:p w14:paraId="2DAE1A3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仿宋"/>
          <w:kern w:val="2"/>
          <w:sz w:val="24"/>
          <w:szCs w:val="24"/>
          <w:highlight w:val="none"/>
        </w:rPr>
      </w:pPr>
      <w:r>
        <w:rPr>
          <w:rFonts w:ascii="宋体" w:hAnsi="宋体" w:cs="仿宋"/>
          <w:kern w:val="2"/>
          <w:sz w:val="24"/>
          <w:szCs w:val="24"/>
          <w:highlight w:val="none"/>
        </w:rPr>
        <w:t>7</w:t>
      </w:r>
      <w:r>
        <w:rPr>
          <w:rFonts w:hint="eastAsia" w:ascii="宋体" w:hAnsi="宋体" w:cs="仿宋"/>
          <w:kern w:val="2"/>
          <w:sz w:val="24"/>
          <w:szCs w:val="24"/>
          <w:highlight w:val="none"/>
        </w:rPr>
        <w:t>-2无商业贿赂和不正当竞争行为承诺书</w:t>
      </w:r>
    </w:p>
    <w:p w14:paraId="0B3116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仿宋"/>
          <w:kern w:val="2"/>
          <w:sz w:val="24"/>
          <w:szCs w:val="24"/>
          <w:highlight w:val="none"/>
        </w:rPr>
      </w:pPr>
      <w:r>
        <w:rPr>
          <w:rFonts w:ascii="宋体" w:hAnsi="宋体" w:cs="仿宋"/>
          <w:kern w:val="2"/>
          <w:sz w:val="24"/>
          <w:szCs w:val="24"/>
          <w:highlight w:val="none"/>
        </w:rPr>
        <w:t>7</w:t>
      </w:r>
      <w:r>
        <w:rPr>
          <w:rFonts w:hint="eastAsia" w:ascii="宋体" w:hAnsi="宋体" w:cs="仿宋"/>
          <w:kern w:val="2"/>
          <w:sz w:val="24"/>
          <w:szCs w:val="24"/>
          <w:highlight w:val="none"/>
        </w:rPr>
        <w:t>-</w:t>
      </w:r>
      <w:r>
        <w:rPr>
          <w:rFonts w:ascii="宋体" w:hAnsi="宋体" w:cs="仿宋"/>
          <w:kern w:val="2"/>
          <w:sz w:val="24"/>
          <w:szCs w:val="24"/>
          <w:highlight w:val="none"/>
        </w:rPr>
        <w:t>3</w:t>
      </w:r>
      <w:r>
        <w:rPr>
          <w:rFonts w:hint="eastAsia" w:ascii="宋体" w:hAnsi="宋体" w:cs="仿宋"/>
          <w:kern w:val="2"/>
          <w:sz w:val="24"/>
          <w:szCs w:val="24"/>
          <w:highlight w:val="none"/>
        </w:rPr>
        <w:t>信用信息查询证明</w:t>
      </w:r>
    </w:p>
    <w:p w14:paraId="752EDC9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仿宋"/>
          <w:kern w:val="2"/>
          <w:sz w:val="24"/>
          <w:szCs w:val="24"/>
          <w:highlight w:val="none"/>
        </w:rPr>
      </w:pPr>
      <w:r>
        <w:rPr>
          <w:rFonts w:ascii="宋体" w:hAnsi="宋体" w:cs="仿宋"/>
          <w:kern w:val="2"/>
          <w:sz w:val="24"/>
          <w:szCs w:val="24"/>
          <w:highlight w:val="none"/>
        </w:rPr>
        <w:t>7</w:t>
      </w:r>
      <w:r>
        <w:rPr>
          <w:rFonts w:hint="eastAsia" w:ascii="宋体" w:hAnsi="宋体" w:cs="仿宋"/>
          <w:kern w:val="2"/>
          <w:sz w:val="24"/>
          <w:szCs w:val="24"/>
          <w:highlight w:val="none"/>
        </w:rPr>
        <w:t>-</w:t>
      </w:r>
      <w:r>
        <w:rPr>
          <w:rFonts w:ascii="宋体" w:hAnsi="宋体" w:cs="仿宋"/>
          <w:kern w:val="2"/>
          <w:sz w:val="24"/>
          <w:szCs w:val="24"/>
          <w:highlight w:val="none"/>
        </w:rPr>
        <w:t>4</w:t>
      </w:r>
      <w:r>
        <w:rPr>
          <w:rFonts w:hint="eastAsia" w:ascii="宋体" w:hAnsi="宋体" w:cs="仿宋"/>
          <w:kern w:val="2"/>
          <w:sz w:val="24"/>
          <w:szCs w:val="24"/>
          <w:highlight w:val="none"/>
        </w:rPr>
        <w:t>享受政府采购政策的证明材料</w:t>
      </w:r>
    </w:p>
    <w:p w14:paraId="7DD10BB3">
      <w:pPr>
        <w:keepNext w:val="0"/>
        <w:keepLines w:val="0"/>
        <w:pageBreakBefore w:val="0"/>
        <w:widowControl/>
        <w:kinsoku/>
        <w:wordWrap/>
        <w:overflowPunct/>
        <w:topLinePunct w:val="0"/>
        <w:autoSpaceDE/>
        <w:autoSpaceDN/>
        <w:bidi w:val="0"/>
        <w:adjustRightInd/>
        <w:snapToGrid/>
        <w:ind w:firstLine="480" w:firstLineChars="200"/>
        <w:jc w:val="left"/>
        <w:outlineLvl w:val="9"/>
        <w:rPr>
          <w:rFonts w:hint="eastAsia" w:ascii="宋体" w:hAnsi="宋体" w:eastAsia="宋体" w:cs="仿宋"/>
          <w:b/>
          <w:bCs/>
          <w:color w:val="000000"/>
          <w:kern w:val="2"/>
          <w:sz w:val="24"/>
          <w:szCs w:val="24"/>
          <w:highlight w:val="yellow"/>
          <w:u w:color="000000"/>
        </w:rPr>
      </w:pPr>
      <w:r>
        <w:rPr>
          <w:rFonts w:hint="eastAsia" w:ascii="宋体" w:hAnsi="宋体" w:cs="仿宋"/>
          <w:kern w:val="2"/>
          <w:sz w:val="24"/>
          <w:szCs w:val="24"/>
          <w:highlight w:val="none"/>
          <w:lang w:val="en-US" w:eastAsia="zh-CN"/>
        </w:rPr>
        <w:t>7-5</w:t>
      </w:r>
      <w:r>
        <w:rPr>
          <w:rFonts w:hint="eastAsia" w:ascii="宋体" w:hAnsi="宋体" w:cs="仿宋"/>
          <w:kern w:val="2"/>
          <w:sz w:val="24"/>
          <w:szCs w:val="24"/>
          <w:highlight w:val="none"/>
        </w:rPr>
        <w:t>关于符合本国产品标准的声明函</w:t>
      </w:r>
    </w:p>
    <w:p w14:paraId="7336E769">
      <w:pPr>
        <w:outlineLvl w:val="9"/>
      </w:pPr>
    </w:p>
    <w:p w14:paraId="21D1F3DD">
      <w:pPr>
        <w:pageBreakBefore w:val="0"/>
        <w:wordWrap/>
        <w:overflowPunct/>
        <w:bidi w:val="0"/>
        <w:spacing w:line="360" w:lineRule="auto"/>
        <w:ind w:firstLine="518" w:firstLineChars="216"/>
        <w:jc w:val="left"/>
        <w:textAlignment w:val="auto"/>
        <w:rPr>
          <w:rFonts w:ascii="宋体" w:hAnsi="宋体" w:cs="仿宋"/>
          <w:b/>
          <w:bCs/>
          <w:kern w:val="28"/>
          <w:sz w:val="24"/>
          <w:szCs w:val="24"/>
          <w:highlight w:val="none"/>
        </w:rPr>
      </w:pPr>
      <w:r>
        <w:rPr>
          <w:rFonts w:hint="eastAsia" w:ascii="宋体" w:hAnsi="宋体" w:cs="仿宋"/>
          <w:kern w:val="2"/>
          <w:sz w:val="24"/>
          <w:szCs w:val="24"/>
          <w:highlight w:val="none"/>
        </w:rPr>
        <w:br w:type="page"/>
      </w:r>
    </w:p>
    <w:p w14:paraId="0E8518C4">
      <w:pPr>
        <w:keepNext/>
        <w:keepLines/>
        <w:pageBreakBefore w:val="0"/>
        <w:widowControl w:val="0"/>
        <w:wordWrap/>
        <w:overflowPunct/>
        <w:bidi w:val="0"/>
        <w:spacing w:line="360" w:lineRule="auto"/>
        <w:ind w:left="210" w:leftChars="100" w:right="210" w:rightChars="100" w:firstLine="241" w:firstLineChars="100"/>
        <w:jc w:val="center"/>
        <w:textAlignment w:val="auto"/>
        <w:outlineLvl w:val="2"/>
        <w:rPr>
          <w:rFonts w:ascii="宋体" w:hAnsi="宋体" w:cs="仿宋"/>
          <w:b/>
          <w:bCs/>
          <w:kern w:val="2"/>
          <w:sz w:val="24"/>
          <w:szCs w:val="24"/>
          <w:highlight w:val="none"/>
        </w:rPr>
      </w:pPr>
      <w:bookmarkStart w:id="270" w:name="_Toc30144"/>
      <w:r>
        <w:rPr>
          <w:rFonts w:ascii="宋体" w:hAnsi="宋体" w:cs="仿宋"/>
          <w:b/>
          <w:bCs/>
          <w:kern w:val="2"/>
          <w:sz w:val="24"/>
          <w:szCs w:val="24"/>
          <w:highlight w:val="none"/>
        </w:rPr>
        <w:t>7</w:t>
      </w:r>
      <w:r>
        <w:rPr>
          <w:rFonts w:hint="eastAsia" w:ascii="宋体" w:hAnsi="宋体" w:cs="仿宋"/>
          <w:b/>
          <w:bCs/>
          <w:kern w:val="2"/>
          <w:sz w:val="24"/>
          <w:szCs w:val="24"/>
          <w:highlight w:val="none"/>
        </w:rPr>
        <w:t>-</w:t>
      </w:r>
      <w:r>
        <w:rPr>
          <w:rFonts w:hint="eastAsia" w:ascii="宋体" w:hAnsi="宋体" w:cs="仿宋"/>
          <w:b/>
          <w:bCs/>
          <w:kern w:val="2"/>
          <w:sz w:val="24"/>
          <w:szCs w:val="24"/>
          <w:highlight w:val="none"/>
          <w:lang w:val="en-US" w:eastAsia="zh-CN"/>
        </w:rPr>
        <w:t>1</w:t>
      </w:r>
      <w:r>
        <w:rPr>
          <w:rFonts w:hint="eastAsia" w:ascii="宋体" w:hAnsi="宋体" w:cs="仿宋"/>
          <w:b/>
          <w:bCs/>
          <w:kern w:val="2"/>
          <w:sz w:val="24"/>
          <w:szCs w:val="24"/>
          <w:highlight w:val="none"/>
          <w:lang w:eastAsia="zh-CN"/>
        </w:rPr>
        <w:t>供应商</w:t>
      </w:r>
      <w:r>
        <w:rPr>
          <w:rFonts w:hint="eastAsia" w:ascii="宋体" w:hAnsi="宋体" w:cs="仿宋"/>
          <w:b/>
          <w:bCs/>
          <w:kern w:val="2"/>
          <w:sz w:val="24"/>
          <w:szCs w:val="24"/>
          <w:highlight w:val="none"/>
        </w:rPr>
        <w:t>基本情况表</w:t>
      </w:r>
      <w:bookmarkEnd w:id="270"/>
    </w:p>
    <w:tbl>
      <w:tblPr>
        <w:tblStyle w:val="17"/>
        <w:tblW w:w="9329" w:type="dxa"/>
        <w:jc w:val="center"/>
        <w:tblLayout w:type="fixed"/>
        <w:tblCellMar>
          <w:top w:w="0" w:type="dxa"/>
          <w:left w:w="108" w:type="dxa"/>
          <w:bottom w:w="0" w:type="dxa"/>
          <w:right w:w="108" w:type="dxa"/>
        </w:tblCellMar>
      </w:tblPr>
      <w:tblGrid>
        <w:gridCol w:w="2111"/>
        <w:gridCol w:w="1135"/>
        <w:gridCol w:w="2123"/>
        <w:gridCol w:w="1698"/>
        <w:gridCol w:w="2262"/>
      </w:tblGrid>
      <w:tr w14:paraId="644D1588">
        <w:tblPrEx>
          <w:tblCellMar>
            <w:top w:w="0" w:type="dxa"/>
            <w:left w:w="108" w:type="dxa"/>
            <w:bottom w:w="0" w:type="dxa"/>
            <w:right w:w="108" w:type="dxa"/>
          </w:tblCellMar>
        </w:tblPrEx>
        <w:trPr>
          <w:trHeight w:val="76"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14:paraId="2313C284">
            <w:pPr>
              <w:pageBreakBefore w:val="0"/>
              <w:widowControl w:val="0"/>
              <w:wordWrap/>
              <w:overflowPunct/>
              <w:bidi w:val="0"/>
              <w:spacing w:line="360" w:lineRule="auto"/>
              <w:jc w:val="center"/>
              <w:textAlignment w:val="auto"/>
              <w:rPr>
                <w:rFonts w:ascii="宋体" w:hAnsi="宋体" w:cs="仿宋"/>
                <w:kern w:val="2"/>
                <w:sz w:val="24"/>
                <w:szCs w:val="24"/>
                <w:highlight w:val="none"/>
              </w:rPr>
            </w:pPr>
            <w:bookmarkStart w:id="271" w:name="_Toc321831166"/>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名称</w:t>
            </w:r>
            <w:bookmarkEnd w:id="271"/>
          </w:p>
        </w:tc>
        <w:tc>
          <w:tcPr>
            <w:tcW w:w="3258" w:type="dxa"/>
            <w:gridSpan w:val="2"/>
            <w:tcBorders>
              <w:top w:val="single" w:color="auto" w:sz="4" w:space="0"/>
              <w:left w:val="nil"/>
              <w:bottom w:val="single" w:color="auto" w:sz="4" w:space="0"/>
              <w:right w:val="nil"/>
            </w:tcBorders>
            <w:vAlign w:val="center"/>
          </w:tcPr>
          <w:p w14:paraId="4819F4FB">
            <w:pPr>
              <w:pageBreakBefore w:val="0"/>
              <w:widowControl w:val="0"/>
              <w:wordWrap/>
              <w:overflowPunct/>
              <w:bidi w:val="0"/>
              <w:spacing w:line="360" w:lineRule="auto"/>
              <w:ind w:firstLine="518" w:firstLineChars="216"/>
              <w:jc w:val="center"/>
              <w:textAlignment w:val="auto"/>
              <w:rPr>
                <w:rFonts w:ascii="宋体" w:hAnsi="宋体" w:cs="仿宋"/>
                <w:kern w:val="2"/>
                <w:sz w:val="24"/>
                <w:szCs w:val="24"/>
                <w:highlight w:val="none"/>
              </w:rPr>
            </w:pPr>
          </w:p>
        </w:tc>
        <w:tc>
          <w:tcPr>
            <w:tcW w:w="1698" w:type="dxa"/>
            <w:tcBorders>
              <w:top w:val="single" w:color="auto" w:sz="4" w:space="0"/>
              <w:left w:val="single" w:color="auto" w:sz="4" w:space="0"/>
              <w:bottom w:val="single" w:color="auto" w:sz="4" w:space="0"/>
              <w:right w:val="nil"/>
            </w:tcBorders>
            <w:vAlign w:val="center"/>
          </w:tcPr>
          <w:p w14:paraId="26D80F69">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注册地址</w:t>
            </w:r>
          </w:p>
        </w:tc>
        <w:tc>
          <w:tcPr>
            <w:tcW w:w="2262" w:type="dxa"/>
            <w:tcBorders>
              <w:top w:val="single" w:color="auto" w:sz="4" w:space="0"/>
              <w:left w:val="single" w:color="auto" w:sz="4" w:space="0"/>
              <w:bottom w:val="single" w:color="auto" w:sz="4" w:space="0"/>
              <w:right w:val="single" w:color="auto" w:sz="8" w:space="0"/>
            </w:tcBorders>
            <w:vAlign w:val="center"/>
          </w:tcPr>
          <w:p w14:paraId="49D3FAE6">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p>
        </w:tc>
      </w:tr>
      <w:tr w14:paraId="40838BD1">
        <w:tblPrEx>
          <w:tblCellMar>
            <w:top w:w="0" w:type="dxa"/>
            <w:left w:w="108" w:type="dxa"/>
            <w:bottom w:w="0" w:type="dxa"/>
            <w:right w:w="108" w:type="dxa"/>
          </w:tblCellMar>
        </w:tblPrEx>
        <w:trPr>
          <w:trHeight w:val="506" w:hRule="atLeast"/>
          <w:jc w:val="center"/>
        </w:trPr>
        <w:tc>
          <w:tcPr>
            <w:tcW w:w="2111" w:type="dxa"/>
            <w:vMerge w:val="restart"/>
            <w:tcBorders>
              <w:top w:val="nil"/>
              <w:left w:val="single" w:color="auto" w:sz="4" w:space="0"/>
              <w:bottom w:val="single" w:color="auto" w:sz="4" w:space="0"/>
              <w:right w:val="single" w:color="auto" w:sz="4" w:space="0"/>
            </w:tcBorders>
            <w:vAlign w:val="center"/>
          </w:tcPr>
          <w:p w14:paraId="7C3FE349">
            <w:pPr>
              <w:pageBreakBefore w:val="0"/>
              <w:widowControl w:val="0"/>
              <w:wordWrap/>
              <w:overflowPunct/>
              <w:bidi w:val="0"/>
              <w:spacing w:line="360" w:lineRule="auto"/>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联系人</w:t>
            </w:r>
          </w:p>
        </w:tc>
        <w:tc>
          <w:tcPr>
            <w:tcW w:w="3258" w:type="dxa"/>
            <w:gridSpan w:val="2"/>
            <w:vMerge w:val="restart"/>
            <w:tcBorders>
              <w:top w:val="single" w:color="auto" w:sz="4" w:space="0"/>
              <w:left w:val="nil"/>
              <w:right w:val="single" w:color="auto" w:sz="4" w:space="0"/>
            </w:tcBorders>
            <w:vAlign w:val="center"/>
          </w:tcPr>
          <w:p w14:paraId="39FF6267">
            <w:pPr>
              <w:pageBreakBefore w:val="0"/>
              <w:widowControl w:val="0"/>
              <w:wordWrap/>
              <w:overflowPunct/>
              <w:bidi w:val="0"/>
              <w:spacing w:line="360" w:lineRule="auto"/>
              <w:ind w:firstLine="518" w:firstLineChars="216"/>
              <w:jc w:val="center"/>
              <w:textAlignment w:val="auto"/>
              <w:rPr>
                <w:rFonts w:ascii="宋体" w:hAnsi="宋体" w:cs="仿宋"/>
                <w:kern w:val="2"/>
                <w:sz w:val="24"/>
                <w:szCs w:val="24"/>
                <w:highlight w:val="none"/>
              </w:rPr>
            </w:pPr>
          </w:p>
        </w:tc>
        <w:tc>
          <w:tcPr>
            <w:tcW w:w="1698" w:type="dxa"/>
            <w:tcBorders>
              <w:top w:val="single" w:color="auto" w:sz="4" w:space="0"/>
              <w:left w:val="nil"/>
              <w:bottom w:val="single" w:color="auto" w:sz="4" w:space="0"/>
              <w:right w:val="single" w:color="auto" w:sz="4" w:space="0"/>
            </w:tcBorders>
            <w:vAlign w:val="center"/>
          </w:tcPr>
          <w:p w14:paraId="156EDF10">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联系电话</w:t>
            </w:r>
          </w:p>
        </w:tc>
        <w:tc>
          <w:tcPr>
            <w:tcW w:w="2262" w:type="dxa"/>
            <w:tcBorders>
              <w:top w:val="single" w:color="auto" w:sz="4" w:space="0"/>
              <w:left w:val="nil"/>
              <w:bottom w:val="single" w:color="auto" w:sz="4" w:space="0"/>
              <w:right w:val="single" w:color="auto" w:sz="8" w:space="0"/>
            </w:tcBorders>
            <w:vAlign w:val="center"/>
          </w:tcPr>
          <w:p w14:paraId="597033E4">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p>
        </w:tc>
      </w:tr>
      <w:tr w14:paraId="1BBC5C21">
        <w:tblPrEx>
          <w:tblCellMar>
            <w:top w:w="0" w:type="dxa"/>
            <w:left w:w="108" w:type="dxa"/>
            <w:bottom w:w="0" w:type="dxa"/>
            <w:right w:w="108" w:type="dxa"/>
          </w:tblCellMar>
        </w:tblPrEx>
        <w:trPr>
          <w:trHeight w:val="522" w:hRule="atLeast"/>
          <w:jc w:val="center"/>
        </w:trPr>
        <w:tc>
          <w:tcPr>
            <w:tcW w:w="2111" w:type="dxa"/>
            <w:vMerge w:val="continue"/>
            <w:tcBorders>
              <w:top w:val="nil"/>
              <w:left w:val="single" w:color="auto" w:sz="4" w:space="0"/>
              <w:bottom w:val="single" w:color="auto" w:sz="4" w:space="0"/>
              <w:right w:val="single" w:color="auto" w:sz="4" w:space="0"/>
            </w:tcBorders>
            <w:vAlign w:val="center"/>
          </w:tcPr>
          <w:p w14:paraId="1197B08A">
            <w:pPr>
              <w:pageBreakBefore w:val="0"/>
              <w:wordWrap/>
              <w:overflowPunct/>
              <w:bidi w:val="0"/>
              <w:spacing w:line="360" w:lineRule="auto"/>
              <w:jc w:val="center"/>
              <w:textAlignment w:val="auto"/>
              <w:rPr>
                <w:rFonts w:ascii="宋体" w:hAnsi="宋体" w:cs="仿宋"/>
                <w:kern w:val="2"/>
                <w:sz w:val="24"/>
                <w:szCs w:val="24"/>
                <w:highlight w:val="none"/>
              </w:rPr>
            </w:pPr>
          </w:p>
        </w:tc>
        <w:tc>
          <w:tcPr>
            <w:tcW w:w="3258" w:type="dxa"/>
            <w:gridSpan w:val="2"/>
            <w:vMerge w:val="continue"/>
            <w:tcBorders>
              <w:left w:val="nil"/>
              <w:bottom w:val="single" w:color="auto" w:sz="4" w:space="0"/>
              <w:right w:val="single" w:color="auto" w:sz="4" w:space="0"/>
            </w:tcBorders>
            <w:vAlign w:val="center"/>
          </w:tcPr>
          <w:p w14:paraId="035C48EC">
            <w:pPr>
              <w:pageBreakBefore w:val="0"/>
              <w:widowControl w:val="0"/>
              <w:wordWrap/>
              <w:overflowPunct/>
              <w:bidi w:val="0"/>
              <w:spacing w:line="360" w:lineRule="auto"/>
              <w:ind w:firstLine="518" w:firstLineChars="216"/>
              <w:jc w:val="center"/>
              <w:textAlignment w:val="auto"/>
              <w:rPr>
                <w:rFonts w:ascii="宋体" w:hAnsi="宋体" w:cs="仿宋"/>
                <w:kern w:val="2"/>
                <w:sz w:val="24"/>
                <w:szCs w:val="24"/>
                <w:highlight w:val="none"/>
              </w:rPr>
            </w:pPr>
          </w:p>
        </w:tc>
        <w:tc>
          <w:tcPr>
            <w:tcW w:w="1698" w:type="dxa"/>
            <w:tcBorders>
              <w:top w:val="single" w:color="auto" w:sz="4" w:space="0"/>
              <w:left w:val="nil"/>
              <w:bottom w:val="single" w:color="auto" w:sz="4" w:space="0"/>
              <w:right w:val="single" w:color="auto" w:sz="4" w:space="0"/>
            </w:tcBorders>
            <w:vAlign w:val="center"/>
          </w:tcPr>
          <w:p w14:paraId="06662E59">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电子邮箱</w:t>
            </w:r>
          </w:p>
        </w:tc>
        <w:tc>
          <w:tcPr>
            <w:tcW w:w="2262" w:type="dxa"/>
            <w:tcBorders>
              <w:top w:val="single" w:color="auto" w:sz="4" w:space="0"/>
              <w:left w:val="nil"/>
              <w:bottom w:val="single" w:color="auto" w:sz="4" w:space="0"/>
              <w:right w:val="single" w:color="auto" w:sz="8" w:space="0"/>
            </w:tcBorders>
            <w:vAlign w:val="center"/>
          </w:tcPr>
          <w:p w14:paraId="190CD10B">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p>
        </w:tc>
      </w:tr>
      <w:tr w14:paraId="55C226B3">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14:paraId="24271C41">
            <w:pPr>
              <w:pageBreakBefore w:val="0"/>
              <w:widowControl w:val="0"/>
              <w:wordWrap/>
              <w:overflowPunct/>
              <w:bidi w:val="0"/>
              <w:spacing w:line="360" w:lineRule="auto"/>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法定代表人</w:t>
            </w:r>
          </w:p>
        </w:tc>
        <w:tc>
          <w:tcPr>
            <w:tcW w:w="1135" w:type="dxa"/>
            <w:tcBorders>
              <w:top w:val="single" w:color="auto" w:sz="4" w:space="0"/>
              <w:left w:val="nil"/>
              <w:bottom w:val="single" w:color="auto" w:sz="4" w:space="0"/>
              <w:right w:val="single" w:color="auto" w:sz="4" w:space="0"/>
            </w:tcBorders>
            <w:vAlign w:val="center"/>
          </w:tcPr>
          <w:p w14:paraId="0B73C148">
            <w:pPr>
              <w:pageBreakBefore w:val="0"/>
              <w:widowControl w:val="0"/>
              <w:wordWrap/>
              <w:overflowPunct/>
              <w:bidi w:val="0"/>
              <w:spacing w:line="360" w:lineRule="auto"/>
              <w:ind w:firstLine="43" w:firstLineChars="18"/>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姓名</w:t>
            </w:r>
          </w:p>
        </w:tc>
        <w:tc>
          <w:tcPr>
            <w:tcW w:w="2123" w:type="dxa"/>
            <w:tcBorders>
              <w:top w:val="single" w:color="auto" w:sz="4" w:space="0"/>
              <w:left w:val="nil"/>
              <w:bottom w:val="single" w:color="auto" w:sz="4" w:space="0"/>
              <w:right w:val="single" w:color="auto" w:sz="4" w:space="0"/>
            </w:tcBorders>
            <w:vAlign w:val="center"/>
          </w:tcPr>
          <w:p w14:paraId="72CAAE8F">
            <w:pPr>
              <w:pageBreakBefore w:val="0"/>
              <w:widowControl w:val="0"/>
              <w:wordWrap/>
              <w:overflowPunct/>
              <w:bidi w:val="0"/>
              <w:spacing w:line="360" w:lineRule="auto"/>
              <w:ind w:firstLine="518" w:firstLineChars="216"/>
              <w:jc w:val="center"/>
              <w:textAlignment w:val="auto"/>
              <w:rPr>
                <w:rFonts w:ascii="宋体" w:hAnsi="宋体" w:cs="仿宋"/>
                <w:kern w:val="2"/>
                <w:sz w:val="24"/>
                <w:szCs w:val="24"/>
                <w:highlight w:val="none"/>
              </w:rPr>
            </w:pPr>
          </w:p>
        </w:tc>
        <w:tc>
          <w:tcPr>
            <w:tcW w:w="1698" w:type="dxa"/>
            <w:tcBorders>
              <w:top w:val="single" w:color="auto" w:sz="4" w:space="0"/>
              <w:left w:val="nil"/>
              <w:bottom w:val="single" w:color="auto" w:sz="4" w:space="0"/>
              <w:right w:val="single" w:color="auto" w:sz="4" w:space="0"/>
            </w:tcBorders>
            <w:vAlign w:val="center"/>
          </w:tcPr>
          <w:p w14:paraId="6497A81F">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职务</w:t>
            </w:r>
          </w:p>
        </w:tc>
        <w:tc>
          <w:tcPr>
            <w:tcW w:w="2262" w:type="dxa"/>
            <w:tcBorders>
              <w:top w:val="single" w:color="auto" w:sz="4" w:space="0"/>
              <w:left w:val="nil"/>
              <w:bottom w:val="single" w:color="auto" w:sz="4" w:space="0"/>
              <w:right w:val="single" w:color="auto" w:sz="8" w:space="0"/>
            </w:tcBorders>
            <w:vAlign w:val="center"/>
          </w:tcPr>
          <w:p w14:paraId="291996FD">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p>
        </w:tc>
      </w:tr>
      <w:tr w14:paraId="42C77A88">
        <w:tblPrEx>
          <w:tblCellMar>
            <w:top w:w="0" w:type="dxa"/>
            <w:left w:w="108" w:type="dxa"/>
            <w:bottom w:w="0" w:type="dxa"/>
            <w:right w:w="108" w:type="dxa"/>
          </w:tblCellMar>
        </w:tblPrEx>
        <w:trPr>
          <w:trHeight w:val="457"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1453831D">
            <w:pPr>
              <w:pageBreakBefore w:val="0"/>
              <w:widowControl w:val="0"/>
              <w:wordWrap/>
              <w:overflowPunct/>
              <w:bidi w:val="0"/>
              <w:spacing w:line="360" w:lineRule="auto"/>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单位性质</w:t>
            </w:r>
          </w:p>
        </w:tc>
        <w:tc>
          <w:tcPr>
            <w:tcW w:w="3258" w:type="dxa"/>
            <w:gridSpan w:val="2"/>
            <w:tcBorders>
              <w:top w:val="single" w:color="auto" w:sz="4" w:space="0"/>
              <w:left w:val="nil"/>
              <w:bottom w:val="single" w:color="auto" w:sz="4" w:space="0"/>
              <w:right w:val="single" w:color="auto" w:sz="4" w:space="0"/>
            </w:tcBorders>
            <w:vAlign w:val="center"/>
          </w:tcPr>
          <w:p w14:paraId="62D99A18">
            <w:pPr>
              <w:pageBreakBefore w:val="0"/>
              <w:widowControl w:val="0"/>
              <w:wordWrap/>
              <w:overflowPunct/>
              <w:bidi w:val="0"/>
              <w:spacing w:line="360" w:lineRule="auto"/>
              <w:ind w:firstLine="518" w:firstLineChars="216"/>
              <w:jc w:val="center"/>
              <w:textAlignment w:val="auto"/>
              <w:rPr>
                <w:rFonts w:ascii="宋体" w:hAnsi="宋体" w:cs="仿宋"/>
                <w:kern w:val="2"/>
                <w:sz w:val="24"/>
                <w:szCs w:val="24"/>
                <w:highlight w:val="none"/>
              </w:rPr>
            </w:pPr>
          </w:p>
        </w:tc>
        <w:tc>
          <w:tcPr>
            <w:tcW w:w="1698" w:type="dxa"/>
            <w:tcBorders>
              <w:top w:val="single" w:color="auto" w:sz="4" w:space="0"/>
              <w:left w:val="nil"/>
              <w:bottom w:val="single" w:color="auto" w:sz="4" w:space="0"/>
              <w:right w:val="single" w:color="auto" w:sz="4" w:space="0"/>
            </w:tcBorders>
            <w:vAlign w:val="center"/>
          </w:tcPr>
          <w:p w14:paraId="50F96B27">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成立时间</w:t>
            </w:r>
          </w:p>
        </w:tc>
        <w:tc>
          <w:tcPr>
            <w:tcW w:w="2262" w:type="dxa"/>
            <w:tcBorders>
              <w:top w:val="single" w:color="auto" w:sz="4" w:space="0"/>
              <w:left w:val="nil"/>
              <w:bottom w:val="single" w:color="auto" w:sz="4" w:space="0"/>
              <w:right w:val="single" w:color="auto" w:sz="8" w:space="0"/>
            </w:tcBorders>
            <w:vAlign w:val="center"/>
          </w:tcPr>
          <w:p w14:paraId="0B90883E">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p>
        </w:tc>
      </w:tr>
      <w:tr w14:paraId="5E976942">
        <w:tblPrEx>
          <w:tblCellMar>
            <w:top w:w="0" w:type="dxa"/>
            <w:left w:w="108" w:type="dxa"/>
            <w:bottom w:w="0" w:type="dxa"/>
            <w:right w:w="108" w:type="dxa"/>
          </w:tblCellMar>
        </w:tblPrEx>
        <w:trPr>
          <w:trHeight w:val="457"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79B47C3C">
            <w:pPr>
              <w:pageBreakBefore w:val="0"/>
              <w:widowControl w:val="0"/>
              <w:wordWrap/>
              <w:overflowPunct/>
              <w:bidi w:val="0"/>
              <w:spacing w:line="360" w:lineRule="auto"/>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经营范围</w:t>
            </w:r>
          </w:p>
        </w:tc>
        <w:tc>
          <w:tcPr>
            <w:tcW w:w="3258" w:type="dxa"/>
            <w:gridSpan w:val="2"/>
            <w:tcBorders>
              <w:top w:val="single" w:color="auto" w:sz="4" w:space="0"/>
              <w:left w:val="nil"/>
              <w:bottom w:val="single" w:color="auto" w:sz="4" w:space="0"/>
              <w:right w:val="single" w:color="auto" w:sz="4" w:space="0"/>
            </w:tcBorders>
            <w:vAlign w:val="center"/>
          </w:tcPr>
          <w:p w14:paraId="1C0EF8EB">
            <w:pPr>
              <w:pageBreakBefore w:val="0"/>
              <w:widowControl w:val="0"/>
              <w:wordWrap/>
              <w:overflowPunct/>
              <w:bidi w:val="0"/>
              <w:spacing w:line="360" w:lineRule="auto"/>
              <w:ind w:firstLine="518" w:firstLineChars="216"/>
              <w:jc w:val="center"/>
              <w:textAlignment w:val="auto"/>
              <w:rPr>
                <w:rFonts w:ascii="宋体" w:hAnsi="宋体" w:cs="仿宋"/>
                <w:kern w:val="2"/>
                <w:sz w:val="24"/>
                <w:szCs w:val="24"/>
                <w:highlight w:val="none"/>
              </w:rPr>
            </w:pPr>
          </w:p>
        </w:tc>
        <w:tc>
          <w:tcPr>
            <w:tcW w:w="1698" w:type="dxa"/>
            <w:tcBorders>
              <w:top w:val="single" w:color="auto" w:sz="4" w:space="0"/>
              <w:left w:val="nil"/>
              <w:bottom w:val="single" w:color="auto" w:sz="4" w:space="0"/>
              <w:right w:val="single" w:color="auto" w:sz="4" w:space="0"/>
            </w:tcBorders>
            <w:vAlign w:val="center"/>
          </w:tcPr>
          <w:p w14:paraId="0570113D">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注册资金</w:t>
            </w:r>
          </w:p>
        </w:tc>
        <w:tc>
          <w:tcPr>
            <w:tcW w:w="2262" w:type="dxa"/>
            <w:tcBorders>
              <w:top w:val="single" w:color="auto" w:sz="4" w:space="0"/>
              <w:left w:val="nil"/>
              <w:bottom w:val="single" w:color="auto" w:sz="4" w:space="0"/>
              <w:right w:val="single" w:color="auto" w:sz="8" w:space="0"/>
            </w:tcBorders>
            <w:vAlign w:val="center"/>
          </w:tcPr>
          <w:p w14:paraId="3751F7AD">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p>
        </w:tc>
      </w:tr>
      <w:tr w14:paraId="44897B7C">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71ADF8C4">
            <w:pPr>
              <w:pageBreakBefore w:val="0"/>
              <w:widowControl w:val="0"/>
              <w:wordWrap/>
              <w:overflowPunct/>
              <w:bidi w:val="0"/>
              <w:spacing w:line="360" w:lineRule="auto"/>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开户银行</w:t>
            </w:r>
          </w:p>
        </w:tc>
        <w:tc>
          <w:tcPr>
            <w:tcW w:w="3258" w:type="dxa"/>
            <w:gridSpan w:val="2"/>
            <w:tcBorders>
              <w:top w:val="single" w:color="auto" w:sz="4" w:space="0"/>
              <w:left w:val="nil"/>
              <w:bottom w:val="single" w:color="auto" w:sz="4" w:space="0"/>
              <w:right w:val="single" w:color="auto" w:sz="4" w:space="0"/>
            </w:tcBorders>
            <w:vAlign w:val="center"/>
          </w:tcPr>
          <w:p w14:paraId="3A2D77B5">
            <w:pPr>
              <w:pageBreakBefore w:val="0"/>
              <w:widowControl w:val="0"/>
              <w:wordWrap/>
              <w:overflowPunct/>
              <w:bidi w:val="0"/>
              <w:spacing w:line="360" w:lineRule="auto"/>
              <w:ind w:firstLine="518" w:firstLineChars="216"/>
              <w:jc w:val="center"/>
              <w:textAlignment w:val="auto"/>
              <w:rPr>
                <w:rFonts w:ascii="宋体" w:hAnsi="宋体" w:cs="仿宋"/>
                <w:kern w:val="2"/>
                <w:sz w:val="24"/>
                <w:szCs w:val="24"/>
                <w:highlight w:val="none"/>
              </w:rPr>
            </w:pPr>
          </w:p>
        </w:tc>
        <w:tc>
          <w:tcPr>
            <w:tcW w:w="1698" w:type="dxa"/>
            <w:tcBorders>
              <w:top w:val="single" w:color="auto" w:sz="4" w:space="0"/>
              <w:left w:val="nil"/>
              <w:bottom w:val="single" w:color="auto" w:sz="4" w:space="0"/>
              <w:right w:val="single" w:color="auto" w:sz="4" w:space="0"/>
            </w:tcBorders>
            <w:vAlign w:val="center"/>
          </w:tcPr>
          <w:p w14:paraId="7D562202">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开户账号</w:t>
            </w:r>
          </w:p>
        </w:tc>
        <w:tc>
          <w:tcPr>
            <w:tcW w:w="2262" w:type="dxa"/>
            <w:tcBorders>
              <w:top w:val="single" w:color="auto" w:sz="4" w:space="0"/>
              <w:left w:val="nil"/>
              <w:bottom w:val="single" w:color="auto" w:sz="4" w:space="0"/>
              <w:right w:val="single" w:color="auto" w:sz="8" w:space="0"/>
            </w:tcBorders>
            <w:vAlign w:val="center"/>
          </w:tcPr>
          <w:p w14:paraId="6C639CF6">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p>
        </w:tc>
      </w:tr>
      <w:tr w14:paraId="3B6583BA">
        <w:tblPrEx>
          <w:tblCellMar>
            <w:top w:w="0" w:type="dxa"/>
            <w:left w:w="108" w:type="dxa"/>
            <w:bottom w:w="0" w:type="dxa"/>
            <w:right w:w="108" w:type="dxa"/>
          </w:tblCellMar>
        </w:tblPrEx>
        <w:trPr>
          <w:trHeight w:val="343" w:hRule="atLeast"/>
          <w:jc w:val="center"/>
        </w:trPr>
        <w:tc>
          <w:tcPr>
            <w:tcW w:w="2111" w:type="dxa"/>
            <w:tcBorders>
              <w:top w:val="single" w:color="auto" w:sz="4" w:space="0"/>
              <w:left w:val="single" w:color="auto" w:sz="8" w:space="0"/>
              <w:bottom w:val="nil"/>
              <w:right w:val="nil"/>
            </w:tcBorders>
            <w:vAlign w:val="center"/>
          </w:tcPr>
          <w:p w14:paraId="69531019">
            <w:pPr>
              <w:pageBreakBefore w:val="0"/>
              <w:widowControl w:val="0"/>
              <w:wordWrap/>
              <w:overflowPunct/>
              <w:bidi w:val="0"/>
              <w:spacing w:line="360" w:lineRule="auto"/>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资质名称、等级</w:t>
            </w:r>
          </w:p>
          <w:p w14:paraId="329D76EF">
            <w:pPr>
              <w:pageBreakBefore w:val="0"/>
              <w:widowControl w:val="0"/>
              <w:wordWrap/>
              <w:overflowPunct/>
              <w:bidi w:val="0"/>
              <w:spacing w:line="360" w:lineRule="auto"/>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专业、范围</w:t>
            </w:r>
          </w:p>
        </w:tc>
        <w:tc>
          <w:tcPr>
            <w:tcW w:w="7218" w:type="dxa"/>
            <w:gridSpan w:val="4"/>
            <w:tcBorders>
              <w:top w:val="single" w:color="auto" w:sz="4" w:space="0"/>
              <w:left w:val="single" w:color="auto" w:sz="4" w:space="0"/>
              <w:bottom w:val="single" w:color="auto" w:sz="4" w:space="0"/>
              <w:right w:val="single" w:color="auto" w:sz="8" w:space="0"/>
            </w:tcBorders>
            <w:vAlign w:val="center"/>
          </w:tcPr>
          <w:p w14:paraId="5DE87F39">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p>
        </w:tc>
      </w:tr>
      <w:tr w14:paraId="713E46FE">
        <w:tblPrEx>
          <w:tblCellMar>
            <w:top w:w="0" w:type="dxa"/>
            <w:left w:w="108" w:type="dxa"/>
            <w:bottom w:w="0" w:type="dxa"/>
            <w:right w:w="108" w:type="dxa"/>
          </w:tblCellMar>
        </w:tblPrEx>
        <w:trPr>
          <w:cantSplit/>
          <w:trHeight w:val="76" w:hRule="atLeast"/>
          <w:jc w:val="center"/>
        </w:trPr>
        <w:tc>
          <w:tcPr>
            <w:tcW w:w="2111" w:type="dxa"/>
            <w:tcBorders>
              <w:top w:val="single" w:color="auto" w:sz="4" w:space="0"/>
              <w:left w:val="single" w:color="auto" w:sz="8" w:space="0"/>
              <w:bottom w:val="single" w:color="auto" w:sz="4" w:space="0"/>
              <w:right w:val="nil"/>
            </w:tcBorders>
            <w:vAlign w:val="center"/>
          </w:tcPr>
          <w:p w14:paraId="407B3E21">
            <w:pPr>
              <w:pageBreakBefore w:val="0"/>
              <w:widowControl w:val="0"/>
              <w:wordWrap/>
              <w:overflowPunct/>
              <w:bidi w:val="0"/>
              <w:spacing w:line="360" w:lineRule="auto"/>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员工数量</w:t>
            </w:r>
          </w:p>
        </w:tc>
        <w:tc>
          <w:tcPr>
            <w:tcW w:w="7218" w:type="dxa"/>
            <w:gridSpan w:val="4"/>
            <w:tcBorders>
              <w:top w:val="single" w:color="auto" w:sz="4" w:space="0"/>
              <w:left w:val="single" w:color="auto" w:sz="4" w:space="0"/>
              <w:bottom w:val="single" w:color="auto" w:sz="4" w:space="0"/>
              <w:right w:val="single" w:color="auto" w:sz="8" w:space="0"/>
            </w:tcBorders>
            <w:vAlign w:val="center"/>
          </w:tcPr>
          <w:p w14:paraId="530B3D5F">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p>
        </w:tc>
      </w:tr>
      <w:tr w14:paraId="1AB3C5D3">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7D36642C">
            <w:pPr>
              <w:pageBreakBefore w:val="0"/>
              <w:widowControl w:val="0"/>
              <w:wordWrap/>
              <w:overflowPunct/>
              <w:bidi w:val="0"/>
              <w:spacing w:line="360" w:lineRule="auto"/>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隶属和/或控股情况</w:t>
            </w:r>
          </w:p>
        </w:tc>
        <w:tc>
          <w:tcPr>
            <w:tcW w:w="3258" w:type="dxa"/>
            <w:gridSpan w:val="2"/>
            <w:tcBorders>
              <w:top w:val="single" w:color="auto" w:sz="4" w:space="0"/>
              <w:left w:val="nil"/>
              <w:bottom w:val="single" w:color="auto" w:sz="4" w:space="0"/>
              <w:right w:val="single" w:color="auto" w:sz="4" w:space="0"/>
            </w:tcBorders>
            <w:vAlign w:val="center"/>
          </w:tcPr>
          <w:p w14:paraId="2AADED63">
            <w:pPr>
              <w:pageBreakBefore w:val="0"/>
              <w:widowControl w:val="0"/>
              <w:wordWrap/>
              <w:overflowPunct/>
              <w:bidi w:val="0"/>
              <w:spacing w:line="360" w:lineRule="auto"/>
              <w:ind w:firstLine="518" w:firstLineChars="216"/>
              <w:jc w:val="center"/>
              <w:textAlignment w:val="auto"/>
              <w:rPr>
                <w:rFonts w:ascii="宋体" w:hAnsi="宋体" w:cs="仿宋"/>
                <w:kern w:val="2"/>
                <w:sz w:val="24"/>
                <w:szCs w:val="24"/>
                <w:highlight w:val="none"/>
              </w:rPr>
            </w:pPr>
          </w:p>
        </w:tc>
        <w:tc>
          <w:tcPr>
            <w:tcW w:w="1698" w:type="dxa"/>
            <w:tcBorders>
              <w:top w:val="single" w:color="auto" w:sz="4" w:space="0"/>
              <w:left w:val="nil"/>
              <w:bottom w:val="single" w:color="auto" w:sz="4" w:space="0"/>
              <w:right w:val="single" w:color="auto" w:sz="4" w:space="0"/>
            </w:tcBorders>
            <w:vAlign w:val="center"/>
          </w:tcPr>
          <w:p w14:paraId="6D78BD1D">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r>
              <w:rPr>
                <w:rFonts w:hint="eastAsia" w:ascii="宋体" w:hAnsi="宋体" w:cs="仿宋"/>
                <w:kern w:val="2"/>
                <w:sz w:val="24"/>
                <w:szCs w:val="24"/>
                <w:highlight w:val="none"/>
              </w:rPr>
              <w:t>是否为中小企业</w:t>
            </w:r>
          </w:p>
        </w:tc>
        <w:tc>
          <w:tcPr>
            <w:tcW w:w="2262" w:type="dxa"/>
            <w:tcBorders>
              <w:top w:val="single" w:color="auto" w:sz="4" w:space="0"/>
              <w:left w:val="nil"/>
              <w:bottom w:val="single" w:color="auto" w:sz="4" w:space="0"/>
              <w:right w:val="single" w:color="auto" w:sz="8" w:space="0"/>
            </w:tcBorders>
            <w:vAlign w:val="center"/>
          </w:tcPr>
          <w:p w14:paraId="4BFBECAF">
            <w:pPr>
              <w:pageBreakBefore w:val="0"/>
              <w:widowControl w:val="0"/>
              <w:wordWrap/>
              <w:overflowPunct/>
              <w:bidi w:val="0"/>
              <w:spacing w:line="360" w:lineRule="auto"/>
              <w:ind w:firstLine="165" w:firstLineChars="69"/>
              <w:jc w:val="center"/>
              <w:textAlignment w:val="auto"/>
              <w:rPr>
                <w:rFonts w:ascii="宋体" w:hAnsi="宋体" w:cs="仿宋"/>
                <w:kern w:val="2"/>
                <w:sz w:val="24"/>
                <w:szCs w:val="24"/>
                <w:highlight w:val="none"/>
              </w:rPr>
            </w:pPr>
          </w:p>
        </w:tc>
      </w:tr>
      <w:tr w14:paraId="4155C801">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7DB8F7BB">
            <w:pPr>
              <w:pageBreakBefore w:val="0"/>
              <w:widowControl w:val="0"/>
              <w:wordWrap/>
              <w:overflowPunct/>
              <w:bidi w:val="0"/>
              <w:spacing w:line="360" w:lineRule="auto"/>
              <w:textAlignment w:val="auto"/>
              <w:rPr>
                <w:rFonts w:ascii="宋体" w:hAnsi="宋体" w:cs="仿宋"/>
                <w:kern w:val="2"/>
                <w:sz w:val="24"/>
                <w:szCs w:val="24"/>
                <w:highlight w:val="none"/>
              </w:rPr>
            </w:pPr>
            <w:r>
              <w:rPr>
                <w:rFonts w:hint="eastAsia" w:ascii="宋体" w:hAnsi="宋体" w:cs="仿宋"/>
                <w:kern w:val="2"/>
                <w:sz w:val="24"/>
                <w:szCs w:val="24"/>
                <w:highlight w:val="none"/>
              </w:rPr>
              <w:t>依法缴纳税收和社会保障资金</w:t>
            </w:r>
          </w:p>
        </w:tc>
        <w:tc>
          <w:tcPr>
            <w:tcW w:w="3258" w:type="dxa"/>
            <w:gridSpan w:val="2"/>
            <w:tcBorders>
              <w:top w:val="single" w:color="auto" w:sz="4" w:space="0"/>
              <w:left w:val="nil"/>
              <w:bottom w:val="single" w:color="auto" w:sz="4" w:space="0"/>
              <w:right w:val="nil"/>
            </w:tcBorders>
            <w:vAlign w:val="center"/>
          </w:tcPr>
          <w:p w14:paraId="3C04B719">
            <w:pPr>
              <w:pageBreakBefore w:val="0"/>
              <w:widowControl w:val="0"/>
              <w:wordWrap/>
              <w:overflowPunct/>
              <w:bidi w:val="0"/>
              <w:spacing w:line="360" w:lineRule="auto"/>
              <w:ind w:left="-12" w:leftChars="-42" w:hanging="76" w:hangingChars="32"/>
              <w:textAlignment w:val="auto"/>
              <w:rPr>
                <w:rFonts w:ascii="宋体" w:hAnsi="宋体" w:cs="仿宋"/>
                <w:kern w:val="2"/>
                <w:sz w:val="24"/>
                <w:szCs w:val="24"/>
                <w:highlight w:val="none"/>
              </w:rPr>
            </w:pPr>
            <w:r>
              <w:rPr>
                <w:rFonts w:hint="eastAsia" w:ascii="宋体" w:hAnsi="宋体" w:cs="仿宋"/>
                <w:kern w:val="2"/>
                <w:sz w:val="24"/>
                <w:szCs w:val="24"/>
                <w:highlight w:val="none"/>
              </w:rPr>
              <w:t>（依法缴纳税收则标明：√未缴纳则标明：×）(无需缴纳的需作说明。）</w:t>
            </w:r>
          </w:p>
        </w:tc>
        <w:tc>
          <w:tcPr>
            <w:tcW w:w="1698" w:type="dxa"/>
            <w:tcBorders>
              <w:top w:val="single" w:color="auto" w:sz="4" w:space="0"/>
              <w:left w:val="single" w:color="auto" w:sz="4" w:space="0"/>
              <w:bottom w:val="single" w:color="auto" w:sz="4" w:space="0"/>
              <w:right w:val="nil"/>
            </w:tcBorders>
            <w:vAlign w:val="center"/>
          </w:tcPr>
          <w:p w14:paraId="1BF0FECB">
            <w:pPr>
              <w:pageBreakBefore w:val="0"/>
              <w:widowControl w:val="0"/>
              <w:wordWrap/>
              <w:overflowPunct/>
              <w:bidi w:val="0"/>
              <w:spacing w:line="360" w:lineRule="auto"/>
              <w:ind w:firstLine="165" w:firstLineChars="69"/>
              <w:textAlignment w:val="auto"/>
              <w:rPr>
                <w:rFonts w:ascii="宋体" w:hAnsi="宋体" w:cs="仿宋"/>
                <w:kern w:val="2"/>
                <w:sz w:val="24"/>
                <w:szCs w:val="24"/>
                <w:highlight w:val="none"/>
              </w:rPr>
            </w:pPr>
            <w:r>
              <w:rPr>
                <w:rFonts w:hint="eastAsia" w:ascii="宋体" w:hAnsi="宋体" w:cs="仿宋"/>
                <w:kern w:val="2"/>
                <w:sz w:val="24"/>
                <w:szCs w:val="24"/>
                <w:highlight w:val="none"/>
              </w:rPr>
              <w:t>近三年经营活动情况</w:t>
            </w:r>
          </w:p>
        </w:tc>
        <w:tc>
          <w:tcPr>
            <w:tcW w:w="2262" w:type="dxa"/>
            <w:tcBorders>
              <w:top w:val="single" w:color="auto" w:sz="4" w:space="0"/>
              <w:left w:val="single" w:color="auto" w:sz="4" w:space="0"/>
              <w:bottom w:val="single" w:color="auto" w:sz="4" w:space="0"/>
              <w:right w:val="single" w:color="auto" w:sz="8" w:space="0"/>
            </w:tcBorders>
            <w:vAlign w:val="center"/>
          </w:tcPr>
          <w:p w14:paraId="076B7AE1">
            <w:pPr>
              <w:pageBreakBefore w:val="0"/>
              <w:widowControl w:val="0"/>
              <w:wordWrap/>
              <w:overflowPunct/>
              <w:bidi w:val="0"/>
              <w:spacing w:line="360" w:lineRule="auto"/>
              <w:ind w:left="-12" w:leftChars="-40" w:hanging="72" w:hangingChars="30"/>
              <w:textAlignment w:val="auto"/>
              <w:rPr>
                <w:rFonts w:ascii="宋体" w:hAnsi="宋体" w:cs="仿宋"/>
                <w:kern w:val="2"/>
                <w:sz w:val="24"/>
                <w:szCs w:val="24"/>
                <w:highlight w:val="none"/>
              </w:rPr>
            </w:pPr>
            <w:r>
              <w:rPr>
                <w:rFonts w:hint="eastAsia" w:ascii="宋体" w:hAnsi="宋体" w:cs="仿宋"/>
                <w:kern w:val="2"/>
                <w:sz w:val="24"/>
                <w:szCs w:val="24"/>
                <w:highlight w:val="none"/>
              </w:rPr>
              <w:t>（无重大违法记录则标明：√有违法记录则标明：×）</w:t>
            </w:r>
          </w:p>
        </w:tc>
      </w:tr>
    </w:tbl>
    <w:p w14:paraId="12E6A608">
      <w:pPr>
        <w:pageBreakBefore w:val="0"/>
        <w:widowControl w:val="0"/>
        <w:wordWrap/>
        <w:overflowPunct/>
        <w:bidi w:val="0"/>
        <w:spacing w:before="120" w:beforeLines="50" w:line="360" w:lineRule="auto"/>
        <w:ind w:firstLine="518" w:firstLineChars="216"/>
        <w:jc w:val="left"/>
        <w:textAlignment w:val="auto"/>
        <w:rPr>
          <w:rFonts w:ascii="宋体" w:hAnsi="宋体" w:cs="仿宋"/>
          <w:kern w:val="2"/>
          <w:sz w:val="24"/>
          <w:szCs w:val="24"/>
          <w:highlight w:val="none"/>
        </w:rPr>
      </w:pPr>
      <w:r>
        <w:rPr>
          <w:rFonts w:hint="eastAsia" w:ascii="宋体" w:hAnsi="宋体" w:cs="仿宋"/>
          <w:kern w:val="2"/>
          <w:sz w:val="24"/>
          <w:szCs w:val="24"/>
          <w:highlight w:val="none"/>
        </w:rPr>
        <w:t>法定代表人（法人电子签章）：</w:t>
      </w:r>
    </w:p>
    <w:p w14:paraId="357C4850">
      <w:pPr>
        <w:pageBreakBefore w:val="0"/>
        <w:widowControl w:val="0"/>
        <w:wordWrap/>
        <w:overflowPunct/>
        <w:bidi w:val="0"/>
        <w:spacing w:before="120" w:beforeLines="50" w:line="360" w:lineRule="auto"/>
        <w:ind w:firstLine="518" w:firstLineChars="216"/>
        <w:jc w:val="left"/>
        <w:textAlignment w:val="auto"/>
        <w:rPr>
          <w:rFonts w:ascii="宋体" w:hAnsi="宋体" w:cs="仿宋"/>
          <w:kern w:val="2"/>
          <w:sz w:val="24"/>
          <w:szCs w:val="24"/>
          <w:highlight w:val="none"/>
        </w:rPr>
      </w:pP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w:t>
      </w:r>
      <w:r>
        <w:rPr>
          <w:rFonts w:hint="eastAsia" w:ascii="宋体" w:hAnsi="宋体" w:cs="仿宋"/>
          <w:kern w:val="2"/>
          <w:sz w:val="24"/>
          <w:szCs w:val="24"/>
          <w:highlight w:val="none"/>
          <w:lang w:eastAsia="zh-CN"/>
        </w:rPr>
        <w:t>单位电子公章</w:t>
      </w:r>
      <w:r>
        <w:rPr>
          <w:rFonts w:hint="eastAsia" w:ascii="宋体" w:hAnsi="宋体" w:cs="仿宋"/>
          <w:kern w:val="2"/>
          <w:sz w:val="24"/>
          <w:szCs w:val="24"/>
          <w:highlight w:val="none"/>
        </w:rPr>
        <w:t>）：</w:t>
      </w:r>
    </w:p>
    <w:p w14:paraId="7BEF02DF">
      <w:pPr>
        <w:pageBreakBefore w:val="0"/>
        <w:widowControl w:val="0"/>
        <w:wordWrap/>
        <w:overflowPunct/>
        <w:bidi w:val="0"/>
        <w:spacing w:before="240" w:beforeLines="100"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注：</w:t>
      </w:r>
    </w:p>
    <w:p w14:paraId="1B4E0EBD">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1.须附</w:t>
      </w: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有效的</w:t>
      </w:r>
      <w:r>
        <w:rPr>
          <w:rFonts w:hint="eastAsia" w:ascii="宋体" w:hAnsi="宋体" w:cs="宋体"/>
          <w:color w:val="auto"/>
          <w:sz w:val="24"/>
          <w:szCs w:val="24"/>
          <w:highlight w:val="none"/>
          <w:lang w:val="en-US" w:eastAsia="zh-CN"/>
        </w:rPr>
        <w:t>证明文件或身份证明</w:t>
      </w:r>
      <w:r>
        <w:rPr>
          <w:rFonts w:hint="eastAsia" w:ascii="宋体" w:hAnsi="宋体" w:cs="仿宋"/>
          <w:kern w:val="2"/>
          <w:sz w:val="24"/>
          <w:szCs w:val="24"/>
          <w:highlight w:val="none"/>
        </w:rPr>
        <w:t>、开户许可证等文件；</w:t>
      </w:r>
    </w:p>
    <w:p w14:paraId="1C982787">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2.根据评标办法认为需要提供的其他证明文件。</w:t>
      </w:r>
    </w:p>
    <w:p w14:paraId="143128BB">
      <w:pPr>
        <w:pageBreakBefore w:val="0"/>
        <w:widowControl w:val="0"/>
        <w:wordWrap/>
        <w:overflowPunct/>
        <w:bidi w:val="0"/>
        <w:spacing w:line="360" w:lineRule="auto"/>
        <w:textAlignment w:val="auto"/>
        <w:rPr>
          <w:rFonts w:ascii="宋体" w:hAnsi="宋体" w:cs="仿宋"/>
          <w:kern w:val="2"/>
          <w:sz w:val="24"/>
          <w:szCs w:val="24"/>
          <w:highlight w:val="none"/>
        </w:rPr>
      </w:pPr>
      <w:r>
        <w:rPr>
          <w:rFonts w:hint="eastAsia" w:ascii="宋体" w:hAnsi="宋体" w:cs="仿宋"/>
          <w:kern w:val="2"/>
          <w:sz w:val="24"/>
          <w:szCs w:val="24"/>
          <w:highlight w:val="none"/>
        </w:rPr>
        <w:br w:type="page"/>
      </w:r>
    </w:p>
    <w:p w14:paraId="3CF45ABC">
      <w:pPr>
        <w:keepNext/>
        <w:keepLines/>
        <w:pageBreakBefore w:val="0"/>
        <w:widowControl w:val="0"/>
        <w:wordWrap/>
        <w:overflowPunct/>
        <w:bidi w:val="0"/>
        <w:spacing w:line="360" w:lineRule="auto"/>
        <w:ind w:left="210" w:leftChars="100" w:right="210" w:rightChars="100" w:firstLine="241" w:firstLineChars="100"/>
        <w:jc w:val="center"/>
        <w:textAlignment w:val="auto"/>
        <w:outlineLvl w:val="2"/>
        <w:rPr>
          <w:rFonts w:ascii="宋体" w:hAnsi="宋体" w:cs="仿宋"/>
          <w:b/>
          <w:bCs/>
          <w:kern w:val="2"/>
          <w:sz w:val="24"/>
          <w:szCs w:val="24"/>
          <w:highlight w:val="none"/>
        </w:rPr>
      </w:pPr>
      <w:bookmarkStart w:id="272" w:name="_Toc24327"/>
      <w:r>
        <w:rPr>
          <w:rFonts w:ascii="宋体" w:hAnsi="宋体" w:cs="仿宋"/>
          <w:b/>
          <w:bCs/>
          <w:kern w:val="2"/>
          <w:sz w:val="24"/>
          <w:szCs w:val="24"/>
          <w:highlight w:val="none"/>
        </w:rPr>
        <w:t>7</w:t>
      </w:r>
      <w:r>
        <w:rPr>
          <w:rFonts w:hint="eastAsia" w:ascii="宋体" w:hAnsi="宋体" w:cs="仿宋"/>
          <w:b/>
          <w:bCs/>
          <w:kern w:val="2"/>
          <w:sz w:val="24"/>
          <w:szCs w:val="24"/>
          <w:highlight w:val="none"/>
        </w:rPr>
        <w:t>-</w:t>
      </w:r>
      <w:r>
        <w:rPr>
          <w:rFonts w:ascii="宋体" w:hAnsi="宋体" w:cs="仿宋"/>
          <w:b/>
          <w:bCs/>
          <w:kern w:val="2"/>
          <w:sz w:val="24"/>
          <w:szCs w:val="24"/>
          <w:highlight w:val="none"/>
        </w:rPr>
        <w:t>2</w:t>
      </w:r>
      <w:r>
        <w:rPr>
          <w:rFonts w:hint="eastAsia" w:ascii="宋体" w:hAnsi="宋体" w:cs="仿宋"/>
          <w:b/>
          <w:bCs/>
          <w:kern w:val="2"/>
          <w:sz w:val="24"/>
          <w:szCs w:val="24"/>
          <w:highlight w:val="none"/>
        </w:rPr>
        <w:t>无商业贿赂和不正当竞争行为的承诺书</w:t>
      </w:r>
      <w:bookmarkEnd w:id="272"/>
    </w:p>
    <w:p w14:paraId="0549BF1C">
      <w:pPr>
        <w:pageBreakBefore w:val="0"/>
        <w:widowControl w:val="0"/>
        <w:wordWrap/>
        <w:overflowPunct/>
        <w:bidi w:val="0"/>
        <w:spacing w:line="360" w:lineRule="auto"/>
        <w:ind w:right="395" w:rightChars="188"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我公司承诺：</w:t>
      </w:r>
    </w:p>
    <w:p w14:paraId="79353C5B">
      <w:pPr>
        <w:pageBreakBefore w:val="0"/>
        <w:widowControl w:val="0"/>
        <w:wordWrap/>
        <w:overflowPunct/>
        <w:bidi w:val="0"/>
        <w:spacing w:after="120" w:line="360" w:lineRule="auto"/>
        <w:ind w:left="567" w:right="395" w:rightChars="188" w:firstLine="364" w:firstLineChars="152"/>
        <w:textAlignment w:val="auto"/>
        <w:rPr>
          <w:rFonts w:ascii="宋体" w:hAnsi="宋体" w:cs="仿宋"/>
          <w:kern w:val="2"/>
          <w:sz w:val="24"/>
          <w:szCs w:val="24"/>
          <w:highlight w:val="none"/>
        </w:rPr>
      </w:pPr>
      <w:r>
        <w:rPr>
          <w:rFonts w:hint="eastAsia" w:ascii="宋体" w:hAnsi="宋体" w:cs="仿宋"/>
          <w:kern w:val="2"/>
          <w:sz w:val="24"/>
          <w:szCs w:val="24"/>
          <w:highlight w:val="none"/>
        </w:rPr>
        <w:t>一、我公司</w:t>
      </w:r>
      <w:r>
        <w:rPr>
          <w:rFonts w:hint="eastAsia" w:ascii="宋体" w:hAnsi="宋体" w:cs="仿宋"/>
          <w:kern w:val="2"/>
          <w:sz w:val="24"/>
          <w:szCs w:val="24"/>
          <w:highlight w:val="none"/>
          <w:lang w:val="en-US" w:eastAsia="zh-CN"/>
        </w:rPr>
        <w:t>自成立以</w:t>
      </w:r>
      <w:r>
        <w:rPr>
          <w:rFonts w:hint="eastAsia" w:ascii="宋体" w:hAnsi="宋体" w:cs="仿宋"/>
          <w:kern w:val="2"/>
          <w:sz w:val="24"/>
          <w:szCs w:val="24"/>
          <w:highlight w:val="none"/>
        </w:rPr>
        <w:t>来从无任何商业贿赂和不正当竞争行为。</w:t>
      </w:r>
    </w:p>
    <w:p w14:paraId="0A596F31">
      <w:pPr>
        <w:pageBreakBefore w:val="0"/>
        <w:widowControl w:val="0"/>
        <w:wordWrap/>
        <w:overflowPunct/>
        <w:bidi w:val="0"/>
        <w:spacing w:after="120" w:line="360" w:lineRule="auto"/>
        <w:ind w:left="567" w:right="395" w:rightChars="188" w:firstLine="364" w:firstLineChars="152"/>
        <w:textAlignment w:val="auto"/>
        <w:rPr>
          <w:rFonts w:ascii="宋体" w:hAnsi="宋体" w:cs="仿宋"/>
          <w:kern w:val="2"/>
          <w:sz w:val="24"/>
          <w:szCs w:val="24"/>
          <w:highlight w:val="none"/>
        </w:rPr>
      </w:pPr>
      <w:r>
        <w:rPr>
          <w:rFonts w:hint="eastAsia" w:ascii="宋体" w:hAnsi="宋体" w:cs="仿宋"/>
          <w:kern w:val="2"/>
          <w:sz w:val="24"/>
          <w:szCs w:val="24"/>
          <w:highlight w:val="none"/>
        </w:rPr>
        <w:t>二、公平竞争参加本次采购活动。</w:t>
      </w:r>
    </w:p>
    <w:p w14:paraId="240B4F4B">
      <w:pPr>
        <w:pageBreakBefore w:val="0"/>
        <w:widowControl w:val="0"/>
        <w:wordWrap/>
        <w:overflowPunct/>
        <w:bidi w:val="0"/>
        <w:spacing w:after="120" w:line="360" w:lineRule="auto"/>
        <w:ind w:left="567" w:right="395" w:rightChars="188" w:firstLine="364" w:firstLineChars="152"/>
        <w:textAlignment w:val="auto"/>
        <w:rPr>
          <w:rFonts w:ascii="宋体" w:hAnsi="宋体" w:cs="仿宋"/>
          <w:kern w:val="2"/>
          <w:sz w:val="24"/>
          <w:szCs w:val="24"/>
          <w:highlight w:val="none"/>
        </w:rPr>
      </w:pPr>
      <w:r>
        <w:rPr>
          <w:rFonts w:hint="eastAsia" w:ascii="宋体" w:hAnsi="宋体" w:cs="仿宋"/>
          <w:kern w:val="2"/>
          <w:sz w:val="24"/>
          <w:szCs w:val="24"/>
          <w:highlight w:val="none"/>
        </w:rPr>
        <w:t>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0EDB554">
      <w:pPr>
        <w:pageBreakBefore w:val="0"/>
        <w:widowControl w:val="0"/>
        <w:wordWrap/>
        <w:overflowPunct/>
        <w:bidi w:val="0"/>
        <w:spacing w:after="120" w:line="360" w:lineRule="auto"/>
        <w:ind w:left="567" w:right="395" w:rightChars="188" w:firstLine="364" w:firstLineChars="152"/>
        <w:textAlignment w:val="auto"/>
        <w:rPr>
          <w:rFonts w:ascii="宋体" w:hAnsi="宋体" w:cs="仿宋"/>
          <w:kern w:val="2"/>
          <w:sz w:val="24"/>
          <w:szCs w:val="24"/>
          <w:highlight w:val="none"/>
        </w:rPr>
      </w:pPr>
      <w:r>
        <w:rPr>
          <w:rFonts w:hint="eastAsia" w:ascii="宋体" w:hAnsi="宋体" w:cs="仿宋"/>
          <w:kern w:val="2"/>
          <w:sz w:val="24"/>
          <w:szCs w:val="24"/>
          <w:highlight w:val="none"/>
        </w:rPr>
        <w:t>四、坚持投标独立性，保证不以任何手段了解或意图了解其他投标参与人情况及其报价信息。除公开渠道获取相关信息外，保证不以其它方式刺探或意图刺探贵单位评标、议标信息及其进展。</w:t>
      </w:r>
    </w:p>
    <w:p w14:paraId="1A52437D">
      <w:pPr>
        <w:pageBreakBefore w:val="0"/>
        <w:widowControl w:val="0"/>
        <w:wordWrap/>
        <w:overflowPunct/>
        <w:bidi w:val="0"/>
        <w:spacing w:after="120" w:line="360" w:lineRule="auto"/>
        <w:ind w:left="567" w:right="395" w:rightChars="188" w:firstLine="364" w:firstLineChars="152"/>
        <w:textAlignment w:val="auto"/>
        <w:rPr>
          <w:rFonts w:ascii="宋体" w:hAnsi="宋体" w:cs="仿宋"/>
          <w:kern w:val="2"/>
          <w:sz w:val="24"/>
          <w:szCs w:val="24"/>
          <w:highlight w:val="none"/>
        </w:rPr>
      </w:pPr>
      <w:r>
        <w:rPr>
          <w:rFonts w:hint="eastAsia" w:ascii="宋体" w:hAnsi="宋体" w:cs="仿宋"/>
          <w:kern w:val="2"/>
          <w:sz w:val="24"/>
          <w:szCs w:val="24"/>
          <w:highlight w:val="none"/>
        </w:rPr>
        <w:t>五、若出现上述行为、与投标的工作人员愿意接受按照国家法律法规等有关规定给予的处罚。</w:t>
      </w:r>
    </w:p>
    <w:p w14:paraId="60F3E26F">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特此承诺。</w:t>
      </w:r>
    </w:p>
    <w:p w14:paraId="074295DE">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207C1B73">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5435CE49">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p>
    <w:p w14:paraId="2F37B99C">
      <w:pPr>
        <w:pageBreakBefore w:val="0"/>
        <w:widowControl w:val="0"/>
        <w:wordWrap/>
        <w:overflowPunct/>
        <w:bidi w:val="0"/>
        <w:spacing w:line="360" w:lineRule="auto"/>
        <w:ind w:firstLine="518" w:firstLineChars="216"/>
        <w:textAlignment w:val="auto"/>
        <w:rPr>
          <w:rFonts w:ascii="宋体" w:hAnsi="宋体" w:cs="仿宋"/>
          <w:kern w:val="2"/>
          <w:sz w:val="24"/>
          <w:szCs w:val="24"/>
          <w:highlight w:val="none"/>
        </w:rPr>
      </w:pPr>
      <w:r>
        <w:rPr>
          <w:rFonts w:hint="eastAsia" w:ascii="宋体" w:hAnsi="宋体" w:cs="宋体"/>
          <w:kern w:val="2"/>
          <w:sz w:val="24"/>
          <w:szCs w:val="24"/>
          <w:highlight w:val="none"/>
        </w:rPr>
        <w:t> </w:t>
      </w:r>
    </w:p>
    <w:p w14:paraId="07D86F84">
      <w:pPr>
        <w:pageBreakBefore w:val="0"/>
        <w:widowControl w:val="0"/>
        <w:wordWrap/>
        <w:overflowPunct/>
        <w:bidi w:val="0"/>
        <w:spacing w:line="360" w:lineRule="auto"/>
        <w:ind w:firstLine="996" w:firstLineChars="415"/>
        <w:textAlignment w:val="auto"/>
        <w:rPr>
          <w:rFonts w:ascii="宋体" w:hAnsi="宋体" w:cs="仿宋"/>
          <w:kern w:val="2"/>
          <w:sz w:val="24"/>
          <w:szCs w:val="24"/>
          <w:highlight w:val="none"/>
        </w:rPr>
      </w:pPr>
      <w:r>
        <w:rPr>
          <w:rFonts w:hint="eastAsia" w:ascii="宋体" w:hAnsi="宋体" w:cs="仿宋"/>
          <w:kern w:val="2"/>
          <w:sz w:val="24"/>
          <w:szCs w:val="24"/>
          <w:highlight w:val="none"/>
          <w:lang w:eastAsia="zh-CN"/>
        </w:rPr>
        <w:t>供应商</w:t>
      </w:r>
      <w:r>
        <w:rPr>
          <w:rFonts w:hint="eastAsia" w:ascii="宋体" w:hAnsi="宋体" w:cs="仿宋"/>
          <w:kern w:val="2"/>
          <w:sz w:val="24"/>
          <w:szCs w:val="24"/>
          <w:highlight w:val="none"/>
        </w:rPr>
        <w:t>名称：</w:t>
      </w:r>
      <w:r>
        <w:rPr>
          <w:rFonts w:hint="eastAsia" w:ascii="宋体" w:hAnsi="宋体" w:cs="宋体"/>
          <w:kern w:val="2"/>
          <w:sz w:val="24"/>
          <w:szCs w:val="24"/>
          <w:highlight w:val="none"/>
        </w:rPr>
        <w:t> </w:t>
      </w:r>
      <w:r>
        <w:rPr>
          <w:rFonts w:hint="eastAsia" w:ascii="宋体" w:hAnsi="宋体" w:cs="仿宋"/>
          <w:kern w:val="2"/>
          <w:sz w:val="24"/>
          <w:szCs w:val="24"/>
          <w:highlight w:val="none"/>
        </w:rPr>
        <w:t>（</w:t>
      </w:r>
      <w:bookmarkStart w:id="273" w:name="OLE_LINK2"/>
      <w:r>
        <w:rPr>
          <w:rFonts w:hint="eastAsia" w:ascii="宋体" w:hAnsi="宋体" w:cs="仿宋"/>
          <w:kern w:val="2"/>
          <w:sz w:val="24"/>
          <w:szCs w:val="24"/>
          <w:highlight w:val="none"/>
          <w:lang w:eastAsia="zh-CN"/>
        </w:rPr>
        <w:t>单位电子公章</w:t>
      </w:r>
      <w:bookmarkEnd w:id="273"/>
      <w:r>
        <w:rPr>
          <w:rFonts w:hint="eastAsia" w:ascii="宋体" w:hAnsi="宋体" w:cs="仿宋"/>
          <w:kern w:val="2"/>
          <w:sz w:val="24"/>
          <w:szCs w:val="24"/>
          <w:highlight w:val="none"/>
        </w:rPr>
        <w:t>）</w:t>
      </w:r>
    </w:p>
    <w:p w14:paraId="153AC644">
      <w:pPr>
        <w:pageBreakBefore w:val="0"/>
        <w:widowControl w:val="0"/>
        <w:wordWrap/>
        <w:overflowPunct/>
        <w:bidi w:val="0"/>
        <w:spacing w:line="360" w:lineRule="auto"/>
        <w:ind w:firstLine="996" w:firstLineChars="415"/>
        <w:textAlignment w:val="auto"/>
        <w:rPr>
          <w:rFonts w:ascii="宋体" w:hAnsi="宋体" w:cs="仿宋"/>
          <w:kern w:val="2"/>
          <w:sz w:val="24"/>
          <w:szCs w:val="24"/>
          <w:highlight w:val="none"/>
        </w:rPr>
      </w:pPr>
      <w:r>
        <w:rPr>
          <w:rFonts w:hint="eastAsia" w:ascii="宋体" w:hAnsi="宋体" w:cs="仿宋"/>
          <w:kern w:val="2"/>
          <w:sz w:val="24"/>
          <w:szCs w:val="24"/>
          <w:highlight w:val="none"/>
        </w:rPr>
        <w:t>法定代表人或授权代表：（法人电子签章）</w:t>
      </w:r>
    </w:p>
    <w:p w14:paraId="0AD4D1BC">
      <w:pPr>
        <w:pageBreakBefore w:val="0"/>
        <w:widowControl w:val="0"/>
        <w:wordWrap/>
        <w:overflowPunct/>
        <w:bidi w:val="0"/>
        <w:snapToGrid w:val="0"/>
        <w:spacing w:line="360" w:lineRule="auto"/>
        <w:ind w:left="420" w:leftChars="200"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t>日期：</w:t>
      </w:r>
      <w:r>
        <w:rPr>
          <w:rFonts w:hint="eastAsia" w:ascii="宋体" w:hAnsi="宋体" w:cs="宋体"/>
          <w:kern w:val="2"/>
          <w:sz w:val="24"/>
          <w:szCs w:val="24"/>
          <w:highlight w:val="none"/>
        </w:rPr>
        <w:t>              </w:t>
      </w:r>
    </w:p>
    <w:p w14:paraId="217EC129">
      <w:pPr>
        <w:pageBreakBefore w:val="0"/>
        <w:widowControl w:val="0"/>
        <w:wordWrap/>
        <w:overflowPunct/>
        <w:bidi w:val="0"/>
        <w:snapToGrid w:val="0"/>
        <w:spacing w:line="360" w:lineRule="auto"/>
        <w:ind w:left="420" w:leftChars="200" w:firstLine="518" w:firstLineChars="216"/>
        <w:textAlignment w:val="auto"/>
        <w:rPr>
          <w:rFonts w:ascii="宋体" w:hAnsi="宋体" w:cs="仿宋"/>
          <w:kern w:val="2"/>
          <w:sz w:val="24"/>
          <w:szCs w:val="24"/>
          <w:highlight w:val="none"/>
        </w:rPr>
      </w:pPr>
    </w:p>
    <w:p w14:paraId="16C50DA6">
      <w:pPr>
        <w:pageBreakBefore w:val="0"/>
        <w:widowControl w:val="0"/>
        <w:wordWrap/>
        <w:overflowPunct/>
        <w:bidi w:val="0"/>
        <w:snapToGrid w:val="0"/>
        <w:spacing w:line="360" w:lineRule="auto"/>
        <w:ind w:left="420" w:leftChars="200" w:firstLine="518" w:firstLineChars="216"/>
        <w:textAlignment w:val="auto"/>
        <w:rPr>
          <w:rFonts w:ascii="宋体" w:hAnsi="宋体" w:cs="仿宋"/>
          <w:kern w:val="2"/>
          <w:sz w:val="24"/>
          <w:szCs w:val="24"/>
          <w:highlight w:val="none"/>
        </w:rPr>
      </w:pPr>
    </w:p>
    <w:p w14:paraId="20A96549">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1D9F5C0A">
      <w:pPr>
        <w:pageBreakBefore w:val="0"/>
        <w:wordWrap/>
        <w:overflowPunct/>
        <w:bidi w:val="0"/>
        <w:spacing w:line="360" w:lineRule="auto"/>
        <w:ind w:firstLine="520" w:firstLineChars="216"/>
        <w:jc w:val="left"/>
        <w:textAlignment w:val="auto"/>
        <w:rPr>
          <w:rFonts w:ascii="宋体" w:hAnsi="宋体" w:cs="仿宋"/>
          <w:b/>
          <w:bCs/>
          <w:kern w:val="2"/>
          <w:sz w:val="24"/>
          <w:szCs w:val="24"/>
          <w:highlight w:val="none"/>
        </w:rPr>
      </w:pPr>
    </w:p>
    <w:p w14:paraId="285BFFCA">
      <w:pPr>
        <w:rPr>
          <w:rFonts w:ascii="宋体" w:hAnsi="宋体" w:cs="仿宋"/>
          <w:b/>
          <w:bCs/>
          <w:kern w:val="2"/>
          <w:sz w:val="24"/>
          <w:szCs w:val="24"/>
          <w:highlight w:val="none"/>
        </w:rPr>
      </w:pPr>
      <w:bookmarkStart w:id="274" w:name="_Toc5659"/>
      <w:r>
        <w:rPr>
          <w:rFonts w:ascii="宋体" w:hAnsi="宋体" w:cs="仿宋"/>
          <w:b/>
          <w:bCs/>
          <w:kern w:val="2"/>
          <w:sz w:val="24"/>
          <w:szCs w:val="24"/>
          <w:highlight w:val="none"/>
        </w:rPr>
        <w:br w:type="page"/>
      </w:r>
    </w:p>
    <w:p w14:paraId="059AC028">
      <w:pPr>
        <w:keepNext/>
        <w:keepLines/>
        <w:pageBreakBefore w:val="0"/>
        <w:widowControl w:val="0"/>
        <w:wordWrap/>
        <w:overflowPunct/>
        <w:bidi w:val="0"/>
        <w:spacing w:line="360" w:lineRule="auto"/>
        <w:ind w:left="210" w:leftChars="100" w:right="210" w:rightChars="100" w:firstLine="241" w:firstLineChars="100"/>
        <w:jc w:val="center"/>
        <w:textAlignment w:val="auto"/>
        <w:outlineLvl w:val="2"/>
        <w:rPr>
          <w:rFonts w:ascii="宋体" w:hAnsi="宋体" w:cs="仿宋"/>
          <w:b/>
          <w:bCs/>
          <w:kern w:val="2"/>
          <w:sz w:val="24"/>
          <w:szCs w:val="24"/>
          <w:highlight w:val="none"/>
        </w:rPr>
      </w:pPr>
      <w:r>
        <w:rPr>
          <w:rFonts w:ascii="宋体" w:hAnsi="宋体" w:cs="仿宋"/>
          <w:b/>
          <w:bCs/>
          <w:kern w:val="2"/>
          <w:sz w:val="24"/>
          <w:szCs w:val="24"/>
          <w:highlight w:val="none"/>
        </w:rPr>
        <w:t>7</w:t>
      </w:r>
      <w:r>
        <w:rPr>
          <w:rFonts w:hint="eastAsia" w:ascii="宋体" w:hAnsi="宋体" w:cs="仿宋"/>
          <w:b/>
          <w:bCs/>
          <w:kern w:val="2"/>
          <w:sz w:val="24"/>
          <w:szCs w:val="24"/>
          <w:highlight w:val="none"/>
        </w:rPr>
        <w:t>-</w:t>
      </w:r>
      <w:r>
        <w:rPr>
          <w:rFonts w:ascii="宋体" w:hAnsi="宋体" w:cs="仿宋"/>
          <w:b/>
          <w:bCs/>
          <w:kern w:val="2"/>
          <w:sz w:val="24"/>
          <w:szCs w:val="24"/>
          <w:highlight w:val="none"/>
        </w:rPr>
        <w:t>3</w:t>
      </w:r>
      <w:r>
        <w:rPr>
          <w:rFonts w:hint="eastAsia" w:ascii="宋体" w:hAnsi="宋体" w:cs="仿宋"/>
          <w:b/>
          <w:bCs/>
          <w:kern w:val="2"/>
          <w:sz w:val="24"/>
          <w:szCs w:val="24"/>
          <w:highlight w:val="none"/>
        </w:rPr>
        <w:t>信用信息查询证明</w:t>
      </w:r>
      <w:bookmarkEnd w:id="274"/>
    </w:p>
    <w:p w14:paraId="1CE38FA5">
      <w:pPr>
        <w:pageBreakBefore w:val="0"/>
        <w:wordWrap/>
        <w:overflowPunct/>
        <w:bidi w:val="0"/>
        <w:spacing w:line="360" w:lineRule="auto"/>
        <w:ind w:firstLine="518" w:firstLineChars="216"/>
        <w:jc w:val="center"/>
        <w:textAlignment w:val="auto"/>
        <w:rPr>
          <w:rFonts w:ascii="宋体" w:hAnsi="宋体" w:cs="仿宋"/>
          <w:b w:val="0"/>
          <w:bCs w:val="0"/>
          <w:kern w:val="2"/>
          <w:sz w:val="24"/>
          <w:szCs w:val="24"/>
          <w:highlight w:val="none"/>
        </w:rPr>
      </w:pPr>
      <w:r>
        <w:rPr>
          <w:rFonts w:hint="eastAsia" w:ascii="宋体" w:hAnsi="宋体" w:cs="仿宋"/>
          <w:b w:val="0"/>
          <w:bCs w:val="0"/>
          <w:kern w:val="2"/>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其参与本招标项目；（（①通过“信用中国”网站（http://www.creditchina.gov.cn/）“信用公示”-“失信被执行人”会跳转至“中国执行信息公开网”网站（http://zxgk.court.gov.cn/shixin/）查询企业（省份默认全部）②通过“信用中国”网站（http://www.creditchina.gov.cn/）“信用公示”-“重大税收违法失信主体”查询企业③通过“中国政府采购”网（www.ccgp.gov.cn）-“政府采购严重违法失信行为记录名单”查询企业），提供网站的查询结果截图；</w:t>
      </w:r>
    </w:p>
    <w:p w14:paraId="610A6091">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66277A48">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138B13AB">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597E5618">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5EB9C1CA">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174C51E1">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65EDE300">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722A7507">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61D87B50">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48FF89F3">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0E5BF99C">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79839056">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47453C10">
      <w:pPr>
        <w:pageBreakBefore w:val="0"/>
        <w:wordWrap/>
        <w:overflowPunct/>
        <w:bidi w:val="0"/>
        <w:spacing w:line="360" w:lineRule="auto"/>
        <w:ind w:firstLine="520" w:firstLineChars="216"/>
        <w:textAlignment w:val="auto"/>
        <w:rPr>
          <w:rFonts w:ascii="宋体" w:hAnsi="宋体" w:cs="仿宋"/>
          <w:b/>
          <w:bCs/>
          <w:kern w:val="2"/>
          <w:sz w:val="24"/>
          <w:szCs w:val="24"/>
          <w:highlight w:val="none"/>
        </w:rPr>
      </w:pPr>
    </w:p>
    <w:p w14:paraId="461DFF5D">
      <w:pPr>
        <w:pageBreakBefore w:val="0"/>
        <w:widowControl w:val="0"/>
        <w:wordWrap/>
        <w:overflowPunct/>
        <w:bidi w:val="0"/>
        <w:spacing w:after="120" w:line="360" w:lineRule="auto"/>
        <w:ind w:firstLine="518" w:firstLineChars="216"/>
        <w:textAlignment w:val="auto"/>
        <w:rPr>
          <w:rFonts w:ascii="宋体" w:hAnsi="宋体" w:cs="仿宋"/>
          <w:kern w:val="2"/>
          <w:sz w:val="24"/>
          <w:szCs w:val="24"/>
          <w:highlight w:val="none"/>
        </w:rPr>
      </w:pPr>
      <w:r>
        <w:rPr>
          <w:rFonts w:hint="eastAsia" w:ascii="宋体" w:hAnsi="宋体" w:cs="仿宋"/>
          <w:kern w:val="2"/>
          <w:sz w:val="24"/>
          <w:szCs w:val="24"/>
          <w:highlight w:val="none"/>
        </w:rPr>
        <w:br w:type="page"/>
      </w:r>
    </w:p>
    <w:p w14:paraId="07DA6C8E">
      <w:pPr>
        <w:keepNext/>
        <w:keepLines/>
        <w:pageBreakBefore w:val="0"/>
        <w:widowControl w:val="0"/>
        <w:wordWrap/>
        <w:overflowPunct/>
        <w:bidi w:val="0"/>
        <w:spacing w:line="360" w:lineRule="auto"/>
        <w:ind w:left="210" w:leftChars="100" w:right="210" w:rightChars="100" w:firstLine="241" w:firstLineChars="100"/>
        <w:jc w:val="center"/>
        <w:textAlignment w:val="auto"/>
        <w:outlineLvl w:val="2"/>
        <w:rPr>
          <w:rFonts w:ascii="宋体" w:hAnsi="宋体" w:cs="仿宋"/>
          <w:b/>
          <w:bCs/>
          <w:kern w:val="2"/>
          <w:sz w:val="24"/>
          <w:szCs w:val="24"/>
          <w:highlight w:val="none"/>
        </w:rPr>
      </w:pPr>
      <w:bookmarkStart w:id="275" w:name="_Toc19431"/>
      <w:r>
        <w:rPr>
          <w:rFonts w:ascii="宋体" w:hAnsi="宋体" w:cs="仿宋"/>
          <w:b/>
          <w:bCs/>
          <w:kern w:val="2"/>
          <w:sz w:val="24"/>
          <w:szCs w:val="24"/>
          <w:highlight w:val="none"/>
        </w:rPr>
        <w:t>7</w:t>
      </w:r>
      <w:r>
        <w:rPr>
          <w:rFonts w:hint="eastAsia" w:ascii="宋体" w:hAnsi="宋体" w:cs="仿宋"/>
          <w:b/>
          <w:bCs/>
          <w:kern w:val="2"/>
          <w:sz w:val="24"/>
          <w:szCs w:val="24"/>
          <w:highlight w:val="none"/>
        </w:rPr>
        <w:t>-</w:t>
      </w:r>
      <w:r>
        <w:rPr>
          <w:rFonts w:ascii="宋体" w:hAnsi="宋体" w:cs="仿宋"/>
          <w:b/>
          <w:bCs/>
          <w:kern w:val="2"/>
          <w:sz w:val="24"/>
          <w:szCs w:val="24"/>
          <w:highlight w:val="none"/>
        </w:rPr>
        <w:t>4</w:t>
      </w:r>
      <w:r>
        <w:rPr>
          <w:rFonts w:hint="eastAsia" w:ascii="宋体" w:hAnsi="宋体" w:cs="仿宋"/>
          <w:b/>
          <w:bCs/>
          <w:kern w:val="2"/>
          <w:sz w:val="24"/>
          <w:szCs w:val="24"/>
          <w:highlight w:val="none"/>
        </w:rPr>
        <w:t>享受政府采购政策的证明材料</w:t>
      </w:r>
      <w:bookmarkEnd w:id="275"/>
    </w:p>
    <w:p w14:paraId="59EFF870">
      <w:pPr>
        <w:pageBreakBefore w:val="0"/>
        <w:kinsoku/>
        <w:wordWrap/>
        <w:overflowPunct/>
        <w:bidi w:val="0"/>
        <w:spacing w:line="440" w:lineRule="exact"/>
        <w:ind w:firstLine="853" w:firstLineChars="354"/>
        <w:jc w:val="center"/>
        <w:rPr>
          <w:rFonts w:ascii="宋体" w:hAnsi="宋体" w:eastAsia="宋体"/>
          <w:b/>
          <w:bCs/>
          <w:color w:val="000000"/>
          <w:sz w:val="24"/>
          <w:szCs w:val="22"/>
          <w:highlight w:val="none"/>
        </w:rPr>
      </w:pPr>
      <w:bookmarkStart w:id="276" w:name="_Toc27301"/>
      <w:r>
        <w:rPr>
          <w:rFonts w:hint="eastAsia" w:ascii="宋体" w:hAnsi="宋体" w:eastAsia="宋体"/>
          <w:b/>
          <w:bCs/>
          <w:color w:val="000000"/>
          <w:sz w:val="24"/>
          <w:szCs w:val="22"/>
          <w:highlight w:val="none"/>
          <w:lang w:val="en-US" w:eastAsia="zh-CN"/>
        </w:rPr>
        <w:t>1、</w:t>
      </w:r>
      <w:r>
        <w:rPr>
          <w:rFonts w:hint="eastAsia" w:ascii="宋体" w:hAnsi="宋体" w:eastAsia="宋体"/>
          <w:b/>
          <w:bCs/>
          <w:color w:val="000000"/>
          <w:sz w:val="24"/>
          <w:szCs w:val="22"/>
          <w:highlight w:val="none"/>
        </w:rPr>
        <w:t>中小企业声明函（货物）</w:t>
      </w:r>
    </w:p>
    <w:p w14:paraId="24624B05">
      <w:pPr>
        <w:pageBreakBefore w:val="0"/>
        <w:kinsoku/>
        <w:wordWrap/>
        <w:overflowPunct/>
        <w:bidi w:val="0"/>
        <w:spacing w:line="440" w:lineRule="exact"/>
        <w:rPr>
          <w:rFonts w:ascii="宋体" w:hAnsi="宋体" w:eastAsia="宋体"/>
          <w:color w:val="000000"/>
          <w:sz w:val="24"/>
          <w:szCs w:val="22"/>
          <w:highlight w:val="none"/>
        </w:rPr>
      </w:pPr>
      <w:r>
        <w:rPr>
          <w:rFonts w:hint="eastAsia" w:ascii="宋体" w:hAnsi="宋体" w:eastAsia="宋体"/>
          <w:color w:val="000000"/>
          <w:sz w:val="24"/>
          <w:szCs w:val="22"/>
          <w:highlight w:val="none"/>
        </w:rPr>
        <w:t>（供应商属于中小企业的填写，不属于的无需填写此项内容）</w:t>
      </w:r>
    </w:p>
    <w:p w14:paraId="0E884EA8">
      <w:pPr>
        <w:pageBreakBefore w:val="0"/>
        <w:kinsoku/>
        <w:wordWrap/>
        <w:overflowPunct/>
        <w:bidi w:val="0"/>
        <w:spacing w:line="440" w:lineRule="exact"/>
        <w:ind w:firstLine="849" w:firstLineChars="354"/>
        <w:rPr>
          <w:rFonts w:ascii="宋体" w:hAnsi="宋体" w:eastAsia="宋体"/>
          <w:color w:val="000000"/>
          <w:sz w:val="24"/>
          <w:szCs w:val="22"/>
          <w:highlight w:val="none"/>
        </w:rPr>
      </w:pPr>
      <w:r>
        <w:rPr>
          <w:rFonts w:hint="eastAsia" w:ascii="宋体" w:hAnsi="宋体" w:eastAsia="宋体"/>
          <w:color w:val="000000"/>
          <w:sz w:val="24"/>
          <w:szCs w:val="22"/>
          <w:highlight w:val="none"/>
        </w:rPr>
        <w:t>本公司（联合体）郑重声明，根据《政府采购促进中小企业发展管理办法》（财库</w:t>
      </w:r>
      <w:r>
        <w:rPr>
          <w:rFonts w:hint="eastAsia" w:ascii="宋体" w:hAnsi="宋体" w:eastAsia="宋体" w:cs="宋体"/>
          <w:color w:val="000000"/>
          <w:sz w:val="24"/>
          <w:szCs w:val="22"/>
          <w:highlight w:val="none"/>
        </w:rPr>
        <w:t>﹝</w:t>
      </w:r>
      <w:r>
        <w:rPr>
          <w:rFonts w:ascii="宋体" w:hAnsi="宋体" w:eastAsia="宋体"/>
          <w:color w:val="000000"/>
          <w:sz w:val="24"/>
          <w:szCs w:val="22"/>
          <w:highlight w:val="none"/>
        </w:rPr>
        <w:t>2020</w:t>
      </w:r>
      <w:r>
        <w:rPr>
          <w:rFonts w:hint="eastAsia" w:ascii="宋体" w:hAnsi="宋体" w:eastAsia="宋体" w:cs="宋体"/>
          <w:color w:val="000000"/>
          <w:sz w:val="24"/>
          <w:szCs w:val="22"/>
          <w:highlight w:val="none"/>
        </w:rPr>
        <w:t>﹞</w:t>
      </w:r>
      <w:r>
        <w:rPr>
          <w:rFonts w:ascii="宋体" w:hAnsi="宋体" w:eastAsia="宋体"/>
          <w:color w:val="000000"/>
          <w:sz w:val="24"/>
          <w:szCs w:val="22"/>
          <w:highlight w:val="none"/>
        </w:rPr>
        <w:t xml:space="preserve">46 </w:t>
      </w:r>
      <w:r>
        <w:rPr>
          <w:rFonts w:hint="eastAsia" w:ascii="宋体" w:hAnsi="宋体" w:eastAsia="宋体"/>
          <w:color w:val="000000"/>
          <w:sz w:val="24"/>
          <w:szCs w:val="22"/>
          <w:highlight w:val="none"/>
        </w:rPr>
        <w:t>号）的规定，本公司（联合体）参加</w:t>
      </w:r>
      <w:r>
        <w:rPr>
          <w:rFonts w:ascii="宋体" w:hAnsi="宋体" w:eastAsia="宋体"/>
          <w:color w:val="000000"/>
          <w:sz w:val="24"/>
          <w:szCs w:val="22"/>
          <w:highlight w:val="none"/>
          <w:u w:val="single"/>
        </w:rPr>
        <w:t xml:space="preserve"> （单位名称） </w:t>
      </w:r>
      <w:r>
        <w:rPr>
          <w:rFonts w:hint="eastAsia" w:ascii="宋体" w:hAnsi="宋体" w:eastAsia="宋体"/>
          <w:color w:val="000000"/>
          <w:sz w:val="24"/>
          <w:szCs w:val="22"/>
          <w:highlight w:val="none"/>
        </w:rPr>
        <w:t>的</w:t>
      </w:r>
      <w:r>
        <w:rPr>
          <w:rFonts w:ascii="宋体" w:hAnsi="宋体" w:eastAsia="宋体"/>
          <w:color w:val="000000"/>
          <w:sz w:val="24"/>
          <w:szCs w:val="22"/>
          <w:highlight w:val="none"/>
          <w:u w:val="single"/>
        </w:rPr>
        <w:t xml:space="preserve"> （项目名称） </w:t>
      </w:r>
      <w:r>
        <w:rPr>
          <w:rFonts w:hint="eastAsia" w:ascii="宋体" w:hAnsi="宋体" w:eastAsia="宋体"/>
          <w:color w:val="000000"/>
          <w:sz w:val="24"/>
          <w:szCs w:val="22"/>
          <w:highlight w:val="none"/>
        </w:rPr>
        <w:t>采购活动，提供的货物全部由符合政策要求的中小企业制造。相关企业（含联合体中的中小企业、签订分包意向协议的中小企业）的具体情况如下：</w:t>
      </w:r>
    </w:p>
    <w:p w14:paraId="79118F10">
      <w:pPr>
        <w:pageBreakBefore w:val="0"/>
        <w:kinsoku/>
        <w:wordWrap/>
        <w:overflowPunct/>
        <w:bidi w:val="0"/>
        <w:spacing w:line="440" w:lineRule="exact"/>
        <w:ind w:firstLine="849" w:firstLineChars="354"/>
        <w:rPr>
          <w:rFonts w:ascii="宋体" w:hAnsi="宋体" w:eastAsia="宋体"/>
          <w:color w:val="000000"/>
          <w:sz w:val="24"/>
          <w:szCs w:val="22"/>
          <w:highlight w:val="none"/>
        </w:rPr>
      </w:pPr>
      <w:r>
        <w:rPr>
          <w:rFonts w:ascii="宋体" w:hAnsi="宋体" w:eastAsia="宋体"/>
          <w:color w:val="000000"/>
          <w:sz w:val="24"/>
          <w:szCs w:val="22"/>
          <w:highlight w:val="none"/>
        </w:rPr>
        <w:t>1.</w:t>
      </w:r>
      <w:r>
        <w:rPr>
          <w:rFonts w:ascii="宋体" w:hAnsi="宋体" w:eastAsia="宋体"/>
          <w:color w:val="000000"/>
          <w:sz w:val="24"/>
          <w:szCs w:val="22"/>
          <w:highlight w:val="none"/>
          <w:u w:val="single"/>
        </w:rPr>
        <w:t xml:space="preserve"> （标的名称）</w:t>
      </w:r>
      <w:r>
        <w:rPr>
          <w:rFonts w:ascii="宋体" w:hAnsi="宋体" w:eastAsia="宋体"/>
          <w:color w:val="000000"/>
          <w:sz w:val="24"/>
          <w:szCs w:val="22"/>
          <w:highlight w:val="none"/>
        </w:rPr>
        <w:t xml:space="preserve"> ，属于</w:t>
      </w:r>
      <w:r>
        <w:rPr>
          <w:rFonts w:ascii="宋体" w:hAnsi="宋体" w:eastAsia="宋体"/>
          <w:color w:val="000000"/>
          <w:sz w:val="24"/>
          <w:szCs w:val="22"/>
          <w:highlight w:val="none"/>
          <w:u w:val="single"/>
        </w:rPr>
        <w:t xml:space="preserve"> （采购文件中明确的所属行业）</w:t>
      </w:r>
      <w:r>
        <w:rPr>
          <w:rFonts w:hint="eastAsia" w:ascii="宋体" w:hAnsi="宋体" w:eastAsia="宋体"/>
          <w:color w:val="000000"/>
          <w:sz w:val="24"/>
          <w:szCs w:val="22"/>
          <w:highlight w:val="none"/>
        </w:rPr>
        <w:t>行业</w:t>
      </w:r>
      <w:r>
        <w:rPr>
          <w:rFonts w:ascii="宋体" w:hAnsi="宋体" w:eastAsia="宋体"/>
          <w:color w:val="000000"/>
          <w:sz w:val="24"/>
          <w:szCs w:val="22"/>
          <w:highlight w:val="none"/>
        </w:rPr>
        <w:t xml:space="preserve"> </w:t>
      </w:r>
      <w:r>
        <w:rPr>
          <w:rFonts w:hint="eastAsia" w:ascii="宋体" w:hAnsi="宋体" w:eastAsia="宋体"/>
          <w:color w:val="000000"/>
          <w:sz w:val="24"/>
          <w:szCs w:val="22"/>
          <w:highlight w:val="none"/>
        </w:rPr>
        <w:t>；制造商为</w:t>
      </w:r>
      <w:r>
        <w:rPr>
          <w:rFonts w:ascii="宋体" w:hAnsi="宋体" w:eastAsia="宋体"/>
          <w:color w:val="000000"/>
          <w:sz w:val="24"/>
          <w:szCs w:val="22"/>
          <w:highlight w:val="none"/>
          <w:u w:val="single" w:color="auto"/>
        </w:rPr>
        <w:t xml:space="preserve"> </w:t>
      </w:r>
      <w:r>
        <w:rPr>
          <w:rFonts w:hint="eastAsia" w:ascii="宋体" w:hAnsi="宋体" w:eastAsia="宋体"/>
          <w:color w:val="000000"/>
          <w:sz w:val="24"/>
          <w:szCs w:val="22"/>
          <w:highlight w:val="none"/>
          <w:u w:val="single" w:color="auto"/>
        </w:rPr>
        <w:t>（企业名称）</w:t>
      </w:r>
      <w:r>
        <w:rPr>
          <w:rFonts w:hint="eastAsia" w:ascii="宋体" w:hAnsi="宋体" w:eastAsia="宋体"/>
          <w:color w:val="000000"/>
          <w:sz w:val="24"/>
          <w:szCs w:val="22"/>
          <w:highlight w:val="none"/>
        </w:rPr>
        <w:t>，从业人员</w:t>
      </w:r>
      <w:r>
        <w:rPr>
          <w:rFonts w:ascii="宋体" w:hAnsi="宋体" w:eastAsia="宋体"/>
          <w:color w:val="000000"/>
          <w:sz w:val="24"/>
          <w:szCs w:val="22"/>
          <w:highlight w:val="none"/>
          <w:u w:val="single"/>
        </w:rPr>
        <w:t xml:space="preserve">   </w:t>
      </w:r>
      <w:r>
        <w:rPr>
          <w:rFonts w:hint="eastAsia" w:ascii="宋体" w:hAnsi="宋体" w:eastAsia="宋体"/>
          <w:color w:val="000000"/>
          <w:sz w:val="24"/>
          <w:szCs w:val="22"/>
          <w:highlight w:val="none"/>
        </w:rPr>
        <w:t>人，营业收入为</w:t>
      </w:r>
      <w:r>
        <w:rPr>
          <w:rFonts w:ascii="宋体" w:hAnsi="宋体" w:eastAsia="宋体"/>
          <w:color w:val="000000"/>
          <w:sz w:val="24"/>
          <w:szCs w:val="22"/>
          <w:highlight w:val="none"/>
          <w:u w:val="single"/>
        </w:rPr>
        <w:t xml:space="preserve">    </w:t>
      </w:r>
      <w:r>
        <w:rPr>
          <w:rFonts w:hint="eastAsia" w:ascii="宋体" w:hAnsi="宋体" w:eastAsia="宋体"/>
          <w:color w:val="000000"/>
          <w:sz w:val="24"/>
          <w:szCs w:val="22"/>
          <w:highlight w:val="none"/>
        </w:rPr>
        <w:t>万元，资产总额为</w:t>
      </w:r>
      <w:r>
        <w:rPr>
          <w:rFonts w:ascii="宋体" w:hAnsi="宋体" w:eastAsia="宋体"/>
          <w:color w:val="000000"/>
          <w:sz w:val="24"/>
          <w:szCs w:val="22"/>
          <w:highlight w:val="none"/>
          <w:u w:val="single"/>
        </w:rPr>
        <w:t xml:space="preserve">   </w:t>
      </w:r>
      <w:r>
        <w:rPr>
          <w:rFonts w:hint="eastAsia" w:ascii="宋体" w:hAnsi="宋体" w:eastAsia="宋体"/>
          <w:color w:val="000000"/>
          <w:sz w:val="24"/>
          <w:szCs w:val="22"/>
          <w:highlight w:val="none"/>
        </w:rPr>
        <w:t>万元</w:t>
      </w:r>
      <w:r>
        <w:rPr>
          <w:rFonts w:ascii="宋体" w:hAnsi="宋体" w:eastAsia="宋体"/>
          <w:b/>
          <w:color w:val="000000"/>
          <w:sz w:val="24"/>
          <w:szCs w:val="22"/>
          <w:highlight w:val="none"/>
          <w:vertAlign w:val="superscript"/>
        </w:rPr>
        <w:t>1</w:t>
      </w:r>
      <w:r>
        <w:rPr>
          <w:rFonts w:hint="eastAsia" w:ascii="宋体" w:hAnsi="宋体" w:eastAsia="宋体"/>
          <w:color w:val="000000"/>
          <w:sz w:val="24"/>
          <w:szCs w:val="22"/>
          <w:highlight w:val="none"/>
        </w:rPr>
        <w:t>，属于</w:t>
      </w:r>
      <w:r>
        <w:rPr>
          <w:rFonts w:ascii="宋体" w:hAnsi="宋体" w:eastAsia="宋体"/>
          <w:color w:val="000000"/>
          <w:sz w:val="24"/>
          <w:szCs w:val="22"/>
          <w:highlight w:val="none"/>
          <w:u w:val="single"/>
        </w:rPr>
        <w:t xml:space="preserve"> （中型企业、小型企业、微型企业）</w:t>
      </w:r>
      <w:r>
        <w:rPr>
          <w:rFonts w:ascii="宋体" w:hAnsi="宋体" w:eastAsia="宋体"/>
          <w:color w:val="000000"/>
          <w:sz w:val="24"/>
          <w:szCs w:val="22"/>
          <w:highlight w:val="none"/>
        </w:rPr>
        <w:t xml:space="preserve"> ；</w:t>
      </w:r>
    </w:p>
    <w:p w14:paraId="2A3D26BA">
      <w:pPr>
        <w:pageBreakBefore w:val="0"/>
        <w:kinsoku/>
        <w:wordWrap/>
        <w:overflowPunct/>
        <w:bidi w:val="0"/>
        <w:spacing w:line="440" w:lineRule="exact"/>
        <w:ind w:firstLine="849" w:firstLineChars="354"/>
        <w:rPr>
          <w:rFonts w:ascii="宋体" w:hAnsi="宋体" w:eastAsia="宋体"/>
          <w:color w:val="000000"/>
          <w:sz w:val="24"/>
          <w:szCs w:val="22"/>
          <w:highlight w:val="none"/>
        </w:rPr>
      </w:pPr>
      <w:r>
        <w:rPr>
          <w:rFonts w:ascii="宋体" w:hAnsi="宋体" w:eastAsia="宋体"/>
          <w:color w:val="000000"/>
          <w:sz w:val="24"/>
          <w:szCs w:val="22"/>
          <w:highlight w:val="none"/>
        </w:rPr>
        <w:t>2.</w:t>
      </w:r>
      <w:r>
        <w:rPr>
          <w:rFonts w:ascii="宋体" w:hAnsi="宋体" w:eastAsia="宋体"/>
          <w:color w:val="000000"/>
          <w:sz w:val="24"/>
          <w:szCs w:val="22"/>
          <w:highlight w:val="none"/>
          <w:u w:val="single"/>
        </w:rPr>
        <w:t xml:space="preserve"> （标的名称） </w:t>
      </w:r>
      <w:r>
        <w:rPr>
          <w:rFonts w:hint="eastAsia" w:ascii="宋体" w:hAnsi="宋体" w:eastAsia="宋体"/>
          <w:color w:val="000000"/>
          <w:sz w:val="24"/>
          <w:szCs w:val="22"/>
          <w:highlight w:val="none"/>
        </w:rPr>
        <w:t>，属于</w:t>
      </w:r>
      <w:r>
        <w:rPr>
          <w:rFonts w:ascii="宋体" w:hAnsi="宋体" w:eastAsia="宋体"/>
          <w:color w:val="000000"/>
          <w:sz w:val="24"/>
          <w:szCs w:val="22"/>
          <w:highlight w:val="none"/>
          <w:u w:val="single"/>
        </w:rPr>
        <w:t xml:space="preserve"> （采购文件中明确的所属行业）</w:t>
      </w:r>
      <w:r>
        <w:rPr>
          <w:rFonts w:hint="eastAsia" w:ascii="宋体" w:hAnsi="宋体" w:eastAsia="宋体"/>
          <w:color w:val="000000"/>
          <w:sz w:val="24"/>
          <w:szCs w:val="22"/>
          <w:highlight w:val="none"/>
        </w:rPr>
        <w:t>行业</w:t>
      </w:r>
      <w:r>
        <w:rPr>
          <w:rFonts w:ascii="宋体" w:hAnsi="宋体" w:eastAsia="宋体"/>
          <w:color w:val="000000"/>
          <w:sz w:val="24"/>
          <w:szCs w:val="22"/>
          <w:highlight w:val="none"/>
        </w:rPr>
        <w:t xml:space="preserve"> </w:t>
      </w:r>
      <w:r>
        <w:rPr>
          <w:rFonts w:hint="eastAsia" w:ascii="宋体" w:hAnsi="宋体" w:eastAsia="宋体"/>
          <w:color w:val="000000"/>
          <w:sz w:val="24"/>
          <w:szCs w:val="22"/>
          <w:highlight w:val="none"/>
        </w:rPr>
        <w:t>；制造商为</w:t>
      </w:r>
      <w:r>
        <w:rPr>
          <w:rFonts w:ascii="宋体" w:hAnsi="宋体" w:eastAsia="宋体"/>
          <w:color w:val="000000"/>
          <w:sz w:val="24"/>
          <w:szCs w:val="22"/>
          <w:highlight w:val="none"/>
          <w:u w:val="single" w:color="auto"/>
        </w:rPr>
        <w:t xml:space="preserve"> </w:t>
      </w:r>
      <w:r>
        <w:rPr>
          <w:rFonts w:hint="eastAsia" w:ascii="宋体" w:hAnsi="宋体" w:eastAsia="宋体"/>
          <w:color w:val="000000"/>
          <w:sz w:val="24"/>
          <w:szCs w:val="22"/>
          <w:highlight w:val="none"/>
          <w:u w:val="single" w:color="auto"/>
        </w:rPr>
        <w:t>（企业名称）</w:t>
      </w:r>
      <w:r>
        <w:rPr>
          <w:rFonts w:ascii="宋体" w:hAnsi="宋体" w:eastAsia="宋体"/>
          <w:color w:val="000000"/>
          <w:sz w:val="24"/>
          <w:szCs w:val="22"/>
          <w:highlight w:val="none"/>
          <w:u w:val="single" w:color="auto"/>
        </w:rPr>
        <w:t xml:space="preserve"> </w:t>
      </w:r>
      <w:r>
        <w:rPr>
          <w:rFonts w:hint="eastAsia" w:ascii="宋体" w:hAnsi="宋体" w:eastAsia="宋体"/>
          <w:color w:val="000000"/>
          <w:sz w:val="24"/>
          <w:szCs w:val="22"/>
          <w:highlight w:val="none"/>
        </w:rPr>
        <w:t>，从业人员</w:t>
      </w:r>
      <w:r>
        <w:rPr>
          <w:rFonts w:ascii="宋体" w:hAnsi="宋体" w:eastAsia="宋体"/>
          <w:color w:val="000000"/>
          <w:sz w:val="24"/>
          <w:szCs w:val="22"/>
          <w:highlight w:val="none"/>
          <w:u w:val="single"/>
        </w:rPr>
        <w:t xml:space="preserve">   </w:t>
      </w:r>
      <w:r>
        <w:rPr>
          <w:rFonts w:hint="eastAsia" w:ascii="宋体" w:hAnsi="宋体" w:eastAsia="宋体"/>
          <w:color w:val="000000"/>
          <w:sz w:val="24"/>
          <w:szCs w:val="22"/>
          <w:highlight w:val="none"/>
        </w:rPr>
        <w:t>人，营业收入为</w:t>
      </w:r>
      <w:r>
        <w:rPr>
          <w:rFonts w:ascii="宋体" w:hAnsi="宋体" w:eastAsia="宋体"/>
          <w:color w:val="000000"/>
          <w:sz w:val="24"/>
          <w:szCs w:val="22"/>
          <w:highlight w:val="none"/>
          <w:u w:val="single"/>
        </w:rPr>
        <w:t xml:space="preserve">    </w:t>
      </w:r>
      <w:r>
        <w:rPr>
          <w:rFonts w:hint="eastAsia" w:ascii="宋体" w:hAnsi="宋体" w:eastAsia="宋体"/>
          <w:color w:val="000000"/>
          <w:sz w:val="24"/>
          <w:szCs w:val="22"/>
          <w:highlight w:val="none"/>
        </w:rPr>
        <w:t>万元，资产总额为</w:t>
      </w:r>
      <w:r>
        <w:rPr>
          <w:rFonts w:ascii="宋体" w:hAnsi="宋体" w:eastAsia="宋体"/>
          <w:color w:val="000000"/>
          <w:sz w:val="24"/>
          <w:szCs w:val="22"/>
          <w:highlight w:val="none"/>
          <w:u w:val="single"/>
        </w:rPr>
        <w:t xml:space="preserve">     </w:t>
      </w:r>
      <w:r>
        <w:rPr>
          <w:rFonts w:hint="eastAsia" w:ascii="宋体" w:hAnsi="宋体" w:eastAsia="宋体"/>
          <w:color w:val="000000"/>
          <w:sz w:val="24"/>
          <w:szCs w:val="22"/>
          <w:highlight w:val="none"/>
        </w:rPr>
        <w:t>万元，属于</w:t>
      </w:r>
      <w:r>
        <w:rPr>
          <w:rFonts w:ascii="宋体" w:hAnsi="宋体" w:eastAsia="宋体"/>
          <w:color w:val="000000"/>
          <w:sz w:val="24"/>
          <w:szCs w:val="22"/>
          <w:highlight w:val="none"/>
          <w:u w:val="single"/>
        </w:rPr>
        <w:t xml:space="preserve"> （中型企业、小型企业、微型企业） </w:t>
      </w:r>
      <w:r>
        <w:rPr>
          <w:rFonts w:hint="eastAsia" w:ascii="宋体" w:hAnsi="宋体" w:eastAsia="宋体"/>
          <w:color w:val="000000"/>
          <w:sz w:val="24"/>
          <w:szCs w:val="22"/>
          <w:highlight w:val="none"/>
        </w:rPr>
        <w:t>；</w:t>
      </w:r>
    </w:p>
    <w:p w14:paraId="7F562D7A">
      <w:pPr>
        <w:pageBreakBefore w:val="0"/>
        <w:kinsoku/>
        <w:wordWrap/>
        <w:overflowPunct/>
        <w:bidi w:val="0"/>
        <w:spacing w:line="440" w:lineRule="exact"/>
        <w:ind w:firstLine="849" w:firstLineChars="354"/>
        <w:rPr>
          <w:rFonts w:ascii="宋体" w:hAnsi="宋体" w:eastAsia="宋体"/>
          <w:color w:val="000000"/>
          <w:sz w:val="24"/>
          <w:szCs w:val="22"/>
          <w:highlight w:val="none"/>
        </w:rPr>
      </w:pPr>
      <w:r>
        <w:rPr>
          <w:rFonts w:hint="eastAsia" w:ascii="宋体" w:hAnsi="宋体" w:eastAsia="宋体"/>
          <w:color w:val="000000"/>
          <w:sz w:val="24"/>
          <w:szCs w:val="22"/>
          <w:highlight w:val="none"/>
        </w:rPr>
        <w:t>……</w:t>
      </w:r>
    </w:p>
    <w:p w14:paraId="69B9A1F8">
      <w:pPr>
        <w:pageBreakBefore w:val="0"/>
        <w:kinsoku/>
        <w:wordWrap/>
        <w:overflowPunct/>
        <w:bidi w:val="0"/>
        <w:spacing w:line="440" w:lineRule="exact"/>
        <w:ind w:firstLine="849" w:firstLineChars="354"/>
        <w:rPr>
          <w:rFonts w:ascii="宋体" w:hAnsi="宋体" w:eastAsia="宋体"/>
          <w:color w:val="000000"/>
          <w:sz w:val="24"/>
          <w:szCs w:val="22"/>
          <w:highlight w:val="none"/>
        </w:rPr>
      </w:pPr>
      <w:r>
        <w:rPr>
          <w:rFonts w:hint="eastAsia" w:ascii="宋体" w:hAnsi="宋体" w:eastAsia="宋体"/>
          <w:color w:val="000000"/>
          <w:sz w:val="24"/>
          <w:szCs w:val="22"/>
          <w:highlight w:val="none"/>
        </w:rPr>
        <w:t>以上企业，不属于大企业的分支机构，不存在控股股东为大企业的情形，也不存在与大企业的负责人为同一人的情形。</w:t>
      </w:r>
    </w:p>
    <w:p w14:paraId="6AE36837">
      <w:pPr>
        <w:pageBreakBefore w:val="0"/>
        <w:kinsoku/>
        <w:wordWrap/>
        <w:overflowPunct/>
        <w:bidi w:val="0"/>
        <w:spacing w:line="440" w:lineRule="exact"/>
        <w:ind w:firstLine="849" w:firstLineChars="354"/>
        <w:rPr>
          <w:rFonts w:ascii="宋体" w:hAnsi="宋体" w:eastAsia="宋体"/>
          <w:color w:val="000000"/>
          <w:sz w:val="24"/>
          <w:szCs w:val="22"/>
          <w:highlight w:val="none"/>
        </w:rPr>
      </w:pPr>
      <w:r>
        <w:rPr>
          <w:rFonts w:hint="eastAsia" w:ascii="宋体" w:hAnsi="宋体" w:eastAsia="宋体"/>
          <w:color w:val="000000"/>
          <w:sz w:val="24"/>
          <w:szCs w:val="22"/>
          <w:highlight w:val="none"/>
        </w:rPr>
        <w:t>本企业对上述声明内容的真实性负责。如有虚假，将依法承担相应责任。</w:t>
      </w:r>
    </w:p>
    <w:p w14:paraId="059BB088">
      <w:pPr>
        <w:pageBreakBefore w:val="0"/>
        <w:kinsoku/>
        <w:wordWrap/>
        <w:overflowPunct/>
        <w:bidi w:val="0"/>
        <w:spacing w:line="440" w:lineRule="exact"/>
        <w:ind w:firstLine="5527" w:firstLineChars="2303"/>
        <w:rPr>
          <w:rFonts w:ascii="宋体" w:hAnsi="宋体" w:eastAsia="宋体"/>
          <w:color w:val="000000"/>
          <w:sz w:val="24"/>
          <w:szCs w:val="22"/>
          <w:highlight w:val="none"/>
        </w:rPr>
      </w:pPr>
      <w:r>
        <w:rPr>
          <w:rFonts w:hint="eastAsia" w:ascii="宋体" w:hAnsi="宋体" w:eastAsia="宋体"/>
          <w:color w:val="000000"/>
          <w:sz w:val="24"/>
          <w:szCs w:val="22"/>
          <w:highlight w:val="none"/>
        </w:rPr>
        <w:t>企业名称（</w:t>
      </w:r>
      <w:r>
        <w:rPr>
          <w:rFonts w:hint="eastAsia" w:ascii="宋体" w:hAnsi="宋体" w:cs="仿宋"/>
          <w:kern w:val="2"/>
          <w:sz w:val="24"/>
          <w:szCs w:val="24"/>
          <w:highlight w:val="none"/>
          <w:lang w:eastAsia="zh-CN"/>
        </w:rPr>
        <w:t>单位电子公章</w:t>
      </w:r>
      <w:r>
        <w:rPr>
          <w:rFonts w:hint="eastAsia" w:ascii="宋体" w:hAnsi="宋体" w:eastAsia="宋体"/>
          <w:color w:val="000000"/>
          <w:sz w:val="24"/>
          <w:szCs w:val="22"/>
          <w:highlight w:val="none"/>
        </w:rPr>
        <w:t>）：</w:t>
      </w:r>
    </w:p>
    <w:p w14:paraId="7D954274">
      <w:pPr>
        <w:pageBreakBefore w:val="0"/>
        <w:kinsoku/>
        <w:wordWrap/>
        <w:overflowPunct/>
        <w:bidi w:val="0"/>
        <w:spacing w:line="440" w:lineRule="exact"/>
        <w:ind w:firstLine="5527" w:firstLineChars="2303"/>
        <w:rPr>
          <w:rFonts w:ascii="宋体" w:hAnsi="宋体" w:eastAsia="宋体"/>
          <w:color w:val="000000"/>
          <w:sz w:val="24"/>
          <w:szCs w:val="22"/>
          <w:highlight w:val="none"/>
        </w:rPr>
      </w:pPr>
      <w:r>
        <w:rPr>
          <w:rFonts w:hint="eastAsia" w:ascii="宋体" w:hAnsi="宋体" w:eastAsia="宋体"/>
          <w:color w:val="000000"/>
          <w:sz w:val="24"/>
          <w:szCs w:val="22"/>
          <w:highlight w:val="none"/>
        </w:rPr>
        <w:t>日期：</w:t>
      </w:r>
      <w:r>
        <w:rPr>
          <w:rFonts w:ascii="宋体" w:hAnsi="宋体" w:eastAsia="宋体"/>
          <w:color w:val="000000"/>
          <w:sz w:val="24"/>
          <w:szCs w:val="22"/>
          <w:highlight w:val="none"/>
        </w:rPr>
        <w:t xml:space="preserve">    </w:t>
      </w:r>
      <w:r>
        <w:rPr>
          <w:rFonts w:hint="eastAsia" w:ascii="宋体" w:hAnsi="宋体" w:eastAsia="宋体"/>
          <w:color w:val="000000"/>
          <w:sz w:val="24"/>
          <w:szCs w:val="22"/>
          <w:highlight w:val="none"/>
        </w:rPr>
        <w:t>年</w:t>
      </w:r>
      <w:r>
        <w:rPr>
          <w:rFonts w:ascii="宋体" w:hAnsi="宋体" w:eastAsia="宋体"/>
          <w:color w:val="000000"/>
          <w:sz w:val="24"/>
          <w:szCs w:val="22"/>
          <w:highlight w:val="none"/>
        </w:rPr>
        <w:t xml:space="preserve">   </w:t>
      </w:r>
      <w:r>
        <w:rPr>
          <w:rFonts w:hint="eastAsia" w:ascii="宋体" w:hAnsi="宋体" w:eastAsia="宋体"/>
          <w:color w:val="000000"/>
          <w:sz w:val="24"/>
          <w:szCs w:val="22"/>
          <w:highlight w:val="none"/>
        </w:rPr>
        <w:t>月</w:t>
      </w:r>
      <w:r>
        <w:rPr>
          <w:rFonts w:ascii="宋体" w:hAnsi="宋体" w:eastAsia="宋体"/>
          <w:color w:val="000000"/>
          <w:sz w:val="24"/>
          <w:szCs w:val="22"/>
          <w:highlight w:val="none"/>
        </w:rPr>
        <w:t xml:space="preserve">    </w:t>
      </w:r>
      <w:r>
        <w:rPr>
          <w:rFonts w:hint="eastAsia" w:ascii="宋体" w:hAnsi="宋体" w:eastAsia="宋体"/>
          <w:color w:val="000000"/>
          <w:sz w:val="24"/>
          <w:szCs w:val="22"/>
          <w:highlight w:val="none"/>
        </w:rPr>
        <w:t>日</w:t>
      </w:r>
    </w:p>
    <w:p w14:paraId="26AC9E49">
      <w:pPr>
        <w:pageBreakBefore w:val="0"/>
        <w:kinsoku/>
        <w:wordWrap/>
        <w:overflowPunct/>
        <w:bidi w:val="0"/>
        <w:spacing w:line="440" w:lineRule="exact"/>
        <w:ind w:left="0" w:leftChars="0" w:firstLine="480" w:firstLineChars="200"/>
        <w:rPr>
          <w:rFonts w:ascii="宋体" w:hAnsi="宋体" w:eastAsia="宋体"/>
          <w:color w:val="000000"/>
          <w:sz w:val="24"/>
          <w:szCs w:val="22"/>
          <w:highlight w:val="none"/>
        </w:rPr>
      </w:pPr>
      <w:r>
        <w:rPr>
          <w:rFonts w:hint="eastAsia" w:ascii="宋体" w:hAnsi="宋体" w:eastAsia="宋体"/>
          <w:color w:val="000000"/>
          <w:sz w:val="24"/>
          <w:szCs w:val="22"/>
          <w:highlight w:val="none"/>
          <w:lang w:val="en-US" w:eastAsia="zh-CN"/>
        </w:rPr>
        <w:t>1、</w:t>
      </w:r>
      <w:r>
        <w:rPr>
          <w:rFonts w:hint="eastAsia" w:ascii="宋体" w:hAnsi="宋体" w:eastAsia="宋体"/>
          <w:color w:val="000000"/>
          <w:sz w:val="24"/>
          <w:szCs w:val="22"/>
          <w:highlight w:val="none"/>
        </w:rPr>
        <w:t>从业人员、营业收入、资产总额填报上一年度数据，无上一年度数据的新成立企业可不填报。</w:t>
      </w:r>
    </w:p>
    <w:p w14:paraId="6F2CA9DB">
      <w:pPr>
        <w:pageBreakBefore w:val="0"/>
        <w:kinsoku/>
        <w:wordWrap/>
        <w:overflowPunct/>
        <w:bidi w:val="0"/>
        <w:spacing w:line="440" w:lineRule="exact"/>
        <w:ind w:firstLine="480" w:firstLineChars="200"/>
        <w:rPr>
          <w:rFonts w:ascii="宋体" w:hAnsi="宋体" w:eastAsia="宋体"/>
          <w:color w:val="000000"/>
          <w:sz w:val="24"/>
          <w:szCs w:val="22"/>
          <w:highlight w:val="none"/>
        </w:rPr>
      </w:pPr>
      <w:r>
        <w:rPr>
          <w:rFonts w:ascii="宋体" w:hAnsi="宋体" w:eastAsia="宋体"/>
          <w:color w:val="000000"/>
          <w:sz w:val="24"/>
          <w:szCs w:val="22"/>
          <w:highlight w:val="none"/>
        </w:rPr>
        <w:t xml:space="preserve">2、填写前请认真阅读《关于印发中小企业划型标准规定的通知》（工信部联企业[2011]300 </w:t>
      </w:r>
      <w:r>
        <w:rPr>
          <w:rFonts w:hint="eastAsia" w:ascii="宋体" w:hAnsi="宋体" w:eastAsia="宋体"/>
          <w:color w:val="000000"/>
          <w:sz w:val="24"/>
          <w:szCs w:val="22"/>
          <w:highlight w:val="none"/>
        </w:rPr>
        <w:t>号）和《关于印发＜政府采购促进中小企业发展管理办法＞的通知》</w:t>
      </w:r>
      <w:r>
        <w:rPr>
          <w:rFonts w:ascii="宋体" w:hAnsi="宋体" w:eastAsia="宋体"/>
          <w:color w:val="000000"/>
          <w:sz w:val="24"/>
          <w:szCs w:val="22"/>
          <w:highlight w:val="none"/>
        </w:rPr>
        <w:t>(财库</w:t>
      </w:r>
      <w:r>
        <w:rPr>
          <w:rFonts w:hint="eastAsia" w:ascii="宋体" w:hAnsi="宋体" w:eastAsia="宋体" w:cs="宋体"/>
          <w:color w:val="000000"/>
          <w:sz w:val="24"/>
          <w:szCs w:val="22"/>
          <w:highlight w:val="none"/>
        </w:rPr>
        <w:t>﹝</w:t>
      </w:r>
      <w:r>
        <w:rPr>
          <w:rFonts w:ascii="宋体" w:hAnsi="宋体" w:eastAsia="宋体"/>
          <w:color w:val="000000"/>
          <w:sz w:val="24"/>
          <w:szCs w:val="22"/>
          <w:highlight w:val="none"/>
        </w:rPr>
        <w:t>2020</w:t>
      </w:r>
      <w:r>
        <w:rPr>
          <w:rFonts w:hint="eastAsia" w:ascii="宋体" w:hAnsi="宋体" w:eastAsia="宋体" w:cs="宋体"/>
          <w:color w:val="000000"/>
          <w:sz w:val="24"/>
          <w:szCs w:val="22"/>
          <w:highlight w:val="none"/>
        </w:rPr>
        <w:t>﹞</w:t>
      </w:r>
      <w:r>
        <w:rPr>
          <w:rFonts w:ascii="宋体" w:hAnsi="宋体" w:eastAsia="宋体"/>
          <w:color w:val="000000"/>
          <w:sz w:val="24"/>
          <w:szCs w:val="22"/>
          <w:highlight w:val="none"/>
        </w:rPr>
        <w:t xml:space="preserve">46 </w:t>
      </w:r>
      <w:r>
        <w:rPr>
          <w:rFonts w:hint="eastAsia" w:ascii="宋体" w:hAnsi="宋体" w:eastAsia="宋体"/>
          <w:color w:val="000000"/>
          <w:sz w:val="24"/>
          <w:szCs w:val="22"/>
          <w:highlight w:val="none"/>
        </w:rPr>
        <w:t>号</w:t>
      </w:r>
      <w:r>
        <w:rPr>
          <w:rFonts w:ascii="宋体" w:hAnsi="宋体" w:eastAsia="宋体"/>
          <w:color w:val="000000"/>
          <w:sz w:val="24"/>
          <w:szCs w:val="22"/>
          <w:highlight w:val="none"/>
        </w:rPr>
        <w:t xml:space="preserve"> )相关规定。</w:t>
      </w:r>
    </w:p>
    <w:p w14:paraId="0528BC0B">
      <w:pPr>
        <w:pageBreakBefore w:val="0"/>
        <w:kinsoku/>
        <w:wordWrap/>
        <w:overflowPunct/>
        <w:bidi w:val="0"/>
        <w:spacing w:line="440" w:lineRule="exact"/>
        <w:ind w:firstLine="480" w:firstLineChars="200"/>
        <w:rPr>
          <w:rFonts w:ascii="宋体" w:hAnsi="宋体" w:eastAsia="宋体"/>
          <w:color w:val="000000"/>
          <w:sz w:val="24"/>
          <w:szCs w:val="22"/>
          <w:highlight w:val="none"/>
        </w:rPr>
      </w:pPr>
      <w:r>
        <w:rPr>
          <w:rFonts w:ascii="宋体" w:hAnsi="宋体" w:eastAsia="宋体"/>
          <w:color w:val="000000"/>
          <w:sz w:val="24"/>
          <w:szCs w:val="22"/>
          <w:highlight w:val="none"/>
        </w:rPr>
        <w:t>3、未按上述要求提供、填写的，评审时不予以考虑。</w:t>
      </w:r>
    </w:p>
    <w:p w14:paraId="0BDF48AC">
      <w:pPr>
        <w:rPr>
          <w:rFonts w:hint="eastAsia" w:ascii="宋体" w:hAnsi="宋体" w:cs="仿宋"/>
          <w:b/>
          <w:bCs/>
          <w:kern w:val="2"/>
          <w:sz w:val="24"/>
          <w:szCs w:val="24"/>
          <w:highlight w:val="none"/>
          <w:lang w:val="zh-CN" w:bidi="zh-CN"/>
        </w:rPr>
      </w:pPr>
      <w:r>
        <w:rPr>
          <w:rFonts w:hint="eastAsia" w:ascii="宋体" w:hAnsi="宋体" w:cs="仿宋"/>
          <w:b/>
          <w:bCs/>
          <w:kern w:val="2"/>
          <w:sz w:val="24"/>
          <w:szCs w:val="24"/>
          <w:highlight w:val="none"/>
          <w:lang w:val="zh-CN" w:bidi="zh-CN"/>
        </w:rPr>
        <w:br w:type="page"/>
      </w:r>
    </w:p>
    <w:bookmarkEnd w:id="276"/>
    <w:p w14:paraId="032088F9">
      <w:pPr>
        <w:pageBreakBefore w:val="0"/>
        <w:wordWrap/>
        <w:overflowPunct/>
        <w:bidi w:val="0"/>
        <w:spacing w:line="360" w:lineRule="auto"/>
        <w:jc w:val="center"/>
        <w:textAlignment w:val="auto"/>
        <w:rPr>
          <w:rFonts w:hint="eastAsia" w:ascii="宋体" w:hAnsi="宋体" w:cs="仿宋"/>
          <w:b/>
          <w:bCs/>
          <w:kern w:val="2"/>
          <w:sz w:val="24"/>
          <w:szCs w:val="24"/>
          <w:highlight w:val="none"/>
        </w:rPr>
      </w:pPr>
      <w:r>
        <w:rPr>
          <w:rFonts w:hint="eastAsia" w:ascii="宋体" w:hAnsi="宋体" w:cs="仿宋"/>
          <w:b/>
          <w:bCs/>
          <w:kern w:val="2"/>
          <w:sz w:val="24"/>
          <w:szCs w:val="24"/>
          <w:highlight w:val="none"/>
          <w:lang w:val="en-US" w:eastAsia="zh-CN"/>
        </w:rPr>
        <w:t>2、</w:t>
      </w:r>
      <w:r>
        <w:rPr>
          <w:rFonts w:hint="eastAsia" w:ascii="宋体" w:hAnsi="宋体" w:cs="仿宋"/>
          <w:b/>
          <w:bCs/>
          <w:kern w:val="2"/>
          <w:sz w:val="24"/>
          <w:szCs w:val="24"/>
          <w:highlight w:val="none"/>
        </w:rPr>
        <w:t>残疾人福利性单位声明函</w:t>
      </w:r>
    </w:p>
    <w:p w14:paraId="2C60AD34">
      <w:pPr>
        <w:pageBreakBefore w:val="0"/>
        <w:wordWrap/>
        <w:overflowPunct/>
        <w:bidi w:val="0"/>
        <w:spacing w:line="360" w:lineRule="auto"/>
        <w:ind w:firstLine="518" w:firstLineChars="216"/>
        <w:jc w:val="left"/>
        <w:textAlignment w:val="auto"/>
        <w:rPr>
          <w:rFonts w:hint="eastAsia" w:ascii="宋体" w:hAnsi="宋体" w:cs="仿宋"/>
          <w:b w:val="0"/>
          <w:bCs w:val="0"/>
          <w:kern w:val="2"/>
          <w:sz w:val="24"/>
          <w:szCs w:val="24"/>
          <w:highlight w:val="none"/>
        </w:rPr>
      </w:pPr>
      <w:r>
        <w:rPr>
          <w:rFonts w:hint="eastAsia" w:ascii="宋体" w:hAnsi="宋体" w:cs="仿宋"/>
          <w:b w:val="0"/>
          <w:bCs w:val="0"/>
          <w:kern w:val="2"/>
          <w:sz w:val="24"/>
          <w:szCs w:val="24"/>
          <w:highlight w:val="none"/>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096016B7">
      <w:pPr>
        <w:pageBreakBefore w:val="0"/>
        <w:wordWrap/>
        <w:overflowPunct/>
        <w:bidi w:val="0"/>
        <w:spacing w:line="360" w:lineRule="auto"/>
        <w:ind w:firstLine="518" w:firstLineChars="216"/>
        <w:jc w:val="left"/>
        <w:textAlignment w:val="auto"/>
        <w:rPr>
          <w:rFonts w:hint="eastAsia" w:ascii="宋体" w:hAnsi="宋体" w:cs="仿宋"/>
          <w:b w:val="0"/>
          <w:bCs w:val="0"/>
          <w:kern w:val="2"/>
          <w:sz w:val="24"/>
          <w:szCs w:val="24"/>
          <w:highlight w:val="none"/>
        </w:rPr>
      </w:pPr>
    </w:p>
    <w:p w14:paraId="64A8ABBE">
      <w:pPr>
        <w:pageBreakBefore w:val="0"/>
        <w:wordWrap/>
        <w:overflowPunct/>
        <w:bidi w:val="0"/>
        <w:spacing w:line="360" w:lineRule="auto"/>
        <w:ind w:firstLine="518" w:firstLineChars="216"/>
        <w:jc w:val="left"/>
        <w:textAlignment w:val="auto"/>
        <w:rPr>
          <w:rFonts w:hint="eastAsia" w:ascii="宋体" w:hAnsi="宋体" w:cs="仿宋"/>
          <w:b/>
          <w:bCs/>
          <w:kern w:val="2"/>
          <w:sz w:val="24"/>
          <w:szCs w:val="24"/>
          <w:highlight w:val="none"/>
        </w:rPr>
      </w:pPr>
      <w:r>
        <w:rPr>
          <w:rFonts w:hint="eastAsia" w:ascii="宋体" w:hAnsi="宋体" w:cs="仿宋"/>
          <w:b w:val="0"/>
          <w:bCs w:val="0"/>
          <w:kern w:val="2"/>
          <w:sz w:val="24"/>
          <w:szCs w:val="24"/>
          <w:highlight w:val="none"/>
        </w:rPr>
        <w:t>供应商：    （</w:t>
      </w:r>
      <w:r>
        <w:rPr>
          <w:rFonts w:hint="eastAsia" w:ascii="宋体" w:hAnsi="宋体" w:cs="仿宋"/>
          <w:kern w:val="2"/>
          <w:sz w:val="24"/>
          <w:szCs w:val="24"/>
          <w:highlight w:val="none"/>
          <w:lang w:eastAsia="zh-CN"/>
        </w:rPr>
        <w:t>单位电子公章</w:t>
      </w:r>
      <w:r>
        <w:rPr>
          <w:rFonts w:hint="eastAsia" w:ascii="宋体" w:hAnsi="宋体" w:cs="仿宋"/>
          <w:b/>
          <w:bCs/>
          <w:kern w:val="2"/>
          <w:sz w:val="24"/>
          <w:szCs w:val="24"/>
          <w:highlight w:val="none"/>
        </w:rPr>
        <w:t>）</w:t>
      </w:r>
    </w:p>
    <w:p w14:paraId="2FCB57BA">
      <w:pPr>
        <w:pageBreakBefore w:val="0"/>
        <w:wordWrap/>
        <w:overflowPunct/>
        <w:bidi w:val="0"/>
        <w:spacing w:line="360" w:lineRule="auto"/>
        <w:ind w:firstLine="520" w:firstLineChars="216"/>
        <w:jc w:val="left"/>
        <w:textAlignment w:val="auto"/>
        <w:rPr>
          <w:rFonts w:hint="eastAsia" w:ascii="宋体" w:hAnsi="宋体" w:cs="仿宋"/>
          <w:b w:val="0"/>
          <w:bCs w:val="0"/>
          <w:kern w:val="2"/>
          <w:sz w:val="24"/>
          <w:szCs w:val="24"/>
          <w:highlight w:val="none"/>
        </w:rPr>
      </w:pPr>
      <w:r>
        <w:rPr>
          <w:rFonts w:hint="eastAsia" w:ascii="宋体" w:hAnsi="宋体" w:cs="仿宋"/>
          <w:b/>
          <w:bCs/>
          <w:kern w:val="2"/>
          <w:sz w:val="24"/>
          <w:szCs w:val="24"/>
          <w:highlight w:val="none"/>
        </w:rPr>
        <w:t xml:space="preserve">   </w:t>
      </w:r>
      <w:r>
        <w:rPr>
          <w:rFonts w:hint="eastAsia" w:ascii="宋体" w:hAnsi="宋体" w:cs="仿宋"/>
          <w:b w:val="0"/>
          <w:bCs w:val="0"/>
          <w:kern w:val="2"/>
          <w:sz w:val="24"/>
          <w:szCs w:val="24"/>
          <w:highlight w:val="none"/>
        </w:rPr>
        <w:t>日期：    年   月    日</w:t>
      </w:r>
    </w:p>
    <w:p w14:paraId="0CE824EB">
      <w:pPr>
        <w:pageBreakBefore w:val="0"/>
        <w:wordWrap/>
        <w:overflowPunct/>
        <w:bidi w:val="0"/>
        <w:spacing w:line="360" w:lineRule="auto"/>
        <w:ind w:firstLine="518" w:firstLineChars="216"/>
        <w:jc w:val="left"/>
        <w:textAlignment w:val="auto"/>
        <w:rPr>
          <w:rFonts w:hint="eastAsia" w:ascii="宋体" w:hAnsi="宋体" w:cs="仿宋"/>
          <w:b w:val="0"/>
          <w:bCs w:val="0"/>
          <w:kern w:val="2"/>
          <w:sz w:val="24"/>
          <w:szCs w:val="24"/>
          <w:highlight w:val="none"/>
        </w:rPr>
      </w:pPr>
    </w:p>
    <w:p w14:paraId="05291234">
      <w:pPr>
        <w:pageBreakBefore w:val="0"/>
        <w:wordWrap/>
        <w:overflowPunct/>
        <w:bidi w:val="0"/>
        <w:spacing w:line="360" w:lineRule="auto"/>
        <w:ind w:firstLine="518" w:firstLineChars="216"/>
        <w:jc w:val="left"/>
        <w:textAlignment w:val="auto"/>
        <w:rPr>
          <w:rFonts w:hint="eastAsia" w:ascii="宋体" w:hAnsi="宋体" w:cs="仿宋"/>
          <w:b w:val="0"/>
          <w:bCs w:val="0"/>
          <w:kern w:val="2"/>
          <w:sz w:val="24"/>
          <w:szCs w:val="24"/>
          <w:highlight w:val="none"/>
        </w:rPr>
      </w:pPr>
    </w:p>
    <w:p w14:paraId="5DCA1363">
      <w:pPr>
        <w:pageBreakBefore w:val="0"/>
        <w:wordWrap/>
        <w:overflowPunct/>
        <w:bidi w:val="0"/>
        <w:spacing w:line="360" w:lineRule="auto"/>
        <w:ind w:firstLine="518" w:firstLineChars="216"/>
        <w:jc w:val="left"/>
        <w:textAlignment w:val="auto"/>
        <w:rPr>
          <w:rFonts w:hint="eastAsia" w:ascii="宋体" w:hAnsi="宋体" w:cs="仿宋"/>
          <w:b w:val="0"/>
          <w:bCs w:val="0"/>
          <w:kern w:val="2"/>
          <w:sz w:val="24"/>
          <w:szCs w:val="24"/>
          <w:highlight w:val="none"/>
        </w:rPr>
      </w:pPr>
    </w:p>
    <w:p w14:paraId="29DB4EF3">
      <w:pPr>
        <w:pageBreakBefore w:val="0"/>
        <w:wordWrap/>
        <w:overflowPunct/>
        <w:bidi w:val="0"/>
        <w:spacing w:line="360" w:lineRule="auto"/>
        <w:ind w:firstLine="518" w:firstLineChars="216"/>
        <w:jc w:val="left"/>
        <w:textAlignment w:val="auto"/>
        <w:rPr>
          <w:rFonts w:hint="eastAsia" w:ascii="宋体" w:hAnsi="宋体" w:cs="仿宋"/>
          <w:b w:val="0"/>
          <w:bCs w:val="0"/>
          <w:kern w:val="2"/>
          <w:sz w:val="24"/>
          <w:szCs w:val="24"/>
          <w:highlight w:val="none"/>
        </w:rPr>
      </w:pPr>
      <w:r>
        <w:rPr>
          <w:rFonts w:hint="eastAsia" w:ascii="宋体" w:hAnsi="宋体" w:cs="仿宋"/>
          <w:b w:val="0"/>
          <w:bCs w:val="0"/>
          <w:kern w:val="2"/>
          <w:sz w:val="24"/>
          <w:szCs w:val="24"/>
          <w:highlight w:val="none"/>
        </w:rPr>
        <w:t>说明：该声明函是有针对性的，属于残疾人福利性企业的填写，不属于的无需填写此项内容，但保留该声明函的格式在响应文件中并按要求盖章。</w:t>
      </w:r>
    </w:p>
    <w:p w14:paraId="080DB12C">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086CA8D4">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312C79FB">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087C6A68">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66FBD00F">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39AF09FD">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60DE7170">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5CE80475">
      <w:pPr>
        <w:rPr>
          <w:rFonts w:hint="eastAsia" w:ascii="宋体" w:hAnsi="宋体" w:cs="仿宋"/>
          <w:b/>
          <w:bCs/>
          <w:kern w:val="2"/>
          <w:sz w:val="24"/>
          <w:szCs w:val="24"/>
          <w:highlight w:val="none"/>
        </w:rPr>
      </w:pPr>
      <w:r>
        <w:rPr>
          <w:rFonts w:hint="eastAsia" w:ascii="宋体" w:hAnsi="宋体" w:cs="仿宋"/>
          <w:b/>
          <w:bCs/>
          <w:kern w:val="2"/>
          <w:sz w:val="24"/>
          <w:szCs w:val="24"/>
          <w:highlight w:val="none"/>
        </w:rPr>
        <w:br w:type="page"/>
      </w:r>
    </w:p>
    <w:p w14:paraId="59B65D2D">
      <w:pPr>
        <w:pageBreakBefore w:val="0"/>
        <w:wordWrap/>
        <w:overflowPunct/>
        <w:bidi w:val="0"/>
        <w:spacing w:line="360" w:lineRule="auto"/>
        <w:jc w:val="center"/>
        <w:textAlignment w:val="auto"/>
        <w:rPr>
          <w:rFonts w:hint="eastAsia" w:ascii="宋体" w:hAnsi="宋体" w:cs="仿宋"/>
          <w:b/>
          <w:bCs/>
          <w:kern w:val="2"/>
          <w:sz w:val="24"/>
          <w:szCs w:val="24"/>
          <w:highlight w:val="none"/>
        </w:rPr>
      </w:pPr>
      <w:r>
        <w:rPr>
          <w:rFonts w:hint="eastAsia" w:ascii="宋体" w:hAnsi="宋体" w:cs="仿宋"/>
          <w:b/>
          <w:bCs/>
          <w:kern w:val="2"/>
          <w:sz w:val="24"/>
          <w:szCs w:val="24"/>
          <w:highlight w:val="none"/>
          <w:lang w:val="en-US" w:eastAsia="zh-CN"/>
        </w:rPr>
        <w:t>3、</w:t>
      </w:r>
      <w:r>
        <w:rPr>
          <w:rFonts w:hint="eastAsia" w:ascii="宋体" w:hAnsi="宋体" w:cs="仿宋"/>
          <w:b/>
          <w:bCs/>
          <w:kern w:val="2"/>
          <w:sz w:val="24"/>
          <w:szCs w:val="24"/>
          <w:highlight w:val="none"/>
        </w:rPr>
        <w:t>监狱企业证明文件</w:t>
      </w:r>
    </w:p>
    <w:p w14:paraId="15F3536E">
      <w:pPr>
        <w:pageBreakBefore w:val="0"/>
        <w:wordWrap/>
        <w:overflowPunct/>
        <w:bidi w:val="0"/>
        <w:spacing w:line="360" w:lineRule="auto"/>
        <w:ind w:firstLine="518" w:firstLineChars="216"/>
        <w:jc w:val="left"/>
        <w:textAlignment w:val="auto"/>
        <w:rPr>
          <w:rFonts w:hint="eastAsia" w:ascii="宋体" w:hAnsi="宋体" w:cs="仿宋"/>
          <w:b w:val="0"/>
          <w:bCs w:val="0"/>
          <w:kern w:val="2"/>
          <w:sz w:val="24"/>
          <w:szCs w:val="24"/>
          <w:highlight w:val="none"/>
        </w:rPr>
      </w:pPr>
      <w:r>
        <w:rPr>
          <w:rFonts w:hint="eastAsia" w:ascii="宋体" w:hAnsi="宋体" w:cs="仿宋"/>
          <w:b w:val="0"/>
          <w:bCs w:val="0"/>
          <w:kern w:val="2"/>
          <w:sz w:val="24"/>
          <w:szCs w:val="24"/>
          <w:highlight w:val="none"/>
        </w:rPr>
        <w:t>省级以上监狱管理局、戒毒管理局（含新疆生产建设兵团）出具的属于监狱企业的证明文件。</w:t>
      </w:r>
    </w:p>
    <w:p w14:paraId="6AE28EFF">
      <w:pPr>
        <w:pageBreakBefore w:val="0"/>
        <w:wordWrap/>
        <w:overflowPunct/>
        <w:bidi w:val="0"/>
        <w:spacing w:line="360" w:lineRule="auto"/>
        <w:ind w:firstLine="518" w:firstLineChars="216"/>
        <w:jc w:val="left"/>
        <w:textAlignment w:val="auto"/>
        <w:rPr>
          <w:rFonts w:hint="eastAsia" w:ascii="宋体" w:hAnsi="宋体" w:cs="仿宋"/>
          <w:b w:val="0"/>
          <w:bCs w:val="0"/>
          <w:kern w:val="2"/>
          <w:sz w:val="24"/>
          <w:szCs w:val="24"/>
          <w:highlight w:val="none"/>
        </w:rPr>
      </w:pPr>
      <w:r>
        <w:rPr>
          <w:rFonts w:hint="eastAsia" w:ascii="宋体" w:hAnsi="宋体" w:cs="仿宋"/>
          <w:b w:val="0"/>
          <w:bCs w:val="0"/>
          <w:kern w:val="2"/>
          <w:sz w:val="24"/>
          <w:szCs w:val="24"/>
          <w:highlight w:val="none"/>
        </w:rPr>
        <w:t>（属于监狱企业的提供，不属于的无需填写此项内容）</w:t>
      </w:r>
    </w:p>
    <w:p w14:paraId="4D14F6D7">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37C035E7">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5EDE6BA0">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51EC01AE">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6CCD2181">
      <w:pPr>
        <w:pageBreakBefore w:val="0"/>
        <w:wordWrap/>
        <w:overflowPunct/>
        <w:bidi w:val="0"/>
        <w:spacing w:line="360" w:lineRule="auto"/>
        <w:ind w:firstLine="520" w:firstLineChars="216"/>
        <w:jc w:val="left"/>
        <w:textAlignment w:val="auto"/>
        <w:rPr>
          <w:rFonts w:hint="eastAsia" w:ascii="宋体" w:hAnsi="宋体" w:cs="仿宋"/>
          <w:b/>
          <w:bCs/>
          <w:kern w:val="2"/>
          <w:sz w:val="24"/>
          <w:szCs w:val="24"/>
          <w:highlight w:val="none"/>
        </w:rPr>
      </w:pPr>
    </w:p>
    <w:p w14:paraId="548FC628">
      <w:pPr>
        <w:pageBreakBefore w:val="0"/>
        <w:wordWrap/>
        <w:overflowPunct/>
        <w:bidi w:val="0"/>
        <w:spacing w:line="360" w:lineRule="auto"/>
        <w:jc w:val="center"/>
        <w:textAlignment w:val="auto"/>
        <w:rPr>
          <w:rFonts w:hint="eastAsia" w:ascii="宋体" w:hAnsi="宋体" w:cs="仿宋"/>
          <w:b/>
          <w:bCs/>
          <w:kern w:val="2"/>
          <w:sz w:val="24"/>
          <w:szCs w:val="24"/>
          <w:highlight w:val="none"/>
        </w:rPr>
      </w:pPr>
      <w:r>
        <w:rPr>
          <w:rFonts w:hint="eastAsia" w:ascii="宋体" w:hAnsi="宋体" w:cs="仿宋"/>
          <w:b/>
          <w:bCs/>
          <w:kern w:val="2"/>
          <w:sz w:val="24"/>
          <w:szCs w:val="24"/>
          <w:highlight w:val="none"/>
          <w:lang w:val="en-US" w:eastAsia="zh-CN"/>
        </w:rPr>
        <w:t>4、</w:t>
      </w:r>
      <w:r>
        <w:rPr>
          <w:rFonts w:hint="eastAsia" w:ascii="宋体" w:hAnsi="宋体" w:cs="仿宋"/>
          <w:b/>
          <w:bCs/>
          <w:kern w:val="2"/>
          <w:sz w:val="24"/>
          <w:szCs w:val="24"/>
          <w:highlight w:val="none"/>
        </w:rPr>
        <w:t>节能环保产品证明文件</w:t>
      </w:r>
    </w:p>
    <w:p w14:paraId="632A680D">
      <w:pPr>
        <w:pageBreakBefore w:val="0"/>
        <w:wordWrap/>
        <w:overflowPunct/>
        <w:bidi w:val="0"/>
        <w:spacing w:line="360" w:lineRule="auto"/>
        <w:ind w:firstLine="518" w:firstLineChars="216"/>
        <w:jc w:val="left"/>
        <w:textAlignment w:val="auto"/>
        <w:rPr>
          <w:rFonts w:hint="eastAsia" w:ascii="宋体" w:hAnsi="宋体" w:cs="仿宋"/>
          <w:b w:val="0"/>
          <w:bCs w:val="0"/>
          <w:kern w:val="2"/>
          <w:sz w:val="24"/>
          <w:szCs w:val="24"/>
          <w:highlight w:val="none"/>
        </w:rPr>
      </w:pPr>
    </w:p>
    <w:p w14:paraId="44541EC3">
      <w:pPr>
        <w:pageBreakBefore w:val="0"/>
        <w:wordWrap/>
        <w:overflowPunct/>
        <w:bidi w:val="0"/>
        <w:spacing w:line="360" w:lineRule="auto"/>
        <w:ind w:firstLine="518" w:firstLineChars="216"/>
        <w:jc w:val="left"/>
        <w:textAlignment w:val="auto"/>
        <w:rPr>
          <w:rFonts w:hint="eastAsia" w:ascii="宋体" w:hAnsi="宋体" w:cs="仿宋"/>
          <w:b w:val="0"/>
          <w:bCs w:val="0"/>
          <w:kern w:val="2"/>
          <w:sz w:val="24"/>
          <w:szCs w:val="24"/>
          <w:highlight w:val="none"/>
        </w:rPr>
      </w:pPr>
      <w:r>
        <w:rPr>
          <w:rFonts w:hint="eastAsia" w:ascii="宋体" w:hAnsi="宋体" w:cs="仿宋"/>
          <w:b w:val="0"/>
          <w:bCs w:val="0"/>
          <w:kern w:val="2"/>
          <w:sz w:val="24"/>
          <w:szCs w:val="24"/>
          <w:highlight w:val="none"/>
        </w:rPr>
        <w:t>国家确定的认证机构出具的、处于有效期之内的节能产品、环境标志产品认证证书。</w:t>
      </w:r>
    </w:p>
    <w:p w14:paraId="5E2F3952">
      <w:pPr>
        <w:pageBreakBefore w:val="0"/>
        <w:wordWrap/>
        <w:overflowPunct/>
        <w:bidi w:val="0"/>
        <w:spacing w:line="360" w:lineRule="auto"/>
        <w:ind w:firstLine="518" w:firstLineChars="216"/>
        <w:jc w:val="left"/>
        <w:textAlignment w:val="auto"/>
        <w:outlineLvl w:val="9"/>
        <w:rPr>
          <w:rFonts w:ascii="宋体" w:hAnsi="宋体" w:cs="仿宋"/>
          <w:b w:val="0"/>
          <w:bCs w:val="0"/>
          <w:kern w:val="2"/>
          <w:sz w:val="24"/>
          <w:szCs w:val="24"/>
          <w:highlight w:val="none"/>
        </w:rPr>
      </w:pPr>
      <w:r>
        <w:rPr>
          <w:rFonts w:hint="eastAsia" w:ascii="宋体" w:hAnsi="宋体" w:cs="仿宋"/>
          <w:b w:val="0"/>
          <w:bCs w:val="0"/>
          <w:kern w:val="2"/>
          <w:sz w:val="24"/>
          <w:szCs w:val="24"/>
          <w:highlight w:val="none"/>
        </w:rPr>
        <w:t>（拟供货物为节能环保产品的提供，不属于的无需填写此项内容）</w:t>
      </w:r>
    </w:p>
    <w:p w14:paraId="6C438D52">
      <w:pPr>
        <w:pageBreakBefore w:val="0"/>
        <w:wordWrap/>
        <w:overflowPunct/>
        <w:bidi w:val="0"/>
        <w:spacing w:line="360" w:lineRule="auto"/>
        <w:ind w:firstLine="520" w:firstLineChars="216"/>
        <w:jc w:val="left"/>
        <w:textAlignment w:val="auto"/>
        <w:rPr>
          <w:rFonts w:ascii="宋体" w:hAnsi="宋体" w:cs="仿宋"/>
          <w:b/>
          <w:bCs/>
          <w:kern w:val="2"/>
          <w:sz w:val="24"/>
          <w:szCs w:val="24"/>
          <w:highlight w:val="none"/>
        </w:rPr>
      </w:pPr>
      <w:r>
        <w:rPr>
          <w:rFonts w:hint="eastAsia" w:ascii="宋体" w:hAnsi="宋体" w:cs="仿宋"/>
          <w:b/>
          <w:bCs/>
          <w:kern w:val="2"/>
          <w:sz w:val="24"/>
          <w:szCs w:val="24"/>
          <w:highlight w:val="none"/>
        </w:rPr>
        <w:br w:type="page"/>
      </w:r>
    </w:p>
    <w:p w14:paraId="3D2489BF">
      <w:pPr>
        <w:jc w:val="center"/>
        <w:outlineLvl w:val="2"/>
        <w:rPr>
          <w:rFonts w:hint="eastAsia" w:ascii="宋体" w:hAnsi="宋体" w:eastAsia="宋体" w:cs="仿宋"/>
          <w:b/>
          <w:bCs/>
          <w:color w:val="000000"/>
          <w:kern w:val="2"/>
          <w:sz w:val="24"/>
          <w:szCs w:val="24"/>
          <w:highlight w:val="none"/>
          <w:u w:color="000000"/>
        </w:rPr>
      </w:pPr>
      <w:r>
        <w:rPr>
          <w:rFonts w:hint="eastAsia" w:ascii="宋体" w:hAnsi="宋体" w:cs="仿宋"/>
          <w:b/>
          <w:bCs/>
          <w:kern w:val="2"/>
          <w:sz w:val="24"/>
          <w:szCs w:val="24"/>
          <w:highlight w:val="none"/>
          <w:lang w:val="en-US" w:eastAsia="zh-CN"/>
        </w:rPr>
        <w:t>7-5</w:t>
      </w:r>
      <w:r>
        <w:rPr>
          <w:rFonts w:hint="eastAsia" w:ascii="宋体" w:hAnsi="宋体" w:eastAsia="宋体" w:cs="仿宋"/>
          <w:b/>
          <w:bCs/>
          <w:color w:val="000000"/>
          <w:kern w:val="2"/>
          <w:sz w:val="24"/>
          <w:szCs w:val="24"/>
          <w:highlight w:val="none"/>
          <w:u w:color="000000"/>
        </w:rPr>
        <w:t>关于符合本国产品标准的声明函</w:t>
      </w:r>
    </w:p>
    <w:p w14:paraId="53EC09E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p>
    <w:p w14:paraId="526E95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本公司（单位）郑重声明，根据《国务院办公厅关于在政府采购中实施本国产品标准及相关政策的通知》（国办发〔2025〕34号）的规定，本公司（单位）提供的以下产品属于本国产品。具体情况如下：</w:t>
      </w:r>
    </w:p>
    <w:p w14:paraId="479122C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1.</w:t>
      </w:r>
      <w:r>
        <w:rPr>
          <w:rFonts w:hint="eastAsia" w:ascii="宋体" w:hAnsi="宋体" w:eastAsia="宋体" w:cs="仿宋"/>
          <w:b w:val="0"/>
          <w:bCs w:val="0"/>
          <w:color w:val="000000"/>
          <w:kern w:val="2"/>
          <w:sz w:val="24"/>
          <w:szCs w:val="24"/>
          <w:highlight w:val="none"/>
          <w:u w:val="single" w:color="auto"/>
        </w:rPr>
        <w:t>（产品名称1）</w:t>
      </w:r>
      <w:r>
        <w:rPr>
          <w:rFonts w:hint="eastAsia" w:ascii="宋体" w:hAnsi="宋体" w:eastAsia="宋体" w:cs="仿宋"/>
          <w:b w:val="0"/>
          <w:bCs w:val="0"/>
          <w:color w:val="000000"/>
          <w:kern w:val="2"/>
          <w:sz w:val="24"/>
          <w:szCs w:val="24"/>
          <w:highlight w:val="none"/>
          <w:u w:color="000000"/>
        </w:rPr>
        <w:t>1，生产厂为</w:t>
      </w:r>
      <w:r>
        <w:rPr>
          <w:rFonts w:hint="eastAsia" w:ascii="宋体" w:hAnsi="宋体" w:eastAsia="宋体" w:cs="仿宋"/>
          <w:b w:val="0"/>
          <w:bCs w:val="0"/>
          <w:color w:val="000000"/>
          <w:kern w:val="2"/>
          <w:sz w:val="24"/>
          <w:szCs w:val="24"/>
          <w:highlight w:val="none"/>
          <w:u w:val="single" w:color="auto"/>
        </w:rPr>
        <w:t>（厂名）</w:t>
      </w:r>
      <w:r>
        <w:rPr>
          <w:rFonts w:hint="eastAsia" w:ascii="宋体" w:hAnsi="宋体" w:eastAsia="宋体" w:cs="仿宋"/>
          <w:b w:val="0"/>
          <w:bCs w:val="0"/>
          <w:color w:val="000000"/>
          <w:kern w:val="2"/>
          <w:sz w:val="24"/>
          <w:szCs w:val="24"/>
          <w:highlight w:val="none"/>
          <w:u w:color="000000"/>
        </w:rPr>
        <w:t>2，厂址为</w:t>
      </w:r>
      <w:r>
        <w:rPr>
          <w:rFonts w:hint="eastAsia" w:ascii="宋体" w:hAnsi="宋体" w:eastAsia="宋体" w:cs="仿宋"/>
          <w:b w:val="0"/>
          <w:bCs w:val="0"/>
          <w:color w:val="000000"/>
          <w:kern w:val="2"/>
          <w:sz w:val="24"/>
          <w:szCs w:val="24"/>
          <w:highlight w:val="none"/>
          <w:u w:val="single" w:color="auto"/>
        </w:rPr>
        <w:t>（生产厂址）</w:t>
      </w:r>
      <w:r>
        <w:rPr>
          <w:rFonts w:hint="eastAsia" w:ascii="宋体" w:hAnsi="宋体" w:eastAsia="宋体" w:cs="仿宋"/>
          <w:b w:val="0"/>
          <w:bCs w:val="0"/>
          <w:color w:val="000000"/>
          <w:kern w:val="2"/>
          <w:sz w:val="24"/>
          <w:szCs w:val="24"/>
          <w:highlight w:val="none"/>
          <w:u w:color="000000"/>
        </w:rPr>
        <w:t>。</w:t>
      </w:r>
      <w:r>
        <w:rPr>
          <w:rFonts w:hint="eastAsia" w:ascii="宋体" w:hAnsi="宋体" w:eastAsia="宋体" w:cs="仿宋"/>
          <w:b w:val="0"/>
          <w:bCs w:val="0"/>
          <w:color w:val="000000"/>
          <w:kern w:val="2"/>
          <w:sz w:val="24"/>
          <w:szCs w:val="24"/>
          <w:highlight w:val="none"/>
          <w:u w:val="single" w:color="auto"/>
        </w:rPr>
        <w:t>（产品名称1）</w:t>
      </w:r>
      <w:r>
        <w:rPr>
          <w:rFonts w:hint="eastAsia" w:ascii="宋体" w:hAnsi="宋体" w:eastAsia="宋体" w:cs="仿宋"/>
          <w:b w:val="0"/>
          <w:bCs w:val="0"/>
          <w:color w:val="000000"/>
          <w:kern w:val="2"/>
          <w:sz w:val="24"/>
          <w:szCs w:val="24"/>
          <w:highlight w:val="none"/>
          <w:u w:color="000000"/>
        </w:rPr>
        <w:t>的中国境内生产的组件成本占比≥</w:t>
      </w:r>
      <w:r>
        <w:rPr>
          <w:rFonts w:hint="eastAsia" w:ascii="宋体" w:hAnsi="宋体" w:eastAsia="宋体" w:cs="仿宋"/>
          <w:b w:val="0"/>
          <w:bCs w:val="0"/>
          <w:color w:val="000000"/>
          <w:kern w:val="2"/>
          <w:sz w:val="24"/>
          <w:szCs w:val="24"/>
          <w:highlight w:val="none"/>
          <w:u w:val="single" w:color="auto"/>
        </w:rPr>
        <w:t>（规定比例）</w:t>
      </w:r>
      <w:r>
        <w:rPr>
          <w:rFonts w:hint="eastAsia" w:ascii="宋体" w:hAnsi="宋体" w:eastAsia="宋体" w:cs="仿宋"/>
          <w:b w:val="0"/>
          <w:bCs w:val="0"/>
          <w:color w:val="000000"/>
          <w:kern w:val="2"/>
          <w:sz w:val="24"/>
          <w:szCs w:val="24"/>
          <w:highlight w:val="none"/>
          <w:u w:color="000000"/>
        </w:rPr>
        <w:t>3。</w:t>
      </w:r>
      <w:r>
        <w:rPr>
          <w:rFonts w:hint="eastAsia" w:ascii="宋体" w:hAnsi="宋体" w:eastAsia="宋体" w:cs="仿宋"/>
          <w:b w:val="0"/>
          <w:bCs w:val="0"/>
          <w:color w:val="000000"/>
          <w:kern w:val="2"/>
          <w:sz w:val="24"/>
          <w:szCs w:val="24"/>
          <w:highlight w:val="none"/>
          <w:u w:val="single" w:color="auto"/>
        </w:rPr>
        <w:t>（产品名称1）</w:t>
      </w:r>
      <w:r>
        <w:rPr>
          <w:rFonts w:hint="eastAsia" w:ascii="宋体" w:hAnsi="宋体" w:eastAsia="宋体" w:cs="仿宋"/>
          <w:b w:val="0"/>
          <w:bCs w:val="0"/>
          <w:color w:val="000000"/>
          <w:kern w:val="2"/>
          <w:sz w:val="24"/>
          <w:szCs w:val="24"/>
          <w:highlight w:val="none"/>
          <w:u w:color="000000"/>
        </w:rPr>
        <w:t>的</w:t>
      </w:r>
      <w:r>
        <w:rPr>
          <w:rFonts w:hint="eastAsia" w:ascii="宋体" w:hAnsi="宋体" w:eastAsia="宋体" w:cs="仿宋"/>
          <w:b w:val="0"/>
          <w:bCs w:val="0"/>
          <w:color w:val="000000"/>
          <w:kern w:val="2"/>
          <w:sz w:val="24"/>
          <w:szCs w:val="24"/>
          <w:highlight w:val="none"/>
          <w:u w:val="single" w:color="auto"/>
        </w:rPr>
        <w:t>（关键组件）</w:t>
      </w:r>
      <w:r>
        <w:rPr>
          <w:rFonts w:hint="eastAsia" w:ascii="宋体" w:hAnsi="宋体" w:eastAsia="宋体" w:cs="仿宋"/>
          <w:b w:val="0"/>
          <w:bCs w:val="0"/>
          <w:color w:val="000000"/>
          <w:kern w:val="2"/>
          <w:sz w:val="24"/>
          <w:szCs w:val="24"/>
          <w:highlight w:val="none"/>
          <w:u w:color="000000"/>
        </w:rPr>
        <w:t>4在中国境内生产。</w:t>
      </w:r>
      <w:r>
        <w:rPr>
          <w:rFonts w:hint="eastAsia" w:ascii="宋体" w:hAnsi="宋体" w:eastAsia="宋体" w:cs="仿宋"/>
          <w:b w:val="0"/>
          <w:bCs w:val="0"/>
          <w:color w:val="000000"/>
          <w:kern w:val="2"/>
          <w:sz w:val="24"/>
          <w:szCs w:val="24"/>
          <w:highlight w:val="none"/>
          <w:u w:val="single" w:color="auto"/>
        </w:rPr>
        <w:t>（产品名称1）</w:t>
      </w:r>
      <w:r>
        <w:rPr>
          <w:rFonts w:hint="eastAsia" w:ascii="宋体" w:hAnsi="宋体" w:eastAsia="宋体" w:cs="仿宋"/>
          <w:b w:val="0"/>
          <w:bCs w:val="0"/>
          <w:color w:val="000000"/>
          <w:kern w:val="2"/>
          <w:sz w:val="24"/>
          <w:szCs w:val="24"/>
          <w:highlight w:val="none"/>
          <w:u w:color="000000"/>
        </w:rPr>
        <w:t>的</w:t>
      </w:r>
      <w:r>
        <w:rPr>
          <w:rFonts w:hint="eastAsia" w:ascii="宋体" w:hAnsi="宋体" w:eastAsia="宋体" w:cs="仿宋"/>
          <w:b w:val="0"/>
          <w:bCs w:val="0"/>
          <w:color w:val="000000"/>
          <w:kern w:val="2"/>
          <w:sz w:val="24"/>
          <w:szCs w:val="24"/>
          <w:highlight w:val="none"/>
          <w:u w:val="single" w:color="auto"/>
        </w:rPr>
        <w:t>（关键工序）</w:t>
      </w:r>
      <w:r>
        <w:rPr>
          <w:rFonts w:hint="eastAsia" w:ascii="宋体" w:hAnsi="宋体" w:eastAsia="宋体" w:cs="仿宋"/>
          <w:b w:val="0"/>
          <w:bCs w:val="0"/>
          <w:color w:val="000000"/>
          <w:kern w:val="2"/>
          <w:sz w:val="24"/>
          <w:szCs w:val="24"/>
          <w:highlight w:val="none"/>
          <w:u w:color="000000"/>
        </w:rPr>
        <w:t>5在中国境内完成。</w:t>
      </w:r>
    </w:p>
    <w:p w14:paraId="387C88E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2.</w:t>
      </w:r>
      <w:r>
        <w:rPr>
          <w:rFonts w:hint="eastAsia" w:ascii="宋体" w:hAnsi="宋体" w:eastAsia="宋体" w:cs="仿宋"/>
          <w:b w:val="0"/>
          <w:bCs w:val="0"/>
          <w:color w:val="000000"/>
          <w:kern w:val="2"/>
          <w:sz w:val="24"/>
          <w:szCs w:val="24"/>
          <w:highlight w:val="none"/>
          <w:u w:val="single" w:color="auto"/>
        </w:rPr>
        <w:t>（产品名称2）</w:t>
      </w:r>
      <w:r>
        <w:rPr>
          <w:rFonts w:hint="eastAsia" w:ascii="宋体" w:hAnsi="宋体" w:eastAsia="宋体" w:cs="仿宋"/>
          <w:b w:val="0"/>
          <w:bCs w:val="0"/>
          <w:color w:val="000000"/>
          <w:kern w:val="2"/>
          <w:sz w:val="24"/>
          <w:szCs w:val="24"/>
          <w:highlight w:val="none"/>
          <w:u w:color="000000"/>
        </w:rPr>
        <w:t>，生产厂为</w:t>
      </w:r>
      <w:r>
        <w:rPr>
          <w:rFonts w:hint="eastAsia" w:ascii="宋体" w:hAnsi="宋体" w:eastAsia="宋体" w:cs="仿宋"/>
          <w:b w:val="0"/>
          <w:bCs w:val="0"/>
          <w:color w:val="000000"/>
          <w:kern w:val="2"/>
          <w:sz w:val="24"/>
          <w:szCs w:val="24"/>
          <w:highlight w:val="none"/>
          <w:u w:val="single" w:color="auto"/>
        </w:rPr>
        <w:t>（厂名）</w:t>
      </w:r>
      <w:r>
        <w:rPr>
          <w:rFonts w:hint="eastAsia" w:ascii="宋体" w:hAnsi="宋体" w:eastAsia="宋体" w:cs="仿宋"/>
          <w:b w:val="0"/>
          <w:bCs w:val="0"/>
          <w:color w:val="000000"/>
          <w:kern w:val="2"/>
          <w:sz w:val="24"/>
          <w:szCs w:val="24"/>
          <w:highlight w:val="none"/>
          <w:u w:color="000000"/>
        </w:rPr>
        <w:t>，厂址为</w:t>
      </w:r>
      <w:r>
        <w:rPr>
          <w:rFonts w:hint="eastAsia" w:ascii="宋体" w:hAnsi="宋体" w:eastAsia="宋体" w:cs="仿宋"/>
          <w:b w:val="0"/>
          <w:bCs w:val="0"/>
          <w:color w:val="000000"/>
          <w:kern w:val="2"/>
          <w:sz w:val="24"/>
          <w:szCs w:val="24"/>
          <w:highlight w:val="none"/>
          <w:u w:val="single" w:color="auto"/>
        </w:rPr>
        <w:t>（生产厂址）</w:t>
      </w:r>
      <w:r>
        <w:rPr>
          <w:rFonts w:hint="eastAsia" w:ascii="宋体" w:hAnsi="宋体" w:eastAsia="宋体" w:cs="仿宋"/>
          <w:b w:val="0"/>
          <w:bCs w:val="0"/>
          <w:color w:val="000000"/>
          <w:kern w:val="2"/>
          <w:sz w:val="24"/>
          <w:szCs w:val="24"/>
          <w:highlight w:val="none"/>
          <w:u w:color="000000"/>
        </w:rPr>
        <w:t>。</w:t>
      </w:r>
      <w:r>
        <w:rPr>
          <w:rFonts w:hint="eastAsia" w:ascii="宋体" w:hAnsi="宋体" w:eastAsia="宋体" w:cs="仿宋"/>
          <w:b w:val="0"/>
          <w:bCs w:val="0"/>
          <w:color w:val="000000"/>
          <w:kern w:val="2"/>
          <w:sz w:val="24"/>
          <w:szCs w:val="24"/>
          <w:highlight w:val="none"/>
          <w:u w:val="single" w:color="auto"/>
        </w:rPr>
        <w:t>（产品名称2）</w:t>
      </w:r>
      <w:r>
        <w:rPr>
          <w:rFonts w:hint="eastAsia" w:ascii="宋体" w:hAnsi="宋体" w:eastAsia="宋体" w:cs="仿宋"/>
          <w:b w:val="0"/>
          <w:bCs w:val="0"/>
          <w:color w:val="000000"/>
          <w:kern w:val="2"/>
          <w:sz w:val="24"/>
          <w:szCs w:val="24"/>
          <w:highlight w:val="none"/>
          <w:u w:color="000000"/>
        </w:rPr>
        <w:t>的中国境内生产的组件成本占比≥</w:t>
      </w:r>
      <w:r>
        <w:rPr>
          <w:rFonts w:hint="eastAsia" w:ascii="宋体" w:hAnsi="宋体" w:eastAsia="宋体" w:cs="仿宋"/>
          <w:b w:val="0"/>
          <w:bCs w:val="0"/>
          <w:color w:val="000000"/>
          <w:kern w:val="2"/>
          <w:sz w:val="24"/>
          <w:szCs w:val="24"/>
          <w:highlight w:val="none"/>
          <w:u w:val="single" w:color="auto"/>
        </w:rPr>
        <w:t>（规定比例）</w:t>
      </w:r>
      <w:r>
        <w:rPr>
          <w:rFonts w:hint="eastAsia" w:ascii="宋体" w:hAnsi="宋体" w:eastAsia="宋体" w:cs="仿宋"/>
          <w:b w:val="0"/>
          <w:bCs w:val="0"/>
          <w:color w:val="000000"/>
          <w:kern w:val="2"/>
          <w:sz w:val="24"/>
          <w:szCs w:val="24"/>
          <w:highlight w:val="none"/>
          <w:u w:color="000000"/>
        </w:rPr>
        <w:t>。</w:t>
      </w:r>
      <w:r>
        <w:rPr>
          <w:rFonts w:hint="eastAsia" w:ascii="宋体" w:hAnsi="宋体" w:eastAsia="宋体" w:cs="仿宋"/>
          <w:b w:val="0"/>
          <w:bCs w:val="0"/>
          <w:color w:val="000000"/>
          <w:kern w:val="2"/>
          <w:sz w:val="24"/>
          <w:szCs w:val="24"/>
          <w:highlight w:val="none"/>
          <w:u w:val="single" w:color="auto"/>
        </w:rPr>
        <w:t>（产品名称2）</w:t>
      </w:r>
      <w:r>
        <w:rPr>
          <w:rFonts w:hint="eastAsia" w:ascii="宋体" w:hAnsi="宋体" w:eastAsia="宋体" w:cs="仿宋"/>
          <w:b w:val="0"/>
          <w:bCs w:val="0"/>
          <w:color w:val="000000"/>
          <w:kern w:val="2"/>
          <w:sz w:val="24"/>
          <w:szCs w:val="24"/>
          <w:highlight w:val="none"/>
          <w:u w:color="000000"/>
        </w:rPr>
        <w:t>的</w:t>
      </w:r>
      <w:r>
        <w:rPr>
          <w:rFonts w:hint="eastAsia" w:ascii="宋体" w:hAnsi="宋体" w:eastAsia="宋体" w:cs="仿宋"/>
          <w:b w:val="0"/>
          <w:bCs w:val="0"/>
          <w:color w:val="000000"/>
          <w:kern w:val="2"/>
          <w:sz w:val="24"/>
          <w:szCs w:val="24"/>
          <w:highlight w:val="none"/>
          <w:u w:val="single" w:color="auto"/>
        </w:rPr>
        <w:t>（关键组件）</w:t>
      </w:r>
      <w:r>
        <w:rPr>
          <w:rFonts w:hint="eastAsia" w:ascii="宋体" w:hAnsi="宋体" w:eastAsia="宋体" w:cs="仿宋"/>
          <w:b w:val="0"/>
          <w:bCs w:val="0"/>
          <w:color w:val="000000"/>
          <w:kern w:val="2"/>
          <w:sz w:val="24"/>
          <w:szCs w:val="24"/>
          <w:highlight w:val="none"/>
          <w:u w:color="000000"/>
        </w:rPr>
        <w:t>在中国境内生产。</w:t>
      </w:r>
      <w:r>
        <w:rPr>
          <w:rFonts w:hint="eastAsia" w:ascii="宋体" w:hAnsi="宋体" w:eastAsia="宋体" w:cs="仿宋"/>
          <w:b w:val="0"/>
          <w:bCs w:val="0"/>
          <w:color w:val="000000"/>
          <w:kern w:val="2"/>
          <w:sz w:val="24"/>
          <w:szCs w:val="24"/>
          <w:highlight w:val="none"/>
          <w:u w:val="single" w:color="auto"/>
        </w:rPr>
        <w:t>（产品名称2）</w:t>
      </w:r>
      <w:r>
        <w:rPr>
          <w:rFonts w:hint="eastAsia" w:ascii="宋体" w:hAnsi="宋体" w:eastAsia="宋体" w:cs="仿宋"/>
          <w:b w:val="0"/>
          <w:bCs w:val="0"/>
          <w:color w:val="000000"/>
          <w:kern w:val="2"/>
          <w:sz w:val="24"/>
          <w:szCs w:val="24"/>
          <w:highlight w:val="none"/>
          <w:u w:color="000000"/>
        </w:rPr>
        <w:t>的</w:t>
      </w:r>
      <w:r>
        <w:rPr>
          <w:rFonts w:hint="eastAsia" w:ascii="宋体" w:hAnsi="宋体" w:eastAsia="宋体" w:cs="仿宋"/>
          <w:b w:val="0"/>
          <w:bCs w:val="0"/>
          <w:color w:val="000000"/>
          <w:kern w:val="2"/>
          <w:sz w:val="24"/>
          <w:szCs w:val="24"/>
          <w:highlight w:val="none"/>
          <w:u w:val="single" w:color="auto"/>
        </w:rPr>
        <w:t>（关键工序）</w:t>
      </w:r>
      <w:r>
        <w:rPr>
          <w:rFonts w:hint="eastAsia" w:ascii="宋体" w:hAnsi="宋体" w:eastAsia="宋体" w:cs="仿宋"/>
          <w:b w:val="0"/>
          <w:bCs w:val="0"/>
          <w:color w:val="000000"/>
          <w:kern w:val="2"/>
          <w:sz w:val="24"/>
          <w:szCs w:val="24"/>
          <w:highlight w:val="none"/>
          <w:u w:color="000000"/>
        </w:rPr>
        <w:t>在中国境内完成。</w:t>
      </w:r>
    </w:p>
    <w:p w14:paraId="4A7AE2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w:t>
      </w:r>
    </w:p>
    <w:p w14:paraId="5D0E9A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本公司（单位）对上述声明内容的真实性负责。如有虚假，愿承担相应法律责任。</w:t>
      </w:r>
    </w:p>
    <w:p w14:paraId="530106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 </w:t>
      </w:r>
    </w:p>
    <w:p w14:paraId="05C2C7E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公司（单位）名称（盖章）：　        </w:t>
      </w:r>
    </w:p>
    <w:p w14:paraId="3ED204B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日期：　     年　  月　  日         </w:t>
      </w:r>
    </w:p>
    <w:p w14:paraId="70AA05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p>
    <w:p w14:paraId="41FD74D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1.产品如有型号，请在“产品名称”栏一并填写。</w:t>
      </w:r>
    </w:p>
    <w:p w14:paraId="1CD31A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2.生产厂名与厂址应与生产厂营业执照载明的相关信息保持一致。</w:t>
      </w:r>
    </w:p>
    <w:p w14:paraId="7A2F31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3.该产品的中国境内生产的组件成本占比相关要求实施前，“规定比例”栏可不填，下同。</w:t>
      </w:r>
    </w:p>
    <w:p w14:paraId="5B5EF12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4.该产品的关键组件要求实施前，“关键组件”栏可不填，下同。</w:t>
      </w:r>
    </w:p>
    <w:p w14:paraId="66B75D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r>
        <w:rPr>
          <w:rFonts w:hint="eastAsia" w:ascii="宋体" w:hAnsi="宋体" w:eastAsia="宋体" w:cs="仿宋"/>
          <w:b w:val="0"/>
          <w:bCs w:val="0"/>
          <w:color w:val="000000"/>
          <w:kern w:val="2"/>
          <w:sz w:val="24"/>
          <w:szCs w:val="24"/>
          <w:highlight w:val="none"/>
          <w:u w:color="000000"/>
        </w:rPr>
        <w:t>5.该产品的关键工序要求实施前，“关键工序”栏可不填，下同。</w:t>
      </w:r>
    </w:p>
    <w:p w14:paraId="33FB57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b w:val="0"/>
          <w:bCs w:val="0"/>
          <w:color w:val="000000"/>
          <w:kern w:val="2"/>
          <w:sz w:val="24"/>
          <w:szCs w:val="24"/>
          <w:highlight w:val="none"/>
          <w:u w:color="000000"/>
        </w:rPr>
      </w:pPr>
    </w:p>
    <w:p w14:paraId="51428F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ighlight w:val="none"/>
        </w:rPr>
      </w:pPr>
      <w:r>
        <w:rPr>
          <w:rFonts w:hint="eastAsia" w:ascii="宋体" w:hAnsi="宋体" w:eastAsia="宋体" w:cs="仿宋"/>
          <w:b w:val="0"/>
          <w:bCs w:val="0"/>
          <w:color w:val="000000"/>
          <w:kern w:val="2"/>
          <w:sz w:val="24"/>
          <w:szCs w:val="24"/>
          <w:highlight w:val="none"/>
          <w:u w:color="000000"/>
        </w:rPr>
        <w:t>https://zfcg.henan.gov.cn/henan/content?infoId=1760598568058963&amp;channelCode=H600301</w:t>
      </w:r>
      <w:r>
        <w:rPr>
          <w:rFonts w:hint="eastAsia" w:ascii="宋体" w:hAnsi="宋体" w:eastAsia="宋体" w:cs="仿宋"/>
          <w:b w:val="0"/>
          <w:bCs w:val="0"/>
          <w:color w:val="000000"/>
          <w:kern w:val="2"/>
          <w:sz w:val="24"/>
          <w:szCs w:val="24"/>
          <w:highlight w:val="none"/>
          <w:u w:color="000000"/>
          <w:lang w:eastAsia="zh-CN"/>
        </w:rPr>
        <w:t>《</w:t>
      </w:r>
      <w:r>
        <w:rPr>
          <w:rFonts w:hint="eastAsia" w:ascii="宋体" w:hAnsi="宋体" w:eastAsia="宋体" w:cs="仿宋"/>
          <w:b w:val="0"/>
          <w:bCs w:val="0"/>
          <w:color w:val="000000"/>
          <w:kern w:val="2"/>
          <w:sz w:val="24"/>
          <w:szCs w:val="24"/>
          <w:highlight w:val="none"/>
          <w:u w:color="000000"/>
        </w:rPr>
        <w:t>国务院办公厅关于在政府采购中实施本国产品标准及相关政策的通知</w:t>
      </w:r>
      <w:r>
        <w:rPr>
          <w:rFonts w:hint="eastAsia" w:ascii="宋体" w:hAnsi="宋体" w:eastAsia="宋体" w:cs="仿宋"/>
          <w:b w:val="0"/>
          <w:bCs w:val="0"/>
          <w:color w:val="000000"/>
          <w:kern w:val="2"/>
          <w:sz w:val="24"/>
          <w:szCs w:val="24"/>
          <w:highlight w:val="none"/>
          <w:u w:color="000000"/>
          <w:lang w:eastAsia="zh-CN"/>
        </w:rPr>
        <w:t>》</w:t>
      </w:r>
    </w:p>
    <w:p w14:paraId="7025C29F">
      <w:pPr>
        <w:outlineLvl w:val="9"/>
        <w:rPr>
          <w:rFonts w:hint="default"/>
          <w:lang w:val="en-US" w:eastAsia="zh-CN"/>
        </w:rPr>
      </w:pPr>
    </w:p>
    <w:p w14:paraId="23E5DBD0">
      <w:pPr>
        <w:rPr>
          <w:rFonts w:hint="eastAsia" w:ascii="宋体" w:hAnsi="宋体" w:cs="仿宋"/>
          <w:b/>
          <w:bCs/>
          <w:kern w:val="2"/>
          <w:sz w:val="24"/>
          <w:szCs w:val="24"/>
          <w:highlight w:val="none"/>
        </w:rPr>
      </w:pPr>
      <w:r>
        <w:rPr>
          <w:rFonts w:hint="eastAsia" w:ascii="宋体" w:hAnsi="宋体" w:cs="仿宋"/>
          <w:b/>
          <w:bCs/>
          <w:kern w:val="2"/>
          <w:sz w:val="24"/>
          <w:szCs w:val="24"/>
          <w:highlight w:val="none"/>
        </w:rPr>
        <w:br w:type="page"/>
      </w:r>
    </w:p>
    <w:p w14:paraId="76916D1C">
      <w:pPr>
        <w:keepNext/>
        <w:keepLines/>
        <w:pageBreakBefore w:val="0"/>
        <w:widowControl w:val="0"/>
        <w:wordWrap/>
        <w:overflowPunct/>
        <w:bidi w:val="0"/>
        <w:spacing w:before="260" w:after="260" w:line="360" w:lineRule="auto"/>
        <w:jc w:val="center"/>
        <w:textAlignment w:val="auto"/>
        <w:outlineLvl w:val="1"/>
        <w:rPr>
          <w:rFonts w:ascii="宋体" w:hAnsi="宋体" w:cs="仿宋"/>
          <w:b/>
          <w:bCs/>
          <w:kern w:val="2"/>
          <w:sz w:val="24"/>
          <w:szCs w:val="24"/>
          <w:highlight w:val="none"/>
        </w:rPr>
      </w:pPr>
      <w:bookmarkStart w:id="277" w:name="_Toc13524"/>
      <w:r>
        <w:rPr>
          <w:rFonts w:hint="eastAsia" w:ascii="宋体" w:hAnsi="宋体" w:cs="仿宋"/>
          <w:b/>
          <w:bCs/>
          <w:kern w:val="2"/>
          <w:sz w:val="24"/>
          <w:szCs w:val="24"/>
          <w:highlight w:val="none"/>
        </w:rPr>
        <w:t>八、其他资料</w:t>
      </w:r>
      <w:bookmarkEnd w:id="277"/>
    </w:p>
    <w:p w14:paraId="4413C1C9">
      <w:pPr>
        <w:pageBreakBefore w:val="0"/>
        <w:wordWrap/>
        <w:overflowPunct/>
        <w:bidi w:val="0"/>
        <w:spacing w:line="360" w:lineRule="auto"/>
        <w:ind w:firstLine="520" w:firstLineChars="216"/>
        <w:textAlignment w:val="auto"/>
        <w:rPr>
          <w:rFonts w:ascii="宋体" w:hAnsi="宋体" w:cs="仿宋"/>
          <w:b/>
          <w:bCs/>
          <w:kern w:val="2"/>
          <w:sz w:val="24"/>
          <w:szCs w:val="24"/>
          <w:highlight w:val="none"/>
        </w:rPr>
      </w:pPr>
    </w:p>
    <w:p w14:paraId="44FE042D">
      <w:pPr>
        <w:pageBreakBefore w:val="0"/>
        <w:wordWrap/>
        <w:overflowPunct/>
        <w:bidi w:val="0"/>
        <w:spacing w:line="360" w:lineRule="auto"/>
        <w:ind w:firstLine="520" w:firstLineChars="216"/>
        <w:jc w:val="both"/>
        <w:textAlignment w:val="auto"/>
        <w:rPr>
          <w:rFonts w:ascii="宋体" w:hAnsi="宋体" w:cs="仿宋"/>
          <w:b/>
          <w:bCs/>
          <w:kern w:val="2"/>
          <w:sz w:val="24"/>
          <w:szCs w:val="24"/>
          <w:highlight w:val="none"/>
        </w:rPr>
      </w:pPr>
    </w:p>
    <w:p w14:paraId="5FF3091D">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09B1846A">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7A31990A">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5BC92039">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4DE613D5">
      <w:pPr>
        <w:pageBreakBefore w:val="0"/>
        <w:wordWrap/>
        <w:overflowPunct/>
        <w:bidi w:val="0"/>
        <w:spacing w:line="360" w:lineRule="auto"/>
        <w:ind w:firstLine="520" w:firstLineChars="216"/>
        <w:textAlignment w:val="auto"/>
        <w:rPr>
          <w:rFonts w:ascii="宋体" w:hAnsi="宋体" w:cs="仿宋"/>
          <w:b/>
          <w:bCs/>
          <w:kern w:val="2"/>
          <w:sz w:val="24"/>
          <w:szCs w:val="24"/>
          <w:highlight w:val="none"/>
        </w:rPr>
      </w:pPr>
    </w:p>
    <w:p w14:paraId="0E93A627">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5159DC7E">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7F6C9BB2">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049DF846">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3B4A4B9A">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2C43394D">
      <w:pPr>
        <w:pageBreakBefore w:val="0"/>
        <w:wordWrap/>
        <w:overflowPunct/>
        <w:bidi w:val="0"/>
        <w:spacing w:line="360" w:lineRule="auto"/>
        <w:ind w:firstLine="520" w:firstLineChars="216"/>
        <w:jc w:val="center"/>
        <w:textAlignment w:val="auto"/>
        <w:rPr>
          <w:rFonts w:ascii="宋体" w:hAnsi="宋体" w:cs="仿宋"/>
          <w:b/>
          <w:bCs/>
          <w:kern w:val="2"/>
          <w:sz w:val="24"/>
          <w:szCs w:val="24"/>
          <w:highlight w:val="none"/>
        </w:rPr>
      </w:pPr>
    </w:p>
    <w:p w14:paraId="29F9F718">
      <w:pPr>
        <w:pageBreakBefore w:val="0"/>
        <w:wordWrap/>
        <w:overflowPunct/>
        <w:bidi w:val="0"/>
        <w:spacing w:line="360" w:lineRule="auto"/>
        <w:rPr>
          <w:rFonts w:ascii="宋体" w:hAnsi="宋体"/>
          <w:sz w:val="24"/>
          <w:szCs w:val="24"/>
          <w:highlight w:val="none"/>
        </w:rPr>
      </w:pPr>
    </w:p>
    <w:bookmarkEnd w:id="247"/>
    <w:bookmarkEnd w:id="248"/>
    <w:bookmarkEnd w:id="249"/>
    <w:bookmarkEnd w:id="250"/>
    <w:p w14:paraId="75892F6E">
      <w:pPr>
        <w:pageBreakBefore w:val="0"/>
        <w:wordWrap/>
        <w:overflowPunct/>
        <w:bidi w:val="0"/>
        <w:spacing w:line="360" w:lineRule="auto"/>
        <w:jc w:val="left"/>
        <w:textAlignment w:val="auto"/>
        <w:rPr>
          <w:rFonts w:ascii="宋体" w:hAnsi="宋体" w:cstheme="majorBidi"/>
          <w:b/>
          <w:bCs/>
          <w:sz w:val="24"/>
          <w:szCs w:val="24"/>
          <w:highlight w:val="none"/>
        </w:rPr>
      </w:pPr>
    </w:p>
    <w:p w14:paraId="2AED7564">
      <w:pPr>
        <w:pageBreakBefore w:val="0"/>
        <w:wordWrap/>
        <w:overflowPunct/>
        <w:bidi w:val="0"/>
        <w:spacing w:line="360" w:lineRule="auto"/>
        <w:rPr>
          <w:sz w:val="24"/>
          <w:szCs w:val="24"/>
          <w:highlight w:val="none"/>
        </w:rPr>
      </w:pPr>
    </w:p>
    <w:sectPr>
      <w:headerReference r:id="rId12" w:type="default"/>
      <w:footerReference r:id="rId13"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67154">
    <w:pPr>
      <w:pStyle w:val="10"/>
      <w:ind w:right="360"/>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F241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14316">
    <w:pPr>
      <w:pStyle w:val="10"/>
      <w:ind w:right="360"/>
      <w:jc w:val="right"/>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BB855">
    <w:pPr>
      <w:pStyle w:val="10"/>
      <w:ind w:right="360"/>
      <w:jc w:val="right"/>
      <w:rPr>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1044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01044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5EF2">
    <w:pPr>
      <w:pStyle w:val="10"/>
      <w:ind w:right="360"/>
      <w:jc w:val="right"/>
      <w:rPr>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8D3EE">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F8D3EE">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AE0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7192">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C01D">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5F7B">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zYmZjZTI4ZTVjOWFhYjFiYzEzNmI5ZTNhODYxZjYifQ=="/>
  </w:docVars>
  <w:rsids>
    <w:rsidRoot w:val="1AA553CD"/>
    <w:rsid w:val="00005402"/>
    <w:rsid w:val="00035763"/>
    <w:rsid w:val="000E7570"/>
    <w:rsid w:val="000F0660"/>
    <w:rsid w:val="00117FA3"/>
    <w:rsid w:val="00121282"/>
    <w:rsid w:val="002012C6"/>
    <w:rsid w:val="002A54E0"/>
    <w:rsid w:val="002B3D6A"/>
    <w:rsid w:val="0036276D"/>
    <w:rsid w:val="00364618"/>
    <w:rsid w:val="0043360D"/>
    <w:rsid w:val="004A43C5"/>
    <w:rsid w:val="0052270F"/>
    <w:rsid w:val="005350C1"/>
    <w:rsid w:val="0055456C"/>
    <w:rsid w:val="005F4E5C"/>
    <w:rsid w:val="0070064F"/>
    <w:rsid w:val="00791DD1"/>
    <w:rsid w:val="00803A8D"/>
    <w:rsid w:val="00825175"/>
    <w:rsid w:val="008312A9"/>
    <w:rsid w:val="0092020B"/>
    <w:rsid w:val="009A6410"/>
    <w:rsid w:val="00A166BE"/>
    <w:rsid w:val="00A450E2"/>
    <w:rsid w:val="00A67A5E"/>
    <w:rsid w:val="00AE2F5D"/>
    <w:rsid w:val="00AE4EB0"/>
    <w:rsid w:val="00B22BA0"/>
    <w:rsid w:val="00B24D0B"/>
    <w:rsid w:val="00BE11FC"/>
    <w:rsid w:val="00D2105B"/>
    <w:rsid w:val="00D9156D"/>
    <w:rsid w:val="00E10866"/>
    <w:rsid w:val="00F212B1"/>
    <w:rsid w:val="01F71198"/>
    <w:rsid w:val="02866093"/>
    <w:rsid w:val="034F11C2"/>
    <w:rsid w:val="045A02BB"/>
    <w:rsid w:val="04657662"/>
    <w:rsid w:val="052676B9"/>
    <w:rsid w:val="08291244"/>
    <w:rsid w:val="0933272C"/>
    <w:rsid w:val="0A5E7591"/>
    <w:rsid w:val="0B021798"/>
    <w:rsid w:val="0B077208"/>
    <w:rsid w:val="0B7078E0"/>
    <w:rsid w:val="0BFC73C5"/>
    <w:rsid w:val="0D052917"/>
    <w:rsid w:val="0D1F511A"/>
    <w:rsid w:val="0D316013"/>
    <w:rsid w:val="0DF30354"/>
    <w:rsid w:val="0E1B7FD7"/>
    <w:rsid w:val="0EA004DC"/>
    <w:rsid w:val="0EBA3114"/>
    <w:rsid w:val="0EED18CB"/>
    <w:rsid w:val="0FEF1347"/>
    <w:rsid w:val="1170003C"/>
    <w:rsid w:val="117E4C7D"/>
    <w:rsid w:val="118E0AC0"/>
    <w:rsid w:val="119105B0"/>
    <w:rsid w:val="11B96EE1"/>
    <w:rsid w:val="12955E7E"/>
    <w:rsid w:val="14DB0297"/>
    <w:rsid w:val="14DE3B0C"/>
    <w:rsid w:val="15875F52"/>
    <w:rsid w:val="16610551"/>
    <w:rsid w:val="16D2144F"/>
    <w:rsid w:val="17656475"/>
    <w:rsid w:val="17C3523B"/>
    <w:rsid w:val="17CB11FF"/>
    <w:rsid w:val="18DE057F"/>
    <w:rsid w:val="191E6BCD"/>
    <w:rsid w:val="19C37774"/>
    <w:rsid w:val="19CC3D81"/>
    <w:rsid w:val="1A953286"/>
    <w:rsid w:val="1A9735BD"/>
    <w:rsid w:val="1AA553CD"/>
    <w:rsid w:val="1B0E2C71"/>
    <w:rsid w:val="1B510A4C"/>
    <w:rsid w:val="1C280BA3"/>
    <w:rsid w:val="1F5C21FD"/>
    <w:rsid w:val="1FA63478"/>
    <w:rsid w:val="1FC3402A"/>
    <w:rsid w:val="21BF6A73"/>
    <w:rsid w:val="22543660"/>
    <w:rsid w:val="23696C97"/>
    <w:rsid w:val="23C1435E"/>
    <w:rsid w:val="24EA2776"/>
    <w:rsid w:val="27457A1B"/>
    <w:rsid w:val="277D71B5"/>
    <w:rsid w:val="28002B34"/>
    <w:rsid w:val="28E5239B"/>
    <w:rsid w:val="296E3ECC"/>
    <w:rsid w:val="2A7E7162"/>
    <w:rsid w:val="2AA66A22"/>
    <w:rsid w:val="2B9B22FF"/>
    <w:rsid w:val="2C695F59"/>
    <w:rsid w:val="2C752B50"/>
    <w:rsid w:val="2DBD0F67"/>
    <w:rsid w:val="2E625356"/>
    <w:rsid w:val="2E7B4A3B"/>
    <w:rsid w:val="2E81758A"/>
    <w:rsid w:val="30006BD5"/>
    <w:rsid w:val="300736EE"/>
    <w:rsid w:val="302F1268"/>
    <w:rsid w:val="30AF3584"/>
    <w:rsid w:val="30F027A5"/>
    <w:rsid w:val="30FF4A17"/>
    <w:rsid w:val="31661DFE"/>
    <w:rsid w:val="31A83080"/>
    <w:rsid w:val="31C53C32"/>
    <w:rsid w:val="31E71DFA"/>
    <w:rsid w:val="34BB4245"/>
    <w:rsid w:val="3529097C"/>
    <w:rsid w:val="36F079A3"/>
    <w:rsid w:val="36F32FEF"/>
    <w:rsid w:val="393C6ED0"/>
    <w:rsid w:val="39B22BF9"/>
    <w:rsid w:val="3B2B1941"/>
    <w:rsid w:val="3BBB7E54"/>
    <w:rsid w:val="3D1E4B3E"/>
    <w:rsid w:val="3DE511B8"/>
    <w:rsid w:val="3E29379B"/>
    <w:rsid w:val="3E5C39B1"/>
    <w:rsid w:val="3EE3652B"/>
    <w:rsid w:val="3FFD63CE"/>
    <w:rsid w:val="422449A5"/>
    <w:rsid w:val="42E859D2"/>
    <w:rsid w:val="447F4942"/>
    <w:rsid w:val="44BA514C"/>
    <w:rsid w:val="44FE2B52"/>
    <w:rsid w:val="452B1BA6"/>
    <w:rsid w:val="4608065B"/>
    <w:rsid w:val="479853E0"/>
    <w:rsid w:val="47E47AE6"/>
    <w:rsid w:val="495C67D2"/>
    <w:rsid w:val="49731D6E"/>
    <w:rsid w:val="4A0250DD"/>
    <w:rsid w:val="4A6242BC"/>
    <w:rsid w:val="4AEB42B2"/>
    <w:rsid w:val="4BAD6136"/>
    <w:rsid w:val="4D1C536A"/>
    <w:rsid w:val="4D267335"/>
    <w:rsid w:val="4D304017"/>
    <w:rsid w:val="4E5C7274"/>
    <w:rsid w:val="4F581721"/>
    <w:rsid w:val="4FF67FD8"/>
    <w:rsid w:val="50593A6B"/>
    <w:rsid w:val="518014CC"/>
    <w:rsid w:val="51C70EA9"/>
    <w:rsid w:val="529D767D"/>
    <w:rsid w:val="542B74B9"/>
    <w:rsid w:val="55674E7D"/>
    <w:rsid w:val="56150435"/>
    <w:rsid w:val="561F5757"/>
    <w:rsid w:val="567A298E"/>
    <w:rsid w:val="56CE6835"/>
    <w:rsid w:val="575256B8"/>
    <w:rsid w:val="57C00874"/>
    <w:rsid w:val="57C73909"/>
    <w:rsid w:val="59653481"/>
    <w:rsid w:val="59B21ECD"/>
    <w:rsid w:val="59DB1995"/>
    <w:rsid w:val="5A767910"/>
    <w:rsid w:val="5A951EBD"/>
    <w:rsid w:val="5AB20948"/>
    <w:rsid w:val="5AB75F5E"/>
    <w:rsid w:val="5AE526EC"/>
    <w:rsid w:val="5B8F2A37"/>
    <w:rsid w:val="5DB27EFF"/>
    <w:rsid w:val="5EB65CF3"/>
    <w:rsid w:val="5FEF619A"/>
    <w:rsid w:val="61003B83"/>
    <w:rsid w:val="61104D09"/>
    <w:rsid w:val="61E33ADD"/>
    <w:rsid w:val="62516C98"/>
    <w:rsid w:val="626E202B"/>
    <w:rsid w:val="6280048F"/>
    <w:rsid w:val="62DE6052"/>
    <w:rsid w:val="63AB23D8"/>
    <w:rsid w:val="64090909"/>
    <w:rsid w:val="64DD0CB7"/>
    <w:rsid w:val="653308D7"/>
    <w:rsid w:val="654C1999"/>
    <w:rsid w:val="66260253"/>
    <w:rsid w:val="6692787F"/>
    <w:rsid w:val="67163939"/>
    <w:rsid w:val="687306F3"/>
    <w:rsid w:val="68D72ABF"/>
    <w:rsid w:val="69763488"/>
    <w:rsid w:val="6A0C5F58"/>
    <w:rsid w:val="6A7F45BF"/>
    <w:rsid w:val="6AA35BA4"/>
    <w:rsid w:val="6C291280"/>
    <w:rsid w:val="6C546D7A"/>
    <w:rsid w:val="6C9C1458"/>
    <w:rsid w:val="6D8C43F2"/>
    <w:rsid w:val="6FAA79E8"/>
    <w:rsid w:val="70221C74"/>
    <w:rsid w:val="71A47A91"/>
    <w:rsid w:val="71DE6EED"/>
    <w:rsid w:val="71F907B3"/>
    <w:rsid w:val="726D3BA4"/>
    <w:rsid w:val="72D74F98"/>
    <w:rsid w:val="72E444A2"/>
    <w:rsid w:val="73610D05"/>
    <w:rsid w:val="7382389A"/>
    <w:rsid w:val="74E920C5"/>
    <w:rsid w:val="754347CE"/>
    <w:rsid w:val="75C67548"/>
    <w:rsid w:val="76165DD7"/>
    <w:rsid w:val="76A35191"/>
    <w:rsid w:val="76F61F97"/>
    <w:rsid w:val="777059BB"/>
    <w:rsid w:val="77EF15AD"/>
    <w:rsid w:val="797C23F5"/>
    <w:rsid w:val="79D55FA9"/>
    <w:rsid w:val="7A3251AA"/>
    <w:rsid w:val="7A5507DB"/>
    <w:rsid w:val="7AEF4E49"/>
    <w:rsid w:val="7B510CAA"/>
    <w:rsid w:val="7B6C31EB"/>
    <w:rsid w:val="7BD9715F"/>
    <w:rsid w:val="7C5F7DAC"/>
    <w:rsid w:val="7D584367"/>
    <w:rsid w:val="7E231E83"/>
    <w:rsid w:val="7E971A7F"/>
    <w:rsid w:val="7EAB1087"/>
    <w:rsid w:val="7F3E014D"/>
    <w:rsid w:val="7F63160A"/>
    <w:rsid w:val="7FF73521"/>
    <w:rsid w:val="7FFD5912"/>
    <w:rsid w:val="B6C5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qFormat/>
    <w:uiPriority w:val="0"/>
    <w:pPr>
      <w:keepNext/>
      <w:keepLines/>
      <w:widowControl w:val="0"/>
      <w:spacing w:before="340" w:after="330" w:line="578" w:lineRule="auto"/>
      <w:textAlignment w:val="auto"/>
      <w:outlineLvl w:val="0"/>
    </w:pPr>
    <w:rPr>
      <w:b/>
      <w:bCs/>
      <w:color w:val="auto"/>
      <w:kern w:val="44"/>
      <w:sz w:val="44"/>
      <w:szCs w:val="44"/>
    </w:rPr>
  </w:style>
  <w:style w:type="paragraph" w:styleId="4">
    <w:name w:val="heading 2"/>
    <w:basedOn w:val="1"/>
    <w:next w:val="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b/>
      <w:kern w:val="2"/>
      <w:sz w:val="24"/>
    </w:rPr>
  </w:style>
  <w:style w:type="paragraph" w:styleId="6">
    <w:name w:val="heading 4"/>
    <w:basedOn w:val="1"/>
    <w:next w:val="1"/>
    <w:qFormat/>
    <w:uiPriority w:val="1"/>
    <w:pPr>
      <w:ind w:left="2558" w:right="5204" w:firstLine="28"/>
      <w:outlineLvl w:val="3"/>
    </w:pPr>
    <w:rPr>
      <w:rFonts w:ascii="微软雅黑" w:hAnsi="微软雅黑" w:eastAsia="微软雅黑" w:cs="微软雅黑"/>
      <w:b/>
      <w:bCs/>
      <w:szCs w:val="28"/>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 w:val="20"/>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99"/>
    <w:rPr>
      <w:rFonts w:ascii="宋体" w:hAnsi="Courier New" w:eastAsia="仿宋_GB2312"/>
      <w:kern w:val="2"/>
      <w:sz w:val="30"/>
      <w:szCs w:val="22"/>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link w:val="28"/>
    <w:unhideWhenUsed/>
    <w:qFormat/>
    <w:uiPriority w:val="99"/>
    <w:pPr>
      <w:widowControl w:val="0"/>
      <w:tabs>
        <w:tab w:val="center" w:pos="4153"/>
        <w:tab w:val="right" w:pos="8306"/>
      </w:tabs>
      <w:snapToGrid w:val="0"/>
      <w:spacing w:line="240" w:lineRule="auto"/>
      <w:jc w:val="left"/>
      <w:textAlignment w:val="auto"/>
    </w:pPr>
    <w:rPr>
      <w:rFonts w:ascii="Calibri" w:hAnsi="Calibri"/>
      <w:color w:val="auto"/>
      <w:kern w:val="2"/>
      <w:sz w:val="18"/>
      <w:szCs w:val="18"/>
    </w:rPr>
  </w:style>
  <w:style w:type="paragraph" w:styleId="11">
    <w:name w:val="header"/>
    <w:basedOn w:val="1"/>
    <w:unhideWhenUsed/>
    <w:qFormat/>
    <w:uiPriority w:val="99"/>
    <w:pPr>
      <w:widowControl w:val="0"/>
      <w:pBdr>
        <w:bottom w:val="single" w:color="auto" w:sz="6" w:space="1"/>
      </w:pBdr>
      <w:tabs>
        <w:tab w:val="center" w:pos="4153"/>
        <w:tab w:val="right" w:pos="8306"/>
      </w:tabs>
      <w:snapToGrid w:val="0"/>
      <w:spacing w:line="240" w:lineRule="auto"/>
      <w:jc w:val="center"/>
      <w:textAlignment w:val="auto"/>
    </w:pPr>
    <w:rPr>
      <w:rFonts w:ascii="Calibri" w:hAnsi="Calibri"/>
      <w:color w:val="auto"/>
      <w:kern w:val="2"/>
      <w:sz w:val="18"/>
      <w:szCs w:val="18"/>
    </w:rPr>
  </w:style>
  <w:style w:type="paragraph" w:styleId="12">
    <w:name w:val="toc 1"/>
    <w:basedOn w:val="1"/>
    <w:next w:val="1"/>
    <w:unhideWhenUsed/>
    <w:qFormat/>
    <w:uiPriority w:val="39"/>
  </w:style>
  <w:style w:type="paragraph" w:styleId="13">
    <w:name w:val="toc 2"/>
    <w:basedOn w:val="1"/>
    <w:next w:val="1"/>
    <w:qFormat/>
    <w:uiPriority w:val="0"/>
    <w:pPr>
      <w:ind w:left="420" w:leftChars="200"/>
    </w:pPr>
  </w:style>
  <w:style w:type="paragraph" w:styleId="14">
    <w:name w:val="Body Text 2"/>
    <w:basedOn w:val="1"/>
    <w:next w:val="8"/>
    <w:qFormat/>
    <w:uiPriority w:val="0"/>
    <w:pPr>
      <w:spacing w:line="480" w:lineRule="auto"/>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semiHidden/>
    <w:unhideWhenUsed/>
    <w:qFormat/>
    <w:uiPriority w:val="99"/>
    <w:pPr>
      <w:ind w:firstLine="420" w:firstLineChars="200"/>
    </w:pPr>
    <w:rPr>
      <w:kern w:val="2"/>
      <w:szCs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none"/>
    </w:rPr>
  </w:style>
  <w:style w:type="paragraph" w:customStyle="1" w:styleId="21">
    <w:name w:val="cjk"/>
    <w:basedOn w:val="1"/>
    <w:qFormat/>
    <w:uiPriority w:val="0"/>
    <w:pPr>
      <w:spacing w:beforeAutospacing="1" w:afterAutospacing="1"/>
      <w:jc w:val="left"/>
    </w:pPr>
    <w:rPr>
      <w:rFonts w:hint="eastAsia" w:ascii="宋体" w:hAnsi="宋体"/>
      <w:sz w:val="24"/>
    </w:rPr>
  </w:style>
  <w:style w:type="paragraph" w:customStyle="1" w:styleId="22">
    <w:name w:val="Default"/>
    <w:next w:val="1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Table Paragraph"/>
    <w:basedOn w:val="1"/>
    <w:qFormat/>
    <w:uiPriority w:val="1"/>
    <w:rPr>
      <w:rFonts w:ascii="宋体" w:hAnsi="宋体" w:cs="宋体"/>
      <w:lang w:val="zh-CN" w:bidi="zh-CN"/>
    </w:rPr>
  </w:style>
  <w:style w:type="paragraph" w:customStyle="1" w:styleId="24">
    <w:name w:val="样式 标题 3 + (中文) 黑体 小四 非加粗 段前: 7.8 磅 段后: 0 磅 行距: 固定值 20 磅"/>
    <w:basedOn w:val="5"/>
    <w:qFormat/>
    <w:uiPriority w:val="0"/>
    <w:pPr>
      <w:keepNext/>
      <w:keepLines/>
      <w:widowControl w:val="0"/>
      <w:autoSpaceDE/>
      <w:autoSpaceDN/>
      <w:adjustRightInd/>
      <w:spacing w:before="0" w:line="400" w:lineRule="exact"/>
      <w:jc w:val="both"/>
      <w:textAlignment w:val="auto"/>
    </w:pPr>
    <w:rPr>
      <w:rFonts w:ascii="Times New Roman" w:eastAsia="黑体" w:cs="宋体"/>
      <w:b w:val="0"/>
      <w:color w:val="auto"/>
    </w:rPr>
  </w:style>
  <w:style w:type="paragraph" w:customStyle="1" w:styleId="25">
    <w:name w:val="_Style 18"/>
    <w:basedOn w:val="1"/>
    <w:next w:val="26"/>
    <w:qFormat/>
    <w:uiPriority w:val="34"/>
    <w:pPr>
      <w:widowControl w:val="0"/>
      <w:spacing w:line="500" w:lineRule="exact"/>
      <w:ind w:firstLine="420" w:firstLineChars="200"/>
      <w:textAlignment w:val="auto"/>
    </w:pPr>
    <w:rPr>
      <w:color w:val="auto"/>
      <w:kern w:val="2"/>
      <w:sz w:val="24"/>
    </w:rPr>
  </w:style>
  <w:style w:type="paragraph" w:styleId="26">
    <w:name w:val="List Paragraph"/>
    <w:basedOn w:val="1"/>
    <w:qFormat/>
    <w:uiPriority w:val="34"/>
    <w:pPr>
      <w:ind w:firstLine="420" w:firstLineChars="200"/>
    </w:pPr>
  </w:style>
  <w:style w:type="paragraph" w:customStyle="1" w:styleId="27">
    <w:name w:val="my正文"/>
    <w:basedOn w:val="1"/>
    <w:qFormat/>
    <w:uiPriority w:val="0"/>
    <w:pPr>
      <w:widowControl w:val="0"/>
      <w:spacing w:line="360" w:lineRule="auto"/>
      <w:ind w:firstLine="480" w:firstLineChars="200"/>
      <w:textAlignment w:val="auto"/>
    </w:pPr>
    <w:rPr>
      <w:color w:val="auto"/>
      <w:kern w:val="2"/>
      <w:szCs w:val="24"/>
    </w:rPr>
  </w:style>
  <w:style w:type="character" w:customStyle="1" w:styleId="28">
    <w:name w:val="页脚 字符"/>
    <w:basedOn w:val="19"/>
    <w:link w:val="10"/>
    <w:qFormat/>
    <w:uiPriority w:val="99"/>
    <w:rPr>
      <w:rFonts w:ascii="Calibri" w:hAnsi="Calibri" w:eastAsia="宋体" w:cs="Times New Roman"/>
      <w:kern w:val="2"/>
      <w:sz w:val="18"/>
      <w:szCs w:val="18"/>
      <w:u w:color="000000"/>
    </w:r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23252</Words>
  <Characters>25651</Characters>
  <Lines>176</Lines>
  <Paragraphs>49</Paragraphs>
  <TotalTime>34</TotalTime>
  <ScaleCrop>false</ScaleCrop>
  <LinksUpToDate>false</LinksUpToDate>
  <CharactersWithSpaces>27038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2024-02-29T09:45:00Z</dcterms:created>
  <dc:creator>姚顺</dc:creator>
  <cp:lastModifiedBy>小磊子</cp:lastModifiedBy>
  <dcterms:modified xsi:type="dcterms:W3CDTF">2026-04-15T01:38:14Z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0523EAEBEEA849208DDEE3F4E8983837_13</vt:lpwstr>
  </property>
  <property fmtid="{D5CDD505-2E9C-101B-9397-08002B2CF9AE}" pid="4" name="KSOTemplateDocerSaveRecord">
    <vt:lpwstr>eyJoZGlkIjoiMDY3YmE2MmEzZGMwN2ViZTM0ODQ4M2I2ZGM5ODFhMjkiLCJ1c2VySWQiOiIxMTA1MTM5ODgyIn0=</vt:lpwstr>
  </property>
</Properties>
</file>