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A50C3">
      <w:pPr>
        <w:rPr>
          <w:rFonts w:hint="eastAsia" w:ascii="宋体" w:hAnsi="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val="en-US" w:eastAsia="zh-CN" w:bidi="ar"/>
        </w:rPr>
        <w:drawing>
          <wp:inline distT="0" distB="0" distL="114300" distR="114300">
            <wp:extent cx="6163945" cy="8714740"/>
            <wp:effectExtent l="0" t="0" r="8255" b="2540"/>
            <wp:docPr id="5" name="图片 5" descr="设计磋商文件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设计磋商文件_01"/>
                    <pic:cNvPicPr>
                      <a:picLocks noChangeAspect="1"/>
                    </pic:cNvPicPr>
                  </pic:nvPicPr>
                  <pic:blipFill>
                    <a:blip r:embed="rId8"/>
                    <a:stretch>
                      <a:fillRect/>
                    </a:stretch>
                  </pic:blipFill>
                  <pic:spPr>
                    <a:xfrm>
                      <a:off x="0" y="0"/>
                      <a:ext cx="6163945" cy="8714740"/>
                    </a:xfrm>
                    <a:prstGeom prst="rect">
                      <a:avLst/>
                    </a:prstGeom>
                  </pic:spPr>
                </pic:pic>
              </a:graphicData>
            </a:graphic>
          </wp:inline>
        </w:drawing>
      </w:r>
      <w:r>
        <w:rPr>
          <w:rFonts w:hint="eastAsia" w:ascii="宋体" w:hAnsi="宋体" w:cs="宋体"/>
          <w:b/>
          <w:bCs/>
          <w:color w:val="auto"/>
          <w:kern w:val="0"/>
          <w:sz w:val="52"/>
          <w:szCs w:val="52"/>
          <w:highlight w:val="none"/>
          <w:lang w:val="en-US" w:eastAsia="zh-CN" w:bidi="ar"/>
        </w:rPr>
        <w:br w:type="page"/>
      </w:r>
    </w:p>
    <w:p w14:paraId="6F18DB16">
      <w:pPr>
        <w:rPr>
          <w:rFonts w:hint="eastAsia" w:ascii="宋体" w:hAnsi="宋体" w:cs="宋体"/>
          <w:b/>
          <w:bCs/>
          <w:color w:val="auto"/>
          <w:kern w:val="0"/>
          <w:sz w:val="52"/>
          <w:szCs w:val="52"/>
          <w:highlight w:val="none"/>
          <w:lang w:val="en-US" w:eastAsia="zh-CN" w:bidi="ar"/>
        </w:rPr>
      </w:pPr>
      <w:bookmarkStart w:id="53" w:name="_GoBack"/>
      <w:bookmarkEnd w:id="53"/>
    </w:p>
    <w:p w14:paraId="09D84087">
      <w:pPr>
        <w:keepNext w:val="0"/>
        <w:keepLines w:val="0"/>
        <w:widowControl/>
        <w:suppressLineNumbers w:val="0"/>
        <w:jc w:val="center"/>
        <w:rPr>
          <w:rFonts w:hint="eastAsia" w:ascii="宋体" w:hAnsi="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val="en-US" w:eastAsia="zh-CN" w:bidi="ar"/>
        </w:rPr>
        <w:t>义马市城乡物流服务体系建设项目设计服务项目(义马市客货邮一体化分拨中心)</w:t>
      </w:r>
    </w:p>
    <w:p w14:paraId="6B926DC5">
      <w:pPr>
        <w:keepNext w:val="0"/>
        <w:keepLines w:val="0"/>
        <w:widowControl/>
        <w:suppressLineNumbers w:val="0"/>
        <w:jc w:val="center"/>
        <w:rPr>
          <w:rFonts w:hint="eastAsia" w:ascii="宋体" w:hAnsi="宋体" w:cs="宋体"/>
          <w:b/>
          <w:bCs/>
          <w:color w:val="auto"/>
          <w:kern w:val="0"/>
          <w:sz w:val="56"/>
          <w:szCs w:val="56"/>
          <w:highlight w:val="none"/>
          <w:lang w:val="en-US" w:eastAsia="zh-CN" w:bidi="ar"/>
        </w:rPr>
      </w:pPr>
    </w:p>
    <w:p w14:paraId="3365A759">
      <w:pPr>
        <w:keepNext w:val="0"/>
        <w:keepLines w:val="0"/>
        <w:widowControl/>
        <w:suppressLineNumbers w:val="0"/>
        <w:jc w:val="center"/>
        <w:rPr>
          <w:rFonts w:hint="eastAsia" w:ascii="宋体" w:hAnsi="宋体" w:cs="宋体"/>
          <w:b/>
          <w:bCs/>
          <w:color w:val="auto"/>
          <w:kern w:val="0"/>
          <w:sz w:val="56"/>
          <w:szCs w:val="56"/>
          <w:highlight w:val="none"/>
          <w:lang w:val="en-US" w:eastAsia="zh-CN" w:bidi="ar"/>
        </w:rPr>
      </w:pPr>
    </w:p>
    <w:p w14:paraId="4B691126">
      <w:pPr>
        <w:keepNext w:val="0"/>
        <w:keepLines w:val="0"/>
        <w:widowControl/>
        <w:suppressLineNumbers w:val="0"/>
        <w:jc w:val="center"/>
        <w:rPr>
          <w:rFonts w:hint="eastAsia" w:ascii="宋体" w:hAnsi="宋体" w:cs="宋体"/>
          <w:b/>
          <w:bCs/>
          <w:color w:val="auto"/>
          <w:kern w:val="0"/>
          <w:sz w:val="56"/>
          <w:szCs w:val="56"/>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1418A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5F2A22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1C06E85">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62110A1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0E43C016">
      <w:pPr>
        <w:keepNext w:val="0"/>
        <w:keepLines w:val="0"/>
        <w:widowControl/>
        <w:suppressLineNumbers w:val="0"/>
        <w:spacing w:line="360" w:lineRule="auto"/>
        <w:ind w:firstLine="3112" w:firstLineChars="1000"/>
        <w:jc w:val="both"/>
        <w:outlineLvl w:val="9"/>
        <w:rPr>
          <w:rFonts w:hint="default"/>
          <w:color w:val="auto"/>
          <w:highlight w:val="none"/>
          <w:lang w:val="en-US"/>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义马市交通运输局</w:t>
      </w:r>
    </w:p>
    <w:p w14:paraId="4773E74D">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河南昱通工程管理有限公司</w:t>
      </w:r>
    </w:p>
    <w:p w14:paraId="0EF2A78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四</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sdt>
      <w:sdtPr>
        <w:rPr>
          <w:rFonts w:ascii="宋体" w:hAnsi="宋体" w:eastAsia="宋体" w:cs="Times New Roman"/>
          <w:kern w:val="2"/>
          <w:sz w:val="28"/>
          <w:szCs w:val="36"/>
          <w:lang w:val="en-US" w:eastAsia="zh-CN" w:bidi="ar-SA"/>
        </w:rPr>
        <w:id w:val="147464151"/>
        <w15:color w:val="DBDBDB"/>
        <w:docPartObj>
          <w:docPartGallery w:val="Table of Contents"/>
          <w:docPartUnique/>
        </w:docPartObj>
      </w:sdtPr>
      <w:sdtEndPr>
        <w:rPr>
          <w:rFonts w:ascii="宋体" w:hAnsi="宋体" w:eastAsia="宋体" w:cs="宋体"/>
          <w:b/>
          <w:bCs/>
          <w:color w:val="auto"/>
          <w:kern w:val="2"/>
          <w:sz w:val="28"/>
          <w:szCs w:val="28"/>
          <w:highlight w:val="none"/>
          <w:lang w:val="en-US" w:eastAsia="zh-CN" w:bidi="ar-SA"/>
        </w:rPr>
      </w:sdtEndPr>
      <w:sdtContent>
        <w:p w14:paraId="1D9FC006">
          <w:pPr>
            <w:spacing w:before="0" w:beforeLines="0" w:after="0" w:afterLines="0" w:line="240" w:lineRule="auto"/>
            <w:ind w:left="0" w:leftChars="0" w:right="0" w:rightChars="0" w:firstLine="0" w:firstLineChars="0"/>
            <w:jc w:val="center"/>
            <w:rPr>
              <w:sz w:val="28"/>
              <w:szCs w:val="36"/>
            </w:rPr>
          </w:pPr>
          <w:r>
            <w:rPr>
              <w:rFonts w:ascii="宋体" w:hAnsi="宋体" w:eastAsia="宋体"/>
              <w:sz w:val="28"/>
              <w:szCs w:val="36"/>
            </w:rPr>
            <w:t>目录</w:t>
          </w:r>
        </w:p>
        <w:p w14:paraId="0DFFC781">
          <w:pPr>
            <w:pStyle w:val="15"/>
            <w:tabs>
              <w:tab w:val="right" w:leader="dot" w:pos="9026"/>
            </w:tabs>
            <w:spacing w:line="480" w:lineRule="auto"/>
            <w:rPr>
              <w:sz w:val="24"/>
              <w:szCs w:val="32"/>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4"/>
              <w:szCs w:val="32"/>
              <w:highlight w:val="none"/>
            </w:rPr>
            <w:fldChar w:fldCharType="begin"/>
          </w:r>
          <w:r>
            <w:rPr>
              <w:sz w:val="24"/>
              <w:szCs w:val="32"/>
              <w:highlight w:val="none"/>
            </w:rPr>
            <w:instrText xml:space="preserve"> HYPERLINK \l _Toc22092 </w:instrText>
          </w:r>
          <w:r>
            <w:rPr>
              <w:sz w:val="24"/>
              <w:szCs w:val="32"/>
              <w:highlight w:val="none"/>
            </w:rPr>
            <w:fldChar w:fldCharType="separate"/>
          </w:r>
          <w:r>
            <w:rPr>
              <w:sz w:val="24"/>
              <w:szCs w:val="32"/>
              <w:highlight w:val="none"/>
            </w:rPr>
            <w:t>第一章</w:t>
          </w:r>
          <w:r>
            <w:rPr>
              <w:rFonts w:hint="eastAsia"/>
              <w:sz w:val="24"/>
              <w:szCs w:val="32"/>
              <w:highlight w:val="none"/>
              <w:lang w:val="en-US" w:eastAsia="zh-CN"/>
            </w:rPr>
            <w:t xml:space="preserve"> </w:t>
          </w:r>
          <w:r>
            <w:rPr>
              <w:sz w:val="24"/>
              <w:szCs w:val="32"/>
              <w:highlight w:val="none"/>
            </w:rPr>
            <w:t>竞争性磋商公告</w:t>
          </w:r>
          <w:r>
            <w:rPr>
              <w:sz w:val="24"/>
              <w:szCs w:val="32"/>
            </w:rPr>
            <w:tab/>
          </w:r>
          <w:r>
            <w:rPr>
              <w:sz w:val="24"/>
              <w:szCs w:val="32"/>
            </w:rPr>
            <w:fldChar w:fldCharType="begin"/>
          </w:r>
          <w:r>
            <w:rPr>
              <w:sz w:val="24"/>
              <w:szCs w:val="32"/>
            </w:rPr>
            <w:instrText xml:space="preserve"> PAGEREF _Toc22092 \h </w:instrText>
          </w:r>
          <w:r>
            <w:rPr>
              <w:sz w:val="24"/>
              <w:szCs w:val="32"/>
            </w:rPr>
            <w:fldChar w:fldCharType="separate"/>
          </w:r>
          <w:r>
            <w:rPr>
              <w:sz w:val="24"/>
              <w:szCs w:val="32"/>
            </w:rPr>
            <w:t>1</w:t>
          </w:r>
          <w:r>
            <w:rPr>
              <w:sz w:val="24"/>
              <w:szCs w:val="32"/>
            </w:rPr>
            <w:fldChar w:fldCharType="end"/>
          </w:r>
          <w:r>
            <w:rPr>
              <w:color w:val="auto"/>
              <w:sz w:val="24"/>
              <w:szCs w:val="32"/>
              <w:highlight w:val="none"/>
            </w:rPr>
            <w:fldChar w:fldCharType="end"/>
          </w:r>
        </w:p>
        <w:p w14:paraId="168794E9">
          <w:pPr>
            <w:pStyle w:val="15"/>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_Toc11906 </w:instrText>
          </w:r>
          <w:r>
            <w:rPr>
              <w:sz w:val="24"/>
              <w:szCs w:val="32"/>
              <w:highlight w:val="none"/>
            </w:rPr>
            <w:fldChar w:fldCharType="separate"/>
          </w:r>
          <w:r>
            <w:rPr>
              <w:sz w:val="24"/>
              <w:szCs w:val="32"/>
              <w:highlight w:val="none"/>
            </w:rPr>
            <w:t>第二章</w:t>
          </w:r>
          <w:r>
            <w:rPr>
              <w:rFonts w:hint="eastAsia"/>
              <w:sz w:val="24"/>
              <w:szCs w:val="32"/>
              <w:highlight w:val="none"/>
              <w:lang w:val="en-US" w:eastAsia="zh-CN"/>
            </w:rPr>
            <w:t xml:space="preserve"> </w:t>
          </w:r>
          <w:r>
            <w:rPr>
              <w:sz w:val="24"/>
              <w:szCs w:val="32"/>
              <w:highlight w:val="none"/>
            </w:rPr>
            <w:t>供应商须知</w:t>
          </w:r>
          <w:r>
            <w:rPr>
              <w:sz w:val="24"/>
              <w:szCs w:val="32"/>
            </w:rPr>
            <w:tab/>
          </w:r>
          <w:r>
            <w:rPr>
              <w:sz w:val="24"/>
              <w:szCs w:val="32"/>
            </w:rPr>
            <w:fldChar w:fldCharType="begin"/>
          </w:r>
          <w:r>
            <w:rPr>
              <w:sz w:val="24"/>
              <w:szCs w:val="32"/>
            </w:rPr>
            <w:instrText xml:space="preserve"> PAGEREF _Toc11906 \h </w:instrText>
          </w:r>
          <w:r>
            <w:rPr>
              <w:sz w:val="24"/>
              <w:szCs w:val="32"/>
            </w:rPr>
            <w:fldChar w:fldCharType="separate"/>
          </w:r>
          <w:r>
            <w:rPr>
              <w:sz w:val="24"/>
              <w:szCs w:val="32"/>
            </w:rPr>
            <w:t>5</w:t>
          </w:r>
          <w:r>
            <w:rPr>
              <w:sz w:val="24"/>
              <w:szCs w:val="32"/>
            </w:rPr>
            <w:fldChar w:fldCharType="end"/>
          </w:r>
          <w:r>
            <w:rPr>
              <w:color w:val="auto"/>
              <w:sz w:val="24"/>
              <w:szCs w:val="32"/>
              <w:highlight w:val="none"/>
            </w:rPr>
            <w:fldChar w:fldCharType="end"/>
          </w:r>
        </w:p>
        <w:p w14:paraId="72C0D7AE">
          <w:pPr>
            <w:pStyle w:val="15"/>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_Toc14560 </w:instrText>
          </w:r>
          <w:r>
            <w:rPr>
              <w:sz w:val="24"/>
              <w:szCs w:val="32"/>
              <w:highlight w:val="none"/>
            </w:rPr>
            <w:fldChar w:fldCharType="separate"/>
          </w:r>
          <w:r>
            <w:rPr>
              <w:sz w:val="24"/>
              <w:szCs w:val="40"/>
              <w:highlight w:val="none"/>
            </w:rPr>
            <w:t>第三章</w:t>
          </w:r>
          <w:r>
            <w:rPr>
              <w:rFonts w:hint="eastAsia"/>
              <w:sz w:val="24"/>
              <w:szCs w:val="40"/>
              <w:highlight w:val="none"/>
              <w:lang w:val="en-US" w:eastAsia="zh-CN"/>
            </w:rPr>
            <w:t xml:space="preserve"> </w:t>
          </w:r>
          <w:r>
            <w:rPr>
              <w:sz w:val="24"/>
              <w:szCs w:val="40"/>
              <w:highlight w:val="none"/>
            </w:rPr>
            <w:t>评标办法</w:t>
          </w:r>
          <w:r>
            <w:rPr>
              <w:sz w:val="24"/>
              <w:szCs w:val="32"/>
            </w:rPr>
            <w:tab/>
          </w:r>
          <w:r>
            <w:rPr>
              <w:sz w:val="24"/>
              <w:szCs w:val="32"/>
            </w:rPr>
            <w:fldChar w:fldCharType="begin"/>
          </w:r>
          <w:r>
            <w:rPr>
              <w:sz w:val="24"/>
              <w:szCs w:val="32"/>
            </w:rPr>
            <w:instrText xml:space="preserve"> PAGEREF _Toc14560 \h </w:instrText>
          </w:r>
          <w:r>
            <w:rPr>
              <w:sz w:val="24"/>
              <w:szCs w:val="32"/>
            </w:rPr>
            <w:fldChar w:fldCharType="separate"/>
          </w:r>
          <w:r>
            <w:rPr>
              <w:sz w:val="24"/>
              <w:szCs w:val="32"/>
            </w:rPr>
            <w:t>23</w:t>
          </w:r>
          <w:r>
            <w:rPr>
              <w:sz w:val="24"/>
              <w:szCs w:val="32"/>
            </w:rPr>
            <w:fldChar w:fldCharType="end"/>
          </w:r>
          <w:r>
            <w:rPr>
              <w:color w:val="auto"/>
              <w:sz w:val="24"/>
              <w:szCs w:val="32"/>
              <w:highlight w:val="none"/>
            </w:rPr>
            <w:fldChar w:fldCharType="end"/>
          </w:r>
        </w:p>
        <w:p w14:paraId="20DEF6C4">
          <w:pPr>
            <w:pStyle w:val="15"/>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_Toc9396 </w:instrText>
          </w:r>
          <w:r>
            <w:rPr>
              <w:sz w:val="24"/>
              <w:szCs w:val="32"/>
              <w:highlight w:val="none"/>
            </w:rPr>
            <w:fldChar w:fldCharType="separate"/>
          </w:r>
          <w:r>
            <w:rPr>
              <w:rFonts w:hint="eastAsia"/>
              <w:sz w:val="24"/>
              <w:szCs w:val="32"/>
              <w:highlight w:val="none"/>
              <w:lang w:val="en-US" w:eastAsia="zh-CN"/>
            </w:rPr>
            <w:t xml:space="preserve">第四章 </w:t>
          </w:r>
          <w:r>
            <w:rPr>
              <w:rFonts w:hint="eastAsia"/>
              <w:sz w:val="24"/>
              <w:szCs w:val="32"/>
              <w:highlight w:val="none"/>
            </w:rPr>
            <w:t>合同主要条款及格式</w:t>
          </w:r>
          <w:r>
            <w:rPr>
              <w:sz w:val="24"/>
              <w:szCs w:val="32"/>
            </w:rPr>
            <w:tab/>
          </w:r>
          <w:r>
            <w:rPr>
              <w:sz w:val="24"/>
              <w:szCs w:val="32"/>
            </w:rPr>
            <w:fldChar w:fldCharType="begin"/>
          </w:r>
          <w:r>
            <w:rPr>
              <w:sz w:val="24"/>
              <w:szCs w:val="32"/>
            </w:rPr>
            <w:instrText xml:space="preserve"> PAGEREF _Toc9396 \h </w:instrText>
          </w:r>
          <w:r>
            <w:rPr>
              <w:sz w:val="24"/>
              <w:szCs w:val="32"/>
            </w:rPr>
            <w:fldChar w:fldCharType="separate"/>
          </w:r>
          <w:r>
            <w:rPr>
              <w:sz w:val="24"/>
              <w:szCs w:val="32"/>
            </w:rPr>
            <w:t>29</w:t>
          </w:r>
          <w:r>
            <w:rPr>
              <w:sz w:val="24"/>
              <w:szCs w:val="32"/>
            </w:rPr>
            <w:fldChar w:fldCharType="end"/>
          </w:r>
          <w:r>
            <w:rPr>
              <w:color w:val="auto"/>
              <w:sz w:val="24"/>
              <w:szCs w:val="32"/>
              <w:highlight w:val="none"/>
            </w:rPr>
            <w:fldChar w:fldCharType="end"/>
          </w:r>
        </w:p>
        <w:p w14:paraId="5874C40F">
          <w:pPr>
            <w:pStyle w:val="15"/>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_Toc13467 </w:instrText>
          </w:r>
          <w:r>
            <w:rPr>
              <w:sz w:val="24"/>
              <w:szCs w:val="32"/>
              <w:highlight w:val="none"/>
            </w:rPr>
            <w:fldChar w:fldCharType="separate"/>
          </w:r>
          <w:r>
            <w:rPr>
              <w:rFonts w:hint="eastAsia" w:ascii="Calibri" w:hAnsi="Calibri" w:eastAsia="宋体" w:cs="Times New Roman"/>
              <w:kern w:val="2"/>
              <w:sz w:val="24"/>
              <w:szCs w:val="32"/>
              <w:lang w:val="en-US" w:eastAsia="zh-CN" w:bidi="ar-SA"/>
            </w:rPr>
            <w:t>第五章</w:t>
          </w:r>
          <w:r>
            <w:rPr>
              <w:rFonts w:hint="eastAsia" w:cs="Times New Roman"/>
              <w:sz w:val="24"/>
              <w:szCs w:val="32"/>
              <w:highlight w:val="none"/>
              <w:lang w:val="en-US" w:eastAsia="zh-CN"/>
            </w:rPr>
            <w:t xml:space="preserve"> 服务要求</w:t>
          </w:r>
          <w:r>
            <w:rPr>
              <w:sz w:val="24"/>
              <w:szCs w:val="32"/>
            </w:rPr>
            <w:tab/>
          </w:r>
          <w:r>
            <w:rPr>
              <w:sz w:val="24"/>
              <w:szCs w:val="32"/>
            </w:rPr>
            <w:fldChar w:fldCharType="begin"/>
          </w:r>
          <w:r>
            <w:rPr>
              <w:sz w:val="24"/>
              <w:szCs w:val="32"/>
            </w:rPr>
            <w:instrText xml:space="preserve"> PAGEREF _Toc13467 \h </w:instrText>
          </w:r>
          <w:r>
            <w:rPr>
              <w:sz w:val="24"/>
              <w:szCs w:val="32"/>
            </w:rPr>
            <w:fldChar w:fldCharType="separate"/>
          </w:r>
          <w:r>
            <w:rPr>
              <w:sz w:val="24"/>
              <w:szCs w:val="32"/>
            </w:rPr>
            <w:t>37</w:t>
          </w:r>
          <w:r>
            <w:rPr>
              <w:sz w:val="24"/>
              <w:szCs w:val="32"/>
            </w:rPr>
            <w:fldChar w:fldCharType="end"/>
          </w:r>
          <w:r>
            <w:rPr>
              <w:color w:val="auto"/>
              <w:sz w:val="24"/>
              <w:szCs w:val="32"/>
              <w:highlight w:val="none"/>
            </w:rPr>
            <w:fldChar w:fldCharType="end"/>
          </w:r>
        </w:p>
        <w:p w14:paraId="369A5436">
          <w:pPr>
            <w:pStyle w:val="15"/>
            <w:tabs>
              <w:tab w:val="right" w:leader="dot" w:pos="9026"/>
            </w:tabs>
            <w:spacing w:line="480" w:lineRule="auto"/>
          </w:pPr>
          <w:r>
            <w:rPr>
              <w:color w:val="auto"/>
              <w:sz w:val="24"/>
              <w:szCs w:val="32"/>
              <w:highlight w:val="none"/>
            </w:rPr>
            <w:fldChar w:fldCharType="begin"/>
          </w:r>
          <w:r>
            <w:rPr>
              <w:sz w:val="24"/>
              <w:szCs w:val="32"/>
              <w:highlight w:val="none"/>
            </w:rPr>
            <w:instrText xml:space="preserve"> HYPERLINK \l _Toc28209 </w:instrText>
          </w:r>
          <w:r>
            <w:rPr>
              <w:sz w:val="24"/>
              <w:szCs w:val="32"/>
              <w:highlight w:val="none"/>
            </w:rPr>
            <w:fldChar w:fldCharType="separate"/>
          </w:r>
          <w:r>
            <w:rPr>
              <w:rFonts w:hint="eastAsia" w:cs="Times New Roman"/>
              <w:sz w:val="24"/>
              <w:szCs w:val="32"/>
              <w:highlight w:val="none"/>
              <w:lang w:val="en-US" w:eastAsia="zh-CN"/>
            </w:rPr>
            <w:t>第六章 响应文件内容及格式</w:t>
          </w:r>
          <w:r>
            <w:rPr>
              <w:sz w:val="24"/>
              <w:szCs w:val="32"/>
            </w:rPr>
            <w:tab/>
          </w:r>
          <w:r>
            <w:rPr>
              <w:sz w:val="24"/>
              <w:szCs w:val="32"/>
            </w:rPr>
            <w:fldChar w:fldCharType="begin"/>
          </w:r>
          <w:r>
            <w:rPr>
              <w:sz w:val="24"/>
              <w:szCs w:val="32"/>
            </w:rPr>
            <w:instrText xml:space="preserve"> PAGEREF _Toc28209 \h </w:instrText>
          </w:r>
          <w:r>
            <w:rPr>
              <w:sz w:val="24"/>
              <w:szCs w:val="32"/>
            </w:rPr>
            <w:fldChar w:fldCharType="separate"/>
          </w:r>
          <w:r>
            <w:rPr>
              <w:sz w:val="24"/>
              <w:szCs w:val="32"/>
            </w:rPr>
            <w:t>43</w:t>
          </w:r>
          <w:r>
            <w:rPr>
              <w:sz w:val="24"/>
              <w:szCs w:val="32"/>
            </w:rPr>
            <w:fldChar w:fldCharType="end"/>
          </w:r>
          <w:r>
            <w:rPr>
              <w:color w:val="auto"/>
              <w:sz w:val="24"/>
              <w:szCs w:val="32"/>
              <w:highlight w:val="none"/>
            </w:rPr>
            <w:fldChar w:fldCharType="end"/>
          </w:r>
        </w:p>
        <w:p w14:paraId="569E97A7">
          <w:pPr>
            <w:pStyle w:val="15"/>
            <w:tabs>
              <w:tab w:val="right" w:leader="dot" w:pos="9026"/>
            </w:tabs>
          </w:pPr>
        </w:p>
        <w:p w14:paraId="1021D8FE">
          <w:pPr>
            <w:pStyle w:val="2"/>
            <w:tabs>
              <w:tab w:val="left" w:pos="1125"/>
            </w:tabs>
            <w:rPr>
              <w:rFonts w:ascii="宋体" w:hAnsi="宋体" w:eastAsia="宋体" w:cs="宋体"/>
              <w:b/>
              <w:bCs/>
              <w:color w:val="auto"/>
              <w:kern w:val="2"/>
              <w:sz w:val="28"/>
              <w:szCs w:val="28"/>
              <w:highlight w:val="none"/>
              <w:lang w:val="en-US" w:eastAsia="zh-CN" w:bidi="ar-SA"/>
            </w:rPr>
          </w:pPr>
          <w:r>
            <w:rPr>
              <w:color w:val="auto"/>
              <w:highlight w:val="none"/>
            </w:rPr>
            <w:fldChar w:fldCharType="end"/>
          </w:r>
        </w:p>
      </w:sdtContent>
    </w:sdt>
    <w:p w14:paraId="5195BDA8">
      <w:p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2"/>
        <w:tabs>
          <w:tab w:val="left" w:pos="1125"/>
        </w:tabs>
        <w:rPr>
          <w:color w:val="auto"/>
          <w:highlight w:val="none"/>
        </w:rPr>
      </w:pPr>
      <w:bookmarkStart w:id="2" w:name="_Toc22092"/>
      <w:r>
        <w:rPr>
          <w:color w:val="auto"/>
          <w:highlight w:val="none"/>
        </w:rPr>
        <w:t>第一章</w:t>
      </w:r>
      <w:r>
        <w:rPr>
          <w:rFonts w:hint="eastAsia"/>
          <w:color w:val="auto"/>
          <w:highlight w:val="none"/>
          <w:lang w:val="en-US" w:eastAsia="zh-CN"/>
        </w:rPr>
        <w:t xml:space="preserve"> </w:t>
      </w:r>
      <w:r>
        <w:rPr>
          <w:color w:val="auto"/>
          <w:highlight w:val="none"/>
        </w:rPr>
        <w:t>竞争性磋商公告</w:t>
      </w:r>
      <w:bookmarkEnd w:id="2"/>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义马市城乡物流服务体系建设项目设计服务项目(义马市客货邮一体化分拨中心)</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5月12</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0分（北京时间）前递交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1、采购编号：</w:t>
      </w:r>
      <w:r>
        <w:rPr>
          <w:rFonts w:hint="eastAsia" w:ascii="宋体" w:hAnsi="宋体" w:cs="宋体"/>
          <w:color w:val="auto"/>
          <w:kern w:val="0"/>
          <w:sz w:val="24"/>
          <w:szCs w:val="24"/>
          <w:highlight w:val="none"/>
          <w:lang w:eastAsia="zh-CN"/>
        </w:rPr>
        <w:t>义马竞磋采购-2026-23</w:t>
      </w: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YMGZ[2026]043-ZC040</w:t>
      </w:r>
    </w:p>
    <w:p w14:paraId="42E21B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义马市城乡物流服务体系建设项目设计服务项目(义马市客货邮一体化分拨中心)</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200BFDF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980000.00</w:t>
      </w:r>
      <w:r>
        <w:rPr>
          <w:rFonts w:hint="eastAsia" w:ascii="宋体" w:hAnsi="宋体" w:eastAsia="宋体" w:cs="宋体"/>
          <w:color w:val="auto"/>
          <w:kern w:val="0"/>
          <w:sz w:val="24"/>
          <w:szCs w:val="24"/>
          <w:highlight w:val="none"/>
          <w:lang w:val="en-US" w:eastAsia="zh-CN"/>
        </w:rPr>
        <w:t>元</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980000.00</w:t>
      </w:r>
      <w:r>
        <w:rPr>
          <w:rFonts w:hint="eastAsia" w:ascii="宋体" w:hAnsi="宋体" w:eastAsia="宋体" w:cs="宋体"/>
          <w:color w:val="auto"/>
          <w:kern w:val="0"/>
          <w:sz w:val="24"/>
          <w:szCs w:val="24"/>
          <w:highlight w:val="none"/>
          <w:lang w:val="en-US" w:eastAsia="zh-CN"/>
        </w:rPr>
        <w:t>元</w:t>
      </w:r>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4BB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29AD5FE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620" w:type="dxa"/>
            <w:noWrap/>
            <w:vAlign w:val="center"/>
          </w:tcPr>
          <w:p w14:paraId="006AA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2381" w:type="dxa"/>
            <w:noWrap/>
            <w:vAlign w:val="center"/>
          </w:tcPr>
          <w:p w14:paraId="6C2B34B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819" w:type="dxa"/>
            <w:noWrap/>
            <w:vAlign w:val="center"/>
          </w:tcPr>
          <w:p w14:paraId="7E1896F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2118" w:type="dxa"/>
            <w:noWrap/>
            <w:vAlign w:val="center"/>
          </w:tcPr>
          <w:p w14:paraId="7F2D0C1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r>
      <w:tr w14:paraId="2899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4B9455A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20" w:type="dxa"/>
            <w:noWrap/>
            <w:vAlign w:val="center"/>
          </w:tcPr>
          <w:p w14:paraId="7D16298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YMGZ[2026]043-ZC040-1</w:t>
            </w:r>
          </w:p>
        </w:tc>
        <w:tc>
          <w:tcPr>
            <w:tcW w:w="2381" w:type="dxa"/>
            <w:noWrap/>
            <w:vAlign w:val="center"/>
          </w:tcPr>
          <w:p w14:paraId="75AF53E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义马市城乡物流服务体系建设项目设计服务项目(义马市客货邮一体化分拨中心)</w:t>
            </w:r>
          </w:p>
        </w:tc>
        <w:tc>
          <w:tcPr>
            <w:tcW w:w="1819" w:type="dxa"/>
            <w:noWrap/>
            <w:vAlign w:val="center"/>
          </w:tcPr>
          <w:p w14:paraId="7671D67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980000.00</w:t>
            </w:r>
          </w:p>
        </w:tc>
        <w:tc>
          <w:tcPr>
            <w:tcW w:w="2118" w:type="dxa"/>
            <w:noWrap/>
            <w:vAlign w:val="center"/>
          </w:tcPr>
          <w:p w14:paraId="4211545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980000.00</w:t>
            </w:r>
          </w:p>
        </w:tc>
      </w:tr>
    </w:tbl>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3D63F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采购内容</w:t>
      </w:r>
      <w:r>
        <w:rPr>
          <w:rFonts w:hint="eastAsia" w:ascii="宋体" w:hAnsi="宋体" w:eastAsia="宋体" w:cs="宋体"/>
          <w:color w:val="auto"/>
          <w:kern w:val="0"/>
          <w:sz w:val="24"/>
          <w:szCs w:val="24"/>
          <w:highlight w:val="none"/>
          <w:lang w:eastAsia="zh-CN"/>
        </w:rPr>
        <w:t>：各专业施工图图纸设计，施工期间技术服务和配合，配合竣工验收、配合相关部门结算、工程保修，并保证设计成果文件通过相关主管部门的最终审查，招标控制价及工程量清单编制。具体服务内容详见</w:t>
      </w:r>
      <w:r>
        <w:rPr>
          <w:rFonts w:hint="eastAsia" w:ascii="宋体" w:hAnsi="宋体" w:cs="宋体"/>
          <w:color w:val="auto"/>
          <w:kern w:val="0"/>
          <w:sz w:val="24"/>
          <w:szCs w:val="24"/>
          <w:highlight w:val="none"/>
          <w:lang w:eastAsia="zh-CN"/>
        </w:rPr>
        <w:t>服务要求</w:t>
      </w:r>
      <w:r>
        <w:rPr>
          <w:rFonts w:hint="eastAsia" w:ascii="宋体" w:hAnsi="宋体" w:eastAsia="宋体" w:cs="宋体"/>
          <w:color w:val="auto"/>
          <w:kern w:val="0"/>
          <w:sz w:val="24"/>
          <w:szCs w:val="24"/>
          <w:highlight w:val="none"/>
          <w:lang w:eastAsia="zh-CN"/>
        </w:rPr>
        <w:t>。</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523937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义马市</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服务周期</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自合同签订之日起，至本工程竣工验收合格之日止</w:t>
      </w:r>
    </w:p>
    <w:p w14:paraId="2C1F813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质量要求：满足国家、行业、地方相关规范要求及采购人需求</w:t>
      </w:r>
    </w:p>
    <w:p w14:paraId="6389F5A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6、合同履约期限：自合同签订之日起，至本工程竣工验收合格之日止</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w:t>
      </w:r>
      <w:r>
        <w:rPr>
          <w:rFonts w:hint="eastAsia" w:ascii="宋体" w:hAnsi="宋体" w:cs="宋体"/>
          <w:color w:val="auto"/>
          <w:kern w:val="0"/>
          <w:sz w:val="24"/>
          <w:szCs w:val="24"/>
          <w:highlight w:val="none"/>
          <w:lang w:val="en-US" w:eastAsia="zh-CN"/>
        </w:rPr>
        <w:t>否</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0D81F93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本项目非专门面向中小微企业采购项目,执行促进中小企业（监狱企业、残疾人福利性企业）发展等政府采购政策；</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供应商具有有效的企业营业执照或事业单位法人证书或其他有效登记证书</w:t>
      </w:r>
      <w:r>
        <w:rPr>
          <w:rFonts w:hint="eastAsia" w:ascii="宋体" w:hAnsi="宋体" w:eastAsia="宋体" w:cs="宋体"/>
          <w:color w:val="auto"/>
          <w:kern w:val="0"/>
          <w:sz w:val="24"/>
          <w:szCs w:val="24"/>
          <w:highlight w:val="none"/>
          <w:lang w:eastAsia="zh-CN"/>
        </w:rPr>
        <w:t>；</w:t>
      </w:r>
    </w:p>
    <w:p w14:paraId="405E76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3.2</w:t>
      </w:r>
      <w:r>
        <w:rPr>
          <w:rFonts w:hint="eastAsia" w:ascii="宋体" w:hAnsi="宋体" w:eastAsia="宋体" w:cs="宋体"/>
          <w:b w:val="0"/>
          <w:i w:val="0"/>
          <w:caps w:val="0"/>
          <w:color w:val="auto"/>
          <w:spacing w:val="0"/>
          <w:w w:val="100"/>
          <w:sz w:val="24"/>
          <w:szCs w:val="24"/>
          <w:highlight w:val="none"/>
          <w:lang w:eastAsia="zh-CN"/>
        </w:rPr>
        <w:t>供应商具有工程设计综合甲级资质或工程设计建筑行业（建筑工程）专业乙级及以上资质；并在人员、设备、资金等方面具有相应的设计能力。</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3</w:t>
      </w: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拟派项目</w:t>
      </w:r>
      <w:r>
        <w:rPr>
          <w:rFonts w:hint="eastAsia" w:ascii="宋体" w:hAnsi="宋体" w:cs="宋体"/>
          <w:b w:val="0"/>
          <w:i w:val="0"/>
          <w:caps w:val="0"/>
          <w:color w:val="auto"/>
          <w:spacing w:val="0"/>
          <w:w w:val="100"/>
          <w:sz w:val="24"/>
          <w:szCs w:val="24"/>
          <w:highlight w:val="none"/>
          <w:lang w:val="en-US" w:eastAsia="zh-CN"/>
        </w:rPr>
        <w:t>负责人</w:t>
      </w:r>
      <w:r>
        <w:rPr>
          <w:rFonts w:hint="eastAsia" w:ascii="宋体" w:hAnsi="宋体" w:eastAsia="宋体" w:cs="宋体"/>
          <w:b w:val="0"/>
          <w:i w:val="0"/>
          <w:caps w:val="0"/>
          <w:color w:val="auto"/>
          <w:spacing w:val="0"/>
          <w:w w:val="100"/>
          <w:sz w:val="24"/>
          <w:szCs w:val="24"/>
          <w:highlight w:val="none"/>
          <w:lang w:eastAsia="zh-CN"/>
        </w:rPr>
        <w:t>须具备相关专业</w:t>
      </w:r>
      <w:r>
        <w:rPr>
          <w:rFonts w:ascii="宋体" w:hAnsi="宋体" w:eastAsia="宋体" w:cs="宋体"/>
          <w:sz w:val="24"/>
          <w:szCs w:val="24"/>
          <w:highlight w:val="none"/>
        </w:rPr>
        <w:t>注册建筑师</w:t>
      </w:r>
      <w:r>
        <w:rPr>
          <w:rFonts w:hint="eastAsia" w:ascii="宋体" w:hAnsi="宋体" w:eastAsia="宋体" w:cs="宋体"/>
          <w:b w:val="0"/>
          <w:i w:val="0"/>
          <w:caps w:val="0"/>
          <w:color w:val="auto"/>
          <w:spacing w:val="0"/>
          <w:w w:val="100"/>
          <w:sz w:val="24"/>
          <w:szCs w:val="24"/>
          <w:highlight w:val="none"/>
          <w:lang w:eastAsia="zh-CN"/>
        </w:rPr>
        <w:t>资格</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相关专业中级及以上技术职称</w:t>
      </w:r>
      <w:r>
        <w:rPr>
          <w:rFonts w:hint="eastAsia" w:ascii="宋体" w:hAnsi="宋体" w:eastAsia="宋体" w:cs="宋体"/>
          <w:b w:val="0"/>
          <w:i w:val="0"/>
          <w:caps w:val="0"/>
          <w:color w:val="auto"/>
          <w:spacing w:val="0"/>
          <w:w w:val="100"/>
          <w:sz w:val="24"/>
          <w:szCs w:val="24"/>
          <w:highlight w:val="none"/>
          <w:lang w:eastAsia="zh-CN"/>
        </w:rPr>
        <w:t>；</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30</w:t>
      </w:r>
      <w:r>
        <w:rPr>
          <w:rFonts w:hint="eastAsia" w:ascii="宋体" w:hAnsi="宋体" w:cs="宋体"/>
          <w:color w:val="auto"/>
          <w:kern w:val="0"/>
          <w:sz w:val="24"/>
          <w:szCs w:val="24"/>
          <w:highlight w:val="none"/>
          <w:lang w:eastAsia="zh-CN"/>
        </w:rPr>
        <w:t>日至2026年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lang w:eastAsia="zh-CN"/>
        </w:rPr>
        <w:t>日8时30分(北京时间)。</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39"/>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2026年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lang w:eastAsia="zh-CN"/>
        </w:rPr>
        <w:t>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lang w:eastAsia="zh-CN"/>
        </w:rPr>
        <w:t>日</w:t>
      </w:r>
      <w:r>
        <w:rPr>
          <w:rFonts w:hint="eastAsia" w:ascii="宋体" w:hAnsi="宋体" w:cs="宋体"/>
          <w:color w:val="auto"/>
          <w:kern w:val="0"/>
          <w:sz w:val="24"/>
          <w:szCs w:val="24"/>
          <w:highlight w:val="none"/>
          <w:lang w:val="en-US" w:eastAsia="zh-CN"/>
        </w:rPr>
        <w:t>08时30分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w:t>
      </w:r>
      <w:r>
        <w:rPr>
          <w:rFonts w:hint="eastAsia" w:ascii="宋体" w:hAnsi="宋体" w:cs="宋体"/>
          <w:color w:val="auto"/>
          <w:kern w:val="0"/>
          <w:sz w:val="24"/>
          <w:szCs w:val="24"/>
          <w:highlight w:val="none"/>
          <w:lang w:eastAsia="zh-CN"/>
        </w:rPr>
        <w:t>义马市</w:t>
      </w:r>
      <w:r>
        <w:rPr>
          <w:rFonts w:hint="eastAsia" w:ascii="宋体" w:hAnsi="宋体" w:eastAsia="宋体" w:cs="宋体"/>
          <w:color w:val="auto"/>
          <w:kern w:val="0"/>
          <w:sz w:val="24"/>
          <w:szCs w:val="24"/>
          <w:highlight w:val="none"/>
        </w:rPr>
        <w:t>公共资源交易中心</w:t>
      </w:r>
      <w:r>
        <w:rPr>
          <w:rFonts w:hint="eastAsia" w:ascii="宋体" w:hAnsi="宋体" w:eastAsia="宋体" w:cs="宋体"/>
          <w:color w:val="auto"/>
          <w:kern w:val="0"/>
          <w:sz w:val="24"/>
          <w:szCs w:val="24"/>
          <w:highlight w:val="none"/>
          <w:lang w:val="en-US" w:eastAsia="zh-CN"/>
        </w:rPr>
        <w:t>开标</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val="en-US" w:eastAsia="zh-CN"/>
        </w:rPr>
        <w:t>室</w:t>
      </w:r>
      <w:r>
        <w:rPr>
          <w:rFonts w:hint="eastAsia" w:ascii="宋体" w:hAnsi="宋体" w:eastAsia="宋体" w:cs="宋体"/>
          <w:color w:val="auto"/>
          <w:kern w:val="0"/>
          <w:sz w:val="24"/>
          <w:szCs w:val="24"/>
          <w:highlight w:val="none"/>
        </w:rPr>
        <w:t>（网址：http://gzjy.smx.gov.cn/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47A7C27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采购人信息</w:t>
      </w:r>
    </w:p>
    <w:p w14:paraId="40B755C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名称：义马市交通运输局</w:t>
      </w:r>
    </w:p>
    <w:p w14:paraId="28990C4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地址：义马市客运中心后院</w:t>
      </w:r>
    </w:p>
    <w:p w14:paraId="744F103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联系人：寇恒瑞</w:t>
      </w:r>
    </w:p>
    <w:p w14:paraId="1A6674A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联系方式：0398-5587890</w:t>
      </w:r>
    </w:p>
    <w:p w14:paraId="4308680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2.采购代理机构信息（如有）</w:t>
      </w:r>
    </w:p>
    <w:p w14:paraId="0AF7ABA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名称：河南昱通工程管理有限公司</w:t>
      </w:r>
    </w:p>
    <w:p w14:paraId="669E313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地址：河南自贸试验区郑州片区（郑东）普惠路68号1单元22层2206号</w:t>
      </w:r>
    </w:p>
    <w:p w14:paraId="61C128C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荆晶</w:t>
      </w:r>
    </w:p>
    <w:p w14:paraId="62C5E5F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联系方式：15936238582</w:t>
      </w:r>
    </w:p>
    <w:p w14:paraId="2910371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3、监督单位信息：</w:t>
      </w:r>
    </w:p>
    <w:p w14:paraId="16C231D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名称：义马市财政局政府采购监督管理科</w:t>
      </w:r>
    </w:p>
    <w:p w14:paraId="3D942EC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联系方式：0398-5832143</w:t>
      </w:r>
    </w:p>
    <w:p w14:paraId="487058B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11347664">
      <w:pPr>
        <w:tabs>
          <w:tab w:val="left" w:pos="1283"/>
        </w:tabs>
        <w:spacing w:before="55"/>
        <w:ind w:left="0" w:right="22" w:firstLine="0"/>
        <w:jc w:val="center"/>
        <w:outlineLvl w:val="0"/>
        <w:rPr>
          <w:b/>
          <w:color w:val="auto"/>
          <w:sz w:val="32"/>
          <w:highlight w:val="none"/>
        </w:rPr>
      </w:pPr>
      <w:bookmarkStart w:id="3" w:name="_Toc11906"/>
      <w:r>
        <w:rPr>
          <w:b/>
          <w:color w:val="auto"/>
          <w:sz w:val="32"/>
          <w:highlight w:val="none"/>
        </w:rPr>
        <w:t>第二章</w:t>
      </w:r>
      <w:r>
        <w:rPr>
          <w:rFonts w:hint="eastAsia"/>
          <w:b/>
          <w:color w:val="auto"/>
          <w:sz w:val="32"/>
          <w:highlight w:val="none"/>
          <w:lang w:val="en-US" w:eastAsia="zh-CN"/>
        </w:rPr>
        <w:t xml:space="preserve"> </w:t>
      </w:r>
      <w:r>
        <w:rPr>
          <w:b/>
          <w:color w:val="auto"/>
          <w:sz w:val="32"/>
          <w:highlight w:val="none"/>
        </w:rPr>
        <w:t>供应商须知</w:t>
      </w:r>
      <w:bookmarkEnd w:id="3"/>
    </w:p>
    <w:p w14:paraId="73E24EB6">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20"/>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76D03427">
            <w:pPr>
              <w:pStyle w:val="40"/>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名称：义马市交通运输局</w:t>
            </w:r>
          </w:p>
          <w:p w14:paraId="7A9E7CC0">
            <w:pPr>
              <w:pStyle w:val="40"/>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地址：义马市客运中心后院</w:t>
            </w:r>
          </w:p>
          <w:p w14:paraId="37E91371">
            <w:pPr>
              <w:pStyle w:val="40"/>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联系人：寇恒瑞</w:t>
            </w:r>
          </w:p>
          <w:p w14:paraId="03166BD1">
            <w:pPr>
              <w:pStyle w:val="40"/>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联系方式：0398-5587890</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530D5F6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名称：河南昱通工程管理有限公司</w:t>
            </w:r>
          </w:p>
          <w:p w14:paraId="1F357C3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地址：河南自贸试验区郑州片区（郑东）普惠路68号1单元22层2206号</w:t>
            </w:r>
          </w:p>
          <w:p w14:paraId="5D5CA8C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联系人：荆晶</w:t>
            </w:r>
          </w:p>
          <w:p w14:paraId="0F3C270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联系方式：15936238582</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980000.00元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义马市城乡物流服务体系建设项目设计服务项目(义马市客货邮一体化分拨中心)</w:t>
            </w:r>
          </w:p>
          <w:p w14:paraId="14941C36">
            <w:pPr>
              <w:spacing w:line="4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采购编号：</w:t>
            </w:r>
            <w:r>
              <w:rPr>
                <w:rFonts w:hint="eastAsia" w:ascii="宋体" w:hAnsi="宋体" w:cs="宋体"/>
                <w:color w:val="auto"/>
                <w:kern w:val="0"/>
                <w:sz w:val="24"/>
                <w:szCs w:val="24"/>
                <w:highlight w:val="none"/>
                <w:lang w:eastAsia="zh-CN"/>
              </w:rPr>
              <w:t>义马竞磋采购-2026-23</w:t>
            </w:r>
            <w:r>
              <w:rPr>
                <w:rFonts w:hint="eastAsia" w:ascii="宋体" w:hAnsi="宋体" w:eastAsia="宋体" w:cs="宋体"/>
                <w:color w:val="auto"/>
                <w:kern w:val="0"/>
                <w:sz w:val="24"/>
                <w:szCs w:val="24"/>
                <w:highlight w:val="none"/>
              </w:rPr>
              <w:t>；</w:t>
            </w:r>
          </w:p>
          <w:p w14:paraId="1CFC2AF3">
            <w:pPr>
              <w:spacing w:line="460" w:lineRule="exact"/>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YMGZ[2026]043-ZC040</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义马市</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采购内容</w:t>
            </w:r>
          </w:p>
        </w:tc>
        <w:tc>
          <w:tcPr>
            <w:tcW w:w="6645" w:type="dxa"/>
            <w:tcBorders>
              <w:top w:val="nil"/>
              <w:left w:val="nil"/>
              <w:bottom w:val="single" w:color="auto" w:sz="4" w:space="0"/>
              <w:right w:val="single" w:color="auto" w:sz="4" w:space="0"/>
            </w:tcBorders>
            <w:noWrap w:val="0"/>
            <w:vAlign w:val="center"/>
          </w:tcPr>
          <w:p w14:paraId="15957B51">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各专业施工图图纸设计，施工期间技术服务和配合，配合竣工验收、配合相关部门结算、工程保修，并保证设计成果文件通过相关主管部门的最终审查，招标控制价及工程量清单编制。具体服务内容详见</w:t>
            </w:r>
            <w:r>
              <w:rPr>
                <w:rFonts w:hint="eastAsia" w:ascii="宋体" w:hAnsi="宋体" w:cs="Times New Roman"/>
                <w:color w:val="auto"/>
                <w:sz w:val="24"/>
                <w:szCs w:val="24"/>
                <w:highlight w:val="none"/>
                <w:lang w:eastAsia="zh-CN"/>
              </w:rPr>
              <w:t>服务要求</w:t>
            </w:r>
            <w:r>
              <w:rPr>
                <w:rFonts w:hint="eastAsia" w:ascii="宋体" w:hAnsi="宋体" w:eastAsia="宋体" w:cs="Times New Roman"/>
                <w:color w:val="auto"/>
                <w:sz w:val="24"/>
                <w:szCs w:val="24"/>
                <w:highlight w:val="none"/>
              </w:rPr>
              <w:t>。</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服务周期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自合同签订之日起，至本工程竣工验收合格之日止</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eastAsia="宋体" w:cs="宋体"/>
                <w:color w:val="auto"/>
                <w:kern w:val="0"/>
                <w:sz w:val="24"/>
                <w:szCs w:val="24"/>
                <w:highlight w:val="none"/>
              </w:rPr>
              <w:t>满足国家、行业、地方相关规范要求及采购人需求</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748B486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1、满足《中华人民共和国政府采购法》第二十二条规定；</w:t>
            </w:r>
          </w:p>
          <w:p w14:paraId="34C2079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2、落实政府采购政策满足的资格要求：</w:t>
            </w:r>
          </w:p>
          <w:p w14:paraId="2C41D9D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本项目非专门面向中小微企业采购项目,执行促进中小企业（监狱企业、残疾人福利性企业）发展等政府采购政策；</w:t>
            </w:r>
          </w:p>
          <w:p w14:paraId="2942311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3、本项目的特定资格要求</w:t>
            </w:r>
          </w:p>
          <w:p w14:paraId="6AEE485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3.1</w:t>
            </w:r>
            <w:r>
              <w:rPr>
                <w:rFonts w:hint="eastAsia" w:ascii="宋体" w:hAnsi="宋体" w:eastAsia="宋体" w:cs="宋体"/>
                <w:color w:val="auto"/>
                <w:kern w:val="0"/>
                <w:sz w:val="24"/>
                <w:szCs w:val="24"/>
                <w:highlight w:val="none"/>
                <w:lang w:val="en-US" w:eastAsia="zh-CN"/>
              </w:rPr>
              <w:t>供应商具有有效的企业营业执照或事业单位法人证书或其他有效登记证书</w:t>
            </w:r>
            <w:r>
              <w:rPr>
                <w:rFonts w:hint="eastAsia" w:ascii="宋体" w:hAnsi="宋体" w:eastAsia="宋体" w:cs="宋体"/>
                <w:b w:val="0"/>
                <w:bCs/>
                <w:color w:val="auto"/>
                <w:kern w:val="1"/>
                <w:sz w:val="24"/>
                <w:szCs w:val="28"/>
                <w:highlight w:val="none"/>
                <w:lang w:eastAsia="zh-CN"/>
              </w:rPr>
              <w:t>；</w:t>
            </w:r>
          </w:p>
          <w:p w14:paraId="55613A7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3.2供应商具有工程设计综合甲级资质或工程设计建筑行业（建筑工程）专业乙级及以上资质；并在人员、设备、资金等方面具有相应的设计能力。</w:t>
            </w:r>
          </w:p>
          <w:p w14:paraId="2E1C733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3.3拟派项目负责人须具备相关专业注册建筑师资格及相关专业中级及以上技术职称；</w:t>
            </w:r>
          </w:p>
          <w:p w14:paraId="57D1E98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3.4供应商自行出具本单位无商业贿赂及无不正当竞争行为的承诺书；</w:t>
            </w:r>
          </w:p>
          <w:p w14:paraId="016AB5A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71113E9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6B303B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3.7本项目不接受联合体投标，提供非联合体投标承诺，格式自拟。</w:t>
            </w:r>
          </w:p>
          <w:p w14:paraId="5EC558C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注：本项目实行资格后审，资格审查的具体要求见竞争性磋商文件。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w:t>
            </w:r>
            <w:r>
              <w:rPr>
                <w:rFonts w:hint="eastAsia" w:ascii="宋体" w:hAnsi="宋体" w:cs="Times New Roman"/>
                <w:color w:val="auto"/>
                <w:sz w:val="24"/>
                <w:szCs w:val="28"/>
                <w:highlight w:val="none"/>
                <w:lang w:val="en-US" w:eastAsia="zh-CN"/>
              </w:rPr>
              <w:t>5</w:t>
            </w:r>
            <w:r>
              <w:rPr>
                <w:rFonts w:hint="eastAsia" w:ascii="宋体" w:hAnsi="宋体" w:cs="Times New Roman"/>
                <w:color w:val="auto"/>
                <w:sz w:val="24"/>
                <w:szCs w:val="28"/>
                <w:highlight w:val="none"/>
                <w:lang w:eastAsia="zh-CN"/>
              </w:rPr>
              <w:t>月</w:t>
            </w:r>
            <w:r>
              <w:rPr>
                <w:rFonts w:hint="eastAsia" w:ascii="宋体" w:hAnsi="宋体" w:cs="Times New Roman"/>
                <w:color w:val="auto"/>
                <w:sz w:val="24"/>
                <w:szCs w:val="28"/>
                <w:highlight w:val="none"/>
                <w:lang w:val="en-US" w:eastAsia="zh-CN"/>
              </w:rPr>
              <w:t>12</w:t>
            </w:r>
            <w:r>
              <w:rPr>
                <w:rFonts w:hint="eastAsia" w:ascii="宋体" w:hAnsi="宋体" w:cs="Times New Roman"/>
                <w:color w:val="auto"/>
                <w:sz w:val="24"/>
                <w:szCs w:val="28"/>
                <w:highlight w:val="none"/>
                <w:lang w:eastAsia="zh-CN"/>
              </w:rPr>
              <w:t>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w:t>
            </w:r>
            <w:r>
              <w:rPr>
                <w:rFonts w:hint="eastAsia" w:ascii="宋体" w:hAnsi="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w:t>
            </w:r>
            <w:r>
              <w:rPr>
                <w:rFonts w:hint="eastAsia" w:ascii="宋体" w:hAnsi="宋体" w:cs="Times New Roman"/>
                <w:color w:val="auto"/>
                <w:sz w:val="24"/>
                <w:szCs w:val="28"/>
                <w:highlight w:val="none"/>
                <w:lang w:val="en-US" w:eastAsia="zh-CN"/>
              </w:rPr>
              <w:t>5</w:t>
            </w:r>
            <w:r>
              <w:rPr>
                <w:rFonts w:hint="eastAsia" w:ascii="宋体" w:hAnsi="宋体" w:cs="Times New Roman"/>
                <w:color w:val="auto"/>
                <w:sz w:val="24"/>
                <w:szCs w:val="28"/>
                <w:highlight w:val="none"/>
                <w:lang w:eastAsia="zh-CN"/>
              </w:rPr>
              <w:t>月</w:t>
            </w:r>
            <w:r>
              <w:rPr>
                <w:rFonts w:hint="eastAsia" w:ascii="宋体" w:hAnsi="宋体" w:cs="Times New Roman"/>
                <w:color w:val="auto"/>
                <w:sz w:val="24"/>
                <w:szCs w:val="28"/>
                <w:highlight w:val="none"/>
                <w:lang w:val="en-US" w:eastAsia="zh-CN"/>
              </w:rPr>
              <w:t>12</w:t>
            </w:r>
            <w:r>
              <w:rPr>
                <w:rFonts w:hint="eastAsia" w:ascii="宋体" w:hAnsi="宋体" w:cs="Times New Roman"/>
                <w:color w:val="auto"/>
                <w:sz w:val="24"/>
                <w:szCs w:val="28"/>
                <w:highlight w:val="none"/>
                <w:lang w:eastAsia="zh-CN"/>
              </w:rPr>
              <w:t>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义马市</w:t>
            </w:r>
            <w:r>
              <w:rPr>
                <w:rFonts w:hint="eastAsia" w:ascii="宋体" w:hAnsi="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开标一室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06C4A3D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玖拾捌万元整</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980000.00元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其他未列明行业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竞争性磋商文件中要求磋商响应供应商盖章的，以签盖单位章为准；要求法定代表人签章的，以签盖法定代表人签章为准。</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采购内容</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服务周期</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服务要求</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服务方案</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7</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2"/>
        <w:tabs>
          <w:tab w:val="left" w:pos="1123"/>
        </w:tabs>
        <w:spacing w:before="62"/>
        <w:rPr>
          <w:b/>
          <w:bCs/>
          <w:color w:val="auto"/>
          <w:sz w:val="32"/>
          <w:szCs w:val="36"/>
          <w:highlight w:val="none"/>
        </w:rPr>
      </w:pPr>
      <w:bookmarkStart w:id="4" w:name="_Toc14560"/>
      <w:r>
        <w:rPr>
          <w:color w:val="auto"/>
          <w:sz w:val="32"/>
          <w:szCs w:val="32"/>
          <w:highlight w:val="none"/>
        </w:rPr>
        <w:t>第三章</w:t>
      </w:r>
      <w:r>
        <w:rPr>
          <w:rFonts w:hint="eastAsia"/>
          <w:color w:val="auto"/>
          <w:sz w:val="32"/>
          <w:szCs w:val="32"/>
          <w:highlight w:val="none"/>
          <w:lang w:val="en-US" w:eastAsia="zh-CN"/>
        </w:rPr>
        <w:t xml:space="preserve"> </w:t>
      </w:r>
      <w:r>
        <w:rPr>
          <w:color w:val="auto"/>
          <w:sz w:val="32"/>
          <w:szCs w:val="32"/>
          <w:highlight w:val="none"/>
        </w:rPr>
        <w:t>评标办法</w:t>
      </w:r>
      <w:bookmarkEnd w:id="4"/>
    </w:p>
    <w:p w14:paraId="4A633411">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20"/>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与企业营业执照或事业单位法人证书或其他有效登记证书一致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3C8E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FB400A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2E0A288">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落实政府采购政策</w:t>
            </w:r>
          </w:p>
        </w:tc>
        <w:tc>
          <w:tcPr>
            <w:tcW w:w="5575" w:type="dxa"/>
            <w:noWrap w:val="0"/>
            <w:vAlign w:val="center"/>
          </w:tcPr>
          <w:p w14:paraId="736C1548">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本项目非专门面向中小微企业采购项目,执行促进中小企业（监狱企业、残疾人福利性企业）发展等政府采购政策；</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0F117ED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rPr>
              <w:t>供应商证明文件</w:t>
            </w:r>
          </w:p>
        </w:tc>
        <w:tc>
          <w:tcPr>
            <w:tcW w:w="5575" w:type="dxa"/>
            <w:noWrap w:val="0"/>
            <w:vAlign w:val="center"/>
          </w:tcPr>
          <w:p w14:paraId="181CA85C">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供应商具有有效的企业营业执照或事业单位法人证书或其他有效登记证书</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资质证书及项目负责人</w:t>
            </w:r>
          </w:p>
        </w:tc>
        <w:tc>
          <w:tcPr>
            <w:tcW w:w="5575" w:type="dxa"/>
            <w:noWrap w:val="0"/>
            <w:vAlign w:val="center"/>
          </w:tcPr>
          <w:p w14:paraId="4CE672E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供应商具有工程设计综合甲级资质或工程设计建筑行业（建筑工程）专业乙级及以上资质；并在人员、设备、资金等方面具有相应的设计能力。</w:t>
            </w:r>
          </w:p>
          <w:p w14:paraId="57F1173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拟派项目负责人须具备相关专业注册建筑师资格及相关专业中级及以上技术职称；</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服务周期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自合同签订之日起，至本工程竣工验收合格之日止</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F176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满足国家、行业、地方相关规范要求及采购人需求</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55F69FFF">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20"/>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4BCEA0DD">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1、满足竞争性磋商文件要求的最后报价为有效最后报价。报价最低的有效最后报价即为评标基准价，该供应商价格分为满分。</w:t>
            </w:r>
          </w:p>
          <w:p w14:paraId="7C0EF7CE">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2、其他供应商的最后报价分按照下列公式计算：</w:t>
            </w:r>
          </w:p>
          <w:p w14:paraId="0F957B42">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磋商报价得分＝（评标基准价/磋商报价）×</w:t>
            </w:r>
            <w:r>
              <w:rPr>
                <w:rFonts w:hint="eastAsia" w:ascii="宋体" w:hAnsi="宋体" w:cs="宋体"/>
                <w:color w:val="auto"/>
                <w:sz w:val="24"/>
                <w:szCs w:val="22"/>
                <w:highlight w:val="none"/>
                <w:lang w:val="en-US" w:eastAsia="zh-CN"/>
              </w:rPr>
              <w:t>3</w:t>
            </w:r>
            <w:r>
              <w:rPr>
                <w:rFonts w:hint="eastAsia" w:ascii="宋体" w:hAnsi="宋体" w:eastAsia="宋体" w:cs="宋体"/>
                <w:color w:val="auto"/>
                <w:sz w:val="24"/>
                <w:szCs w:val="22"/>
                <w:highlight w:val="none"/>
              </w:rPr>
              <w:t>0(精确到小数点后两位,四舍五入)</w:t>
            </w:r>
          </w:p>
          <w:p w14:paraId="065AA45F">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磋商小组认为供应商的报价明显低于其他通过符合性审查供应商的报价，有可能影响服务质量或者不能诚信履约的，则磋商小组可以以网上答疑形式要求该供应商作出说明并提供相关证明材料。供应商不能合理说明或不能提供相关证明材料的，磋商小组对其商务标部分不再进行评审。</w:t>
            </w:r>
          </w:p>
          <w:p w14:paraId="3C49B61C">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价格扣除：投标供应商为中小微企业的，对所投标的小型和微型企业制造的产品的价格给予20%的扣除，用扣除后的价格参与评审。</w:t>
            </w:r>
          </w:p>
          <w:p w14:paraId="73DDA6AD">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所投中小微企业产品报价=所投中小微企业产品报价合计×（1-20%）</w:t>
            </w:r>
          </w:p>
          <w:p w14:paraId="4818538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注：（1）价格分计算保留小数点后两位。</w:t>
            </w:r>
          </w:p>
        </w:tc>
        <w:tc>
          <w:tcPr>
            <w:tcW w:w="875"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5</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44AEAD57">
            <w:pPr>
              <w:widowControl/>
              <w:spacing w:line="400" w:lineRule="exact"/>
              <w:jc w:val="center"/>
              <w:rPr>
                <w:rFonts w:ascii="宋体" w:hAnsi="宋体"/>
                <w:sz w:val="24"/>
              </w:rPr>
            </w:pPr>
            <w:r>
              <w:rPr>
                <w:rFonts w:ascii="宋体" w:hAnsi="宋体"/>
                <w:sz w:val="24"/>
              </w:rPr>
              <w:t>内容完整性和编制水平</w:t>
            </w:r>
          </w:p>
          <w:p w14:paraId="37C2548B">
            <w:pPr>
              <w:widowControl/>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sz w:val="24"/>
              </w:rPr>
              <w:t>(0-5分)</w:t>
            </w:r>
          </w:p>
        </w:tc>
        <w:tc>
          <w:tcPr>
            <w:tcW w:w="7531" w:type="dxa"/>
            <w:gridSpan w:val="2"/>
            <w:shd w:val="clear" w:color="auto" w:fill="auto"/>
            <w:vAlign w:val="center"/>
          </w:tcPr>
          <w:p w14:paraId="51AC0B32">
            <w:pPr>
              <w:spacing w:line="360" w:lineRule="auto"/>
              <w:ind w:right="-21" w:rightChars="-10"/>
              <w:rPr>
                <w:rFonts w:hint="eastAsia" w:ascii="宋体" w:hAnsi="宋体" w:eastAsia="宋体" w:cs="宋体"/>
                <w:color w:val="auto"/>
                <w:sz w:val="24"/>
                <w:szCs w:val="22"/>
                <w:highlight w:val="none"/>
              </w:rPr>
            </w:pPr>
            <w:r>
              <w:rPr>
                <w:rFonts w:ascii="宋体" w:hAnsi="宋体" w:eastAsia="宋体"/>
                <w:sz w:val="24"/>
              </w:rPr>
              <w:t>内容完整，层次清楚，描述准确</w:t>
            </w:r>
            <w:r>
              <w:rPr>
                <w:rFonts w:hint="eastAsia" w:ascii="宋体" w:hAnsi="宋体" w:eastAsia="宋体"/>
                <w:sz w:val="24"/>
              </w:rPr>
              <w:t>，响应</w:t>
            </w:r>
            <w:r>
              <w:rPr>
                <w:rFonts w:hint="eastAsia" w:ascii="宋体" w:hAnsi="宋体" w:eastAsia="宋体"/>
                <w:sz w:val="24"/>
                <w:lang w:val="en-US" w:eastAsia="zh-CN"/>
              </w:rPr>
              <w:t>磋商</w:t>
            </w:r>
            <w:r>
              <w:rPr>
                <w:rFonts w:hint="eastAsia" w:ascii="宋体" w:hAnsi="宋体" w:eastAsia="宋体"/>
                <w:sz w:val="24"/>
              </w:rPr>
              <w:t>文件的全部内容</w:t>
            </w:r>
            <w:r>
              <w:rPr>
                <w:rFonts w:ascii="宋体" w:hAnsi="宋体" w:eastAsia="宋体"/>
                <w:sz w:val="24"/>
              </w:rPr>
              <w:t>。</w:t>
            </w:r>
            <w:r>
              <w:rPr>
                <w:rFonts w:hint="eastAsia" w:ascii="宋体" w:hAnsi="宋体" w:eastAsia="宋体"/>
                <w:sz w:val="24"/>
              </w:rPr>
              <w:t>横向比较，最佳得5分，较好得3分，一般得</w:t>
            </w:r>
            <w:r>
              <w:rPr>
                <w:rFonts w:hint="eastAsia" w:ascii="宋体" w:hAnsi="宋体" w:eastAsia="宋体"/>
                <w:sz w:val="24"/>
                <w:lang w:val="en-US" w:eastAsia="zh-CN"/>
              </w:rPr>
              <w:t>1</w:t>
            </w:r>
            <w:r>
              <w:rPr>
                <w:rFonts w:hint="eastAsia" w:ascii="宋体" w:hAnsi="宋体" w:eastAsia="宋体"/>
                <w:sz w:val="24"/>
              </w:rPr>
              <w:t>分。</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DC46314">
            <w:pPr>
              <w:widowControl/>
              <w:spacing w:before="62" w:beforeLines="20"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kern w:val="0"/>
                <w:sz w:val="24"/>
              </w:rPr>
              <w:t>项目区现状掌握情况以及对本项目实施必要性的理解程度（</w:t>
            </w:r>
            <w:r>
              <w:rPr>
                <w:rFonts w:hint="eastAsia" w:ascii="宋体" w:hAnsi="宋体"/>
                <w:sz w:val="24"/>
              </w:rPr>
              <w:t>0-</w:t>
            </w:r>
            <w:r>
              <w:rPr>
                <w:rFonts w:hint="eastAsia" w:ascii="宋体" w:hAnsi="宋体"/>
                <w:kern w:val="0"/>
                <w:sz w:val="24"/>
              </w:rPr>
              <w:t>10分）</w:t>
            </w:r>
          </w:p>
        </w:tc>
        <w:tc>
          <w:tcPr>
            <w:tcW w:w="7531" w:type="dxa"/>
            <w:gridSpan w:val="2"/>
            <w:shd w:val="clear" w:color="auto" w:fill="auto"/>
            <w:vAlign w:val="center"/>
          </w:tcPr>
          <w:p w14:paraId="52C87EDA">
            <w:pPr>
              <w:widowControl/>
              <w:spacing w:before="62" w:beforeLines="20" w:line="276" w:lineRule="auto"/>
              <w:rPr>
                <w:rFonts w:hint="eastAsia" w:ascii="宋体" w:hAnsi="宋体" w:eastAsia="宋体" w:cs="宋体"/>
                <w:color w:val="auto"/>
                <w:sz w:val="24"/>
                <w:szCs w:val="22"/>
                <w:highlight w:val="none"/>
              </w:rPr>
            </w:pPr>
            <w:r>
              <w:rPr>
                <w:rFonts w:hint="eastAsia" w:ascii="宋体" w:hAnsi="宋体"/>
                <w:kern w:val="0"/>
                <w:sz w:val="24"/>
              </w:rPr>
              <w:t>对设计的理解、对项目背景的分析以及对本项目实施必要性理解准确，分析透彻、全面的得10分；理解和分析一般的得5分；理解不准确，分析缺乏针对性的得</w:t>
            </w:r>
            <w:r>
              <w:rPr>
                <w:rFonts w:hint="eastAsia" w:ascii="宋体" w:hAnsi="宋体"/>
                <w:kern w:val="0"/>
                <w:sz w:val="24"/>
                <w:lang w:val="en-US" w:eastAsia="zh-CN"/>
              </w:rPr>
              <w:t>1</w:t>
            </w:r>
            <w:r>
              <w:rPr>
                <w:rFonts w:hint="eastAsia" w:ascii="宋体" w:hAnsi="宋体"/>
                <w:kern w:val="0"/>
                <w:sz w:val="24"/>
              </w:rPr>
              <w:t>分。</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90F9A05">
            <w:pPr>
              <w:widowControl/>
              <w:spacing w:before="62" w:beforeLines="20"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sz w:val="24"/>
                <w:lang w:val="en-US" w:eastAsia="zh-CN"/>
              </w:rPr>
              <w:t>设计工作重点、难点分析</w:t>
            </w:r>
            <w:r>
              <w:rPr>
                <w:rFonts w:hint="eastAsia" w:ascii="宋体" w:hAnsi="宋体"/>
                <w:kern w:val="0"/>
                <w:sz w:val="24"/>
              </w:rPr>
              <w:t>（</w:t>
            </w:r>
            <w:r>
              <w:rPr>
                <w:rFonts w:hint="eastAsia" w:ascii="宋体" w:hAnsi="宋体"/>
                <w:sz w:val="24"/>
              </w:rPr>
              <w:t>0-</w:t>
            </w:r>
            <w:r>
              <w:rPr>
                <w:rFonts w:hint="eastAsia" w:ascii="宋体" w:hAnsi="宋体"/>
                <w:kern w:val="0"/>
                <w:sz w:val="24"/>
              </w:rPr>
              <w:t>10分）</w:t>
            </w:r>
          </w:p>
        </w:tc>
        <w:tc>
          <w:tcPr>
            <w:tcW w:w="7531" w:type="dxa"/>
            <w:gridSpan w:val="2"/>
            <w:shd w:val="clear" w:color="auto" w:fill="auto"/>
            <w:vAlign w:val="center"/>
          </w:tcPr>
          <w:p w14:paraId="6ED206C1">
            <w:pPr>
              <w:widowControl/>
              <w:spacing w:before="62" w:beforeLines="20" w:after="200" w:line="276" w:lineRule="auto"/>
              <w:rPr>
                <w:rFonts w:hint="eastAsia" w:ascii="宋体" w:hAnsi="宋体"/>
                <w:kern w:val="0"/>
                <w:sz w:val="24"/>
              </w:rPr>
            </w:pPr>
            <w:r>
              <w:rPr>
                <w:rFonts w:hint="eastAsia" w:ascii="宋体" w:hAnsi="宋体"/>
                <w:kern w:val="0"/>
                <w:sz w:val="24"/>
              </w:rPr>
              <w:t>1、根据设计工作重点、难点分析内容详细、合理、可行，得10分；</w:t>
            </w:r>
          </w:p>
          <w:p w14:paraId="76200BCA">
            <w:pPr>
              <w:widowControl/>
              <w:spacing w:before="62" w:beforeLines="20" w:after="200" w:line="276" w:lineRule="auto"/>
              <w:rPr>
                <w:rFonts w:hint="eastAsia" w:ascii="宋体" w:hAnsi="宋体"/>
                <w:kern w:val="0"/>
                <w:sz w:val="24"/>
              </w:rPr>
            </w:pPr>
            <w:r>
              <w:rPr>
                <w:rFonts w:hint="eastAsia" w:ascii="宋体" w:hAnsi="宋体"/>
                <w:kern w:val="0"/>
                <w:sz w:val="24"/>
              </w:rPr>
              <w:t>2、根据设计工作重点、难点分析内容较详细、较合理、可行，得5分；</w:t>
            </w:r>
          </w:p>
          <w:p w14:paraId="638097C5">
            <w:pPr>
              <w:widowControl/>
              <w:spacing w:before="62" w:beforeLines="20" w:after="200" w:line="276" w:lineRule="auto"/>
              <w:rPr>
                <w:rFonts w:hint="eastAsia" w:ascii="宋体" w:hAnsi="宋体" w:eastAsia="宋体" w:cs="宋体"/>
                <w:color w:val="auto"/>
                <w:sz w:val="24"/>
                <w:szCs w:val="22"/>
                <w:highlight w:val="none"/>
              </w:rPr>
            </w:pPr>
            <w:r>
              <w:rPr>
                <w:rFonts w:hint="eastAsia" w:ascii="宋体" w:hAnsi="宋体"/>
                <w:kern w:val="0"/>
                <w:sz w:val="24"/>
              </w:rPr>
              <w:t>3、根据设计工作重点、难点分析内容一般，得1分。</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EDB4A32">
            <w:pPr>
              <w:jc w:val="center"/>
              <w:rPr>
                <w:rFonts w:ascii="宋体" w:hAnsi="宋体"/>
                <w:sz w:val="24"/>
              </w:rPr>
            </w:pPr>
            <w:r>
              <w:rPr>
                <w:rFonts w:hint="eastAsia" w:ascii="宋体" w:hAnsi="宋体"/>
                <w:sz w:val="24"/>
              </w:rPr>
              <w:t>针对本项目特点及关键性技术问题提出合理化建议</w:t>
            </w:r>
          </w:p>
          <w:p w14:paraId="7C50DEEB">
            <w:pPr>
              <w:jc w:val="center"/>
              <w:rPr>
                <w:rFonts w:hint="eastAsia" w:ascii="宋体" w:hAnsi="宋体" w:eastAsia="宋体" w:cs="宋体"/>
                <w:color w:val="auto"/>
                <w:kern w:val="2"/>
                <w:sz w:val="24"/>
                <w:szCs w:val="24"/>
                <w:highlight w:val="none"/>
                <w:lang w:val="en-US" w:eastAsia="zh-CN" w:bidi="ar-SA"/>
              </w:rPr>
            </w:pPr>
            <w:r>
              <w:rPr>
                <w:rFonts w:hint="eastAsia" w:ascii="宋体" w:hAnsi="宋体"/>
                <w:sz w:val="24"/>
              </w:rPr>
              <w:t>（0-10分）</w:t>
            </w:r>
          </w:p>
        </w:tc>
        <w:tc>
          <w:tcPr>
            <w:tcW w:w="7531" w:type="dxa"/>
            <w:gridSpan w:val="2"/>
            <w:shd w:val="clear" w:color="auto" w:fill="auto"/>
            <w:vAlign w:val="center"/>
          </w:tcPr>
          <w:p w14:paraId="2ED953E8">
            <w:pPr>
              <w:spacing w:line="312" w:lineRule="auto"/>
              <w:rPr>
                <w:rFonts w:hint="eastAsia" w:ascii="宋体" w:hAnsi="宋体" w:eastAsia="宋体" w:cs="宋体"/>
                <w:color w:val="auto"/>
                <w:sz w:val="24"/>
                <w:szCs w:val="22"/>
                <w:highlight w:val="none"/>
              </w:rPr>
            </w:pPr>
            <w:r>
              <w:rPr>
                <w:rFonts w:hint="eastAsia" w:ascii="宋体" w:hAnsi="宋体"/>
                <w:sz w:val="24"/>
              </w:rPr>
              <w:t>供应商针对本项目的特点及关键性技术问题的对策措施提出合理化建议优越可行程度：优得</w:t>
            </w:r>
            <w:r>
              <w:rPr>
                <w:rFonts w:hint="eastAsia" w:ascii="宋体" w:hAnsi="宋体"/>
                <w:kern w:val="0"/>
                <w:sz w:val="24"/>
              </w:rPr>
              <w:t>10</w:t>
            </w:r>
            <w:r>
              <w:rPr>
                <w:rFonts w:hint="eastAsia" w:ascii="宋体" w:hAnsi="宋体"/>
                <w:sz w:val="24"/>
              </w:rPr>
              <w:t>分；较好得</w:t>
            </w:r>
            <w:r>
              <w:rPr>
                <w:rFonts w:hint="eastAsia" w:ascii="宋体" w:hAnsi="宋体"/>
                <w:kern w:val="0"/>
                <w:sz w:val="24"/>
              </w:rPr>
              <w:t>5</w:t>
            </w:r>
            <w:r>
              <w:rPr>
                <w:rFonts w:hint="eastAsia" w:ascii="宋体" w:hAnsi="宋体"/>
                <w:sz w:val="24"/>
              </w:rPr>
              <w:t>分；一般得</w:t>
            </w:r>
            <w:r>
              <w:rPr>
                <w:rFonts w:hint="eastAsia" w:ascii="宋体" w:hAnsi="宋体"/>
                <w:kern w:val="0"/>
                <w:sz w:val="24"/>
                <w:lang w:val="en-US" w:eastAsia="zh-CN"/>
              </w:rPr>
              <w:t>1</w:t>
            </w:r>
            <w:r>
              <w:rPr>
                <w:rFonts w:hint="eastAsia" w:ascii="宋体" w:hAnsi="宋体"/>
                <w:sz w:val="24"/>
              </w:rPr>
              <w:t>分。</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28038E1">
            <w:pPr>
              <w:jc w:val="center"/>
              <w:rPr>
                <w:rFonts w:ascii="宋体" w:hAnsi="宋体"/>
                <w:sz w:val="24"/>
              </w:rPr>
            </w:pPr>
            <w:r>
              <w:rPr>
                <w:rFonts w:hint="eastAsia" w:ascii="宋体" w:hAnsi="宋体"/>
                <w:sz w:val="24"/>
              </w:rPr>
              <w:t>服务周期、进度安排合理</w:t>
            </w:r>
          </w:p>
          <w:p w14:paraId="2FC89E7C">
            <w:pPr>
              <w:jc w:val="center"/>
              <w:rPr>
                <w:rFonts w:hint="eastAsia" w:ascii="宋体" w:hAnsi="宋体" w:eastAsia="宋体" w:cs="宋体"/>
                <w:color w:val="auto"/>
                <w:kern w:val="2"/>
                <w:sz w:val="24"/>
                <w:szCs w:val="24"/>
                <w:highlight w:val="none"/>
                <w:lang w:val="en-US" w:eastAsia="zh-CN" w:bidi="ar-SA"/>
              </w:rPr>
            </w:pPr>
            <w:r>
              <w:rPr>
                <w:rFonts w:hint="eastAsia" w:ascii="宋体" w:hAnsi="宋体"/>
                <w:sz w:val="24"/>
              </w:rPr>
              <w:t>（0-10分）</w:t>
            </w:r>
          </w:p>
        </w:tc>
        <w:tc>
          <w:tcPr>
            <w:tcW w:w="7531" w:type="dxa"/>
            <w:gridSpan w:val="2"/>
            <w:shd w:val="clear" w:color="auto" w:fill="auto"/>
            <w:vAlign w:val="center"/>
          </w:tcPr>
          <w:p w14:paraId="4C81124B">
            <w:pPr>
              <w:spacing w:line="312" w:lineRule="auto"/>
              <w:rPr>
                <w:rFonts w:ascii="宋体" w:hAnsi="宋体"/>
                <w:sz w:val="24"/>
              </w:rPr>
            </w:pPr>
            <w:r>
              <w:rPr>
                <w:rFonts w:hint="eastAsia" w:ascii="宋体" w:hAnsi="宋体"/>
                <w:sz w:val="24"/>
              </w:rPr>
              <w:t>1、服务周期满足项目需求，实施进度安排编制完整，程序清晰，安排科学，措施有力，切实可行，得</w:t>
            </w:r>
            <w:r>
              <w:rPr>
                <w:rFonts w:hint="eastAsia" w:ascii="宋体" w:hAnsi="宋体"/>
                <w:kern w:val="0"/>
                <w:sz w:val="24"/>
              </w:rPr>
              <w:t>10</w:t>
            </w:r>
            <w:r>
              <w:rPr>
                <w:rFonts w:hint="eastAsia" w:ascii="宋体" w:hAnsi="宋体"/>
                <w:sz w:val="24"/>
              </w:rPr>
              <w:t>分；</w:t>
            </w:r>
          </w:p>
          <w:p w14:paraId="061FC12E">
            <w:pPr>
              <w:spacing w:line="312" w:lineRule="auto"/>
              <w:rPr>
                <w:rFonts w:ascii="宋体" w:hAnsi="宋体"/>
                <w:sz w:val="24"/>
              </w:rPr>
            </w:pPr>
            <w:r>
              <w:rPr>
                <w:rFonts w:hint="eastAsia" w:ascii="宋体" w:hAnsi="宋体"/>
                <w:sz w:val="24"/>
              </w:rPr>
              <w:t>2、服务周期满足项目需求，但实施进度安排完整性、程序清晰性基本保证，且提出了一定措施的得</w:t>
            </w:r>
            <w:r>
              <w:rPr>
                <w:rFonts w:hint="eastAsia" w:ascii="宋体" w:hAnsi="宋体"/>
                <w:kern w:val="0"/>
                <w:sz w:val="24"/>
                <w:lang w:val="en-US" w:eastAsia="zh-CN"/>
              </w:rPr>
              <w:t>5</w:t>
            </w:r>
            <w:r>
              <w:rPr>
                <w:rFonts w:hint="eastAsia" w:ascii="宋体" w:hAnsi="宋体"/>
                <w:sz w:val="24"/>
              </w:rPr>
              <w:t>分；</w:t>
            </w:r>
          </w:p>
          <w:p w14:paraId="6C55C624">
            <w:pPr>
              <w:spacing w:line="312" w:lineRule="auto"/>
              <w:rPr>
                <w:rFonts w:hint="eastAsia" w:ascii="宋体" w:hAnsi="宋体" w:eastAsia="宋体" w:cs="宋体"/>
                <w:color w:val="auto"/>
                <w:sz w:val="24"/>
                <w:szCs w:val="22"/>
                <w:highlight w:val="none"/>
              </w:rPr>
            </w:pPr>
            <w:r>
              <w:rPr>
                <w:rFonts w:hint="eastAsia" w:ascii="宋体" w:hAnsi="宋体"/>
                <w:kern w:val="0"/>
                <w:sz w:val="24"/>
              </w:rPr>
              <w:t>3、实施进度安排编制有一定缺陷，有错误（如：与投标服务周期有矛盾等）得</w:t>
            </w:r>
            <w:r>
              <w:rPr>
                <w:rFonts w:hint="eastAsia" w:ascii="宋体" w:hAnsi="宋体"/>
                <w:kern w:val="0"/>
                <w:sz w:val="24"/>
                <w:lang w:val="en-US" w:eastAsia="zh-CN"/>
              </w:rPr>
              <w:t>1</w:t>
            </w:r>
            <w:r>
              <w:rPr>
                <w:rFonts w:hint="eastAsia" w:ascii="宋体" w:hAnsi="宋体"/>
                <w:kern w:val="0"/>
                <w:sz w:val="24"/>
              </w:rPr>
              <w:t>分。</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0D6B55A">
            <w:pPr>
              <w:widowControl/>
              <w:spacing w:before="62" w:beforeLines="20" w:line="300" w:lineRule="exact"/>
              <w:jc w:val="center"/>
              <w:rPr>
                <w:rFonts w:ascii="宋体" w:hAnsi="宋体"/>
                <w:kern w:val="0"/>
                <w:sz w:val="24"/>
              </w:rPr>
            </w:pPr>
            <w:r>
              <w:rPr>
                <w:rFonts w:hint="eastAsia" w:ascii="宋体" w:hAnsi="宋体"/>
                <w:kern w:val="0"/>
                <w:sz w:val="24"/>
              </w:rPr>
              <w:t>服务质量保证体系及措施</w:t>
            </w:r>
          </w:p>
          <w:p w14:paraId="09D07BFA">
            <w:pPr>
              <w:widowControl/>
              <w:spacing w:before="62" w:beforeLines="20" w:line="3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kern w:val="0"/>
                <w:sz w:val="24"/>
              </w:rPr>
              <w:t>（</w:t>
            </w:r>
            <w:r>
              <w:rPr>
                <w:rFonts w:hint="eastAsia" w:ascii="宋体" w:hAnsi="宋体"/>
                <w:sz w:val="24"/>
              </w:rPr>
              <w:t>0-</w:t>
            </w:r>
            <w:r>
              <w:rPr>
                <w:rFonts w:hint="eastAsia" w:ascii="宋体" w:hAnsi="宋体"/>
                <w:kern w:val="0"/>
                <w:sz w:val="24"/>
              </w:rPr>
              <w:t>10分）</w:t>
            </w:r>
          </w:p>
        </w:tc>
        <w:tc>
          <w:tcPr>
            <w:tcW w:w="7531" w:type="dxa"/>
            <w:gridSpan w:val="2"/>
            <w:shd w:val="clear" w:color="auto" w:fill="auto"/>
            <w:vAlign w:val="center"/>
          </w:tcPr>
          <w:p w14:paraId="304C271E">
            <w:pPr>
              <w:widowControl/>
              <w:spacing w:before="62" w:beforeLines="20" w:line="300" w:lineRule="exact"/>
              <w:rPr>
                <w:rFonts w:ascii="宋体" w:hAnsi="宋体" w:cs="黑体"/>
                <w:kern w:val="0"/>
                <w:sz w:val="24"/>
              </w:rPr>
            </w:pPr>
            <w:r>
              <w:rPr>
                <w:rFonts w:hint="eastAsia" w:ascii="宋体" w:hAnsi="宋体"/>
                <w:kern w:val="0"/>
                <w:sz w:val="24"/>
              </w:rPr>
              <w:t>1、服务质量承诺较好，质量保证措施完善、可行的得10分；</w:t>
            </w:r>
          </w:p>
          <w:p w14:paraId="14CF69E0">
            <w:pPr>
              <w:widowControl/>
              <w:spacing w:before="62" w:beforeLines="20" w:line="300" w:lineRule="exact"/>
              <w:rPr>
                <w:rFonts w:ascii="宋体" w:hAnsi="宋体"/>
                <w:kern w:val="0"/>
                <w:sz w:val="24"/>
              </w:rPr>
            </w:pPr>
            <w:r>
              <w:rPr>
                <w:rFonts w:hint="eastAsia" w:ascii="宋体" w:hAnsi="宋体"/>
                <w:kern w:val="0"/>
                <w:sz w:val="24"/>
              </w:rPr>
              <w:t>2、服务质量承诺一般，质量保证措施基本完善、基本可行的得</w:t>
            </w:r>
            <w:r>
              <w:rPr>
                <w:rFonts w:hint="eastAsia" w:ascii="宋体" w:hAnsi="宋体"/>
                <w:kern w:val="0"/>
                <w:sz w:val="24"/>
                <w:lang w:val="en-US" w:eastAsia="zh-CN"/>
              </w:rPr>
              <w:t>5</w:t>
            </w:r>
            <w:r>
              <w:rPr>
                <w:rFonts w:hint="eastAsia" w:ascii="宋体" w:hAnsi="宋体"/>
                <w:kern w:val="0"/>
                <w:sz w:val="24"/>
              </w:rPr>
              <w:t>分；</w:t>
            </w:r>
          </w:p>
          <w:p w14:paraId="585F9C47">
            <w:pPr>
              <w:widowControl/>
              <w:spacing w:before="62" w:beforeLines="20" w:line="300" w:lineRule="exact"/>
              <w:rPr>
                <w:rFonts w:hint="eastAsia" w:ascii="宋体" w:hAnsi="宋体" w:eastAsia="宋体" w:cs="宋体"/>
                <w:color w:val="auto"/>
                <w:sz w:val="24"/>
                <w:szCs w:val="22"/>
                <w:highlight w:val="none"/>
              </w:rPr>
            </w:pPr>
            <w:r>
              <w:rPr>
                <w:rFonts w:hint="eastAsia" w:ascii="宋体" w:hAnsi="宋体"/>
                <w:kern w:val="0"/>
                <w:sz w:val="24"/>
              </w:rPr>
              <w:t>3、服务质量承诺较差，质量保证措施不完善的得</w:t>
            </w:r>
            <w:r>
              <w:rPr>
                <w:rFonts w:hint="eastAsia" w:ascii="宋体" w:hAnsi="宋体"/>
                <w:kern w:val="0"/>
                <w:sz w:val="24"/>
                <w:lang w:val="en-US" w:eastAsia="zh-CN"/>
              </w:rPr>
              <w:t>1</w:t>
            </w:r>
            <w:r>
              <w:rPr>
                <w:rFonts w:hint="eastAsia" w:ascii="宋体" w:hAnsi="宋体"/>
                <w:kern w:val="0"/>
                <w:sz w:val="24"/>
              </w:rPr>
              <w:t>分。</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15</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411A4D08">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snapToGrid w:val="0"/>
                <w:color w:val="auto"/>
                <w:kern w:val="0"/>
                <w:sz w:val="24"/>
                <w:highlight w:val="none"/>
              </w:rPr>
              <w:t>企业业绩</w:t>
            </w:r>
          </w:p>
        </w:tc>
        <w:tc>
          <w:tcPr>
            <w:tcW w:w="6656" w:type="dxa"/>
            <w:vAlign w:val="center"/>
          </w:tcPr>
          <w:p w14:paraId="5F54A376">
            <w:pPr>
              <w:pStyle w:val="41"/>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w:t>
            </w:r>
          </w:p>
          <w:p w14:paraId="0379BE01">
            <w:pPr>
              <w:pStyle w:val="41"/>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w:t>
            </w:r>
            <w:r>
              <w:rPr>
                <w:rFonts w:hint="eastAsia" w:ascii="宋体" w:hAnsi="宋体" w:cs="宋体"/>
                <w:bCs/>
                <w:color w:val="auto"/>
                <w:szCs w:val="21"/>
                <w:highlight w:val="none"/>
                <w:lang w:val="en-US" w:eastAsia="zh-CN"/>
              </w:rPr>
              <w:t>或</w:t>
            </w:r>
            <w:r>
              <w:rPr>
                <w:rFonts w:hint="eastAsia" w:ascii="宋体" w:hAnsi="宋体" w:eastAsia="宋体" w:cs="宋体"/>
                <w:bCs/>
                <w:color w:val="auto"/>
                <w:szCs w:val="21"/>
                <w:highlight w:val="none"/>
              </w:rPr>
              <w:t>合同协议书为准,内容不完整则不得分）</w:t>
            </w:r>
          </w:p>
        </w:tc>
        <w:tc>
          <w:tcPr>
            <w:tcW w:w="875" w:type="dxa"/>
            <w:vAlign w:val="center"/>
          </w:tcPr>
          <w:p w14:paraId="3790F3CA">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lang w:val="en-US" w:eastAsia="zh-CN"/>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763663EA">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4FC1F45C">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2F71D39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0A5F02BE">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6B216014">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272262C0">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B1FDE28">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7ECE04B4">
            <w:pPr>
              <w:spacing w:line="360" w:lineRule="auto"/>
              <w:ind w:right="-97" w:rightChars="-46"/>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服务承诺</w:t>
            </w:r>
          </w:p>
        </w:tc>
        <w:tc>
          <w:tcPr>
            <w:tcW w:w="6656" w:type="dxa"/>
            <w:vAlign w:val="center"/>
          </w:tcPr>
          <w:p w14:paraId="4FF57E1C">
            <w:pPr>
              <w:spacing w:line="360" w:lineRule="auto"/>
              <w:ind w:right="-92" w:rightChars="-44"/>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根据供应商提供的优惠及服务内容，详细完整、科学合理、针对性强得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分，较详细完整、较科学合理、针对性一般得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分，各方面较差得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分，缺项不得分。</w:t>
            </w:r>
          </w:p>
        </w:tc>
        <w:tc>
          <w:tcPr>
            <w:tcW w:w="875" w:type="dxa"/>
            <w:vAlign w:val="center"/>
          </w:tcPr>
          <w:p w14:paraId="765736D4">
            <w:pPr>
              <w:jc w:val="center"/>
              <w:rPr>
                <w:rFonts w:hint="eastAsia" w:ascii="宋体" w:hAnsi="宋体" w:eastAsia="宋体" w:cs="宋体"/>
                <w:color w:val="auto"/>
                <w:kern w:val="0"/>
                <w:sz w:val="24"/>
                <w:highlight w:val="none"/>
              </w:rPr>
            </w:pPr>
            <w:r>
              <w:rPr>
                <w:rFonts w:hint="eastAsia" w:ascii="宋体" w:hAnsi="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rPr>
              <w:t>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供应商最终得分=报价得分+技术部分得分+</w:t>
            </w:r>
            <w:r>
              <w:rPr>
                <w:rFonts w:hint="eastAsia" w:ascii="宋体" w:hAnsi="宋体" w:cs="宋体"/>
                <w:snapToGrid w:val="0"/>
                <w:color w:val="auto"/>
                <w:kern w:val="0"/>
                <w:sz w:val="24"/>
                <w:highlight w:val="none"/>
                <w:lang w:val="en-US" w:eastAsia="zh-CN"/>
              </w:rPr>
              <w:t>综合</w:t>
            </w:r>
            <w:r>
              <w:rPr>
                <w:rFonts w:hint="eastAsia" w:ascii="宋体" w:hAnsi="宋体" w:eastAsia="宋体" w:cs="宋体"/>
                <w:snapToGrid w:val="0"/>
                <w:color w:val="auto"/>
                <w:kern w:val="0"/>
                <w:sz w:val="24"/>
                <w:highlight w:val="none"/>
              </w:rPr>
              <w:t>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0"/>
        </w:numPr>
        <w:tabs>
          <w:tab w:val="left" w:pos="1283"/>
        </w:tabs>
        <w:spacing w:before="55"/>
        <w:ind w:left="0" w:leftChars="0" w:right="22" w:rightChars="0" w:firstLine="0" w:firstLineChars="0"/>
        <w:jc w:val="center"/>
        <w:outlineLvl w:val="0"/>
        <w:rPr>
          <w:rFonts w:hint="eastAsia"/>
          <w:b/>
          <w:color w:val="auto"/>
          <w:sz w:val="32"/>
          <w:highlight w:val="none"/>
        </w:rPr>
      </w:pPr>
      <w:r>
        <w:rPr>
          <w:rFonts w:hint="eastAsia"/>
          <w:b/>
          <w:color w:val="auto"/>
          <w:sz w:val="32"/>
          <w:highlight w:val="none"/>
        </w:rPr>
        <w:br w:type="page"/>
      </w:r>
      <w:bookmarkStart w:id="6" w:name="_Toc9396"/>
      <w:r>
        <w:rPr>
          <w:rFonts w:hint="eastAsia"/>
          <w:b/>
          <w:color w:val="auto"/>
          <w:sz w:val="32"/>
          <w:highlight w:val="none"/>
          <w:lang w:val="en-US" w:eastAsia="zh-CN"/>
        </w:rPr>
        <w:t xml:space="preserve">第四章 </w:t>
      </w:r>
      <w:r>
        <w:rPr>
          <w:rFonts w:hint="eastAsia"/>
          <w:b/>
          <w:color w:val="auto"/>
          <w:sz w:val="32"/>
          <w:highlight w:val="none"/>
        </w:rPr>
        <w:t>合同主要条款及格式</w:t>
      </w:r>
      <w:bookmarkEnd w:id="6"/>
    </w:p>
    <w:p w14:paraId="6CBA79CD">
      <w:pPr>
        <w:rPr>
          <w:rFonts w:hint="eastAsia" w:ascii="宋体" w:hAnsi="宋体" w:eastAsia="宋体" w:cs="宋体"/>
          <w:b/>
          <w:color w:val="auto"/>
          <w:sz w:val="32"/>
          <w:szCs w:val="32"/>
          <w:highlight w:val="none"/>
        </w:rPr>
      </w:pPr>
    </w:p>
    <w:p w14:paraId="04B93C3F">
      <w:pPr>
        <w:snapToGrid/>
        <w:spacing w:line="240" w:lineRule="auto"/>
        <w:jc w:val="center"/>
        <w:rPr>
          <w:rFonts w:hint="eastAsia" w:eastAsia="黑体"/>
          <w:spacing w:val="20"/>
          <w:sz w:val="52"/>
        </w:rPr>
      </w:pPr>
    </w:p>
    <w:p w14:paraId="52AC3BCA">
      <w:pPr>
        <w:jc w:val="center"/>
        <w:rPr>
          <w:rFonts w:hint="eastAsia" w:eastAsia="黑体"/>
          <w:sz w:val="30"/>
        </w:rPr>
      </w:pPr>
      <w:r>
        <w:rPr>
          <w:rFonts w:hint="eastAsia" w:eastAsia="黑体"/>
          <w:spacing w:val="20"/>
          <w:sz w:val="52"/>
        </w:rPr>
        <w:t>建设工程</w:t>
      </w:r>
      <w:r>
        <w:rPr>
          <w:rFonts w:hint="eastAsia" w:eastAsia="黑体"/>
          <w:spacing w:val="20"/>
          <w:sz w:val="52"/>
          <w:lang w:val="en-US" w:eastAsia="zh-CN"/>
        </w:rPr>
        <w:t>设计</w:t>
      </w:r>
      <w:r>
        <w:rPr>
          <w:rFonts w:hint="eastAsia" w:eastAsia="黑体"/>
          <w:spacing w:val="20"/>
          <w:sz w:val="52"/>
        </w:rPr>
        <w:t>合同</w:t>
      </w:r>
    </w:p>
    <w:p w14:paraId="4794CB95">
      <w:pPr>
        <w:rPr>
          <w:rFonts w:hint="eastAsia"/>
        </w:rPr>
      </w:pPr>
    </w:p>
    <w:p w14:paraId="4705A0E7">
      <w:pPr>
        <w:pStyle w:val="54"/>
        <w:rPr>
          <w:rFonts w:hint="eastAsia"/>
        </w:rPr>
      </w:pPr>
    </w:p>
    <w:p w14:paraId="36CB70F9">
      <w:pPr>
        <w:pStyle w:val="54"/>
        <w:rPr>
          <w:rFonts w:hint="eastAsia"/>
        </w:rPr>
      </w:pPr>
    </w:p>
    <w:p w14:paraId="557007C0">
      <w:pPr>
        <w:spacing w:line="700" w:lineRule="exact"/>
        <w:rPr>
          <w:rFonts w:hint="eastAsia" w:eastAsia="黑体"/>
          <w:sz w:val="30"/>
        </w:rPr>
      </w:pPr>
    </w:p>
    <w:p w14:paraId="0E9E27B2">
      <w:pPr>
        <w:spacing w:line="600" w:lineRule="exact"/>
        <w:ind w:left="2340" w:hanging="2080" w:hangingChars="650"/>
        <w:rPr>
          <w:rFonts w:hint="eastAsia"/>
          <w:spacing w:val="-30"/>
          <w:sz w:val="28"/>
          <w:szCs w:val="28"/>
          <w:u w:val="single"/>
        </w:rPr>
      </w:pPr>
      <w:r>
        <w:rPr>
          <w:rFonts w:hint="eastAsia"/>
          <w:spacing w:val="10"/>
          <w:sz w:val="30"/>
          <w:szCs w:val="30"/>
        </w:rPr>
        <w:t>工 程 名 称</w:t>
      </w:r>
      <w:r>
        <w:rPr>
          <w:rFonts w:hint="eastAsia"/>
          <w:spacing w:val="-20"/>
          <w:sz w:val="30"/>
          <w:szCs w:val="30"/>
        </w:rPr>
        <w:t>：</w:t>
      </w:r>
      <w:r>
        <w:rPr>
          <w:rFonts w:hint="eastAsia"/>
          <w:spacing w:val="-20"/>
          <w:sz w:val="30"/>
          <w:szCs w:val="30"/>
          <w:u w:val="single"/>
        </w:rPr>
        <w:t xml:space="preserve">     </w:t>
      </w:r>
      <w:r>
        <w:rPr>
          <w:rFonts w:hint="eastAsia"/>
          <w:spacing w:val="-20"/>
          <w:sz w:val="30"/>
          <w:szCs w:val="30"/>
          <w:u w:val="single"/>
          <w:lang w:val="en-US" w:eastAsia="zh-CN"/>
        </w:rPr>
        <w:t xml:space="preserve">                     </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p>
    <w:p w14:paraId="4B1D01E3">
      <w:pPr>
        <w:spacing w:line="600" w:lineRule="exact"/>
        <w:rPr>
          <w:rFonts w:hint="eastAsia" w:ascii="楷体_GB2312" w:hAnsi="宋体"/>
          <w:sz w:val="30"/>
          <w:szCs w:val="30"/>
          <w:u w:val="single"/>
        </w:rPr>
      </w:pPr>
      <w:r>
        <w:rPr>
          <w:rFonts w:hint="eastAsia"/>
          <w:spacing w:val="10"/>
          <w:sz w:val="30"/>
          <w:szCs w:val="30"/>
        </w:rPr>
        <w:t>工 程 地 点</w:t>
      </w:r>
      <w:r>
        <w:rPr>
          <w:rFonts w:hint="eastAsia"/>
          <w:sz w:val="30"/>
          <w:szCs w:val="30"/>
        </w:rPr>
        <w:t>：</w:t>
      </w:r>
      <w:r>
        <w:rPr>
          <w:rFonts w:hint="eastAsia" w:ascii="楷体_GB2312" w:hAnsi="宋体"/>
          <w:sz w:val="30"/>
          <w:szCs w:val="30"/>
          <w:u w:val="single"/>
        </w:rPr>
        <w:t xml:space="preserve">        三门峡市义马市         </w:t>
      </w:r>
    </w:p>
    <w:p w14:paraId="04EB115C">
      <w:pPr>
        <w:spacing w:line="600" w:lineRule="exact"/>
        <w:rPr>
          <w:rFonts w:hint="eastAsia"/>
          <w:sz w:val="30"/>
          <w:szCs w:val="30"/>
          <w:u w:val="single"/>
        </w:rPr>
      </w:pPr>
      <w:r>
        <w:rPr>
          <w:rFonts w:hint="eastAsia"/>
          <w:spacing w:val="10"/>
          <w:sz w:val="30"/>
          <w:szCs w:val="30"/>
        </w:rPr>
        <w:t>合 同 编 号</w:t>
      </w:r>
      <w:r>
        <w:rPr>
          <w:rFonts w:hint="eastAsia"/>
          <w:sz w:val="30"/>
          <w:szCs w:val="30"/>
        </w:rPr>
        <w:t>：</w:t>
      </w:r>
      <w:r>
        <w:rPr>
          <w:rFonts w:hint="eastAsia"/>
          <w:bCs/>
          <w:sz w:val="30"/>
          <w:szCs w:val="30"/>
          <w:u w:val="single"/>
        </w:rPr>
        <w:t xml:space="preserve">                               </w:t>
      </w:r>
    </w:p>
    <w:p w14:paraId="7D64CF81">
      <w:pPr>
        <w:spacing w:line="600" w:lineRule="exact"/>
        <w:ind w:left="2380" w:hanging="2100" w:hangingChars="700"/>
        <w:rPr>
          <w:rFonts w:hint="eastAsia"/>
          <w:sz w:val="30"/>
          <w:szCs w:val="30"/>
          <w:u w:val="single"/>
        </w:rPr>
      </w:pPr>
      <w:r>
        <w:rPr>
          <w:rFonts w:hint="eastAsia"/>
          <w:sz w:val="30"/>
          <w:szCs w:val="30"/>
        </w:rPr>
        <w:t>发   包   人：</w:t>
      </w:r>
      <w:r>
        <w:rPr>
          <w:rFonts w:hint="eastAsia"/>
          <w:sz w:val="30"/>
          <w:szCs w:val="30"/>
          <w:u w:val="single"/>
        </w:rPr>
        <w:t xml:space="preserve">       义马市交通运输局        </w:t>
      </w:r>
    </w:p>
    <w:p w14:paraId="1A3EFFF3">
      <w:pPr>
        <w:spacing w:line="600" w:lineRule="exact"/>
        <w:ind w:left="2380" w:hanging="2100" w:hangingChars="700"/>
        <w:rPr>
          <w:rFonts w:hint="eastAsia"/>
          <w:sz w:val="30"/>
          <w:szCs w:val="30"/>
          <w:u w:val="single"/>
        </w:rPr>
      </w:pPr>
      <w:r>
        <w:rPr>
          <w:rFonts w:hint="eastAsia"/>
          <w:sz w:val="30"/>
          <w:szCs w:val="30"/>
          <w:lang w:val="en-US" w:eastAsia="zh-CN"/>
        </w:rPr>
        <w:t>设</w:t>
      </w:r>
      <w:r>
        <w:rPr>
          <w:rFonts w:hint="eastAsia"/>
          <w:sz w:val="30"/>
          <w:szCs w:val="30"/>
        </w:rPr>
        <w:t xml:space="preserve">   </w:t>
      </w:r>
      <w:r>
        <w:rPr>
          <w:rFonts w:hint="eastAsia"/>
          <w:sz w:val="30"/>
          <w:szCs w:val="30"/>
          <w:lang w:val="en-US" w:eastAsia="zh-CN"/>
        </w:rPr>
        <w:t>计</w:t>
      </w:r>
      <w:r>
        <w:rPr>
          <w:rFonts w:hint="eastAsia"/>
          <w:sz w:val="30"/>
          <w:szCs w:val="30"/>
        </w:rPr>
        <w:t xml:space="preserve">   人：</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p>
    <w:p w14:paraId="6410035D">
      <w:pPr>
        <w:spacing w:line="600" w:lineRule="exact"/>
        <w:rPr>
          <w:rFonts w:hint="eastAsia"/>
          <w:sz w:val="32"/>
          <w:szCs w:val="32"/>
        </w:rPr>
      </w:pPr>
      <w:r>
        <w:rPr>
          <w:rFonts w:hint="eastAsia"/>
          <w:spacing w:val="10"/>
          <w:sz w:val="30"/>
          <w:szCs w:val="30"/>
        </w:rPr>
        <w:t>签 订 日 期</w:t>
      </w:r>
      <w:r>
        <w:rPr>
          <w:rFonts w:hint="eastAsia"/>
          <w:sz w:val="30"/>
          <w:szCs w:val="30"/>
        </w:rPr>
        <w:t>：</w:t>
      </w:r>
      <w:r>
        <w:rPr>
          <w:rFonts w:hint="eastAsia"/>
          <w:spacing w:val="-20"/>
          <w:sz w:val="30"/>
          <w:szCs w:val="30"/>
          <w:u w:val="single"/>
        </w:rPr>
        <w:t xml:space="preserve">         </w:t>
      </w:r>
      <w:r>
        <w:rPr>
          <w:rFonts w:hint="eastAsia"/>
          <w:spacing w:val="-20"/>
          <w:sz w:val="30"/>
          <w:szCs w:val="30"/>
          <w:u w:val="single"/>
          <w:lang w:val="en-US" w:eastAsia="zh-CN"/>
        </w:rPr>
        <w:t xml:space="preserve"> </w:t>
      </w:r>
      <w:r>
        <w:rPr>
          <w:rFonts w:hint="eastAsia"/>
          <w:spacing w:val="-20"/>
          <w:sz w:val="30"/>
          <w:szCs w:val="30"/>
          <w:u w:val="single"/>
        </w:rPr>
        <w:t xml:space="preserve"> </w:t>
      </w:r>
      <w:r>
        <w:rPr>
          <w:rFonts w:hint="eastAsia"/>
          <w:spacing w:val="-20"/>
          <w:sz w:val="30"/>
          <w:szCs w:val="30"/>
          <w:u w:val="single"/>
          <w:lang w:val="en-US" w:eastAsia="zh-CN"/>
        </w:rPr>
        <w:t xml:space="preserve">  </w:t>
      </w:r>
      <w:r>
        <w:rPr>
          <w:rFonts w:hint="eastAsia"/>
          <w:spacing w:val="-20"/>
          <w:sz w:val="30"/>
          <w:szCs w:val="30"/>
          <w:u w:val="single"/>
        </w:rPr>
        <w:t>年</w:t>
      </w:r>
      <w:r>
        <w:rPr>
          <w:rFonts w:hint="eastAsia"/>
          <w:spacing w:val="-20"/>
          <w:sz w:val="30"/>
          <w:szCs w:val="30"/>
          <w:u w:val="single"/>
          <w:lang w:val="en-US" w:eastAsia="zh-CN"/>
        </w:rPr>
        <w:t xml:space="preserve">    </w:t>
      </w:r>
      <w:r>
        <w:rPr>
          <w:rFonts w:hint="eastAsia"/>
          <w:spacing w:val="-20"/>
          <w:sz w:val="30"/>
          <w:szCs w:val="30"/>
          <w:u w:val="single"/>
        </w:rPr>
        <w:t>月</w:t>
      </w:r>
      <w:r>
        <w:rPr>
          <w:rFonts w:hint="eastAsia"/>
          <w:spacing w:val="-20"/>
          <w:sz w:val="30"/>
          <w:szCs w:val="30"/>
          <w:u w:val="single"/>
          <w:lang w:val="en-US" w:eastAsia="zh-CN"/>
        </w:rPr>
        <w:t xml:space="preserve">    </w:t>
      </w:r>
      <w:r>
        <w:rPr>
          <w:rFonts w:hint="eastAsia"/>
          <w:spacing w:val="-20"/>
          <w:sz w:val="30"/>
          <w:szCs w:val="30"/>
          <w:u w:val="single"/>
        </w:rPr>
        <w:t xml:space="preserve">日     </w:t>
      </w:r>
      <w:r>
        <w:rPr>
          <w:rFonts w:hint="eastAsia"/>
          <w:sz w:val="30"/>
          <w:szCs w:val="30"/>
          <w:u w:val="single"/>
        </w:rPr>
        <w:t xml:space="preserve">     </w:t>
      </w:r>
    </w:p>
    <w:p w14:paraId="3CADD629">
      <w:pPr>
        <w:spacing w:line="700" w:lineRule="exact"/>
        <w:ind w:left="555"/>
        <w:rPr>
          <w:rFonts w:hint="eastAsia" w:eastAsia="黑体"/>
          <w:sz w:val="52"/>
        </w:rPr>
      </w:pPr>
    </w:p>
    <w:p w14:paraId="5483A1D5">
      <w:pPr>
        <w:spacing w:line="700" w:lineRule="exact"/>
        <w:ind w:left="555"/>
        <w:rPr>
          <w:rFonts w:hint="eastAsia" w:eastAsia="黑体"/>
          <w:sz w:val="52"/>
        </w:rPr>
      </w:pPr>
    </w:p>
    <w:p w14:paraId="43160A6E">
      <w:pPr>
        <w:spacing w:line="640" w:lineRule="exact"/>
        <w:jc w:val="center"/>
        <w:rPr>
          <w:rFonts w:hint="eastAsia" w:ascii="宋体" w:eastAsia="宋体"/>
          <w:b/>
          <w:sz w:val="32"/>
          <w:szCs w:val="32"/>
        </w:rPr>
      </w:pPr>
    </w:p>
    <w:p w14:paraId="33C55891">
      <w:pPr>
        <w:spacing w:line="640" w:lineRule="exact"/>
        <w:jc w:val="center"/>
        <w:rPr>
          <w:rFonts w:hint="eastAsia" w:ascii="宋体" w:eastAsia="宋体"/>
          <w:b/>
          <w:sz w:val="32"/>
          <w:szCs w:val="32"/>
        </w:rPr>
      </w:pPr>
    </w:p>
    <w:p w14:paraId="0DC97303">
      <w:pPr>
        <w:spacing w:line="640" w:lineRule="exact"/>
        <w:jc w:val="center"/>
        <w:rPr>
          <w:rFonts w:hint="eastAsia" w:ascii="宋体" w:eastAsia="宋体"/>
          <w:b/>
          <w:sz w:val="32"/>
          <w:szCs w:val="32"/>
        </w:rPr>
      </w:pPr>
    </w:p>
    <w:p w14:paraId="5FC0AE50">
      <w:pPr>
        <w:spacing w:line="640" w:lineRule="exact"/>
        <w:jc w:val="center"/>
        <w:rPr>
          <w:rFonts w:hint="eastAsia" w:ascii="宋体" w:eastAsia="宋体"/>
          <w:b/>
          <w:sz w:val="32"/>
          <w:szCs w:val="32"/>
        </w:rPr>
      </w:pPr>
      <w:r>
        <w:rPr>
          <w:rFonts w:ascii="宋体" w:eastAsia="宋体"/>
          <w:b/>
          <w:sz w:val="32"/>
          <w:szCs w:val="32"/>
        </w:rPr>
        <mc:AlternateContent>
          <mc:Choice Requires="wps">
            <w:drawing>
              <wp:anchor distT="0" distB="0" distL="114300" distR="114300" simplePos="0" relativeHeight="251659264" behindDoc="0" locked="0" layoutInCell="1" allowOverlap="1">
                <wp:simplePos x="0" y="0"/>
                <wp:positionH relativeFrom="column">
                  <wp:posOffset>3634740</wp:posOffset>
                </wp:positionH>
                <wp:positionV relativeFrom="paragraph">
                  <wp:posOffset>254635</wp:posOffset>
                </wp:positionV>
                <wp:extent cx="790575" cy="4191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90575" cy="419100"/>
                        </a:xfrm>
                        <a:prstGeom prst="rect">
                          <a:avLst/>
                        </a:prstGeom>
                        <a:noFill/>
                        <a:ln>
                          <a:noFill/>
                        </a:ln>
                      </wps:spPr>
                      <wps:txbx>
                        <w:txbxContent>
                          <w:p w14:paraId="652526B3">
                            <w:pPr>
                              <w:spacing w:line="520" w:lineRule="exact"/>
                            </w:pPr>
                            <w:r>
                              <w:rPr>
                                <w:rFonts w:hint="eastAsia" w:ascii="宋体" w:eastAsia="宋体"/>
                                <w:b/>
                                <w:sz w:val="32"/>
                                <w:szCs w:val="32"/>
                              </w:rPr>
                              <w:t>监制</w:t>
                            </w:r>
                          </w:p>
                        </w:txbxContent>
                      </wps:txbx>
                      <wps:bodyPr upright="1"/>
                    </wps:wsp>
                  </a:graphicData>
                </a:graphic>
              </wp:anchor>
            </w:drawing>
          </mc:Choice>
          <mc:Fallback>
            <w:pict>
              <v:shape id="_x0000_s1026" o:spid="_x0000_s1026" o:spt="202" type="#_x0000_t202" style="position:absolute;left:0pt;margin-left:286.2pt;margin-top:20.05pt;height:33pt;width:62.25pt;z-index:251659264;mso-width-relative:page;mso-height-relative:page;" filled="f" stroked="f" coordsize="21600,21600" o:gfxdata="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u1gztcA&#10;AAAKAQAADwAAAAAAAAABACAAAAAiAAAAZHJzL2Rvd25yZXYueG1sUEsBAhQAFAAAAAgAh07iQNao&#10;tk+uAQAATQMAAA4AAAAAAAAAAQAgAAAAJgEAAGRycy9lMm9Eb2MueG1sUEsFBgAAAAAGAAYAWQEA&#10;AEYFAAAAAA==&#10;">
                <v:fill on="f" focussize="0,0"/>
                <v:stroke on="f"/>
                <v:imagedata o:title=""/>
                <o:lock v:ext="edit" aspectratio="f"/>
                <v:textbox>
                  <w:txbxContent>
                    <w:p w14:paraId="652526B3">
                      <w:pPr>
                        <w:spacing w:line="520" w:lineRule="exact"/>
                      </w:pPr>
                      <w:r>
                        <w:rPr>
                          <w:rFonts w:hint="eastAsia" w:ascii="宋体" w:eastAsia="宋体"/>
                          <w:b/>
                          <w:sz w:val="32"/>
                          <w:szCs w:val="32"/>
                        </w:rPr>
                        <w:t>监制</w:t>
                      </w:r>
                    </w:p>
                  </w:txbxContent>
                </v:textbox>
              </v:shape>
            </w:pict>
          </mc:Fallback>
        </mc:AlternateContent>
      </w:r>
      <w:r>
        <w:rPr>
          <w:rFonts w:hint="eastAsia" w:ascii="宋体" w:eastAsia="宋体"/>
          <w:b/>
          <w:sz w:val="32"/>
          <w:szCs w:val="32"/>
        </w:rPr>
        <w:t>中华人民共和国建设部</w:t>
      </w:r>
    </w:p>
    <w:p w14:paraId="6DF65B80">
      <w:pPr>
        <w:spacing w:line="640" w:lineRule="exact"/>
        <w:jc w:val="center"/>
        <w:rPr>
          <w:rFonts w:hint="eastAsia" w:ascii="宋体" w:eastAsia="宋体"/>
          <w:b/>
          <w:spacing w:val="20"/>
          <w:sz w:val="32"/>
          <w:szCs w:val="32"/>
        </w:rPr>
      </w:pPr>
      <w:r>
        <w:rPr>
          <w:rFonts w:hint="eastAsia" w:ascii="宋体" w:eastAsia="宋体"/>
          <w:b/>
          <w:spacing w:val="20"/>
          <w:sz w:val="32"/>
          <w:szCs w:val="32"/>
        </w:rPr>
        <w:t>国家工商行政管理局</w:t>
      </w:r>
    </w:p>
    <w:p w14:paraId="2638EB64">
      <w:pPr>
        <w:rPr>
          <w:rFonts w:hint="eastAsia" w:ascii="宋体" w:hAnsi="宋体"/>
          <w:sz w:val="28"/>
        </w:rPr>
      </w:pPr>
    </w:p>
    <w:p w14:paraId="68197A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14:paraId="4C69831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发包人：</w:t>
      </w:r>
      <w:r>
        <w:rPr>
          <w:rFonts w:hint="eastAsia" w:asciiTheme="minorEastAsia" w:hAnsiTheme="minorEastAsia" w:eastAsiaTheme="minorEastAsia" w:cstheme="minorEastAsia"/>
          <w:sz w:val="28"/>
          <w:szCs w:val="28"/>
          <w:u w:val="single"/>
        </w:rPr>
        <w:t xml:space="preserve">义马市交通运输局              </w:t>
      </w:r>
    </w:p>
    <w:p w14:paraId="4CCBB6C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设计</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14:paraId="5A63ABB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发包人委托</w:t>
      </w:r>
      <w:r>
        <w:rPr>
          <w:rFonts w:hint="eastAsia" w:asciiTheme="minorEastAsia" w:hAnsiTheme="minorEastAsia" w:eastAsiaTheme="minorEastAsia" w:cstheme="minorEastAsia"/>
          <w:sz w:val="28"/>
          <w:szCs w:val="28"/>
          <w:lang w:val="en-US" w:eastAsia="zh-CN"/>
        </w:rPr>
        <w:t>设计</w:t>
      </w:r>
      <w:r>
        <w:rPr>
          <w:rFonts w:hint="eastAsia" w:asciiTheme="minorEastAsia" w:hAnsiTheme="minorEastAsia" w:eastAsiaTheme="minorEastAsia" w:cstheme="minorEastAsia"/>
          <w:sz w:val="28"/>
          <w:szCs w:val="28"/>
        </w:rPr>
        <w:t>人承担</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项目设计服务工作，工程地点为</w:t>
      </w:r>
      <w:r>
        <w:rPr>
          <w:rFonts w:hint="eastAsia" w:asciiTheme="minorEastAsia" w:hAnsiTheme="minorEastAsia" w:eastAsiaTheme="minorEastAsia" w:cstheme="minorEastAsia"/>
          <w:sz w:val="28"/>
          <w:szCs w:val="28"/>
          <w:u w:val="single"/>
        </w:rPr>
        <w:t>三门峡市义马市</w:t>
      </w:r>
      <w:r>
        <w:rPr>
          <w:rFonts w:hint="eastAsia" w:asciiTheme="minorEastAsia" w:hAnsiTheme="minorEastAsia" w:eastAsiaTheme="minorEastAsia" w:cstheme="minorEastAsia"/>
          <w:sz w:val="28"/>
          <w:szCs w:val="28"/>
        </w:rPr>
        <w:t>，经双方协商一致，签订本合同，共同执行。</w:t>
      </w:r>
    </w:p>
    <w:p w14:paraId="3F15B501">
      <w:pPr>
        <w:keepNext w:val="0"/>
        <w:keepLines w:val="0"/>
        <w:pageBreakBefore w:val="0"/>
        <w:kinsoku/>
        <w:wordWrap/>
        <w:overflowPunct/>
        <w:topLinePunct w:val="0"/>
        <w:autoSpaceDE/>
        <w:autoSpaceDN/>
        <w:bidi w:val="0"/>
        <w:adjustRightInd/>
        <w:snapToGrid/>
        <w:spacing w:line="360" w:lineRule="auto"/>
        <w:ind w:firstLine="555"/>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第一条 本合同签订依据</w:t>
      </w:r>
    </w:p>
    <w:p w14:paraId="7DC9B79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《中华人民共和国民法典</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《中华人民共和国建筑法》。</w:t>
      </w:r>
    </w:p>
    <w:p w14:paraId="3644ED0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国家及地方有关建设工程设计管理法规和规章。</w:t>
      </w:r>
    </w:p>
    <w:p w14:paraId="4B2F62B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建设工程批准文件。</w:t>
      </w:r>
    </w:p>
    <w:p w14:paraId="2E341C5A">
      <w:pPr>
        <w:keepNext w:val="0"/>
        <w:keepLines w:val="0"/>
        <w:pageBreakBefore w:val="0"/>
        <w:kinsoku/>
        <w:wordWrap/>
        <w:overflowPunct/>
        <w:topLinePunct w:val="0"/>
        <w:autoSpaceDE/>
        <w:autoSpaceDN/>
        <w:bidi w:val="0"/>
        <w:adjustRightInd/>
        <w:snapToGrid/>
        <w:spacing w:line="360" w:lineRule="auto"/>
        <w:ind w:firstLine="555"/>
        <w:textAlignment w:val="auto"/>
        <w:outlineLvl w:val="0"/>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z w:val="28"/>
          <w:szCs w:val="28"/>
        </w:rPr>
        <w:t xml:space="preserve">第二条 </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依据</w:t>
      </w:r>
    </w:p>
    <w:p w14:paraId="553AD31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 发包人给</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人的委托书或设计合同</w:t>
      </w:r>
    </w:p>
    <w:p w14:paraId="73C6653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发包人提交的基础资料及意见</w:t>
      </w:r>
    </w:p>
    <w:p w14:paraId="11BF4FF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pacing w:val="6"/>
          <w:sz w:val="28"/>
          <w:szCs w:val="28"/>
          <w:u w:val="single"/>
          <w:lang w:eastAsia="zh-CN"/>
        </w:rPr>
      </w:pPr>
      <w:r>
        <w:rPr>
          <w:rFonts w:hint="eastAsia" w:asciiTheme="minorEastAsia" w:hAnsiTheme="minorEastAsia" w:eastAsiaTheme="minorEastAsia" w:cstheme="minorEastAsia"/>
          <w:sz w:val="28"/>
          <w:szCs w:val="28"/>
        </w:rPr>
        <w:t xml:space="preserve">2.3 </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人采用的主要技术标准是：</w:t>
      </w:r>
      <w:r>
        <w:rPr>
          <w:rFonts w:hint="eastAsia" w:asciiTheme="minorEastAsia" w:hAnsiTheme="minorEastAsia" w:eastAsiaTheme="minorEastAsia" w:cstheme="minorEastAsia"/>
          <w:spacing w:val="6"/>
          <w:sz w:val="28"/>
          <w:szCs w:val="28"/>
          <w:u w:val="single"/>
        </w:rPr>
        <w:t>国家、地方现行的有关技术标准和规范</w:t>
      </w:r>
      <w:r>
        <w:rPr>
          <w:rFonts w:hint="eastAsia" w:asciiTheme="minorEastAsia" w:hAnsiTheme="minorEastAsia" w:eastAsiaTheme="minorEastAsia" w:cstheme="minorEastAsia"/>
          <w:spacing w:val="6"/>
          <w:sz w:val="28"/>
          <w:szCs w:val="28"/>
          <w:u w:val="single"/>
          <w:lang w:eastAsia="zh-CN"/>
        </w:rPr>
        <w:t>；</w:t>
      </w:r>
    </w:p>
    <w:p w14:paraId="47E931F9">
      <w:pPr>
        <w:keepNext w:val="0"/>
        <w:keepLines w:val="0"/>
        <w:pageBreakBefore w:val="0"/>
        <w:kinsoku/>
        <w:wordWrap/>
        <w:overflowPunct/>
        <w:topLinePunct w:val="0"/>
        <w:autoSpaceDE/>
        <w:autoSpaceDN/>
        <w:bidi w:val="0"/>
        <w:adjustRightInd/>
        <w:snapToGrid/>
        <w:spacing w:line="360" w:lineRule="auto"/>
        <w:ind w:firstLine="555"/>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第三条 合同文件的优先次序</w:t>
      </w:r>
    </w:p>
    <w:p w14:paraId="591DB6B4">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构成本合同的文件可视为是能互相说明的，如果合同文件存在歧义或不一致，则根据如下优先次序来判断：</w:t>
      </w:r>
    </w:p>
    <w:p w14:paraId="60E0CBA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 合同书</w:t>
      </w:r>
    </w:p>
    <w:p w14:paraId="5B96F26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 发包人要求及委托书</w:t>
      </w:r>
    </w:p>
    <w:p w14:paraId="722DB5D5">
      <w:pPr>
        <w:keepNext w:val="0"/>
        <w:keepLines w:val="0"/>
        <w:pageBreakBefore w:val="0"/>
        <w:kinsoku/>
        <w:wordWrap/>
        <w:overflowPunct/>
        <w:topLinePunct w:val="0"/>
        <w:autoSpaceDE/>
        <w:autoSpaceDN/>
        <w:bidi w:val="0"/>
        <w:adjustRightInd/>
        <w:snapToGrid/>
        <w:spacing w:line="360" w:lineRule="auto"/>
        <w:ind w:firstLine="496" w:firstLineChars="200"/>
        <w:textAlignment w:val="auto"/>
        <w:outlineLvl w:val="0"/>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6"/>
          <w:sz w:val="28"/>
          <w:szCs w:val="28"/>
        </w:rPr>
        <w:t xml:space="preserve">第四条 </w:t>
      </w:r>
      <w:r>
        <w:rPr>
          <w:rFonts w:hint="eastAsia" w:asciiTheme="minorEastAsia" w:hAnsiTheme="minorEastAsia" w:eastAsiaTheme="minorEastAsia" w:cstheme="minorEastAsia"/>
          <w:sz w:val="28"/>
          <w:szCs w:val="28"/>
        </w:rPr>
        <w:t>本合同项目的名称、规模、阶段及</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内容（根据行业特点填写）</w:t>
      </w:r>
    </w:p>
    <w:p w14:paraId="7863A0AD">
      <w:pPr>
        <w:keepNext w:val="0"/>
        <w:keepLines w:val="0"/>
        <w:pageBreakBefore w:val="0"/>
        <w:kinsoku/>
        <w:wordWrap/>
        <w:overflowPunct/>
        <w:topLinePunct w:val="0"/>
        <w:autoSpaceDE/>
        <w:autoSpaceDN/>
        <w:bidi w:val="0"/>
        <w:adjustRightInd/>
        <w:snapToGrid/>
        <w:spacing w:line="360" w:lineRule="auto"/>
        <w:ind w:firstLine="544" w:firstLineChars="200"/>
        <w:textAlignment w:val="auto"/>
        <w:rPr>
          <w:rFonts w:hint="eastAsia" w:asciiTheme="minorEastAsia" w:hAnsiTheme="minorEastAsia" w:eastAsiaTheme="minorEastAsia" w:cstheme="minorEastAsia"/>
          <w:spacing w:val="-20"/>
          <w:sz w:val="28"/>
          <w:szCs w:val="28"/>
          <w:u w:val="single"/>
        </w:rPr>
      </w:pPr>
      <w:r>
        <w:rPr>
          <w:rFonts w:hint="eastAsia" w:asciiTheme="minorEastAsia" w:hAnsiTheme="minorEastAsia" w:eastAsiaTheme="minorEastAsia" w:cstheme="minorEastAsia"/>
          <w:spacing w:val="-4"/>
          <w:sz w:val="28"/>
          <w:szCs w:val="28"/>
          <w:u w:val="single"/>
        </w:rPr>
        <w:t>1、名称：</w:t>
      </w:r>
      <w:r>
        <w:rPr>
          <w:rFonts w:hint="eastAsia" w:asciiTheme="minorEastAsia" w:hAnsiTheme="minorEastAsia" w:eastAsiaTheme="minorEastAsia" w:cstheme="minorEastAsia"/>
          <w:spacing w:val="-4"/>
          <w:sz w:val="28"/>
          <w:szCs w:val="28"/>
          <w:u w:val="single"/>
          <w:lang w:val="en-US" w:eastAsia="zh-CN"/>
        </w:rPr>
        <w:t xml:space="preserve">                   </w:t>
      </w:r>
      <w:r>
        <w:rPr>
          <w:rFonts w:hint="eastAsia" w:asciiTheme="minorEastAsia" w:hAnsiTheme="minorEastAsia" w:eastAsiaTheme="minorEastAsia" w:cstheme="minorEastAsia"/>
          <w:spacing w:val="-4"/>
          <w:sz w:val="28"/>
          <w:szCs w:val="28"/>
        </w:rPr>
        <w:t>。</w:t>
      </w:r>
    </w:p>
    <w:p w14:paraId="4C26EDFD">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pacing w:val="-4"/>
          <w:sz w:val="28"/>
          <w:szCs w:val="28"/>
          <w:u w:val="single"/>
        </w:rPr>
      </w:pPr>
      <w:r>
        <w:rPr>
          <w:rFonts w:hint="eastAsia" w:asciiTheme="minorEastAsia" w:hAnsiTheme="minorEastAsia" w:eastAsiaTheme="minorEastAsia" w:cstheme="minorEastAsia"/>
          <w:sz w:val="28"/>
          <w:szCs w:val="28"/>
          <w:u w:val="single"/>
        </w:rPr>
        <w:t>2、</w:t>
      </w:r>
      <w:r>
        <w:rPr>
          <w:rFonts w:hint="eastAsia" w:asciiTheme="minorEastAsia" w:hAnsiTheme="minorEastAsia" w:eastAsiaTheme="minorEastAsia" w:cstheme="minorEastAsia"/>
          <w:spacing w:val="-4"/>
          <w:sz w:val="28"/>
          <w:szCs w:val="28"/>
          <w:u w:val="single"/>
          <w:lang w:val="en-US" w:eastAsia="zh-CN"/>
        </w:rPr>
        <w:t xml:space="preserve">规模：                       </w:t>
      </w:r>
      <w:r>
        <w:rPr>
          <w:rFonts w:hint="eastAsia" w:asciiTheme="minorEastAsia" w:hAnsiTheme="minorEastAsia" w:eastAsiaTheme="minorEastAsia" w:cstheme="minorEastAsia"/>
          <w:spacing w:val="-4"/>
          <w:sz w:val="28"/>
          <w:szCs w:val="28"/>
          <w:u w:val="single"/>
        </w:rPr>
        <w:t>。</w:t>
      </w:r>
    </w:p>
    <w:p w14:paraId="7E37632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3、阶段：</w:t>
      </w:r>
      <w:r>
        <w:rPr>
          <w:rFonts w:hint="eastAsia" w:asciiTheme="minorEastAsia" w:hAnsiTheme="minorEastAsia" w:eastAsiaTheme="minorEastAsia" w:cstheme="minorEastAsia"/>
          <w:spacing w:val="-4"/>
          <w:sz w:val="28"/>
          <w:szCs w:val="28"/>
          <w:u w:val="single"/>
          <w:lang w:val="en-US" w:eastAsia="zh-CN"/>
        </w:rPr>
        <w:t xml:space="preserve">                    </w:t>
      </w:r>
      <w:r>
        <w:rPr>
          <w:rFonts w:hint="eastAsia" w:asciiTheme="minorEastAsia" w:hAnsiTheme="minorEastAsia" w:eastAsiaTheme="minorEastAsia" w:cstheme="minorEastAsia"/>
          <w:spacing w:val="-4"/>
          <w:sz w:val="28"/>
          <w:szCs w:val="28"/>
          <w:u w:val="single"/>
        </w:rPr>
        <w:t>。</w:t>
      </w:r>
    </w:p>
    <w:p w14:paraId="43DA735B">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4、</w:t>
      </w:r>
      <w:r>
        <w:rPr>
          <w:rFonts w:hint="eastAsia" w:asciiTheme="minorEastAsia" w:hAnsiTheme="minorEastAsia" w:eastAsiaTheme="minorEastAsia" w:cstheme="minorEastAsia"/>
          <w:sz w:val="28"/>
          <w:szCs w:val="28"/>
          <w:u w:val="single"/>
          <w:lang w:eastAsia="zh-CN"/>
        </w:rPr>
        <w:t>设计</w:t>
      </w:r>
      <w:r>
        <w:rPr>
          <w:rFonts w:hint="eastAsia" w:asciiTheme="minorEastAsia" w:hAnsiTheme="minorEastAsia" w:eastAsiaTheme="minorEastAsia" w:cstheme="minorEastAsia"/>
          <w:sz w:val="28"/>
          <w:szCs w:val="28"/>
          <w:u w:val="single"/>
        </w:rPr>
        <w:t>内容：</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w:t>
      </w:r>
    </w:p>
    <w:p w14:paraId="2685BDEC">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第五条 发包人向</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人提交的有关基础资料、文件及时间：</w:t>
      </w:r>
    </w:p>
    <w:p w14:paraId="461B6508">
      <w:pPr>
        <w:keepNext w:val="0"/>
        <w:keepLines w:val="0"/>
        <w:pageBreakBefore w:val="0"/>
        <w:kinsoku/>
        <w:wordWrap/>
        <w:overflowPunct/>
        <w:topLinePunct w:val="0"/>
        <w:autoSpaceDE/>
        <w:autoSpaceDN/>
        <w:bidi w:val="0"/>
        <w:adjustRightInd/>
        <w:snapToGrid/>
        <w:spacing w:line="360" w:lineRule="auto"/>
        <w:ind w:firstLine="523" w:firstLineChars="187"/>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发包人应在本合同签订</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日历天内提供的资料，（电子版及纸质文件）：</w:t>
      </w:r>
    </w:p>
    <w:p w14:paraId="07BB288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1.其他相关资料。</w:t>
      </w:r>
    </w:p>
    <w:p w14:paraId="0709095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2.其余与本项目相关的资料。</w:t>
      </w:r>
    </w:p>
    <w:p w14:paraId="1D85EAC4">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0"/>
        <w:rPr>
          <w:rFonts w:hint="eastAsia" w:asciiTheme="minorEastAsia" w:hAnsiTheme="minorEastAsia" w:eastAsiaTheme="minorEastAsia" w:cstheme="minorEastAsia"/>
          <w:spacing w:val="22"/>
          <w:sz w:val="28"/>
          <w:szCs w:val="28"/>
        </w:rPr>
      </w:pPr>
      <w:r>
        <w:rPr>
          <w:rFonts w:hint="eastAsia" w:asciiTheme="minorEastAsia" w:hAnsiTheme="minorEastAsia" w:eastAsiaTheme="minorEastAsia" w:cstheme="minorEastAsia"/>
          <w:sz w:val="28"/>
          <w:szCs w:val="28"/>
        </w:rPr>
        <w:t xml:space="preserve">第六条 </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人向发包人交付的</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文件、份数、地点及时间</w:t>
      </w:r>
    </w:p>
    <w:p w14:paraId="65EA7B6C">
      <w:pPr>
        <w:pStyle w:val="55"/>
        <w:keepNext w:val="0"/>
        <w:keepLines w:val="0"/>
        <w:pageBreakBefore w:val="0"/>
        <w:kinsoku/>
        <w:wordWrap/>
        <w:overflowPunct/>
        <w:topLinePunct w:val="0"/>
        <w:autoSpaceDE/>
        <w:autoSpaceDN/>
        <w:bidi w:val="0"/>
        <w:adjustRightInd/>
        <w:snapToGrid/>
        <w:spacing w:line="360" w:lineRule="auto"/>
        <w:ind w:firstLine="576" w:firstLineChars="200"/>
        <w:jc w:val="left"/>
        <w:textAlignment w:val="auto"/>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发包人按上述第五条提供有关资料齐全后</w:t>
      </w:r>
      <w:r>
        <w:rPr>
          <w:rFonts w:hint="eastAsia" w:asciiTheme="minorEastAsia" w:hAnsiTheme="minorEastAsia" w:eastAsiaTheme="minorEastAsia" w:cstheme="minorEastAsia"/>
          <w:spacing w:val="4"/>
          <w:sz w:val="28"/>
          <w:szCs w:val="28"/>
          <w:u w:val="single"/>
        </w:rPr>
        <w:t xml:space="preserve"> </w:t>
      </w:r>
      <w:r>
        <w:rPr>
          <w:rFonts w:hint="eastAsia" w:asciiTheme="minorEastAsia" w:hAnsiTheme="minorEastAsia" w:eastAsiaTheme="minorEastAsia" w:cstheme="minorEastAsia"/>
          <w:spacing w:val="4"/>
          <w:sz w:val="28"/>
          <w:szCs w:val="28"/>
          <w:u w:val="single"/>
          <w:lang w:val="en-US" w:eastAsia="zh-CN"/>
        </w:rPr>
        <w:t xml:space="preserve">   </w:t>
      </w:r>
      <w:r>
        <w:rPr>
          <w:rFonts w:hint="eastAsia" w:asciiTheme="minorEastAsia" w:hAnsiTheme="minorEastAsia" w:eastAsiaTheme="minorEastAsia" w:cstheme="minorEastAsia"/>
          <w:spacing w:val="4"/>
          <w:sz w:val="28"/>
          <w:szCs w:val="28"/>
        </w:rPr>
        <w:t>天内，</w:t>
      </w:r>
      <w:r>
        <w:rPr>
          <w:rFonts w:hint="eastAsia" w:asciiTheme="minorEastAsia" w:hAnsiTheme="minorEastAsia" w:eastAsiaTheme="minorEastAsia" w:cstheme="minorEastAsia"/>
          <w:spacing w:val="4"/>
          <w:sz w:val="28"/>
          <w:szCs w:val="28"/>
          <w:lang w:eastAsia="zh-CN"/>
        </w:rPr>
        <w:t>设计</w:t>
      </w:r>
      <w:r>
        <w:rPr>
          <w:rFonts w:hint="eastAsia" w:asciiTheme="minorEastAsia" w:hAnsiTheme="minorEastAsia" w:eastAsiaTheme="minorEastAsia" w:cstheme="minorEastAsia"/>
          <w:spacing w:val="4"/>
          <w:sz w:val="28"/>
          <w:szCs w:val="28"/>
        </w:rPr>
        <w:t>人交付成果文件</w:t>
      </w:r>
      <w:r>
        <w:rPr>
          <w:rFonts w:hint="eastAsia" w:asciiTheme="minorEastAsia" w:hAnsiTheme="minorEastAsia" w:eastAsiaTheme="minorEastAsia" w:cstheme="minorEastAsia"/>
          <w:spacing w:val="4"/>
          <w:sz w:val="28"/>
          <w:szCs w:val="28"/>
          <w:lang w:eastAsia="zh-CN"/>
        </w:rPr>
        <w:t>。</w:t>
      </w:r>
      <w:r>
        <w:rPr>
          <w:rFonts w:hint="eastAsia" w:asciiTheme="minorEastAsia" w:hAnsiTheme="minorEastAsia" w:eastAsiaTheme="minorEastAsia" w:cstheme="minorEastAsia"/>
          <w:spacing w:val="4"/>
          <w:sz w:val="28"/>
          <w:szCs w:val="28"/>
        </w:rPr>
        <w:t>交付地点：</w:t>
      </w:r>
      <w:r>
        <w:rPr>
          <w:rFonts w:hint="eastAsia" w:asciiTheme="minorEastAsia" w:hAnsiTheme="minorEastAsia" w:eastAsiaTheme="minorEastAsia" w:cstheme="minorEastAsia"/>
          <w:sz w:val="28"/>
          <w:szCs w:val="28"/>
          <w:u w:val="single"/>
          <w:lang w:val="en-US" w:eastAsia="zh-CN"/>
        </w:rPr>
        <w:t>义马市交通运输局工程科</w:t>
      </w:r>
      <w:r>
        <w:rPr>
          <w:rFonts w:hint="eastAsia" w:asciiTheme="minorEastAsia" w:hAnsiTheme="minorEastAsia" w:eastAsiaTheme="minorEastAsia" w:cstheme="minorEastAsia"/>
          <w:spacing w:val="4"/>
          <w:sz w:val="28"/>
          <w:szCs w:val="28"/>
        </w:rPr>
        <w:t>。</w:t>
      </w:r>
    </w:p>
    <w:p w14:paraId="06147007">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第七条 费用</w:t>
      </w:r>
    </w:p>
    <w:p w14:paraId="1293F704">
      <w:pPr>
        <w:keepNext w:val="0"/>
        <w:keepLines w:val="0"/>
        <w:pageBreakBefore w:val="0"/>
        <w:kinsoku/>
        <w:wordWrap/>
        <w:overflowPunct/>
        <w:topLinePunct w:val="0"/>
        <w:autoSpaceDE/>
        <w:autoSpaceDN/>
        <w:bidi w:val="0"/>
        <w:adjustRightInd/>
        <w:snapToGrid/>
        <w:spacing w:line="360" w:lineRule="auto"/>
        <w:ind w:firstLine="483" w:firstLineChars="189"/>
        <w:textAlignment w:val="auto"/>
        <w:rPr>
          <w:rFonts w:hint="eastAsia" w:asciiTheme="minorEastAsia" w:hAnsiTheme="minorEastAsia" w:eastAsiaTheme="minorEastAsia" w:cstheme="minorEastAsia"/>
          <w:spacing w:val="-12"/>
          <w:sz w:val="28"/>
          <w:szCs w:val="28"/>
          <w:highlight w:val="yellow"/>
          <w:u w:val="single"/>
        </w:rPr>
      </w:pPr>
      <w:r>
        <w:rPr>
          <w:rFonts w:hint="eastAsia" w:asciiTheme="minorEastAsia" w:hAnsiTheme="minorEastAsia" w:eastAsiaTheme="minorEastAsia" w:cstheme="minorEastAsia"/>
          <w:spacing w:val="-12"/>
          <w:sz w:val="28"/>
          <w:szCs w:val="28"/>
        </w:rPr>
        <w:t>双方商定，本合同总价为人民币（大写）xxxxxxxxxx (￥000000.00元），该价款为含税价格，税率X%。甲方付款之前，乙方应先出具相应合格发票。此价格为固定总价，包含完成本项目全部设计工作的所有费用。</w:t>
      </w:r>
    </w:p>
    <w:p w14:paraId="23FFE6FC">
      <w:pPr>
        <w:keepNext w:val="0"/>
        <w:keepLines w:val="0"/>
        <w:pageBreakBefore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支付方式</w:t>
      </w:r>
    </w:p>
    <w:p w14:paraId="00795415">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经双方商议，合同支付采用三阶段支付，乙方在接收款项之前，应当先行向甲方出具相应数额的发票， 否则甲方有权拒绝向乙方支付工程款：</w:t>
      </w:r>
    </w:p>
    <w:p w14:paraId="7A9C9684">
      <w:pPr>
        <w:keepNext w:val="0"/>
        <w:keepLines w:val="0"/>
        <w:pageBreakBefore w:val="0"/>
        <w:numPr>
          <w:ilvl w:val="0"/>
          <w:numId w:val="4"/>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合同签订后，承包人完成项目设计并取得有关部门的批复后，发包人支付设计人合同额的30%；</w:t>
      </w:r>
    </w:p>
    <w:p w14:paraId="62548E6E">
      <w:pPr>
        <w:keepNext w:val="0"/>
        <w:keepLines w:val="0"/>
        <w:pageBreakBefore w:val="0"/>
        <w:numPr>
          <w:ilvl w:val="0"/>
          <w:numId w:val="4"/>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设计开工后一个月内，发包人支付设计人合同额的40%；</w:t>
      </w:r>
    </w:p>
    <w:p w14:paraId="2FADBF4F">
      <w:pPr>
        <w:keepNext w:val="0"/>
        <w:keepLines w:val="0"/>
        <w:pageBreakBefore w:val="0"/>
        <w:numPr>
          <w:ilvl w:val="0"/>
          <w:numId w:val="4"/>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项目完工后，发包人支付设计人合同额的30%；</w:t>
      </w:r>
    </w:p>
    <w:p w14:paraId="03C130C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第九条 双方责任</w:t>
      </w:r>
    </w:p>
    <w:p w14:paraId="2F20BE38">
      <w:pPr>
        <w:keepNext w:val="0"/>
        <w:keepLines w:val="0"/>
        <w:pageBreakBefore w:val="0"/>
        <w:tabs>
          <w:tab w:val="center" w:pos="4166"/>
        </w:tabs>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9.1 发包人责任</w:t>
      </w:r>
    </w:p>
    <w:p w14:paraId="014A7CBB">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9.1.1 发包人按本合同第五条规定的内容，在规定的时间内向</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人提交基础资料及文件，并对其完整性、正确性</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2"/>
          <w:sz w:val="28"/>
          <w:szCs w:val="28"/>
          <w:lang w:val="en-US" w:eastAsia="zh-CN"/>
        </w:rPr>
        <w:t>合法性</w:t>
      </w:r>
      <w:r>
        <w:rPr>
          <w:rFonts w:hint="eastAsia" w:asciiTheme="minorEastAsia" w:hAnsiTheme="minorEastAsia" w:eastAsiaTheme="minorEastAsia" w:cstheme="minorEastAsia"/>
          <w:spacing w:val="-12"/>
          <w:sz w:val="28"/>
          <w:szCs w:val="28"/>
        </w:rPr>
        <w:t>及时限负责。发包人不得要求</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人违反国家有关标准进行工作。</w:t>
      </w:r>
    </w:p>
    <w:p w14:paraId="3A633668">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发包人提交上述资料及文件超过规定期</w:t>
      </w:r>
      <w:r>
        <w:rPr>
          <w:rFonts w:hint="eastAsia" w:asciiTheme="minorEastAsia" w:hAnsiTheme="minorEastAsia" w:eastAsiaTheme="minorEastAsia" w:cstheme="minorEastAsia"/>
          <w:spacing w:val="-20"/>
          <w:sz w:val="28"/>
          <w:szCs w:val="28"/>
        </w:rPr>
        <w:t>限15天</w:t>
      </w:r>
      <w:r>
        <w:rPr>
          <w:rFonts w:hint="eastAsia" w:asciiTheme="minorEastAsia" w:hAnsiTheme="minorEastAsia" w:eastAsiaTheme="minorEastAsia" w:cstheme="minorEastAsia"/>
          <w:spacing w:val="-12"/>
          <w:sz w:val="28"/>
          <w:szCs w:val="28"/>
        </w:rPr>
        <w:t>以内，</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人按本合同第六条规定的交付</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文件时间顺延；发包人交付上述资料及文件超过规定期限15天以上时，</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人有权重新确定提交</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文件的时间。</w:t>
      </w:r>
    </w:p>
    <w:p w14:paraId="7BB2977F">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9.1.2 发包人变更委托</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项目、规模、条件，或因提交的资料错误，或所提交资料作较大修改，以致造成</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人工作返工时，双方除另行协商签订补充协议（或另订合同）、重新明确有关条款外，发包人应按</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人所耗工作量向</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人支付返工费。</w:t>
      </w:r>
    </w:p>
    <w:p w14:paraId="3B7DA52E">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在未签订合同前发包人已</w:t>
      </w:r>
      <w:r>
        <w:rPr>
          <w:rFonts w:hint="eastAsia" w:asciiTheme="minorEastAsia" w:hAnsiTheme="minorEastAsia" w:eastAsiaTheme="minorEastAsia" w:cstheme="minorEastAsia"/>
          <w:spacing w:val="-12"/>
          <w:sz w:val="28"/>
          <w:szCs w:val="28"/>
          <w:lang w:val="en-US" w:eastAsia="zh-CN"/>
        </w:rPr>
        <w:t>书面</w:t>
      </w:r>
      <w:r>
        <w:rPr>
          <w:rFonts w:hint="eastAsia" w:asciiTheme="minorEastAsia" w:hAnsiTheme="minorEastAsia" w:eastAsiaTheme="minorEastAsia" w:cstheme="minorEastAsia"/>
          <w:spacing w:val="-12"/>
          <w:sz w:val="28"/>
          <w:szCs w:val="28"/>
        </w:rPr>
        <w:t>同意，</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人为发包人所做的各项</w:t>
      </w:r>
      <w:r>
        <w:rPr>
          <w:rFonts w:hint="eastAsia" w:asciiTheme="minorEastAsia" w:hAnsiTheme="minorEastAsia" w:eastAsiaTheme="minorEastAsia" w:cstheme="minorEastAsia"/>
          <w:spacing w:val="-12"/>
          <w:sz w:val="28"/>
          <w:szCs w:val="28"/>
          <w:lang w:val="en-US" w:eastAsia="zh-CN"/>
        </w:rPr>
        <w:t>设计</w:t>
      </w:r>
      <w:r>
        <w:rPr>
          <w:rFonts w:hint="eastAsia" w:asciiTheme="minorEastAsia" w:hAnsiTheme="minorEastAsia" w:eastAsiaTheme="minorEastAsia" w:cstheme="minorEastAsia"/>
          <w:spacing w:val="-12"/>
          <w:sz w:val="28"/>
          <w:szCs w:val="28"/>
        </w:rPr>
        <w:t>工作，发包人应支付相应</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费。</w:t>
      </w:r>
    </w:p>
    <w:p w14:paraId="4D8513CB">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 xml:space="preserve">9.1.3 </w:t>
      </w:r>
      <w:r>
        <w:rPr>
          <w:rFonts w:hint="eastAsia" w:asciiTheme="minorEastAsia" w:hAnsiTheme="minorEastAsia" w:eastAsiaTheme="minorEastAsia" w:cstheme="minorEastAsia"/>
          <w:spacing w:val="-12"/>
          <w:sz w:val="28"/>
          <w:szCs w:val="28"/>
          <w:lang w:val="en-US" w:eastAsia="zh-CN"/>
        </w:rPr>
        <w:t>在合同履行期间，发包人因自身原因要求终止或解除合同，设计人未开始设计工作的，不退还</w:t>
      </w:r>
      <w:r>
        <w:rPr>
          <w:rFonts w:hint="eastAsia" w:asciiTheme="minorEastAsia" w:hAnsiTheme="minorEastAsia" w:eastAsiaTheme="minorEastAsia" w:cstheme="minorEastAsia"/>
          <w:spacing w:val="-12"/>
          <w:sz w:val="28"/>
          <w:szCs w:val="28"/>
        </w:rPr>
        <w:t>发包人</w:t>
      </w:r>
      <w:r>
        <w:rPr>
          <w:rFonts w:hint="eastAsia" w:asciiTheme="minorEastAsia" w:hAnsiTheme="minorEastAsia" w:eastAsiaTheme="minorEastAsia" w:cstheme="minorEastAsia"/>
          <w:spacing w:val="-12"/>
          <w:sz w:val="28"/>
          <w:szCs w:val="28"/>
          <w:lang w:val="en-US" w:eastAsia="zh-CN"/>
        </w:rPr>
        <w:t>已付的定金；已开始设计工作的，发包人应根据设计人已进行的实际工作量，不足一半时，按该阶段设计费的一半支付；超过一半时，按该阶段设计费的全部支付</w:t>
      </w:r>
      <w:r>
        <w:rPr>
          <w:rFonts w:hint="eastAsia" w:asciiTheme="minorEastAsia" w:hAnsiTheme="minorEastAsia" w:eastAsiaTheme="minorEastAsia" w:cstheme="minorEastAsia"/>
          <w:spacing w:val="-12"/>
          <w:sz w:val="28"/>
          <w:szCs w:val="28"/>
        </w:rPr>
        <w:t>。</w:t>
      </w:r>
    </w:p>
    <w:p w14:paraId="5CB3868B">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lang w:val="en-US" w:eastAsia="zh-CN"/>
        </w:rPr>
      </w:pPr>
      <w:r>
        <w:rPr>
          <w:rFonts w:hint="eastAsia" w:asciiTheme="minorEastAsia" w:hAnsiTheme="minorEastAsia" w:eastAsiaTheme="minorEastAsia" w:cstheme="minorEastAsia"/>
          <w:spacing w:val="-12"/>
          <w:sz w:val="28"/>
          <w:szCs w:val="28"/>
        </w:rPr>
        <w:t>9.1.4 发包人应</w:t>
      </w:r>
      <w:r>
        <w:rPr>
          <w:rFonts w:hint="eastAsia" w:asciiTheme="minorEastAsia" w:hAnsiTheme="minorEastAsia" w:eastAsiaTheme="minorEastAsia" w:cstheme="minorEastAsia"/>
          <w:spacing w:val="-12"/>
          <w:sz w:val="28"/>
          <w:szCs w:val="28"/>
          <w:lang w:val="en-US" w:eastAsia="zh-CN"/>
        </w:rPr>
        <w:t>按本合同规定的金额和日期向设计人支付设计费。发包人的上级或设计审批部门对设计文件非因设计人原因不审批或本合同项目停缓建，发包人均应支付相应的设计费。</w:t>
      </w:r>
    </w:p>
    <w:p w14:paraId="22F8F01E">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lang w:val="en-US" w:eastAsia="zh-CN"/>
        </w:rPr>
      </w:pPr>
      <w:r>
        <w:rPr>
          <w:rFonts w:hint="eastAsia" w:asciiTheme="minorEastAsia" w:hAnsiTheme="minorEastAsia" w:eastAsiaTheme="minorEastAsia" w:cstheme="minorEastAsia"/>
          <w:spacing w:val="-12"/>
          <w:sz w:val="28"/>
          <w:szCs w:val="28"/>
        </w:rPr>
        <w:t xml:space="preserve">9.1.5 </w:t>
      </w:r>
      <w:r>
        <w:rPr>
          <w:rFonts w:hint="eastAsia" w:asciiTheme="minorEastAsia" w:hAnsiTheme="minorEastAsia" w:eastAsiaTheme="minorEastAsia" w:cstheme="minorEastAsia"/>
          <w:spacing w:val="-12"/>
          <w:sz w:val="28"/>
          <w:szCs w:val="28"/>
          <w:lang w:val="en-US" w:eastAsia="zh-CN"/>
        </w:rPr>
        <w:t>发包人要求设计人比合同规定时间提前交付设计文件时，须征得设计人同意，不得严重背离合理设计周期。</w:t>
      </w:r>
    </w:p>
    <w:p w14:paraId="6337914E">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lang w:val="en-US" w:eastAsia="zh-CN"/>
        </w:rPr>
      </w:pPr>
      <w:r>
        <w:rPr>
          <w:rFonts w:hint="eastAsia" w:asciiTheme="minorEastAsia" w:hAnsiTheme="minorEastAsia" w:eastAsiaTheme="minorEastAsia" w:cstheme="minorEastAsia"/>
          <w:spacing w:val="-12"/>
          <w:sz w:val="28"/>
          <w:szCs w:val="28"/>
          <w:lang w:val="en-US" w:eastAsia="zh-CN"/>
        </w:rPr>
        <w:t>9.1.6发包人应为设计人派驻现场的工作人员提供工作便利条件。</w:t>
      </w:r>
    </w:p>
    <w:p w14:paraId="0FD92703">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 xml:space="preserve">9.2 </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人责任</w:t>
      </w:r>
    </w:p>
    <w:p w14:paraId="5DFFB915">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 xml:space="preserve">9.2.1 </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人应按国家规定和合同约定的技术规范、标准</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2"/>
          <w:sz w:val="28"/>
          <w:szCs w:val="28"/>
          <w:lang w:val="en-US" w:eastAsia="zh-CN"/>
        </w:rPr>
        <w:t>规程及发包人提出的设计要求，进行工程设计</w:t>
      </w:r>
      <w:r>
        <w:rPr>
          <w:rFonts w:hint="eastAsia" w:asciiTheme="minorEastAsia" w:hAnsiTheme="minorEastAsia" w:eastAsiaTheme="minorEastAsia" w:cstheme="minorEastAsia"/>
          <w:spacing w:val="-12"/>
          <w:sz w:val="28"/>
          <w:szCs w:val="28"/>
        </w:rPr>
        <w:t>，按本合同第六条规定的内容、时间及份数向发包人交付</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文件（</w:t>
      </w:r>
      <w:r>
        <w:rPr>
          <w:rFonts w:hint="eastAsia" w:asciiTheme="minorEastAsia" w:hAnsiTheme="minorEastAsia" w:eastAsiaTheme="minorEastAsia" w:cstheme="minorEastAsia"/>
          <w:spacing w:val="-12"/>
          <w:sz w:val="28"/>
          <w:szCs w:val="28"/>
          <w:lang w:val="en-US" w:eastAsia="zh-CN"/>
        </w:rPr>
        <w:t>除</w:t>
      </w:r>
      <w:r>
        <w:rPr>
          <w:rFonts w:hint="eastAsia" w:asciiTheme="minorEastAsia" w:hAnsiTheme="minorEastAsia" w:eastAsiaTheme="minorEastAsia" w:cstheme="minorEastAsia"/>
          <w:spacing w:val="-12"/>
          <w:sz w:val="28"/>
          <w:szCs w:val="28"/>
        </w:rPr>
        <w:t>9.1.1、9.1.2</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2"/>
          <w:sz w:val="28"/>
          <w:szCs w:val="28"/>
          <w:lang w:val="en-US" w:eastAsia="zh-CN"/>
        </w:rPr>
        <w:t>9.1.3、9.1.4、9.1.5</w:t>
      </w:r>
      <w:r>
        <w:rPr>
          <w:rFonts w:hint="eastAsia" w:asciiTheme="minorEastAsia" w:hAnsiTheme="minorEastAsia" w:eastAsiaTheme="minorEastAsia" w:cstheme="minorEastAsia"/>
          <w:spacing w:val="-12"/>
          <w:sz w:val="28"/>
          <w:szCs w:val="28"/>
        </w:rPr>
        <w:t>规定有关交付</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文件顺延的情况除外），并对提交的</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文件的质量负责。</w:t>
      </w:r>
    </w:p>
    <w:p w14:paraId="74AC06A1">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 xml:space="preserve">9.2.2 </w:t>
      </w:r>
      <w:r>
        <w:rPr>
          <w:rFonts w:hint="eastAsia" w:asciiTheme="minorEastAsia" w:hAnsiTheme="minorEastAsia" w:eastAsiaTheme="minorEastAsia" w:cstheme="minorEastAsia"/>
          <w:color w:val="auto"/>
          <w:sz w:val="28"/>
          <w:szCs w:val="28"/>
          <w:highlight w:val="none"/>
        </w:rPr>
        <w:t>设计合理使用年限为</w:t>
      </w:r>
      <w:r>
        <w:rPr>
          <w:rFonts w:hint="eastAsia" w:asciiTheme="minorEastAsia" w:hAnsiTheme="minorEastAsia" w:eastAsiaTheme="minorEastAsia" w:cstheme="minorEastAsia"/>
          <w:color w:val="auto"/>
          <w:sz w:val="28"/>
          <w:szCs w:val="28"/>
          <w:highlight w:val="none"/>
          <w:u w:val="single"/>
        </w:rPr>
        <w:t xml:space="preserve">  /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年。</w:t>
      </w:r>
    </w:p>
    <w:p w14:paraId="72890577">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pacing w:val="-14"/>
          <w:sz w:val="28"/>
          <w:szCs w:val="28"/>
        </w:rPr>
        <w:t xml:space="preserve">9.2.3 </w:t>
      </w:r>
      <w:r>
        <w:rPr>
          <w:rFonts w:hint="eastAsia" w:asciiTheme="minorEastAsia" w:hAnsiTheme="minorEastAsia" w:eastAsiaTheme="minorEastAsia" w:cstheme="minorEastAsia"/>
          <w:color w:val="auto"/>
          <w:sz w:val="28"/>
          <w:szCs w:val="28"/>
          <w:highlight w:val="none"/>
          <w:lang w:val="en-US" w:eastAsia="zh-CN"/>
        </w:rPr>
        <w:t>乙方</w:t>
      </w:r>
      <w:r>
        <w:rPr>
          <w:rFonts w:hint="eastAsia" w:asciiTheme="minorEastAsia" w:hAnsiTheme="minorEastAsia" w:eastAsiaTheme="minorEastAsia" w:cstheme="minorEastAsia"/>
          <w:color w:val="auto"/>
          <w:sz w:val="28"/>
          <w:szCs w:val="28"/>
          <w:highlight w:val="none"/>
        </w:rPr>
        <w:t>对设计资料及文件出现的遗漏或错误负责修改或补充。由于</w:t>
      </w:r>
      <w:r>
        <w:rPr>
          <w:rFonts w:hint="eastAsia" w:asciiTheme="minorEastAsia" w:hAnsiTheme="minorEastAsia" w:eastAsiaTheme="minorEastAsia" w:cstheme="minorEastAsia"/>
          <w:color w:val="auto"/>
          <w:sz w:val="28"/>
          <w:szCs w:val="28"/>
          <w:highlight w:val="none"/>
          <w:lang w:val="en-US" w:eastAsia="zh-CN"/>
        </w:rPr>
        <w:t>乙方</w:t>
      </w:r>
      <w:r>
        <w:rPr>
          <w:rFonts w:hint="eastAsia" w:asciiTheme="minorEastAsia" w:hAnsiTheme="minorEastAsia" w:eastAsiaTheme="minorEastAsia" w:cstheme="minorEastAsia"/>
          <w:color w:val="auto"/>
          <w:sz w:val="28"/>
          <w:szCs w:val="28"/>
          <w:highlight w:val="none"/>
        </w:rPr>
        <w:t>错误</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含失误，以下同</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造成工程质量事故损失</w:t>
      </w:r>
      <w:r>
        <w:rPr>
          <w:rFonts w:hint="eastAsia" w:asciiTheme="minorEastAsia" w:hAnsiTheme="minorEastAsia" w:eastAsiaTheme="minorEastAsia" w:cstheme="minorEastAsia"/>
          <w:color w:val="auto"/>
          <w:sz w:val="28"/>
          <w:szCs w:val="28"/>
          <w:highlight w:val="none"/>
          <w:lang w:val="en-US" w:eastAsia="zh-CN"/>
        </w:rPr>
        <w:t>或者其它损失的</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乙方</w:t>
      </w:r>
      <w:r>
        <w:rPr>
          <w:rFonts w:hint="eastAsia" w:asciiTheme="minorEastAsia" w:hAnsiTheme="minorEastAsia" w:eastAsiaTheme="minorEastAsia" w:cstheme="minorEastAsia"/>
          <w:color w:val="auto"/>
          <w:sz w:val="28"/>
          <w:szCs w:val="28"/>
          <w:highlight w:val="none"/>
        </w:rPr>
        <w:t>除负责采取补救措施外，应免收</w:t>
      </w:r>
      <w:r>
        <w:rPr>
          <w:rFonts w:hint="eastAsia" w:asciiTheme="minorEastAsia" w:hAnsiTheme="minorEastAsia" w:eastAsiaTheme="minorEastAsia" w:cstheme="minorEastAsia"/>
          <w:color w:val="auto"/>
          <w:sz w:val="28"/>
          <w:szCs w:val="28"/>
          <w:highlight w:val="none"/>
          <w:lang w:val="en-US" w:eastAsia="zh-CN"/>
        </w:rPr>
        <w:t>相应部分</w:t>
      </w:r>
      <w:r>
        <w:rPr>
          <w:rFonts w:hint="eastAsia" w:asciiTheme="minorEastAsia" w:hAnsiTheme="minorEastAsia" w:eastAsiaTheme="minorEastAsia" w:cstheme="minorEastAsia"/>
          <w:color w:val="auto"/>
          <w:sz w:val="28"/>
          <w:szCs w:val="28"/>
          <w:highlight w:val="none"/>
        </w:rPr>
        <w:t>设计费</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且应赔偿相关损失</w:t>
      </w:r>
      <w:r>
        <w:rPr>
          <w:rFonts w:hint="eastAsia" w:asciiTheme="minorEastAsia" w:hAnsiTheme="minorEastAsia" w:eastAsiaTheme="minorEastAsia" w:cstheme="minorEastAsia"/>
          <w:color w:val="auto"/>
          <w:sz w:val="28"/>
          <w:szCs w:val="28"/>
          <w:highlight w:val="none"/>
        </w:rPr>
        <w:t>。</w:t>
      </w:r>
    </w:p>
    <w:p w14:paraId="28A167A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甲方对乙方的任何指示、指导、监督，以及甲方或者相关机构、人员对设计资料的任何审查、审核，均不能减轻或者免除乙方应当对其设计错误造成的工程质量损失或者其它损失承担赔偿责任。</w:t>
      </w:r>
    </w:p>
    <w:p w14:paraId="4D5B21A7">
      <w:pPr>
        <w:keepNext w:val="0"/>
        <w:keepLines w:val="0"/>
        <w:pageBreakBefore w:val="0"/>
        <w:kinsoku/>
        <w:wordWrap/>
        <w:overflowPunct/>
        <w:topLinePunct w:val="0"/>
        <w:autoSpaceDE/>
        <w:autoSpaceDN/>
        <w:bidi w:val="0"/>
        <w:adjustRightInd/>
        <w:snapToGrid/>
        <w:spacing w:line="360" w:lineRule="auto"/>
        <w:ind w:firstLine="504" w:firstLineChars="200"/>
        <w:jc w:val="left"/>
        <w:textAlignment w:val="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9.2.4 由于</w:t>
      </w:r>
      <w:r>
        <w:rPr>
          <w:rFonts w:hint="eastAsia" w:asciiTheme="minorEastAsia" w:hAnsiTheme="minorEastAsia" w:eastAsiaTheme="minorEastAsia" w:cstheme="minorEastAsia"/>
          <w:spacing w:val="-14"/>
          <w:sz w:val="28"/>
          <w:szCs w:val="28"/>
          <w:lang w:eastAsia="zh-CN"/>
        </w:rPr>
        <w:t>设计</w:t>
      </w:r>
      <w:r>
        <w:rPr>
          <w:rFonts w:hint="eastAsia" w:asciiTheme="minorEastAsia" w:hAnsiTheme="minorEastAsia" w:eastAsiaTheme="minorEastAsia" w:cstheme="minorEastAsia"/>
          <w:spacing w:val="-14"/>
          <w:sz w:val="28"/>
          <w:szCs w:val="28"/>
        </w:rPr>
        <w:t>人原因，延误了</w:t>
      </w:r>
      <w:r>
        <w:rPr>
          <w:rFonts w:hint="eastAsia" w:asciiTheme="minorEastAsia" w:hAnsiTheme="minorEastAsia" w:eastAsiaTheme="minorEastAsia" w:cstheme="minorEastAsia"/>
          <w:spacing w:val="-14"/>
          <w:sz w:val="28"/>
          <w:szCs w:val="28"/>
          <w:lang w:eastAsia="zh-CN"/>
        </w:rPr>
        <w:t>设计</w:t>
      </w:r>
      <w:r>
        <w:rPr>
          <w:rFonts w:hint="eastAsia" w:asciiTheme="minorEastAsia" w:hAnsiTheme="minorEastAsia" w:eastAsiaTheme="minorEastAsia" w:cstheme="minorEastAsia"/>
          <w:spacing w:val="-14"/>
          <w:sz w:val="28"/>
          <w:szCs w:val="28"/>
        </w:rPr>
        <w:t>文件交付时间，</w:t>
      </w:r>
      <w:r>
        <w:rPr>
          <w:rFonts w:hint="eastAsia" w:asciiTheme="minorEastAsia" w:hAnsiTheme="minorEastAsia" w:eastAsiaTheme="minorEastAsia" w:cstheme="minorEastAsia"/>
          <w:color w:val="auto"/>
          <w:sz w:val="28"/>
          <w:szCs w:val="28"/>
          <w:highlight w:val="none"/>
        </w:rPr>
        <w:t>每延误一天，应减收该项目应收设计费的千分之二</w:t>
      </w:r>
      <w:r>
        <w:rPr>
          <w:rFonts w:hint="eastAsia" w:asciiTheme="minorEastAsia" w:hAnsiTheme="minorEastAsia" w:eastAsiaTheme="minorEastAsia" w:cstheme="minorEastAsia"/>
          <w:color w:val="auto"/>
          <w:sz w:val="28"/>
          <w:szCs w:val="28"/>
          <w:highlight w:val="none"/>
          <w:lang w:eastAsia="zh-CN"/>
        </w:rPr>
        <w:t>，减收金额不超过总设计费的10%；</w:t>
      </w:r>
      <w:r>
        <w:rPr>
          <w:rFonts w:hint="eastAsia" w:asciiTheme="minorEastAsia" w:hAnsiTheme="minorEastAsia" w:eastAsiaTheme="minorEastAsia" w:cstheme="minorEastAsia"/>
          <w:color w:val="auto"/>
          <w:sz w:val="28"/>
          <w:szCs w:val="28"/>
          <w:highlight w:val="none"/>
          <w:lang w:val="en-US" w:eastAsia="zh-CN"/>
        </w:rPr>
        <w:t>超过20天的，甲方有权解除本合同，且设计人应退还已经收取的费用</w:t>
      </w:r>
      <w:r>
        <w:rPr>
          <w:rFonts w:hint="eastAsia" w:asciiTheme="minorEastAsia" w:hAnsiTheme="minorEastAsia" w:eastAsiaTheme="minorEastAsia" w:cstheme="minorEastAsia"/>
          <w:color w:val="auto"/>
          <w:sz w:val="28"/>
          <w:szCs w:val="28"/>
          <w:highlight w:val="none"/>
        </w:rPr>
        <w:t>；</w:t>
      </w:r>
    </w:p>
    <w:p w14:paraId="60CFC0F9">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pacing w:val="-14"/>
          <w:sz w:val="28"/>
          <w:szCs w:val="28"/>
        </w:rPr>
        <w:t xml:space="preserve">9.2.5 </w:t>
      </w:r>
      <w:r>
        <w:rPr>
          <w:rFonts w:hint="eastAsia" w:asciiTheme="minorEastAsia" w:hAnsiTheme="minorEastAsia" w:eastAsiaTheme="minorEastAsia" w:cstheme="minorEastAsia"/>
          <w:color w:val="auto"/>
          <w:sz w:val="28"/>
          <w:szCs w:val="28"/>
          <w:highlight w:val="none"/>
        </w:rPr>
        <w:t>合同生效后，设计人因自身原因要求终止或解除合同，设计人</w:t>
      </w:r>
      <w:r>
        <w:rPr>
          <w:rFonts w:hint="eastAsia" w:asciiTheme="minorEastAsia" w:hAnsiTheme="minorEastAsia" w:eastAsiaTheme="minorEastAsia" w:cstheme="minorEastAsia"/>
          <w:color w:val="auto"/>
          <w:sz w:val="28"/>
          <w:szCs w:val="28"/>
          <w:highlight w:val="none"/>
          <w:lang w:val="en-US" w:eastAsia="zh-CN"/>
        </w:rPr>
        <w:t>除</w:t>
      </w:r>
      <w:r>
        <w:rPr>
          <w:rFonts w:hint="eastAsia" w:asciiTheme="minorEastAsia" w:hAnsiTheme="minorEastAsia" w:eastAsiaTheme="minorEastAsia" w:cstheme="minorEastAsia"/>
          <w:color w:val="auto"/>
          <w:sz w:val="28"/>
          <w:szCs w:val="28"/>
          <w:highlight w:val="none"/>
        </w:rPr>
        <w:t>应双倍返还发包人已支付的定金</w:t>
      </w:r>
      <w:r>
        <w:rPr>
          <w:rFonts w:hint="eastAsia" w:asciiTheme="minorEastAsia" w:hAnsiTheme="minorEastAsia" w:eastAsiaTheme="minorEastAsia" w:cstheme="minorEastAsia"/>
          <w:color w:val="auto"/>
          <w:sz w:val="28"/>
          <w:szCs w:val="28"/>
          <w:highlight w:val="none"/>
          <w:lang w:val="en-US" w:eastAsia="zh-CN"/>
        </w:rPr>
        <w:t>外</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发包人已经支付的费用也应一并予以退还</w:t>
      </w:r>
      <w:r>
        <w:rPr>
          <w:rFonts w:hint="eastAsia" w:asciiTheme="minorEastAsia" w:hAnsiTheme="minorEastAsia" w:eastAsiaTheme="minorEastAsia" w:cstheme="minorEastAsia"/>
          <w:color w:val="auto"/>
          <w:sz w:val="28"/>
          <w:szCs w:val="28"/>
          <w:highlight w:val="none"/>
        </w:rPr>
        <w:t>。</w:t>
      </w:r>
    </w:p>
    <w:p w14:paraId="7F85EA0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pacing w:val="-14"/>
          <w:sz w:val="28"/>
          <w:szCs w:val="28"/>
        </w:rPr>
        <w:t>9.2.</w:t>
      </w:r>
      <w:r>
        <w:rPr>
          <w:rFonts w:hint="eastAsia" w:asciiTheme="minorEastAsia" w:hAnsiTheme="minorEastAsia" w:eastAsiaTheme="minorEastAsia" w:cstheme="minorEastAsia"/>
          <w:spacing w:val="-14"/>
          <w:sz w:val="28"/>
          <w:szCs w:val="28"/>
          <w:lang w:val="en-US" w:eastAsia="zh-CN"/>
        </w:rPr>
        <w:t>6</w:t>
      </w:r>
      <w:r>
        <w:rPr>
          <w:rFonts w:hint="eastAsia" w:asciiTheme="minorEastAsia" w:hAnsiTheme="minorEastAsia" w:eastAsiaTheme="minorEastAsia" w:cstheme="minorEastAsia"/>
          <w:color w:val="auto"/>
          <w:sz w:val="28"/>
          <w:szCs w:val="28"/>
          <w:highlight w:val="none"/>
        </w:rPr>
        <w:t>设计人交付设计资料及文件后，按规定参加有关的设计审查</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审核</w:t>
      </w:r>
      <w:r>
        <w:rPr>
          <w:rFonts w:hint="eastAsia" w:asciiTheme="minorEastAsia" w:hAnsiTheme="minorEastAsia" w:eastAsiaTheme="minorEastAsia" w:cstheme="minorEastAsia"/>
          <w:color w:val="auto"/>
          <w:sz w:val="28"/>
          <w:szCs w:val="28"/>
          <w:highlight w:val="none"/>
        </w:rPr>
        <w:t>，并根据审查</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审核</w:t>
      </w:r>
      <w:r>
        <w:rPr>
          <w:rFonts w:hint="eastAsia" w:asciiTheme="minorEastAsia" w:hAnsiTheme="minorEastAsia" w:eastAsiaTheme="minorEastAsia" w:cstheme="minorEastAsia"/>
          <w:color w:val="auto"/>
          <w:sz w:val="28"/>
          <w:szCs w:val="28"/>
          <w:highlight w:val="none"/>
        </w:rPr>
        <w:t>结论负责调整补充</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且在设计审查和审核不通过后7日内完成调整和补充。经一次调整补充仍不能通过相关设计审查或者会审的，发包人有权解除本合同，且设计人应退还已经收取的费用</w:t>
      </w:r>
      <w:r>
        <w:rPr>
          <w:rFonts w:hint="eastAsia" w:asciiTheme="minorEastAsia" w:hAnsiTheme="minorEastAsia" w:eastAsiaTheme="minorEastAsia" w:cstheme="minorEastAsia"/>
          <w:color w:val="auto"/>
          <w:sz w:val="28"/>
          <w:szCs w:val="28"/>
          <w:highlight w:val="none"/>
        </w:rPr>
        <w:t>；</w:t>
      </w:r>
    </w:p>
    <w:p w14:paraId="33AF2BB2">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设计人按合同规定时限交付设计文件一年内项目开始施工，负责向发包人及施工单位进行设计交底、处理有关设计问题和参加竣工验收</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费用自理</w:t>
      </w:r>
      <w:r>
        <w:rPr>
          <w:rFonts w:hint="eastAsia" w:asciiTheme="minorEastAsia" w:hAnsiTheme="minorEastAsia" w:eastAsiaTheme="minorEastAsia" w:cstheme="minorEastAsia"/>
          <w:color w:val="auto"/>
          <w:sz w:val="28"/>
          <w:szCs w:val="28"/>
          <w:highlight w:val="none"/>
        </w:rPr>
        <w:t>。在一年内项目尚未开始施工，设计人仍负责上述工作，</w:t>
      </w:r>
      <w:r>
        <w:rPr>
          <w:rFonts w:hint="eastAsia" w:asciiTheme="minorEastAsia" w:hAnsiTheme="minorEastAsia" w:eastAsiaTheme="minorEastAsia" w:cstheme="minorEastAsia"/>
          <w:color w:val="auto"/>
          <w:sz w:val="28"/>
          <w:szCs w:val="28"/>
          <w:highlight w:val="none"/>
          <w:lang w:val="en-US" w:eastAsia="zh-CN"/>
        </w:rPr>
        <w:t>是否另行</w:t>
      </w:r>
      <w:r>
        <w:rPr>
          <w:rFonts w:hint="eastAsia" w:asciiTheme="minorEastAsia" w:hAnsiTheme="minorEastAsia" w:eastAsiaTheme="minorEastAsia" w:cstheme="minorEastAsia"/>
          <w:color w:val="auto"/>
          <w:sz w:val="28"/>
          <w:szCs w:val="28"/>
          <w:highlight w:val="none"/>
        </w:rPr>
        <w:t>收费由双方商定。</w:t>
      </w:r>
    </w:p>
    <w:p w14:paraId="287DC279">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9.2.7 设计人承担初设编制专家评审的所有费用。</w:t>
      </w:r>
    </w:p>
    <w:p w14:paraId="0D1EC47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9.2.</w:t>
      </w: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 xml:space="preserve"> 设计人采用的主要技术标准是：</w:t>
      </w:r>
    </w:p>
    <w:p w14:paraId="5505D58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国家现行设计规范，法规及标准及地方政府法规及管理条例。</w:t>
      </w:r>
    </w:p>
    <w:p w14:paraId="19C6D7F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第十条 保密</w:t>
      </w:r>
    </w:p>
    <w:p w14:paraId="250B1212">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4290128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第十一条 </w:t>
      </w:r>
      <w:r>
        <w:rPr>
          <w:rFonts w:hint="eastAsia" w:asciiTheme="minorEastAsia" w:hAnsiTheme="minorEastAsia" w:eastAsiaTheme="minorEastAsia" w:cstheme="minorEastAsia"/>
          <w:sz w:val="28"/>
          <w:szCs w:val="28"/>
          <w:lang w:val="en-US" w:eastAsia="zh-CN"/>
        </w:rPr>
        <w:t>争议解决</w:t>
      </w:r>
    </w:p>
    <w:p w14:paraId="24B6C743">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本合同在履行过程中发生的争议，由双方当事人协商解决，协商不成的，</w:t>
      </w:r>
      <w:r>
        <w:rPr>
          <w:rFonts w:hint="eastAsia" w:asciiTheme="minorEastAsia" w:hAnsiTheme="minorEastAsia" w:eastAsiaTheme="minorEastAsia" w:cstheme="minorEastAsia"/>
          <w:color w:val="auto"/>
          <w:sz w:val="28"/>
          <w:szCs w:val="28"/>
          <w:highlight w:val="none"/>
        </w:rPr>
        <w:t>可依法向</w:t>
      </w:r>
      <w:r>
        <w:rPr>
          <w:rFonts w:hint="eastAsia" w:asciiTheme="minorEastAsia" w:hAnsiTheme="minorEastAsia" w:eastAsiaTheme="minorEastAsia" w:cstheme="minorEastAsia"/>
          <w:color w:val="auto"/>
          <w:sz w:val="28"/>
          <w:szCs w:val="28"/>
          <w:highlight w:val="none"/>
          <w:lang w:val="en-US" w:eastAsia="zh-CN"/>
        </w:rPr>
        <w:t>发包方所在地</w:t>
      </w:r>
      <w:r>
        <w:rPr>
          <w:rFonts w:hint="eastAsia" w:asciiTheme="minorEastAsia" w:hAnsiTheme="minorEastAsia" w:eastAsiaTheme="minorEastAsia" w:cstheme="minorEastAsia"/>
          <w:color w:val="auto"/>
          <w:sz w:val="28"/>
          <w:szCs w:val="28"/>
          <w:highlight w:val="none"/>
        </w:rPr>
        <w:t>人民法院起诉</w:t>
      </w:r>
      <w:r>
        <w:rPr>
          <w:rFonts w:hint="eastAsia" w:asciiTheme="minorEastAsia" w:hAnsiTheme="minorEastAsia" w:eastAsiaTheme="minorEastAsia" w:cstheme="minorEastAsia"/>
          <w:spacing w:val="-12"/>
          <w:sz w:val="28"/>
          <w:szCs w:val="28"/>
        </w:rPr>
        <w:t>。</w:t>
      </w:r>
    </w:p>
    <w:p w14:paraId="749317F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第十二条 合同生效及其他</w:t>
      </w:r>
    </w:p>
    <w:p w14:paraId="6A2AD93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12.1 发包人要求设计人派专人长期驻施工现场进行配合与解决有关问题时，双方应另行签订补充协议或技术咨询服务合同。</w:t>
      </w:r>
    </w:p>
    <w:p w14:paraId="19BE516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12.2 设计人为本合同项目的服务至施工安装结束为止。</w:t>
      </w:r>
    </w:p>
    <w:p w14:paraId="0A489ADC">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12.3 设计人不得指定建筑材料、设备的生产厂或供货商。发包人需要设计人配合建筑材料、设备的加工订货时，所需费用由发包人承担。</w:t>
      </w:r>
    </w:p>
    <w:p w14:paraId="6DF5D7A2">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12.4 发包人委托设计人承担本合同内容以外的工作服务，另行签订协议并支付费用。</w:t>
      </w:r>
    </w:p>
    <w:p w14:paraId="7B4953C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12.5 由于不可抗力因素致使合同无法履行时，双方应及时协商解决。</w:t>
      </w:r>
    </w:p>
    <w:p w14:paraId="620FF4C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12.6 本合同一式</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6</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份，发包人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3</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份，设计人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3</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份。</w:t>
      </w:r>
    </w:p>
    <w:p w14:paraId="31802562">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12.7 本合同第六条规定设计人交付的设计资料及文件份数超过《工程设计收费标准》规定的份数，设计人另收工本费。</w:t>
      </w:r>
    </w:p>
    <w:p w14:paraId="6165F6B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12.8 本合同生效后，按规定应到项目所在地省级建设行政主管部门规定的审查部门备案；双方认为必要时，到工商行政部门签证。双方履行完合同规定的义务后，本合同即行终止。</w:t>
      </w:r>
    </w:p>
    <w:p w14:paraId="388F4F2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12.9 本合同经双方签章后生效。</w:t>
      </w:r>
    </w:p>
    <w:p w14:paraId="31438B5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12.10 本合同未尽事宜，双方可签订补充协议，有关协议及双方认可的来往电报、传真、会议纪要等，均为本合同组成部分，与本合同具有同等法律效力。</w:t>
      </w:r>
    </w:p>
    <w:p w14:paraId="5DA2E74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12.11 其它约定事项</w:t>
      </w:r>
    </w:p>
    <w:p w14:paraId="3133424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为履行本协议，双方确认的联系方式如下：</w:t>
      </w:r>
    </w:p>
    <w:p w14:paraId="7B062BDA">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甲方：联系人：郅国安;手机号码：15639838667；联系邮箱：ymjtjgck@163.com；邮寄地址：义马市客运中心后院义马市交通运输局。</w:t>
      </w:r>
    </w:p>
    <w:p w14:paraId="3679A372">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 联系人：xxx;手机号码：xxx；联系邮箱：xxx；邮寄地址xxx。</w:t>
      </w:r>
    </w:p>
    <w:p w14:paraId="3EC1227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双方提供的上述联系方式为各方履行合同、解决合同争议时向接收其他方商业文件信函或司法机关诉讼文书的地址和联系方式。一方如变更上述联系方式，应及时书面通知另一方及其它相关联方，在变更通知到达另一方及其它相关联方之前，原联系方式视为未变更。 一方及相关联方通过上述联系方式向另一方送达商业文件信函或司法机关诉讼文书的，通知发出即视为送达。</w:t>
      </w:r>
    </w:p>
    <w:p w14:paraId="4D64C51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p>
    <w:p w14:paraId="4FBDF7B1">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p>
    <w:p w14:paraId="5380FEA1">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p>
    <w:p w14:paraId="64F44FBC">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p>
    <w:p w14:paraId="41AA28E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p>
    <w:p w14:paraId="40FB5597">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p>
    <w:p w14:paraId="09A62A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color w:val="auto"/>
          <w:sz w:val="28"/>
          <w:szCs w:val="28"/>
          <w:highlight w:val="none"/>
        </w:rPr>
        <w:t>（以下无内容，供签字盖章使用）</w:t>
      </w:r>
    </w:p>
    <w:tbl>
      <w:tblPr>
        <w:tblStyle w:val="20"/>
        <w:tblW w:w="8330" w:type="dxa"/>
        <w:jc w:val="center"/>
        <w:tblLayout w:type="fixed"/>
        <w:tblCellMar>
          <w:top w:w="0" w:type="dxa"/>
          <w:left w:w="108" w:type="dxa"/>
          <w:bottom w:w="0" w:type="dxa"/>
          <w:right w:w="108" w:type="dxa"/>
        </w:tblCellMar>
      </w:tblPr>
      <w:tblGrid>
        <w:gridCol w:w="4057"/>
        <w:gridCol w:w="4273"/>
      </w:tblGrid>
      <w:tr w14:paraId="762BF5BD">
        <w:tblPrEx>
          <w:tblCellMar>
            <w:top w:w="0" w:type="dxa"/>
            <w:left w:w="108" w:type="dxa"/>
            <w:bottom w:w="0" w:type="dxa"/>
            <w:right w:w="108" w:type="dxa"/>
          </w:tblCellMar>
        </w:tblPrEx>
        <w:trPr>
          <w:trHeight w:val="2848" w:hRule="atLeast"/>
          <w:jc w:val="center"/>
        </w:trPr>
        <w:tc>
          <w:tcPr>
            <w:tcW w:w="4057" w:type="dxa"/>
            <w:tcBorders>
              <w:top w:val="single" w:color="auto" w:sz="4" w:space="0"/>
              <w:left w:val="single" w:color="auto" w:sz="4" w:space="0"/>
              <w:right w:val="single" w:color="auto" w:sz="4" w:space="0"/>
            </w:tcBorders>
            <w:noWrap w:val="0"/>
            <w:vAlign w:val="center"/>
          </w:tcPr>
          <w:p w14:paraId="38BA466B">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发包人名称：</w:t>
            </w:r>
          </w:p>
          <w:p w14:paraId="2E33EA67">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 xml:space="preserve">义马市交通运输局             </w:t>
            </w:r>
          </w:p>
          <w:p w14:paraId="1727A9E1">
            <w:pPr>
              <w:keepNext w:val="0"/>
              <w:keepLines w:val="0"/>
              <w:pageBreakBefore w:val="0"/>
              <w:widowControl w:val="0"/>
              <w:kinsoku/>
              <w:wordWrap/>
              <w:overflowPunct/>
              <w:topLinePunct w:val="0"/>
              <w:autoSpaceDE/>
              <w:autoSpaceDN/>
              <w:bidi w:val="0"/>
              <w:adjustRightInd/>
              <w:snapToGrid/>
              <w:spacing w:line="480" w:lineRule="exact"/>
              <w:ind w:left="424" w:leftChars="0" w:hanging="424" w:hangingChars="20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（盖章）</w:t>
            </w:r>
          </w:p>
        </w:tc>
        <w:tc>
          <w:tcPr>
            <w:tcW w:w="4273" w:type="dxa"/>
            <w:tcBorders>
              <w:top w:val="single" w:color="auto" w:sz="4" w:space="0"/>
              <w:left w:val="single" w:color="auto" w:sz="4" w:space="0"/>
              <w:right w:val="single" w:color="auto" w:sz="4" w:space="0"/>
            </w:tcBorders>
            <w:noWrap w:val="0"/>
            <w:vAlign w:val="center"/>
          </w:tcPr>
          <w:p w14:paraId="627FD0F7">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lang w:eastAsia="zh-CN"/>
              </w:rPr>
              <w:t>设计</w:t>
            </w:r>
            <w:r>
              <w:rPr>
                <w:rFonts w:hint="eastAsia" w:asciiTheme="minorEastAsia" w:hAnsiTheme="minorEastAsia" w:eastAsiaTheme="minorEastAsia" w:cstheme="minorEastAsia"/>
                <w:spacing w:val="-20"/>
                <w:w w:val="90"/>
                <w:sz w:val="28"/>
                <w:szCs w:val="28"/>
              </w:rPr>
              <w:t>人名称：</w:t>
            </w:r>
          </w:p>
          <w:p w14:paraId="4ADE6148">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p>
          <w:p w14:paraId="5B44BB59">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 xml:space="preserve">                  （盖章）</w:t>
            </w:r>
          </w:p>
        </w:tc>
      </w:tr>
      <w:tr w14:paraId="785B96D5">
        <w:tblPrEx>
          <w:tblCellMar>
            <w:top w:w="0" w:type="dxa"/>
            <w:left w:w="108" w:type="dxa"/>
            <w:bottom w:w="0" w:type="dxa"/>
            <w:right w:w="108" w:type="dxa"/>
          </w:tblCellMar>
        </w:tblPrEx>
        <w:trPr>
          <w:trHeight w:val="1073" w:hRule="atLeast"/>
          <w:jc w:val="center"/>
        </w:trPr>
        <w:tc>
          <w:tcPr>
            <w:tcW w:w="4057" w:type="dxa"/>
            <w:tcBorders>
              <w:top w:val="single" w:color="auto" w:sz="4" w:space="0"/>
              <w:left w:val="single" w:color="auto" w:sz="4" w:space="0"/>
              <w:right w:val="single" w:color="auto" w:sz="4" w:space="0"/>
            </w:tcBorders>
            <w:noWrap w:val="0"/>
            <w:vAlign w:val="center"/>
          </w:tcPr>
          <w:p w14:paraId="4A31027E">
            <w:pPr>
              <w:keepNext w:val="0"/>
              <w:keepLines w:val="0"/>
              <w:pageBreakBefore w:val="0"/>
              <w:widowControl w:val="0"/>
              <w:kinsoku/>
              <w:wordWrap/>
              <w:overflowPunct/>
              <w:topLinePunct w:val="0"/>
              <w:autoSpaceDE/>
              <w:autoSpaceDN/>
              <w:bidi w:val="0"/>
              <w:adjustRightInd/>
              <w:snapToGrid/>
              <w:spacing w:line="168" w:lineRule="auto"/>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法定代表人或委托代理人：（签字）</w:t>
            </w:r>
          </w:p>
          <w:p w14:paraId="27FA91A0">
            <w:pPr>
              <w:keepNext w:val="0"/>
              <w:keepLines w:val="0"/>
              <w:pageBreakBefore w:val="0"/>
              <w:widowControl w:val="0"/>
              <w:kinsoku/>
              <w:wordWrap/>
              <w:overflowPunct/>
              <w:topLinePunct w:val="0"/>
              <w:autoSpaceDE/>
              <w:autoSpaceDN/>
              <w:bidi w:val="0"/>
              <w:adjustRightInd/>
              <w:snapToGrid/>
              <w:spacing w:line="168" w:lineRule="auto"/>
              <w:ind w:left="0" w:leftChars="0"/>
              <w:textAlignment w:val="auto"/>
              <w:rPr>
                <w:rFonts w:hint="eastAsia" w:asciiTheme="minorEastAsia" w:hAnsiTheme="minorEastAsia" w:eastAsiaTheme="minorEastAsia" w:cstheme="minorEastAsia"/>
                <w:spacing w:val="-20"/>
                <w:w w:val="90"/>
                <w:sz w:val="28"/>
                <w:szCs w:val="28"/>
              </w:rPr>
            </w:pPr>
          </w:p>
          <w:p w14:paraId="362C125B">
            <w:pPr>
              <w:keepNext w:val="0"/>
              <w:keepLines w:val="0"/>
              <w:pageBreakBefore w:val="0"/>
              <w:widowControl w:val="0"/>
              <w:kinsoku/>
              <w:wordWrap/>
              <w:overflowPunct/>
              <w:topLinePunct w:val="0"/>
              <w:autoSpaceDE/>
              <w:autoSpaceDN/>
              <w:bidi w:val="0"/>
              <w:adjustRightInd/>
              <w:snapToGrid/>
              <w:spacing w:line="168" w:lineRule="auto"/>
              <w:ind w:left="0" w:leftChars="0"/>
              <w:textAlignment w:val="auto"/>
              <w:rPr>
                <w:rFonts w:hint="eastAsia" w:asciiTheme="minorEastAsia" w:hAnsiTheme="minorEastAsia" w:eastAsiaTheme="minorEastAsia" w:cstheme="minorEastAsia"/>
                <w:spacing w:val="-20"/>
                <w:w w:val="90"/>
                <w:sz w:val="28"/>
                <w:szCs w:val="28"/>
              </w:rPr>
            </w:pPr>
          </w:p>
        </w:tc>
        <w:tc>
          <w:tcPr>
            <w:tcW w:w="4273" w:type="dxa"/>
            <w:tcBorders>
              <w:top w:val="single" w:color="auto" w:sz="4" w:space="0"/>
              <w:left w:val="single" w:color="auto" w:sz="4" w:space="0"/>
              <w:bottom w:val="single" w:color="auto" w:sz="4" w:space="0"/>
              <w:right w:val="single" w:color="auto" w:sz="4" w:space="0"/>
            </w:tcBorders>
            <w:noWrap w:val="0"/>
            <w:vAlign w:val="center"/>
          </w:tcPr>
          <w:p w14:paraId="3318FDEE">
            <w:pPr>
              <w:keepNext w:val="0"/>
              <w:keepLines w:val="0"/>
              <w:pageBreakBefore w:val="0"/>
              <w:widowControl w:val="0"/>
              <w:kinsoku/>
              <w:wordWrap/>
              <w:overflowPunct/>
              <w:topLinePunct w:val="0"/>
              <w:autoSpaceDE/>
              <w:autoSpaceDN/>
              <w:bidi w:val="0"/>
              <w:adjustRightInd/>
              <w:snapToGrid/>
              <w:spacing w:line="168" w:lineRule="auto"/>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 xml:space="preserve">法定代表人或委托代理人：（签字） </w:t>
            </w:r>
          </w:p>
          <w:p w14:paraId="269F28F6">
            <w:pPr>
              <w:keepNext w:val="0"/>
              <w:keepLines w:val="0"/>
              <w:pageBreakBefore w:val="0"/>
              <w:widowControl w:val="0"/>
              <w:kinsoku/>
              <w:wordWrap/>
              <w:overflowPunct/>
              <w:topLinePunct w:val="0"/>
              <w:autoSpaceDE/>
              <w:autoSpaceDN/>
              <w:bidi w:val="0"/>
              <w:adjustRightInd/>
              <w:snapToGrid/>
              <w:spacing w:line="168" w:lineRule="auto"/>
              <w:ind w:left="0" w:leftChars="0"/>
              <w:textAlignment w:val="auto"/>
              <w:rPr>
                <w:rFonts w:hint="eastAsia" w:asciiTheme="minorEastAsia" w:hAnsiTheme="minorEastAsia" w:eastAsiaTheme="minorEastAsia" w:cstheme="minorEastAsia"/>
                <w:spacing w:val="-20"/>
                <w:w w:val="90"/>
                <w:sz w:val="28"/>
                <w:szCs w:val="28"/>
              </w:rPr>
            </w:pPr>
          </w:p>
          <w:p w14:paraId="1DEDF728">
            <w:pPr>
              <w:keepNext w:val="0"/>
              <w:keepLines w:val="0"/>
              <w:pageBreakBefore w:val="0"/>
              <w:widowControl w:val="0"/>
              <w:kinsoku/>
              <w:wordWrap/>
              <w:overflowPunct/>
              <w:topLinePunct w:val="0"/>
              <w:autoSpaceDE/>
              <w:autoSpaceDN/>
              <w:bidi w:val="0"/>
              <w:adjustRightInd/>
              <w:snapToGrid/>
              <w:spacing w:line="168" w:lineRule="auto"/>
              <w:ind w:left="0" w:leftChars="0"/>
              <w:textAlignment w:val="auto"/>
              <w:rPr>
                <w:rFonts w:hint="eastAsia" w:asciiTheme="minorEastAsia" w:hAnsiTheme="minorEastAsia" w:eastAsiaTheme="minorEastAsia" w:cstheme="minorEastAsia"/>
                <w:spacing w:val="-20"/>
                <w:w w:val="90"/>
                <w:sz w:val="28"/>
                <w:szCs w:val="28"/>
              </w:rPr>
            </w:pPr>
          </w:p>
        </w:tc>
      </w:tr>
      <w:tr w14:paraId="246DDE99">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right w:val="single" w:color="auto" w:sz="4" w:space="0"/>
            </w:tcBorders>
            <w:noWrap w:val="0"/>
            <w:vAlign w:val="center"/>
          </w:tcPr>
          <w:p w14:paraId="5EBD1DA3">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lang w:val="en-US" w:eastAsia="zh-CN"/>
              </w:rPr>
            </w:pPr>
            <w:r>
              <w:rPr>
                <w:rFonts w:hint="eastAsia" w:asciiTheme="minorEastAsia" w:hAnsiTheme="minorEastAsia" w:eastAsiaTheme="minorEastAsia" w:cstheme="minorEastAsia"/>
                <w:spacing w:val="-20"/>
                <w:w w:val="90"/>
                <w:sz w:val="28"/>
                <w:szCs w:val="28"/>
              </w:rPr>
              <w:t>地址:</w:t>
            </w:r>
            <w:r>
              <w:rPr>
                <w:rFonts w:hint="eastAsia" w:asciiTheme="minorEastAsia" w:hAnsiTheme="minorEastAsia" w:eastAsiaTheme="minorEastAsia" w:cstheme="minorEastAsia"/>
                <w:spacing w:val="-20"/>
                <w:w w:val="90"/>
                <w:sz w:val="28"/>
                <w:szCs w:val="28"/>
                <w:lang w:val="en-US" w:eastAsia="zh-CN"/>
              </w:rPr>
              <w:t>义马市客运中心后院义马市交通运输局</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514526B0">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 xml:space="preserve">地址: </w:t>
            </w:r>
          </w:p>
        </w:tc>
      </w:tr>
      <w:tr w14:paraId="581B1AF7">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6C4C4327">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lang w:val="en-US" w:eastAsia="zh-CN"/>
              </w:rPr>
            </w:pPr>
            <w:r>
              <w:rPr>
                <w:rFonts w:hint="eastAsia" w:asciiTheme="minorEastAsia" w:hAnsiTheme="minorEastAsia" w:eastAsiaTheme="minorEastAsia" w:cstheme="minorEastAsia"/>
                <w:spacing w:val="-20"/>
                <w:w w:val="90"/>
                <w:sz w:val="28"/>
                <w:szCs w:val="28"/>
              </w:rPr>
              <w:t>邮政编码：</w:t>
            </w:r>
            <w:r>
              <w:rPr>
                <w:rFonts w:hint="eastAsia" w:asciiTheme="minorEastAsia" w:hAnsiTheme="minorEastAsia" w:eastAsiaTheme="minorEastAsia" w:cstheme="minorEastAsia"/>
                <w:spacing w:val="-20"/>
                <w:w w:val="90"/>
                <w:sz w:val="28"/>
                <w:szCs w:val="28"/>
                <w:lang w:val="en-US" w:eastAsia="zh-CN"/>
              </w:rPr>
              <w:t>472300</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52B6E5E5">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邮政编码：</w:t>
            </w:r>
          </w:p>
        </w:tc>
      </w:tr>
      <w:tr w14:paraId="0BAB8348">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33254466">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lang w:val="en-US" w:eastAsia="zh-CN"/>
              </w:rPr>
            </w:pPr>
            <w:r>
              <w:rPr>
                <w:rFonts w:hint="eastAsia" w:asciiTheme="minorEastAsia" w:hAnsiTheme="minorEastAsia" w:eastAsiaTheme="minorEastAsia" w:cstheme="minorEastAsia"/>
                <w:spacing w:val="-20"/>
                <w:w w:val="90"/>
                <w:sz w:val="28"/>
                <w:szCs w:val="28"/>
              </w:rPr>
              <w:t>电      话：</w:t>
            </w:r>
            <w:r>
              <w:rPr>
                <w:rFonts w:hint="eastAsia" w:asciiTheme="minorEastAsia" w:hAnsiTheme="minorEastAsia" w:eastAsiaTheme="minorEastAsia" w:cstheme="minorEastAsia"/>
                <w:spacing w:val="-20"/>
                <w:w w:val="90"/>
                <w:sz w:val="28"/>
                <w:szCs w:val="28"/>
                <w:lang w:val="en-US" w:eastAsia="zh-CN"/>
              </w:rPr>
              <w:t>0398-5587890</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105F277B">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联系电话：</w:t>
            </w:r>
          </w:p>
        </w:tc>
      </w:tr>
      <w:tr w14:paraId="739967FE">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5C7958FC">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传      真：</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2986B047">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传      真：</w:t>
            </w:r>
          </w:p>
        </w:tc>
      </w:tr>
      <w:tr w14:paraId="4058DB10">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2588CB4D">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开户银行：</w:t>
            </w:r>
            <w:r>
              <w:rPr>
                <w:rFonts w:hint="eastAsia" w:asciiTheme="minorEastAsia" w:hAnsiTheme="minorEastAsia" w:eastAsiaTheme="minorEastAsia" w:cstheme="minorEastAsia"/>
                <w:sz w:val="28"/>
                <w:szCs w:val="28"/>
              </w:rPr>
              <w:t>中国工商银行义马市支行</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57E1FF46">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开户银行：</w:t>
            </w:r>
          </w:p>
        </w:tc>
      </w:tr>
      <w:tr w14:paraId="0BDFF422">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538495BC">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银行帐号：</w:t>
            </w:r>
            <w:r>
              <w:rPr>
                <w:rFonts w:hint="eastAsia" w:asciiTheme="minorEastAsia" w:hAnsiTheme="minorEastAsia" w:eastAsiaTheme="minorEastAsia" w:cstheme="minorEastAsia"/>
                <w:spacing w:val="-20"/>
                <w:w w:val="90"/>
                <w:sz w:val="28"/>
                <w:szCs w:val="28"/>
              </w:rPr>
              <w:br w:type="textWrapping"/>
            </w:r>
            <w:r>
              <w:rPr>
                <w:rFonts w:hint="eastAsia" w:asciiTheme="minorEastAsia" w:hAnsiTheme="minorEastAsia" w:eastAsiaTheme="minorEastAsia" w:cstheme="minorEastAsia"/>
                <w:sz w:val="28"/>
                <w:szCs w:val="28"/>
                <w:u w:val="none"/>
              </w:rPr>
              <w:t>1713021309064013327</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2691738F">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银行帐号：</w:t>
            </w:r>
          </w:p>
        </w:tc>
      </w:tr>
      <w:tr w14:paraId="4F1020C5">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114F7FF4">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鉴证日期：</w:t>
            </w:r>
            <w:r>
              <w:rPr>
                <w:rFonts w:hint="eastAsia" w:asciiTheme="minorEastAsia" w:hAnsiTheme="minorEastAsia" w:eastAsiaTheme="minorEastAsia" w:cstheme="minorEastAsia"/>
                <w:spacing w:val="-20"/>
                <w:w w:val="90"/>
                <w:sz w:val="28"/>
                <w:szCs w:val="28"/>
                <w:lang w:val="en-US" w:eastAsia="zh-CN"/>
              </w:rPr>
              <w:t>xxxx</w:t>
            </w:r>
            <w:r>
              <w:rPr>
                <w:rFonts w:hint="eastAsia" w:asciiTheme="minorEastAsia" w:hAnsiTheme="minorEastAsia" w:eastAsiaTheme="minorEastAsia" w:cstheme="minorEastAsia"/>
                <w:spacing w:val="-20"/>
                <w:w w:val="90"/>
                <w:sz w:val="28"/>
                <w:szCs w:val="28"/>
              </w:rPr>
              <w:t>年</w:t>
            </w:r>
            <w:r>
              <w:rPr>
                <w:rFonts w:hint="eastAsia" w:asciiTheme="minorEastAsia" w:hAnsiTheme="minorEastAsia" w:eastAsiaTheme="minorEastAsia" w:cstheme="minorEastAsia"/>
                <w:spacing w:val="-20"/>
                <w:w w:val="90"/>
                <w:sz w:val="28"/>
                <w:szCs w:val="28"/>
                <w:lang w:val="en-US" w:eastAsia="zh-CN"/>
              </w:rPr>
              <w:t>xx</w:t>
            </w:r>
            <w:r>
              <w:rPr>
                <w:rFonts w:hint="eastAsia" w:asciiTheme="minorEastAsia" w:hAnsiTheme="minorEastAsia" w:eastAsiaTheme="minorEastAsia" w:cstheme="minorEastAsia"/>
                <w:spacing w:val="-20"/>
                <w:w w:val="90"/>
                <w:sz w:val="28"/>
                <w:szCs w:val="28"/>
              </w:rPr>
              <w:t>月</w:t>
            </w:r>
            <w:r>
              <w:rPr>
                <w:rFonts w:hint="eastAsia" w:asciiTheme="minorEastAsia" w:hAnsiTheme="minorEastAsia" w:eastAsiaTheme="minorEastAsia" w:cstheme="minorEastAsia"/>
                <w:spacing w:val="-20"/>
                <w:w w:val="90"/>
                <w:sz w:val="28"/>
                <w:szCs w:val="28"/>
                <w:lang w:val="en-US" w:eastAsia="zh-CN"/>
              </w:rPr>
              <w:t>xx</w:t>
            </w:r>
            <w:r>
              <w:rPr>
                <w:rFonts w:hint="eastAsia" w:asciiTheme="minorEastAsia" w:hAnsiTheme="minorEastAsia" w:eastAsiaTheme="minorEastAsia" w:cstheme="minorEastAsia"/>
                <w:spacing w:val="-20"/>
                <w:w w:val="90"/>
                <w:sz w:val="28"/>
                <w:szCs w:val="28"/>
              </w:rPr>
              <w:t>日</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4AA1BFAA">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鉴证日期：</w:t>
            </w:r>
            <w:r>
              <w:rPr>
                <w:rFonts w:hint="eastAsia" w:asciiTheme="minorEastAsia" w:hAnsiTheme="minorEastAsia" w:eastAsiaTheme="minorEastAsia" w:cstheme="minorEastAsia"/>
                <w:spacing w:val="-20"/>
                <w:w w:val="90"/>
                <w:sz w:val="28"/>
                <w:szCs w:val="28"/>
                <w:lang w:val="en-US" w:eastAsia="zh-CN"/>
              </w:rPr>
              <w:t>xxxx</w:t>
            </w:r>
            <w:r>
              <w:rPr>
                <w:rFonts w:hint="eastAsia" w:asciiTheme="minorEastAsia" w:hAnsiTheme="minorEastAsia" w:eastAsiaTheme="minorEastAsia" w:cstheme="minorEastAsia"/>
                <w:spacing w:val="-20"/>
                <w:w w:val="90"/>
                <w:sz w:val="28"/>
                <w:szCs w:val="28"/>
              </w:rPr>
              <w:t>年</w:t>
            </w:r>
            <w:r>
              <w:rPr>
                <w:rFonts w:hint="eastAsia" w:asciiTheme="minorEastAsia" w:hAnsiTheme="minorEastAsia" w:eastAsiaTheme="minorEastAsia" w:cstheme="minorEastAsia"/>
                <w:spacing w:val="-20"/>
                <w:w w:val="90"/>
                <w:sz w:val="28"/>
                <w:szCs w:val="28"/>
                <w:lang w:val="en-US" w:eastAsia="zh-CN"/>
              </w:rPr>
              <w:t>xx</w:t>
            </w:r>
            <w:r>
              <w:rPr>
                <w:rFonts w:hint="eastAsia" w:asciiTheme="minorEastAsia" w:hAnsiTheme="minorEastAsia" w:eastAsiaTheme="minorEastAsia" w:cstheme="minorEastAsia"/>
                <w:spacing w:val="-20"/>
                <w:w w:val="90"/>
                <w:sz w:val="28"/>
                <w:szCs w:val="28"/>
              </w:rPr>
              <w:t>月</w:t>
            </w:r>
            <w:r>
              <w:rPr>
                <w:rFonts w:hint="eastAsia" w:asciiTheme="minorEastAsia" w:hAnsiTheme="minorEastAsia" w:eastAsiaTheme="minorEastAsia" w:cstheme="minorEastAsia"/>
                <w:spacing w:val="-20"/>
                <w:w w:val="90"/>
                <w:sz w:val="28"/>
                <w:szCs w:val="28"/>
                <w:lang w:val="en-US" w:eastAsia="zh-CN"/>
              </w:rPr>
              <w:t>xx</w:t>
            </w:r>
            <w:r>
              <w:rPr>
                <w:rFonts w:hint="eastAsia" w:asciiTheme="minorEastAsia" w:hAnsiTheme="minorEastAsia" w:eastAsiaTheme="minorEastAsia" w:cstheme="minorEastAsia"/>
                <w:spacing w:val="-20"/>
                <w:w w:val="90"/>
                <w:sz w:val="28"/>
                <w:szCs w:val="28"/>
              </w:rPr>
              <w:t>日</w:t>
            </w:r>
          </w:p>
        </w:tc>
      </w:tr>
    </w:tbl>
    <w:p w14:paraId="613CDB29">
      <w:pPr>
        <w:spacing w:line="440" w:lineRule="exact"/>
        <w:jc w:val="left"/>
        <w:rPr>
          <w:rFonts w:hint="eastAsia" w:ascii="宋体" w:hAnsi="宋体"/>
          <w:spacing w:val="-8"/>
          <w:sz w:val="28"/>
        </w:rPr>
      </w:pPr>
    </w:p>
    <w:p w14:paraId="50ABB74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kern w:val="2"/>
          <w:sz w:val="28"/>
          <w:szCs w:val="28"/>
          <w:lang w:val="en-US" w:eastAsia="zh-CN" w:bidi="ar-SA"/>
        </w:rPr>
      </w:pPr>
    </w:p>
    <w:p w14:paraId="21E8E5DC">
      <w:pPr>
        <w:spacing w:line="360" w:lineRule="auto"/>
        <w:ind w:firstLine="480" w:firstLineChars="200"/>
        <w:rPr>
          <w:rFonts w:hint="eastAsia" w:asciiTheme="minorEastAsia" w:hAnsiTheme="minorEastAsia" w:eastAsiaTheme="minorEastAsia" w:cstheme="minorEastAsia"/>
          <w:sz w:val="24"/>
          <w:szCs w:val="24"/>
        </w:rPr>
      </w:pPr>
    </w:p>
    <w:p w14:paraId="54979C0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0D2329E7">
      <w:pPr>
        <w:numPr>
          <w:ilvl w:val="0"/>
          <w:numId w:val="0"/>
        </w:numPr>
        <w:tabs>
          <w:tab w:val="left" w:pos="1283"/>
        </w:tabs>
        <w:spacing w:before="55"/>
        <w:ind w:left="0" w:leftChars="0" w:right="22" w:rightChars="0" w:firstLine="0" w:firstLineChars="0"/>
        <w:jc w:val="center"/>
        <w:outlineLvl w:val="0"/>
        <w:rPr>
          <w:rFonts w:hint="default" w:cs="Times New Roman"/>
          <w:b/>
          <w:color w:val="auto"/>
          <w:sz w:val="32"/>
          <w:highlight w:val="none"/>
          <w:lang w:val="en-US" w:eastAsia="zh-CN"/>
        </w:rPr>
      </w:pPr>
      <w:bookmarkStart w:id="7" w:name="_Toc13467"/>
      <w:r>
        <w:rPr>
          <w:rFonts w:hint="eastAsia" w:ascii="Calibri" w:hAnsi="Calibri" w:eastAsia="宋体" w:cs="Times New Roman"/>
          <w:b/>
          <w:color w:val="auto"/>
          <w:kern w:val="2"/>
          <w:sz w:val="32"/>
          <w:szCs w:val="24"/>
          <w:lang w:val="en-US" w:eastAsia="zh-CN" w:bidi="ar-SA"/>
        </w:rPr>
        <w:t>第五章</w:t>
      </w:r>
      <w:r>
        <w:rPr>
          <w:rFonts w:hint="eastAsia" w:cs="Times New Roman"/>
          <w:b/>
          <w:color w:val="auto"/>
          <w:sz w:val="32"/>
          <w:highlight w:val="none"/>
          <w:lang w:val="en-US" w:eastAsia="zh-CN"/>
        </w:rPr>
        <w:t xml:space="preserve"> </w:t>
      </w:r>
      <w:bookmarkEnd w:id="7"/>
      <w:r>
        <w:rPr>
          <w:rFonts w:hint="eastAsia" w:cs="Times New Roman"/>
          <w:b/>
          <w:color w:val="auto"/>
          <w:sz w:val="32"/>
          <w:highlight w:val="none"/>
          <w:lang w:val="en-US" w:eastAsia="zh-CN"/>
        </w:rPr>
        <w:t>服务要求</w:t>
      </w:r>
    </w:p>
    <w:p w14:paraId="10B54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一.总则</w:t>
      </w:r>
    </w:p>
    <w:p w14:paraId="14285F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为了做好义马市城乡物流服务体系建设项目设计服务项目(义马市客货邮一体化分拨中心)的建设工作，现将本项目施工图设计要求汇总整理如下。本</w:t>
      </w:r>
      <w:r>
        <w:rPr>
          <w:rFonts w:hint="eastAsia" w:ascii="宋体" w:hAnsi="宋体" w:cs="宋体"/>
          <w:color w:val="auto"/>
          <w:kern w:val="0"/>
          <w:sz w:val="24"/>
          <w:szCs w:val="24"/>
          <w:highlight w:val="none"/>
          <w:lang w:val="en-US" w:eastAsia="zh-CN" w:bidi="ar-SA"/>
        </w:rPr>
        <w:t>服务要求</w:t>
      </w:r>
      <w:r>
        <w:rPr>
          <w:rFonts w:hint="default" w:ascii="宋体" w:hAnsi="宋体" w:eastAsia="宋体" w:cs="宋体"/>
          <w:color w:val="auto"/>
          <w:kern w:val="0"/>
          <w:sz w:val="24"/>
          <w:szCs w:val="24"/>
          <w:highlight w:val="none"/>
          <w:lang w:val="en-US" w:eastAsia="zh-CN" w:bidi="ar-SA"/>
        </w:rPr>
        <w:t>未尽事宜，可依据国家现行设计规范和地方有关规定执行，或另行协商确定。</w:t>
      </w:r>
    </w:p>
    <w:p w14:paraId="04B912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二.项目名称和设计内容</w:t>
      </w:r>
    </w:p>
    <w:p w14:paraId="2068FA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2.1 项目名称：义马市城乡物流服务体系建设项目设计服务项目(义马市客货邮一体化分拨中心)</w:t>
      </w:r>
    </w:p>
    <w:p w14:paraId="396C0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2.2 建设单位名称：义马市交通运输局。</w:t>
      </w:r>
    </w:p>
    <w:p w14:paraId="0BBDDB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2.3 建设地点：义马市。</w:t>
      </w:r>
    </w:p>
    <w:p w14:paraId="034E47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2.4 设计内容：各专业施工图图纸设计，施工期间技术服务和配合，配合竣工验收、配合相关部门结算、工程保修，并保证设计成果文件通过相关主管部门的最终审查，招标控制价及工程量清单编制。</w:t>
      </w:r>
    </w:p>
    <w:p w14:paraId="168C16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三.建设设计要求</w:t>
      </w:r>
    </w:p>
    <w:p w14:paraId="0C639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1、外立面装饰</w:t>
      </w:r>
    </w:p>
    <w:p w14:paraId="42F256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 按效果图确定的色彩效果实施。</w:t>
      </w:r>
    </w:p>
    <w:p w14:paraId="2D289A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2、室内做法</w:t>
      </w:r>
    </w:p>
    <w:p w14:paraId="5CCFA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公建部分：公区楼地面采用地砖楼地面，墙面采用无机涂料饰面，顶面铝板吊顶；卫生间地面防滑地砖防水楼地面，墙面设置防水措施、采用面砖饰面；顶棚铝板吊顶；楼梯楼地面采用地砖楼地面，墙面采用无机涂料饰面，顶面无机涂料饰面；厂房及仓库部分：地面采用细石混凝土地面，墙面采用无机涂料饰面，顶面无机涂料饰面；功能房间室内装修详专项设计；楼梯及护窗栏杆采用不锈钢栏杆。</w:t>
      </w:r>
    </w:p>
    <w:p w14:paraId="4630FA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3、门窗</w:t>
      </w:r>
    </w:p>
    <w:p w14:paraId="35B64C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外窗及玻璃外门采用断热铝合金普通中空玻璃门窗（5+12A+5）。</w:t>
      </w:r>
    </w:p>
    <w:p w14:paraId="61D60B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4、防水材料</w:t>
      </w:r>
    </w:p>
    <w:p w14:paraId="18F66E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地下底板、外墙：采用SBS卷材</w:t>
      </w:r>
    </w:p>
    <w:p w14:paraId="414183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室内防水、卫生间防水：一级防水：1.5mm厚聚氨酯防水涂料+1.5mm厚聚氨酯防水涂料。</w:t>
      </w:r>
    </w:p>
    <w:p w14:paraId="4958FB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外墙：5厚干粉类聚合物水泥防水砂浆+1.5厚聚合物水泥防水涂料。</w:t>
      </w:r>
    </w:p>
    <w:p w14:paraId="3CAF97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屋面防水：一级防水，3mm+3mm聚合物改性沥青类防水卷材（热熔法施工）+1.5厚聚合物水泥防水涂料</w:t>
      </w:r>
    </w:p>
    <w:p w14:paraId="63461F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5、建筑节能</w:t>
      </w:r>
    </w:p>
    <w:p w14:paraId="573E6E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外墙保温材料采用防火岩棉保温板，燃烧性能为A级，屋面保温材料采用挤塑聚苯板,燃烧性能等级为B1级，其他等按标准执行。</w:t>
      </w:r>
    </w:p>
    <w:p w14:paraId="173D8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6、本工程设置太阳能光伏系统</w:t>
      </w:r>
    </w:p>
    <w:p w14:paraId="2C902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7、本工程为一星绿建</w:t>
      </w:r>
    </w:p>
    <w:p w14:paraId="4EC5F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8、不做装配式设计、不考虑人防设计</w:t>
      </w:r>
    </w:p>
    <w:p w14:paraId="49EC4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四、结构</w:t>
      </w:r>
    </w:p>
    <w:p w14:paraId="39DA41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（一）结构形式</w:t>
      </w:r>
    </w:p>
    <w:p w14:paraId="0F4491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1#物流分拨中心采用轻型门式刚架结构，其他子项采用钢筋混凝土框架结构。</w:t>
      </w:r>
    </w:p>
    <w:p w14:paraId="1A4BF9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（二）荷载取值</w:t>
      </w:r>
    </w:p>
    <w:p w14:paraId="68023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2#冷藏库：冻结物冷藏间：25KN/㎡，冷却物冷藏间：20KN/㎡；</w:t>
      </w:r>
    </w:p>
    <w:p w14:paraId="21F98D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综合服务中心：办公室2.5KN/㎡；</w:t>
      </w:r>
    </w:p>
    <w:p w14:paraId="0C337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其它未注明的房间功能活荷载取值均按现行规范标准取值</w:t>
      </w:r>
    </w:p>
    <w:p w14:paraId="47DBA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（三）墙体材料</w:t>
      </w:r>
    </w:p>
    <w:p w14:paraId="36FCB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1#物流分拨中心外围护墙采用压型金属板复合保温外墙，2#冷藏库采用压型金属板复合保温外墙，综合服务中心及门卫房外墙采用200厚加气混凝土砌块；</w:t>
      </w:r>
    </w:p>
    <w:p w14:paraId="0CC419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±0.000以下与土直接接触的采用混凝土普通砖； </w:t>
      </w:r>
    </w:p>
    <w:p w14:paraId="47237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（三）材料选用</w:t>
      </w:r>
    </w:p>
    <w:p w14:paraId="614D96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1.钢筋：梁、板、柱等主要受力构件纵筋及箍筋采用三级钢，分布筋采用一级钢。</w:t>
      </w:r>
    </w:p>
    <w:p w14:paraId="5C443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2.钢材等级：钢架、钢框架采用Q355B钢，围护结构采用Q235B、Q355B级钢。</w:t>
      </w:r>
    </w:p>
    <w:p w14:paraId="304481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3.混凝土强度等级：基础采用C30；</w:t>
      </w:r>
    </w:p>
    <w:p w14:paraId="431CD5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单体梁板、楼梯取C30。</w:t>
      </w:r>
    </w:p>
    <w:p w14:paraId="65B66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（四） 使用要求</w:t>
      </w:r>
    </w:p>
    <w:p w14:paraId="0632DB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1.结构设计仅包含结构主体。</w:t>
      </w:r>
    </w:p>
    <w:p w14:paraId="76D82E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2.其他未明确的按国家相关规范、规程要求执行，同时满足当地建筑技术规范、规程的要求。</w:t>
      </w:r>
    </w:p>
    <w:p w14:paraId="7D85B1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五、给排水</w:t>
      </w:r>
    </w:p>
    <w:p w14:paraId="71800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1.设计包括用地红线内生活给水、生活排水、雨水排水、冷凝水排水、室内外消火栓、自动喷淋、灭火器系统设计；</w:t>
      </w:r>
    </w:p>
    <w:p w14:paraId="2DB13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2.给水系统：</w:t>
      </w:r>
    </w:p>
    <w:p w14:paraId="2558D5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根据建设方提供资料，市政可以供原三层建筑用水。本工程生活给水全部采用市政直供。在引入管上设一级计量水表，在每个楼引入管上设二级计量水表，在空调系统、消防系统、绿化等补水处设置三级计量水表。</w:t>
      </w:r>
    </w:p>
    <w:p w14:paraId="4FAAE2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（2）室外给水布置环状管网，室外生活给水管采用钢丝网骨架聚乙烯复合管；景观给水管采用PE80塑料给水管。</w:t>
      </w:r>
    </w:p>
    <w:p w14:paraId="4397EA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（3）室内给水、热水管采用铝合金衬塑PPR管。</w:t>
      </w:r>
    </w:p>
    <w:p w14:paraId="136ACD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（4）综合服务用房热水采用电热水器，其他楼不设置热水。</w:t>
      </w:r>
    </w:p>
    <w:p w14:paraId="216C95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（5）1#物流分拨中心不设置给水。</w:t>
      </w:r>
    </w:p>
    <w:p w14:paraId="0B65B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（6）所有卫生器具要求达到2级节水能效。</w:t>
      </w:r>
    </w:p>
    <w:p w14:paraId="6FF40C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3.生活排水系统：</w:t>
      </w:r>
    </w:p>
    <w:p w14:paraId="68A539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（1）生活排水系统采用污废合流制,室内±0.00以上的污废水重力自流排入室外污水管，经管网收集后排至化粪池预处理后再排至市政污水管网。</w:t>
      </w:r>
    </w:p>
    <w:p w14:paraId="3C6ED7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（2）室外设置污水管网，室外污水管采用HDPE双壁波纹管，污水检查井采用砼检查井。</w:t>
      </w:r>
    </w:p>
    <w:p w14:paraId="5F6949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（3）室内卫生间排水系统采用单立管伸顶通气排水系统；底层污废水单独排放。</w:t>
      </w:r>
    </w:p>
    <w:p w14:paraId="62BD2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（4）卫生间排水管采用HDPE塑料排水管。</w:t>
      </w:r>
    </w:p>
    <w:p w14:paraId="308435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（6）大便器、小便器应自带存水弯。</w:t>
      </w:r>
    </w:p>
    <w:p w14:paraId="6AF31A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4.雨水、冷凝水排水系统：</w:t>
      </w:r>
    </w:p>
    <w:p w14:paraId="695E6F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（1）1#物流分拨中心屋面采用虹吸排水系统，其他楼屋面采用重力排水系统；由雨水斗收集至雨水管道，雨水管排至单体室外雨水管网，再排至市政雨水管网。</w:t>
      </w:r>
    </w:p>
    <w:p w14:paraId="73741D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（2）室外设置雨水管网，室外雨水管采用HDPE双壁波纹管，雨水检查井采用砼检查井，雨水篦子采用重型球墨铸铁雨水篦子。</w:t>
      </w:r>
    </w:p>
    <w:p w14:paraId="7DDF29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（3）建筑雨水管采用HDPE塑料排水管，虹吸排水系统采用虹吸专用HDPE排水管。</w:t>
      </w:r>
    </w:p>
    <w:p w14:paraId="6F00B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（4）冷凝水、喷淋系统排水管采用U-PVC排水管，排至雨水管网。</w:t>
      </w:r>
    </w:p>
    <w:p w14:paraId="38E59A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5.消防系统：</w:t>
      </w:r>
    </w:p>
    <w:p w14:paraId="14D151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（1）按一路市政供水设计，在室外设地埋式一体化消防泵站，储存室内消火栓、室外消火栓、喷淋用水量；设置室内、室外合用消火栓泵两台，喷淋泵两台。</w:t>
      </w:r>
    </w:p>
    <w:p w14:paraId="1045B2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（2）消防水池储水量包含二期消防用水量，消防水泵参数满足二期消防用水。</w:t>
      </w:r>
    </w:p>
    <w:p w14:paraId="4E6409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（3）在2#冷链库屋面设置消防水箱1座、增压稳压设备2套，放在消防水箱间内。</w:t>
      </w:r>
    </w:p>
    <w:p w14:paraId="15280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（4）室外按规范要求设置室外消火栓和水泵接合器，采用地上式室外消火栓、地上式水泵接合器。室外埋地消防管道采用钢丝网骨架聚乙烯复合管。</w:t>
      </w:r>
    </w:p>
    <w:p w14:paraId="112B0C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（5）室内按规范要求设置室内消火栓，消火栓箱采用1m高、0.7m宽的箱子，带消防软管卷盘。</w:t>
      </w:r>
    </w:p>
    <w:p w14:paraId="37C4E1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（6）室内按规范要求设置喷淋，吊顶区域采用下垂型玻璃球喷头，无吊顶区域采用直立型玻璃球喷头。</w:t>
      </w:r>
    </w:p>
    <w:p w14:paraId="64A545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（7）室内按规范要求设置灭火器，灭火器采用磷酸铵盐干粉灭火器，保护距离不足时自行增设。</w:t>
      </w:r>
    </w:p>
    <w:p w14:paraId="6FA81F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（8）室内消防管道采用热浸锌镀锌钢管。</w:t>
      </w:r>
    </w:p>
    <w:p w14:paraId="7386AF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6.室内应按规范要求设置抗震支吊架，具体图纸由二次设计提供。</w:t>
      </w:r>
    </w:p>
    <w:p w14:paraId="26445A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7.未明确事项均按照现行规范、图集要求进行设计；如施工图审查、消防审查意见与本任务书不一致处，以意见为准。</w:t>
      </w:r>
    </w:p>
    <w:p w14:paraId="24A502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六、暖通</w:t>
      </w:r>
    </w:p>
    <w:p w14:paraId="723E21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设计范围: 本项目设计范围包括所有子项的空调系统设计、通风系统设计、防排烟系统设计、冷库系统设计。</w:t>
      </w:r>
    </w:p>
    <w:p w14:paraId="3E8AFE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6.1 空调系统设计</w:t>
      </w:r>
    </w:p>
    <w:p w14:paraId="23EB0C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本项目综合服务中心采用变制冷剂流量多联分体式空调系统，新风采用全热交换机组。室外机均设置于屋面，空调冷凝水统一回收，就近排放至卫生间等排水点或设置冷凝水立管；门卫房采用分体空调。</w:t>
      </w:r>
    </w:p>
    <w:p w14:paraId="590A2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6.2 通风及防排烟系统</w:t>
      </w:r>
    </w:p>
    <w:p w14:paraId="47D1F9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6.2.1本工程其他需排烟的房间按规范要求采用自然排烟或者机械排烟，采用自然补风或者机械补风。卫生间等需要设置排风的房间均按规范要求设置机械排风，横向直排室外或通过排气道排出室外。其它未提到的均按国家现行相关法规规范进行设计。</w:t>
      </w:r>
    </w:p>
    <w:p w14:paraId="1C97AE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6.2.2 冷库制冷机房设置事故通风。</w:t>
      </w:r>
    </w:p>
    <w:p w14:paraId="728609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6.2.3 防排烟系统按相关规范、标准要求设计。</w:t>
      </w:r>
    </w:p>
    <w:p w14:paraId="37C7F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6.3冷库系统</w:t>
      </w:r>
    </w:p>
    <w:p w14:paraId="18FEE6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6.3.1冷库系统共包含低温冷冻库和水果储存库，低温冷冻库库温：-18~-23℃，储存牛羊肉，总库容约为1000吨，每天进货60吨（以库容的6%计），进货温度≤-5℃，经24h降到-18℃。水果储存库库温：-2~-0℃，总库容约为1000吨，每天进货60吨（以库容的6%计），进货温度≤8℃，经24h降到0℃。</w:t>
      </w:r>
    </w:p>
    <w:p w14:paraId="1DC66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6.3.2本项目制冷剂采用氟利昂“R507A”，制冷系统采用氟利昂直接膨胀系统。制冷系统采用一体化螺杆制冷机组，冷凝器采用风冷式冷凝器，冷凝器带喷水辅助冷却，库内冷却设备采用吊顶式冷风机，融霜方式采用水冲霜。</w:t>
      </w:r>
    </w:p>
    <w:p w14:paraId="2B803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其他未提及处按现行国家及地方有关法规，规范进行设计。</w:t>
      </w:r>
    </w:p>
    <w:p w14:paraId="0EB59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七、电气</w:t>
      </w:r>
    </w:p>
    <w:p w14:paraId="17F0FD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7.1 电气设计范围：低压配电、照明系统、消防自动报警及联动控制系统、建筑物防雷及接地系统、智能化系统、光伏发电系统。</w:t>
      </w:r>
    </w:p>
    <w:p w14:paraId="3D597C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7.2 2#冷藏库设置一处变电所，由市政引来一路10kV电源。园区设置一处</w:t>
      </w:r>
    </w:p>
    <w:p w14:paraId="2B3D41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柴油发电机组，供二级负荷供电。变电所由电力设计院二次深化设计。</w:t>
      </w:r>
    </w:p>
    <w:p w14:paraId="2117B4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7.3 应急照明及疏散指示系统采用集中电源型系统。建筑内疏散照明的地面最低水平照度应符合规范要求。</w:t>
      </w:r>
    </w:p>
    <w:p w14:paraId="32519B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7.4 所有线路采用铜芯导线、电缆。消防干线、消防分支干线、应急照明干线采用WDZN-YJY电缆，其余消防设施用的配电线路及动力、应急照明各分支线路采用WDZN-YJY电缆（WDZN-BYJ导线）；普通配电干线、分支干线采用WDZ-YJY电缆，其余普通配电支线采用WDZ-YJY电缆（WDZ-BYJ导线）；当消防线缆与非消防线缆在同一电井内敷设时，分别布置在电缆井的两侧，消防干线采用矿物绝缘电缆。冷库内电线电缆采用耐低温型。</w:t>
      </w:r>
    </w:p>
    <w:p w14:paraId="3E77CD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7.5 弱电机房及消防控制室设置于综合服务中心一层。智能化系统专项设</w:t>
      </w:r>
    </w:p>
    <w:p w14:paraId="19676E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计。</w:t>
      </w:r>
    </w:p>
    <w:p w14:paraId="1121DF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7.6 消防自动报警采用集中报警系统。按规范要求设置电气火灾系统、消防</w:t>
      </w:r>
    </w:p>
    <w:p w14:paraId="241BB6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设备电源监控系统、防火门监控系统等。</w:t>
      </w:r>
    </w:p>
    <w:p w14:paraId="64C4FD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7.7 综合服务中心及2#冷藏库屋顶设置光伏发电系统（自发自用），光伏发电系统专项设计。</w:t>
      </w:r>
    </w:p>
    <w:p w14:paraId="2FA0DE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7.8 冷库制冷工艺及其他工艺部分由厂家深化设计。</w:t>
      </w:r>
    </w:p>
    <w:p w14:paraId="6F83AB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7.9 其他按现行国家有关法规，规范进行设计。</w:t>
      </w: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28209"/>
      <w:r>
        <w:rPr>
          <w:rFonts w:hint="eastAsia" w:cs="Times New Roman"/>
          <w:b/>
          <w:color w:val="auto"/>
          <w:sz w:val="32"/>
          <w:highlight w:val="none"/>
          <w:lang w:val="en-US" w:eastAsia="zh-CN"/>
        </w:rPr>
        <w:t>第六章 响应文件内容及格式</w:t>
      </w:r>
      <w:bookmarkEnd w:id="8"/>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8"/>
        <w:rPr>
          <w:b/>
          <w:color w:val="auto"/>
          <w:sz w:val="40"/>
          <w:highlight w:val="none"/>
        </w:rPr>
      </w:pPr>
    </w:p>
    <w:p w14:paraId="76C10FF7">
      <w:pPr>
        <w:pStyle w:val="8"/>
        <w:rPr>
          <w:b/>
          <w:color w:val="auto"/>
          <w:sz w:val="40"/>
          <w:highlight w:val="none"/>
        </w:rPr>
      </w:pPr>
    </w:p>
    <w:p w14:paraId="69524A78">
      <w:pPr>
        <w:pStyle w:val="8"/>
        <w:rPr>
          <w:b/>
          <w:color w:val="auto"/>
          <w:sz w:val="40"/>
          <w:highlight w:val="none"/>
        </w:rPr>
      </w:pPr>
    </w:p>
    <w:p w14:paraId="5F833E5D">
      <w:pPr>
        <w:pStyle w:val="8"/>
        <w:rPr>
          <w:b/>
          <w:color w:val="auto"/>
          <w:sz w:val="40"/>
          <w:highlight w:val="none"/>
        </w:rPr>
      </w:pPr>
    </w:p>
    <w:p w14:paraId="0DFB8ABB">
      <w:pPr>
        <w:pStyle w:val="8"/>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8"/>
        <w:rPr>
          <w:color w:val="auto"/>
          <w:sz w:val="72"/>
          <w:highlight w:val="none"/>
        </w:rPr>
      </w:pPr>
    </w:p>
    <w:p w14:paraId="00FC772A">
      <w:pPr>
        <w:pStyle w:val="8"/>
        <w:rPr>
          <w:color w:val="auto"/>
          <w:sz w:val="72"/>
          <w:highlight w:val="none"/>
        </w:rPr>
      </w:pPr>
    </w:p>
    <w:p w14:paraId="1A244C2A">
      <w:pPr>
        <w:pStyle w:val="8"/>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4"/>
        <w:ind w:left="0" w:leftChars="0" w:firstLine="0" w:firstLineChars="0"/>
        <w:jc w:val="center"/>
        <w:outlineLvl w:val="1"/>
        <w:rPr>
          <w:b/>
          <w:bCs/>
          <w:color w:val="auto"/>
          <w:sz w:val="32"/>
          <w:szCs w:val="32"/>
          <w:highlight w:val="none"/>
        </w:rPr>
      </w:pPr>
      <w:bookmarkStart w:id="9" w:name="_bookmark5"/>
      <w:bookmarkEnd w:id="9"/>
      <w:bookmarkStart w:id="10" w:name="一、投标函及投标函附录"/>
      <w:bookmarkEnd w:id="10"/>
      <w:r>
        <w:rPr>
          <w:b/>
          <w:bCs/>
          <w:color w:val="auto"/>
          <w:sz w:val="32"/>
          <w:szCs w:val="32"/>
          <w:highlight w:val="none"/>
        </w:rPr>
        <w:t>一、投标函及投标函附录</w:t>
      </w:r>
    </w:p>
    <w:p w14:paraId="7617EB2F">
      <w:pPr>
        <w:pStyle w:val="8"/>
        <w:spacing w:before="2"/>
        <w:rPr>
          <w:b/>
          <w:color w:val="auto"/>
          <w:sz w:val="30"/>
          <w:highlight w:val="none"/>
        </w:rPr>
      </w:pPr>
    </w:p>
    <w:p w14:paraId="4884574A">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42"/>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人民币：大写：</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r>
        <w:rPr>
          <w:rFonts w:hint="eastAsia" w:cs="宋体"/>
          <w:color w:val="auto"/>
          <w:sz w:val="24"/>
          <w:szCs w:val="24"/>
          <w:highlight w:val="none"/>
          <w:lang w:val="en-US" w:eastAsia="zh-CN"/>
        </w:rPr>
        <w:t>小写：</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服务周期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42"/>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w:t>
      </w:r>
      <w:r>
        <w:rPr>
          <w:rFonts w:hint="eastAsia" w:cs="宋体"/>
          <w:color w:val="auto"/>
          <w:sz w:val="24"/>
          <w:szCs w:val="24"/>
          <w:highlight w:val="none"/>
          <w:lang w:eastAsia="zh-CN"/>
        </w:rPr>
        <w:t>磋商有效期</w:t>
      </w:r>
      <w:r>
        <w:rPr>
          <w:rFonts w:hint="eastAsia" w:ascii="宋体" w:hAnsi="宋体" w:eastAsia="宋体" w:cs="宋体"/>
          <w:color w:val="auto"/>
          <w:sz w:val="24"/>
          <w:szCs w:val="24"/>
          <w:highlight w:val="none"/>
        </w:rPr>
        <w:t>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42"/>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42"/>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42"/>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42"/>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w:t>
      </w:r>
      <w:r>
        <w:rPr>
          <w:rFonts w:hint="eastAsia" w:cs="宋体"/>
          <w:color w:val="auto"/>
          <w:spacing w:val="-9"/>
          <w:sz w:val="24"/>
          <w:szCs w:val="24"/>
          <w:highlight w:val="none"/>
          <w:lang w:eastAsia="zh-CN"/>
        </w:rPr>
        <w:t>磋商有效期</w:t>
      </w:r>
      <w:r>
        <w:rPr>
          <w:rFonts w:hint="eastAsia" w:ascii="宋体" w:hAnsi="宋体" w:eastAsia="宋体" w:cs="宋体"/>
          <w:color w:val="auto"/>
          <w:spacing w:val="-9"/>
          <w:sz w:val="24"/>
          <w:szCs w:val="24"/>
          <w:highlight w:val="none"/>
        </w:rPr>
        <w:t>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42"/>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42"/>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42"/>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8"/>
        <w:rPr>
          <w:rFonts w:hint="eastAsia" w:ascii="宋体" w:hAnsi="宋体" w:eastAsia="宋体" w:cs="宋体"/>
          <w:color w:val="auto"/>
          <w:sz w:val="24"/>
          <w:szCs w:val="24"/>
          <w:highlight w:val="none"/>
        </w:rPr>
      </w:pPr>
    </w:p>
    <w:p w14:paraId="0AE8FAD2">
      <w:pPr>
        <w:pStyle w:val="8"/>
        <w:spacing w:before="7"/>
        <w:rPr>
          <w:rFonts w:hint="eastAsia" w:ascii="宋体" w:hAnsi="宋体" w:eastAsia="宋体" w:cs="宋体"/>
          <w:color w:val="auto"/>
          <w:sz w:val="24"/>
          <w:szCs w:val="24"/>
          <w:highlight w:val="none"/>
        </w:rPr>
      </w:pPr>
    </w:p>
    <w:p w14:paraId="539B874C">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42"/>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42"/>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42"/>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42"/>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42"/>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20"/>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项目负责人及证书编号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大写：</w:t>
            </w:r>
          </w:p>
          <w:p w14:paraId="22071017">
            <w:pPr>
              <w:widowControl w:val="0"/>
              <w:numPr>
                <w:ilvl w:val="0"/>
                <w:numId w:val="0"/>
              </w:numPr>
              <w:spacing w:line="480" w:lineRule="atLeast"/>
              <w:jc w:val="both"/>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小写：</w:t>
            </w: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服务周期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8"/>
        <w:spacing w:before="72" w:line="360" w:lineRule="auto"/>
        <w:ind w:left="686"/>
        <w:rPr>
          <w:color w:val="auto"/>
          <w:sz w:val="24"/>
          <w:szCs w:val="24"/>
          <w:highlight w:val="none"/>
        </w:rPr>
      </w:pPr>
      <w:r>
        <w:rPr>
          <w:color w:val="auto"/>
          <w:sz w:val="24"/>
          <w:szCs w:val="24"/>
          <w:highlight w:val="none"/>
        </w:rPr>
        <w:t>经营期限：</w:t>
      </w:r>
    </w:p>
    <w:p w14:paraId="4C0D0874">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8"/>
        <w:spacing w:before="11" w:line="360" w:lineRule="auto"/>
        <w:rPr>
          <w:color w:val="auto"/>
          <w:sz w:val="24"/>
          <w:szCs w:val="24"/>
          <w:highlight w:val="none"/>
        </w:rPr>
      </w:pPr>
    </w:p>
    <w:p w14:paraId="29123D32">
      <w:pPr>
        <w:pStyle w:val="8"/>
        <w:spacing w:before="71" w:line="360" w:lineRule="auto"/>
        <w:ind w:left="1102"/>
        <w:rPr>
          <w:color w:val="auto"/>
          <w:sz w:val="24"/>
          <w:szCs w:val="24"/>
          <w:highlight w:val="none"/>
        </w:rPr>
      </w:pPr>
      <w:r>
        <w:rPr>
          <w:color w:val="auto"/>
          <w:sz w:val="24"/>
          <w:szCs w:val="24"/>
          <w:highlight w:val="none"/>
        </w:rPr>
        <w:t>特此证明。</w:t>
      </w:r>
    </w:p>
    <w:p w14:paraId="42271D06">
      <w:pPr>
        <w:pStyle w:val="8"/>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8"/>
        <w:rPr>
          <w:color w:val="auto"/>
          <w:sz w:val="24"/>
          <w:szCs w:val="24"/>
          <w:highlight w:val="none"/>
        </w:rPr>
      </w:pPr>
    </w:p>
    <w:p w14:paraId="5EAA220C">
      <w:pPr>
        <w:pStyle w:val="8"/>
        <w:rPr>
          <w:color w:val="auto"/>
          <w:sz w:val="24"/>
          <w:szCs w:val="24"/>
          <w:highlight w:val="none"/>
        </w:rPr>
      </w:pPr>
    </w:p>
    <w:p w14:paraId="05904208">
      <w:pPr>
        <w:pStyle w:val="8"/>
        <w:rPr>
          <w:color w:val="auto"/>
          <w:sz w:val="24"/>
          <w:szCs w:val="24"/>
          <w:highlight w:val="none"/>
        </w:rPr>
      </w:pPr>
    </w:p>
    <w:p w14:paraId="324AA852">
      <w:pPr>
        <w:pStyle w:val="8"/>
        <w:rPr>
          <w:color w:val="auto"/>
          <w:sz w:val="24"/>
          <w:szCs w:val="24"/>
          <w:highlight w:val="none"/>
        </w:rPr>
      </w:pPr>
    </w:p>
    <w:p w14:paraId="7BCD5A21">
      <w:pPr>
        <w:pStyle w:val="8"/>
        <w:rPr>
          <w:color w:val="auto"/>
          <w:sz w:val="24"/>
          <w:szCs w:val="24"/>
          <w:highlight w:val="none"/>
        </w:rPr>
      </w:pPr>
    </w:p>
    <w:p w14:paraId="31C1859D">
      <w:pPr>
        <w:pStyle w:val="8"/>
        <w:spacing w:before="5"/>
        <w:rPr>
          <w:color w:val="auto"/>
          <w:sz w:val="24"/>
          <w:szCs w:val="24"/>
          <w:highlight w:val="none"/>
        </w:rPr>
      </w:pPr>
    </w:p>
    <w:p w14:paraId="536F5D43">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8"/>
        <w:spacing w:before="11"/>
        <w:rPr>
          <w:color w:val="auto"/>
          <w:sz w:val="24"/>
          <w:szCs w:val="24"/>
          <w:highlight w:val="none"/>
        </w:rPr>
      </w:pPr>
    </w:p>
    <w:p w14:paraId="7BAAD774">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71120A48">
      <w:pP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br w:type="page"/>
      </w:r>
    </w:p>
    <w:p w14:paraId="7672B78D">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cs="宋体"/>
          <w:color w:val="auto"/>
          <w:sz w:val="24"/>
          <w:szCs w:val="24"/>
          <w:highlight w:val="none"/>
          <w:lang w:eastAsia="zh-CN"/>
        </w:rPr>
        <w:t>磋商有效期</w:t>
      </w:r>
      <w:r>
        <w:rPr>
          <w:rFonts w:hint="eastAsia" w:ascii="宋体" w:hAnsi="宋体" w:eastAsia="宋体" w:cs="宋体"/>
          <w:color w:val="auto"/>
          <w:sz w:val="24"/>
          <w:szCs w:val="24"/>
          <w:highlight w:val="none"/>
        </w:rPr>
        <w:t>内撤销响应文件的；</w:t>
      </w:r>
    </w:p>
    <w:p w14:paraId="01BA7DFA">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cs="宋体"/>
          <w:color w:val="auto"/>
          <w:sz w:val="24"/>
          <w:szCs w:val="24"/>
          <w:highlight w:val="none"/>
          <w:lang w:eastAsia="zh-CN"/>
        </w:rPr>
        <w:t>磋商有效期</w:t>
      </w:r>
      <w:r>
        <w:rPr>
          <w:rFonts w:hint="eastAsia" w:ascii="宋体" w:hAnsi="宋体" w:eastAsia="宋体" w:cs="宋体"/>
          <w:color w:val="auto"/>
          <w:sz w:val="24"/>
          <w:szCs w:val="24"/>
          <w:highlight w:val="none"/>
        </w:rPr>
        <w:t>内，供应商在政府采购活动中有违法、违规、违纪行为。</w:t>
      </w:r>
    </w:p>
    <w:p w14:paraId="62033B7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8"/>
        <w:spacing w:before="4" w:line="360" w:lineRule="auto"/>
        <w:rPr>
          <w:rFonts w:hint="eastAsia" w:ascii="宋体" w:hAnsi="宋体" w:eastAsia="宋体" w:cs="宋体"/>
          <w:color w:val="auto"/>
          <w:sz w:val="24"/>
          <w:szCs w:val="24"/>
          <w:highlight w:val="none"/>
        </w:rPr>
      </w:pPr>
    </w:p>
    <w:p w14:paraId="32829D14">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8"/>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法定代表人（签字或盖章）</w:t>
      </w:r>
      <w:r>
        <w:rPr>
          <w:rFonts w:hint="eastAsia" w:cs="宋体"/>
          <w:color w:val="auto"/>
          <w:spacing w:val="-6"/>
          <w:sz w:val="24"/>
          <w:szCs w:val="24"/>
          <w:highlight w:val="none"/>
          <w:lang w:eastAsia="zh-CN"/>
        </w:rPr>
        <w:t>：</w:t>
      </w:r>
    </w:p>
    <w:p w14:paraId="31F25FA8">
      <w:pPr>
        <w:pStyle w:val="8"/>
        <w:spacing w:before="1" w:line="360" w:lineRule="auto"/>
        <w:ind w:right="237"/>
        <w:rPr>
          <w:rFonts w:hint="eastAsia" w:ascii="宋体" w:hAnsi="宋体" w:eastAsia="宋体" w:cs="宋体"/>
          <w:color w:val="auto"/>
          <w:spacing w:val="-6"/>
          <w:sz w:val="24"/>
          <w:szCs w:val="24"/>
          <w:highlight w:val="none"/>
        </w:rPr>
      </w:pPr>
    </w:p>
    <w:p w14:paraId="47F9D6E7">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服务方案</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B454569">
      <w:pPr>
        <w:spacing w:line="500" w:lineRule="exact"/>
        <w:jc w:val="center"/>
        <w:textAlignment w:val="baseline"/>
        <w:outlineLvl w:val="1"/>
        <w:rPr>
          <w:rFonts w:ascii="宋体" w:hAnsi="宋体" w:eastAsia="宋体" w:cs="Times New Roman"/>
          <w:b/>
          <w:bCs/>
          <w:color w:val="auto"/>
          <w:sz w:val="32"/>
          <w:szCs w:val="32"/>
          <w:highlight w:val="none"/>
        </w:rPr>
      </w:pPr>
      <w:bookmarkStart w:id="12" w:name="_Toc30047"/>
      <w:bookmarkStart w:id="13" w:name="_Toc27309"/>
      <w:bookmarkStart w:id="14" w:name="_Toc17170"/>
      <w:bookmarkStart w:id="15" w:name="_Toc1751"/>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08B9ED7A">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16"/>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2AF2827B">
      <w:pPr>
        <w:spacing w:before="312" w:beforeLines="100" w:line="480" w:lineRule="auto"/>
        <w:ind w:firstLine="482"/>
        <w:jc w:val="left"/>
        <w:rPr>
          <w:rFonts w:hint="eastAsia" w:ascii="宋体" w:hAnsi="宋体" w:eastAsia="宋体" w:cs="宋体"/>
          <w:sz w:val="24"/>
          <w:szCs w:val="20"/>
        </w:rPr>
      </w:pPr>
      <w:r>
        <w:rPr>
          <w:rFonts w:hint="eastAsia" w:ascii="宋体" w:hAnsi="宋体" w:eastAsia="宋体" w:cs="宋体"/>
          <w:sz w:val="24"/>
          <w:szCs w:val="20"/>
        </w:rPr>
        <w:t>本公</w:t>
      </w:r>
      <w:r>
        <w:rPr>
          <w:rFonts w:hint="eastAsia" w:ascii="宋体" w:hAnsi="宋体" w:eastAsia="宋体" w:cs="宋体"/>
          <w:color w:val="auto"/>
          <w:sz w:val="24"/>
          <w:szCs w:val="20"/>
        </w:rPr>
        <w:t>司（联合体）郑</w:t>
      </w:r>
      <w:r>
        <w:rPr>
          <w:rFonts w:hint="eastAsia" w:ascii="宋体" w:hAnsi="宋体" w:eastAsia="宋体" w:cs="宋体"/>
          <w:sz w:val="24"/>
          <w:szCs w:val="20"/>
        </w:rPr>
        <w:t>重声明，根据《政府采购促进中小企业发展管理办法》（财库﹝2020﹞46 号）的规定，本公司（联合体）参加</w:t>
      </w:r>
      <w:r>
        <w:rPr>
          <w:rFonts w:hint="eastAsia" w:ascii="宋体" w:hAnsi="宋体" w:eastAsia="宋体" w:cs="宋体"/>
          <w:sz w:val="24"/>
          <w:szCs w:val="20"/>
          <w:u w:val="single"/>
        </w:rPr>
        <w:t>（单位名称）</w:t>
      </w:r>
      <w:r>
        <w:rPr>
          <w:rFonts w:hint="eastAsia" w:ascii="宋体" w:hAnsi="宋体" w:eastAsia="宋体" w:cs="宋体"/>
          <w:sz w:val="24"/>
          <w:szCs w:val="20"/>
        </w:rPr>
        <w:t>的</w:t>
      </w:r>
      <w:r>
        <w:rPr>
          <w:rFonts w:hint="eastAsia" w:ascii="宋体" w:hAnsi="宋体" w:eastAsia="宋体" w:cs="宋体"/>
          <w:sz w:val="24"/>
          <w:szCs w:val="20"/>
          <w:u w:val="single"/>
        </w:rPr>
        <w:t>（项目名称）</w:t>
      </w:r>
      <w:r>
        <w:rPr>
          <w:rFonts w:hint="eastAsia" w:ascii="宋体" w:hAnsi="宋体" w:eastAsia="宋体" w:cs="宋体"/>
          <w:sz w:val="24"/>
          <w:szCs w:val="20"/>
        </w:rPr>
        <w:t>采购活动，服务全部由符合政策要求的中小企业承接。相关企业（含联合体中的中小企业、签订分包意向协议的中小企业）的具体情况如下：</w:t>
      </w:r>
    </w:p>
    <w:p w14:paraId="48C1CC91">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1. </w:t>
      </w:r>
      <w:r>
        <w:rPr>
          <w:rFonts w:hint="eastAsia" w:ascii="宋体" w:hAnsi="宋体" w:eastAsia="宋体" w:cs="宋体"/>
          <w:sz w:val="24"/>
          <w:szCs w:val="20"/>
          <w:u w:val="single"/>
        </w:rPr>
        <w:t>（标的</w:t>
      </w:r>
      <w:r>
        <w:rPr>
          <w:rFonts w:hint="eastAsia" w:ascii="宋体" w:hAnsi="宋体" w:eastAsia="宋体" w:cs="宋体"/>
          <w:color w:val="auto"/>
          <w:sz w:val="24"/>
          <w:szCs w:val="20"/>
          <w:u w:val="single"/>
        </w:rPr>
        <w:t xml:space="preserve">名称） </w:t>
      </w:r>
      <w:r>
        <w:rPr>
          <w:rFonts w:hint="eastAsia" w:ascii="宋体" w:hAnsi="宋体" w:eastAsia="宋体" w:cs="宋体"/>
          <w:color w:val="auto"/>
          <w:sz w:val="24"/>
          <w:szCs w:val="20"/>
        </w:rPr>
        <w:t>，属于</w:t>
      </w:r>
      <w:r>
        <w:rPr>
          <w:rFonts w:hint="eastAsia" w:ascii="宋体" w:hAnsi="宋体" w:eastAsia="宋体" w:cs="宋体"/>
          <w:color w:val="auto"/>
          <w:sz w:val="24"/>
          <w:szCs w:val="20"/>
          <w:u w:val="single"/>
          <w:lang w:val="en-US" w:eastAsia="zh-CN"/>
        </w:rPr>
        <w:t xml:space="preserve">   其它未列明行业   </w:t>
      </w:r>
      <w:r>
        <w:rPr>
          <w:rFonts w:hint="eastAsia" w:ascii="宋体" w:hAnsi="宋体" w:eastAsia="宋体" w:cs="宋体"/>
          <w:color w:val="auto"/>
          <w:sz w:val="24"/>
          <w:szCs w:val="20"/>
        </w:rPr>
        <w:t>；承建</w:t>
      </w:r>
      <w:r>
        <w:rPr>
          <w:rFonts w:hint="eastAsia" w:ascii="宋体" w:hAnsi="宋体" w:eastAsia="宋体" w:cs="宋体"/>
          <w:sz w:val="24"/>
          <w:szCs w:val="20"/>
        </w:rPr>
        <w:t>（承接）企业为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万元1，属于（中型企业、小型企业、微型企业）；</w:t>
      </w:r>
    </w:p>
    <w:p w14:paraId="4B50C6C1">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2.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w:t>
      </w:r>
      <w:r>
        <w:rPr>
          <w:rFonts w:hint="eastAsia" w:ascii="宋体" w:hAnsi="宋体" w:eastAsia="宋体" w:cs="宋体"/>
          <w:sz w:val="24"/>
          <w:szCs w:val="20"/>
        </w:rPr>
        <w:t>；承建（承接）企业为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万元，属于</w:t>
      </w:r>
      <w:r>
        <w:rPr>
          <w:rFonts w:hint="eastAsia" w:ascii="宋体" w:hAnsi="宋体" w:eastAsia="宋体" w:cs="宋体"/>
          <w:sz w:val="24"/>
          <w:szCs w:val="20"/>
          <w:u w:val="single"/>
        </w:rPr>
        <w:t>（中型企业、小型企业、微型企业）</w:t>
      </w:r>
      <w:r>
        <w:rPr>
          <w:rFonts w:hint="eastAsia" w:ascii="宋体" w:hAnsi="宋体" w:eastAsia="宋体" w:cs="宋体"/>
          <w:sz w:val="24"/>
          <w:szCs w:val="20"/>
        </w:rPr>
        <w:t>；</w:t>
      </w:r>
    </w:p>
    <w:p w14:paraId="57C5E197">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w:t>
      </w:r>
    </w:p>
    <w:p w14:paraId="60DD7160">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以上企业，不属于大企业的分支机构，不存在控股股东为大企业的情形，也不存在与大企业的负责人为同一人的情形。</w:t>
      </w:r>
    </w:p>
    <w:p w14:paraId="5B329D4C">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本企业对上述声明内容的真实性负责。如有虚假，将依法承担相应责任。</w:t>
      </w:r>
    </w:p>
    <w:p w14:paraId="6D3C8CD2">
      <w:pPr>
        <w:spacing w:line="480" w:lineRule="auto"/>
        <w:ind w:firstLine="5954"/>
        <w:jc w:val="left"/>
        <w:rPr>
          <w:rFonts w:hint="eastAsia" w:ascii="宋体" w:hAnsi="宋体" w:eastAsia="宋体" w:cs="宋体"/>
          <w:sz w:val="24"/>
          <w:szCs w:val="20"/>
        </w:rPr>
      </w:pPr>
    </w:p>
    <w:p w14:paraId="45B48DE6">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企业名称（盖章）：</w:t>
      </w:r>
    </w:p>
    <w:p w14:paraId="51A654B5">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日期：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17" w:name="_Toc2102"/>
      <w:bookmarkStart w:id="18" w:name="_Toc27316"/>
      <w:bookmarkStart w:id="19" w:name="_Toc18593"/>
      <w:bookmarkStart w:id="20" w:name="_Toc3901"/>
      <w:bookmarkStart w:id="21" w:name="_Toc25037"/>
      <w:bookmarkStart w:id="22" w:name="_Toc24807"/>
      <w:bookmarkStart w:id="23" w:name="_Toc28455"/>
      <w:bookmarkStart w:id="24" w:name="_Toc29742"/>
      <w:bookmarkStart w:id="25" w:name="_Toc6978"/>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bookmarkEnd w:id="25"/>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6" w:name="_Toc12776"/>
      <w:bookmarkStart w:id="27" w:name="_Toc20672"/>
      <w:bookmarkStart w:id="28" w:name="_Toc7097"/>
      <w:bookmarkStart w:id="29" w:name="_Toc20491"/>
      <w:bookmarkStart w:id="30" w:name="_Toc30785"/>
      <w:bookmarkStart w:id="31" w:name="_Toc9287"/>
      <w:bookmarkStart w:id="32" w:name="_Toc25118"/>
      <w:bookmarkStart w:id="33" w:name="_Toc22690"/>
      <w:bookmarkStart w:id="34" w:name="_Toc1414"/>
      <w:r>
        <w:rPr>
          <w:rFonts w:hint="eastAsia" w:ascii="宋体" w:hAnsi="宋体" w:eastAsia="宋体" w:cs="宋体"/>
          <w:b/>
          <w:bCs/>
          <w:color w:val="auto"/>
          <w:sz w:val="24"/>
          <w:szCs w:val="24"/>
          <w:highlight w:val="none"/>
          <w:lang w:val="zh-CN"/>
        </w:rPr>
        <w:t>监狱企业证明文件</w:t>
      </w:r>
      <w:bookmarkEnd w:id="26"/>
      <w:bookmarkEnd w:id="27"/>
      <w:bookmarkEnd w:id="28"/>
      <w:bookmarkEnd w:id="29"/>
      <w:bookmarkEnd w:id="30"/>
      <w:bookmarkEnd w:id="31"/>
      <w:bookmarkEnd w:id="32"/>
      <w:bookmarkEnd w:id="33"/>
      <w:bookmarkEnd w:id="34"/>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35" w:name="_Toc13700"/>
      <w:bookmarkStart w:id="36" w:name="_Toc16416"/>
      <w:bookmarkStart w:id="37" w:name="_Toc20645"/>
      <w:bookmarkStart w:id="38" w:name="_Toc7118"/>
      <w:bookmarkStart w:id="39" w:name="_Toc1643"/>
      <w:bookmarkStart w:id="40" w:name="_Toc27716"/>
      <w:bookmarkStart w:id="41" w:name="_Toc14168"/>
      <w:bookmarkStart w:id="42" w:name="_Toc6264"/>
      <w:bookmarkStart w:id="43" w:name="_Toc11345"/>
      <w:r>
        <w:rPr>
          <w:rFonts w:hint="eastAsia" w:ascii="宋体" w:hAnsi="宋体" w:eastAsia="宋体" w:cs="宋体"/>
          <w:color w:val="auto"/>
          <w:sz w:val="24"/>
          <w:szCs w:val="24"/>
          <w:highlight w:val="none"/>
        </w:rPr>
        <w:t>附件3</w:t>
      </w:r>
      <w:bookmarkEnd w:id="35"/>
      <w:bookmarkEnd w:id="36"/>
      <w:bookmarkEnd w:id="37"/>
      <w:bookmarkEnd w:id="38"/>
      <w:bookmarkEnd w:id="39"/>
      <w:bookmarkEnd w:id="40"/>
      <w:bookmarkEnd w:id="41"/>
      <w:bookmarkEnd w:id="42"/>
      <w:bookmarkEnd w:id="43"/>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44" w:name="_Toc24744"/>
      <w:bookmarkStart w:id="45" w:name="_Toc27930"/>
      <w:bookmarkStart w:id="46" w:name="_Toc6118"/>
      <w:bookmarkStart w:id="47" w:name="_Toc25433"/>
      <w:bookmarkStart w:id="48" w:name="_Toc9003"/>
      <w:bookmarkStart w:id="49" w:name="_Toc32130"/>
      <w:bookmarkStart w:id="50" w:name="_Toc8171"/>
      <w:bookmarkStart w:id="51" w:name="_Toc12807"/>
      <w:bookmarkStart w:id="52" w:name="_Toc20376"/>
      <w:r>
        <w:rPr>
          <w:rFonts w:hint="eastAsia" w:ascii="宋体" w:hAnsi="宋体" w:eastAsia="宋体" w:cs="宋体"/>
          <w:b/>
          <w:bCs/>
          <w:color w:val="auto"/>
          <w:kern w:val="36"/>
          <w:sz w:val="24"/>
          <w:szCs w:val="24"/>
          <w:highlight w:val="none"/>
        </w:rPr>
        <w:t>残疾人福利性单位声明函（如有）</w:t>
      </w:r>
      <w:bookmarkEnd w:id="44"/>
      <w:bookmarkEnd w:id="45"/>
      <w:bookmarkEnd w:id="46"/>
      <w:bookmarkEnd w:id="47"/>
      <w:bookmarkEnd w:id="48"/>
      <w:bookmarkEnd w:id="49"/>
      <w:bookmarkEnd w:id="50"/>
      <w:bookmarkEnd w:id="51"/>
      <w:bookmarkEnd w:id="52"/>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41"/>
        <w:spacing w:line="480" w:lineRule="exact"/>
        <w:jc w:val="center"/>
        <w:outlineLvl w:val="9"/>
        <w:rPr>
          <w:rFonts w:hint="eastAsia" w:ascii="宋体" w:hAnsi="宋体" w:eastAsia="宋体" w:cs="宋体"/>
          <w:b/>
          <w:color w:val="auto"/>
          <w:sz w:val="28"/>
          <w:highlight w:val="none"/>
          <w:lang w:val="zh-CN"/>
        </w:rPr>
      </w:pPr>
    </w:p>
    <w:p w14:paraId="26175F66">
      <w:pPr>
        <w:pStyle w:val="41"/>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7F023FA7">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3A09B31B"/>
    <w:multiLevelType w:val="singleLevel"/>
    <w:tmpl w:val="3A09B31B"/>
    <w:lvl w:ilvl="0" w:tentative="0">
      <w:start w:val="2"/>
      <w:numFmt w:val="chineseCounting"/>
      <w:suff w:val="nothing"/>
      <w:lvlText w:val="%1、"/>
      <w:lvlJc w:val="left"/>
      <w:rPr>
        <w:rFonts w:hint="eastAsia"/>
      </w:rPr>
    </w:lvl>
  </w:abstractNum>
  <w:abstractNum w:abstractNumId="2">
    <w:nsid w:val="3A1CAE0B"/>
    <w:multiLevelType w:val="singleLevel"/>
    <w:tmpl w:val="3A1CAE0B"/>
    <w:lvl w:ilvl="0" w:tentative="0">
      <w:start w:val="8"/>
      <w:numFmt w:val="chineseCounting"/>
      <w:suff w:val="space"/>
      <w:lvlText w:val="第%1条"/>
      <w:lvlJc w:val="left"/>
      <w:rPr>
        <w:rFonts w:hint="eastAsia"/>
      </w:rPr>
    </w:lvl>
  </w:abstractNum>
  <w:abstractNum w:abstractNumId="3">
    <w:nsid w:val="765D2AB3"/>
    <w:multiLevelType w:val="singleLevel"/>
    <w:tmpl w:val="765D2AB3"/>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TAyZTJmOTk5YjJjMzg5ZWM5MjdhMWFkZjhkYzQifQ=="/>
  </w:docVars>
  <w:rsids>
    <w:rsidRoot w:val="6F455122"/>
    <w:rsid w:val="004003F4"/>
    <w:rsid w:val="011914B8"/>
    <w:rsid w:val="014A4B87"/>
    <w:rsid w:val="016C2D4F"/>
    <w:rsid w:val="0181291D"/>
    <w:rsid w:val="01D628BE"/>
    <w:rsid w:val="01F66ABD"/>
    <w:rsid w:val="02AE0322"/>
    <w:rsid w:val="03625857"/>
    <w:rsid w:val="03DB0660"/>
    <w:rsid w:val="03EC0177"/>
    <w:rsid w:val="040B0C1A"/>
    <w:rsid w:val="041264DF"/>
    <w:rsid w:val="04310280"/>
    <w:rsid w:val="046C12B8"/>
    <w:rsid w:val="04763EE5"/>
    <w:rsid w:val="04CA090C"/>
    <w:rsid w:val="04CE19A8"/>
    <w:rsid w:val="05286BE1"/>
    <w:rsid w:val="053D64F4"/>
    <w:rsid w:val="056120E0"/>
    <w:rsid w:val="061002C3"/>
    <w:rsid w:val="06F832D7"/>
    <w:rsid w:val="07B70FD5"/>
    <w:rsid w:val="07D433FC"/>
    <w:rsid w:val="09872A61"/>
    <w:rsid w:val="099F7D22"/>
    <w:rsid w:val="0A307BBE"/>
    <w:rsid w:val="0A60366D"/>
    <w:rsid w:val="0B022976"/>
    <w:rsid w:val="0B683B84"/>
    <w:rsid w:val="0C193AD3"/>
    <w:rsid w:val="0C8A1028"/>
    <w:rsid w:val="0DB066B9"/>
    <w:rsid w:val="0DCB15DA"/>
    <w:rsid w:val="0E0132A3"/>
    <w:rsid w:val="0ED70896"/>
    <w:rsid w:val="0F1D1B2D"/>
    <w:rsid w:val="0F346E76"/>
    <w:rsid w:val="0F6F5AF2"/>
    <w:rsid w:val="0F8E6BA9"/>
    <w:rsid w:val="0F952BE5"/>
    <w:rsid w:val="0FF53898"/>
    <w:rsid w:val="11012D1B"/>
    <w:rsid w:val="114535BD"/>
    <w:rsid w:val="116003F7"/>
    <w:rsid w:val="12F73583"/>
    <w:rsid w:val="13B66003"/>
    <w:rsid w:val="13DF3855"/>
    <w:rsid w:val="1466786F"/>
    <w:rsid w:val="15532985"/>
    <w:rsid w:val="15AB5BF6"/>
    <w:rsid w:val="15E46F00"/>
    <w:rsid w:val="15FC7C1D"/>
    <w:rsid w:val="16DE1BA1"/>
    <w:rsid w:val="170B6491"/>
    <w:rsid w:val="17A34AF5"/>
    <w:rsid w:val="17D9680D"/>
    <w:rsid w:val="17E21B65"/>
    <w:rsid w:val="17FE3BC2"/>
    <w:rsid w:val="18B43502"/>
    <w:rsid w:val="18FF22A3"/>
    <w:rsid w:val="19063631"/>
    <w:rsid w:val="196D1903"/>
    <w:rsid w:val="199D3F96"/>
    <w:rsid w:val="19CE1374"/>
    <w:rsid w:val="1A512FD2"/>
    <w:rsid w:val="1ACC4407"/>
    <w:rsid w:val="1B7369FA"/>
    <w:rsid w:val="1BA86C22"/>
    <w:rsid w:val="1BFB1448"/>
    <w:rsid w:val="1C7F782D"/>
    <w:rsid w:val="1CA404EA"/>
    <w:rsid w:val="1CFB20F0"/>
    <w:rsid w:val="1DAF5FA9"/>
    <w:rsid w:val="1E5D4451"/>
    <w:rsid w:val="1F4959A5"/>
    <w:rsid w:val="1F4F1D32"/>
    <w:rsid w:val="209B0B03"/>
    <w:rsid w:val="20EE50D7"/>
    <w:rsid w:val="21354997"/>
    <w:rsid w:val="216929AF"/>
    <w:rsid w:val="219C4B33"/>
    <w:rsid w:val="21BA320B"/>
    <w:rsid w:val="220C3CE1"/>
    <w:rsid w:val="223E208E"/>
    <w:rsid w:val="22680EB9"/>
    <w:rsid w:val="22934188"/>
    <w:rsid w:val="22AF4D3A"/>
    <w:rsid w:val="23072480"/>
    <w:rsid w:val="2366364A"/>
    <w:rsid w:val="239B0E1A"/>
    <w:rsid w:val="23C91E2B"/>
    <w:rsid w:val="242136F5"/>
    <w:rsid w:val="24962FBF"/>
    <w:rsid w:val="24D74F06"/>
    <w:rsid w:val="250550E5"/>
    <w:rsid w:val="254D1ECE"/>
    <w:rsid w:val="25C40AFC"/>
    <w:rsid w:val="260211C0"/>
    <w:rsid w:val="2625588A"/>
    <w:rsid w:val="26461511"/>
    <w:rsid w:val="266E2824"/>
    <w:rsid w:val="274A70A1"/>
    <w:rsid w:val="27526B2E"/>
    <w:rsid w:val="277F117F"/>
    <w:rsid w:val="28384C2F"/>
    <w:rsid w:val="28597A12"/>
    <w:rsid w:val="2915328D"/>
    <w:rsid w:val="29280B10"/>
    <w:rsid w:val="29D06620"/>
    <w:rsid w:val="2A074176"/>
    <w:rsid w:val="2A3A09D3"/>
    <w:rsid w:val="2A947237"/>
    <w:rsid w:val="2AB949A8"/>
    <w:rsid w:val="2B2D4A4E"/>
    <w:rsid w:val="2B443194"/>
    <w:rsid w:val="2BA2095F"/>
    <w:rsid w:val="2BA559E9"/>
    <w:rsid w:val="2BB10633"/>
    <w:rsid w:val="2C113AC3"/>
    <w:rsid w:val="2C1B0D4A"/>
    <w:rsid w:val="2D0A14EA"/>
    <w:rsid w:val="2D222D81"/>
    <w:rsid w:val="2DDE5D83"/>
    <w:rsid w:val="2E830CCE"/>
    <w:rsid w:val="2F821DA3"/>
    <w:rsid w:val="307A3D70"/>
    <w:rsid w:val="30FE72F1"/>
    <w:rsid w:val="31255EAF"/>
    <w:rsid w:val="31B7018C"/>
    <w:rsid w:val="3203475A"/>
    <w:rsid w:val="32513718"/>
    <w:rsid w:val="32FE2E9B"/>
    <w:rsid w:val="332407AF"/>
    <w:rsid w:val="333126C0"/>
    <w:rsid w:val="3357543B"/>
    <w:rsid w:val="33C73CCB"/>
    <w:rsid w:val="3421711A"/>
    <w:rsid w:val="34E138A4"/>
    <w:rsid w:val="34ED62D7"/>
    <w:rsid w:val="353F1F4D"/>
    <w:rsid w:val="35754FDA"/>
    <w:rsid w:val="35774D9F"/>
    <w:rsid w:val="36D97FDD"/>
    <w:rsid w:val="373553B6"/>
    <w:rsid w:val="376A7537"/>
    <w:rsid w:val="37E001EA"/>
    <w:rsid w:val="37EE37B7"/>
    <w:rsid w:val="37F457DC"/>
    <w:rsid w:val="383D480E"/>
    <w:rsid w:val="386C204C"/>
    <w:rsid w:val="387D4CD1"/>
    <w:rsid w:val="38AC0272"/>
    <w:rsid w:val="39557F91"/>
    <w:rsid w:val="3A06303A"/>
    <w:rsid w:val="3D635C17"/>
    <w:rsid w:val="3D6C2D45"/>
    <w:rsid w:val="3EEA117C"/>
    <w:rsid w:val="400E2C48"/>
    <w:rsid w:val="403703F1"/>
    <w:rsid w:val="40CF6117"/>
    <w:rsid w:val="40DB5894"/>
    <w:rsid w:val="40E8793D"/>
    <w:rsid w:val="41596145"/>
    <w:rsid w:val="422718F0"/>
    <w:rsid w:val="427D6F5C"/>
    <w:rsid w:val="42B95C33"/>
    <w:rsid w:val="42C83582"/>
    <w:rsid w:val="436F1026"/>
    <w:rsid w:val="444E19A7"/>
    <w:rsid w:val="44DF2E05"/>
    <w:rsid w:val="44EC44AD"/>
    <w:rsid w:val="451E392D"/>
    <w:rsid w:val="46593AA7"/>
    <w:rsid w:val="46641814"/>
    <w:rsid w:val="471B1FD9"/>
    <w:rsid w:val="477B1E7C"/>
    <w:rsid w:val="47E32C0C"/>
    <w:rsid w:val="47F72214"/>
    <w:rsid w:val="482E20D9"/>
    <w:rsid w:val="48390ED1"/>
    <w:rsid w:val="489A776F"/>
    <w:rsid w:val="49340969"/>
    <w:rsid w:val="4A314C56"/>
    <w:rsid w:val="4A747123"/>
    <w:rsid w:val="4B676C34"/>
    <w:rsid w:val="4B6C50E2"/>
    <w:rsid w:val="4B8563EC"/>
    <w:rsid w:val="4C20442F"/>
    <w:rsid w:val="4C2C153D"/>
    <w:rsid w:val="4CA92ED0"/>
    <w:rsid w:val="4CF51418"/>
    <w:rsid w:val="4E20297D"/>
    <w:rsid w:val="4E2B70BB"/>
    <w:rsid w:val="4E9D3820"/>
    <w:rsid w:val="4F0F42E7"/>
    <w:rsid w:val="4F4F0B8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476745"/>
    <w:rsid w:val="54372316"/>
    <w:rsid w:val="545509EE"/>
    <w:rsid w:val="55A51501"/>
    <w:rsid w:val="56110247"/>
    <w:rsid w:val="56585F78"/>
    <w:rsid w:val="56810C41"/>
    <w:rsid w:val="568234D0"/>
    <w:rsid w:val="575A4079"/>
    <w:rsid w:val="58086DF8"/>
    <w:rsid w:val="5818245E"/>
    <w:rsid w:val="58AC2BA6"/>
    <w:rsid w:val="58B82BD2"/>
    <w:rsid w:val="592B6E1F"/>
    <w:rsid w:val="596C0CB3"/>
    <w:rsid w:val="59EF0550"/>
    <w:rsid w:val="5A105AE3"/>
    <w:rsid w:val="5A9B0F31"/>
    <w:rsid w:val="5B8175B1"/>
    <w:rsid w:val="5BAD7C14"/>
    <w:rsid w:val="5BB328B6"/>
    <w:rsid w:val="5BB8472C"/>
    <w:rsid w:val="5C1C28CE"/>
    <w:rsid w:val="5C8005D2"/>
    <w:rsid w:val="5D1E5865"/>
    <w:rsid w:val="5D2B2C34"/>
    <w:rsid w:val="5D66733F"/>
    <w:rsid w:val="5D717B9C"/>
    <w:rsid w:val="5D76403C"/>
    <w:rsid w:val="5DB9244D"/>
    <w:rsid w:val="5EF153BA"/>
    <w:rsid w:val="5F9605FB"/>
    <w:rsid w:val="5FB46F10"/>
    <w:rsid w:val="5FCB3EDE"/>
    <w:rsid w:val="601C1153"/>
    <w:rsid w:val="61F730E4"/>
    <w:rsid w:val="623C47AA"/>
    <w:rsid w:val="625E65A5"/>
    <w:rsid w:val="63234928"/>
    <w:rsid w:val="63315910"/>
    <w:rsid w:val="63E56E61"/>
    <w:rsid w:val="647E7AED"/>
    <w:rsid w:val="65617249"/>
    <w:rsid w:val="658924EB"/>
    <w:rsid w:val="67000C8D"/>
    <w:rsid w:val="676E209B"/>
    <w:rsid w:val="67867736"/>
    <w:rsid w:val="678B0249"/>
    <w:rsid w:val="67F13E67"/>
    <w:rsid w:val="684D7F02"/>
    <w:rsid w:val="68617509"/>
    <w:rsid w:val="687F139E"/>
    <w:rsid w:val="692626AB"/>
    <w:rsid w:val="694641F3"/>
    <w:rsid w:val="694E3F32"/>
    <w:rsid w:val="69A55B1C"/>
    <w:rsid w:val="6B21130D"/>
    <w:rsid w:val="6BA918F3"/>
    <w:rsid w:val="6BAB5A1A"/>
    <w:rsid w:val="6BE17C88"/>
    <w:rsid w:val="6BF34B5F"/>
    <w:rsid w:val="6C060692"/>
    <w:rsid w:val="6C0979E0"/>
    <w:rsid w:val="6C71128E"/>
    <w:rsid w:val="6C893DAB"/>
    <w:rsid w:val="6D3671B7"/>
    <w:rsid w:val="6D5E02EA"/>
    <w:rsid w:val="6D9057A9"/>
    <w:rsid w:val="6EC407F2"/>
    <w:rsid w:val="6EF10793"/>
    <w:rsid w:val="6F03756C"/>
    <w:rsid w:val="6F043A22"/>
    <w:rsid w:val="6F095BAB"/>
    <w:rsid w:val="6F455122"/>
    <w:rsid w:val="6FB61E83"/>
    <w:rsid w:val="72E96A79"/>
    <w:rsid w:val="72F524C9"/>
    <w:rsid w:val="732E26DE"/>
    <w:rsid w:val="73922C6D"/>
    <w:rsid w:val="73F73575"/>
    <w:rsid w:val="74934F0B"/>
    <w:rsid w:val="74F1463C"/>
    <w:rsid w:val="752244C4"/>
    <w:rsid w:val="7533222E"/>
    <w:rsid w:val="753E5FF6"/>
    <w:rsid w:val="77057D06"/>
    <w:rsid w:val="77444892"/>
    <w:rsid w:val="77465356"/>
    <w:rsid w:val="782D11B6"/>
    <w:rsid w:val="789D4075"/>
    <w:rsid w:val="78BA2027"/>
    <w:rsid w:val="79273E57"/>
    <w:rsid w:val="79314CD6"/>
    <w:rsid w:val="7A081C66"/>
    <w:rsid w:val="7A1C7734"/>
    <w:rsid w:val="7A432F13"/>
    <w:rsid w:val="7A5769BE"/>
    <w:rsid w:val="7A717563"/>
    <w:rsid w:val="7A9E5FB6"/>
    <w:rsid w:val="7B3B008E"/>
    <w:rsid w:val="7C156B31"/>
    <w:rsid w:val="7CBB1019"/>
    <w:rsid w:val="7CFC4DA3"/>
    <w:rsid w:val="7E1B69E2"/>
    <w:rsid w:val="7F007CC9"/>
    <w:rsid w:val="7F3D43D5"/>
    <w:rsid w:val="7FA03E4F"/>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Normal (Web)"/>
    <w:basedOn w:val="1"/>
    <w:qFormat/>
    <w:uiPriority w:val="0"/>
    <w:pPr>
      <w:spacing w:before="100" w:beforeAutospacing="1" w:after="100" w:afterAutospacing="1"/>
      <w:ind w:left="0" w:right="0"/>
      <w:jc w:val="left"/>
    </w:pPr>
    <w:rPr>
      <w:kern w:val="0"/>
      <w:sz w:val="24"/>
      <w:lang w:val="en-US" w:eastAsia="zh-CN"/>
    </w:rPr>
  </w:style>
  <w:style w:type="paragraph" w:styleId="18">
    <w:name w:val="Body Text First Indent"/>
    <w:basedOn w:val="8"/>
    <w:qFormat/>
    <w:uiPriority w:val="0"/>
    <w:pPr>
      <w:ind w:firstLine="420" w:firstLineChars="100"/>
    </w:pPr>
  </w:style>
  <w:style w:type="paragraph" w:styleId="19">
    <w:name w:val="Body Text First Indent 2"/>
    <w:basedOn w:val="9"/>
    <w:next w:val="1"/>
    <w:qFormat/>
    <w:uiPriority w:val="0"/>
    <w:pPr>
      <w:ind w:firstLine="420" w:firstLineChars="200"/>
    </w:pPr>
    <w:rPr>
      <w:rFonts w:ascii="Times New Roman" w:hAnsi="Times New Roman" w:eastAsia="宋体" w:cs="Times New Roman"/>
    </w:rPr>
  </w:style>
  <w:style w:type="table" w:styleId="21">
    <w:name w:val="Table Grid"/>
    <w:basedOn w:val="20"/>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rPr>
      <w:b/>
      <w:bCs/>
    </w:rPr>
  </w:style>
  <w:style w:type="character" w:styleId="27">
    <w:name w:val="HTML Definition"/>
    <w:basedOn w:val="22"/>
    <w:qFormat/>
    <w:uiPriority w:val="0"/>
  </w:style>
  <w:style w:type="character" w:styleId="28">
    <w:name w:val="HTML Typewriter"/>
    <w:basedOn w:val="22"/>
    <w:qFormat/>
    <w:uiPriority w:val="0"/>
    <w:rPr>
      <w:rFonts w:ascii="monospace" w:hAnsi="monospace" w:eastAsia="monospace" w:cs="monospace"/>
      <w:sz w:val="18"/>
      <w:szCs w:val="18"/>
      <w:bdr w:val="single" w:color="D2D2D2" w:sz="2" w:space="0"/>
    </w:rPr>
  </w:style>
  <w:style w:type="character" w:styleId="29">
    <w:name w:val="HTML Acronym"/>
    <w:basedOn w:val="22"/>
    <w:qFormat/>
    <w:uiPriority w:val="0"/>
  </w:style>
  <w:style w:type="character" w:styleId="30">
    <w:name w:val="HTML Variable"/>
    <w:basedOn w:val="22"/>
    <w:qFormat/>
    <w:uiPriority w:val="0"/>
    <w:rPr>
      <w:shd w:val="clear" w:fill="FFFFFF"/>
    </w:rPr>
  </w:style>
  <w:style w:type="character" w:styleId="31">
    <w:name w:val="Hyperlink"/>
    <w:basedOn w:val="22"/>
    <w:qFormat/>
    <w:uiPriority w:val="0"/>
    <w:rPr>
      <w:color w:val="0000FF"/>
      <w:u w:val="none"/>
    </w:rPr>
  </w:style>
  <w:style w:type="character" w:styleId="32">
    <w:name w:val="HTML Code"/>
    <w:basedOn w:val="22"/>
    <w:qFormat/>
    <w:uiPriority w:val="0"/>
    <w:rPr>
      <w:rFonts w:hint="default" w:ascii="monospace" w:hAnsi="monospace" w:eastAsia="monospace" w:cs="monospace"/>
      <w:sz w:val="20"/>
    </w:rPr>
  </w:style>
  <w:style w:type="character" w:styleId="33">
    <w:name w:val="HTML Cite"/>
    <w:basedOn w:val="22"/>
    <w:qFormat/>
    <w:uiPriority w:val="0"/>
  </w:style>
  <w:style w:type="character" w:styleId="34">
    <w:name w:val="HTML Keyboard"/>
    <w:basedOn w:val="22"/>
    <w:qFormat/>
    <w:uiPriority w:val="0"/>
    <w:rPr>
      <w:rFonts w:hint="default" w:ascii="monospace" w:hAnsi="monospace" w:eastAsia="monospace" w:cs="monospace"/>
      <w:sz w:val="20"/>
    </w:rPr>
  </w:style>
  <w:style w:type="character" w:styleId="35">
    <w:name w:val="HTML Sample"/>
    <w:basedOn w:val="22"/>
    <w:qFormat/>
    <w:uiPriority w:val="0"/>
    <w:rPr>
      <w:rFonts w:hint="default" w:ascii="monospace" w:hAnsi="monospace" w:eastAsia="monospace" w:cs="monospace"/>
    </w:rPr>
  </w:style>
  <w:style w:type="paragraph" w:customStyle="1" w:styleId="36">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40">
    <w:name w:val="Table Paragraph"/>
    <w:basedOn w:val="1"/>
    <w:qFormat/>
    <w:uiPriority w:val="1"/>
    <w:rPr>
      <w:rFonts w:ascii="宋体" w:hAnsi="宋体" w:eastAsia="宋体" w:cs="宋体"/>
    </w:rPr>
  </w:style>
  <w:style w:type="paragraph" w:customStyle="1" w:styleId="41">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2">
    <w:name w:val="List Paragraph"/>
    <w:basedOn w:val="1"/>
    <w:qFormat/>
    <w:uiPriority w:val="1"/>
    <w:pPr>
      <w:ind w:left="1182" w:hanging="483"/>
    </w:pPr>
    <w:rPr>
      <w:rFonts w:ascii="宋体" w:hAnsi="宋体" w:eastAsia="宋体" w:cs="宋体"/>
    </w:rPr>
  </w:style>
  <w:style w:type="paragraph" w:customStyle="1" w:styleId="43">
    <w:name w:val="_Style 1"/>
    <w:basedOn w:val="1"/>
    <w:qFormat/>
    <w:uiPriority w:val="34"/>
    <w:pPr>
      <w:ind w:firstLine="420" w:firstLineChars="200"/>
    </w:pPr>
  </w:style>
  <w:style w:type="character" w:customStyle="1" w:styleId="44">
    <w:name w:val="hover1"/>
    <w:basedOn w:val="22"/>
    <w:qFormat/>
    <w:uiPriority w:val="0"/>
    <w:rPr>
      <w:color w:val="2590EB"/>
    </w:rPr>
  </w:style>
  <w:style w:type="character" w:customStyle="1" w:styleId="45">
    <w:name w:val="hover2"/>
    <w:basedOn w:val="22"/>
    <w:qFormat/>
    <w:uiPriority w:val="0"/>
    <w:rPr>
      <w:color w:val="2590EB"/>
    </w:rPr>
  </w:style>
  <w:style w:type="character" w:customStyle="1" w:styleId="46">
    <w:name w:val="hover3"/>
    <w:basedOn w:val="22"/>
    <w:qFormat/>
    <w:uiPriority w:val="0"/>
  </w:style>
  <w:style w:type="character" w:customStyle="1" w:styleId="47">
    <w:name w:val="mini-outputtext1"/>
    <w:basedOn w:val="22"/>
    <w:qFormat/>
    <w:uiPriority w:val="0"/>
  </w:style>
  <w:style w:type="character" w:customStyle="1" w:styleId="48">
    <w:name w:val="hover"/>
    <w:basedOn w:val="22"/>
    <w:qFormat/>
    <w:uiPriority w:val="0"/>
    <w:rPr>
      <w:color w:val="2590EB"/>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 w:type="paragraph" w:customStyle="1" w:styleId="50">
    <w:name w:val="Table Text"/>
    <w:basedOn w:val="1"/>
    <w:semiHidden/>
    <w:qFormat/>
    <w:uiPriority w:val="0"/>
    <w:rPr>
      <w:rFonts w:ascii="仿宋" w:hAnsi="仿宋" w:eastAsia="仿宋" w:cs="仿宋"/>
      <w:sz w:val="24"/>
      <w:szCs w:val="24"/>
      <w:lang w:val="en-US" w:eastAsia="en-US" w:bidi="ar-SA"/>
    </w:rPr>
  </w:style>
  <w:style w:type="table" w:customStyle="1" w:styleId="51">
    <w:name w:val="Table Normal"/>
    <w:semiHidden/>
    <w:unhideWhenUsed/>
    <w:qFormat/>
    <w:uiPriority w:val="0"/>
    <w:tblPr>
      <w:tblCellMar>
        <w:top w:w="0" w:type="dxa"/>
        <w:left w:w="0" w:type="dxa"/>
        <w:bottom w:w="0" w:type="dxa"/>
        <w:right w:w="0" w:type="dxa"/>
      </w:tblCellMar>
    </w:tblPr>
  </w:style>
  <w:style w:type="character" w:customStyle="1" w:styleId="52">
    <w:name w:val="layui-layer-tabnow"/>
    <w:basedOn w:val="22"/>
    <w:qFormat/>
    <w:uiPriority w:val="0"/>
    <w:rPr>
      <w:bdr w:val="single" w:color="CCCCCC" w:sz="6" w:space="0"/>
      <w:shd w:val="clear" w:fill="FFFFFF"/>
    </w:rPr>
  </w:style>
  <w:style w:type="character" w:customStyle="1" w:styleId="53">
    <w:name w:val="first-child"/>
    <w:basedOn w:val="22"/>
    <w:qFormat/>
    <w:uiPriority w:val="0"/>
  </w:style>
  <w:style w:type="paragraph" w:customStyle="1" w:styleId="54">
    <w:name w:val="BodyText2"/>
    <w:basedOn w:val="1"/>
    <w:qFormat/>
    <w:uiPriority w:val="99"/>
    <w:pPr>
      <w:spacing w:after="120" w:line="480" w:lineRule="auto"/>
    </w:pPr>
  </w:style>
  <w:style w:type="paragraph" w:customStyle="1" w:styleId="55">
    <w:name w:val="UserStyle_4"/>
    <w:basedOn w:val="1"/>
    <w:qFormat/>
    <w:uiPriority w:val="99"/>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26763</Words>
  <Characters>28530</Characters>
  <Lines>0</Lines>
  <Paragraphs>0</Paragraphs>
  <TotalTime>8</TotalTime>
  <ScaleCrop>false</ScaleCrop>
  <LinksUpToDate>false</LinksUpToDate>
  <CharactersWithSpaces>29607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13123</cp:lastModifiedBy>
  <cp:lastPrinted>2026-04-13T01:34:00Z</cp:lastPrinted>
  <dcterms:modified xsi:type="dcterms:W3CDTF">2026-04-29T10:02:10Z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1473E9EE09CA461BB01B86A3141A71A3_13</vt:lpwstr>
  </property>
  <property fmtid="{D5CDD505-2E9C-101B-9397-08002B2CF9AE}" pid="4" name="KSOTemplateDocerSaveRecord">
    <vt:lpwstr>eyJoZGlkIjoiYzM2MjViMjJhZmZiYWU4ZjM0NmIxMGJlYzRmYTAzNzgiLCJ1c2VySWQiOiIxNDg1NDYxMjczIn0=</vt:lpwstr>
  </property>
</Properties>
</file>