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7541">
      <w:pPr>
        <w:pStyle w:val="25"/>
        <w:ind w:firstLine="480"/>
        <w:jc w:val="center"/>
        <w:rPr>
          <w:rFonts w:hint="eastAsia" w:ascii="宋体" w:hAnsi="宋体" w:eastAsia="宋体" w:cs="宋体"/>
          <w:color w:val="000000" w:themeColor="text1"/>
          <w:sz w:val="28"/>
          <w:szCs w:val="22"/>
          <w:highlight w:val="none"/>
          <w14:textFill>
            <w14:solidFill>
              <w14:schemeClr w14:val="tx1"/>
            </w14:solidFill>
          </w14:textFill>
        </w:rPr>
      </w:pPr>
      <w:bookmarkStart w:id="84" w:name="_GoBack"/>
      <w:bookmarkEnd w:id="84"/>
      <w:r>
        <w:rPr>
          <w:rFonts w:hint="eastAsia" w:hAnsi="宋体" w:cs="宋体"/>
          <w:b/>
          <w:bCs/>
          <w:color w:val="000000" w:themeColor="text1"/>
          <w:spacing w:val="20"/>
          <w:kern w:val="0"/>
          <w:sz w:val="52"/>
          <w:szCs w:val="52"/>
          <w:highlight w:val="none"/>
          <w:lang w:val="en-US" w:eastAsia="zh-CN" w:bidi="ar-SA"/>
          <w14:textFill>
            <w14:solidFill>
              <w14:schemeClr w14:val="tx1"/>
            </w14:solidFill>
          </w14:textFill>
        </w:rPr>
        <w:t>卢氏县2026年中药材种质资源保护项目</w:t>
      </w:r>
    </w:p>
    <w:p w14:paraId="781C4D1B">
      <w:pPr>
        <w:pStyle w:val="25"/>
        <w:ind w:firstLine="480"/>
        <w:jc w:val="center"/>
        <w:rPr>
          <w:rFonts w:hint="eastAsia" w:ascii="宋体" w:hAnsi="宋体" w:eastAsia="宋体" w:cs="宋体"/>
          <w:color w:val="000000" w:themeColor="text1"/>
          <w:sz w:val="28"/>
          <w:szCs w:val="22"/>
          <w:highlight w:val="none"/>
          <w14:textFill>
            <w14:solidFill>
              <w14:schemeClr w14:val="tx1"/>
            </w14:solidFill>
          </w14:textFill>
        </w:rPr>
      </w:pPr>
    </w:p>
    <w:p w14:paraId="6C4B23CC">
      <w:pPr>
        <w:widowControl/>
        <w:spacing w:line="264"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pacing w:val="20"/>
          <w:kern w:val="0"/>
          <w:sz w:val="52"/>
          <w:szCs w:val="52"/>
          <w:highlight w:val="none"/>
          <w14:textFill>
            <w14:solidFill>
              <w14:schemeClr w14:val="tx1"/>
            </w14:solidFill>
          </w14:textFill>
        </w:rPr>
        <w:t>招标文件</w:t>
      </w:r>
    </w:p>
    <w:p w14:paraId="4F209A5E">
      <w:pPr>
        <w:widowControl/>
        <w:spacing w:line="360" w:lineRule="auto"/>
        <w:jc w:val="center"/>
        <w:rPr>
          <w:rFonts w:hint="eastAsia" w:ascii="宋体" w:hAnsi="宋体" w:eastAsia="宋体" w:cs="宋体"/>
          <w:b/>
          <w:bCs/>
          <w:color w:val="FF0000"/>
          <w:kern w:val="0"/>
          <w:sz w:val="32"/>
          <w:szCs w:val="32"/>
          <w:highlight w:val="none"/>
        </w:rPr>
      </w:pPr>
    </w:p>
    <w:p w14:paraId="1292294A">
      <w:pPr>
        <w:widowControl/>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w:t>
      </w:r>
      <w:r>
        <w:rPr>
          <w:rFonts w:hint="eastAsia" w:ascii="宋体" w:hAnsi="宋体" w:eastAsia="宋体" w:cs="宋体"/>
          <w:b/>
          <w:bCs/>
          <w:color w:val="auto"/>
          <w:kern w:val="0"/>
          <w:sz w:val="30"/>
          <w:szCs w:val="30"/>
          <w:highlight w:val="none"/>
          <w:lang w:val="en-US" w:eastAsia="zh-CN"/>
        </w:rPr>
        <w:t>三卢公开采购-2026-17、LSGZ[2026]069-ZC053</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p>
    <w:p w14:paraId="63731B9E">
      <w:pPr>
        <w:widowControl/>
        <w:spacing w:line="480" w:lineRule="exact"/>
        <w:ind w:firstLine="1546" w:firstLineChars="550"/>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07D297FC">
      <w:pPr>
        <w:widowControl/>
        <w:spacing w:line="360" w:lineRule="auto"/>
        <w:ind w:firstLine="1656" w:firstLineChars="550"/>
        <w:jc w:val="left"/>
        <w:rPr>
          <w:rFonts w:hint="eastAsia" w:ascii="宋体" w:hAnsi="宋体" w:eastAsia="宋体" w:cs="宋体"/>
          <w:b/>
          <w:bCs/>
          <w:color w:val="000000" w:themeColor="text1"/>
          <w:kern w:val="0"/>
          <w:sz w:val="30"/>
          <w:szCs w:val="30"/>
          <w:highlight w:val="none"/>
          <w14:textFill>
            <w14:solidFill>
              <w14:schemeClr w14:val="tx1"/>
            </w14:solidFill>
          </w14:textFill>
        </w:rPr>
      </w:pPr>
    </w:p>
    <w:p w14:paraId="38F5BAB6">
      <w:pPr>
        <w:widowControl/>
        <w:spacing w:line="360" w:lineRule="auto"/>
        <w:ind w:firstLine="1656" w:firstLineChars="550"/>
        <w:jc w:val="left"/>
        <w:rPr>
          <w:rFonts w:hint="eastAsia" w:ascii="宋体" w:hAnsi="宋体" w:eastAsia="宋体" w:cs="宋体"/>
          <w:b/>
          <w:bCs/>
          <w:color w:val="000000" w:themeColor="text1"/>
          <w:kern w:val="0"/>
          <w:sz w:val="30"/>
          <w:szCs w:val="30"/>
          <w:highlight w:val="none"/>
          <w14:textFill>
            <w14:solidFill>
              <w14:schemeClr w14:val="tx1"/>
            </w14:solidFill>
          </w14:textFill>
        </w:rPr>
      </w:pPr>
    </w:p>
    <w:p w14:paraId="147A2FD3">
      <w:pPr>
        <w:widowControl/>
        <w:spacing w:line="360" w:lineRule="auto"/>
        <w:ind w:firstLine="1540" w:firstLineChars="550"/>
        <w:jc w:val="left"/>
        <w:rPr>
          <w:rFonts w:hint="eastAsia" w:ascii="宋体" w:hAnsi="宋体" w:eastAsia="宋体" w:cs="宋体"/>
          <w:b/>
          <w:bCs/>
          <w:color w:val="000000" w:themeColor="text1"/>
          <w:kern w:val="0"/>
          <w:sz w:val="30"/>
          <w:szCs w:val="30"/>
          <w:highlight w:val="none"/>
          <w14:textFill>
            <w14:solidFill>
              <w14:schemeClr w14:val="tx1"/>
            </w14:solidFill>
          </w14:textFill>
        </w:rPr>
      </w:pPr>
      <w:r>
        <w:rPr>
          <w:rFonts w:hint="eastAsia" w:ascii="黑体" w:eastAsia="黑体"/>
          <w:color w:val="000000"/>
          <w:sz w:val="28"/>
          <w:szCs w:val="28"/>
          <w:lang w:eastAsia="zh-CN"/>
        </w:rPr>
        <w:drawing>
          <wp:anchor distT="0" distB="0" distL="114300" distR="114300" simplePos="0" relativeHeight="251659264" behindDoc="0" locked="0" layoutInCell="1" allowOverlap="1">
            <wp:simplePos x="0" y="0"/>
            <wp:positionH relativeFrom="column">
              <wp:posOffset>2326640</wp:posOffset>
            </wp:positionH>
            <wp:positionV relativeFrom="paragraph">
              <wp:posOffset>265430</wp:posOffset>
            </wp:positionV>
            <wp:extent cx="1800225" cy="2552700"/>
            <wp:effectExtent l="0" t="0" r="9525" b="0"/>
            <wp:wrapNone/>
            <wp:docPr id="1" name="图片 4"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83c388208d96b88bc95a3b03a2b451f7"/>
                    <pic:cNvPicPr>
                      <a:picLocks noChangeAspect="1"/>
                    </pic:cNvPicPr>
                  </pic:nvPicPr>
                  <pic:blipFill>
                    <a:blip r:embed="rId11"/>
                    <a:stretch>
                      <a:fillRect/>
                    </a:stretch>
                  </pic:blipFill>
                  <pic:spPr>
                    <a:xfrm>
                      <a:off x="0" y="0"/>
                      <a:ext cx="1800225" cy="2552700"/>
                    </a:xfrm>
                    <a:prstGeom prst="rect">
                      <a:avLst/>
                    </a:prstGeom>
                    <a:noFill/>
                    <a:ln>
                      <a:noFill/>
                    </a:ln>
                  </pic:spPr>
                </pic:pic>
              </a:graphicData>
            </a:graphic>
          </wp:anchor>
        </w:drawing>
      </w:r>
    </w:p>
    <w:p w14:paraId="2B6D1B34">
      <w:pPr>
        <w:pStyle w:val="15"/>
        <w:rPr>
          <w:rFonts w:hint="eastAsia" w:ascii="宋体" w:hAnsi="宋体" w:eastAsia="宋体" w:cs="宋体"/>
          <w:b/>
          <w:bCs/>
          <w:color w:val="000000" w:themeColor="text1"/>
          <w:kern w:val="0"/>
          <w:sz w:val="30"/>
          <w:szCs w:val="30"/>
          <w:highlight w:val="none"/>
          <w14:textFill>
            <w14:solidFill>
              <w14:schemeClr w14:val="tx1"/>
            </w14:solidFill>
          </w14:textFill>
        </w:rPr>
      </w:pPr>
    </w:p>
    <w:p w14:paraId="2B2E6DF0">
      <w:pPr>
        <w:rPr>
          <w:rFonts w:hint="eastAsia" w:ascii="宋体" w:hAnsi="宋体" w:eastAsia="宋体" w:cs="宋体"/>
          <w:b/>
          <w:bCs/>
          <w:color w:val="000000" w:themeColor="text1"/>
          <w:kern w:val="0"/>
          <w:sz w:val="30"/>
          <w:szCs w:val="30"/>
          <w:highlight w:val="none"/>
          <w14:textFill>
            <w14:solidFill>
              <w14:schemeClr w14:val="tx1"/>
            </w14:solidFill>
          </w14:textFill>
        </w:rPr>
      </w:pPr>
    </w:p>
    <w:p w14:paraId="3CF984E5">
      <w:pPr>
        <w:pStyle w:val="15"/>
        <w:rPr>
          <w:rFonts w:hint="eastAsia" w:ascii="宋体" w:hAnsi="宋体" w:eastAsia="宋体" w:cs="宋体"/>
          <w:b/>
          <w:bCs/>
          <w:color w:val="000000" w:themeColor="text1"/>
          <w:kern w:val="0"/>
          <w:sz w:val="30"/>
          <w:szCs w:val="30"/>
          <w:highlight w:val="none"/>
          <w14:textFill>
            <w14:solidFill>
              <w14:schemeClr w14:val="tx1"/>
            </w14:solidFill>
          </w14:textFill>
        </w:rPr>
      </w:pPr>
    </w:p>
    <w:p w14:paraId="725EB069">
      <w:pPr>
        <w:rPr>
          <w:rFonts w:hint="eastAsia" w:ascii="宋体" w:hAnsi="宋体" w:eastAsia="宋体" w:cs="宋体"/>
          <w:b/>
          <w:bCs/>
          <w:color w:val="000000" w:themeColor="text1"/>
          <w:kern w:val="0"/>
          <w:sz w:val="30"/>
          <w:szCs w:val="30"/>
          <w:highlight w:val="none"/>
          <w14:textFill>
            <w14:solidFill>
              <w14:schemeClr w14:val="tx1"/>
            </w14:solidFill>
          </w14:textFill>
        </w:rPr>
      </w:pPr>
    </w:p>
    <w:p w14:paraId="7E4105ED">
      <w:pPr>
        <w:pStyle w:val="15"/>
        <w:rPr>
          <w:rFonts w:hint="eastAsia" w:ascii="宋体" w:hAnsi="宋体" w:eastAsia="宋体" w:cs="宋体"/>
          <w:b/>
          <w:bCs/>
          <w:color w:val="000000" w:themeColor="text1"/>
          <w:kern w:val="0"/>
          <w:sz w:val="30"/>
          <w:szCs w:val="30"/>
          <w:highlight w:val="none"/>
          <w14:textFill>
            <w14:solidFill>
              <w14:schemeClr w14:val="tx1"/>
            </w14:solidFill>
          </w14:textFill>
        </w:rPr>
      </w:pPr>
    </w:p>
    <w:p w14:paraId="41378137">
      <w:pPr>
        <w:rPr>
          <w:rFonts w:hint="eastAsia" w:ascii="宋体" w:hAnsi="宋体" w:eastAsia="宋体" w:cs="宋体"/>
          <w:b/>
          <w:bCs/>
          <w:color w:val="000000" w:themeColor="text1"/>
          <w:kern w:val="0"/>
          <w:sz w:val="30"/>
          <w:szCs w:val="30"/>
          <w:highlight w:val="none"/>
          <w14:textFill>
            <w14:solidFill>
              <w14:schemeClr w14:val="tx1"/>
            </w14:solidFill>
          </w14:textFill>
        </w:rPr>
      </w:pPr>
    </w:p>
    <w:p w14:paraId="1B5D2A68">
      <w:pPr>
        <w:pStyle w:val="15"/>
        <w:rPr>
          <w:rFonts w:hint="eastAsia"/>
          <w:color w:val="000000" w:themeColor="text1"/>
          <w14:textFill>
            <w14:solidFill>
              <w14:schemeClr w14:val="tx1"/>
            </w14:solidFill>
          </w14:textFill>
        </w:rPr>
      </w:pPr>
    </w:p>
    <w:p w14:paraId="0968639C">
      <w:pPr>
        <w:pStyle w:val="25"/>
        <w:rPr>
          <w:rFonts w:hint="eastAsia" w:ascii="宋体" w:hAnsi="宋体" w:eastAsia="宋体" w:cs="宋体"/>
          <w:color w:val="000000" w:themeColor="text1"/>
          <w:highlight w:val="none"/>
          <w14:textFill>
            <w14:solidFill>
              <w14:schemeClr w14:val="tx1"/>
            </w14:solidFill>
          </w14:textFill>
        </w:rPr>
      </w:pPr>
    </w:p>
    <w:p w14:paraId="4A3AAD37">
      <w:pPr>
        <w:widowControl/>
        <w:spacing w:line="700" w:lineRule="exact"/>
        <w:ind w:left="0" w:leftChars="0" w:firstLine="2339" w:firstLineChars="728"/>
        <w:jc w:val="both"/>
        <w:rPr>
          <w:rFonts w:hint="eastAsia" w:ascii="宋体" w:hAnsi="宋体" w:eastAsia="宋体" w:cs="宋体"/>
          <w:b/>
          <w:bCs/>
          <w:color w:val="000000" w:themeColor="text1"/>
          <w:kern w:val="0"/>
          <w:sz w:val="32"/>
          <w:szCs w:val="32"/>
          <w:highlight w:val="none"/>
          <w14:textFill>
            <w14:solidFill>
              <w14:schemeClr w14:val="tx1"/>
            </w14:solidFill>
          </w14:textFill>
        </w:rPr>
      </w:pPr>
    </w:p>
    <w:p w14:paraId="6EF55285">
      <w:pPr>
        <w:keepNext w:val="0"/>
        <w:keepLines w:val="0"/>
        <w:pageBreakBefore w:val="0"/>
        <w:kinsoku/>
        <w:wordWrap w:val="0"/>
        <w:overflowPunct/>
        <w:topLinePunct w:val="0"/>
        <w:bidi w:val="0"/>
        <w:spacing w:line="600" w:lineRule="exact"/>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 xml:space="preserve">     </w:t>
      </w:r>
    </w:p>
    <w:p w14:paraId="26EFC6CC">
      <w:pPr>
        <w:keepNext w:val="0"/>
        <w:keepLines w:val="0"/>
        <w:pageBreakBefore w:val="0"/>
        <w:kinsoku/>
        <w:wordWrap w:val="0"/>
        <w:overflowPunct/>
        <w:topLinePunct w:val="0"/>
        <w:bidi w:val="0"/>
        <w:spacing w:line="600" w:lineRule="exact"/>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p>
    <w:p w14:paraId="7351E469">
      <w:pPr>
        <w:keepNext w:val="0"/>
        <w:keepLines w:val="0"/>
        <w:pageBreakBefore w:val="0"/>
        <w:kinsoku/>
        <w:wordWrap w:val="0"/>
        <w:overflowPunct/>
        <w:topLinePunct w:val="0"/>
        <w:bidi w:val="0"/>
        <w:spacing w:line="600" w:lineRule="exact"/>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p>
    <w:p w14:paraId="465A874E">
      <w:pPr>
        <w:keepNext w:val="0"/>
        <w:keepLines w:val="0"/>
        <w:pageBreakBefore w:val="0"/>
        <w:kinsoku/>
        <w:wordWrap w:val="0"/>
        <w:overflowPunct/>
        <w:topLinePunct w:val="0"/>
        <w:bidi w:val="0"/>
        <w:spacing w:line="60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采购</w:t>
      </w:r>
      <w:r>
        <w:rPr>
          <w:rFonts w:hint="eastAsia" w:ascii="宋体" w:hAnsi="宋体" w:eastAsia="宋体" w:cs="宋体"/>
          <w:b/>
          <w:color w:val="000000" w:themeColor="text1"/>
          <w:sz w:val="32"/>
          <w:szCs w:val="32"/>
          <w14:textFill>
            <w14:solidFill>
              <w14:schemeClr w14:val="tx1"/>
            </w14:solidFill>
          </w14:textFill>
        </w:rPr>
        <w:t>人：</w:t>
      </w:r>
      <w:r>
        <w:rPr>
          <w:rFonts w:hint="eastAsia" w:cs="宋体"/>
          <w:b/>
          <w:color w:val="000000" w:themeColor="text1"/>
          <w:kern w:val="0"/>
          <w:sz w:val="32"/>
          <w:szCs w:val="32"/>
          <w:lang w:val="en-US" w:eastAsia="zh-CN"/>
          <w14:textFill>
            <w14:solidFill>
              <w14:schemeClr w14:val="tx1"/>
            </w14:solidFill>
          </w14:textFill>
        </w:rPr>
        <w:t>卢氏县中医院</w:t>
      </w:r>
    </w:p>
    <w:p w14:paraId="2DD36041">
      <w:pPr>
        <w:keepNext w:val="0"/>
        <w:keepLines w:val="0"/>
        <w:pageBreakBefore w:val="0"/>
        <w:widowControl w:val="0"/>
        <w:kinsoku/>
        <w:wordWrap/>
        <w:overflowPunct/>
        <w:topLinePunct w:val="0"/>
        <w:autoSpaceDE/>
        <w:autoSpaceDN/>
        <w:bidi w:val="0"/>
        <w:adjustRightInd w:val="0"/>
        <w:snapToGrid w:val="0"/>
        <w:spacing w:before="0" w:after="0" w:line="600" w:lineRule="exact"/>
        <w:ind w:right="0"/>
        <w:jc w:val="center"/>
        <w:textAlignment w:val="auto"/>
        <w:outlineLvl w:val="0"/>
        <w:rPr>
          <w:rFonts w:hint="eastAsia" w:cs="宋体"/>
          <w:b/>
          <w:color w:val="000000" w:themeColor="text1"/>
          <w:kern w:val="0"/>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代理机构：</w:t>
      </w:r>
      <w:r>
        <w:rPr>
          <w:rFonts w:hint="eastAsia" w:cs="宋体"/>
          <w:b/>
          <w:color w:val="000000" w:themeColor="text1"/>
          <w:kern w:val="0"/>
          <w:sz w:val="32"/>
          <w:szCs w:val="32"/>
          <w:lang w:eastAsia="zh-CN"/>
          <w14:textFill>
            <w14:solidFill>
              <w14:schemeClr w14:val="tx1"/>
            </w14:solidFill>
          </w14:textFill>
        </w:rPr>
        <w:t>河南炎黄工程管理咨询有限公司</w:t>
      </w:r>
    </w:p>
    <w:p w14:paraId="4D8B2DFC">
      <w:pPr>
        <w:keepNext w:val="0"/>
        <w:keepLines w:val="0"/>
        <w:pageBreakBefore w:val="0"/>
        <w:widowControl w:val="0"/>
        <w:kinsoku/>
        <w:wordWrap/>
        <w:overflowPunct/>
        <w:topLinePunct w:val="0"/>
        <w:autoSpaceDE/>
        <w:autoSpaceDN/>
        <w:bidi w:val="0"/>
        <w:adjustRightInd w:val="0"/>
        <w:snapToGrid w:val="0"/>
        <w:spacing w:before="0" w:after="0" w:line="600" w:lineRule="exact"/>
        <w:ind w:right="0"/>
        <w:jc w:val="center"/>
        <w:textAlignment w:val="auto"/>
        <w:outlineLvl w:val="0"/>
        <w:rPr>
          <w:rFonts w:hint="eastAsia" w:ascii="宋体" w:hAnsi="宋体" w:eastAsia="宋体" w:cs="宋体"/>
          <w:color w:val="000000" w:themeColor="text1"/>
          <w:sz w:val="32"/>
          <w:szCs w:val="32"/>
          <w:highlight w:val="none"/>
          <w:lang w:val="en-US" w:eastAsia="zh-CN"/>
          <w14:textFill>
            <w14:solidFill>
              <w14:schemeClr w14:val="tx1"/>
            </w14:solidFill>
          </w14:textFill>
        </w:rPr>
        <w:sectPr>
          <w:headerReference r:id="rId3" w:type="default"/>
          <w:pgSz w:w="11910" w:h="16840"/>
          <w:pgMar w:top="1417" w:right="1417" w:bottom="1417" w:left="1417" w:header="720" w:footer="720" w:gutter="0"/>
          <w:pgBorders>
            <w:top w:val="none" w:sz="0" w:space="0"/>
            <w:left w:val="none" w:sz="0" w:space="0"/>
            <w:bottom w:val="none" w:sz="0" w:space="0"/>
            <w:right w:val="none" w:sz="0" w:space="0"/>
          </w:pgBorders>
          <w:pgNumType w:fmt="decimal" w:start="1"/>
          <w:cols w:space="720" w:num="1"/>
        </w:sectPr>
      </w:pPr>
      <w:r>
        <w:rPr>
          <w:rFonts w:hint="eastAsia" w:cs="宋体"/>
          <w:b/>
          <w:color w:val="000000" w:themeColor="text1"/>
          <w:kern w:val="0"/>
          <w:sz w:val="32"/>
          <w:szCs w:val="32"/>
          <w:lang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日期：二零二</w:t>
      </w:r>
      <w:r>
        <w:rPr>
          <w:rFonts w:hint="eastAsia"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sz w:val="32"/>
          <w:szCs w:val="32"/>
          <w:highlight w:val="none"/>
          <w14:textFill>
            <w14:solidFill>
              <w14:schemeClr w14:val="tx1"/>
            </w14:solidFill>
          </w14:textFill>
        </w:rPr>
        <w:t>年</w:t>
      </w:r>
      <w:r>
        <w:rPr>
          <w:rFonts w:hint="eastAsia" w:cs="宋体"/>
          <w:b/>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sz w:val="32"/>
          <w:szCs w:val="32"/>
          <w:highlight w:val="none"/>
          <w14:textFill>
            <w14:solidFill>
              <w14:schemeClr w14:val="tx1"/>
            </w14:solidFill>
          </w14:textFill>
        </w:rPr>
        <w:t>月</w:t>
      </w:r>
    </w:p>
    <w:p w14:paraId="31D96DEC">
      <w:pPr>
        <w:autoSpaceDE w:val="0"/>
        <w:autoSpaceDN w:val="0"/>
        <w:adjustRightInd w:val="0"/>
        <w:spacing w:line="500" w:lineRule="exact"/>
        <w:jc w:val="center"/>
        <w:rPr>
          <w:rFonts w:hint="eastAsia" w:ascii="宋体" w:hAnsi="宋体" w:eastAsia="宋体" w:cs="宋体"/>
          <w:b/>
          <w:color w:val="000000" w:themeColor="text1"/>
          <w:kern w:val="0"/>
          <w:sz w:val="44"/>
          <w:szCs w:val="44"/>
          <w:highlight w:val="none"/>
          <w14:textFill>
            <w14:solidFill>
              <w14:schemeClr w14:val="tx1"/>
            </w14:solidFill>
          </w14:textFill>
        </w:rPr>
      </w:pPr>
      <w:r>
        <w:rPr>
          <w:rFonts w:hint="eastAsia" w:ascii="宋体" w:hAnsi="宋体" w:eastAsia="宋体" w:cs="宋体"/>
          <w:b/>
          <w:color w:val="000000" w:themeColor="text1"/>
          <w:kern w:val="0"/>
          <w:sz w:val="44"/>
          <w:szCs w:val="44"/>
          <w:highlight w:val="none"/>
          <w14:textFill>
            <w14:solidFill>
              <w14:schemeClr w14:val="tx1"/>
            </w14:solidFill>
          </w14:textFill>
        </w:rPr>
        <w:t>目  录</w:t>
      </w:r>
    </w:p>
    <w:p w14:paraId="5FB5AE9F">
      <w:pPr>
        <w:widowControl/>
        <w:tabs>
          <w:tab w:val="right" w:leader="dot" w:pos="9690"/>
        </w:tabs>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5251D4F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_Toc2498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第一章 招标公告</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fldChar w:fldCharType="end"/>
      </w:r>
    </w:p>
    <w:p w14:paraId="51500C7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_Toc14238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第二章 供应商须知</w:t>
      </w: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p>
    <w:p w14:paraId="13DE2F65">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_Toc903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第三章 采购需求</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_Toc903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25</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7181038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_Toc12230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第四章 评标办法</w:t>
      </w:r>
      <w:r>
        <w:rPr>
          <w:rFonts w:hint="eastAsia" w:ascii="宋体" w:hAnsi="宋体" w:eastAsia="宋体" w:cs="宋体"/>
          <w:color w:val="000000" w:themeColor="text1"/>
          <w:sz w:val="32"/>
          <w:szCs w:val="32"/>
          <w:lang w:val="en-US" w:eastAsia="zh-CN"/>
          <w14:textFill>
            <w14:solidFill>
              <w14:schemeClr w14:val="tx1"/>
            </w14:solidFill>
          </w14:textFill>
        </w:rPr>
        <w:t>......................................32</w:t>
      </w:r>
      <w:r>
        <w:rPr>
          <w:rFonts w:hint="eastAsia" w:ascii="宋体" w:hAnsi="宋体" w:eastAsia="宋体" w:cs="宋体"/>
          <w:color w:val="000000" w:themeColor="text1"/>
          <w:sz w:val="32"/>
          <w:szCs w:val="32"/>
          <w14:textFill>
            <w14:solidFill>
              <w14:schemeClr w14:val="tx1"/>
            </w14:solidFill>
          </w14:textFill>
        </w:rPr>
        <w:fldChar w:fldCharType="end"/>
      </w:r>
    </w:p>
    <w:p w14:paraId="554037ED">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_Toc24560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第五章 合同条款及格式</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lang w:val="en-US" w:eastAsia="zh-CN"/>
          <w14:textFill>
            <w14:solidFill>
              <w14:schemeClr w14:val="tx1"/>
            </w14:solidFill>
          </w14:textFill>
        </w:rPr>
        <w:t>0</w:t>
      </w:r>
    </w:p>
    <w:p w14:paraId="0BB4BC7D">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sectPr>
          <w:footerReference r:id="rId4" w:type="default"/>
          <w:pgSz w:w="11915" w:h="16840"/>
          <w:pgMar w:top="1440" w:right="1404" w:bottom="1440" w:left="1691"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_Toc23982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第六章 投标文件格式</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lang w:val="en-US" w:eastAsia="zh-CN"/>
          <w14:textFill>
            <w14:solidFill>
              <w14:schemeClr w14:val="tx1"/>
            </w14:solidFill>
          </w14:textFill>
        </w:rPr>
        <w:t>6</w:t>
      </w:r>
    </w:p>
    <w:p w14:paraId="6C9B6AD2">
      <w:pPr>
        <w:pStyle w:val="4"/>
        <w:keepNext w:val="0"/>
        <w:keepLines w:val="0"/>
        <w:pageBreakBefore w:val="0"/>
        <w:widowControl w:val="0"/>
        <w:kinsoku/>
        <w:wordWrap/>
        <w:overflowPunct/>
        <w:topLinePunct w:val="0"/>
        <w:autoSpaceDE/>
        <w:autoSpaceDN/>
        <w:bidi w:val="0"/>
        <w:spacing w:line="600" w:lineRule="exact"/>
        <w:jc w:val="center"/>
        <w:textAlignment w:val="auto"/>
        <w:rPr>
          <w:rFonts w:hint="eastAsia"/>
          <w:color w:val="000000" w:themeColor="text1"/>
          <w14:textFill>
            <w14:solidFill>
              <w14:schemeClr w14:val="tx1"/>
            </w14:solidFill>
          </w14:textFill>
        </w:rPr>
      </w:pPr>
      <w:bookmarkStart w:id="0" w:name="_Toc2498"/>
      <w:bookmarkStart w:id="1" w:name="_Toc80256504"/>
      <w:r>
        <w:rPr>
          <w:rFonts w:hint="eastAsia"/>
          <w:color w:val="000000" w:themeColor="text1"/>
          <w14:textFill>
            <w14:solidFill>
              <w14:schemeClr w14:val="tx1"/>
            </w14:solidFill>
          </w14:textFill>
        </w:rPr>
        <w:t>第一章  招标公告</w:t>
      </w:r>
      <w:bookmarkEnd w:id="0"/>
      <w:bookmarkEnd w:id="1"/>
    </w:p>
    <w:p w14:paraId="5D7C1241">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2" w:name="OLE_LINK1"/>
      <w:r>
        <w:rPr>
          <w:rFonts w:hint="eastAsia" w:ascii="宋体" w:hAnsi="宋体" w:eastAsia="宋体" w:cs="宋体"/>
          <w:color w:val="000000" w:themeColor="text1"/>
          <w:sz w:val="24"/>
          <w:szCs w:val="24"/>
          <w:highlight w:val="none"/>
          <w:lang w:eastAsia="zh-CN"/>
          <w14:textFill>
            <w14:solidFill>
              <w14:schemeClr w14:val="tx1"/>
            </w14:solidFill>
          </w14:textFill>
        </w:rPr>
        <w:t>河南炎黄工程管理咨询有限公司</w:t>
      </w:r>
      <w:r>
        <w:rPr>
          <w:rFonts w:hint="eastAsia" w:ascii="宋体" w:hAnsi="宋体" w:eastAsia="宋体" w:cs="宋体"/>
          <w:color w:val="000000" w:themeColor="text1"/>
          <w:sz w:val="24"/>
          <w:szCs w:val="24"/>
          <w:highlight w:val="none"/>
          <w14:textFill>
            <w14:solidFill>
              <w14:schemeClr w14:val="tx1"/>
            </w14:solidFill>
          </w14:textFill>
        </w:rPr>
        <w:t>受</w:t>
      </w:r>
      <w:r>
        <w:rPr>
          <w:rFonts w:hint="eastAsia" w:ascii="宋体" w:hAnsi="宋体" w:eastAsia="宋体" w:cs="宋体"/>
          <w:color w:val="000000" w:themeColor="text1"/>
          <w:sz w:val="24"/>
          <w:szCs w:val="24"/>
          <w:highlight w:val="none"/>
          <w:lang w:eastAsia="zh-CN"/>
          <w14:textFill>
            <w14:solidFill>
              <w14:schemeClr w14:val="tx1"/>
            </w14:solidFill>
          </w14:textFill>
        </w:rPr>
        <w:t>卢氏县中医院</w:t>
      </w:r>
      <w:r>
        <w:rPr>
          <w:rFonts w:hint="eastAsia" w:ascii="宋体" w:hAnsi="宋体" w:eastAsia="宋体" w:cs="宋体"/>
          <w:color w:val="000000" w:themeColor="text1"/>
          <w:sz w:val="24"/>
          <w:szCs w:val="24"/>
          <w:highlight w:val="none"/>
          <w14:textFill>
            <w14:solidFill>
              <w14:schemeClr w14:val="tx1"/>
            </w14:solidFill>
          </w14:textFill>
        </w:rPr>
        <w:t>的委托，对</w:t>
      </w:r>
      <w:r>
        <w:rPr>
          <w:rFonts w:hint="eastAsia" w:ascii="宋体" w:hAnsi="宋体" w:eastAsia="宋体" w:cs="宋体"/>
          <w:color w:val="000000" w:themeColor="text1"/>
          <w:sz w:val="24"/>
          <w:szCs w:val="24"/>
          <w:highlight w:val="none"/>
          <w:lang w:eastAsia="zh-CN"/>
          <w14:textFill>
            <w14:solidFill>
              <w14:schemeClr w14:val="tx1"/>
            </w14:solidFill>
          </w14:textFill>
        </w:rPr>
        <w:t>卢氏县2026年中药材种质资源保护项目</w:t>
      </w:r>
      <w:r>
        <w:rPr>
          <w:rFonts w:hint="eastAsia" w:ascii="宋体" w:hAnsi="宋体" w:eastAsia="宋体" w:cs="宋体"/>
          <w:color w:val="000000" w:themeColor="text1"/>
          <w:sz w:val="24"/>
          <w:szCs w:val="24"/>
          <w:highlight w:val="none"/>
          <w14:textFill>
            <w14:solidFill>
              <w14:schemeClr w14:val="tx1"/>
            </w14:solidFill>
          </w14:textFill>
        </w:rPr>
        <w:t>进行公开招标，欢迎符合资格条件的供应商参加投标。</w:t>
      </w:r>
    </w:p>
    <w:p w14:paraId="7F584A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项目概况与采购范围</w:t>
      </w:r>
    </w:p>
    <w:p w14:paraId="6431677F">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1、项目名称：卢氏县2026年中药材种质资源保护项目</w:t>
      </w:r>
    </w:p>
    <w:p w14:paraId="079ADF88">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2、项目编号：三卢公开采购-2026-17、LSGZ[2026]069-ZC053</w:t>
      </w:r>
    </w:p>
    <w:p w14:paraId="40147425">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3、采购人：卢氏县中医院</w:t>
      </w:r>
    </w:p>
    <w:p w14:paraId="540C023E">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default" w:ascii="宋体" w:hAnsi="宋体"/>
          <w:b w:val="0"/>
          <w:bCs w:val="0"/>
          <w:sz w:val="24"/>
          <w:szCs w:val="24"/>
          <w:u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4、预算金额</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：3392667.51元</w:t>
      </w:r>
    </w:p>
    <w:p w14:paraId="0C32780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采购内容：本工程为卢氏县2026年中药材种质资源保护项目，工程主要建设内容有:建设300亩伏牛山道地中药材种质资源示范基地，种植、收集、保存连翘、黄精、白芨、淫羊藿等道地药材种质资源，开展规范化繁育;配套建设田间作业道、标识标牌、围栏等基础工程。(具体内容见招标文件第三章采购清单)</w:t>
      </w:r>
    </w:p>
    <w:p w14:paraId="4944816F">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6、资金来源：财政资金，已落实</w:t>
      </w:r>
    </w:p>
    <w:p w14:paraId="397D6B6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7、标段划分：本项目不划分标段</w:t>
      </w:r>
    </w:p>
    <w:p w14:paraId="1CC102C6">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8、供货期限：合同签订后120日历天内完成，后期运营管护2年</w:t>
      </w:r>
    </w:p>
    <w:p w14:paraId="09D4E560">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9、质量要求：符合国家及行业标准并满足采购人采购需求</w:t>
      </w:r>
    </w:p>
    <w:p w14:paraId="42658CEF">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10、交货地点：采购人指定地点</w:t>
      </w:r>
    </w:p>
    <w:p w14:paraId="7C7DA4C6">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11、是否接受进口产品：否</w:t>
      </w:r>
    </w:p>
    <w:p w14:paraId="169FC900">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12、是否专门面向中小企业：否</w:t>
      </w:r>
    </w:p>
    <w:p w14:paraId="7F6969BE">
      <w:pPr>
        <w:keepNext w:val="0"/>
        <w:keepLines w:val="0"/>
        <w:pageBreakBefore w:val="0"/>
        <w:widowControl w:val="0"/>
        <w:kinsoku/>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13、落实政府采购政策满足的资格要求：本项目执行促进中小型企业发展政策（残疾人福利性企业、监狱企业视同小微企业）、优先采购节能环保产品等政府采购政策。</w:t>
      </w:r>
    </w:p>
    <w:p w14:paraId="1FE2EBE8">
      <w:pPr>
        <w:keepNext w:val="0"/>
        <w:keepLines w:val="0"/>
        <w:pageBreakBefore w:val="0"/>
        <w:widowControl w:val="0"/>
        <w:kinsoku/>
        <w:wordWrap w:val="0"/>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、供应商资格要求</w:t>
      </w:r>
    </w:p>
    <w:p w14:paraId="36CF1E0C">
      <w:pPr>
        <w:keepNext w:val="0"/>
        <w:keepLines w:val="0"/>
        <w:pageBreakBefore w:val="0"/>
        <w:widowControl w:val="0"/>
        <w:kinsoku/>
        <w:wordWrap w:val="0"/>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满足《中华人民共和国政府采购法》第二十二条的规定并同时具备下列条件：</w:t>
      </w:r>
    </w:p>
    <w:p w14:paraId="63B1B6DD">
      <w:pPr>
        <w:keepNext w:val="0"/>
        <w:keepLines w:val="0"/>
        <w:pageBreakBefore w:val="0"/>
        <w:widowControl w:val="0"/>
        <w:numPr>
          <w:ilvl w:val="0"/>
          <w:numId w:val="1"/>
        </w:numPr>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具有独立承担民事责任的能力；【提供有效的营业执照或其他证明材料】；</w:t>
      </w:r>
    </w:p>
    <w:p w14:paraId="79F130CD">
      <w:pPr>
        <w:keepNext w:val="0"/>
        <w:keepLines w:val="0"/>
        <w:pageBreakBefore w:val="0"/>
        <w:widowControl w:val="0"/>
        <w:numPr>
          <w:ilvl w:val="0"/>
          <w:numId w:val="0"/>
        </w:numPr>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2、</w:t>
      </w:r>
      <w:bookmarkStart w:id="3" w:name="OLE_LINK9"/>
      <w:r>
        <w:rPr>
          <w:rFonts w:hint="eastAsia" w:asciiTheme="minorEastAsia" w:hAnsiTheme="minorEastAsia"/>
          <w:color w:val="auto"/>
          <w:sz w:val="24"/>
          <w:szCs w:val="24"/>
          <w:lang w:val="en-US" w:eastAsia="zh-CN"/>
        </w:rPr>
        <w:t>供应商</w:t>
      </w:r>
      <w:bookmarkEnd w:id="3"/>
      <w:r>
        <w:rPr>
          <w:rFonts w:hint="eastAsia" w:asciiTheme="minorEastAsia" w:hAnsiTheme="minorEastAsia"/>
          <w:color w:val="auto"/>
          <w:sz w:val="24"/>
          <w:szCs w:val="24"/>
          <w:lang w:val="en-US" w:eastAsia="zh-CN"/>
        </w:rPr>
        <w:t>须具有履行合同所必须的设备、人员和专业技术能力；（承诺书格式自拟）；</w:t>
      </w:r>
    </w:p>
    <w:p w14:paraId="5713649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3、拟派项目负责人为本单位员工（提供劳动合同）或已参加社会保险（近半年任意连续两个月）；</w:t>
      </w:r>
    </w:p>
    <w:p w14:paraId="3EDF4F5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4</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具有良好的财务状况且没有处于被责令停业，提供企业近三年（新成立企业从成立之日起计算）任意一年审计报告或财务报表，若企业新成立不足一年，</w:t>
      </w:r>
      <w:r>
        <w:rPr>
          <w:rFonts w:hint="eastAsia" w:ascii="宋体" w:hAnsi="宋体" w:eastAsia="宋体"/>
          <w:sz w:val="24"/>
          <w:szCs w:val="24"/>
          <w:highlight w:val="none"/>
        </w:rPr>
        <w:t>提供注册期后至今的财务报</w:t>
      </w:r>
      <w:r>
        <w:rPr>
          <w:rFonts w:hint="eastAsia" w:asciiTheme="minorEastAsia" w:hAnsiTheme="minorEastAsia"/>
          <w:color w:val="auto"/>
          <w:sz w:val="24"/>
          <w:szCs w:val="24"/>
          <w:lang w:val="en-US" w:eastAsia="zh-CN"/>
        </w:rPr>
        <w:t>表；</w:t>
      </w:r>
    </w:p>
    <w:p w14:paraId="2F0CEAB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val="en-US" w:eastAsia="zh-CN"/>
        </w:rPr>
        <w:t>5</w:t>
      </w:r>
      <w:r>
        <w:rPr>
          <w:rFonts w:hint="eastAsia" w:cs="Times New Roman" w:asciiTheme="minorEastAsia" w:hAnsiTheme="minorEastAsia" w:eastAsiaTheme="minorEastAsia"/>
          <w:color w:val="auto"/>
          <w:sz w:val="24"/>
          <w:szCs w:val="24"/>
          <w:lang w:val="en-US" w:eastAsia="zh-CN"/>
        </w:rPr>
        <w:t>、</w:t>
      </w:r>
      <w:r>
        <w:rPr>
          <w:rFonts w:hint="eastAsia" w:ascii="宋体" w:hAnsi="宋体" w:eastAsia="宋体" w:cs="宋体"/>
          <w:kern w:val="2"/>
          <w:sz w:val="24"/>
          <w:szCs w:val="24"/>
          <w:lang w:val="en-US" w:eastAsia="zh-CN"/>
        </w:rPr>
        <w:t>提供企业近半年以来任意一个月（新成立的企业从成立之日起计算）依法缴纳税收的证明资料</w:t>
      </w:r>
      <w:r>
        <w:rPr>
          <w:rFonts w:hint="eastAsia" w:asciiTheme="minorEastAsia" w:hAnsiTheme="minorEastAsia" w:eastAsiaTheme="minorEastAsia"/>
          <w:color w:val="auto"/>
          <w:sz w:val="24"/>
          <w:szCs w:val="24"/>
          <w:lang w:eastAsia="zh-CN"/>
        </w:rPr>
        <w:t>；</w:t>
      </w:r>
    </w:p>
    <w:p w14:paraId="2B7EC4CC">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6</w:t>
      </w:r>
      <w:r>
        <w:rPr>
          <w:rFonts w:hint="eastAsia" w:cs="Times New Roman" w:asciiTheme="minorEastAsia" w:hAnsiTheme="minorEastAsia" w:eastAsiaTheme="minorEastAsia"/>
          <w:color w:val="auto"/>
          <w:sz w:val="24"/>
          <w:szCs w:val="24"/>
          <w:lang w:val="en-US" w:eastAsia="zh-CN"/>
        </w:rPr>
        <w:t>、参加政府采购活动前3年内无行贿犯罪记录，（开标时提供《中国裁判文书网》查询结果网页截图或企业自行承诺的无行贿犯罪承诺书，查询&lt;承诺&gt;对象为“企业，法定代表人，项目</w:t>
      </w:r>
      <w:r>
        <w:rPr>
          <w:rFonts w:hint="eastAsia" w:cs="Times New Roman" w:asciiTheme="minorEastAsia" w:hAnsiTheme="minorEastAsia"/>
          <w:color w:val="auto"/>
          <w:sz w:val="24"/>
          <w:szCs w:val="24"/>
          <w:lang w:val="en-US" w:eastAsia="zh-CN"/>
        </w:rPr>
        <w:t>负责人</w:t>
      </w:r>
      <w:r>
        <w:rPr>
          <w:rFonts w:hint="eastAsia" w:cs="Times New Roman" w:asciiTheme="minorEastAsia" w:hAnsiTheme="minorEastAsia" w:eastAsiaTheme="minorEastAsia"/>
          <w:color w:val="auto"/>
          <w:sz w:val="24"/>
          <w:szCs w:val="24"/>
          <w:lang w:val="en-US" w:eastAsia="zh-CN"/>
        </w:rPr>
        <w:t>”）；</w:t>
      </w:r>
    </w:p>
    <w:p w14:paraId="14CF858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7</w:t>
      </w:r>
      <w:r>
        <w:rPr>
          <w:rFonts w:hint="eastAsia" w:cs="Times New Roman" w:asciiTheme="minorEastAsia" w:hAnsiTheme="minorEastAsia" w:eastAsiaTheme="minorEastAsia"/>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0A62F27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8</w:t>
      </w:r>
      <w:r>
        <w:rPr>
          <w:rFonts w:hint="eastAsia" w:cs="Times New Roman" w:asciiTheme="minorEastAsia" w:hAnsiTheme="minorEastAsia" w:eastAsiaTheme="minorEastAsia"/>
          <w:color w:val="auto"/>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p w14:paraId="20DB0AB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9</w:t>
      </w:r>
      <w:r>
        <w:rPr>
          <w:rFonts w:hint="eastAsia" w:cs="Times New Roman" w:asciiTheme="minorEastAsia" w:hAnsiTheme="minorEastAsia" w:eastAsiaTheme="minorEastAsia"/>
          <w:color w:val="auto"/>
          <w:sz w:val="24"/>
          <w:szCs w:val="24"/>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3DA3D51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1</w:t>
      </w:r>
      <w:r>
        <w:rPr>
          <w:rFonts w:hint="eastAsia" w:cs="Times New Roman" w:asciiTheme="minorEastAsia" w:hAnsiTheme="minorEastAsia"/>
          <w:color w:val="auto"/>
          <w:sz w:val="24"/>
          <w:szCs w:val="24"/>
          <w:lang w:val="en-US" w:eastAsia="zh-CN"/>
        </w:rPr>
        <w:t>0</w:t>
      </w:r>
      <w:r>
        <w:rPr>
          <w:rFonts w:hint="eastAsia" w:cs="Times New Roman" w:asciiTheme="minorEastAsia" w:hAnsiTheme="minorEastAsia" w:eastAsiaTheme="minorEastAsia"/>
          <w:color w:val="auto"/>
          <w:sz w:val="24"/>
          <w:szCs w:val="24"/>
          <w:lang w:val="en-US" w:eastAsia="zh-CN"/>
        </w:rPr>
        <w:t>、本项目不接收联合体投标；</w:t>
      </w:r>
    </w:p>
    <w:p w14:paraId="6C70382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eastAsia="zh-CN"/>
        </w:rPr>
        <w:t>、本项目实行资格后审。</w:t>
      </w:r>
    </w:p>
    <w:p w14:paraId="6AD74AD1">
      <w:pPr>
        <w:pStyle w:val="37"/>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注：被列入失信被执行人及重大税收违法失信主体的企业做无效标处理。采购人或代理机构有权对供应商信用记录进行甄别和复查。</w:t>
      </w:r>
    </w:p>
    <w:p w14:paraId="5BEDDAD6">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三、获取</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招标</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文件</w:t>
      </w:r>
    </w:p>
    <w:p w14:paraId="4D6D6829">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招标文件获取方式：本项目没有报名环节，供应商凭CA数字证书通过三门峡市公共资源交易中心网（网址：http://gzjy.smx.gov.cn/）点击交易平台选择“交易主体登录”，在所参与项目右侧点击参与投标，即可直接下载本项目招标文件及其相关资料。</w:t>
      </w:r>
    </w:p>
    <w:p w14:paraId="37D93663">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办理CA证书：</w:t>
      </w:r>
    </w:p>
    <w:p w14:paraId="2CEE2181">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begin"/>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instrText xml:space="preserve"> HYPERLINK "http://gzjy.smx.gov.cn/bzzx/008001/20231102/4defc9b5-408e-47f2-9e9f-1f376a06ee1f.html" </w:instrTex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separate"/>
      </w:r>
      <w:r>
        <w:rPr>
          <w:rStyle w:val="50"/>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http://gzjy.smx.gov.cn/bzzx/008001/20231102/4defc9b5-408e-47f2-9e9f-1f376a06ee1f.html</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fldChar w:fldCharType="end"/>
      </w:r>
    </w:p>
    <w:p w14:paraId="25E998BF">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招标文件下载时</w:t>
      </w: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间：2026年4月29日08时00分至2026年5月20日08时40分</w:t>
      </w:r>
    </w:p>
    <w:p w14:paraId="0D89714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46DA254C">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4、本项目为全电子招标，不再收取招标文件费用。</w:t>
      </w:r>
    </w:p>
    <w:p w14:paraId="6F1CABFD">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、投标资料的提交</w:t>
      </w:r>
    </w:p>
    <w:p w14:paraId="68223A97">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本项目实行资格后审，审查内容以投标截止时间前在三门峡市公共资源交易系统上传的投标文件的信息为准，规定时间外上传或更改的信息不作为评标依据。供应商对投标文件信息的真实性、有效性、清晰可辨性负责，同时，供应商需要完善主体库信息。否则，由此造成应得分而未得分或资格审查不合格等情况的，由供应商承担责任。</w:t>
      </w:r>
    </w:p>
    <w:p w14:paraId="2FC8AF87">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、投标文件的递交截止时间及开评标地点</w:t>
      </w:r>
    </w:p>
    <w:p w14:paraId="344630CA">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1、投标文件递交</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的截止时间：2026年5月20日08时40分；</w:t>
      </w:r>
    </w:p>
    <w:p w14:paraId="5EBD0359">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2、开标地点：卢氏县公共资源交易中心四楼第一开标室；</w:t>
      </w:r>
    </w:p>
    <w:p w14:paraId="3A525629">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3、评标地点：卢氏县公共资源交易中心二楼第一评标室。</w:t>
      </w:r>
    </w:p>
    <w:p w14:paraId="2D35C32F">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六、</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保证金</w:t>
      </w:r>
    </w:p>
    <w:p w14:paraId="30D4C9EC">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按照《河南省财政厅关于优化政府采购营商环境有关问题的通知》（豫财购[2019]4号文）的要求，本项目不再收取投标保证金。</w:t>
      </w:r>
    </w:p>
    <w:p w14:paraId="24E6F64C">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七、其他事项</w:t>
      </w:r>
    </w:p>
    <w:p w14:paraId="7F982C4B">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bookmarkStart w:id="4" w:name="_Toc494288834"/>
      <w:bookmarkStart w:id="5" w:name="_Toc28016"/>
      <w:bookmarkStart w:id="6" w:name="_Toc12114"/>
      <w:bookmarkStart w:id="7" w:name="_Toc184635067"/>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供应商应仔细阅读操作手册，在本公告中要求的截止时间前完成招标文件下载等工作。并充分考虑人为操作和时间等因素，因供应商操作不当造成的无法下载招标文件、无法投标等一切后果，由供应商自行承担。</w:t>
      </w:r>
    </w:p>
    <w:p w14:paraId="206477AB">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2、投标所发生一切费用由各供应商自行承担，并承担相应的风险和责任；</w:t>
      </w:r>
    </w:p>
    <w:p w14:paraId="0DFD632E">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3、供应商递交的投标文件不论中标与否均不予退还。</w:t>
      </w:r>
    </w:p>
    <w:p w14:paraId="20E60E31">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温馨提示：本项目为电子化、无纸化交易项目，开标时不再接受任何纸质资料，为保证您能开标成功，请需仔细阅读招标文件和三门峡市公共资源交易中心官网业务办理指南。</w:t>
      </w:r>
    </w:p>
    <w:p w14:paraId="09D53F2B">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八、发布公告的媒介</w:t>
      </w:r>
    </w:p>
    <w:p w14:paraId="0AEDB4D2">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本次招标公告同时在《三门峡市公共资源交易中心网》、《中国招标投标公共服务平台》、《河南省政府采购网》上发布。</w:t>
      </w:r>
    </w:p>
    <w:p w14:paraId="0840D06B">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九、联系方式</w:t>
      </w:r>
    </w:p>
    <w:bookmarkEnd w:id="4"/>
    <w:bookmarkEnd w:id="5"/>
    <w:bookmarkEnd w:id="6"/>
    <w:bookmarkEnd w:id="7"/>
    <w:p w14:paraId="4CFEBFCC">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监督单位：卢氏县政府采购办公室</w:t>
      </w:r>
    </w:p>
    <w:p w14:paraId="15335F41">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联系人：郭亚楠</w:t>
      </w:r>
    </w:p>
    <w:p w14:paraId="7E4E18DD">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电话：0398-7863556</w:t>
      </w:r>
    </w:p>
    <w:p w14:paraId="0B4F1A94">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地址：卢氏县城关镇解放路中段</w:t>
      </w:r>
    </w:p>
    <w:p w14:paraId="604882BD">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监督单位：卢氏县农业农村局</w:t>
      </w:r>
    </w:p>
    <w:p w14:paraId="3ADAE204">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联系人：莫渊</w:t>
      </w:r>
    </w:p>
    <w:p w14:paraId="1F84C589">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电话：13303986861</w:t>
      </w:r>
    </w:p>
    <w:p w14:paraId="358F0216">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地址：卢氏县城关镇新建路</w:t>
      </w:r>
    </w:p>
    <w:p w14:paraId="391AF466">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采购人：卢氏县中医院</w:t>
      </w:r>
    </w:p>
    <w:p w14:paraId="37A76429">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联系人：宋浩奇</w:t>
      </w:r>
    </w:p>
    <w:p w14:paraId="5C2C0382">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w:t>
      </w:r>
      <w:r>
        <w:rPr>
          <w:rFonts w:hint="eastAsia" w:ascii="宋体" w:hAnsi="宋体" w:cs="宋体"/>
          <w:color w:val="000000" w:themeColor="text1"/>
          <w:sz w:val="24"/>
          <w:highlight w:val="none"/>
          <w:lang w:val="en-US" w:eastAsia="zh-CN"/>
          <w14:textFill>
            <w14:solidFill>
              <w14:schemeClr w14:val="tx1"/>
            </w14:solidFill>
          </w14:textFill>
        </w:rPr>
        <w:t>13707641646</w:t>
      </w:r>
    </w:p>
    <w:p w14:paraId="183D98FD">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地址：卢氏县城兴贤大道中段</w:t>
      </w:r>
    </w:p>
    <w:p w14:paraId="48C13C11">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代理机构：河南炎黄工程管理咨询有限公司</w:t>
      </w:r>
    </w:p>
    <w:p w14:paraId="14FAD9A4">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联系人：侯海鸽</w:t>
      </w:r>
    </w:p>
    <w:p w14:paraId="25C4BAE2">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电话：19037691326</w:t>
      </w:r>
    </w:p>
    <w:p w14:paraId="49F7C5C3">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地址：郑州市二七区大学路与淮河路口交叉口</w:t>
      </w:r>
    </w:p>
    <w:p w14:paraId="10051C55">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14:paraId="6DE5D1CF">
      <w:pPr>
        <w:keepNext w:val="0"/>
        <w:keepLines w:val="0"/>
        <w:pageBreakBefore w:val="0"/>
        <w:widowControl w:val="0"/>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br w:type="page"/>
      </w:r>
      <w:bookmarkEnd w:id="2"/>
      <w:bookmarkStart w:id="8" w:name="_Toc14238"/>
      <w:bookmarkStart w:id="9" w:name="_Toc80256505"/>
    </w:p>
    <w:p w14:paraId="2AB6905F">
      <w:pPr>
        <w:keepNext w:val="0"/>
        <w:keepLines w:val="0"/>
        <w:pageBreakBefore w:val="0"/>
        <w:widowControl/>
        <w:kinsoku/>
        <w:wordWrap/>
        <w:overflowPunct/>
        <w:topLinePunct w:val="0"/>
        <w:autoSpaceDE/>
        <w:autoSpaceDN/>
        <w:bidi w:val="0"/>
        <w:spacing w:line="600" w:lineRule="exact"/>
        <w:jc w:val="center"/>
        <w:textAlignment w:val="auto"/>
        <w:rPr>
          <w:rFonts w:hint="eastAsia"/>
          <w:color w:val="000000" w:themeColor="text1"/>
          <w14:textFill>
            <w14:solidFill>
              <w14:schemeClr w14:val="tx1"/>
            </w14:solidFill>
          </w14:textFill>
        </w:rPr>
      </w:pPr>
      <w:r>
        <w:rPr>
          <w:rFonts w:hint="eastAsia" w:ascii="宋体" w:hAnsi="宋体" w:eastAsia="宋体" w:cs="黑体"/>
          <w:b/>
          <w:bCs/>
          <w:color w:val="000000" w:themeColor="text1"/>
          <w:sz w:val="32"/>
          <w:szCs w:val="32"/>
          <w:lang w:val="en-US" w:eastAsia="en-US" w:bidi="ar-SA"/>
          <w14:textFill>
            <w14:solidFill>
              <w14:schemeClr w14:val="tx1"/>
            </w14:solidFill>
          </w14:textFill>
        </w:rPr>
        <w:t>第二章</w:t>
      </w:r>
      <w:r>
        <w:rPr>
          <w:rFonts w:hint="eastAsia" w:ascii="宋体" w:hAnsi="宋体" w:eastAsia="宋体" w:cs="黑体"/>
          <w:b/>
          <w:bCs/>
          <w:color w:val="000000" w:themeColor="text1"/>
          <w:sz w:val="32"/>
          <w:szCs w:val="32"/>
          <w:lang w:val="en-US" w:eastAsia="zh-CN" w:bidi="ar-SA"/>
          <w14:textFill>
            <w14:solidFill>
              <w14:schemeClr w14:val="tx1"/>
            </w14:solidFill>
          </w14:textFill>
        </w:rPr>
        <w:t xml:space="preserve"> </w:t>
      </w:r>
      <w:r>
        <w:rPr>
          <w:rFonts w:hint="eastAsia" w:ascii="宋体" w:hAnsi="宋体" w:eastAsia="宋体" w:cs="黑体"/>
          <w:b/>
          <w:bCs/>
          <w:color w:val="000000" w:themeColor="text1"/>
          <w:sz w:val="32"/>
          <w:szCs w:val="32"/>
          <w:lang w:val="en-US" w:eastAsia="en-US" w:bidi="ar-SA"/>
          <w14:textFill>
            <w14:solidFill>
              <w14:schemeClr w14:val="tx1"/>
            </w14:solidFill>
          </w14:textFill>
        </w:rPr>
        <w:t>供应商须知</w:t>
      </w:r>
      <w:bookmarkEnd w:id="8"/>
      <w:bookmarkEnd w:id="9"/>
    </w:p>
    <w:p w14:paraId="09404D5D">
      <w:pPr>
        <w:autoSpaceDE w:val="0"/>
        <w:autoSpaceDN w:val="0"/>
        <w:jc w:val="center"/>
        <w:rPr>
          <w:rFonts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供应商须知前附表</w:t>
      </w:r>
    </w:p>
    <w:tbl>
      <w:tblPr>
        <w:tblStyle w:val="40"/>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1672"/>
        <w:gridCol w:w="7234"/>
      </w:tblGrid>
      <w:tr w14:paraId="535B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AC61BE9">
            <w:pPr>
              <w:widowControl/>
              <w:spacing w:before="0" w:beforeLines="0" w:beforeAutospacing="0" w:after="0" w:afterLines="0" w:afterAutospacing="0"/>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条款号</w:t>
            </w:r>
          </w:p>
        </w:tc>
        <w:tc>
          <w:tcPr>
            <w:tcW w:w="1672" w:type="dxa"/>
            <w:tcBorders>
              <w:top w:val="single" w:color="auto" w:sz="4" w:space="0"/>
              <w:left w:val="nil"/>
              <w:bottom w:val="single" w:color="auto" w:sz="4" w:space="0"/>
              <w:right w:val="single" w:color="auto" w:sz="4" w:space="0"/>
            </w:tcBorders>
            <w:noWrap w:val="0"/>
            <w:vAlign w:val="center"/>
          </w:tcPr>
          <w:p w14:paraId="068BE03D">
            <w:pPr>
              <w:widowControl/>
              <w:spacing w:before="0" w:beforeLines="0" w:beforeAutospacing="0" w:after="0" w:afterLines="0" w:afterAutospacing="0"/>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条款名称</w:t>
            </w:r>
          </w:p>
        </w:tc>
        <w:tc>
          <w:tcPr>
            <w:tcW w:w="7234" w:type="dxa"/>
            <w:tcBorders>
              <w:top w:val="single" w:color="auto" w:sz="4" w:space="0"/>
              <w:left w:val="nil"/>
              <w:bottom w:val="single" w:color="auto" w:sz="4" w:space="0"/>
              <w:right w:val="single" w:color="auto" w:sz="4" w:space="0"/>
            </w:tcBorders>
            <w:noWrap w:val="0"/>
            <w:vAlign w:val="center"/>
          </w:tcPr>
          <w:p w14:paraId="6B4F4E69">
            <w:pPr>
              <w:widowControl/>
              <w:spacing w:before="0" w:beforeLines="0" w:beforeAutospacing="0" w:after="0" w:afterLines="0" w:afterAutospacing="0"/>
              <w:ind w:left="0" w:right="0"/>
              <w:jc w:val="center"/>
              <w:rPr>
                <w:rFonts w:hint="eastAsia" w:ascii="宋体" w:hAnsi="宋体" w:eastAsia="宋体" w:cs="宋体"/>
                <w:b/>
                <w:bCs/>
                <w:color w:val="000000" w:themeColor="text1"/>
                <w:kern w:val="2"/>
                <w:sz w:val="24"/>
                <w:szCs w:val="24"/>
                <w14:textFill>
                  <w14:solidFill>
                    <w14:schemeClr w14:val="tx1"/>
                  </w14:solidFill>
                </w14:textFill>
              </w:rPr>
            </w:pPr>
            <w:r>
              <w:rPr>
                <w:rFonts w:hint="eastAsia" w:ascii="宋体" w:hAnsi="宋体" w:eastAsia="宋体" w:cs="宋体"/>
                <w:b/>
                <w:bCs/>
                <w:color w:val="000000" w:themeColor="text1"/>
                <w:kern w:val="2"/>
                <w:sz w:val="24"/>
                <w:szCs w:val="24"/>
                <w14:textFill>
                  <w14:solidFill>
                    <w14:schemeClr w14:val="tx1"/>
                  </w14:solidFill>
                </w14:textFill>
              </w:rPr>
              <w:t>编列内容</w:t>
            </w:r>
          </w:p>
        </w:tc>
      </w:tr>
      <w:tr w14:paraId="651D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0" w:type="dxa"/>
            <w:tcBorders>
              <w:top w:val="nil"/>
              <w:left w:val="single" w:color="auto" w:sz="4" w:space="0"/>
              <w:right w:val="single" w:color="auto" w:sz="4" w:space="0"/>
            </w:tcBorders>
            <w:noWrap w:val="0"/>
            <w:vAlign w:val="center"/>
          </w:tcPr>
          <w:p w14:paraId="58D8E7A9">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p>
        </w:tc>
        <w:tc>
          <w:tcPr>
            <w:tcW w:w="1672" w:type="dxa"/>
            <w:tcBorders>
              <w:top w:val="nil"/>
              <w:left w:val="single" w:color="auto" w:sz="4" w:space="0"/>
              <w:right w:val="single" w:color="auto" w:sz="4" w:space="0"/>
            </w:tcBorders>
            <w:noWrap w:val="0"/>
            <w:vAlign w:val="center"/>
          </w:tcPr>
          <w:p w14:paraId="09D7E118">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w:t>
            </w:r>
            <w:r>
              <w:rPr>
                <w:rFonts w:hint="eastAsia" w:ascii="宋体" w:hAnsi="宋体" w:eastAsia="宋体" w:cs="宋体"/>
                <w:color w:val="000000" w:themeColor="text1"/>
                <w:kern w:val="2"/>
                <w:sz w:val="24"/>
                <w:szCs w:val="24"/>
                <w:lang w:eastAsia="zh-CN"/>
                <w14:textFill>
                  <w14:solidFill>
                    <w14:schemeClr w14:val="tx1"/>
                  </w14:solidFill>
                </w14:textFill>
              </w:rPr>
              <w:t>及监督单位</w:t>
            </w:r>
          </w:p>
        </w:tc>
        <w:tc>
          <w:tcPr>
            <w:tcW w:w="7234" w:type="dxa"/>
            <w:tcBorders>
              <w:top w:val="single" w:color="auto" w:sz="4" w:space="0"/>
              <w:left w:val="nil"/>
              <w:bottom w:val="single" w:color="auto" w:sz="6" w:space="0"/>
              <w:right w:val="single" w:color="auto" w:sz="4" w:space="0"/>
            </w:tcBorders>
            <w:noWrap w:val="0"/>
            <w:vAlign w:val="center"/>
          </w:tcPr>
          <w:p w14:paraId="0647EFF1">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监督单位：卢氏县政府采购办公室</w:t>
            </w:r>
          </w:p>
          <w:p w14:paraId="11EDCA6B">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联系人：郭亚楠</w:t>
            </w:r>
          </w:p>
          <w:p w14:paraId="2B586B75">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电话：0398-7863556</w:t>
            </w:r>
          </w:p>
          <w:p w14:paraId="3766AB01">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地址：卢氏县城关镇解放路中段</w:t>
            </w:r>
          </w:p>
          <w:p w14:paraId="5DFFDE7E">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监督单位：卢氏县农业农村局</w:t>
            </w:r>
          </w:p>
          <w:p w14:paraId="105129F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联系人：莫渊</w:t>
            </w:r>
          </w:p>
          <w:p w14:paraId="620D9024">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电话：13303986861</w:t>
            </w:r>
          </w:p>
          <w:p w14:paraId="2DC707BB">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地址：卢氏县城关镇新建路</w:t>
            </w:r>
          </w:p>
          <w:p w14:paraId="533717F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采购人：卢氏县中医院</w:t>
            </w:r>
          </w:p>
          <w:p w14:paraId="73988A30">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联系人：宋浩奇</w:t>
            </w:r>
          </w:p>
          <w:p w14:paraId="0F26B583">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电话：13707641646</w:t>
            </w:r>
          </w:p>
          <w:p w14:paraId="66008045">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地址：卢氏县城兴贤大道中段</w:t>
            </w:r>
          </w:p>
        </w:tc>
      </w:tr>
      <w:tr w14:paraId="3FA2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2E5AF04">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13C2D924">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代理机构</w:t>
            </w:r>
          </w:p>
        </w:tc>
        <w:tc>
          <w:tcPr>
            <w:tcW w:w="7234" w:type="dxa"/>
            <w:tcBorders>
              <w:top w:val="single" w:color="auto" w:sz="4" w:space="0"/>
              <w:left w:val="nil"/>
              <w:bottom w:val="single" w:color="auto" w:sz="4" w:space="0"/>
              <w:right w:val="single" w:color="auto" w:sz="4" w:space="0"/>
            </w:tcBorders>
            <w:noWrap w:val="0"/>
            <w:vAlign w:val="center"/>
          </w:tcPr>
          <w:p w14:paraId="4510B44F">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代理机构：河南炎黄工程管理咨询有限公司</w:t>
            </w:r>
          </w:p>
          <w:p w14:paraId="1BCF6D61">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联系人：侯海鸽</w:t>
            </w:r>
          </w:p>
          <w:p w14:paraId="6C166AEB">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电话：19037691326</w:t>
            </w:r>
          </w:p>
          <w:p w14:paraId="2535B423">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地址：郑州市二七区大学路与淮河路口交叉口</w:t>
            </w:r>
          </w:p>
        </w:tc>
      </w:tr>
      <w:tr w14:paraId="13A7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6D9AEB8F">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p>
        </w:tc>
        <w:tc>
          <w:tcPr>
            <w:tcW w:w="1672" w:type="dxa"/>
            <w:tcBorders>
              <w:top w:val="single" w:color="auto" w:sz="4" w:space="0"/>
              <w:left w:val="nil"/>
              <w:bottom w:val="single" w:color="auto" w:sz="4" w:space="0"/>
              <w:right w:val="single" w:color="auto" w:sz="4" w:space="0"/>
            </w:tcBorders>
            <w:noWrap w:val="0"/>
            <w:vAlign w:val="center"/>
          </w:tcPr>
          <w:p w14:paraId="745CBB76">
            <w:pPr>
              <w:widowControl/>
              <w:spacing w:before="0" w:beforeLines="0" w:beforeAutospacing="0" w:after="0" w:afterLines="0" w:afterAutospacing="0" w:line="400" w:lineRule="exact"/>
              <w:ind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项目名称</w:t>
            </w:r>
          </w:p>
        </w:tc>
        <w:tc>
          <w:tcPr>
            <w:tcW w:w="7234" w:type="dxa"/>
            <w:tcBorders>
              <w:top w:val="single" w:color="auto" w:sz="4" w:space="0"/>
              <w:left w:val="nil"/>
              <w:bottom w:val="single" w:color="auto" w:sz="4" w:space="0"/>
              <w:right w:val="single" w:color="auto" w:sz="4" w:space="0"/>
            </w:tcBorders>
            <w:noWrap w:val="0"/>
            <w:vAlign w:val="center"/>
          </w:tcPr>
          <w:p w14:paraId="29AA54BB">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卢氏县2026年中药材种质资源保护项目</w:t>
            </w:r>
          </w:p>
        </w:tc>
      </w:tr>
      <w:tr w14:paraId="655A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970" w:type="dxa"/>
            <w:tcBorders>
              <w:top w:val="nil"/>
              <w:left w:val="single" w:color="auto" w:sz="4" w:space="0"/>
              <w:bottom w:val="single" w:color="auto" w:sz="4" w:space="0"/>
              <w:right w:val="single" w:color="auto" w:sz="4" w:space="0"/>
            </w:tcBorders>
            <w:noWrap w:val="0"/>
            <w:vAlign w:val="center"/>
          </w:tcPr>
          <w:p w14:paraId="03D32897">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w:t>
            </w:r>
          </w:p>
        </w:tc>
        <w:tc>
          <w:tcPr>
            <w:tcW w:w="1672" w:type="dxa"/>
            <w:tcBorders>
              <w:top w:val="nil"/>
              <w:left w:val="nil"/>
              <w:bottom w:val="single" w:color="auto" w:sz="4" w:space="0"/>
              <w:right w:val="single" w:color="auto" w:sz="4" w:space="0"/>
            </w:tcBorders>
            <w:noWrap w:val="0"/>
            <w:vAlign w:val="center"/>
          </w:tcPr>
          <w:p w14:paraId="0CFC4D6D">
            <w:pPr>
              <w:widowControl/>
              <w:spacing w:before="0" w:beforeLines="0" w:beforeAutospacing="0" w:after="0" w:afterLines="0" w:afterAutospacing="0" w:line="400" w:lineRule="exact"/>
              <w:ind w:left="0" w:right="0"/>
              <w:jc w:val="center"/>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14:textFill>
                  <w14:solidFill>
                    <w14:schemeClr w14:val="tx1"/>
                  </w14:solidFill>
                </w14:textFill>
              </w:rPr>
              <w:t>预算资金</w:t>
            </w:r>
          </w:p>
        </w:tc>
        <w:tc>
          <w:tcPr>
            <w:tcW w:w="7234" w:type="dxa"/>
            <w:tcBorders>
              <w:top w:val="nil"/>
              <w:left w:val="nil"/>
              <w:bottom w:val="single" w:color="auto" w:sz="4" w:space="0"/>
              <w:right w:val="single" w:color="auto" w:sz="4" w:space="0"/>
            </w:tcBorders>
            <w:noWrap w:val="0"/>
            <w:vAlign w:val="center"/>
          </w:tcPr>
          <w:p w14:paraId="0A300DFA">
            <w:pPr>
              <w:widowControl/>
              <w:spacing w:before="0" w:beforeLines="0" w:beforeAutospacing="0" w:after="0" w:afterLines="0" w:afterAutospacing="0" w:line="360" w:lineRule="auto"/>
              <w:ind w:left="0" w:right="0"/>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3392667.51元</w:t>
            </w:r>
          </w:p>
        </w:tc>
      </w:tr>
      <w:tr w14:paraId="496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70" w:type="dxa"/>
            <w:tcBorders>
              <w:top w:val="nil"/>
              <w:left w:val="single" w:color="auto" w:sz="4" w:space="0"/>
              <w:bottom w:val="single" w:color="auto" w:sz="4" w:space="0"/>
              <w:right w:val="single" w:color="auto" w:sz="4" w:space="0"/>
            </w:tcBorders>
            <w:shd w:val="clear" w:color="auto" w:fill="auto"/>
            <w:noWrap w:val="0"/>
            <w:vAlign w:val="center"/>
          </w:tcPr>
          <w:p w14:paraId="7C9C470C">
            <w:pPr>
              <w:widowControl/>
              <w:spacing w:before="0" w:beforeLines="0" w:beforeAutospacing="0" w:afterAutospacing="0" w:line="360" w:lineRule="auto"/>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5</w:t>
            </w:r>
          </w:p>
        </w:tc>
        <w:tc>
          <w:tcPr>
            <w:tcW w:w="1672" w:type="dxa"/>
            <w:tcBorders>
              <w:top w:val="nil"/>
              <w:left w:val="nil"/>
              <w:bottom w:val="single" w:color="auto" w:sz="4" w:space="0"/>
              <w:right w:val="single" w:color="auto" w:sz="4" w:space="0"/>
            </w:tcBorders>
            <w:shd w:val="clear" w:color="auto" w:fill="auto"/>
            <w:noWrap w:val="0"/>
            <w:vAlign w:val="center"/>
          </w:tcPr>
          <w:p w14:paraId="0D393C9D">
            <w:pPr>
              <w:widowControl/>
              <w:spacing w:before="0" w:beforeLines="0" w:beforeAutospacing="0" w:after="0" w:afterLines="0" w:afterAutospacing="0" w:line="400" w:lineRule="exact"/>
              <w:ind w:left="0" w:leftChars="0" w:right="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资金来源</w:t>
            </w:r>
          </w:p>
        </w:tc>
        <w:tc>
          <w:tcPr>
            <w:tcW w:w="7234" w:type="dxa"/>
            <w:tcBorders>
              <w:top w:val="nil"/>
              <w:left w:val="nil"/>
              <w:bottom w:val="single" w:color="auto" w:sz="4" w:space="0"/>
              <w:right w:val="single" w:color="auto" w:sz="4" w:space="0"/>
            </w:tcBorders>
            <w:shd w:val="clear" w:color="auto" w:fill="auto"/>
            <w:noWrap w:val="0"/>
            <w:vAlign w:val="center"/>
          </w:tcPr>
          <w:p w14:paraId="6B255946">
            <w:pPr>
              <w:widowControl/>
              <w:numPr>
                <w:ilvl w:val="0"/>
                <w:numId w:val="0"/>
              </w:numPr>
              <w:spacing w:before="0" w:beforeLines="0" w:beforeAutospacing="0" w:after="0" w:afterLines="0" w:afterAutospacing="0" w:line="400" w:lineRule="exact"/>
              <w:ind w:left="0" w:leftChars="0" w:right="0" w:righ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财政资金</w:t>
            </w:r>
            <w:r>
              <w:rPr>
                <w:rFonts w:hint="eastAsia" w:ascii="宋体" w:hAnsi="宋体" w:eastAsia="宋体" w:cs="宋体"/>
                <w:color w:val="000000" w:themeColor="text1"/>
                <w:kern w:val="2"/>
                <w:sz w:val="24"/>
                <w:szCs w:val="24"/>
                <w14:textFill>
                  <w14:solidFill>
                    <w14:schemeClr w14:val="tx1"/>
                  </w14:solidFill>
                </w14:textFill>
              </w:rPr>
              <w:t>，已落实</w:t>
            </w:r>
          </w:p>
        </w:tc>
      </w:tr>
      <w:tr w14:paraId="6B78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8E212F7">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6</w:t>
            </w:r>
          </w:p>
        </w:tc>
        <w:tc>
          <w:tcPr>
            <w:tcW w:w="1672" w:type="dxa"/>
            <w:tcBorders>
              <w:top w:val="single" w:color="auto" w:sz="4" w:space="0"/>
              <w:left w:val="nil"/>
              <w:bottom w:val="single" w:color="auto" w:sz="4" w:space="0"/>
              <w:right w:val="single" w:color="auto" w:sz="4" w:space="0"/>
            </w:tcBorders>
            <w:noWrap w:val="0"/>
            <w:vAlign w:val="center"/>
          </w:tcPr>
          <w:p w14:paraId="76F3A4F1">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w:t>
            </w:r>
            <w:r>
              <w:rPr>
                <w:rFonts w:hint="eastAsia" w:ascii="宋体" w:hAnsi="宋体" w:eastAsia="宋体" w:cs="宋体"/>
                <w:color w:val="000000" w:themeColor="text1"/>
                <w:kern w:val="2"/>
                <w:sz w:val="24"/>
                <w:szCs w:val="24"/>
                <w14:textFill>
                  <w14:solidFill>
                    <w14:schemeClr w14:val="tx1"/>
                  </w14:solidFill>
                </w14:textFill>
              </w:rPr>
              <w:t>内容</w:t>
            </w:r>
          </w:p>
        </w:tc>
        <w:tc>
          <w:tcPr>
            <w:tcW w:w="7234" w:type="dxa"/>
            <w:tcBorders>
              <w:top w:val="single" w:color="auto" w:sz="4" w:space="0"/>
              <w:left w:val="nil"/>
              <w:bottom w:val="single" w:color="auto" w:sz="4" w:space="0"/>
              <w:right w:val="single" w:color="auto" w:sz="4" w:space="0"/>
            </w:tcBorders>
            <w:noWrap w:val="0"/>
            <w:vAlign w:val="center"/>
          </w:tcPr>
          <w:p w14:paraId="5B229B3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本工程为卢氏县2026年中药材种质资源保护项目，工程主要建设内容有:建设300亩伏牛山道地中药材种质资源示范基地，种植、收集、保存连翘、黄精、白芨、淫羊藿等道地药材种质资源，开展规范化繁育;配套建设田间作业道、标识标牌、围栏等基础工程。</w:t>
            </w:r>
            <w:r>
              <w:rPr>
                <w:rFonts w:hint="eastAsia" w:asciiTheme="minorEastAsia" w:hAnsiTheme="minorEastAsia" w:eastAsiaTheme="minorEastAsia"/>
                <w:color w:val="auto"/>
                <w:sz w:val="24"/>
                <w:szCs w:val="24"/>
                <w:lang w:eastAsia="zh-CN"/>
              </w:rPr>
              <w:t>(具体内容见招标文件第三章采购</w:t>
            </w:r>
            <w:r>
              <w:rPr>
                <w:rFonts w:hint="eastAsia" w:asciiTheme="minorEastAsia" w:hAnsiTheme="minorEastAsia"/>
                <w:color w:val="auto"/>
                <w:sz w:val="24"/>
                <w:szCs w:val="24"/>
                <w:lang w:val="en-US" w:eastAsia="zh-CN"/>
              </w:rPr>
              <w:t>清单</w:t>
            </w:r>
            <w:r>
              <w:rPr>
                <w:rFonts w:hint="eastAsia" w:asciiTheme="minorEastAsia" w:hAnsiTheme="minorEastAsia" w:eastAsiaTheme="minorEastAsia"/>
                <w:color w:val="auto"/>
                <w:sz w:val="24"/>
                <w:szCs w:val="24"/>
                <w:lang w:eastAsia="zh-CN"/>
              </w:rPr>
              <w:t>)</w:t>
            </w:r>
          </w:p>
        </w:tc>
      </w:tr>
      <w:tr w14:paraId="4734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1FB40C04">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7</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6E04C861">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标段划分</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18D9BABC">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本项目不划分标段</w:t>
            </w:r>
          </w:p>
        </w:tc>
      </w:tr>
      <w:tr w14:paraId="00A5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BADB873">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8</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75F4016E">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供货期限</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73933924">
            <w:pPr>
              <w:widowControl/>
              <w:spacing w:before="0" w:beforeLines="0" w:beforeAutospacing="0" w:after="0" w:afterLines="0" w:afterAutospacing="0" w:line="400" w:lineRule="exact"/>
              <w:ind w:left="0" w:leftChars="0" w:right="0" w:right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合同签订后120日历天内完成，后期运营管护2年</w:t>
            </w:r>
          </w:p>
        </w:tc>
      </w:tr>
      <w:tr w14:paraId="4804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7441F962">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9</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26A3B702">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质量要求</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6DE3D077">
            <w:pPr>
              <w:widowControl/>
              <w:spacing w:before="0" w:beforeLines="0" w:beforeAutospacing="0" w:after="0" w:afterLines="0" w:afterAutospacing="0" w:line="400" w:lineRule="exact"/>
              <w:ind w:left="0" w:leftChars="0" w:right="0" w:righ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符合国家及行业标准并满足采购人要求</w:t>
            </w:r>
          </w:p>
        </w:tc>
      </w:tr>
      <w:tr w14:paraId="342D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7CDEE4E">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10</w:t>
            </w:r>
          </w:p>
        </w:tc>
        <w:tc>
          <w:tcPr>
            <w:tcW w:w="1672" w:type="dxa"/>
            <w:tcBorders>
              <w:top w:val="single" w:color="auto" w:sz="4" w:space="0"/>
              <w:left w:val="nil"/>
              <w:bottom w:val="single" w:color="auto" w:sz="4" w:space="0"/>
              <w:right w:val="single" w:color="auto" w:sz="4" w:space="0"/>
            </w:tcBorders>
            <w:noWrap w:val="0"/>
            <w:vAlign w:val="center"/>
          </w:tcPr>
          <w:p w14:paraId="050CD008">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交货地点</w:t>
            </w:r>
          </w:p>
        </w:tc>
        <w:tc>
          <w:tcPr>
            <w:tcW w:w="7234" w:type="dxa"/>
            <w:tcBorders>
              <w:top w:val="single" w:color="auto" w:sz="4" w:space="0"/>
              <w:left w:val="nil"/>
              <w:bottom w:val="single" w:color="auto" w:sz="4" w:space="0"/>
              <w:right w:val="single" w:color="auto" w:sz="4" w:space="0"/>
            </w:tcBorders>
            <w:noWrap w:val="0"/>
            <w:vAlign w:val="center"/>
          </w:tcPr>
          <w:p w14:paraId="62BD013D">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采购人指定地点</w:t>
            </w:r>
          </w:p>
        </w:tc>
      </w:tr>
      <w:tr w14:paraId="4D24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2CF7372">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11</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402899A4">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供应商资格</w:t>
            </w:r>
          </w:p>
          <w:p w14:paraId="1DE558FD">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要求</w:t>
            </w:r>
          </w:p>
        </w:tc>
        <w:tc>
          <w:tcPr>
            <w:tcW w:w="7234" w:type="dxa"/>
            <w:tcBorders>
              <w:top w:val="single" w:color="auto" w:sz="4" w:space="0"/>
              <w:left w:val="nil"/>
              <w:bottom w:val="single" w:color="auto" w:sz="4" w:space="0"/>
              <w:right w:val="single" w:color="auto" w:sz="4" w:space="0"/>
            </w:tcBorders>
            <w:noWrap w:val="0"/>
            <w:vAlign w:val="center"/>
          </w:tcPr>
          <w:p w14:paraId="195EF826">
            <w:pPr>
              <w:widowControl/>
              <w:spacing w:before="0" w:beforeLines="0" w:beforeAutospacing="0" w:after="0" w:afterLines="0" w:afterAutospacing="0" w:line="360" w:lineRule="auto"/>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具体详见</w:t>
            </w:r>
            <w:r>
              <w:rPr>
                <w:rFonts w:hint="eastAsia" w:ascii="宋体" w:hAnsi="宋体" w:eastAsia="宋体" w:cs="宋体"/>
                <w:color w:val="000000" w:themeColor="text1"/>
                <w:kern w:val="2"/>
                <w:sz w:val="24"/>
                <w:szCs w:val="24"/>
                <w:lang w:val="en-US" w:eastAsia="zh-CN"/>
                <w14:textFill>
                  <w14:solidFill>
                    <w14:schemeClr w14:val="tx1"/>
                  </w14:solidFill>
                </w14:textFill>
              </w:rPr>
              <w:t>招标</w:t>
            </w:r>
            <w:r>
              <w:rPr>
                <w:rFonts w:hint="eastAsia" w:ascii="宋体" w:hAnsi="宋体" w:eastAsia="宋体" w:cs="宋体"/>
                <w:color w:val="000000" w:themeColor="text1"/>
                <w:kern w:val="2"/>
                <w:sz w:val="24"/>
                <w:szCs w:val="24"/>
                <w14:textFill>
                  <w14:solidFill>
                    <w14:schemeClr w14:val="tx1"/>
                  </w14:solidFill>
                </w14:textFill>
              </w:rPr>
              <w:t>公告部分</w:t>
            </w:r>
          </w:p>
        </w:tc>
      </w:tr>
      <w:tr w14:paraId="03D5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7CE25BD">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12</w:t>
            </w:r>
          </w:p>
        </w:tc>
        <w:tc>
          <w:tcPr>
            <w:tcW w:w="1672" w:type="dxa"/>
            <w:tcBorders>
              <w:top w:val="single" w:color="auto" w:sz="4" w:space="0"/>
              <w:left w:val="nil"/>
              <w:bottom w:val="single" w:color="auto" w:sz="4" w:space="0"/>
              <w:right w:val="single" w:color="auto" w:sz="4" w:space="0"/>
            </w:tcBorders>
            <w:noWrap w:val="0"/>
            <w:vAlign w:val="center"/>
          </w:tcPr>
          <w:p w14:paraId="50542541">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是否接受联合</w:t>
            </w:r>
          </w:p>
          <w:p w14:paraId="27ECAEE5">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体投标</w:t>
            </w:r>
          </w:p>
        </w:tc>
        <w:tc>
          <w:tcPr>
            <w:tcW w:w="7234" w:type="dxa"/>
            <w:tcBorders>
              <w:top w:val="single" w:color="auto" w:sz="4" w:space="0"/>
              <w:left w:val="nil"/>
              <w:bottom w:val="single" w:color="auto" w:sz="4" w:space="0"/>
              <w:right w:val="single" w:color="auto" w:sz="4" w:space="0"/>
            </w:tcBorders>
            <w:noWrap w:val="0"/>
            <w:vAlign w:val="center"/>
          </w:tcPr>
          <w:p w14:paraId="7E1EEC4F">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不接受</w:t>
            </w:r>
          </w:p>
        </w:tc>
      </w:tr>
      <w:tr w14:paraId="5CD8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0548035">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13</w:t>
            </w:r>
          </w:p>
        </w:tc>
        <w:tc>
          <w:tcPr>
            <w:tcW w:w="1672" w:type="dxa"/>
            <w:tcBorders>
              <w:top w:val="single" w:color="auto" w:sz="4" w:space="0"/>
              <w:left w:val="nil"/>
              <w:bottom w:val="single" w:color="auto" w:sz="4" w:space="0"/>
              <w:right w:val="single" w:color="auto" w:sz="4" w:space="0"/>
            </w:tcBorders>
            <w:noWrap w:val="0"/>
            <w:vAlign w:val="center"/>
          </w:tcPr>
          <w:p w14:paraId="14108B18">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踏勘现场</w:t>
            </w:r>
          </w:p>
        </w:tc>
        <w:tc>
          <w:tcPr>
            <w:tcW w:w="7234" w:type="dxa"/>
            <w:tcBorders>
              <w:top w:val="single" w:color="auto" w:sz="4" w:space="0"/>
              <w:left w:val="nil"/>
              <w:bottom w:val="single" w:color="auto" w:sz="4" w:space="0"/>
              <w:right w:val="single" w:color="auto" w:sz="4" w:space="0"/>
            </w:tcBorders>
            <w:noWrap w:val="0"/>
            <w:vAlign w:val="center"/>
          </w:tcPr>
          <w:p w14:paraId="6490A4AE">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不组织</w:t>
            </w:r>
          </w:p>
        </w:tc>
      </w:tr>
      <w:tr w14:paraId="76AB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8CC8AF2">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14</w:t>
            </w:r>
          </w:p>
        </w:tc>
        <w:tc>
          <w:tcPr>
            <w:tcW w:w="1672" w:type="dxa"/>
            <w:tcBorders>
              <w:top w:val="single" w:color="auto" w:sz="4" w:space="0"/>
              <w:left w:val="nil"/>
              <w:bottom w:val="single" w:color="auto" w:sz="4" w:space="0"/>
              <w:right w:val="single" w:color="auto" w:sz="4" w:space="0"/>
            </w:tcBorders>
            <w:noWrap w:val="0"/>
            <w:vAlign w:val="center"/>
          </w:tcPr>
          <w:p w14:paraId="4B38F8BC">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投标预备会</w:t>
            </w:r>
          </w:p>
        </w:tc>
        <w:tc>
          <w:tcPr>
            <w:tcW w:w="7234" w:type="dxa"/>
            <w:tcBorders>
              <w:top w:val="single" w:color="auto" w:sz="4" w:space="0"/>
              <w:left w:val="nil"/>
              <w:bottom w:val="single" w:color="auto" w:sz="4" w:space="0"/>
              <w:right w:val="single" w:color="auto" w:sz="4" w:space="0"/>
            </w:tcBorders>
            <w:noWrap w:val="0"/>
            <w:vAlign w:val="center"/>
          </w:tcPr>
          <w:p w14:paraId="20A131C1">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不召开</w:t>
            </w:r>
          </w:p>
        </w:tc>
      </w:tr>
      <w:tr w14:paraId="1C9A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13F4CF9">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15</w:t>
            </w:r>
          </w:p>
        </w:tc>
        <w:tc>
          <w:tcPr>
            <w:tcW w:w="1672" w:type="dxa"/>
            <w:tcBorders>
              <w:top w:val="single" w:color="auto" w:sz="4" w:space="0"/>
              <w:left w:val="nil"/>
              <w:bottom w:val="single" w:color="auto" w:sz="4" w:space="0"/>
              <w:right w:val="single" w:color="auto" w:sz="4" w:space="0"/>
            </w:tcBorders>
            <w:noWrap w:val="0"/>
            <w:vAlign w:val="center"/>
          </w:tcPr>
          <w:p w14:paraId="6A06B0F6">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分包</w:t>
            </w:r>
          </w:p>
        </w:tc>
        <w:tc>
          <w:tcPr>
            <w:tcW w:w="7234" w:type="dxa"/>
            <w:tcBorders>
              <w:top w:val="single" w:color="auto" w:sz="4" w:space="0"/>
              <w:left w:val="nil"/>
              <w:bottom w:val="single" w:color="auto" w:sz="4" w:space="0"/>
              <w:right w:val="single" w:color="auto" w:sz="4" w:space="0"/>
            </w:tcBorders>
            <w:noWrap w:val="0"/>
            <w:vAlign w:val="center"/>
          </w:tcPr>
          <w:p w14:paraId="334676C9">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不允许</w:t>
            </w:r>
          </w:p>
        </w:tc>
      </w:tr>
      <w:tr w14:paraId="3E28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E060249">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16</w:t>
            </w:r>
          </w:p>
        </w:tc>
        <w:tc>
          <w:tcPr>
            <w:tcW w:w="1672" w:type="dxa"/>
            <w:tcBorders>
              <w:top w:val="single" w:color="auto" w:sz="4" w:space="0"/>
              <w:left w:val="nil"/>
              <w:bottom w:val="single" w:color="auto" w:sz="4" w:space="0"/>
              <w:right w:val="single" w:color="auto" w:sz="4" w:space="0"/>
            </w:tcBorders>
            <w:noWrap w:val="0"/>
            <w:vAlign w:val="center"/>
          </w:tcPr>
          <w:p w14:paraId="75D8DDFF">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偏离</w:t>
            </w:r>
          </w:p>
        </w:tc>
        <w:tc>
          <w:tcPr>
            <w:tcW w:w="7234" w:type="dxa"/>
            <w:tcBorders>
              <w:top w:val="single" w:color="auto" w:sz="4" w:space="0"/>
              <w:left w:val="nil"/>
              <w:bottom w:val="single" w:color="auto" w:sz="4" w:space="0"/>
              <w:right w:val="single" w:color="auto" w:sz="4" w:space="0"/>
            </w:tcBorders>
            <w:noWrap w:val="0"/>
            <w:vAlign w:val="center"/>
          </w:tcPr>
          <w:p w14:paraId="155FEFEC">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不允许负偏离</w:t>
            </w:r>
          </w:p>
        </w:tc>
      </w:tr>
      <w:tr w14:paraId="641B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7DCC7C0F">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17</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3405E06B">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lang w:val="en-US" w:eastAsia="en-US"/>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构成招标文件的其他资料</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24ED0543">
            <w:pPr>
              <w:widowControl/>
              <w:spacing w:before="0" w:beforeLines="0" w:beforeAutospacing="0" w:after="0" w:afterLines="0" w:afterAutospacing="0" w:line="400" w:lineRule="exact"/>
              <w:ind w:left="0" w:right="0"/>
              <w:jc w:val="both"/>
              <w:rPr>
                <w:rFonts w:hint="eastAsia" w:ascii="宋体" w:hAnsi="宋体" w:eastAsia="宋体" w:cs="宋体"/>
                <w:color w:val="000000" w:themeColor="text1"/>
                <w:kern w:val="2"/>
                <w:sz w:val="24"/>
                <w:szCs w:val="24"/>
                <w:lang w:val="en-US" w:eastAsia="en-US"/>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对招标文件所作的澄清（含答疑）、修改、补充</w:t>
            </w:r>
            <w:r>
              <w:rPr>
                <w:rFonts w:hint="eastAsia" w:ascii="宋体" w:hAnsi="宋体" w:eastAsia="宋体" w:cs="宋体"/>
                <w:color w:val="000000" w:themeColor="text1"/>
                <w:kern w:val="2"/>
                <w:sz w:val="24"/>
                <w:szCs w:val="24"/>
                <w:lang w:val="en-US" w:eastAsia="zh-CN"/>
                <w14:textFill>
                  <w14:solidFill>
                    <w14:schemeClr w14:val="tx1"/>
                  </w14:solidFill>
                </w14:textFill>
              </w:rPr>
              <w:t>等</w:t>
            </w:r>
            <w:r>
              <w:rPr>
                <w:rFonts w:hint="eastAsia" w:ascii="宋体" w:hAnsi="宋体" w:eastAsia="宋体" w:cs="宋体"/>
                <w:color w:val="000000" w:themeColor="text1"/>
                <w:kern w:val="2"/>
                <w:sz w:val="24"/>
                <w:szCs w:val="24"/>
                <w14:textFill>
                  <w14:solidFill>
                    <w14:schemeClr w14:val="tx1"/>
                  </w14:solidFill>
                </w14:textFill>
              </w:rPr>
              <w:t>构成招标文件的组成部分</w:t>
            </w:r>
          </w:p>
        </w:tc>
      </w:tr>
      <w:tr w14:paraId="51DC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609CC56">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18</w:t>
            </w:r>
          </w:p>
        </w:tc>
        <w:tc>
          <w:tcPr>
            <w:tcW w:w="1672" w:type="dxa"/>
            <w:tcBorders>
              <w:top w:val="single" w:color="auto" w:sz="4" w:space="0"/>
              <w:left w:val="nil"/>
              <w:bottom w:val="single" w:color="auto" w:sz="4" w:space="0"/>
              <w:right w:val="single" w:color="auto" w:sz="4" w:space="0"/>
            </w:tcBorders>
            <w:noWrap w:val="0"/>
            <w:vAlign w:val="center"/>
          </w:tcPr>
          <w:p w14:paraId="2E157B3B">
            <w:pPr>
              <w:widowControl/>
              <w:spacing w:line="360" w:lineRule="auto"/>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招标人对招标文件书面澄清的时间</w:t>
            </w:r>
          </w:p>
        </w:tc>
        <w:tc>
          <w:tcPr>
            <w:tcW w:w="7234" w:type="dxa"/>
            <w:tcBorders>
              <w:top w:val="single" w:color="auto" w:sz="4" w:space="0"/>
              <w:left w:val="nil"/>
              <w:bottom w:val="single" w:color="auto" w:sz="4" w:space="0"/>
              <w:right w:val="single" w:color="auto" w:sz="4" w:space="0"/>
            </w:tcBorders>
            <w:noWrap w:val="0"/>
            <w:vAlign w:val="center"/>
          </w:tcPr>
          <w:p w14:paraId="24AA6F7D">
            <w:pPr>
              <w:widowControl/>
              <w:spacing w:line="360" w:lineRule="auto"/>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递交</w:t>
            </w:r>
            <w:r>
              <w:rPr>
                <w:rFonts w:hint="eastAsia" w:ascii="宋体" w:hAnsi="宋体" w:eastAsia="宋体" w:cs="宋体"/>
                <w:color w:val="000000" w:themeColor="text1"/>
                <w:kern w:val="0"/>
                <w:sz w:val="24"/>
                <w:szCs w:val="24"/>
                <w:lang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文件截止之日15</w:t>
            </w:r>
            <w:r>
              <w:rPr>
                <w:rFonts w:hint="eastAsia" w:ascii="宋体" w:hAnsi="宋体" w:eastAsia="宋体" w:cs="宋体"/>
                <w:color w:val="000000" w:themeColor="text1"/>
                <w:kern w:val="0"/>
                <w:sz w:val="24"/>
                <w:szCs w:val="24"/>
                <w:lang w:eastAsia="zh-CN"/>
                <w14:textFill>
                  <w14:solidFill>
                    <w14:schemeClr w14:val="tx1"/>
                  </w14:solidFill>
                </w14:textFill>
              </w:rPr>
              <w:t>日</w:t>
            </w:r>
            <w:r>
              <w:rPr>
                <w:rFonts w:hint="eastAsia" w:ascii="宋体" w:hAnsi="宋体" w:eastAsia="宋体" w:cs="宋体"/>
                <w:color w:val="000000" w:themeColor="text1"/>
                <w:kern w:val="0"/>
                <w:sz w:val="24"/>
                <w:szCs w:val="24"/>
                <w14:textFill>
                  <w14:solidFill>
                    <w14:schemeClr w14:val="tx1"/>
                  </w14:solidFill>
                </w14:textFill>
              </w:rPr>
              <w:t>前</w:t>
            </w:r>
          </w:p>
        </w:tc>
      </w:tr>
      <w:tr w14:paraId="7FB1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14612C0">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19</w:t>
            </w:r>
          </w:p>
        </w:tc>
        <w:tc>
          <w:tcPr>
            <w:tcW w:w="1672" w:type="dxa"/>
            <w:tcBorders>
              <w:top w:val="single" w:color="auto" w:sz="4" w:space="0"/>
              <w:left w:val="nil"/>
              <w:bottom w:val="single" w:color="auto" w:sz="4" w:space="0"/>
              <w:right w:val="single" w:color="auto" w:sz="4" w:space="0"/>
            </w:tcBorders>
            <w:noWrap w:val="0"/>
            <w:vAlign w:val="center"/>
          </w:tcPr>
          <w:p w14:paraId="1C1D469D">
            <w:pPr>
              <w:widowControl/>
              <w:spacing w:line="360" w:lineRule="auto"/>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招标人对招标文件修改的时间</w:t>
            </w:r>
          </w:p>
        </w:tc>
        <w:tc>
          <w:tcPr>
            <w:tcW w:w="7234" w:type="dxa"/>
            <w:tcBorders>
              <w:top w:val="single" w:color="auto" w:sz="4" w:space="0"/>
              <w:left w:val="nil"/>
              <w:bottom w:val="single" w:color="auto" w:sz="4" w:space="0"/>
              <w:right w:val="single" w:color="auto" w:sz="4" w:space="0"/>
            </w:tcBorders>
            <w:noWrap w:val="0"/>
            <w:vAlign w:val="center"/>
          </w:tcPr>
          <w:p w14:paraId="64D5833B">
            <w:pPr>
              <w:widowControl/>
              <w:spacing w:after="200" w:afterLines="0" w:line="360" w:lineRule="auto"/>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递交</w:t>
            </w:r>
            <w:r>
              <w:rPr>
                <w:rFonts w:hint="eastAsia" w:ascii="宋体" w:hAnsi="宋体" w:eastAsia="宋体" w:cs="宋体"/>
                <w:color w:val="000000" w:themeColor="text1"/>
                <w:kern w:val="0"/>
                <w:sz w:val="24"/>
                <w:szCs w:val="24"/>
                <w:lang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文件截止之日15</w:t>
            </w:r>
            <w:r>
              <w:rPr>
                <w:rFonts w:hint="eastAsia" w:ascii="宋体" w:hAnsi="宋体" w:eastAsia="宋体" w:cs="宋体"/>
                <w:color w:val="000000" w:themeColor="text1"/>
                <w:kern w:val="0"/>
                <w:sz w:val="24"/>
                <w:szCs w:val="24"/>
                <w:lang w:eastAsia="zh-CN"/>
                <w14:textFill>
                  <w14:solidFill>
                    <w14:schemeClr w14:val="tx1"/>
                  </w14:solidFill>
                </w14:textFill>
              </w:rPr>
              <w:t>日</w:t>
            </w:r>
            <w:r>
              <w:rPr>
                <w:rFonts w:hint="eastAsia" w:ascii="宋体" w:hAnsi="宋体" w:eastAsia="宋体" w:cs="宋体"/>
                <w:color w:val="000000" w:themeColor="text1"/>
                <w:kern w:val="0"/>
                <w:sz w:val="24"/>
                <w:szCs w:val="24"/>
                <w14:textFill>
                  <w14:solidFill>
                    <w14:schemeClr w14:val="tx1"/>
                  </w14:solidFill>
                </w14:textFill>
              </w:rPr>
              <w:t>前</w:t>
            </w:r>
          </w:p>
        </w:tc>
      </w:tr>
      <w:tr w14:paraId="7106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6A3B8348">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20</w:t>
            </w:r>
          </w:p>
        </w:tc>
        <w:tc>
          <w:tcPr>
            <w:tcW w:w="1672" w:type="dxa"/>
            <w:tcBorders>
              <w:top w:val="single" w:color="auto" w:sz="4" w:space="0"/>
              <w:left w:val="nil"/>
              <w:bottom w:val="single" w:color="auto" w:sz="4" w:space="0"/>
              <w:right w:val="single" w:color="auto" w:sz="4" w:space="0"/>
            </w:tcBorders>
            <w:noWrap w:val="0"/>
            <w:vAlign w:val="center"/>
          </w:tcPr>
          <w:p w14:paraId="5D976E99">
            <w:pPr>
              <w:widowControl/>
              <w:spacing w:line="36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供应商对招标文件提出异议的截止时间</w:t>
            </w:r>
          </w:p>
        </w:tc>
        <w:tc>
          <w:tcPr>
            <w:tcW w:w="7234" w:type="dxa"/>
            <w:tcBorders>
              <w:top w:val="single" w:color="auto" w:sz="4" w:space="0"/>
              <w:left w:val="nil"/>
              <w:bottom w:val="single" w:color="auto" w:sz="4" w:space="0"/>
              <w:right w:val="single" w:color="auto" w:sz="4" w:space="0"/>
            </w:tcBorders>
            <w:noWrap w:val="0"/>
            <w:vAlign w:val="center"/>
          </w:tcPr>
          <w:p w14:paraId="3E918741">
            <w:pPr>
              <w:widowControl/>
              <w:spacing w:line="36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递交</w:t>
            </w:r>
            <w:r>
              <w:rPr>
                <w:rFonts w:hint="eastAsia" w:ascii="宋体" w:hAnsi="宋体" w:eastAsia="宋体" w:cs="宋体"/>
                <w:color w:val="000000" w:themeColor="text1"/>
                <w:kern w:val="0"/>
                <w:sz w:val="24"/>
                <w:szCs w:val="24"/>
                <w:lang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文件截止之日10日前</w:t>
            </w:r>
          </w:p>
        </w:tc>
      </w:tr>
      <w:tr w14:paraId="675F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B4BA433">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1</w:t>
            </w:r>
          </w:p>
        </w:tc>
        <w:tc>
          <w:tcPr>
            <w:tcW w:w="1672" w:type="dxa"/>
            <w:tcBorders>
              <w:top w:val="single" w:color="auto" w:sz="4" w:space="0"/>
              <w:left w:val="nil"/>
              <w:bottom w:val="single" w:color="auto" w:sz="4" w:space="0"/>
              <w:right w:val="single" w:color="auto" w:sz="4" w:space="0"/>
            </w:tcBorders>
            <w:noWrap w:val="0"/>
            <w:vAlign w:val="center"/>
          </w:tcPr>
          <w:p w14:paraId="5EE04002">
            <w:pPr>
              <w:widowControl/>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供应商确认收</w:t>
            </w:r>
          </w:p>
          <w:p w14:paraId="64CB28A4">
            <w:pPr>
              <w:widowControl/>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到招标文件澄清的时间</w:t>
            </w:r>
          </w:p>
        </w:tc>
        <w:tc>
          <w:tcPr>
            <w:tcW w:w="7234" w:type="dxa"/>
            <w:tcBorders>
              <w:top w:val="single" w:color="auto" w:sz="4" w:space="0"/>
              <w:left w:val="nil"/>
              <w:bottom w:val="single" w:color="auto" w:sz="4" w:space="0"/>
              <w:right w:val="single" w:color="auto" w:sz="4" w:space="0"/>
            </w:tcBorders>
            <w:noWrap w:val="0"/>
            <w:vAlign w:val="center"/>
          </w:tcPr>
          <w:p w14:paraId="09F20705">
            <w:pPr>
              <w:widowControl/>
              <w:spacing w:line="36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收到相应澄清文件后24小时内</w:t>
            </w:r>
          </w:p>
        </w:tc>
      </w:tr>
      <w:tr w14:paraId="2A6E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57FCDFF">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2</w:t>
            </w:r>
          </w:p>
        </w:tc>
        <w:tc>
          <w:tcPr>
            <w:tcW w:w="1672" w:type="dxa"/>
            <w:tcBorders>
              <w:top w:val="single" w:color="auto" w:sz="4" w:space="0"/>
              <w:left w:val="nil"/>
              <w:bottom w:val="single" w:color="auto" w:sz="4" w:space="0"/>
              <w:right w:val="single" w:color="auto" w:sz="4" w:space="0"/>
            </w:tcBorders>
            <w:noWrap w:val="0"/>
            <w:vAlign w:val="center"/>
          </w:tcPr>
          <w:p w14:paraId="3EA55D1A">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供应商确认收到招标文件修改</w:t>
            </w:r>
            <w:r>
              <w:rPr>
                <w:rFonts w:hint="eastAsia" w:ascii="宋体" w:hAnsi="宋体" w:eastAsia="宋体" w:cs="宋体"/>
                <w:color w:val="000000" w:themeColor="text1"/>
                <w:kern w:val="0"/>
                <w:sz w:val="24"/>
                <w:szCs w:val="24"/>
                <w14:textFill>
                  <w14:solidFill>
                    <w14:schemeClr w14:val="tx1"/>
                  </w14:solidFill>
                </w14:textFill>
              </w:rPr>
              <w:t>的时间</w:t>
            </w:r>
          </w:p>
        </w:tc>
        <w:tc>
          <w:tcPr>
            <w:tcW w:w="7234" w:type="dxa"/>
            <w:tcBorders>
              <w:top w:val="single" w:color="auto" w:sz="4" w:space="0"/>
              <w:left w:val="nil"/>
              <w:bottom w:val="single" w:color="auto" w:sz="4" w:space="0"/>
              <w:right w:val="single" w:color="auto" w:sz="4" w:space="0"/>
            </w:tcBorders>
            <w:noWrap w:val="0"/>
            <w:vAlign w:val="center"/>
          </w:tcPr>
          <w:p w14:paraId="49E47444">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收到相应修改文件后24小时内</w:t>
            </w:r>
          </w:p>
        </w:tc>
      </w:tr>
      <w:tr w14:paraId="78A9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6CDC5BC">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3</w:t>
            </w:r>
          </w:p>
        </w:tc>
        <w:tc>
          <w:tcPr>
            <w:tcW w:w="1672" w:type="dxa"/>
            <w:tcBorders>
              <w:top w:val="single" w:color="auto" w:sz="4" w:space="0"/>
              <w:left w:val="nil"/>
              <w:bottom w:val="single" w:color="auto" w:sz="4" w:space="0"/>
              <w:right w:val="single" w:color="auto" w:sz="4" w:space="0"/>
            </w:tcBorders>
            <w:noWrap w:val="0"/>
            <w:vAlign w:val="center"/>
          </w:tcPr>
          <w:p w14:paraId="54AF153E">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构成投标文件</w:t>
            </w:r>
          </w:p>
          <w:p w14:paraId="549A919E">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的其他资料</w:t>
            </w:r>
          </w:p>
        </w:tc>
        <w:tc>
          <w:tcPr>
            <w:tcW w:w="7234" w:type="dxa"/>
            <w:tcBorders>
              <w:top w:val="single" w:color="auto" w:sz="4" w:space="0"/>
              <w:left w:val="nil"/>
              <w:bottom w:val="single" w:color="auto" w:sz="4" w:space="0"/>
              <w:right w:val="single" w:color="auto" w:sz="4" w:space="0"/>
            </w:tcBorders>
            <w:noWrap w:val="0"/>
            <w:vAlign w:val="center"/>
          </w:tcPr>
          <w:p w14:paraId="00A9F408">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按招标文件要求</w:t>
            </w:r>
          </w:p>
        </w:tc>
      </w:tr>
      <w:tr w14:paraId="24A5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6A51E7DC">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4</w:t>
            </w:r>
          </w:p>
        </w:tc>
        <w:tc>
          <w:tcPr>
            <w:tcW w:w="1672" w:type="dxa"/>
            <w:tcBorders>
              <w:top w:val="single" w:color="auto" w:sz="4" w:space="0"/>
              <w:left w:val="nil"/>
              <w:bottom w:val="single" w:color="auto" w:sz="4" w:space="0"/>
              <w:right w:val="single" w:color="auto" w:sz="4" w:space="0"/>
            </w:tcBorders>
            <w:noWrap w:val="0"/>
            <w:vAlign w:val="center"/>
          </w:tcPr>
          <w:p w14:paraId="3B84E00A">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投标截止时间</w:t>
            </w:r>
          </w:p>
        </w:tc>
        <w:tc>
          <w:tcPr>
            <w:tcW w:w="7234" w:type="dxa"/>
            <w:tcBorders>
              <w:top w:val="single" w:color="auto" w:sz="4" w:space="0"/>
              <w:left w:val="nil"/>
              <w:bottom w:val="single" w:color="auto" w:sz="4" w:space="0"/>
              <w:right w:val="single" w:color="auto" w:sz="4" w:space="0"/>
            </w:tcBorders>
            <w:noWrap w:val="0"/>
            <w:vAlign w:val="center"/>
          </w:tcPr>
          <w:p w14:paraId="4563BA95">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具体详见</w:t>
            </w:r>
            <w:r>
              <w:rPr>
                <w:rFonts w:hint="eastAsia" w:ascii="宋体" w:hAnsi="宋体" w:eastAsia="宋体" w:cs="宋体"/>
                <w:color w:val="000000" w:themeColor="text1"/>
                <w:kern w:val="2"/>
                <w:sz w:val="24"/>
                <w:szCs w:val="24"/>
                <w:lang w:val="en-US" w:eastAsia="zh-CN"/>
                <w14:textFill>
                  <w14:solidFill>
                    <w14:schemeClr w14:val="tx1"/>
                  </w14:solidFill>
                </w14:textFill>
              </w:rPr>
              <w:t>招标</w:t>
            </w:r>
            <w:r>
              <w:rPr>
                <w:rFonts w:hint="eastAsia" w:ascii="宋体" w:hAnsi="宋体" w:eastAsia="宋体" w:cs="宋体"/>
                <w:color w:val="000000" w:themeColor="text1"/>
                <w:kern w:val="2"/>
                <w:sz w:val="24"/>
                <w:szCs w:val="24"/>
                <w14:textFill>
                  <w14:solidFill>
                    <w14:schemeClr w14:val="tx1"/>
                  </w14:solidFill>
                </w14:textFill>
              </w:rPr>
              <w:t>公告部分</w:t>
            </w:r>
          </w:p>
        </w:tc>
      </w:tr>
      <w:tr w14:paraId="0C6EE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970" w:type="dxa"/>
            <w:tcBorders>
              <w:top w:val="nil"/>
              <w:left w:val="single" w:color="auto" w:sz="4" w:space="0"/>
              <w:bottom w:val="single" w:color="auto" w:sz="4" w:space="0"/>
              <w:right w:val="single" w:color="auto" w:sz="4" w:space="0"/>
            </w:tcBorders>
            <w:noWrap w:val="0"/>
            <w:vAlign w:val="center"/>
          </w:tcPr>
          <w:p w14:paraId="5DC41A63">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5</w:t>
            </w:r>
          </w:p>
        </w:tc>
        <w:tc>
          <w:tcPr>
            <w:tcW w:w="1672" w:type="dxa"/>
            <w:tcBorders>
              <w:top w:val="nil"/>
              <w:left w:val="nil"/>
              <w:bottom w:val="single" w:color="auto" w:sz="4" w:space="0"/>
              <w:right w:val="single" w:color="auto" w:sz="4" w:space="0"/>
            </w:tcBorders>
            <w:noWrap w:val="0"/>
            <w:vAlign w:val="center"/>
          </w:tcPr>
          <w:p w14:paraId="1FE40F54">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投标有效期</w:t>
            </w:r>
          </w:p>
        </w:tc>
        <w:tc>
          <w:tcPr>
            <w:tcW w:w="7234" w:type="dxa"/>
            <w:tcBorders>
              <w:top w:val="nil"/>
              <w:left w:val="nil"/>
              <w:bottom w:val="single" w:color="auto" w:sz="4" w:space="0"/>
              <w:right w:val="single" w:color="auto" w:sz="4" w:space="0"/>
            </w:tcBorders>
            <w:noWrap w:val="0"/>
            <w:vAlign w:val="center"/>
          </w:tcPr>
          <w:p w14:paraId="63CF45EE">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投标截止之日起60日历天</w:t>
            </w:r>
          </w:p>
        </w:tc>
      </w:tr>
      <w:tr w14:paraId="294F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CAF2B91">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eastAsia="宋体" w:cs="宋体"/>
                <w:color w:val="000000" w:themeColor="text1"/>
                <w:kern w:val="2"/>
                <w:sz w:val="24"/>
                <w:szCs w:val="24"/>
                <w:lang w:val="en-US" w:eastAsia="zh-CN"/>
                <w14:textFill>
                  <w14:solidFill>
                    <w14:schemeClr w14:val="tx1"/>
                  </w14:solidFill>
                </w14:textFill>
              </w:rPr>
              <w:t>6</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48522BA">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投标保证金</w:t>
            </w:r>
          </w:p>
        </w:tc>
        <w:tc>
          <w:tcPr>
            <w:tcW w:w="7234" w:type="dxa"/>
            <w:tcBorders>
              <w:top w:val="single" w:color="auto" w:sz="4" w:space="0"/>
              <w:left w:val="single" w:color="auto" w:sz="4" w:space="0"/>
              <w:right w:val="single" w:color="auto" w:sz="4" w:space="0"/>
            </w:tcBorders>
            <w:noWrap w:val="0"/>
            <w:vAlign w:val="center"/>
          </w:tcPr>
          <w:p w14:paraId="2B3C2FD8">
            <w:pPr>
              <w:widowControl/>
              <w:spacing w:before="0" w:beforeLines="0" w:beforeAutospacing="0" w:afterAutospacing="0" w:line="360" w:lineRule="auto"/>
              <w:ind w:left="0" w:right="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按照《河南省财政厅关于优化政府采购营商环境有关问题的通知》（豫财购[2019]4号文）的要求</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本项目不再收取投标保证金</w:t>
            </w:r>
          </w:p>
        </w:tc>
      </w:tr>
      <w:tr w14:paraId="489C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AA92EAD">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27</w:t>
            </w:r>
          </w:p>
        </w:tc>
        <w:tc>
          <w:tcPr>
            <w:tcW w:w="1672" w:type="dxa"/>
            <w:tcBorders>
              <w:top w:val="single" w:color="auto" w:sz="4" w:space="0"/>
              <w:left w:val="nil"/>
              <w:bottom w:val="single" w:color="auto" w:sz="4" w:space="0"/>
              <w:right w:val="single" w:color="auto" w:sz="4" w:space="0"/>
            </w:tcBorders>
            <w:noWrap w:val="0"/>
            <w:vAlign w:val="center"/>
          </w:tcPr>
          <w:p w14:paraId="21C571E4">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近年完成的项目的业绩年份要求</w:t>
            </w:r>
          </w:p>
        </w:tc>
        <w:tc>
          <w:tcPr>
            <w:tcW w:w="7234" w:type="dxa"/>
            <w:tcBorders>
              <w:top w:val="single" w:color="auto" w:sz="4" w:space="0"/>
              <w:left w:val="nil"/>
              <w:bottom w:val="single" w:color="auto" w:sz="4" w:space="0"/>
              <w:right w:val="single" w:color="auto" w:sz="4" w:space="0"/>
            </w:tcBorders>
            <w:noWrap w:val="0"/>
            <w:vAlign w:val="center"/>
          </w:tcPr>
          <w:p w14:paraId="657F4DEB">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近三年（指2023</w:t>
            </w:r>
            <w:r>
              <w:rPr>
                <w:rFonts w:hint="eastAsia" w:ascii="宋体" w:hAnsi="宋体" w:eastAsia="宋体" w:cs="宋体"/>
                <w:color w:val="000000" w:themeColor="text1"/>
                <w:kern w:val="2"/>
                <w:sz w:val="24"/>
                <w:szCs w:val="24"/>
                <w14:textFill>
                  <w14:solidFill>
                    <w14:schemeClr w14:val="tx1"/>
                  </w14:solidFill>
                </w14:textFill>
              </w:rPr>
              <w:t>年01月01日以来完成类似项目</w:t>
            </w:r>
            <w:r>
              <w:rPr>
                <w:rFonts w:hint="eastAsia" w:ascii="宋体" w:hAnsi="宋体" w:eastAsia="宋体" w:cs="宋体"/>
                <w:color w:val="000000" w:themeColor="text1"/>
                <w:kern w:val="2"/>
                <w:sz w:val="24"/>
                <w:szCs w:val="24"/>
                <w:lang w:val="en-US" w:eastAsia="zh-CN"/>
                <w14:textFill>
                  <w14:solidFill>
                    <w14:schemeClr w14:val="tx1"/>
                  </w14:solidFill>
                </w14:textFill>
              </w:rPr>
              <w:t>）</w:t>
            </w:r>
          </w:p>
        </w:tc>
      </w:tr>
      <w:tr w14:paraId="45CB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A8885F8">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28</w:t>
            </w:r>
          </w:p>
        </w:tc>
        <w:tc>
          <w:tcPr>
            <w:tcW w:w="1672" w:type="dxa"/>
            <w:tcBorders>
              <w:top w:val="single" w:color="auto" w:sz="4" w:space="0"/>
              <w:left w:val="nil"/>
              <w:bottom w:val="single" w:color="auto" w:sz="4" w:space="0"/>
              <w:right w:val="single" w:color="auto" w:sz="4" w:space="0"/>
            </w:tcBorders>
            <w:noWrap w:val="0"/>
            <w:vAlign w:val="center"/>
          </w:tcPr>
          <w:p w14:paraId="35587BF1">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是否允许递交备选投标方案</w:t>
            </w:r>
          </w:p>
        </w:tc>
        <w:tc>
          <w:tcPr>
            <w:tcW w:w="7234" w:type="dxa"/>
            <w:tcBorders>
              <w:top w:val="single" w:color="auto" w:sz="4" w:space="0"/>
              <w:left w:val="nil"/>
              <w:bottom w:val="single" w:color="auto" w:sz="4" w:space="0"/>
              <w:right w:val="single" w:color="auto" w:sz="4" w:space="0"/>
            </w:tcBorders>
            <w:noWrap w:val="0"/>
            <w:vAlign w:val="center"/>
          </w:tcPr>
          <w:p w14:paraId="6E5E478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不允许</w:t>
            </w:r>
          </w:p>
        </w:tc>
      </w:tr>
      <w:tr w14:paraId="4E42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E420F5A">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29</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1D7EF387">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履约保证金</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7FC6F814">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不收取</w:t>
            </w:r>
          </w:p>
        </w:tc>
      </w:tr>
      <w:tr w14:paraId="4B25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4877D51">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30</w:t>
            </w:r>
          </w:p>
        </w:tc>
        <w:tc>
          <w:tcPr>
            <w:tcW w:w="1672" w:type="dxa"/>
            <w:tcBorders>
              <w:top w:val="single" w:color="auto" w:sz="4" w:space="0"/>
              <w:left w:val="nil"/>
              <w:bottom w:val="single" w:color="auto" w:sz="4" w:space="0"/>
              <w:right w:val="single" w:color="auto" w:sz="4" w:space="0"/>
            </w:tcBorders>
            <w:noWrap w:val="0"/>
            <w:vAlign w:val="center"/>
          </w:tcPr>
          <w:p w14:paraId="0E1B4A3E">
            <w:pPr>
              <w:widowControl/>
              <w:spacing w:line="400" w:lineRule="exact"/>
              <w:ind w:left="0" w:leftChars="0" w:right="0" w:right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w:t>
            </w:r>
            <w:r>
              <w:rPr>
                <w:rFonts w:hint="eastAsia" w:ascii="宋体" w:hAnsi="宋体" w:cs="宋体"/>
                <w:color w:val="000000" w:themeColor="text1"/>
                <w:sz w:val="24"/>
                <w:szCs w:val="24"/>
                <w14:textFill>
                  <w14:solidFill>
                    <w14:schemeClr w14:val="tx1"/>
                  </w14:solidFill>
                </w14:textFill>
              </w:rPr>
              <w:t>标文件的签章要求</w:t>
            </w:r>
          </w:p>
        </w:tc>
        <w:tc>
          <w:tcPr>
            <w:tcW w:w="7234" w:type="dxa"/>
            <w:tcBorders>
              <w:top w:val="single" w:color="auto" w:sz="4" w:space="0"/>
              <w:left w:val="nil"/>
              <w:bottom w:val="single" w:color="auto" w:sz="4" w:space="0"/>
              <w:right w:val="single" w:color="auto" w:sz="4" w:space="0"/>
            </w:tcBorders>
            <w:noWrap w:val="0"/>
            <w:vAlign w:val="center"/>
          </w:tcPr>
          <w:p w14:paraId="06E72E84">
            <w:pPr>
              <w:widowControl/>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电子化投标文件的签章：</w:t>
            </w:r>
          </w:p>
          <w:p w14:paraId="0398176B">
            <w:pPr>
              <w:widowControl/>
              <w:spacing w:line="400" w:lineRule="exact"/>
              <w:ind w:right="-68" w:rightChars="-31"/>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1、供应商在生成电子化投标文件后，应对电子化投标文件进行签章，未对电子化投标文件进行签章的视为无效文件。</w:t>
            </w:r>
          </w:p>
          <w:p w14:paraId="2ECE66CF">
            <w:pPr>
              <w:widowControl/>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2、招标文件中要求法定代表人或</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cs="宋体"/>
                <w:color w:val="000000" w:themeColor="text1"/>
                <w:sz w:val="24"/>
                <w:szCs w:val="24"/>
                <w14:textFill>
                  <w14:solidFill>
                    <w14:schemeClr w14:val="tx1"/>
                  </w14:solidFill>
                </w14:textFill>
              </w:rPr>
              <w:t>委托</w:t>
            </w:r>
            <w:r>
              <w:rPr>
                <w:rFonts w:hint="eastAsia" w:ascii="宋体" w:hAnsi="宋体" w:eastAsia="宋体" w:cs="宋体"/>
                <w:color w:val="000000" w:themeColor="text1"/>
                <w:sz w:val="24"/>
                <w:szCs w:val="24"/>
                <w:lang w:val="en-US" w:eastAsia="zh-CN"/>
                <w14:textFill>
                  <w14:solidFill>
                    <w14:schemeClr w14:val="tx1"/>
                  </w14:solidFill>
                </w14:textFill>
              </w:rPr>
              <w:t>代理</w:t>
            </w:r>
            <w:r>
              <w:rPr>
                <w:rFonts w:hint="eastAsia" w:ascii="宋体" w:hAnsi="宋体" w:cs="宋体"/>
                <w:color w:val="000000" w:themeColor="text1"/>
                <w:sz w:val="24"/>
                <w:szCs w:val="24"/>
                <w14:textFill>
                  <w14:solidFill>
                    <w14:schemeClr w14:val="tx1"/>
                  </w14:solidFill>
                </w14:textFill>
              </w:rPr>
              <w:t>人盖章的，供应商在进行电子化投标文件签章时，以签盖法定代表人签章为准。</w:t>
            </w:r>
          </w:p>
          <w:p w14:paraId="6466D8D9">
            <w:pPr>
              <w:widowControl/>
              <w:wordWrap w:val="0"/>
              <w:spacing w:line="400" w:lineRule="exact"/>
              <w:ind w:left="0" w:leftChars="0" w:right="0"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3、电子化投标文件工具请点击</w:t>
            </w:r>
            <w:r>
              <w:rPr>
                <w:rFonts w:ascii="宋体" w:hAnsi="宋体" w:cs="宋体"/>
                <w:color w:val="000000" w:themeColor="text1"/>
                <w:sz w:val="24"/>
                <w:szCs w:val="24"/>
                <w14:textFill>
                  <w14:solidFill>
                    <w14:schemeClr w14:val="tx1"/>
                  </w14:solidFill>
                </w14:textFill>
              </w:rPr>
              <w:t>https://download.bqpoint.com/download/downloadlist.html?SoftTypeCode=06</w:t>
            </w:r>
            <w:r>
              <w:rPr>
                <w:rFonts w:hint="eastAsia" w:ascii="宋体" w:hAnsi="宋体" w:cs="宋体"/>
                <w:color w:val="000000" w:themeColor="text1"/>
                <w:sz w:val="24"/>
                <w:szCs w:val="24"/>
                <w14:textFill>
                  <w14:solidFill>
                    <w14:schemeClr w14:val="tx1"/>
                  </w14:solidFill>
                </w14:textFill>
              </w:rPr>
              <w:t>进行下载。</w:t>
            </w:r>
          </w:p>
        </w:tc>
      </w:tr>
      <w:tr w14:paraId="0B2E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FA62F48">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r>
              <w:rPr>
                <w:rFonts w:hint="eastAsia" w:ascii="宋体" w:hAnsi="宋体" w:eastAsia="宋体" w:cs="宋体"/>
                <w:color w:val="000000" w:themeColor="text1"/>
                <w:kern w:val="2"/>
                <w:sz w:val="24"/>
                <w:szCs w:val="24"/>
                <w:lang w:val="en-US" w:eastAsia="zh-CN"/>
                <w14:textFill>
                  <w14:solidFill>
                    <w14:schemeClr w14:val="tx1"/>
                  </w14:solidFill>
                </w14:textFill>
              </w:rPr>
              <w:t>1</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35F9DCA">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投标文件上传</w:t>
            </w:r>
          </w:p>
        </w:tc>
        <w:tc>
          <w:tcPr>
            <w:tcW w:w="7234" w:type="dxa"/>
            <w:tcBorders>
              <w:top w:val="single" w:color="auto" w:sz="4" w:space="0"/>
              <w:left w:val="single" w:color="auto" w:sz="4" w:space="0"/>
              <w:bottom w:val="single" w:color="auto" w:sz="4" w:space="0"/>
              <w:right w:val="single" w:color="auto" w:sz="4" w:space="0"/>
            </w:tcBorders>
            <w:noWrap w:val="0"/>
            <w:vAlign w:val="center"/>
          </w:tcPr>
          <w:p w14:paraId="0FAAFC35">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用CA在三门峡市公共资源电子化交易系统上传电子投标文件；</w:t>
            </w:r>
          </w:p>
          <w:p w14:paraId="75DBDE3C">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本项目为电子化、无纸化交易项目，开标时不再递交纸质投标文件</w:t>
            </w:r>
            <w:r>
              <w:rPr>
                <w:rFonts w:hint="eastAsia" w:ascii="宋体" w:hAnsi="宋体" w:eastAsia="宋体" w:cs="宋体"/>
                <w:color w:val="000000" w:themeColor="text1"/>
                <w:kern w:val="2"/>
                <w:sz w:val="24"/>
                <w:szCs w:val="24"/>
                <w:lang w:eastAsia="zh-CN"/>
                <w14:textFill>
                  <w14:solidFill>
                    <w14:schemeClr w14:val="tx1"/>
                  </w14:solidFill>
                </w14:textFill>
              </w:rPr>
              <w:t>。</w:t>
            </w:r>
          </w:p>
        </w:tc>
      </w:tr>
      <w:tr w14:paraId="12A3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30C20E1">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32</w:t>
            </w:r>
          </w:p>
        </w:tc>
        <w:tc>
          <w:tcPr>
            <w:tcW w:w="16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5C753">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开标时间和</w:t>
            </w:r>
          </w:p>
          <w:p w14:paraId="43F8D3A8">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地点</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2A7985F0">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具体详见</w:t>
            </w:r>
            <w:r>
              <w:rPr>
                <w:rFonts w:hint="eastAsia" w:ascii="宋体" w:hAnsi="宋体" w:eastAsia="宋体" w:cs="宋体"/>
                <w:color w:val="000000" w:themeColor="text1"/>
                <w:kern w:val="2"/>
                <w:sz w:val="24"/>
                <w:szCs w:val="24"/>
                <w:lang w:val="en-US" w:eastAsia="zh-CN"/>
                <w14:textFill>
                  <w14:solidFill>
                    <w14:schemeClr w14:val="tx1"/>
                  </w14:solidFill>
                </w14:textFill>
              </w:rPr>
              <w:t>招标</w:t>
            </w:r>
            <w:r>
              <w:rPr>
                <w:rFonts w:hint="eastAsia" w:ascii="宋体" w:hAnsi="宋体" w:eastAsia="宋体" w:cs="宋体"/>
                <w:color w:val="000000" w:themeColor="text1"/>
                <w:kern w:val="2"/>
                <w:sz w:val="24"/>
                <w:szCs w:val="24"/>
                <w14:textFill>
                  <w14:solidFill>
                    <w14:schemeClr w14:val="tx1"/>
                  </w14:solidFill>
                </w14:textFill>
              </w:rPr>
              <w:t>公告部分</w:t>
            </w:r>
          </w:p>
        </w:tc>
      </w:tr>
      <w:tr w14:paraId="3C4A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6EA55C0E">
            <w:pPr>
              <w:widowControl/>
              <w:spacing w:before="0" w:beforeLines="0" w:beforeAutospacing="0" w:afterAutospacing="0" w:line="360" w:lineRule="auto"/>
              <w:ind w:left="0" w:right="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r>
              <w:rPr>
                <w:rFonts w:hint="eastAsia" w:ascii="宋体" w:hAnsi="宋体" w:eastAsia="宋体" w:cs="宋体"/>
                <w:color w:val="000000" w:themeColor="text1"/>
                <w:kern w:val="2"/>
                <w:sz w:val="24"/>
                <w:szCs w:val="24"/>
                <w:lang w:val="en-US" w:eastAsia="zh-CN"/>
                <w14:textFill>
                  <w14:solidFill>
                    <w14:schemeClr w14:val="tx1"/>
                  </w14:solidFill>
                </w14:textFill>
              </w:rPr>
              <w:t>3</w:t>
            </w:r>
          </w:p>
        </w:tc>
        <w:tc>
          <w:tcPr>
            <w:tcW w:w="1672" w:type="dxa"/>
            <w:tcBorders>
              <w:top w:val="single" w:color="auto" w:sz="4" w:space="0"/>
              <w:left w:val="nil"/>
              <w:bottom w:val="single" w:color="auto" w:sz="4" w:space="0"/>
              <w:right w:val="single" w:color="auto" w:sz="4" w:space="0"/>
            </w:tcBorders>
            <w:noWrap w:val="0"/>
            <w:vAlign w:val="center"/>
          </w:tcPr>
          <w:p w14:paraId="48039922">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投标文件是否退还</w:t>
            </w:r>
          </w:p>
        </w:tc>
        <w:tc>
          <w:tcPr>
            <w:tcW w:w="7234" w:type="dxa"/>
            <w:tcBorders>
              <w:top w:val="single" w:color="auto" w:sz="4" w:space="0"/>
              <w:left w:val="nil"/>
              <w:bottom w:val="single" w:color="auto" w:sz="4" w:space="0"/>
              <w:right w:val="single" w:color="auto" w:sz="4" w:space="0"/>
            </w:tcBorders>
            <w:noWrap w:val="0"/>
            <w:vAlign w:val="center"/>
          </w:tcPr>
          <w:p w14:paraId="303035EF">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否</w:t>
            </w:r>
          </w:p>
        </w:tc>
      </w:tr>
      <w:tr w14:paraId="7D3B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4C4ADD4">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34</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04A424DE">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投标报价</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0B51D71C">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）投标供应商对每种货物项目只允许有一个报价，采购人和招标代理机构不接受有任何选择报价的投标。（注：本项目不允许提交备选方案）；</w:t>
            </w:r>
          </w:p>
          <w:p w14:paraId="0EC9E375">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14:textFill>
                  <w14:solidFill>
                    <w14:schemeClr w14:val="tx1"/>
                  </w14:solidFill>
                </w14:textFill>
              </w:rPr>
              <w:t>）投标供应商不得以任何理由在开标后对投标报价予以修改，报价在投标有效期内是固定的，不因任何原因而改变。任何包含价格调整要求和条件的投标，将被视为非实质性响应投标而予以拒绝；</w:t>
            </w:r>
          </w:p>
        </w:tc>
      </w:tr>
      <w:tr w14:paraId="27EC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9D0B97D">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35</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74338C1E">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其他事项</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5D9FF299">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电子化投标文件应在投标截止时间前成功上传至三门峡市公共资源电子化交易系统。至投标截止时间止，仍未上传成功的电子化投标文件，将不予接受；</w:t>
            </w:r>
          </w:p>
          <w:p w14:paraId="30457B20">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、中标方领取通知书时，须提供与上传电子版内容一致的纸质版投标文件</w:t>
            </w:r>
            <w:r>
              <w:rPr>
                <w:rFonts w:hint="eastAsia" w:ascii="宋体" w:hAnsi="宋体" w:eastAsia="宋体" w:cs="宋体"/>
                <w:color w:val="000000" w:themeColor="text1"/>
                <w:kern w:val="2"/>
                <w:sz w:val="24"/>
                <w:szCs w:val="24"/>
                <w:lang w:val="en-US" w:eastAsia="zh-CN"/>
                <w14:textFill>
                  <w14:solidFill>
                    <w14:schemeClr w14:val="tx1"/>
                  </w14:solidFill>
                </w14:textFill>
              </w:rPr>
              <w:t>两</w:t>
            </w:r>
            <w:r>
              <w:rPr>
                <w:rFonts w:hint="eastAsia" w:ascii="宋体" w:hAnsi="宋体" w:eastAsia="宋体" w:cs="宋体"/>
                <w:color w:val="000000" w:themeColor="text1"/>
                <w:kern w:val="2"/>
                <w:sz w:val="24"/>
                <w:szCs w:val="24"/>
                <w:lang w:eastAsia="zh-CN"/>
                <w14:textFill>
                  <w14:solidFill>
                    <w14:schemeClr w14:val="tx1"/>
                  </w14:solidFill>
                </w14:textFill>
              </w:rPr>
              <w:t>份，不得采用活页夹形式</w:t>
            </w:r>
          </w:p>
        </w:tc>
      </w:tr>
      <w:tr w14:paraId="3805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3FAA828">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36</w:t>
            </w:r>
          </w:p>
        </w:tc>
        <w:tc>
          <w:tcPr>
            <w:tcW w:w="1672" w:type="dxa"/>
            <w:tcBorders>
              <w:top w:val="single" w:color="auto" w:sz="4" w:space="0"/>
              <w:left w:val="nil"/>
              <w:bottom w:val="single" w:color="auto" w:sz="4" w:space="0"/>
              <w:right w:val="single" w:color="auto" w:sz="4" w:space="0"/>
            </w:tcBorders>
            <w:noWrap w:val="0"/>
            <w:vAlign w:val="center"/>
          </w:tcPr>
          <w:p w14:paraId="5783033A">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评标委员会的组建</w:t>
            </w:r>
          </w:p>
        </w:tc>
        <w:tc>
          <w:tcPr>
            <w:tcW w:w="7234" w:type="dxa"/>
            <w:tcBorders>
              <w:top w:val="single" w:color="auto" w:sz="4" w:space="0"/>
              <w:left w:val="nil"/>
              <w:bottom w:val="single" w:color="auto" w:sz="4" w:space="0"/>
              <w:right w:val="single" w:color="auto" w:sz="4" w:space="0"/>
            </w:tcBorders>
            <w:noWrap w:val="0"/>
            <w:vAlign w:val="center"/>
          </w:tcPr>
          <w:p w14:paraId="19DB8BE9">
            <w:pPr>
              <w:widowControl/>
              <w:spacing w:before="0" w:beforeLines="0" w:beforeAutospacing="0" w:after="0" w:afterLines="0" w:afterAutospacing="0" w:line="400" w:lineRule="exact"/>
              <w:ind w:left="0" w:right="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评标委员会</w:t>
            </w:r>
            <w:r>
              <w:rPr>
                <w:rFonts w:hint="eastAsia" w:ascii="宋体" w:hAnsi="宋体" w:eastAsia="宋体" w:cs="宋体"/>
                <w:color w:val="000000" w:themeColor="text1"/>
                <w:kern w:val="0"/>
                <w:sz w:val="24"/>
                <w:szCs w:val="24"/>
                <w:lang w:val="en-US" w:eastAsia="zh-CN"/>
                <w14:textFill>
                  <w14:solidFill>
                    <w14:schemeClr w14:val="tx1"/>
                  </w14:solidFill>
                </w14:textFill>
              </w:rPr>
              <w:t>成员为5</w:t>
            </w:r>
            <w:r>
              <w:rPr>
                <w:rFonts w:hint="eastAsia" w:ascii="宋体" w:hAnsi="宋体" w:eastAsia="宋体" w:cs="宋体"/>
                <w:color w:val="000000" w:themeColor="text1"/>
                <w:kern w:val="0"/>
                <w:sz w:val="24"/>
                <w:szCs w:val="24"/>
                <w14:textFill>
                  <w14:solidFill>
                    <w14:schemeClr w14:val="tx1"/>
                  </w14:solidFill>
                </w14:textFill>
              </w:rPr>
              <w:t>人，</w:t>
            </w:r>
            <w:r>
              <w:rPr>
                <w:rFonts w:hint="eastAsia" w:ascii="宋体" w:hAnsi="宋体" w:eastAsia="宋体" w:cs="宋体"/>
                <w:color w:val="000000" w:themeColor="text1"/>
                <w:kern w:val="2"/>
                <w:sz w:val="24"/>
                <w:szCs w:val="24"/>
                <w14:textFill>
                  <w14:solidFill>
                    <w14:schemeClr w14:val="tx1"/>
                  </w14:solidFill>
                </w14:textFill>
              </w:rPr>
              <w:t>其中采购人代表</w:t>
            </w: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人，其余相关经济、技术</w:t>
            </w:r>
            <w:r>
              <w:rPr>
                <w:rFonts w:hint="eastAsia" w:ascii="宋体" w:hAnsi="宋体" w:eastAsia="宋体" w:cs="宋体"/>
                <w:color w:val="000000" w:themeColor="text1"/>
                <w:sz w:val="24"/>
                <w:szCs w:val="24"/>
                <w:highlight w:val="none"/>
                <w:lang w:eastAsia="zh-CN"/>
                <w14:textFill>
                  <w14:solidFill>
                    <w14:schemeClr w14:val="tx1"/>
                  </w14:solidFill>
                </w14:textFill>
              </w:rPr>
              <w:t>等方面的专家</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14:textFill>
                  <w14:solidFill>
                    <w14:schemeClr w14:val="tx1"/>
                  </w14:solidFill>
                </w14:textFill>
              </w:rPr>
              <w:t>人</w:t>
            </w:r>
            <w:r>
              <w:rPr>
                <w:rFonts w:hint="eastAsia" w:ascii="宋体" w:hAnsi="宋体" w:eastAsia="宋体" w:cs="宋体"/>
                <w:color w:val="000000" w:themeColor="text1"/>
                <w:kern w:val="2"/>
                <w:sz w:val="24"/>
                <w:szCs w:val="24"/>
                <w:lang w:val="en-US" w:eastAsia="zh-CN"/>
                <w14:textFill>
                  <w14:solidFill>
                    <w14:schemeClr w14:val="tx1"/>
                  </w14:solidFill>
                </w14:textFill>
              </w:rPr>
              <w:t>从相关专家库中</w:t>
            </w:r>
            <w:r>
              <w:rPr>
                <w:rFonts w:hint="eastAsia" w:ascii="宋体" w:hAnsi="宋体" w:eastAsia="宋体" w:cs="宋体"/>
                <w:color w:val="000000" w:themeColor="text1"/>
                <w:kern w:val="2"/>
                <w:sz w:val="24"/>
                <w:szCs w:val="24"/>
                <w14:textFill>
                  <w14:solidFill>
                    <w14:schemeClr w14:val="tx1"/>
                  </w14:solidFill>
                </w14:textFill>
              </w:rPr>
              <w:t>随机抽取</w:t>
            </w:r>
          </w:p>
        </w:tc>
      </w:tr>
      <w:tr w14:paraId="527C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793CF3AC">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37</w:t>
            </w:r>
          </w:p>
        </w:tc>
        <w:tc>
          <w:tcPr>
            <w:tcW w:w="1672" w:type="dxa"/>
            <w:tcBorders>
              <w:top w:val="single" w:color="auto" w:sz="4" w:space="0"/>
              <w:left w:val="nil"/>
              <w:bottom w:val="single" w:color="auto" w:sz="4" w:space="0"/>
              <w:right w:val="single" w:color="auto" w:sz="4" w:space="0"/>
            </w:tcBorders>
            <w:noWrap w:val="0"/>
            <w:vAlign w:val="center"/>
          </w:tcPr>
          <w:p w14:paraId="46998062">
            <w:pPr>
              <w:widowControl/>
              <w:spacing w:before="0" w:beforeLines="0" w:beforeAutospacing="0" w:after="0" w:afterLines="0" w:afterAutospacing="0" w:line="400" w:lineRule="exact"/>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是否授权评标</w:t>
            </w:r>
          </w:p>
          <w:p w14:paraId="1AE8261D">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委员会确定中标人</w:t>
            </w:r>
          </w:p>
        </w:tc>
        <w:tc>
          <w:tcPr>
            <w:tcW w:w="7234" w:type="dxa"/>
            <w:tcBorders>
              <w:top w:val="single" w:color="auto" w:sz="4" w:space="0"/>
              <w:left w:val="nil"/>
              <w:bottom w:val="single" w:color="auto" w:sz="4" w:space="0"/>
              <w:right w:val="single" w:color="auto" w:sz="4" w:space="0"/>
            </w:tcBorders>
            <w:noWrap w:val="0"/>
            <w:vAlign w:val="center"/>
          </w:tcPr>
          <w:p w14:paraId="6671F0D0">
            <w:pPr>
              <w:widowControl/>
              <w:spacing w:before="0" w:beforeLines="0" w:beforeAutospacing="0" w:after="0" w:afterLines="0" w:afterAutospacing="0" w:line="400" w:lineRule="exact"/>
              <w:ind w:left="0" w:leftChars="0" w:right="0" w:rightChars="0"/>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否，评标委员会依据评审办法按顺序推</w:t>
            </w:r>
            <w:r>
              <w:rPr>
                <w:rFonts w:hint="eastAsia" w:ascii="宋体" w:hAnsi="宋体" w:eastAsia="宋体" w:cs="宋体"/>
                <w:color w:val="000000" w:themeColor="text1"/>
                <w:sz w:val="24"/>
                <w:szCs w:val="24"/>
                <w:highlight w:val="none"/>
                <w14:textFill>
                  <w14:solidFill>
                    <w14:schemeClr w14:val="tx1"/>
                  </w14:solidFill>
                </w14:textFill>
              </w:rPr>
              <w:t>荐</w:t>
            </w:r>
            <w:r>
              <w:rPr>
                <w:rFonts w:hint="eastAsia" w:ascii="宋体" w:hAnsi="宋体" w:eastAsia="宋体" w:cs="宋体"/>
                <w:color w:val="000000" w:themeColor="text1"/>
                <w:kern w:val="2"/>
                <w:sz w:val="24"/>
                <w:szCs w:val="24"/>
                <w14:textFill>
                  <w14:solidFill>
                    <w14:schemeClr w14:val="tx1"/>
                  </w14:solidFill>
                </w14:textFill>
              </w:rPr>
              <w:t>三名中标候选人</w:t>
            </w:r>
          </w:p>
        </w:tc>
      </w:tr>
      <w:tr w14:paraId="7BD0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10D378B3">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38</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6876A76C">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中标候选人履约能力审查</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0CBDE602">
            <w:pPr>
              <w:widowControl/>
              <w:spacing w:before="0" w:beforeLines="0" w:beforeAutospacing="0" w:after="0" w:afterLines="0" w:afterAutospacing="0" w:line="400" w:lineRule="exact"/>
              <w:ind w:left="0" w:leftChars="0" w:right="0" w:righ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w:t>
            </w:r>
            <w:r>
              <w:rPr>
                <w:rFonts w:hint="eastAsia" w:ascii="宋体" w:hAnsi="宋体" w:eastAsia="宋体" w:cs="宋体"/>
                <w:color w:val="000000" w:themeColor="text1"/>
                <w:kern w:val="2"/>
                <w:sz w:val="24"/>
                <w:szCs w:val="24"/>
                <w14:textFill>
                  <w14:solidFill>
                    <w14:schemeClr w14:val="tx1"/>
                  </w14:solidFill>
                </w14:textFill>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p>
        </w:tc>
      </w:tr>
      <w:tr w14:paraId="1B77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2BCA4F3F">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39</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5674A451">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采购标的所属行业</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4F176A5A">
            <w:pPr>
              <w:widowControl/>
              <w:spacing w:before="0" w:beforeLines="0" w:beforeAutospacing="0" w:after="0" w:afterLines="0" w:afterAutospacing="0" w:line="400" w:lineRule="exact"/>
              <w:ind w:left="0" w:right="0"/>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采购标的所属行业：</w:t>
            </w:r>
            <w:r>
              <w:rPr>
                <w:rFonts w:hint="eastAsia" w:ascii="宋体" w:hAnsi="宋体" w:cs="宋体"/>
                <w:sz w:val="24"/>
              </w:rPr>
              <w:t>农、林、牧、渔业</w:t>
            </w:r>
          </w:p>
          <w:p w14:paraId="73CA1220">
            <w:pPr>
              <w:widowControl/>
              <w:spacing w:before="0" w:beforeLines="0" w:beforeAutospacing="0" w:after="0" w:afterLines="0" w:afterAutospacing="0" w:line="400" w:lineRule="exact"/>
              <w:ind w:left="0" w:leftChars="0" w:right="0" w:rightChars="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164E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A376EC2">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40</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4699E1D7">
            <w:pPr>
              <w:widowControl/>
              <w:spacing w:before="0" w:beforeLines="0" w:beforeAutospacing="0" w:afterAutospacing="0"/>
              <w:ind w:left="0" w:leftChars="0" w:right="0" w:rightChars="0"/>
              <w:jc w:val="center"/>
              <w:rPr>
                <w:rFonts w:hint="eastAsia" w:ascii="宋体" w:hAnsi="宋体" w:eastAsia="宋体" w:cs="宋体"/>
                <w:color w:val="FF0000"/>
                <w:kern w:val="2"/>
                <w:sz w:val="24"/>
                <w:szCs w:val="24"/>
                <w:lang w:val="en-US" w:eastAsia="zh-CN"/>
              </w:rPr>
            </w:pPr>
            <w:r>
              <w:rPr>
                <w:rFonts w:hint="eastAsia" w:ascii="宋体" w:hAnsi="宋体" w:eastAsia="宋体" w:cs="宋体"/>
                <w:color w:val="000000" w:themeColor="text1"/>
                <w:kern w:val="2"/>
                <w:sz w:val="24"/>
                <w:szCs w:val="24"/>
                <w14:textFill>
                  <w14:solidFill>
                    <w14:schemeClr w14:val="tx1"/>
                  </w14:solidFill>
                </w14:textFill>
              </w:rPr>
              <w:t>监  督</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5DE6C3EB">
            <w:pPr>
              <w:widowControl/>
              <w:spacing w:before="0" w:beforeLines="0" w:beforeAutospacing="0" w:after="0" w:afterLines="0" w:afterAutospacing="0" w:line="400" w:lineRule="exact"/>
              <w:ind w:left="0" w:leftChars="0" w:right="0" w:rightChars="0"/>
              <w:jc w:val="both"/>
              <w:rPr>
                <w:rFonts w:hint="eastAsia" w:ascii="宋体" w:hAnsi="宋体" w:eastAsia="宋体" w:cs="宋体"/>
                <w:color w:val="FF0000"/>
                <w:kern w:val="2"/>
                <w:sz w:val="24"/>
                <w:szCs w:val="24"/>
                <w:lang w:val="en-US" w:eastAsia="zh-CN"/>
              </w:rPr>
            </w:pPr>
            <w:r>
              <w:rPr>
                <w:rFonts w:hint="eastAsia" w:ascii="宋体" w:hAnsi="宋体" w:eastAsia="宋体" w:cs="宋体"/>
                <w:color w:val="000000" w:themeColor="text1"/>
                <w:kern w:val="2"/>
                <w:sz w:val="24"/>
                <w:szCs w:val="24"/>
                <w14:textFill>
                  <w14:solidFill>
                    <w14:schemeClr w14:val="tx1"/>
                  </w14:solidFill>
                </w14:textFill>
              </w:rPr>
              <w:t>本项目的采购活动及其相关当事人应当接受有管辖权的相关部门依法实施的监督</w:t>
            </w:r>
          </w:p>
        </w:tc>
      </w:tr>
      <w:tr w14:paraId="5E80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441E167">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41</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2609B05F">
            <w:pPr>
              <w:keepNext w:val="0"/>
              <w:keepLines w:val="0"/>
              <w:pageBreakBefore w:val="0"/>
              <w:kinsoku/>
              <w:wordWrap w:val="0"/>
              <w:overflowPunct/>
              <w:topLinePunct w:val="0"/>
              <w:bidi w:val="0"/>
              <w:adjustRightInd w:val="0"/>
              <w:spacing w:line="480" w:lineRule="exact"/>
              <w:jc w:val="center"/>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相同品牌产品的处理</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53B0C9E0">
            <w:pPr>
              <w:widowControl/>
              <w:spacing w:before="0" w:beforeLines="0" w:beforeAutospacing="0" w:after="0" w:afterLines="0" w:afterAutospacing="0" w:line="400" w:lineRule="exact"/>
              <w:ind w:left="0" w:right="0"/>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14:textFill>
                  <w14:solidFill>
                    <w14:schemeClr w14:val="tx1"/>
                  </w14:solidFill>
                </w14:textFill>
              </w:rPr>
              <w:t>提供相同品牌产品且通过资格性审查、形式响应性审查的不同供应商，按一家供应商计算，评审后得分最高的同品牌供应商获得中标供应商推荐资格；评审得分相同的，最后报价最低的供应商获得成交供应商推荐资格，最后报价也相同的，由评标委员会投票决定。</w:t>
            </w:r>
          </w:p>
        </w:tc>
      </w:tr>
      <w:tr w14:paraId="66A2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1E22F6C1">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42</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0D475228">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重新招标的其他情形</w:t>
            </w:r>
            <w:r>
              <w:rPr>
                <w:rFonts w:hint="eastAsia" w:ascii="宋体" w:hAnsi="宋体" w:eastAsia="宋体" w:cs="宋体"/>
                <w:color w:val="000000" w:themeColor="text1"/>
                <w:kern w:val="2"/>
                <w:sz w:val="24"/>
                <w:szCs w:val="24"/>
                <w:lang w:val="en-US" w:eastAsia="zh-CN"/>
                <w14:textFill>
                  <w14:solidFill>
                    <w14:schemeClr w14:val="tx1"/>
                  </w14:solidFill>
                </w14:textFill>
              </w:rPr>
              <w:tab/>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614D3479">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有下列情形之一的，招标人将重新招标：</w:t>
            </w:r>
          </w:p>
          <w:p w14:paraId="2063103A">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（1）不符合法律、法规和招标文件中规定的其他实质性要求的；</w:t>
            </w:r>
          </w:p>
          <w:p w14:paraId="7C1FE19F">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（2）其他法律、法规及本招标文件规定的属响应无效的情形，终止采购活动的条款；</w:t>
            </w:r>
          </w:p>
          <w:p w14:paraId="5AA5D211">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（3）因情况变化，不再符合规定的采购方式适用情形的；出现影响采购公正的违法、违规行为的；</w:t>
            </w:r>
          </w:p>
          <w:p w14:paraId="41B5EA9D">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（4）投标截止时间结束后参加供应商不足3家的，应重新组织采购，评审期间符合专业条件的供应商或者对招标文件作出实质响应的供应商不足3家的，应重新组织采购。</w:t>
            </w:r>
          </w:p>
        </w:tc>
      </w:tr>
      <w:tr w14:paraId="63C7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9711F1D">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43</w:t>
            </w:r>
          </w:p>
        </w:tc>
        <w:tc>
          <w:tcPr>
            <w:tcW w:w="1672" w:type="dxa"/>
            <w:tcBorders>
              <w:top w:val="single" w:color="auto" w:sz="4" w:space="0"/>
              <w:left w:val="nil"/>
              <w:bottom w:val="single" w:color="auto" w:sz="4" w:space="0"/>
              <w:right w:val="single" w:color="auto" w:sz="4" w:space="0"/>
            </w:tcBorders>
            <w:noWrap w:val="0"/>
            <w:vAlign w:val="center"/>
          </w:tcPr>
          <w:p w14:paraId="76F601BC">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中标结果公告发布媒介</w:t>
            </w:r>
          </w:p>
        </w:tc>
        <w:tc>
          <w:tcPr>
            <w:tcW w:w="7234" w:type="dxa"/>
            <w:tcBorders>
              <w:top w:val="single" w:color="auto" w:sz="4" w:space="0"/>
              <w:left w:val="nil"/>
              <w:bottom w:val="single" w:color="auto" w:sz="4" w:space="0"/>
              <w:right w:val="single" w:color="auto" w:sz="4" w:space="0"/>
            </w:tcBorders>
            <w:noWrap w:val="0"/>
            <w:vAlign w:val="center"/>
          </w:tcPr>
          <w:p w14:paraId="4F3EDB19">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在</w:t>
            </w:r>
            <w:r>
              <w:rPr>
                <w:rFonts w:hint="eastAsia" w:ascii="宋体" w:hAnsi="宋体" w:eastAsia="宋体" w:cs="宋体"/>
                <w:color w:val="000000" w:themeColor="text1"/>
                <w:kern w:val="2"/>
                <w:sz w:val="24"/>
                <w:szCs w:val="24"/>
                <w:lang w:val="en-US" w:eastAsia="zh-CN"/>
                <w14:textFill>
                  <w14:solidFill>
                    <w14:schemeClr w14:val="tx1"/>
                  </w14:solidFill>
                </w14:textFill>
              </w:rPr>
              <w:t>《三门峡市公共资源交易中心网》、《中国招标投标公共服务平台》、《河南省政府采购网》上发布</w:t>
            </w:r>
          </w:p>
        </w:tc>
      </w:tr>
      <w:tr w14:paraId="3DDE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E7F357F">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44</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4B6A48B1">
            <w:pPr>
              <w:widowControl/>
              <w:spacing w:before="0" w:beforeLines="0" w:beforeAutospacing="0" w:afterAutospacing="0" w:line="400" w:lineRule="auto"/>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代理服务费</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590B1AF6">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仿宋"/>
                <w:kern w:val="2"/>
                <w:sz w:val="24"/>
                <w:szCs w:val="24"/>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kern w:val="2"/>
                <w:sz w:val="24"/>
                <w:szCs w:val="24"/>
              </w:rPr>
              <w:t xml:space="preserve">，领取中标通知书时一次性支付 </w:t>
            </w:r>
          </w:p>
        </w:tc>
      </w:tr>
      <w:tr w14:paraId="5E48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F3EBEB6">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45</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77B5AB02">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付款方式</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3BE22E2B">
            <w:pPr>
              <w:widowControl/>
              <w:spacing w:before="0" w:beforeLines="0" w:beforeAutospacing="0" w:after="0" w:afterLines="0" w:afterAutospacing="0" w:line="400" w:lineRule="exact"/>
              <w:ind w:left="0" w:leftChars="0" w:right="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按民法典相关规定，以实际供货情况节点支付（最终以合同为准）</w:t>
            </w:r>
          </w:p>
        </w:tc>
      </w:tr>
      <w:tr w14:paraId="0B4A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0D8E5E7D">
            <w:pPr>
              <w:widowControl/>
              <w:spacing w:before="0" w:beforeLines="0" w:beforeAutospacing="0" w:afterAutospacing="0" w:line="360" w:lineRule="auto"/>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46</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1EF0733B">
            <w:pPr>
              <w:ind w:left="0" w:leftChars="0" w:right="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合同签订时间</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44FAA9BC">
            <w:pPr>
              <w:widowControl w:val="0"/>
              <w:snapToGrid w:val="0"/>
              <w:spacing w:line="400" w:lineRule="exact"/>
              <w:jc w:val="both"/>
              <w:rPr>
                <w:rFonts w:hint="eastAsia" w:ascii="宋体" w:hAnsi="宋体" w:eastAsia="宋体" w:cs="宋体"/>
                <w:color w:val="000000" w:themeColor="text1"/>
                <w:sz w:val="24"/>
                <w:szCs w:val="24"/>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中标人应自中标通知书发出之日起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个工作日内按照中标通知书和投标文件内容及要求签订合同</w:t>
            </w:r>
          </w:p>
        </w:tc>
      </w:tr>
      <w:tr w14:paraId="538D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34515AE">
            <w:pPr>
              <w:widowControl/>
              <w:spacing w:before="0" w:beforeLines="0" w:beforeAutospacing="0" w:afterAutospacing="0"/>
              <w:ind w:left="0" w:right="0"/>
              <w:jc w:val="center"/>
              <w:textAlignment w:val="baseline"/>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47</w:t>
            </w:r>
          </w:p>
        </w:tc>
        <w:tc>
          <w:tcPr>
            <w:tcW w:w="1672" w:type="dxa"/>
            <w:tcBorders>
              <w:top w:val="single" w:color="auto" w:sz="4" w:space="0"/>
              <w:left w:val="nil"/>
              <w:bottom w:val="single" w:color="auto" w:sz="4" w:space="0"/>
              <w:right w:val="single" w:color="auto" w:sz="4" w:space="0"/>
            </w:tcBorders>
            <w:shd w:val="clear" w:color="auto" w:fill="auto"/>
            <w:noWrap w:val="0"/>
            <w:vAlign w:val="center"/>
          </w:tcPr>
          <w:p w14:paraId="51A9F918">
            <w:pPr>
              <w:widowControl/>
              <w:spacing w:before="0" w:beforeLines="0" w:beforeAutospacing="0" w:after="0" w:afterLines="0" w:afterAutospacing="0" w:line="400" w:lineRule="exact"/>
              <w:ind w:left="0" w:leftChars="0" w:right="0"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采购</w:t>
            </w:r>
            <w:r>
              <w:rPr>
                <w:rFonts w:hint="eastAsia" w:ascii="宋体" w:hAnsi="宋体" w:eastAsia="宋体" w:cs="宋体"/>
                <w:color w:val="000000" w:themeColor="text1"/>
                <w:kern w:val="2"/>
                <w:sz w:val="24"/>
                <w:szCs w:val="24"/>
                <w14:textFill>
                  <w14:solidFill>
                    <w14:schemeClr w14:val="tx1"/>
                  </w14:solidFill>
                </w14:textFill>
              </w:rPr>
              <w:t>人需要补充的其他内容</w:t>
            </w:r>
          </w:p>
        </w:tc>
        <w:tc>
          <w:tcPr>
            <w:tcW w:w="7234" w:type="dxa"/>
            <w:tcBorders>
              <w:top w:val="single" w:color="auto" w:sz="4" w:space="0"/>
              <w:left w:val="nil"/>
              <w:bottom w:val="single" w:color="auto" w:sz="4" w:space="0"/>
              <w:right w:val="single" w:color="auto" w:sz="4" w:space="0"/>
            </w:tcBorders>
            <w:shd w:val="clear" w:color="auto" w:fill="auto"/>
            <w:noWrap w:val="0"/>
            <w:vAlign w:val="center"/>
          </w:tcPr>
          <w:p w14:paraId="39FDD87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投标人所投的</w:t>
            </w:r>
            <w:r>
              <w:rPr>
                <w:rFonts w:hint="eastAsia" w:ascii="宋体" w:hAnsi="宋体" w:eastAsia="宋体" w:cs="宋体"/>
                <w:color w:val="000000" w:themeColor="text1"/>
                <w:kern w:val="2"/>
                <w:sz w:val="24"/>
                <w:szCs w:val="24"/>
                <w:lang w:val="en-US" w:eastAsia="zh-CN"/>
                <w14:textFill>
                  <w14:solidFill>
                    <w14:schemeClr w14:val="tx1"/>
                  </w14:solidFill>
                </w14:textFill>
              </w:rPr>
              <w:t>产品</w:t>
            </w:r>
            <w:r>
              <w:rPr>
                <w:rFonts w:hint="eastAsia" w:ascii="宋体" w:hAnsi="宋体" w:eastAsia="宋体" w:cs="宋体"/>
                <w:color w:val="000000" w:themeColor="text1"/>
                <w:kern w:val="2"/>
                <w:sz w:val="24"/>
                <w:szCs w:val="24"/>
                <w14:textFill>
                  <w14:solidFill>
                    <w14:schemeClr w14:val="tx1"/>
                  </w14:solidFill>
                </w14:textFill>
              </w:rPr>
              <w:t>必须符合国家</w:t>
            </w:r>
            <w:r>
              <w:rPr>
                <w:rFonts w:hint="eastAsia" w:ascii="宋体" w:hAnsi="宋体" w:eastAsia="宋体" w:cs="宋体"/>
                <w:color w:val="000000" w:themeColor="text1"/>
                <w:kern w:val="2"/>
                <w:sz w:val="24"/>
                <w:szCs w:val="24"/>
                <w:lang w:val="en-US" w:eastAsia="zh-CN"/>
                <w14:textFill>
                  <w14:solidFill>
                    <w14:schemeClr w14:val="tx1"/>
                  </w14:solidFill>
                </w14:textFill>
              </w:rPr>
              <w:t>及</w:t>
            </w:r>
            <w:r>
              <w:rPr>
                <w:rFonts w:hint="eastAsia" w:ascii="宋体" w:hAnsi="宋体" w:eastAsia="宋体" w:cs="宋体"/>
                <w:color w:val="000000" w:themeColor="text1"/>
                <w:kern w:val="2"/>
                <w:sz w:val="24"/>
                <w:szCs w:val="24"/>
                <w14:textFill>
                  <w14:solidFill>
                    <w14:schemeClr w14:val="tx1"/>
                  </w14:solidFill>
                </w14:textFill>
              </w:rPr>
              <w:t>行业标准，并达到技术标准要求，满足项目需要且所有部件均应为全新的合格产品。</w:t>
            </w:r>
          </w:p>
          <w:p w14:paraId="78A2F997">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2、采购</w:t>
            </w:r>
            <w:r>
              <w:rPr>
                <w:rFonts w:hint="eastAsia" w:ascii="宋体" w:hAnsi="宋体" w:eastAsia="宋体" w:cs="宋体"/>
                <w:color w:val="000000" w:themeColor="text1"/>
                <w:kern w:val="2"/>
                <w:sz w:val="24"/>
                <w:szCs w:val="24"/>
                <w14:textFill>
                  <w14:solidFill>
                    <w14:schemeClr w14:val="tx1"/>
                  </w14:solidFill>
                </w14:textFill>
              </w:rPr>
              <w:t>人有权对中标人的</w:t>
            </w:r>
            <w:r>
              <w:rPr>
                <w:rFonts w:hint="eastAsia" w:ascii="宋体" w:hAnsi="宋体" w:eastAsia="宋体" w:cs="宋体"/>
                <w:color w:val="000000" w:themeColor="text1"/>
                <w:kern w:val="2"/>
                <w:sz w:val="24"/>
                <w:szCs w:val="24"/>
                <w:lang w:val="en-US" w:eastAsia="zh-CN"/>
                <w14:textFill>
                  <w14:solidFill>
                    <w14:schemeClr w14:val="tx1"/>
                  </w14:solidFill>
                </w14:textFill>
              </w:rPr>
              <w:t>供货</w:t>
            </w:r>
            <w:r>
              <w:rPr>
                <w:rFonts w:hint="eastAsia" w:ascii="宋体" w:hAnsi="宋体" w:eastAsia="宋体" w:cs="宋体"/>
                <w:color w:val="000000" w:themeColor="text1"/>
                <w:kern w:val="2"/>
                <w:sz w:val="24"/>
                <w:szCs w:val="24"/>
                <w14:textFill>
                  <w14:solidFill>
                    <w14:schemeClr w14:val="tx1"/>
                  </w14:solidFill>
                </w14:textFill>
              </w:rPr>
              <w:t>过程进行监督。</w:t>
            </w:r>
          </w:p>
          <w:p w14:paraId="2B2E9395">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投标人须提供有关投标货物</w:t>
            </w:r>
            <w:r>
              <w:rPr>
                <w:rFonts w:hint="eastAsia" w:ascii="宋体" w:hAnsi="宋体" w:eastAsia="宋体" w:cs="宋体"/>
                <w:color w:val="000000" w:themeColor="text1"/>
                <w:kern w:val="2"/>
                <w:sz w:val="24"/>
                <w:szCs w:val="24"/>
                <w:lang w:val="en-US" w:eastAsia="zh-CN"/>
                <w14:textFill>
                  <w14:solidFill>
                    <w14:schemeClr w14:val="tx1"/>
                  </w14:solidFill>
                </w14:textFill>
              </w:rPr>
              <w:t>技术参数</w:t>
            </w:r>
            <w:r>
              <w:rPr>
                <w:rFonts w:hint="eastAsia" w:ascii="宋体" w:hAnsi="宋体" w:eastAsia="宋体" w:cs="宋体"/>
                <w:color w:val="000000" w:themeColor="text1"/>
                <w:kern w:val="2"/>
                <w:sz w:val="24"/>
                <w:szCs w:val="24"/>
                <w14:textFill>
                  <w14:solidFill>
                    <w14:schemeClr w14:val="tx1"/>
                  </w14:solidFill>
                </w14:textFill>
              </w:rPr>
              <w:t>符合招标文件要求的证明</w:t>
            </w:r>
            <w:r>
              <w:rPr>
                <w:rFonts w:hint="eastAsia" w:ascii="宋体" w:hAnsi="宋体" w:eastAsia="宋体" w:cs="宋体"/>
                <w:color w:val="000000" w:themeColor="text1"/>
                <w:kern w:val="2"/>
                <w:sz w:val="24"/>
                <w:szCs w:val="24"/>
                <w:lang w:val="en-US" w:eastAsia="zh-CN"/>
                <w14:textFill>
                  <w14:solidFill>
                    <w14:schemeClr w14:val="tx1"/>
                  </w14:solidFill>
                </w14:textFill>
              </w:rPr>
              <w:t>材料</w:t>
            </w:r>
            <w:r>
              <w:rPr>
                <w:rFonts w:hint="eastAsia" w:ascii="宋体" w:hAnsi="宋体" w:eastAsia="宋体" w:cs="宋体"/>
                <w:color w:val="000000" w:themeColor="text1"/>
                <w:kern w:val="2"/>
                <w:sz w:val="24"/>
                <w:szCs w:val="24"/>
                <w14:textFill>
                  <w14:solidFill>
                    <w14:schemeClr w14:val="tx1"/>
                  </w14:solidFill>
                </w14:textFill>
              </w:rPr>
              <w:t>，投标货</w:t>
            </w:r>
            <w:r>
              <w:rPr>
                <w:rFonts w:hint="eastAsia" w:ascii="宋体" w:hAnsi="宋体" w:eastAsia="宋体" w:cs="宋体"/>
                <w:color w:val="000000" w:themeColor="text1"/>
                <w:kern w:val="2"/>
                <w:sz w:val="24"/>
                <w:szCs w:val="24"/>
                <w:highlight w:val="none"/>
                <w14:textFill>
                  <w14:solidFill>
                    <w14:schemeClr w14:val="tx1"/>
                  </w14:solidFill>
                </w14:textFill>
              </w:rPr>
              <w:t>物</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技术参数及要求</w:t>
            </w:r>
            <w:r>
              <w:rPr>
                <w:rFonts w:hint="eastAsia" w:ascii="宋体" w:hAnsi="宋体" w:eastAsia="宋体" w:cs="宋体"/>
                <w:color w:val="000000" w:themeColor="text1"/>
                <w:kern w:val="2"/>
                <w:sz w:val="24"/>
                <w:szCs w:val="24"/>
                <w14:textFill>
                  <w14:solidFill>
                    <w14:schemeClr w14:val="tx1"/>
                  </w14:solidFill>
                </w14:textFill>
              </w:rPr>
              <w:t>详见“第</w:t>
            </w:r>
            <w:r>
              <w:rPr>
                <w:rFonts w:hint="eastAsia" w:ascii="宋体" w:hAnsi="宋体" w:eastAsia="宋体" w:cs="宋体"/>
                <w:color w:val="000000" w:themeColor="text1"/>
                <w:kern w:val="2"/>
                <w:sz w:val="24"/>
                <w:szCs w:val="24"/>
                <w:lang w:eastAsia="zh-CN"/>
                <w14:textFill>
                  <w14:solidFill>
                    <w14:schemeClr w14:val="tx1"/>
                  </w14:solidFill>
                </w14:textFill>
              </w:rPr>
              <w:t>三</w:t>
            </w:r>
            <w:r>
              <w:rPr>
                <w:rFonts w:hint="eastAsia" w:ascii="宋体" w:hAnsi="宋体" w:eastAsia="宋体" w:cs="宋体"/>
                <w:color w:val="000000" w:themeColor="text1"/>
                <w:kern w:val="2"/>
                <w:sz w:val="24"/>
                <w:szCs w:val="24"/>
                <w14:textFill>
                  <w14:solidFill>
                    <w14:schemeClr w14:val="tx1"/>
                  </w14:solidFill>
                </w14:textFill>
              </w:rPr>
              <w:t xml:space="preserve">章 </w:t>
            </w:r>
            <w:r>
              <w:rPr>
                <w:rFonts w:hint="eastAsia" w:ascii="宋体" w:hAnsi="宋体" w:eastAsia="宋体" w:cs="宋体"/>
                <w:color w:val="000000" w:themeColor="text1"/>
                <w:kern w:val="2"/>
                <w:sz w:val="24"/>
                <w:szCs w:val="24"/>
                <w:lang w:eastAsia="zh-CN"/>
                <w14:textFill>
                  <w14:solidFill>
                    <w14:schemeClr w14:val="tx1"/>
                  </w14:solidFill>
                </w14:textFill>
              </w:rPr>
              <w:t>采购</w:t>
            </w:r>
            <w:r>
              <w:rPr>
                <w:rFonts w:hint="eastAsia" w:ascii="宋体" w:hAnsi="宋体" w:eastAsia="宋体" w:cs="宋体"/>
                <w:color w:val="000000" w:themeColor="text1"/>
                <w:kern w:val="2"/>
                <w:sz w:val="24"/>
                <w:szCs w:val="24"/>
                <w:lang w:val="en-US" w:eastAsia="zh-CN"/>
                <w14:textFill>
                  <w14:solidFill>
                    <w14:schemeClr w14:val="tx1"/>
                  </w14:solidFill>
                </w14:textFill>
              </w:rPr>
              <w:t>需求</w:t>
            </w:r>
            <w:r>
              <w:rPr>
                <w:rFonts w:hint="eastAsia" w:ascii="宋体" w:hAnsi="宋体" w:eastAsia="宋体" w:cs="宋体"/>
                <w:color w:val="000000" w:themeColor="text1"/>
                <w:kern w:val="2"/>
                <w:sz w:val="24"/>
                <w:szCs w:val="24"/>
                <w14:textFill>
                  <w14:solidFill>
                    <w14:schemeClr w14:val="tx1"/>
                  </w14:solidFill>
                </w14:textFill>
              </w:rPr>
              <w:t>”。</w:t>
            </w:r>
          </w:p>
          <w:p w14:paraId="36E7542D">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14:textFill>
                  <w14:solidFill>
                    <w14:schemeClr w14:val="tx1"/>
                  </w14:solidFill>
                </w14:textFill>
              </w:rPr>
              <w:t>中标人对合同义务全面全责；对本项目供货范围内的采购、</w:t>
            </w:r>
            <w:r>
              <w:rPr>
                <w:rFonts w:hint="eastAsia" w:ascii="宋体" w:hAnsi="宋体" w:eastAsia="宋体" w:cs="宋体"/>
                <w:color w:val="000000" w:themeColor="text1"/>
                <w:kern w:val="2"/>
                <w:sz w:val="24"/>
                <w:szCs w:val="24"/>
                <w:lang w:val="en-US" w:eastAsia="zh-CN"/>
                <w14:textFill>
                  <w14:solidFill>
                    <w14:schemeClr w14:val="tx1"/>
                  </w14:solidFill>
                </w14:textFill>
              </w:rPr>
              <w:t>运输</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包装</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装卸</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检测等</w:t>
            </w:r>
            <w:r>
              <w:rPr>
                <w:rFonts w:hint="eastAsia" w:ascii="宋体" w:hAnsi="宋体" w:eastAsia="宋体" w:cs="宋体"/>
                <w:color w:val="000000" w:themeColor="text1"/>
                <w:kern w:val="2"/>
                <w:sz w:val="24"/>
                <w:szCs w:val="24"/>
                <w14:textFill>
                  <w14:solidFill>
                    <w14:schemeClr w14:val="tx1"/>
                  </w14:solidFill>
                </w14:textFill>
              </w:rPr>
              <w:t>与货物有关的其他伴随服务等全面负责。</w:t>
            </w:r>
          </w:p>
        </w:tc>
      </w:tr>
      <w:tr w14:paraId="1B47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3B98845C">
            <w:pPr>
              <w:widowControl/>
              <w:spacing w:before="0" w:beforeLines="0" w:beforeAutospacing="0" w:afterAutospacing="0"/>
              <w:ind w:left="0" w:right="0"/>
              <w:jc w:val="center"/>
              <w:textAlignment w:val="baseline"/>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48</w:t>
            </w:r>
          </w:p>
        </w:tc>
        <w:tc>
          <w:tcPr>
            <w:tcW w:w="1672" w:type="dxa"/>
            <w:tcBorders>
              <w:top w:val="single" w:color="auto" w:sz="4" w:space="0"/>
              <w:left w:val="nil"/>
              <w:bottom w:val="single" w:color="auto" w:sz="4" w:space="0"/>
              <w:right w:val="single" w:color="auto" w:sz="4" w:space="0"/>
            </w:tcBorders>
            <w:noWrap w:val="0"/>
            <w:vAlign w:val="center"/>
          </w:tcPr>
          <w:p w14:paraId="223575E5">
            <w:pPr>
              <w:widowControl/>
              <w:spacing w:before="0" w:beforeLines="0" w:beforeAutospacing="0" w:afterAutospacing="0"/>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知识产权</w:t>
            </w:r>
          </w:p>
        </w:tc>
        <w:tc>
          <w:tcPr>
            <w:tcW w:w="7234" w:type="dxa"/>
            <w:tcBorders>
              <w:top w:val="single" w:color="auto" w:sz="4" w:space="0"/>
              <w:left w:val="nil"/>
              <w:bottom w:val="single" w:color="auto" w:sz="4" w:space="0"/>
              <w:right w:val="single" w:color="auto" w:sz="4" w:space="0"/>
            </w:tcBorders>
            <w:noWrap w:val="0"/>
            <w:vAlign w:val="center"/>
          </w:tcPr>
          <w:p w14:paraId="545D473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构成本招标文件各个组成部分的文件，未经采购人书面同意，</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不得擅自复印和用于非本招标项目所需的其他目的。采购人全部或者部分使用未中标人投标文件中的技术成果或技术方案时，需征得其书面同意，并不得擅自复印或提供给第三人。</w:t>
            </w:r>
          </w:p>
        </w:tc>
      </w:tr>
      <w:tr w14:paraId="0431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7C6719D">
            <w:pPr>
              <w:widowControl/>
              <w:spacing w:before="0" w:beforeLines="0" w:beforeAutospacing="0" w:afterAutospacing="0"/>
              <w:ind w:left="0" w:right="0"/>
              <w:jc w:val="center"/>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49</w:t>
            </w:r>
          </w:p>
        </w:tc>
        <w:tc>
          <w:tcPr>
            <w:tcW w:w="1672" w:type="dxa"/>
            <w:tcBorders>
              <w:top w:val="single" w:color="auto" w:sz="4" w:space="0"/>
              <w:left w:val="nil"/>
              <w:bottom w:val="single" w:color="auto" w:sz="4" w:space="0"/>
              <w:right w:val="single" w:color="auto" w:sz="4" w:space="0"/>
            </w:tcBorders>
            <w:noWrap w:val="0"/>
            <w:vAlign w:val="center"/>
          </w:tcPr>
          <w:p w14:paraId="5AD66EB8">
            <w:pPr>
              <w:widowControl/>
              <w:spacing w:before="0" w:beforeLines="0" w:beforeAutospacing="0" w:afterAutospacing="0"/>
              <w:ind w:left="0" w:right="0"/>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解释权</w:t>
            </w:r>
          </w:p>
        </w:tc>
        <w:tc>
          <w:tcPr>
            <w:tcW w:w="7234" w:type="dxa"/>
            <w:tcBorders>
              <w:top w:val="single" w:color="auto" w:sz="4" w:space="0"/>
              <w:left w:val="nil"/>
              <w:bottom w:val="single" w:color="auto" w:sz="4" w:space="0"/>
              <w:right w:val="single" w:color="auto" w:sz="4" w:space="0"/>
            </w:tcBorders>
            <w:noWrap w:val="0"/>
            <w:vAlign w:val="center"/>
          </w:tcPr>
          <w:p w14:paraId="2E6474D6">
            <w:pPr>
              <w:widowControl/>
              <w:spacing w:before="0" w:beforeLines="0" w:beforeAutospacing="0" w:after="0" w:afterLines="0" w:afterAutospacing="0" w:line="400" w:lineRule="exact"/>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D9A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5D4251AB">
            <w:pPr>
              <w:keepNext w:val="0"/>
              <w:keepLines w:val="0"/>
              <w:pageBreakBefore w:val="0"/>
              <w:widowControl w:val="0"/>
              <w:kinsoku/>
              <w:wordWrap w:val="0"/>
              <w:overflowPunct/>
              <w:topLinePunct w:val="0"/>
              <w:autoSpaceDE/>
              <w:autoSpaceDN/>
              <w:bidi w:val="0"/>
              <w:adjustRightInd/>
              <w:snapToGrid/>
              <w:spacing w:before="0" w:beforeLines="0" w:beforeAutospacing="0" w:afterAutospacing="0"/>
              <w:ind w:left="0" w:right="0"/>
              <w:jc w:val="center"/>
              <w:textAlignment w:val="auto"/>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50</w:t>
            </w:r>
          </w:p>
        </w:tc>
        <w:tc>
          <w:tcPr>
            <w:tcW w:w="1672" w:type="dxa"/>
            <w:tcBorders>
              <w:top w:val="single" w:color="auto" w:sz="4" w:space="0"/>
              <w:left w:val="nil"/>
              <w:bottom w:val="single" w:color="auto" w:sz="4" w:space="0"/>
              <w:right w:val="single" w:color="auto" w:sz="4" w:space="0"/>
            </w:tcBorders>
            <w:noWrap w:val="0"/>
            <w:vAlign w:val="center"/>
          </w:tcPr>
          <w:p w14:paraId="5DD5D604">
            <w:pPr>
              <w:keepNext w:val="0"/>
              <w:keepLines w:val="0"/>
              <w:pageBreakBefore w:val="0"/>
              <w:widowControl w:val="0"/>
              <w:kinsoku/>
              <w:wordWrap w:val="0"/>
              <w:overflowPunct/>
              <w:topLinePunct w:val="0"/>
              <w:autoSpaceDE/>
              <w:autoSpaceDN/>
              <w:bidi w:val="0"/>
              <w:adjustRightInd/>
              <w:snapToGrid/>
              <w:spacing w:before="0" w:beforeLines="0" w:beforeAutospacing="0" w:afterAutospacing="0" w:line="400" w:lineRule="auto"/>
              <w:ind w:left="0" w:right="0"/>
              <w:jc w:val="center"/>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电子化交易注意事项</w:t>
            </w:r>
          </w:p>
        </w:tc>
        <w:tc>
          <w:tcPr>
            <w:tcW w:w="7234" w:type="dxa"/>
            <w:tcBorders>
              <w:top w:val="single" w:color="auto" w:sz="4" w:space="0"/>
              <w:left w:val="nil"/>
              <w:bottom w:val="single" w:color="auto" w:sz="4" w:space="0"/>
              <w:right w:val="single" w:color="auto" w:sz="4" w:space="0"/>
            </w:tcBorders>
            <w:noWrap w:val="0"/>
            <w:vAlign w:val="center"/>
          </w:tcPr>
          <w:p w14:paraId="7C31771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本项目为电子化、无纸化交易项目，投标文件是</w:t>
            </w:r>
            <w:r>
              <w:rPr>
                <w:rFonts w:hint="eastAsia" w:ascii="宋体" w:hAnsi="宋体" w:eastAsia="宋体" w:cs="宋体"/>
                <w:color w:val="000000" w:themeColor="text1"/>
                <w:kern w:val="2"/>
                <w:sz w:val="24"/>
                <w:szCs w:val="24"/>
                <w:lang w:val="en-US" w:eastAsia="zh-CN"/>
                <w14:textFill>
                  <w14:solidFill>
                    <w14:schemeClr w14:val="tx1"/>
                  </w14:solidFill>
                </w14:textFill>
              </w:rPr>
              <w:t>投标人</w:t>
            </w:r>
            <w:r>
              <w:rPr>
                <w:rFonts w:hint="eastAsia" w:ascii="宋体" w:hAnsi="宋体" w:eastAsia="宋体" w:cs="宋体"/>
                <w:color w:val="000000" w:themeColor="text1"/>
                <w:kern w:val="2"/>
                <w:sz w:val="24"/>
                <w:szCs w:val="24"/>
                <w14:textFill>
                  <w14:solidFill>
                    <w14:schemeClr w14:val="tx1"/>
                  </w14:solidFill>
                </w14:textFill>
              </w:rPr>
              <w:t>、供应商（以下简称“</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”）通过中心投标文件制作系统制作，并经过电子签章和加密后生成的电子版投标文件。</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投标时，将不再接受任何纸质文件资料。</w:t>
            </w:r>
          </w:p>
          <w:p w14:paraId="236E584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电子化投标文件具体制作教材请</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w:t>
            </w:r>
            <w:r>
              <w:rPr>
                <w:rFonts w:hint="eastAsia" w:ascii="宋体" w:hAnsi="宋体" w:eastAsia="宋体" w:cs="宋体"/>
                <w:color w:val="000000" w:themeColor="text1"/>
                <w:kern w:val="2"/>
                <w:sz w:val="24"/>
                <w:szCs w:val="24"/>
                <w:lang w:val="en-US" w:eastAsia="zh-CN"/>
                <w14:textFill>
                  <w14:solidFill>
                    <w14:schemeClr w14:val="tx1"/>
                  </w14:solidFill>
                </w14:textFill>
              </w:rPr>
              <w:t>化</w:t>
            </w:r>
            <w:r>
              <w:rPr>
                <w:rFonts w:hint="eastAsia" w:ascii="宋体" w:hAnsi="宋体" w:eastAsia="宋体" w:cs="宋体"/>
                <w:color w:val="000000" w:themeColor="text1"/>
                <w:kern w:val="2"/>
                <w:sz w:val="24"/>
                <w:szCs w:val="24"/>
                <w14:textFill>
                  <w14:solidFill>
                    <w14:schemeClr w14:val="tx1"/>
                  </w14:solidFill>
                </w14:textFill>
              </w:rPr>
              <w:t>交易系统在“组件下载”中查看。</w:t>
            </w:r>
          </w:p>
          <w:p w14:paraId="60B228A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温馨提示：本项目为电子化、无纸化交易项目，开标时不接受任何纸质资料，为保证您能投标成功，请需仔细阅读以下条款。</w:t>
            </w:r>
          </w:p>
          <w:p w14:paraId="77CFB90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一、电子化投标</w:t>
            </w:r>
          </w:p>
          <w:p w14:paraId="1ABF4F8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（一）电子化投标文件的签章</w:t>
            </w:r>
          </w:p>
          <w:p w14:paraId="084FBC5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在生成电子化投标文件后，应对电子化投标文件进行签章，未进行签章的视为无效投标。</w:t>
            </w:r>
          </w:p>
          <w:p w14:paraId="3AEE27E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2、招标文件中要求法定代表人或授权委托人签字或盖章的，</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在进行电子化投标文件签章时，以签盖法定代表人签章为准 。电子化投标文件具体制作教材请</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通过CA证书登录三门峡市公共资源电子化交易系统在右上角“组件下载”中查看。电子化投标文件工具请点击https://download.bqpoint.com/download/downloadlist.html?SoftTypeCode=06进行下载。</w:t>
            </w:r>
          </w:p>
          <w:p w14:paraId="161C871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（二）电子化投标文件的格式及上传投标</w:t>
            </w:r>
          </w:p>
          <w:p w14:paraId="3AD8C7F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所上传的电子化投标文件，应是通过中心投标文件制作系统制作的，经过签章和加密后生成的电子版投标文件。上传投标文件格式后缀为SMXTF，上传完后，建议验证CA锁是否正常。</w:t>
            </w:r>
          </w:p>
          <w:p w14:paraId="2036156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投报多个标段的，需要每个标段单独制作电子投标文件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613E7EB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39C18EF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 ：如按照电子化投标操作教材制作完成的电子化投标文件无法上传的，</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应在投标截止时间前尽早联系中心技术人员，以便有充分的时间进行处理。</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应充分考虑到处理技术问题和上传数据等工作所需的时间问题，投标文件未在投标截止时间前成功上传的，其投标文件不予接收。</w:t>
            </w:r>
          </w:p>
          <w:p w14:paraId="64E1B7B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技术联系电话：</w:t>
            </w:r>
            <w:r>
              <w:rPr>
                <w:rFonts w:hint="eastAsia" w:ascii="宋体" w:hAnsi="宋体" w:eastAsia="宋体" w:cs="宋体"/>
                <w:color w:val="000000" w:themeColor="text1"/>
                <w:kern w:val="2"/>
                <w:sz w:val="24"/>
                <w:szCs w:val="24"/>
                <w:lang w:val="en-US" w:eastAsia="zh-CN"/>
                <w14:textFill>
                  <w14:solidFill>
                    <w14:schemeClr w14:val="tx1"/>
                  </w14:solidFill>
                </w14:textFill>
              </w:rPr>
              <w:t>400 998 0000</w:t>
            </w:r>
          </w:p>
          <w:p w14:paraId="222A588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（四）电子化项目开标、解密、唱标、评标</w:t>
            </w:r>
          </w:p>
          <w:p w14:paraId="57CD44F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1、本项目采用电子化、无纸化进行招标，开标当日，</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无需到开标现场参加开标会议。</w:t>
            </w:r>
            <w:r>
              <w:rPr>
                <w:rFonts w:hint="eastAsia" w:ascii="宋体" w:hAnsi="宋体" w:eastAsia="宋体" w:cs="宋体"/>
                <w:color w:val="000000" w:themeColor="text1"/>
                <w:kern w:val="2"/>
                <w:sz w:val="24"/>
                <w:szCs w:val="24"/>
                <w:lang w:val="en-US" w:eastAsia="zh-CN"/>
                <w14:textFill>
                  <w14:solidFill>
                    <w14:schemeClr w14:val="tx1"/>
                  </w14:solidFill>
                </w14:textFill>
              </w:rPr>
              <w:t>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409526F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kern w:val="2"/>
                <w:sz w:val="24"/>
                <w:szCs w:val="24"/>
                <w14:textFill>
                  <w14:solidFill>
                    <w14:schemeClr w14:val="tx1"/>
                  </w14:solidFill>
                </w14:textFill>
              </w:rPr>
              <w:t>、电子化投标文件采用一次加密方式。开标时，由</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使用CA 证书，在规定时间内对其电子化投标文件进行解密。每位</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的解密时间为开标时间起30分钟内，如在规定时间内未完成解密的，其投标文件不予开标、唱标。</w:t>
            </w:r>
          </w:p>
          <w:p w14:paraId="4608010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电子化投标文件解密异常的处理</w:t>
            </w:r>
          </w:p>
          <w:p w14:paraId="6368145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如出现</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的电子投标文件无法解密的情况，</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应及时致电中介服务机构说明。投标文件解密异常，按以下步骤进行处理：</w:t>
            </w:r>
          </w:p>
          <w:p w14:paraId="17C5696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（1）首先由技术人员进行问题排查。</w:t>
            </w:r>
          </w:p>
          <w:p w14:paraId="748AE02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（2）经技术人员排查后，是</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文件自身问题导致投标文件无法解密的，该投标文件将不予接收、解密和唱标。开标会议继续进行。</w:t>
            </w:r>
          </w:p>
          <w:p w14:paraId="54CC42B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82B352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4、待所有</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投标文件解密完成后，由中介服务机构操作，对所有已解密投标文件进行唱标。</w:t>
            </w:r>
          </w:p>
          <w:p w14:paraId="3F86486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应保证在开标期间电话、电脑、网络能够正常工作，</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因停电、电脑病毒、网络堵塞等原因，未在规定的解密时间内对投标文件进行解密的，其投标文件不予接收、唱标。</w:t>
            </w:r>
          </w:p>
          <w:p w14:paraId="1849840A">
            <w:pPr>
              <w:keepNext w:val="0"/>
              <w:keepLines w:val="0"/>
              <w:pageBreakBefore w:val="0"/>
              <w:widowControl w:val="0"/>
              <w:numPr>
                <w:ilvl w:val="0"/>
                <w:numId w:val="2"/>
              </w:numPr>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开标时</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可登录到交易系统中在开标大厅中点击开标一览表查看自己的报价。如对自己的唱标内容有异议的，应在唱标内容显示后10分钟内向服务机构通过开标大厅对话框提出质疑。中介服务机构做好书面记录。</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未在规定时间内提出质疑的，视为认可</w:t>
            </w:r>
            <w:r>
              <w:rPr>
                <w:rFonts w:hint="eastAsia" w:ascii="宋体" w:hAnsi="宋体" w:eastAsia="宋体" w:cs="宋体"/>
                <w:color w:val="000000" w:themeColor="text1"/>
                <w:kern w:val="2"/>
                <w:sz w:val="24"/>
                <w:szCs w:val="24"/>
                <w:lang w:eastAsia="zh-CN"/>
                <w14:textFill>
                  <w14:solidFill>
                    <w14:schemeClr w14:val="tx1"/>
                  </w14:solidFill>
                </w14:textFill>
              </w:rPr>
              <w:t>唱标内容。</w:t>
            </w:r>
          </w:p>
          <w:p w14:paraId="5BAD4C1D">
            <w:pPr>
              <w:keepNext w:val="0"/>
              <w:keepLines w:val="0"/>
              <w:pageBreakBefore w:val="0"/>
              <w:widowControl w:val="0"/>
              <w:numPr>
                <w:ilvl w:val="0"/>
                <w:numId w:val="2"/>
              </w:numPr>
              <w:kinsoku/>
              <w:wordWrap w:val="0"/>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评标时，评标委员会对电子化投标文件有质疑的，将通过电子化交易系统对</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发起质疑，</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的回复文件必须以经过</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和其法定代表人签章的PDF 格式文件为准，并通过电子化交易系统提交至评标委员会。</w:t>
            </w:r>
          </w:p>
          <w:p w14:paraId="301685FC">
            <w:pPr>
              <w:keepNext w:val="0"/>
              <w:keepLines w:val="0"/>
              <w:pageBreakBefore w:val="0"/>
              <w:widowControl w:val="0"/>
              <w:numPr>
                <w:ilvl w:val="0"/>
                <w:numId w:val="2"/>
              </w:numPr>
              <w:kinsoku/>
              <w:wordWrap w:val="0"/>
              <w:overflowPunct/>
              <w:topLinePunct w:val="0"/>
              <w:autoSpaceDE/>
              <w:autoSpaceDN/>
              <w:bidi w:val="0"/>
              <w:adjustRightInd/>
              <w:snapToGrid/>
              <w:spacing w:before="0" w:beforeLines="0" w:beforeAutospacing="0" w:after="0" w:afterLines="0" w:afterAutospacing="0" w:line="400" w:lineRule="exact"/>
              <w:ind w:left="0" w:leftChars="0" w:right="0" w:firstLine="0" w:firstLineChars="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如评标委员会对需要回复的</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在规定时间内通过电子化交易系统未收到回复的，视为</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放弃回复，评标委员会将自行对需要回复的内容进行认定。</w:t>
            </w:r>
          </w:p>
          <w:p w14:paraId="33F84CCF">
            <w:pPr>
              <w:keepNext w:val="0"/>
              <w:keepLines w:val="0"/>
              <w:pageBreakBefore w:val="0"/>
              <w:widowControl w:val="0"/>
              <w:numPr>
                <w:ilvl w:val="0"/>
                <w:numId w:val="0"/>
              </w:numPr>
              <w:kinsoku/>
              <w:wordWrap w:val="0"/>
              <w:overflowPunct/>
              <w:topLinePunct w:val="0"/>
              <w:autoSpaceDE/>
              <w:autoSpaceDN/>
              <w:bidi w:val="0"/>
              <w:adjustRightInd/>
              <w:snapToGrid/>
              <w:spacing w:before="0" w:beforeLines="0" w:beforeAutospacing="0" w:after="0" w:afterLines="0" w:afterAutospacing="0" w:line="400" w:lineRule="exact"/>
              <w:ind w:leftChars="0" w:right="0" w:rightChars="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二、相关证书原件的提交</w:t>
            </w:r>
          </w:p>
          <w:p w14:paraId="4FA7D4F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本项目实行资格后审，招标文件中要求</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提交资质、业绩及单位人员等相关资料原件的，</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需将原件扫描件制作到电子投标文件中，其上传资料真实性由</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自行承担。评标委员会对原件的核验工作按以下条款进行：</w:t>
            </w:r>
          </w:p>
          <w:p w14:paraId="17416B7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一</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评标时，评委先查阅投标文件中是否具有该资料的原件扫描件，其上传资料真实性由</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自行承担。本项目需要提交的原件扫描件以投标截止时间前在以</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自行上传到</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文件中的相应内容为准。规定时间外上传或更改的信息不作为评标依据。评标时不接受</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所提交的任何原件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2090CEE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(二</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需应仔细阅读操作手册，保证上传内容齐全，真实有效，原件扫描件清晰可辨。因</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上传原因导致应得分项而未得分或资格审查不合格等情况的，由</w:t>
            </w:r>
            <w:r>
              <w:rPr>
                <w:rFonts w:hint="eastAsia" w:ascii="宋体" w:hAnsi="宋体" w:eastAsia="宋体" w:cs="宋体"/>
                <w:color w:val="000000" w:themeColor="text1"/>
                <w:kern w:val="2"/>
                <w:sz w:val="24"/>
                <w:szCs w:val="24"/>
                <w:lang w:eastAsia="zh-CN"/>
                <w14:textFill>
                  <w14:solidFill>
                    <w14:schemeClr w14:val="tx1"/>
                  </w14:solidFill>
                </w14:textFill>
              </w:rPr>
              <w:t>供应商</w:t>
            </w:r>
            <w:r>
              <w:rPr>
                <w:rFonts w:hint="eastAsia" w:ascii="宋体" w:hAnsi="宋体" w:eastAsia="宋体" w:cs="宋体"/>
                <w:color w:val="000000" w:themeColor="text1"/>
                <w:kern w:val="2"/>
                <w:sz w:val="24"/>
                <w:szCs w:val="24"/>
                <w14:textFill>
                  <w14:solidFill>
                    <w14:schemeClr w14:val="tx1"/>
                  </w14:solidFill>
                </w14:textFill>
              </w:rPr>
              <w:t>自行承担责任。</w:t>
            </w:r>
          </w:p>
          <w:p w14:paraId="0654E70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提示：本项目为电子化、无纸化交易项目，开标时不再接受任何纸质资料，为保证您能投标成功，请需仔细阅读以上条款。</w:t>
            </w:r>
          </w:p>
        </w:tc>
      </w:tr>
    </w:tbl>
    <w:p w14:paraId="7AD7BB96">
      <w:pPr>
        <w:keepNext w:val="0"/>
        <w:keepLines w:val="0"/>
        <w:pageBreakBefore w:val="0"/>
        <w:widowControl w:val="0"/>
        <w:kinsoku/>
        <w:wordWrap w:val="0"/>
        <w:overflowPunct/>
        <w:topLinePunct w:val="0"/>
        <w:autoSpaceDE/>
        <w:autoSpaceDN/>
        <w:bidi w:val="0"/>
        <w:adjustRightInd/>
        <w:snapToGrid/>
        <w:spacing w:after="0" w:afterLines="0" w:line="360" w:lineRule="auto"/>
        <w:ind w:firstLine="562"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一、总则</w:t>
      </w:r>
    </w:p>
    <w:p w14:paraId="7B6943A3">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适用范围</w:t>
      </w:r>
    </w:p>
    <w:p w14:paraId="54CAD926">
      <w:pPr>
        <w:keepNext w:val="0"/>
        <w:keepLines w:val="0"/>
        <w:pageBreakBefore w:val="0"/>
        <w:widowControl w:val="0"/>
        <w:kinsoku/>
        <w:wordWrap w:val="0"/>
        <w:overflowPunct/>
        <w:topLinePunct w:val="0"/>
        <w:autoSpaceDE/>
        <w:autoSpaceDN/>
        <w:bidi w:val="0"/>
        <w:adjustRightInd/>
        <w:snapToGrid/>
        <w:spacing w:after="0" w:afterLines="0" w:line="50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根据《中华人民共和国政府采购法》、《中华人民共和国政府采购法实施条例》等有关法律、法规和规章的规定，本项目已具备招标条件，现对本项目进行公开招标，本招标文件仅适用于本次招标文件中所述的货物及其伴随的服务。</w:t>
      </w:r>
    </w:p>
    <w:p w14:paraId="23657464">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1.1.2 本招标文件的解释权归采购人所有。</w:t>
      </w:r>
    </w:p>
    <w:p w14:paraId="040CF608">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2、投标费用</w:t>
      </w:r>
    </w:p>
    <w:p w14:paraId="685C997E">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投标供应商承担其投标文件编制与递交所涉及的一切费用。在任何情况下采购人和代理机构对上述费用均不承担任何责任。</w:t>
      </w:r>
    </w:p>
    <w:p w14:paraId="25B33622">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3、定义及解释</w:t>
      </w:r>
    </w:p>
    <w:p w14:paraId="668668D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3.1货物：系指投标供应商按招标文件规定而提供的设备、工具、备品备件、手册及其他有关技术资料和材料。</w:t>
      </w:r>
    </w:p>
    <w:p w14:paraId="0B434C21">
      <w:pPr>
        <w:keepNext w:val="0"/>
        <w:keepLines w:val="0"/>
        <w:pageBreakBefore w:val="0"/>
        <w:widowControl w:val="0"/>
        <w:tabs>
          <w:tab w:val="left" w:pos="1158"/>
        </w:tabs>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3.2 服务：系指投标供应商提供的货物有关的运输和保险及其他伴随服务。</w:t>
      </w:r>
    </w:p>
    <w:p w14:paraId="50F605C3">
      <w:pPr>
        <w:keepNext w:val="0"/>
        <w:keepLines w:val="0"/>
        <w:pageBreakBefore w:val="0"/>
        <w:widowControl w:val="0"/>
        <w:kinsoku/>
        <w:wordWrap/>
        <w:overflowPunct/>
        <w:topLinePunct w:val="0"/>
        <w:bidi w:val="0"/>
        <w:spacing w:after="0" w:afterLines="0" w:line="500" w:lineRule="exact"/>
        <w:ind w:left="0" w:leftChars="0" w:firstLine="480" w:firstLineChars="20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3.3 采购人：</w:t>
      </w:r>
      <w:r>
        <w:rPr>
          <w:rFonts w:hint="eastAsia" w:ascii="宋体" w:hAnsi="宋体" w:eastAsia="宋体" w:cs="宋体"/>
          <w:b w:val="0"/>
          <w:bCs/>
          <w:color w:val="000000" w:themeColor="text1"/>
          <w:sz w:val="24"/>
          <w:szCs w:val="24"/>
          <w:lang w:val="en-US" w:eastAsia="zh-CN"/>
          <w14:textFill>
            <w14:solidFill>
              <w14:schemeClr w14:val="tx1"/>
            </w14:solidFill>
          </w14:textFill>
        </w:rPr>
        <w:t>供应商须知前附表中所述的、依法进行政府采购的国家机关、事业单位、团体组织等。</w:t>
      </w:r>
    </w:p>
    <w:p w14:paraId="3A243E4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3.4</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投标供应商：是指响应招标、参加投标竞争的法人或者其他组织。</w:t>
      </w:r>
    </w:p>
    <w:p w14:paraId="04486572">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3.5 </w:t>
      </w:r>
      <w:r>
        <w:rPr>
          <w:rFonts w:hint="eastAsia" w:ascii="宋体" w:hAnsi="宋体" w:eastAsia="宋体" w:cs="宋体"/>
          <w:b w:val="0"/>
          <w:bCs/>
          <w:color w:val="000000" w:themeColor="text1"/>
          <w:sz w:val="24"/>
          <w:szCs w:val="24"/>
          <w:lang w:val="en-US" w:eastAsia="zh-CN"/>
          <w14:textFill>
            <w14:solidFill>
              <w14:schemeClr w14:val="tx1"/>
            </w14:solidFill>
          </w14:textFill>
        </w:rPr>
        <w:t>采购</w:t>
      </w:r>
      <w:r>
        <w:rPr>
          <w:rFonts w:hint="eastAsia" w:ascii="宋体" w:hAnsi="宋体" w:eastAsia="宋体" w:cs="宋体"/>
          <w:b w:val="0"/>
          <w:bCs/>
          <w:color w:val="000000" w:themeColor="text1"/>
          <w:sz w:val="24"/>
          <w:szCs w:val="24"/>
          <w14:textFill>
            <w14:solidFill>
              <w14:schemeClr w14:val="tx1"/>
            </w14:solidFill>
          </w14:textFill>
        </w:rPr>
        <w:t>代理机构：</w:t>
      </w:r>
      <w:r>
        <w:rPr>
          <w:rFonts w:hint="eastAsia" w:ascii="宋体" w:hAnsi="宋体" w:eastAsia="宋体" w:cs="宋体"/>
          <w:b w:val="0"/>
          <w:bCs/>
          <w:color w:val="000000" w:themeColor="text1"/>
          <w:sz w:val="24"/>
          <w:szCs w:val="24"/>
          <w:lang w:val="en-US" w:eastAsia="zh-CN"/>
          <w14:textFill>
            <w14:solidFill>
              <w14:schemeClr w14:val="tx1"/>
            </w14:solidFill>
          </w14:textFill>
        </w:rPr>
        <w:t>受采购人委托组织招标活动，在招标过程中负有相应责任的社会中介组织。</w:t>
      </w:r>
      <w:r>
        <w:rPr>
          <w:rFonts w:hint="eastAsia" w:ascii="宋体" w:hAnsi="宋体" w:eastAsia="宋体" w:cs="宋体"/>
          <w:b w:val="0"/>
          <w:bCs/>
          <w:color w:val="000000" w:themeColor="text1"/>
          <w:sz w:val="24"/>
          <w:szCs w:val="24"/>
          <w14:textFill>
            <w14:solidFill>
              <w14:schemeClr w14:val="tx1"/>
            </w14:solidFill>
          </w14:textFill>
        </w:rPr>
        <w:t xml:space="preserve"> </w:t>
      </w:r>
    </w:p>
    <w:p w14:paraId="224C849D">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3.6 评标委员会：是指按照《中华人民共和国政府采购法》和《评标委员会和评标方法暂行规定》的规定组建的专门负责本次招标的评标工作的临时机构。</w:t>
      </w:r>
    </w:p>
    <w:p w14:paraId="456F1283">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3.7 日期、天数、时间：无特别说明时是指公历日及北京时间。</w:t>
      </w:r>
    </w:p>
    <w:p w14:paraId="501AA1B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3.8 招标文件中所规定的“书面形式”，是指任何手写的、打印或印刷的</w:t>
      </w:r>
      <w:r>
        <w:rPr>
          <w:rFonts w:hint="eastAsia" w:ascii="宋体" w:hAnsi="宋体" w:eastAsia="宋体" w:cs="宋体"/>
          <w:b w:val="0"/>
          <w:bCs/>
          <w:color w:val="000000" w:themeColor="text1"/>
          <w:sz w:val="24"/>
          <w:szCs w:val="24"/>
          <w:lang w:eastAsia="zh-CN"/>
          <w14:textFill>
            <w14:solidFill>
              <w14:schemeClr w14:val="tx1"/>
            </w14:solidFill>
          </w14:textFill>
        </w:rPr>
        <w:t>形式</w:t>
      </w:r>
      <w:r>
        <w:rPr>
          <w:rFonts w:hint="eastAsia" w:ascii="宋体" w:hAnsi="宋体" w:eastAsia="宋体" w:cs="宋体"/>
          <w:b w:val="0"/>
          <w:bCs/>
          <w:color w:val="000000" w:themeColor="text1"/>
          <w:sz w:val="24"/>
          <w:szCs w:val="24"/>
          <w14:textFill>
            <w14:solidFill>
              <w14:schemeClr w14:val="tx1"/>
            </w14:solidFill>
          </w14:textFill>
        </w:rPr>
        <w:t>。</w:t>
      </w:r>
    </w:p>
    <w:p w14:paraId="35FFED73">
      <w:pPr>
        <w:keepNext w:val="0"/>
        <w:keepLines w:val="0"/>
        <w:pageBreakBefore w:val="0"/>
        <w:widowControl w:val="0"/>
        <w:kinsoku/>
        <w:wordWrap/>
        <w:overflowPunct/>
        <w:topLinePunct w:val="0"/>
        <w:bidi w:val="0"/>
        <w:spacing w:after="0" w:afterLines="0" w:line="500" w:lineRule="exact"/>
        <w:ind w:left="0" w:leftChars="0" w:firstLine="480" w:firstLineChars="20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4、合格的供应商</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详见供应商须知前附表</w:t>
      </w:r>
      <w:r>
        <w:rPr>
          <w:rFonts w:hint="eastAsia" w:ascii="宋体" w:hAnsi="宋体" w:eastAsia="宋体" w:cs="宋体"/>
          <w:b w:val="0"/>
          <w:bCs/>
          <w:color w:val="000000" w:themeColor="text1"/>
          <w:sz w:val="24"/>
          <w:szCs w:val="24"/>
          <w:lang w:val="en-US" w:eastAsia="zh-CN"/>
          <w14:textFill>
            <w14:solidFill>
              <w14:schemeClr w14:val="tx1"/>
            </w14:solidFill>
          </w14:textFill>
        </w:rPr>
        <w:t>第11条</w:t>
      </w:r>
    </w:p>
    <w:p w14:paraId="2533EB62">
      <w:pPr>
        <w:keepNext w:val="0"/>
        <w:keepLines w:val="0"/>
        <w:pageBreakBefore w:val="0"/>
        <w:widowControl w:val="0"/>
        <w:kinsoku/>
        <w:wordWrap w:val="0"/>
        <w:overflowPunct/>
        <w:topLinePunct w:val="0"/>
        <w:autoSpaceDE/>
        <w:autoSpaceDN/>
        <w:bidi w:val="0"/>
        <w:adjustRightInd/>
        <w:snapToGrid/>
        <w:spacing w:after="0" w:afterLines="0" w:line="500" w:lineRule="exact"/>
        <w:ind w:firstLine="562"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二、招标文件</w:t>
      </w:r>
    </w:p>
    <w:p w14:paraId="79CAA77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招标文件的组成</w:t>
      </w:r>
    </w:p>
    <w:p w14:paraId="2A7D02B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5.1 </w:t>
      </w:r>
      <w:r>
        <w:rPr>
          <w:rFonts w:hint="eastAsia" w:ascii="宋体" w:hAnsi="宋体" w:eastAsia="宋体" w:cs="宋体"/>
          <w:b w:val="0"/>
          <w:bCs/>
          <w:color w:val="000000" w:themeColor="text1"/>
          <w:sz w:val="24"/>
          <w:szCs w:val="24"/>
          <w14:textFill>
            <w14:solidFill>
              <w14:schemeClr w14:val="tx1"/>
            </w14:solidFill>
          </w14:textFill>
        </w:rPr>
        <w:t>招标文件包括下列内容及按供应商须知前附表第</w:t>
      </w:r>
      <w:r>
        <w:rPr>
          <w:rFonts w:hint="eastAsia" w:ascii="宋体" w:hAnsi="宋体" w:eastAsia="宋体" w:cs="宋体"/>
          <w:b w:val="0"/>
          <w:bCs/>
          <w:color w:val="000000" w:themeColor="text1"/>
          <w:sz w:val="24"/>
          <w:szCs w:val="24"/>
          <w:lang w:val="en-US" w:eastAsia="zh-CN"/>
          <w14:textFill>
            <w14:solidFill>
              <w14:schemeClr w14:val="tx1"/>
            </w14:solidFill>
          </w14:textFill>
        </w:rPr>
        <w:t>17</w:t>
      </w:r>
      <w:r>
        <w:rPr>
          <w:rFonts w:hint="eastAsia" w:ascii="宋体" w:hAnsi="宋体" w:eastAsia="宋体" w:cs="宋体"/>
          <w:b w:val="0"/>
          <w:bCs/>
          <w:color w:val="000000" w:themeColor="text1"/>
          <w:sz w:val="24"/>
          <w:szCs w:val="24"/>
          <w14:textFill>
            <w14:solidFill>
              <w14:schemeClr w14:val="tx1"/>
            </w14:solidFill>
          </w14:textFill>
        </w:rPr>
        <w:t>条款内容发出的答疑文件和补充文件：</w:t>
      </w:r>
    </w:p>
    <w:p w14:paraId="1E093F8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bookmarkStart w:id="10" w:name="_Toc430489119"/>
      <w:bookmarkStart w:id="11" w:name="_Toc415567497"/>
      <w:bookmarkStart w:id="12" w:name="_Toc430492126"/>
      <w:bookmarkStart w:id="13" w:name="_Toc430422413"/>
      <w:bookmarkStart w:id="14" w:name="_Toc430488851"/>
      <w:bookmarkStart w:id="15" w:name="_Toc430490612"/>
      <w:bookmarkStart w:id="16" w:name="_Toc430488644"/>
      <w:r>
        <w:rPr>
          <w:rFonts w:hint="eastAsia" w:ascii="宋体" w:hAnsi="宋体" w:eastAsia="宋体" w:cs="宋体"/>
          <w:b w:val="0"/>
          <w:bCs/>
          <w:color w:val="000000" w:themeColor="text1"/>
          <w:sz w:val="24"/>
          <w:szCs w:val="24"/>
          <w14:textFill>
            <w14:solidFill>
              <w14:schemeClr w14:val="tx1"/>
            </w14:solidFill>
          </w14:textFill>
        </w:rPr>
        <w:t xml:space="preserve">第一章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招标公告</w:t>
      </w:r>
    </w:p>
    <w:p w14:paraId="067CAAA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第二章  供应商须知前附表</w:t>
      </w:r>
    </w:p>
    <w:p w14:paraId="4FBE55C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第三章  采购需求</w:t>
      </w:r>
    </w:p>
    <w:p w14:paraId="586DB0D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第四章  评标办法</w:t>
      </w:r>
    </w:p>
    <w:p w14:paraId="79DCC0D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第五章  合同条款及格式</w:t>
      </w:r>
    </w:p>
    <w:p w14:paraId="550D509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第六章  投标文件格式</w:t>
      </w:r>
    </w:p>
    <w:p w14:paraId="794A6B5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28EEF0F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w:t>
      </w:r>
      <w:bookmarkEnd w:id="10"/>
      <w:bookmarkEnd w:id="11"/>
      <w:bookmarkEnd w:id="12"/>
      <w:bookmarkEnd w:id="13"/>
      <w:bookmarkEnd w:id="14"/>
      <w:bookmarkEnd w:id="15"/>
      <w:bookmarkEnd w:id="16"/>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招标文件的澄清</w:t>
      </w:r>
    </w:p>
    <w:p w14:paraId="1107BD0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eastAsia="zh-CN"/>
          <w14:textFill>
            <w14:solidFill>
              <w14:schemeClr w14:val="tx1"/>
            </w14:solidFill>
          </w14:textFill>
        </w:rPr>
      </w:pPr>
      <w:bookmarkStart w:id="17" w:name="_Toc430489120"/>
      <w:bookmarkStart w:id="18" w:name="_Toc430492127"/>
      <w:bookmarkStart w:id="19" w:name="_Toc415567498"/>
      <w:bookmarkStart w:id="20" w:name="_Toc430490613"/>
      <w:bookmarkStart w:id="21" w:name="_Toc430422414"/>
      <w:bookmarkStart w:id="22" w:name="_Toc430488852"/>
      <w:bookmarkStart w:id="23" w:name="_Toc430488645"/>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供应商应仔细阅读和检查招标文件的全部内容。如发现缺页或附件不全，应及时向采购人提出，以便补齐。如有疑问，应在供应商须知前附表规定的时间前要求采购人对招标文件予以澄清。供应商需将澄清及答疑内容以书面形式（加盖单位公章）在答疑递交截止时间前以书面形式递交采购代理机构</w:t>
      </w:r>
      <w:r>
        <w:rPr>
          <w:rFonts w:hint="eastAsia" w:ascii="宋体" w:hAnsi="宋体" w:eastAsia="宋体" w:cs="宋体"/>
          <w:b w:val="0"/>
          <w:bCs/>
          <w:color w:val="000000" w:themeColor="text1"/>
          <w:sz w:val="24"/>
          <w:szCs w:val="24"/>
          <w:lang w:eastAsia="zh-CN"/>
          <w14:textFill>
            <w14:solidFill>
              <w14:schemeClr w14:val="tx1"/>
            </w14:solidFill>
          </w14:textFill>
        </w:rPr>
        <w:t>。采购人只对书面问题做出答复，并将答复内容以公告的形式在原采购信息发布的媒体上发布更正公告，如果澄清发出的时间距投标截止时间不足15</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r>
        <w:rPr>
          <w:rFonts w:hint="eastAsia" w:ascii="宋体" w:hAnsi="宋体" w:eastAsia="宋体" w:cs="宋体"/>
          <w:b w:val="0"/>
          <w:bCs/>
          <w:color w:val="000000" w:themeColor="text1"/>
          <w:sz w:val="24"/>
          <w:szCs w:val="24"/>
          <w:lang w:eastAsia="zh-CN"/>
          <w14:textFill>
            <w14:solidFill>
              <w14:schemeClr w14:val="tx1"/>
            </w14:solidFill>
          </w14:textFill>
        </w:rPr>
        <w:t>，相应延长投标截止时间。该澄清内容为招标文件的组成部分。</w:t>
      </w:r>
    </w:p>
    <w:p w14:paraId="300E979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7</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招标文件的修改</w:t>
      </w:r>
      <w:bookmarkEnd w:id="17"/>
      <w:bookmarkEnd w:id="18"/>
      <w:bookmarkEnd w:id="19"/>
      <w:bookmarkEnd w:id="20"/>
      <w:bookmarkEnd w:id="21"/>
      <w:bookmarkEnd w:id="22"/>
      <w:bookmarkEnd w:id="23"/>
    </w:p>
    <w:p w14:paraId="411C1E2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bookmarkStart w:id="24" w:name="_Toc26433"/>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.1 在投标截止时间15日前，采购人可以用补充文件的方式修正招标文件，该补充文件将成为招标文件的组成部分</w:t>
      </w:r>
      <w:r>
        <w:rPr>
          <w:rFonts w:hint="eastAsia" w:ascii="宋体" w:hAnsi="宋体" w:eastAsia="宋体" w:cs="宋体"/>
          <w:b w:val="0"/>
          <w:bCs/>
          <w:color w:val="000000" w:themeColor="text1"/>
          <w:sz w:val="24"/>
          <w:szCs w:val="24"/>
          <w:lang w:eastAsia="zh-CN"/>
          <w14:textFill>
            <w14:solidFill>
              <w14:schemeClr w14:val="tx1"/>
            </w14:solidFill>
          </w14:textFill>
        </w:rPr>
        <w:t>，对供应商具有约束力</w:t>
      </w:r>
      <w:r>
        <w:rPr>
          <w:rFonts w:hint="eastAsia" w:ascii="宋体" w:hAnsi="宋体" w:eastAsia="宋体" w:cs="宋体"/>
          <w:b w:val="0"/>
          <w:bCs/>
          <w:color w:val="000000" w:themeColor="text1"/>
          <w:sz w:val="24"/>
          <w:szCs w:val="24"/>
          <w14:textFill>
            <w14:solidFill>
              <w14:schemeClr w14:val="tx1"/>
            </w14:solidFill>
          </w14:textFill>
        </w:rPr>
        <w:t>。</w:t>
      </w:r>
    </w:p>
    <w:p w14:paraId="09F9EAB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.2补充文件将以公告形式发布。</w:t>
      </w:r>
    </w:p>
    <w:p w14:paraId="267190B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.3为使供应商有足够的时间按修正的招标文件准备电子化投标文件，采购人可以酌情延长投标截止时间。</w:t>
      </w:r>
    </w:p>
    <w:bookmarkEnd w:id="24"/>
    <w:p w14:paraId="1A68871C">
      <w:pPr>
        <w:keepNext w:val="0"/>
        <w:keepLines w:val="0"/>
        <w:pageBreakBefore w:val="0"/>
        <w:widowControl w:val="0"/>
        <w:kinsoku/>
        <w:wordWrap w:val="0"/>
        <w:overflowPunct/>
        <w:topLinePunct w:val="0"/>
        <w:autoSpaceDE/>
        <w:autoSpaceDN/>
        <w:bidi w:val="0"/>
        <w:adjustRightInd/>
        <w:snapToGrid/>
        <w:spacing w:after="0" w:afterLines="0" w:line="500" w:lineRule="exact"/>
        <w:ind w:firstLine="562" w:firstLineChars="20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三、电子化投标文件的编制</w:t>
      </w:r>
    </w:p>
    <w:p w14:paraId="08E63590">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8</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要求</w:t>
      </w:r>
    </w:p>
    <w:p w14:paraId="0A3348B7">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供应商应仔细阅读招标文件的所有内容，按照招标文件的要求提交投标文件。投标文件应对招标文件的要求作出实质性响应，并保证所提供的全部资料的真实性，否则其投标将被拒绝。</w:t>
      </w:r>
    </w:p>
    <w:p w14:paraId="4B8CE836">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9</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投标文件语言</w:t>
      </w:r>
    </w:p>
    <w:p w14:paraId="459B716B">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投标文件应用中文书写。投标文件中所附或所引用的原件不是中文时，应附中文译本。各种计量单位及符号应采用国际上统一使用的公制计量单位和符号。</w:t>
      </w:r>
    </w:p>
    <w:p w14:paraId="4C0C6CA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投标报价</w:t>
      </w:r>
    </w:p>
    <w:p w14:paraId="2B1533B7">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14:textFill>
            <w14:solidFill>
              <w14:schemeClr w14:val="tx1"/>
            </w14:solidFill>
          </w14:textFill>
        </w:rPr>
        <w:t>.1本项目采购金额一定,要求各</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报价,应把货物原价、运输装卸费、技术服务费、税收、等考虑在报价内。</w:t>
      </w:r>
    </w:p>
    <w:p w14:paraId="7301E192">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14:textFill>
            <w14:solidFill>
              <w14:schemeClr w14:val="tx1"/>
            </w14:solidFill>
          </w14:textFill>
        </w:rPr>
        <w:t>.2投标报价应在招标文件所附的“报价一览表”上写明投标项目的单价和投标总价。如果单价与总价有出入，以单价为准。货物只能有一种报价，招标方不接受多种方案和报价的投标。</w:t>
      </w:r>
    </w:p>
    <w:p w14:paraId="7EED80D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14:textFill>
            <w14:solidFill>
              <w14:schemeClr w14:val="tx1"/>
            </w14:solidFill>
          </w14:textFill>
        </w:rPr>
        <w:t>.3投标必须以人民币报价，投标报价在开标后不得修改</w:t>
      </w:r>
    </w:p>
    <w:p w14:paraId="6B128E6D">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11、投标保证金</w:t>
      </w:r>
    </w:p>
    <w:p w14:paraId="4F2AAB7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11.1 按照《河南省财政厅关于优化政府采购营商环境有关问题的通知》（豫财购[2019]4号文）的要求本项目不再收取投标保证金，供应商须提供投标承诺函（详见第六章“投标文件格式”）。</w:t>
      </w:r>
    </w:p>
    <w:p w14:paraId="37545F43">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投标有效期</w:t>
      </w:r>
    </w:p>
    <w:p w14:paraId="7FBA670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12.1 </w:t>
      </w:r>
      <w:r>
        <w:rPr>
          <w:rFonts w:hint="eastAsia" w:ascii="宋体" w:hAnsi="宋体" w:eastAsia="宋体" w:cs="宋体"/>
          <w:b w:val="0"/>
          <w:bCs/>
          <w:color w:val="000000" w:themeColor="text1"/>
          <w:sz w:val="24"/>
          <w:szCs w:val="24"/>
          <w14:textFill>
            <w14:solidFill>
              <w14:schemeClr w14:val="tx1"/>
            </w14:solidFill>
          </w14:textFill>
        </w:rPr>
        <w:t>投标有效期：</w:t>
      </w:r>
      <w:r>
        <w:rPr>
          <w:rFonts w:hint="eastAsia" w:ascii="宋体" w:hAnsi="宋体" w:eastAsia="宋体" w:cs="宋体"/>
          <w:color w:val="000000" w:themeColor="text1"/>
          <w:kern w:val="2"/>
          <w:sz w:val="24"/>
          <w:szCs w:val="24"/>
          <w14:textFill>
            <w14:solidFill>
              <w14:schemeClr w14:val="tx1"/>
            </w14:solidFill>
          </w14:textFill>
        </w:rPr>
        <w:t>投标截止之日起60日历天</w:t>
      </w:r>
      <w:r>
        <w:rPr>
          <w:rFonts w:hint="eastAsia" w:ascii="宋体" w:hAnsi="宋体" w:eastAsia="宋体" w:cs="宋体"/>
          <w:b w:val="0"/>
          <w:bCs/>
          <w:color w:val="000000" w:themeColor="text1"/>
          <w:sz w:val="24"/>
          <w:szCs w:val="24"/>
          <w14:textFill>
            <w14:solidFill>
              <w14:schemeClr w14:val="tx1"/>
            </w14:solidFill>
          </w14:textFill>
        </w:rPr>
        <w:t>。</w:t>
      </w:r>
    </w:p>
    <w:p w14:paraId="70E2A9B3">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投标文件的组成(详见招标文件</w:t>
      </w:r>
      <w:r>
        <w:rPr>
          <w:rFonts w:hint="eastAsia" w:ascii="宋体" w:hAnsi="宋体" w:eastAsia="宋体" w:cs="宋体"/>
          <w:b w:val="0"/>
          <w:bCs/>
          <w:color w:val="000000" w:themeColor="text1"/>
          <w:sz w:val="24"/>
          <w:szCs w:val="24"/>
          <w:lang w:val="en-US" w:eastAsia="zh-CN"/>
          <w14:textFill>
            <w14:solidFill>
              <w14:schemeClr w14:val="tx1"/>
            </w14:solidFill>
          </w14:textFill>
        </w:rPr>
        <w:t>第六章“</w:t>
      </w:r>
      <w:r>
        <w:rPr>
          <w:rFonts w:hint="eastAsia" w:ascii="宋体" w:hAnsi="宋体" w:eastAsia="宋体" w:cs="宋体"/>
          <w:b w:val="0"/>
          <w:bCs/>
          <w:color w:val="000000" w:themeColor="text1"/>
          <w:sz w:val="24"/>
          <w:szCs w:val="24"/>
          <w14:textFill>
            <w14:solidFill>
              <w14:schemeClr w14:val="tx1"/>
            </w14:solidFill>
          </w14:textFill>
        </w:rPr>
        <w:t>投标文件格式</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w:t>
      </w:r>
    </w:p>
    <w:p w14:paraId="5737CD2D">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投标文件的格式</w:t>
      </w:r>
    </w:p>
    <w:p w14:paraId="60B172C6">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14.1供应商的投标文件</w:t>
      </w:r>
      <w:r>
        <w:rPr>
          <w:rFonts w:hint="eastAsia" w:ascii="宋体" w:hAnsi="宋体" w:eastAsia="宋体" w:cs="宋体"/>
          <w:b w:val="0"/>
          <w:bCs/>
          <w:color w:val="000000" w:themeColor="text1"/>
          <w:sz w:val="24"/>
          <w:szCs w:val="24"/>
          <w:lang w:val="en-US" w:eastAsia="zh-CN"/>
          <w14:textFill>
            <w14:solidFill>
              <w14:schemeClr w14:val="tx1"/>
            </w14:solidFill>
          </w14:textFill>
        </w:rPr>
        <w:t>格式</w:t>
      </w:r>
      <w:r>
        <w:rPr>
          <w:rFonts w:hint="eastAsia" w:ascii="宋体" w:hAnsi="宋体" w:eastAsia="宋体" w:cs="宋体"/>
          <w:b w:val="0"/>
          <w:bCs/>
          <w:color w:val="000000" w:themeColor="text1"/>
          <w:sz w:val="24"/>
          <w:szCs w:val="24"/>
          <w14:textFill>
            <w14:solidFill>
              <w14:schemeClr w14:val="tx1"/>
            </w14:solidFill>
          </w14:textFill>
        </w:rPr>
        <w:t>按照招标文件</w:t>
      </w:r>
      <w:r>
        <w:rPr>
          <w:rFonts w:hint="eastAsia" w:ascii="宋体" w:hAnsi="宋体" w:eastAsia="宋体" w:cs="宋体"/>
          <w:b w:val="0"/>
          <w:bCs/>
          <w:color w:val="000000" w:themeColor="text1"/>
          <w:sz w:val="24"/>
          <w:szCs w:val="24"/>
          <w:lang w:val="en-US" w:eastAsia="zh-CN"/>
          <w14:textFill>
            <w14:solidFill>
              <w14:schemeClr w14:val="tx1"/>
            </w14:solidFill>
          </w14:textFill>
        </w:rPr>
        <w:t>第六章“</w:t>
      </w:r>
      <w:r>
        <w:rPr>
          <w:rFonts w:hint="eastAsia" w:ascii="宋体" w:hAnsi="宋体" w:eastAsia="宋体" w:cs="宋体"/>
          <w:b w:val="0"/>
          <w:bCs/>
          <w:color w:val="000000" w:themeColor="text1"/>
          <w:sz w:val="24"/>
          <w:szCs w:val="24"/>
          <w14:textFill>
            <w14:solidFill>
              <w14:schemeClr w14:val="tx1"/>
            </w14:solidFill>
          </w14:textFill>
        </w:rPr>
        <w:t>投标文件格式</w:t>
      </w:r>
      <w:r>
        <w:rPr>
          <w:rFonts w:hint="eastAsia" w:ascii="宋体" w:hAnsi="宋体" w:eastAsia="宋体" w:cs="宋体"/>
          <w:b w:val="0"/>
          <w:bCs/>
          <w:color w:val="000000" w:themeColor="text1"/>
          <w:sz w:val="24"/>
          <w:szCs w:val="24"/>
          <w:lang w:val="en-US"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编制。</w:t>
      </w:r>
    </w:p>
    <w:p w14:paraId="1B001DB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14.2</w:t>
      </w:r>
      <w:r>
        <w:rPr>
          <w:rFonts w:hint="eastAsia" w:ascii="宋体" w:hAnsi="宋体" w:eastAsia="宋体" w:cs="宋体"/>
          <w:b w:val="0"/>
          <w:bCs/>
          <w:color w:val="000000" w:themeColor="text1"/>
          <w:spacing w:val="-6"/>
          <w:sz w:val="24"/>
          <w:szCs w:val="24"/>
          <w14:textFill>
            <w14:solidFill>
              <w14:schemeClr w14:val="tx1"/>
            </w14:solidFill>
          </w14:textFill>
        </w:rPr>
        <w:t>招标文件中要求供应商盖章的，以签盖单位章为准；招标文件中要</w:t>
      </w:r>
      <w:r>
        <w:rPr>
          <w:rFonts w:hint="eastAsia" w:ascii="宋体" w:hAnsi="宋体" w:eastAsia="宋体" w:cs="宋体"/>
          <w:b w:val="0"/>
          <w:bCs/>
          <w:color w:val="000000" w:themeColor="text1"/>
          <w:sz w:val="24"/>
          <w:szCs w:val="24"/>
          <w14:textFill>
            <w14:solidFill>
              <w14:schemeClr w14:val="tx1"/>
            </w14:solidFill>
          </w14:textFill>
        </w:rPr>
        <w:t>求法定代表人或</w:t>
      </w:r>
      <w:r>
        <w:rPr>
          <w:rFonts w:hint="eastAsia" w:ascii="宋体" w:hAnsi="宋体" w:eastAsia="宋体" w:cs="宋体"/>
          <w:b w:val="0"/>
          <w:bCs/>
          <w:color w:val="000000" w:themeColor="text1"/>
          <w:sz w:val="24"/>
          <w:szCs w:val="24"/>
          <w:lang w:val="en-US" w:eastAsia="zh-CN"/>
          <w14:textFill>
            <w14:solidFill>
              <w14:schemeClr w14:val="tx1"/>
            </w14:solidFill>
          </w14:textFill>
        </w:rPr>
        <w:t>其</w:t>
      </w:r>
      <w:r>
        <w:rPr>
          <w:rFonts w:hint="eastAsia" w:ascii="宋体" w:hAnsi="宋体" w:eastAsia="宋体" w:cs="宋体"/>
          <w:b w:val="0"/>
          <w:bCs/>
          <w:color w:val="000000" w:themeColor="text1"/>
          <w:sz w:val="24"/>
          <w:szCs w:val="24"/>
          <w14:textFill>
            <w14:solidFill>
              <w14:schemeClr w14:val="tx1"/>
            </w14:solidFill>
          </w14:textFill>
        </w:rPr>
        <w:t>委托</w:t>
      </w:r>
      <w:r>
        <w:rPr>
          <w:rFonts w:hint="eastAsia" w:ascii="宋体" w:hAnsi="宋体" w:eastAsia="宋体" w:cs="宋体"/>
          <w:b w:val="0"/>
          <w:bCs/>
          <w:color w:val="000000" w:themeColor="text1"/>
          <w:sz w:val="24"/>
          <w:szCs w:val="24"/>
          <w:lang w:val="en-US" w:eastAsia="zh-CN"/>
          <w14:textFill>
            <w14:solidFill>
              <w14:schemeClr w14:val="tx1"/>
            </w14:solidFill>
          </w14:textFill>
        </w:rPr>
        <w:t>代理</w:t>
      </w:r>
      <w:r>
        <w:rPr>
          <w:rFonts w:hint="eastAsia" w:ascii="宋体" w:hAnsi="宋体" w:eastAsia="宋体" w:cs="宋体"/>
          <w:b w:val="0"/>
          <w:bCs/>
          <w:color w:val="000000" w:themeColor="text1"/>
          <w:sz w:val="24"/>
          <w:szCs w:val="24"/>
          <w14:textFill>
            <w14:solidFill>
              <w14:schemeClr w14:val="tx1"/>
            </w14:solidFill>
          </w14:textFill>
        </w:rPr>
        <w:t>人盖章的，供应商在进行电子化投标文件签章时，以签盖法定代表人签章为准</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0B1EB639">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供应商必须提供有关投标货物符合招标文件要求的证明文件</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并须提供货物主要技术性能的详细描述。</w:t>
      </w:r>
    </w:p>
    <w:p w14:paraId="3446F978">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w:t>
      </w: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未按本须知规定的格式填写投标文件、投标文件字迹模糊不清的，其投标将被拒绝。</w:t>
      </w:r>
    </w:p>
    <w:p w14:paraId="5D4550A4">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562" w:firstLineChars="200"/>
        <w:jc w:val="center"/>
        <w:textAlignment w:val="auto"/>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四、 投标文件的递交</w:t>
      </w:r>
    </w:p>
    <w:p w14:paraId="054F1228">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、投标文件上传</w:t>
      </w:r>
    </w:p>
    <w:p w14:paraId="361648D9">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15.1本项目为电子化、无纸化交易项目，投标文件是供应商通过中心投标文件制作系统制作，并经过电子签章和加密后生成的电子版投标文件。</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投标时，将不再接受任何纸质文件资料。</w:t>
      </w:r>
    </w:p>
    <w:p w14:paraId="192F371F">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15.2在规定时间内，上传投标文件至三门峡市公共资源交易中心平台，电子化投标文件具体制作教材请</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通过CA证书登录三门峡市公共资源电子化交易系统在“组建下载”中查看。电子化投标文件应在投标截止时间前成功上传至三门峡市公共资源电子化交易系统。至投标截止时间止，仍未上传成功的电子化投标文件将不予接收。</w:t>
      </w:r>
    </w:p>
    <w:p w14:paraId="3EF48A9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43435FCD">
      <w:pPr>
        <w:pStyle w:val="6"/>
        <w:keepNext w:val="0"/>
        <w:keepLines w:val="0"/>
        <w:pageBreakBefore w:val="0"/>
        <w:widowControl w:val="0"/>
        <w:numPr>
          <w:ilvl w:val="0"/>
          <w:numId w:val="0"/>
        </w:numPr>
        <w:tabs>
          <w:tab w:val="left" w:pos="420"/>
          <w:tab w:val="left" w:pos="1260"/>
        </w:tabs>
        <w:kinsoku/>
        <w:wordWrap/>
        <w:overflowPunct/>
        <w:topLinePunct w:val="0"/>
        <w:autoSpaceDE/>
        <w:autoSpaceDN/>
        <w:bidi w:val="0"/>
        <w:snapToGrid/>
        <w:spacing w:before="0" w:beforeLines="0" w:after="0" w:afterLines="0" w:line="500" w:lineRule="exact"/>
        <w:ind w:left="0" w:leftChars="0" w:firstLine="480" w:firstLineChars="200"/>
        <w:jc w:val="left"/>
        <w:textAlignment w:val="baseline"/>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技术联系电话：</w:t>
      </w:r>
      <w:r>
        <w:rPr>
          <w:rFonts w:hint="eastAsia" w:ascii="宋体" w:hAnsi="宋体" w:eastAsia="宋体" w:cs="宋体"/>
          <w:b w:val="0"/>
          <w:bCs/>
          <w:color w:val="000000" w:themeColor="text1"/>
          <w:sz w:val="24"/>
          <w:szCs w:val="24"/>
          <w:lang w:val="en-US" w:eastAsia="zh-CN"/>
          <w14:textFill>
            <w14:solidFill>
              <w14:schemeClr w14:val="tx1"/>
            </w14:solidFill>
          </w14:textFill>
        </w:rPr>
        <w:t>400 998 0000</w:t>
      </w:r>
    </w:p>
    <w:p w14:paraId="47E91C49">
      <w:pPr>
        <w:keepNext w:val="0"/>
        <w:keepLines w:val="0"/>
        <w:pageBreakBefore w:val="0"/>
        <w:widowControl w:val="0"/>
        <w:kinsoku/>
        <w:wordWrap/>
        <w:overflowPunct/>
        <w:topLinePunct w:val="0"/>
        <w:autoSpaceDE/>
        <w:autoSpaceDN/>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w:t>
      </w:r>
      <w:r>
        <w:rPr>
          <w:rFonts w:hint="eastAsia" w:ascii="宋体" w:hAnsi="宋体" w:eastAsia="宋体" w:cs="宋体"/>
          <w:b w:val="0"/>
          <w:bCs/>
          <w:color w:val="000000" w:themeColor="text1"/>
          <w:sz w:val="24"/>
          <w:szCs w:val="24"/>
          <w14:textFill>
            <w14:solidFill>
              <w14:schemeClr w14:val="tx1"/>
            </w14:solidFill>
          </w14:textFill>
        </w:rPr>
        <w:t>、投标截止时间</w:t>
      </w:r>
    </w:p>
    <w:p w14:paraId="30F38526">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投标文件的截止时间见本</w:t>
      </w:r>
      <w:r>
        <w:rPr>
          <w:rFonts w:hint="eastAsia" w:ascii="宋体" w:hAnsi="宋体" w:eastAsia="宋体" w:cs="宋体"/>
          <w:b w:val="0"/>
          <w:bCs/>
          <w:color w:val="000000" w:themeColor="text1"/>
          <w:sz w:val="24"/>
          <w:szCs w:val="24"/>
          <w:lang w:eastAsia="zh-CN"/>
          <w14:textFill>
            <w14:solidFill>
              <w14:schemeClr w14:val="tx1"/>
            </w14:solidFill>
          </w14:textFill>
        </w:rPr>
        <w:t>章供应商</w:t>
      </w:r>
      <w:r>
        <w:rPr>
          <w:rFonts w:hint="eastAsia" w:ascii="宋体" w:hAnsi="宋体" w:eastAsia="宋体" w:cs="宋体"/>
          <w:b w:val="0"/>
          <w:bCs/>
          <w:color w:val="000000" w:themeColor="text1"/>
          <w:sz w:val="24"/>
          <w:szCs w:val="24"/>
          <w14:textFill>
            <w14:solidFill>
              <w14:schemeClr w14:val="tx1"/>
            </w14:solidFill>
          </w14:textFill>
        </w:rPr>
        <w:t>须知前附表规定。</w:t>
      </w:r>
    </w:p>
    <w:p w14:paraId="0A9D1D9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14:textFill>
            <w14:solidFill>
              <w14:schemeClr w14:val="tx1"/>
            </w14:solidFill>
          </w14:textFill>
        </w:rPr>
        <w:t>采购人可按本须知中规定以修改补充通知的方式，酌情延长递交投标文件的截止时间。在此情况下，投标供应商的所有权利和义务以及投标供应商受制约的截止时间，均以延长后新的投标截止时间为准。</w:t>
      </w:r>
    </w:p>
    <w:p w14:paraId="59CA3E7C">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到投标截止时间止，采购人收到的投标文件少于3家的，采购人将依法重新组织招标。</w:t>
      </w:r>
    </w:p>
    <w:p w14:paraId="656B824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6.4 </w:t>
      </w:r>
      <w:r>
        <w:rPr>
          <w:rFonts w:hint="eastAsia" w:ascii="宋体" w:hAnsi="宋体" w:eastAsia="宋体" w:cs="宋体"/>
          <w:b w:val="0"/>
          <w:bCs/>
          <w:color w:val="000000" w:themeColor="text1"/>
          <w:sz w:val="24"/>
          <w:szCs w:val="24"/>
          <w14:textFill>
            <w14:solidFill>
              <w14:schemeClr w14:val="tx1"/>
            </w14:solidFill>
          </w14:textFill>
        </w:rPr>
        <w:t>逾期上传并未签到的投标文件，采购人不予受理。</w:t>
      </w:r>
    </w:p>
    <w:p w14:paraId="1381331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7、电子化</w:t>
      </w:r>
      <w:r>
        <w:rPr>
          <w:rFonts w:hint="eastAsia" w:ascii="宋体" w:hAnsi="宋体" w:eastAsia="宋体" w:cs="宋体"/>
          <w:b w:val="0"/>
          <w:bCs/>
          <w:color w:val="000000" w:themeColor="text1"/>
          <w:sz w:val="24"/>
          <w:szCs w:val="24"/>
          <w14:textFill>
            <w14:solidFill>
              <w14:schemeClr w14:val="tx1"/>
            </w14:solidFill>
          </w14:textFill>
        </w:rPr>
        <w:t>投标文件的补充、修改与撤回</w:t>
      </w:r>
    </w:p>
    <w:p w14:paraId="1B3BCC2C">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 </w:t>
      </w:r>
      <w:r>
        <w:rPr>
          <w:rFonts w:hint="eastAsia" w:ascii="宋体" w:hAnsi="宋体" w:eastAsia="宋体" w:cs="宋体"/>
          <w:b w:val="0"/>
          <w:bCs/>
          <w:color w:val="000000" w:themeColor="text1"/>
          <w:sz w:val="24"/>
          <w:szCs w:val="24"/>
          <w14:textFill>
            <w14:solidFill>
              <w14:schemeClr w14:val="tx1"/>
            </w14:solidFill>
          </w14:textFill>
        </w:rPr>
        <w:t>在投标截止时间前，</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可以修改或撤回已递交的投标文件。修改的内容为投标文件的组成部分。</w:t>
      </w:r>
    </w:p>
    <w:p w14:paraId="6C84206D">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14:textFill>
            <w14:solidFill>
              <w14:schemeClr w14:val="tx1"/>
            </w14:solidFill>
          </w14:textFill>
        </w:rPr>
        <w:t>在投标截止时间之后，投标供应商不得补充、修改投标文件。</w:t>
      </w:r>
    </w:p>
    <w:p w14:paraId="382B949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 </w:t>
      </w:r>
      <w:r>
        <w:rPr>
          <w:rFonts w:hint="eastAsia" w:ascii="宋体" w:hAnsi="宋体" w:eastAsia="宋体" w:cs="宋体"/>
          <w:b w:val="0"/>
          <w:bCs/>
          <w:color w:val="000000" w:themeColor="text1"/>
          <w:sz w:val="24"/>
          <w:szCs w:val="24"/>
          <w14:textFill>
            <w14:solidFill>
              <w14:schemeClr w14:val="tx1"/>
            </w14:solidFill>
          </w14:textFill>
        </w:rPr>
        <w:t>除</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须知前附表另有规定外，</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所递交的投标文件不予退还。</w:t>
      </w:r>
    </w:p>
    <w:p w14:paraId="6F45C755">
      <w:pPr>
        <w:keepNext w:val="0"/>
        <w:keepLines w:val="0"/>
        <w:pageBreakBefore w:val="0"/>
        <w:widowControl w:val="0"/>
        <w:kinsoku/>
        <w:wordWrap/>
        <w:overflowPunct/>
        <w:topLinePunct w:val="0"/>
        <w:bidi w:val="0"/>
        <w:spacing w:after="0" w:afterLines="0" w:line="500" w:lineRule="exact"/>
        <w:ind w:left="0" w:leftChars="0" w:firstLine="562" w:firstLineChars="200"/>
        <w:jc w:val="center"/>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五、</w:t>
      </w:r>
      <w:r>
        <w:rPr>
          <w:rFonts w:hint="eastAsia" w:ascii="宋体" w:hAnsi="宋体" w:eastAsia="宋体" w:cs="宋体"/>
          <w:b/>
          <w:bCs w:val="0"/>
          <w:color w:val="000000" w:themeColor="text1"/>
          <w:sz w:val="28"/>
          <w:szCs w:val="28"/>
          <w:lang w:val="en-US" w:eastAsia="zh-CN"/>
          <w14:textFill>
            <w14:solidFill>
              <w14:schemeClr w14:val="tx1"/>
            </w14:solidFill>
          </w14:textFill>
        </w:rPr>
        <w:t>开标</w:t>
      </w:r>
    </w:p>
    <w:p w14:paraId="08F1F37F">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、开标</w:t>
      </w:r>
    </w:p>
    <w:p w14:paraId="7206DBDC">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采购人按本</w:t>
      </w:r>
      <w:r>
        <w:rPr>
          <w:rFonts w:hint="eastAsia" w:ascii="宋体" w:hAnsi="宋体" w:eastAsia="宋体" w:cs="宋体"/>
          <w:b w:val="0"/>
          <w:bCs/>
          <w:color w:val="000000" w:themeColor="text1"/>
          <w:sz w:val="24"/>
          <w:szCs w:val="24"/>
          <w:lang w:eastAsia="zh-CN"/>
          <w14:textFill>
            <w14:solidFill>
              <w14:schemeClr w14:val="tx1"/>
            </w14:solidFill>
          </w14:textFill>
        </w:rPr>
        <w:t>章供应商</w:t>
      </w:r>
      <w:r>
        <w:rPr>
          <w:rFonts w:hint="eastAsia" w:ascii="宋体" w:hAnsi="宋体" w:eastAsia="宋体" w:cs="宋体"/>
          <w:b w:val="0"/>
          <w:bCs/>
          <w:color w:val="000000" w:themeColor="text1"/>
          <w:sz w:val="24"/>
          <w:szCs w:val="24"/>
          <w14:textFill>
            <w14:solidFill>
              <w14:schemeClr w14:val="tx1"/>
            </w14:solidFill>
          </w14:textFill>
        </w:rPr>
        <w:t>须知前附表所规定的时间和地点公开开标，开标会议由采购代理机构主持，在有关部门监督下进行。</w:t>
      </w:r>
    </w:p>
    <w:p w14:paraId="3CC4A19E">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开标程序：</w:t>
      </w:r>
    </w:p>
    <w:p w14:paraId="6604BB74">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在线准时参加开标活动并进行投标文件解密等。</w:t>
      </w:r>
    </w:p>
    <w:p w14:paraId="101286DC">
      <w:pPr>
        <w:keepNext w:val="0"/>
        <w:keepLines w:val="0"/>
        <w:pageBreakBefore w:val="0"/>
        <w:widowControl w:val="0"/>
        <w:kinsoku/>
        <w:wordWrap w:val="0"/>
        <w:overflowPunct/>
        <w:topLinePunct w:val="0"/>
        <w:autoSpaceDE/>
        <w:autoSpaceDN/>
        <w:bidi w:val="0"/>
        <w:adjustRightInd/>
        <w:snapToGrid/>
        <w:spacing w:after="0" w:afterLines="0" w:line="500" w:lineRule="exact"/>
        <w:ind w:left="0" w:leftChars="0" w:firstLine="480" w:firstLineChars="200"/>
        <w:jc w:val="both"/>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14:paraId="578C046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9、</w:t>
      </w:r>
      <w:r>
        <w:rPr>
          <w:rFonts w:hint="eastAsia" w:ascii="宋体" w:hAnsi="宋体" w:eastAsia="宋体" w:cs="宋体"/>
          <w:b w:val="0"/>
          <w:bCs/>
          <w:color w:val="000000" w:themeColor="text1"/>
          <w:sz w:val="24"/>
          <w:szCs w:val="24"/>
          <w14:textFill>
            <w14:solidFill>
              <w14:schemeClr w14:val="tx1"/>
            </w14:solidFill>
          </w14:textFill>
        </w:rPr>
        <w:t>电子化投标文件解密异常的处理</w:t>
      </w:r>
    </w:p>
    <w:p w14:paraId="7520C67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19.1 </w:t>
      </w:r>
      <w:r>
        <w:rPr>
          <w:rFonts w:hint="eastAsia" w:ascii="宋体" w:hAnsi="宋体" w:eastAsia="宋体" w:cs="宋体"/>
          <w:b w:val="0"/>
          <w:bCs/>
          <w:color w:val="000000" w:themeColor="text1"/>
          <w:sz w:val="24"/>
          <w:szCs w:val="24"/>
          <w14:textFill>
            <w14:solidFill>
              <w14:schemeClr w14:val="tx1"/>
            </w14:solidFill>
          </w14:textFill>
        </w:rPr>
        <w:t>如出现投标供应商的电子投标文件无法解密等异常情况，投标供应商应及时致电中介服务机构说明。投标文件异常，按以下步骤进行处理：</w:t>
      </w:r>
    </w:p>
    <w:p w14:paraId="54F324BB">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（1）首先由技术人员进行问题排查。</w:t>
      </w:r>
    </w:p>
    <w:p w14:paraId="6E7459B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（2）经技术人员排查后，是投标供应商文件自身问题导致投标文件无法解密的，该投标文件将不予接收、解密和唱标。开标会议继续进行。</w:t>
      </w:r>
    </w:p>
    <w:p w14:paraId="783E638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8EAC417">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9</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 </w:t>
      </w:r>
      <w:r>
        <w:rPr>
          <w:rFonts w:hint="eastAsia" w:ascii="宋体" w:hAnsi="宋体" w:eastAsia="宋体" w:cs="宋体"/>
          <w:b w:val="0"/>
          <w:bCs/>
          <w:color w:val="000000" w:themeColor="text1"/>
          <w:sz w:val="24"/>
          <w:szCs w:val="24"/>
          <w14:textFill>
            <w14:solidFill>
              <w14:schemeClr w14:val="tx1"/>
            </w14:solidFill>
          </w14:textFill>
        </w:rPr>
        <w:t>待所有投标供应商投标文件解密完成后，由中介服务机构操作，对所有已解密投标文件进行唱标。</w:t>
      </w:r>
    </w:p>
    <w:p w14:paraId="357A24CC">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19.3 </w:t>
      </w:r>
      <w:r>
        <w:rPr>
          <w:rFonts w:hint="eastAsia" w:ascii="宋体" w:hAnsi="宋体" w:eastAsia="宋体" w:cs="宋体"/>
          <w:b w:val="0"/>
          <w:bCs/>
          <w:color w:val="000000" w:themeColor="text1"/>
          <w:sz w:val="24"/>
          <w:szCs w:val="24"/>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BE1F41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9</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 xml:space="preserve"> 开标时投标供应商可登录到交易系统中在开标大厅中点击开标一览表查看自己的投标报价。如对自己的唱标内容有异议的，应在唱标内容显示后10分钟内</w:t>
      </w:r>
      <w:r>
        <w:rPr>
          <w:rFonts w:hint="eastAsia" w:ascii="宋体" w:hAnsi="宋体" w:eastAsia="宋体" w:cs="宋体"/>
          <w:b w:val="0"/>
          <w:bCs/>
          <w:color w:val="000000" w:themeColor="text1"/>
          <w:sz w:val="24"/>
          <w:szCs w:val="24"/>
          <w:lang w:val="en-US" w:eastAsia="zh-CN"/>
          <w14:textFill>
            <w14:solidFill>
              <w14:schemeClr w14:val="tx1"/>
            </w14:solidFill>
          </w14:textFill>
        </w:rPr>
        <w:t>向中介服务机构通过开标大厅对话框提出质疑</w:t>
      </w:r>
      <w:r>
        <w:rPr>
          <w:rFonts w:hint="eastAsia" w:ascii="宋体" w:hAnsi="宋体" w:eastAsia="宋体" w:cs="宋体"/>
          <w:b w:val="0"/>
          <w:bCs/>
          <w:color w:val="000000" w:themeColor="text1"/>
          <w:sz w:val="24"/>
          <w:szCs w:val="24"/>
          <w14:textFill>
            <w14:solidFill>
              <w14:schemeClr w14:val="tx1"/>
            </w14:solidFill>
          </w14:textFill>
        </w:rPr>
        <w:t>。中介服务机构接受投标供应商的质疑并做好书面记录。投标供应商未在规定时间内提出质疑的，视为认可唱标内容。</w:t>
      </w:r>
    </w:p>
    <w:p w14:paraId="054D9102">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14:textFill>
            <w14:solidFill>
              <w14:schemeClr w14:val="tx1"/>
            </w14:solidFill>
          </w14:textFill>
        </w:rPr>
        <w:t>投标文件的有效性</w:t>
      </w:r>
    </w:p>
    <w:p w14:paraId="4435185A">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投标文件有下列情形之一的为无效投标文件，采购人不予受理：</w:t>
      </w:r>
    </w:p>
    <w:p w14:paraId="12AB2E1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投标供应商资格条件不符合国家有关规定和招标文件要求的；</w:t>
      </w:r>
    </w:p>
    <w:p w14:paraId="2BC4274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没有按照招标文件要求提供投标承诺函；</w:t>
      </w:r>
    </w:p>
    <w:p w14:paraId="7756A11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电子化投标文件附有采购人不能接受的条件的；</w:t>
      </w:r>
    </w:p>
    <w:p w14:paraId="7E7B50B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4</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投标报价低于成本、高于招标文件设定的最高投标限价；</w:t>
      </w:r>
    </w:p>
    <w:p w14:paraId="6AFFACA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5</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以他人的名义投标、串通投标、以行贿手段谋取中标或者以其他弄虚作假方式投标的；</w:t>
      </w:r>
    </w:p>
    <w:p w14:paraId="6A848F2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6</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采取不正当手段谋取中标的；</w:t>
      </w:r>
    </w:p>
    <w:p w14:paraId="23EDA9DC">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7</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法律、法规规定的其他情况。</w:t>
      </w:r>
    </w:p>
    <w:p w14:paraId="48551C6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14:textFill>
            <w14:solidFill>
              <w14:schemeClr w14:val="tx1"/>
            </w14:solidFill>
          </w14:textFill>
        </w:rPr>
        <w:t>.2 采购人将有效投标文件，送评标委员会进行评审、比较。</w:t>
      </w:r>
    </w:p>
    <w:p w14:paraId="1E9B461F">
      <w:pPr>
        <w:keepNext w:val="0"/>
        <w:keepLines w:val="0"/>
        <w:pageBreakBefore w:val="0"/>
        <w:widowControl w:val="0"/>
        <w:kinsoku/>
        <w:overflowPunct/>
        <w:topLinePunct w:val="0"/>
        <w:autoSpaceDE w:val="0"/>
        <w:autoSpaceDN w:val="0"/>
        <w:bidi w:val="0"/>
        <w:spacing w:before="0" w:line="500" w:lineRule="exact"/>
        <w:ind w:left="0" w:right="0" w:rightChars="0"/>
        <w:jc w:val="center"/>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六、评标与定标</w:t>
      </w:r>
    </w:p>
    <w:p w14:paraId="472CAFD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21、</w:t>
      </w:r>
      <w:r>
        <w:rPr>
          <w:rFonts w:hint="eastAsia" w:ascii="宋体" w:hAnsi="宋体" w:eastAsia="宋体" w:cs="宋体"/>
          <w:b w:val="0"/>
          <w:bCs/>
          <w:color w:val="000000" w:themeColor="text1"/>
          <w:sz w:val="24"/>
          <w:szCs w:val="24"/>
          <w:lang w:eastAsia="zh-CN"/>
          <w14:textFill>
            <w14:solidFill>
              <w14:schemeClr w14:val="tx1"/>
            </w14:solidFill>
          </w14:textFill>
        </w:rPr>
        <w:t>评标委员会</w:t>
      </w:r>
    </w:p>
    <w:p w14:paraId="545B469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en-U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20.1</w:t>
      </w:r>
      <w:r>
        <w:rPr>
          <w:rFonts w:hint="eastAsia" w:ascii="宋体" w:hAnsi="宋体" w:eastAsia="宋体" w:cs="宋体"/>
          <w:b w:val="0"/>
          <w:bCs/>
          <w:color w:val="000000" w:themeColor="text1"/>
          <w:sz w:val="24"/>
          <w:szCs w:val="24"/>
          <w:lang w:val="en-US" w:eastAsia="en-US"/>
          <w14:textFill>
            <w14:solidFill>
              <w14:schemeClr w14:val="tx1"/>
            </w14:solidFill>
          </w14:textFill>
        </w:rPr>
        <w:t>评标由采购人依法组建的评标委员会负责。评标委员会由采购人熟悉相关业务的代表，以及有关</w:t>
      </w:r>
      <w:r>
        <w:rPr>
          <w:rFonts w:hint="eastAsia" w:ascii="宋体" w:hAnsi="宋体" w:eastAsia="宋体" w:cs="宋体"/>
          <w:b w:val="0"/>
          <w:bCs/>
          <w:color w:val="000000" w:themeColor="text1"/>
          <w:sz w:val="24"/>
          <w:szCs w:val="24"/>
          <w:lang w:val="en-US" w:eastAsia="zh-CN"/>
          <w14:textFill>
            <w14:solidFill>
              <w14:schemeClr w14:val="tx1"/>
            </w14:solidFill>
          </w14:textFill>
        </w:rPr>
        <w:t>经济、技术等</w:t>
      </w:r>
      <w:r>
        <w:rPr>
          <w:rFonts w:hint="eastAsia" w:ascii="宋体" w:hAnsi="宋体" w:eastAsia="宋体" w:cs="宋体"/>
          <w:b w:val="0"/>
          <w:bCs/>
          <w:color w:val="000000" w:themeColor="text1"/>
          <w:sz w:val="24"/>
          <w:szCs w:val="24"/>
          <w:lang w:val="en-US" w:eastAsia="en-US"/>
          <w14:textFill>
            <w14:solidFill>
              <w14:schemeClr w14:val="tx1"/>
            </w14:solidFill>
          </w14:textFill>
        </w:rPr>
        <w:t>方面的专家组成。评标委员会成员人数以及专家的确定方式见供应商须知前附表。</w:t>
      </w:r>
    </w:p>
    <w:p w14:paraId="09E888F2">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en-U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lang w:val="en-US" w:eastAsia="en-US"/>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en-US"/>
          <w14:textFill>
            <w14:solidFill>
              <w14:schemeClr w14:val="tx1"/>
            </w14:solidFill>
          </w14:textFill>
        </w:rPr>
        <w:t>评标委员会成员有下列情形之一的，应当回避：</w:t>
      </w:r>
    </w:p>
    <w:p w14:paraId="0914160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en-US"/>
          <w14:textFill>
            <w14:solidFill>
              <w14:schemeClr w14:val="tx1"/>
            </w14:solidFill>
          </w14:textFill>
        </w:rPr>
      </w:pPr>
      <w:r>
        <w:rPr>
          <w:rFonts w:hint="eastAsia" w:ascii="宋体" w:hAnsi="宋体" w:eastAsia="宋体" w:cs="宋体"/>
          <w:b w:val="0"/>
          <w:bCs/>
          <w:color w:val="000000" w:themeColor="text1"/>
          <w:sz w:val="24"/>
          <w:szCs w:val="24"/>
          <w:lang w:val="en-US" w:eastAsia="en-US"/>
          <w14:textFill>
            <w14:solidFill>
              <w14:schemeClr w14:val="tx1"/>
            </w14:solidFill>
          </w14:textFill>
        </w:rPr>
        <w:t>（1）采购人或投标供应商的主要负责人的近亲属；</w:t>
      </w:r>
    </w:p>
    <w:p w14:paraId="7F32B99E">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en-US"/>
          <w14:textFill>
            <w14:solidFill>
              <w14:schemeClr w14:val="tx1"/>
            </w14:solidFill>
          </w14:textFill>
        </w:rPr>
      </w:pPr>
      <w:r>
        <w:rPr>
          <w:rFonts w:hint="eastAsia" w:ascii="宋体" w:hAnsi="宋体" w:eastAsia="宋体" w:cs="宋体"/>
          <w:b w:val="0"/>
          <w:bCs/>
          <w:color w:val="000000" w:themeColor="text1"/>
          <w:sz w:val="24"/>
          <w:szCs w:val="24"/>
          <w:lang w:val="en-US" w:eastAsia="en-US"/>
          <w14:textFill>
            <w14:solidFill>
              <w14:schemeClr w14:val="tx1"/>
            </w14:solidFill>
          </w14:textFill>
        </w:rPr>
        <w:t>（2）项目主管部门或者行政监督部门的人员；</w:t>
      </w:r>
    </w:p>
    <w:p w14:paraId="3E7870E3">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en-US"/>
          <w14:textFill>
            <w14:solidFill>
              <w14:schemeClr w14:val="tx1"/>
            </w14:solidFill>
          </w14:textFill>
        </w:rPr>
      </w:pPr>
      <w:r>
        <w:rPr>
          <w:rFonts w:hint="eastAsia" w:ascii="宋体" w:hAnsi="宋体" w:eastAsia="宋体" w:cs="宋体"/>
          <w:b w:val="0"/>
          <w:bCs/>
          <w:color w:val="000000" w:themeColor="text1"/>
          <w:sz w:val="24"/>
          <w:szCs w:val="24"/>
          <w:lang w:val="en-US" w:eastAsia="en-US"/>
          <w14:textFill>
            <w14:solidFill>
              <w14:schemeClr w14:val="tx1"/>
            </w14:solidFill>
          </w14:textFill>
        </w:rPr>
        <w:t>（3）与投标供应商有经济利益关系，可能影响对投标公正评审的；</w:t>
      </w:r>
    </w:p>
    <w:p w14:paraId="38CA5E4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color w:val="000000" w:themeColor="text1"/>
          <w14:textFill>
            <w14:solidFill>
              <w14:schemeClr w14:val="tx1"/>
            </w14:solidFill>
          </w14:textFill>
        </w:rPr>
      </w:pPr>
      <w:r>
        <w:rPr>
          <w:rFonts w:hint="eastAsia" w:ascii="宋体" w:hAnsi="宋体" w:eastAsia="宋体" w:cs="宋体"/>
          <w:b w:val="0"/>
          <w:bCs/>
          <w:color w:val="000000" w:themeColor="text1"/>
          <w:sz w:val="24"/>
          <w:szCs w:val="24"/>
          <w:lang w:val="en-US" w:eastAsia="en-US"/>
          <w14:textFill>
            <w14:solidFill>
              <w14:schemeClr w14:val="tx1"/>
            </w14:solidFill>
          </w14:textFill>
        </w:rPr>
        <w:t>（4）曾因在招标、评标以及其他与招标投标有关活动中从事违法行为而受过行政处罚或刑事处罚的。</w:t>
      </w:r>
    </w:p>
    <w:p w14:paraId="204E045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r>
        <w:rPr>
          <w:rFonts w:hint="eastAsia" w:ascii="宋体" w:hAnsi="宋体" w:eastAsia="宋体" w:cs="宋体"/>
          <w:b w:val="0"/>
          <w:bCs/>
          <w:color w:val="000000" w:themeColor="text1"/>
          <w:sz w:val="24"/>
          <w:szCs w:val="24"/>
          <w14:textFill>
            <w14:solidFill>
              <w14:schemeClr w14:val="tx1"/>
            </w14:solidFill>
          </w14:textFill>
        </w:rPr>
        <w:t>评标过程的保密</w:t>
      </w:r>
    </w:p>
    <w:p w14:paraId="00EB4C1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pacing w:val="-6"/>
          <w:sz w:val="24"/>
          <w:szCs w:val="24"/>
          <w14:textFill>
            <w14:solidFill>
              <w14:schemeClr w14:val="tx1"/>
            </w14:solidFill>
          </w14:textFill>
        </w:rPr>
        <w:t>开标后，直至授予中标供应商合同为止，凡属于对</w:t>
      </w:r>
      <w:r>
        <w:rPr>
          <w:rFonts w:hint="eastAsia" w:ascii="宋体" w:hAnsi="宋体" w:eastAsia="宋体" w:cs="宋体"/>
          <w:b w:val="0"/>
          <w:bCs/>
          <w:color w:val="000000" w:themeColor="text1"/>
          <w:sz w:val="24"/>
          <w:szCs w:val="24"/>
          <w14:textFill>
            <w14:solidFill>
              <w14:schemeClr w14:val="tx1"/>
            </w14:solidFill>
          </w14:textFill>
        </w:rPr>
        <w:t>投标文件的审查、澄清、评价和比较有关的资料，中标候选人的推荐情况，及其他任何与评标有关的情况均应严格保密。</w:t>
      </w:r>
    </w:p>
    <w:p w14:paraId="37BC06E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在投标文件的评审和比较、中标候选人推荐以及授予合同的过程中，投标供应商向采购人和评标委员会施加影响的任何行为，都将会导致其投标被拒绝。</w:t>
      </w:r>
    </w:p>
    <w:p w14:paraId="54D45969">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中标供应商确定后，采购人不对未中标供应商就评标过程以及未能成交原因作出任何解释。未中标供应商不得向评标委员会组成人员或其他有关人员索问评标过程的情况和材料。</w:t>
      </w:r>
    </w:p>
    <w:p w14:paraId="0BEFE1D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评标原则</w:t>
      </w:r>
      <w:r>
        <w:rPr>
          <w:rFonts w:hint="eastAsia" w:ascii="宋体" w:hAnsi="宋体" w:eastAsia="宋体" w:cs="宋体"/>
          <w:b w:val="0"/>
          <w:bCs/>
          <w:color w:val="000000" w:themeColor="text1"/>
          <w:sz w:val="24"/>
          <w:szCs w:val="24"/>
          <w14:textFill>
            <w14:solidFill>
              <w14:schemeClr w14:val="tx1"/>
            </w14:solidFill>
          </w14:textFill>
        </w:rPr>
        <w:tab/>
      </w:r>
    </w:p>
    <w:p w14:paraId="44F8317B">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评标活动遵循公平、公正、科学和择优的原则。</w:t>
      </w:r>
    </w:p>
    <w:p w14:paraId="5C8D71B1">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24、</w:t>
      </w:r>
      <w:r>
        <w:rPr>
          <w:rFonts w:hint="eastAsia" w:ascii="宋体" w:hAnsi="宋体" w:eastAsia="宋体" w:cs="宋体"/>
          <w:b w:val="0"/>
          <w:bCs/>
          <w:color w:val="000000" w:themeColor="text1"/>
          <w:sz w:val="24"/>
          <w:szCs w:val="24"/>
          <w14:textFill>
            <w14:solidFill>
              <w14:schemeClr w14:val="tx1"/>
            </w14:solidFill>
          </w14:textFill>
        </w:rPr>
        <w:t>投标文件的澄清</w:t>
      </w:r>
    </w:p>
    <w:p w14:paraId="7E12B710">
      <w:pPr>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12D9B58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25、</w:t>
      </w:r>
      <w:r>
        <w:rPr>
          <w:rFonts w:hint="eastAsia" w:ascii="宋体" w:hAnsi="宋体" w:eastAsia="宋体" w:cs="宋体"/>
          <w:b w:val="0"/>
          <w:bCs/>
          <w:color w:val="000000" w:themeColor="text1"/>
          <w:sz w:val="24"/>
          <w:szCs w:val="24"/>
          <w14:textFill>
            <w14:solidFill>
              <w14:schemeClr w14:val="tx1"/>
            </w14:solidFill>
          </w14:textFill>
        </w:rPr>
        <w:t>投标文件的初审</w:t>
      </w:r>
    </w:p>
    <w:p w14:paraId="2468487F">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评标委员会应当对符合资格的投标供应商的投标文件进行符合性</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响应性</w:t>
      </w:r>
      <w:r>
        <w:rPr>
          <w:rFonts w:hint="eastAsia" w:ascii="宋体" w:hAnsi="宋体"/>
          <w:color w:val="000000" w:themeColor="text1"/>
          <w:sz w:val="24"/>
          <w:szCs w:val="24"/>
          <w14:textFill>
            <w14:solidFill>
              <w14:schemeClr w14:val="tx1"/>
            </w14:solidFill>
          </w14:textFill>
        </w:rPr>
        <w:t>审查，以确定其是否满足招标文件的实质性要求。</w:t>
      </w:r>
    </w:p>
    <w:p w14:paraId="4AC2DD99">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w:t>
      </w:r>
      <w:r>
        <w:rPr>
          <w:rFonts w:hint="eastAsia" w:ascii="宋体" w:hAnsi="宋体" w:eastAsia="宋体"/>
          <w:color w:val="000000" w:themeColor="text1"/>
          <w:sz w:val="24"/>
          <w:szCs w:val="24"/>
          <w:lang w:val="en-US" w:eastAsia="zh-CN"/>
          <w14:textFill>
            <w14:solidFill>
              <w14:schemeClr w14:val="tx1"/>
            </w14:solidFill>
          </w14:textFill>
        </w:rPr>
        <w:t>报</w:t>
      </w:r>
      <w:r>
        <w:rPr>
          <w:rFonts w:hint="eastAsia" w:ascii="宋体" w:hAnsi="宋体"/>
          <w:color w:val="000000" w:themeColor="text1"/>
          <w:sz w:val="24"/>
          <w:szCs w:val="24"/>
          <w14:textFill>
            <w14:solidFill>
              <w14:schemeClr w14:val="tx1"/>
            </w14:solidFill>
          </w14:textFill>
        </w:rPr>
        <w:t>价超出采购人预算的投标将会被拒绝。</w:t>
      </w:r>
    </w:p>
    <w:p w14:paraId="712E36CC">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实质上没有响应招标文件要求的投标将被拒绝，投标供应商不得通过修正或撤消不符之处而使其投标成为实质上响应投标。</w:t>
      </w:r>
    </w:p>
    <w:p w14:paraId="576BC01F">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.4</w:t>
      </w:r>
      <w:r>
        <w:rPr>
          <w:rFonts w:hint="eastAsia"/>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评标中有下列情形之一的，其投标将会被拒绝：</w:t>
      </w:r>
    </w:p>
    <w:p w14:paraId="249CF85E">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lang w:val="en-US" w:eastAsia="zh-CN"/>
          <w14:textFill>
            <w14:solidFill>
              <w14:schemeClr w14:val="tx1"/>
            </w14:solidFill>
          </w14:textFill>
        </w:rPr>
        <w:t>1</w:t>
      </w:r>
      <w:r>
        <w:rPr>
          <w:rFonts w:hint="eastAsia" w:ascii="宋体" w:hAnsi="宋体"/>
          <w:b w:val="0"/>
          <w:bCs w:val="0"/>
          <w:color w:val="000000" w:themeColor="text1"/>
          <w:sz w:val="24"/>
          <w:szCs w:val="24"/>
          <w14:textFill>
            <w14:solidFill>
              <w14:schemeClr w14:val="tx1"/>
            </w14:solidFill>
          </w14:textFill>
        </w:rPr>
        <w:t>)</w:t>
      </w:r>
      <w:r>
        <w:rPr>
          <w:rFonts w:hint="eastAsia" w:ascii="宋体" w:hAnsi="宋体"/>
          <w:b w:val="0"/>
          <w:bCs w:val="0"/>
          <w:color w:val="000000" w:themeColor="text1"/>
          <w:sz w:val="24"/>
          <w:szCs w:val="24"/>
          <w:lang w:val="zh-CN"/>
          <w14:textFill>
            <w14:solidFill>
              <w14:schemeClr w14:val="tx1"/>
            </w14:solidFill>
          </w14:textFill>
        </w:rPr>
        <w:t>未按</w:t>
      </w:r>
      <w:r>
        <w:rPr>
          <w:rFonts w:hint="eastAsia" w:ascii="宋体" w:hAnsi="宋体"/>
          <w:b w:val="0"/>
          <w:bCs w:val="0"/>
          <w:color w:val="000000" w:themeColor="text1"/>
          <w:sz w:val="24"/>
          <w:szCs w:val="24"/>
          <w:lang w:val="en-US" w:eastAsia="zh-CN"/>
          <w14:textFill>
            <w14:solidFill>
              <w14:schemeClr w14:val="tx1"/>
            </w14:solidFill>
          </w14:textFill>
        </w:rPr>
        <w:t>招标</w:t>
      </w:r>
      <w:r>
        <w:rPr>
          <w:rFonts w:hint="eastAsia" w:ascii="宋体" w:hAnsi="宋体"/>
          <w:b w:val="0"/>
          <w:bCs w:val="0"/>
          <w:color w:val="000000" w:themeColor="text1"/>
          <w:sz w:val="24"/>
          <w:szCs w:val="24"/>
          <w:lang w:val="zh-CN"/>
          <w14:textFill>
            <w14:solidFill>
              <w14:schemeClr w14:val="tx1"/>
            </w14:solidFill>
          </w14:textFill>
        </w:rPr>
        <w:t>文件要求和规定提交</w:t>
      </w:r>
      <w:r>
        <w:rPr>
          <w:rFonts w:hint="eastAsia" w:ascii="宋体" w:hAnsi="宋体"/>
          <w:b w:val="0"/>
          <w:bCs w:val="0"/>
          <w:color w:val="000000" w:themeColor="text1"/>
          <w:sz w:val="24"/>
          <w:szCs w:val="24"/>
          <w:lang w:val="en-US" w:eastAsia="zh-CN"/>
          <w14:textFill>
            <w14:solidFill>
              <w14:schemeClr w14:val="tx1"/>
            </w14:solidFill>
          </w14:textFill>
        </w:rPr>
        <w:t>资格</w:t>
      </w:r>
      <w:r>
        <w:rPr>
          <w:rFonts w:hint="eastAsia" w:ascii="宋体" w:hAnsi="宋体"/>
          <w:b w:val="0"/>
          <w:bCs w:val="0"/>
          <w:color w:val="000000" w:themeColor="text1"/>
          <w:sz w:val="24"/>
          <w:szCs w:val="24"/>
          <w:lang w:val="zh-CN"/>
          <w14:textFill>
            <w14:solidFill>
              <w14:schemeClr w14:val="tx1"/>
            </w14:solidFill>
          </w14:textFill>
        </w:rPr>
        <w:t>实质性响应材料的；</w:t>
      </w:r>
    </w:p>
    <w:p w14:paraId="13A00FA7">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eastAsia="zh-CN"/>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lang w:val="en-US" w:eastAsia="zh-CN"/>
          <w14:textFill>
            <w14:solidFill>
              <w14:schemeClr w14:val="tx1"/>
            </w14:solidFill>
          </w14:textFill>
        </w:rPr>
        <w:t>2</w:t>
      </w:r>
      <w:r>
        <w:rPr>
          <w:rFonts w:hint="eastAsia" w:ascii="宋体" w:hAnsi="宋体"/>
          <w:b w:val="0"/>
          <w:bCs w:val="0"/>
          <w:color w:val="000000" w:themeColor="text1"/>
          <w:sz w:val="24"/>
          <w:szCs w:val="24"/>
          <w14:textFill>
            <w14:solidFill>
              <w14:schemeClr w14:val="tx1"/>
            </w14:solidFill>
          </w14:textFill>
        </w:rPr>
        <w:t>)</w:t>
      </w:r>
      <w:r>
        <w:rPr>
          <w:rFonts w:hint="eastAsia" w:ascii="宋体" w:hAnsi="宋体"/>
          <w:b w:val="0"/>
          <w:bCs w:val="0"/>
          <w:color w:val="000000" w:themeColor="text1"/>
          <w:sz w:val="24"/>
          <w:szCs w:val="24"/>
          <w:lang w:val="zh-CN" w:eastAsia="zh-CN"/>
          <w14:textFill>
            <w14:solidFill>
              <w14:schemeClr w14:val="tx1"/>
            </w14:solidFill>
          </w14:textFill>
        </w:rPr>
        <w:t>相互串通</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的（有下列情形之一的，视为</w:t>
      </w:r>
      <w:r>
        <w:rPr>
          <w:rFonts w:hint="eastAsia" w:ascii="宋体" w:hAnsi="宋体"/>
          <w:b w:val="0"/>
          <w:bCs w:val="0"/>
          <w:color w:val="000000" w:themeColor="text1"/>
          <w:sz w:val="24"/>
          <w:szCs w:val="24"/>
          <w:lang w:val="en-US" w:eastAsia="zh-CN"/>
          <w14:textFill>
            <w14:solidFill>
              <w14:schemeClr w14:val="tx1"/>
            </w14:solidFill>
          </w14:textFill>
        </w:rPr>
        <w:t>投标人</w:t>
      </w:r>
      <w:r>
        <w:rPr>
          <w:rFonts w:hint="eastAsia" w:ascii="宋体" w:hAnsi="宋体"/>
          <w:b w:val="0"/>
          <w:bCs w:val="0"/>
          <w:color w:val="000000" w:themeColor="text1"/>
          <w:sz w:val="24"/>
          <w:szCs w:val="24"/>
          <w:lang w:val="zh-CN" w:eastAsia="zh-CN"/>
          <w14:textFill>
            <w14:solidFill>
              <w14:schemeClr w14:val="tx1"/>
            </w14:solidFill>
          </w14:textFill>
        </w:rPr>
        <w:t>相互串通</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w:t>
      </w:r>
    </w:p>
    <w:p w14:paraId="1E7AFDFF">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eastAsia="zh-CN"/>
          <w14:textFill>
            <w14:solidFill>
              <w14:schemeClr w14:val="tx1"/>
            </w14:solidFill>
          </w14:textFill>
        </w:rPr>
      </w:pPr>
      <w:r>
        <w:rPr>
          <w:rFonts w:hint="eastAsia" w:ascii="宋体" w:hAnsi="宋体"/>
          <w:b w:val="0"/>
          <w:bCs w:val="0"/>
          <w:color w:val="000000" w:themeColor="text1"/>
          <w:sz w:val="24"/>
          <w:szCs w:val="24"/>
          <w:lang w:val="zh-CN" w:eastAsia="zh-CN"/>
          <w14:textFill>
            <w14:solidFill>
              <w14:schemeClr w14:val="tx1"/>
            </w14:solidFill>
          </w14:textFill>
        </w:rPr>
        <w:t>A、不同</w:t>
      </w:r>
      <w:r>
        <w:rPr>
          <w:rFonts w:hint="eastAsia" w:ascii="宋体" w:hAnsi="宋体"/>
          <w:b w:val="0"/>
          <w:bCs w:val="0"/>
          <w:color w:val="000000" w:themeColor="text1"/>
          <w:sz w:val="24"/>
          <w:szCs w:val="24"/>
          <w:lang w:val="en-US" w:eastAsia="zh-CN"/>
          <w14:textFill>
            <w14:solidFill>
              <w14:schemeClr w14:val="tx1"/>
            </w14:solidFill>
          </w14:textFill>
        </w:rPr>
        <w:t>投标人</w:t>
      </w:r>
      <w:r>
        <w:rPr>
          <w:rFonts w:hint="eastAsia" w:ascii="宋体" w:hAnsi="宋体"/>
          <w:b w:val="0"/>
          <w:bCs w:val="0"/>
          <w:color w:val="000000" w:themeColor="text1"/>
          <w:sz w:val="24"/>
          <w:szCs w:val="24"/>
          <w:lang w:val="zh-CN" w:eastAsia="zh-CN"/>
          <w14:textFill>
            <w14:solidFill>
              <w14:schemeClr w14:val="tx1"/>
            </w14:solidFill>
          </w14:textFill>
        </w:rPr>
        <w:t>的</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文件由同一单位或者个人编制</w:t>
      </w:r>
    </w:p>
    <w:p w14:paraId="2B201554">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eastAsia="zh-CN"/>
          <w14:textFill>
            <w14:solidFill>
              <w14:schemeClr w14:val="tx1"/>
            </w14:solidFill>
          </w14:textFill>
        </w:rPr>
      </w:pPr>
      <w:r>
        <w:rPr>
          <w:rFonts w:hint="eastAsia" w:ascii="宋体" w:hAnsi="宋体"/>
          <w:b w:val="0"/>
          <w:bCs w:val="0"/>
          <w:color w:val="000000" w:themeColor="text1"/>
          <w:sz w:val="24"/>
          <w:szCs w:val="24"/>
          <w:lang w:val="zh-CN" w:eastAsia="zh-CN"/>
          <w14:textFill>
            <w14:solidFill>
              <w14:schemeClr w14:val="tx1"/>
            </w14:solidFill>
          </w14:textFill>
        </w:rPr>
        <w:t>B、不同</w:t>
      </w:r>
      <w:r>
        <w:rPr>
          <w:rFonts w:hint="eastAsia" w:ascii="宋体" w:hAnsi="宋体"/>
          <w:b w:val="0"/>
          <w:bCs w:val="0"/>
          <w:color w:val="000000" w:themeColor="text1"/>
          <w:sz w:val="24"/>
          <w:szCs w:val="24"/>
          <w:lang w:val="en-US" w:eastAsia="zh-CN"/>
          <w14:textFill>
            <w14:solidFill>
              <w14:schemeClr w14:val="tx1"/>
            </w14:solidFill>
          </w14:textFill>
        </w:rPr>
        <w:t>投标人</w:t>
      </w:r>
      <w:r>
        <w:rPr>
          <w:rFonts w:hint="eastAsia" w:ascii="宋体" w:hAnsi="宋体"/>
          <w:b w:val="0"/>
          <w:bCs w:val="0"/>
          <w:color w:val="000000" w:themeColor="text1"/>
          <w:sz w:val="24"/>
          <w:szCs w:val="24"/>
          <w:lang w:val="zh-CN" w:eastAsia="zh-CN"/>
          <w14:textFill>
            <w14:solidFill>
              <w14:schemeClr w14:val="tx1"/>
            </w14:solidFill>
          </w14:textFill>
        </w:rPr>
        <w:t>委托同一单位或者个人办理</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事宜</w:t>
      </w:r>
    </w:p>
    <w:p w14:paraId="5BB86D84">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eastAsia="zh-CN"/>
          <w14:textFill>
            <w14:solidFill>
              <w14:schemeClr w14:val="tx1"/>
            </w14:solidFill>
          </w14:textFill>
        </w:rPr>
      </w:pPr>
      <w:r>
        <w:rPr>
          <w:rFonts w:hint="eastAsia" w:ascii="宋体" w:hAnsi="宋体"/>
          <w:b w:val="0"/>
          <w:bCs w:val="0"/>
          <w:color w:val="000000" w:themeColor="text1"/>
          <w:sz w:val="24"/>
          <w:szCs w:val="24"/>
          <w:lang w:val="zh-CN" w:eastAsia="zh-CN"/>
          <w14:textFill>
            <w14:solidFill>
              <w14:schemeClr w14:val="tx1"/>
            </w14:solidFill>
          </w14:textFill>
        </w:rPr>
        <w:t>C、不同</w:t>
      </w:r>
      <w:r>
        <w:rPr>
          <w:rFonts w:hint="eastAsia" w:ascii="宋体" w:hAnsi="宋体"/>
          <w:b w:val="0"/>
          <w:bCs w:val="0"/>
          <w:color w:val="000000" w:themeColor="text1"/>
          <w:sz w:val="24"/>
          <w:szCs w:val="24"/>
          <w:lang w:val="en-US" w:eastAsia="zh-CN"/>
          <w14:textFill>
            <w14:solidFill>
              <w14:schemeClr w14:val="tx1"/>
            </w14:solidFill>
          </w14:textFill>
        </w:rPr>
        <w:t>投标人</w:t>
      </w:r>
      <w:r>
        <w:rPr>
          <w:rFonts w:hint="eastAsia" w:ascii="宋体" w:hAnsi="宋体"/>
          <w:b w:val="0"/>
          <w:bCs w:val="0"/>
          <w:color w:val="000000" w:themeColor="text1"/>
          <w:sz w:val="24"/>
          <w:szCs w:val="24"/>
          <w:lang w:val="zh-CN" w:eastAsia="zh-CN"/>
          <w14:textFill>
            <w14:solidFill>
              <w14:schemeClr w14:val="tx1"/>
            </w14:solidFill>
          </w14:textFill>
        </w:rPr>
        <w:t>的</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文载明的项目管理成员为同一人</w:t>
      </w:r>
    </w:p>
    <w:p w14:paraId="08182C80">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lang w:val="zh-CN" w:eastAsia="zh-CN"/>
          <w14:textFill>
            <w14:solidFill>
              <w14:schemeClr w14:val="tx1"/>
            </w14:solidFill>
          </w14:textFill>
        </w:rPr>
      </w:pPr>
      <w:r>
        <w:rPr>
          <w:rFonts w:hint="eastAsia" w:ascii="宋体" w:hAnsi="宋体"/>
          <w:b w:val="0"/>
          <w:bCs w:val="0"/>
          <w:color w:val="000000" w:themeColor="text1"/>
          <w:sz w:val="24"/>
          <w:szCs w:val="24"/>
          <w:lang w:val="zh-CN" w:eastAsia="zh-CN"/>
          <w14:textFill>
            <w14:solidFill>
              <w14:schemeClr w14:val="tx1"/>
            </w14:solidFill>
          </w14:textFill>
        </w:rPr>
        <w:t>D、不同</w:t>
      </w:r>
      <w:r>
        <w:rPr>
          <w:rFonts w:hint="eastAsia" w:ascii="宋体" w:hAnsi="宋体"/>
          <w:b w:val="0"/>
          <w:bCs w:val="0"/>
          <w:color w:val="000000" w:themeColor="text1"/>
          <w:sz w:val="24"/>
          <w:szCs w:val="24"/>
          <w:lang w:val="en-US" w:eastAsia="zh-CN"/>
          <w14:textFill>
            <w14:solidFill>
              <w14:schemeClr w14:val="tx1"/>
            </w14:solidFill>
          </w14:textFill>
        </w:rPr>
        <w:t>投标人</w:t>
      </w:r>
      <w:r>
        <w:rPr>
          <w:rFonts w:hint="eastAsia" w:ascii="宋体" w:hAnsi="宋体"/>
          <w:b w:val="0"/>
          <w:bCs w:val="0"/>
          <w:color w:val="000000" w:themeColor="text1"/>
          <w:sz w:val="24"/>
          <w:szCs w:val="24"/>
          <w:lang w:val="zh-CN" w:eastAsia="zh-CN"/>
          <w14:textFill>
            <w14:solidFill>
              <w14:schemeClr w14:val="tx1"/>
            </w14:solidFill>
          </w14:textFill>
        </w:rPr>
        <w:t>的</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文件异常一致或者</w:t>
      </w:r>
      <w:r>
        <w:rPr>
          <w:rFonts w:hint="eastAsia" w:ascii="宋体" w:hAnsi="宋体"/>
          <w:b w:val="0"/>
          <w:bCs w:val="0"/>
          <w:color w:val="000000" w:themeColor="text1"/>
          <w:sz w:val="24"/>
          <w:szCs w:val="24"/>
          <w:lang w:val="en-US" w:eastAsia="zh-CN"/>
          <w14:textFill>
            <w14:solidFill>
              <w14:schemeClr w14:val="tx1"/>
            </w14:solidFill>
          </w14:textFill>
        </w:rPr>
        <w:t>投标</w:t>
      </w:r>
      <w:r>
        <w:rPr>
          <w:rFonts w:hint="eastAsia" w:ascii="宋体" w:hAnsi="宋体"/>
          <w:b w:val="0"/>
          <w:bCs w:val="0"/>
          <w:color w:val="000000" w:themeColor="text1"/>
          <w:sz w:val="24"/>
          <w:szCs w:val="24"/>
          <w:lang w:val="zh-CN" w:eastAsia="zh-CN"/>
          <w14:textFill>
            <w14:solidFill>
              <w14:schemeClr w14:val="tx1"/>
            </w14:solidFill>
          </w14:textFill>
        </w:rPr>
        <w:t>报价呈规律性差异</w:t>
      </w:r>
    </w:p>
    <w:p w14:paraId="05EFC363">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 xml:space="preserve">(3)投标文件未按招标文件要求签署、盖章的； </w:t>
      </w:r>
    </w:p>
    <w:p w14:paraId="23CE31C3">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(4)报价超过招标文件中规定的</w:t>
      </w:r>
      <w:r>
        <w:rPr>
          <w:rFonts w:hint="eastAsia" w:ascii="宋体" w:hAnsi="宋体" w:eastAsia="宋体"/>
          <w:b w:val="0"/>
          <w:bCs w:val="0"/>
          <w:color w:val="000000" w:themeColor="text1"/>
          <w:sz w:val="24"/>
          <w:szCs w:val="24"/>
          <w:lang w:eastAsia="zh-CN"/>
          <w14:textFill>
            <w14:solidFill>
              <w14:schemeClr w14:val="tx1"/>
            </w14:solidFill>
          </w14:textFill>
        </w:rPr>
        <w:t>预算单价金额</w:t>
      </w:r>
      <w:r>
        <w:rPr>
          <w:rFonts w:hint="eastAsia" w:ascii="宋体" w:hAnsi="宋体"/>
          <w:b w:val="0"/>
          <w:bCs w:val="0"/>
          <w:color w:val="000000" w:themeColor="text1"/>
          <w:sz w:val="24"/>
          <w:szCs w:val="24"/>
          <w14:textFill>
            <w14:solidFill>
              <w14:schemeClr w14:val="tx1"/>
            </w14:solidFill>
          </w14:textFill>
        </w:rPr>
        <w:t>或者最高限价的；</w:t>
      </w:r>
    </w:p>
    <w:p w14:paraId="32C8F777">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(5)投标文件含有采购人不能接受的附加条件的；</w:t>
      </w:r>
    </w:p>
    <w:p w14:paraId="7EA1A231">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b/>
          <w:bCs/>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(6)法律、法规和招标文件规定的其他无效情形。</w:t>
      </w:r>
    </w:p>
    <w:p w14:paraId="0AD88845">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6、</w:t>
      </w:r>
      <w:r>
        <w:rPr>
          <w:rFonts w:hint="eastAsia" w:ascii="宋体" w:hAnsi="宋体"/>
          <w:b w:val="0"/>
          <w:bCs w:val="0"/>
          <w:color w:val="000000" w:themeColor="text1"/>
          <w:sz w:val="24"/>
          <w:szCs w:val="24"/>
          <w14:textFill>
            <w14:solidFill>
              <w14:schemeClr w14:val="tx1"/>
            </w14:solidFill>
          </w14:textFill>
        </w:rPr>
        <w:t>投标文件计算错误的修正</w:t>
      </w:r>
    </w:p>
    <w:p w14:paraId="5B23F518">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6</w:t>
      </w:r>
      <w:r>
        <w:rPr>
          <w:rFonts w:hint="eastAsia" w:ascii="宋体" w:hAnsi="宋体"/>
          <w:b w:val="0"/>
          <w:bCs w:val="0"/>
          <w:color w:val="000000" w:themeColor="text1"/>
          <w:sz w:val="24"/>
          <w:szCs w:val="24"/>
          <w14:textFill>
            <w14:solidFill>
              <w14:schemeClr w14:val="tx1"/>
            </w14:solidFill>
          </w14:textFill>
        </w:rPr>
        <w:t>.1</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5BAC0DBF">
      <w:pPr>
        <w:keepNext w:val="0"/>
        <w:keepLines w:val="0"/>
        <w:pageBreakBefore w:val="0"/>
        <w:widowControl w:val="0"/>
        <w:kinsoku/>
        <w:wordWrap/>
        <w:overflowPunct/>
        <w:topLinePunct w:val="0"/>
        <w:autoSpaceDE w:val="0"/>
        <w:autoSpaceDN w:val="0"/>
        <w:bidi w:val="0"/>
        <w:adjustRightInd/>
        <w:snapToGrid/>
        <w:spacing w:before="0" w:line="500" w:lineRule="exact"/>
        <w:ind w:right="0" w:rightChars="0"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color w:val="000000" w:themeColor="text1"/>
          <w:kern w:val="2"/>
          <w:sz w:val="24"/>
          <w:szCs w:val="24"/>
          <w14:textFill>
            <w14:solidFill>
              <w14:schemeClr w14:val="tx1"/>
            </w14:solidFill>
          </w14:textFill>
        </w:rPr>
        <w:t>投标文件中投标函附</w:t>
      </w:r>
      <w:r>
        <w:rPr>
          <w:rFonts w:hint="eastAsia"/>
          <w:color w:val="000000" w:themeColor="text1"/>
          <w:kern w:val="2"/>
          <w:sz w:val="24"/>
          <w:szCs w:val="24"/>
          <w:lang w:eastAsia="zh-CN"/>
          <w14:textFill>
            <w14:solidFill>
              <w14:schemeClr w14:val="tx1"/>
            </w14:solidFill>
          </w14:textFill>
        </w:rPr>
        <w:t>录</w:t>
      </w:r>
      <w:r>
        <w:rPr>
          <w:rFonts w:hint="eastAsia" w:ascii="宋体" w:hAnsi="宋体"/>
          <w:color w:val="000000" w:themeColor="text1"/>
          <w:kern w:val="2"/>
          <w:sz w:val="24"/>
          <w:szCs w:val="24"/>
          <w14:textFill>
            <w14:solidFill>
              <w14:schemeClr w14:val="tx1"/>
            </w14:solidFill>
          </w14:textFill>
        </w:rPr>
        <w:t>内容与投标文件中相应内容</w:t>
      </w:r>
      <w:r>
        <w:rPr>
          <w:rFonts w:hint="eastAsia" w:ascii="宋体" w:hAnsi="宋体" w:eastAsia="宋体" w:cs="宋体"/>
          <w:b w:val="0"/>
          <w:bCs/>
          <w:color w:val="000000" w:themeColor="text1"/>
          <w:spacing w:val="-6"/>
          <w:sz w:val="24"/>
          <w:szCs w:val="24"/>
          <w14:textFill>
            <w14:solidFill>
              <w14:schemeClr w14:val="tx1"/>
            </w14:solidFill>
          </w14:textFill>
        </w:rPr>
        <w:t>不一致的，以投标函</w:t>
      </w:r>
      <w:r>
        <w:rPr>
          <w:rFonts w:hint="eastAsia" w:ascii="宋体" w:hAnsi="宋体"/>
          <w:color w:val="000000" w:themeColor="text1"/>
          <w:kern w:val="2"/>
          <w:sz w:val="24"/>
          <w:szCs w:val="24"/>
          <w14:textFill>
            <w14:solidFill>
              <w14:schemeClr w14:val="tx1"/>
            </w14:solidFill>
          </w14:textFill>
        </w:rPr>
        <w:t>附</w:t>
      </w:r>
      <w:r>
        <w:rPr>
          <w:rFonts w:hint="eastAsia"/>
          <w:color w:val="000000" w:themeColor="text1"/>
          <w:kern w:val="2"/>
          <w:sz w:val="24"/>
          <w:szCs w:val="24"/>
          <w:lang w:eastAsia="zh-CN"/>
          <w14:textFill>
            <w14:solidFill>
              <w14:schemeClr w14:val="tx1"/>
            </w14:solidFill>
          </w14:textFill>
        </w:rPr>
        <w:t>录</w:t>
      </w:r>
      <w:r>
        <w:rPr>
          <w:rFonts w:hint="eastAsia" w:ascii="宋体" w:hAnsi="宋体"/>
          <w:color w:val="000000" w:themeColor="text1"/>
          <w:kern w:val="2"/>
          <w:sz w:val="24"/>
          <w:szCs w:val="24"/>
          <w14:textFill>
            <w14:solidFill>
              <w14:schemeClr w14:val="tx1"/>
            </w14:solidFill>
          </w14:textFill>
        </w:rPr>
        <w:t>为准；</w:t>
      </w:r>
    </w:p>
    <w:p w14:paraId="35865AAD">
      <w:pPr>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2</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大写金额和小写金额不一致的，以大写金额为准；</w:t>
      </w:r>
    </w:p>
    <w:p w14:paraId="34A42FE5">
      <w:pPr>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480" w:firstLineChars="200"/>
        <w:jc w:val="left"/>
        <w:textAlignment w:val="auto"/>
        <w:rPr>
          <w:rFonts w:hint="eastAsia" w:ascii="宋体" w:hAnsi="宋体"/>
          <w:color w:val="000000" w:themeColor="text1"/>
          <w:kern w:val="2"/>
          <w:sz w:val="24"/>
          <w:szCs w:val="24"/>
          <w:highlight w:val="none"/>
          <w14:textFill>
            <w14:solidFill>
              <w14:schemeClr w14:val="tx1"/>
            </w14:solidFill>
          </w14:textFill>
        </w:rPr>
      </w:pPr>
      <w:r>
        <w:rPr>
          <w:rFonts w:hint="eastAsia" w:ascii="宋体" w:hAnsi="宋体" w:eastAsia="宋体"/>
          <w:color w:val="000000" w:themeColor="text1"/>
          <w:kern w:val="2"/>
          <w:sz w:val="24"/>
          <w:szCs w:val="24"/>
          <w:highlight w:val="none"/>
          <w:lang w:eastAsia="zh-CN"/>
          <w14:textFill>
            <w14:solidFill>
              <w14:schemeClr w14:val="tx1"/>
            </w14:solidFill>
          </w14:textFill>
        </w:rPr>
        <w:t>（</w:t>
      </w:r>
      <w:r>
        <w:rPr>
          <w:rFonts w:hint="eastAsia" w:ascii="宋体" w:hAnsi="宋体" w:eastAsia="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olor w:val="000000" w:themeColor="text1"/>
          <w:kern w:val="2"/>
          <w:sz w:val="24"/>
          <w:szCs w:val="24"/>
          <w:highlight w:val="none"/>
          <w:lang w:eastAsia="zh-CN"/>
          <w14:textFill>
            <w14:solidFill>
              <w14:schemeClr w14:val="tx1"/>
            </w14:solidFill>
          </w14:textFill>
        </w:rPr>
        <w:t>）</w:t>
      </w:r>
      <w:r>
        <w:rPr>
          <w:rFonts w:hint="eastAsia" w:ascii="宋体" w:hAnsi="宋体"/>
          <w:color w:val="000000" w:themeColor="text1"/>
          <w:kern w:val="2"/>
          <w:sz w:val="24"/>
          <w:szCs w:val="24"/>
          <w:highlight w:val="none"/>
          <w14:textFill>
            <w14:solidFill>
              <w14:schemeClr w14:val="tx1"/>
            </w14:solidFill>
          </w14:textFill>
        </w:rPr>
        <w:t>总价金额与按单价汇总金额不一致的，以单价金额计算结果为准</w:t>
      </w:r>
      <w:r>
        <w:rPr>
          <w:rFonts w:hint="eastAsia" w:ascii="宋体" w:hAnsi="宋体" w:eastAsia="宋体"/>
          <w:color w:val="000000" w:themeColor="text1"/>
          <w:kern w:val="2"/>
          <w:sz w:val="24"/>
          <w:szCs w:val="24"/>
          <w:highlight w:val="none"/>
          <w:lang w:eastAsia="zh-CN"/>
          <w14:textFill>
            <w14:solidFill>
              <w14:schemeClr w14:val="tx1"/>
            </w14:solidFill>
          </w14:textFill>
        </w:rPr>
        <w:t>；</w:t>
      </w:r>
      <w:r>
        <w:rPr>
          <w:rFonts w:hint="eastAsia" w:ascii="宋体" w:hAnsi="宋体"/>
          <w:color w:val="000000" w:themeColor="text1"/>
          <w:kern w:val="2"/>
          <w:sz w:val="24"/>
          <w:szCs w:val="24"/>
          <w:highlight w:val="none"/>
          <w:lang w:val="en-US" w:eastAsia="zh-CN"/>
          <w14:textFill>
            <w14:solidFill>
              <w14:schemeClr w14:val="tx1"/>
            </w14:solidFill>
          </w14:textFill>
        </w:rPr>
        <w:t>单价金额小数点有明显错误的除外；</w:t>
      </w:r>
    </w:p>
    <w:p w14:paraId="05CCFC70">
      <w:pPr>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同时出现两种以上不一致的，按照顺序修正。</w:t>
      </w:r>
      <w:r>
        <w:rPr>
          <w:rFonts w:hint="eastAsia" w:ascii="宋体" w:hAnsi="宋体"/>
          <w:color w:val="000000" w:themeColor="text1"/>
          <w:sz w:val="24"/>
          <w:szCs w:val="24"/>
          <w:lang w:val="en-US" w:eastAsia="zh-CN"/>
          <w14:textFill>
            <w14:solidFill>
              <w14:schemeClr w14:val="tx1"/>
            </w14:solidFill>
          </w14:textFill>
        </w:rPr>
        <w:t>修正后的报价经供应商确认后产生约束力，供应商不确认的，其投标无效</w:t>
      </w:r>
      <w:r>
        <w:rPr>
          <w:rFonts w:hint="eastAsia" w:ascii="宋体" w:hAnsi="宋体"/>
          <w:color w:val="000000" w:themeColor="text1"/>
          <w:sz w:val="24"/>
          <w:szCs w:val="24"/>
          <w14:textFill>
            <w14:solidFill>
              <w14:schemeClr w14:val="tx1"/>
            </w14:solidFill>
          </w14:textFill>
        </w:rPr>
        <w:t>。</w:t>
      </w:r>
    </w:p>
    <w:p w14:paraId="70538C08">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2</w:t>
      </w:r>
      <w:r>
        <w:rPr>
          <w:rFonts w:hint="eastAsia" w:ascii="宋体" w:hAnsi="宋体" w:eastAsia="宋体"/>
          <w:b w:val="0"/>
          <w:bCs w:val="0"/>
          <w:color w:val="000000" w:themeColor="text1"/>
          <w:sz w:val="24"/>
          <w:szCs w:val="24"/>
          <w:highlight w:val="none"/>
          <w:lang w:val="en-US" w:eastAsia="zh-CN"/>
          <w14:textFill>
            <w14:solidFill>
              <w14:schemeClr w14:val="tx1"/>
            </w14:solidFill>
          </w14:textFill>
        </w:rPr>
        <w:t>7、</w:t>
      </w:r>
      <w:r>
        <w:rPr>
          <w:rFonts w:hint="eastAsia" w:ascii="宋体" w:hAnsi="宋体"/>
          <w:b w:val="0"/>
          <w:bCs w:val="0"/>
          <w:color w:val="000000" w:themeColor="text1"/>
          <w:sz w:val="24"/>
          <w:szCs w:val="24"/>
          <w:highlight w:val="none"/>
          <w14:textFill>
            <w14:solidFill>
              <w14:schemeClr w14:val="tx1"/>
            </w14:solidFill>
          </w14:textFill>
        </w:rPr>
        <w:t>投标文件的评审、比较和否决</w:t>
      </w:r>
    </w:p>
    <w:p w14:paraId="19181822">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.1</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评标委员会将按照招标文件的规定，仅对在实质上响应招标文件要求的投标文件进行评估和比较。</w:t>
      </w:r>
    </w:p>
    <w:p w14:paraId="75FF1BBB">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.2</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根据相关法律法规，结合本项目具体情况，制定本次招标评标办法。并按照</w:t>
      </w:r>
      <w:r>
        <w:rPr>
          <w:rFonts w:hint="eastAsia" w:ascii="宋体" w:hAnsi="宋体" w:eastAsia="宋体"/>
          <w:b w:val="0"/>
          <w:bCs w:val="0"/>
          <w:color w:val="000000" w:themeColor="text1"/>
          <w:sz w:val="24"/>
          <w:szCs w:val="24"/>
          <w:lang w:eastAsia="zh-CN"/>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公平、公正、科学、择优</w:t>
      </w:r>
      <w:r>
        <w:rPr>
          <w:rFonts w:hint="eastAsia" w:ascii="宋体" w:hAnsi="宋体" w:eastAsia="宋体"/>
          <w:b w:val="0"/>
          <w:bCs w:val="0"/>
          <w:color w:val="000000" w:themeColor="text1"/>
          <w:sz w:val="24"/>
          <w:szCs w:val="24"/>
          <w:lang w:eastAsia="zh-CN"/>
          <w14:textFill>
            <w14:solidFill>
              <w14:schemeClr w14:val="tx1"/>
            </w14:solidFill>
          </w14:textFill>
        </w:rPr>
        <w:t>”</w:t>
      </w:r>
      <w:r>
        <w:rPr>
          <w:rFonts w:hint="eastAsia" w:ascii="宋体" w:hAnsi="宋体"/>
          <w:b w:val="0"/>
          <w:bCs w:val="0"/>
          <w:color w:val="000000" w:themeColor="text1"/>
          <w:sz w:val="24"/>
          <w:szCs w:val="24"/>
          <w14:textFill>
            <w14:solidFill>
              <w14:schemeClr w14:val="tx1"/>
            </w14:solidFill>
          </w14:textFill>
        </w:rPr>
        <w:t>的原则进行评标。</w:t>
      </w:r>
    </w:p>
    <w:p w14:paraId="2638AA8E">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.3</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在评审过程中，评标委员会可以要求投标供应商就投标文件中含义不明确的内容进行说明并提供相关材料。</w:t>
      </w:r>
    </w:p>
    <w:p w14:paraId="7BEB6EB3">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.4</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评标时，投标报价是评标的重要依据，但不是唯一依据，采购人不承诺将合同授予报价最低或最高的投标供应商。</w:t>
      </w:r>
    </w:p>
    <w:p w14:paraId="5E601018">
      <w:pPr>
        <w:keepNext w:val="0"/>
        <w:keepLines w:val="0"/>
        <w:pageBreakBefore w:val="0"/>
        <w:widowControl w:val="0"/>
        <w:kinsoku/>
        <w:overflowPunct/>
        <w:topLinePunct w:val="0"/>
        <w:bidi w:val="0"/>
        <w:spacing w:line="500" w:lineRule="exact"/>
        <w:ind w:firstLine="480"/>
        <w:rPr>
          <w:rFonts w:ascii="宋体" w:hAnsi="宋体" w:eastAsia="宋体" w:cs="宋体"/>
          <w:color w:val="000000" w:themeColor="text1"/>
          <w:sz w:val="22"/>
          <w:szCs w:val="22"/>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w:t>
      </w:r>
      <w:r>
        <w:rPr>
          <w:rFonts w:hint="eastAsia" w:ascii="宋体" w:hAnsi="宋体" w:eastAsia="宋体" w:cs="宋体"/>
          <w:color w:val="000000" w:themeColor="text1"/>
          <w:sz w:val="22"/>
          <w:szCs w:val="22"/>
          <w14:textFill>
            <w14:solidFill>
              <w14:schemeClr w14:val="tx1"/>
            </w14:solidFill>
          </w14:textFill>
        </w:rPr>
        <w:t>效投标处理。</w:t>
      </w:r>
    </w:p>
    <w:p w14:paraId="72E54900">
      <w:pPr>
        <w:keepNext w:val="0"/>
        <w:keepLines w:val="0"/>
        <w:pageBreakBefore w:val="0"/>
        <w:widowControl w:val="0"/>
        <w:kinsoku/>
        <w:overflowPunct/>
        <w:topLinePunct w:val="0"/>
        <w:autoSpaceDE w:val="0"/>
        <w:autoSpaceDN w:val="0"/>
        <w:bidi w:val="0"/>
        <w:spacing w:before="0" w:line="500" w:lineRule="exact"/>
        <w:ind w:left="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val="0"/>
          <w:bCs w:val="0"/>
          <w:color w:val="000000" w:themeColor="text1"/>
          <w:sz w:val="24"/>
          <w:szCs w:val="24"/>
          <w14:textFill>
            <w14:solidFill>
              <w14:schemeClr w14:val="tx1"/>
            </w14:solidFill>
          </w14:textFill>
        </w:rPr>
        <w:t>2</w:t>
      </w:r>
      <w:r>
        <w:rPr>
          <w:rFonts w:hint="eastAsia" w:ascii="宋体" w:hAnsi="宋体" w:eastAsia="宋体"/>
          <w:b w:val="0"/>
          <w:bCs w:val="0"/>
          <w:color w:val="000000" w:themeColor="text1"/>
          <w:sz w:val="24"/>
          <w:szCs w:val="24"/>
          <w:lang w:val="en-US" w:eastAsia="zh-CN"/>
          <w14:textFill>
            <w14:solidFill>
              <w14:schemeClr w14:val="tx1"/>
            </w14:solidFill>
          </w14:textFill>
        </w:rPr>
        <w:t>7</w:t>
      </w:r>
      <w:r>
        <w:rPr>
          <w:rFonts w:hint="eastAsia" w:ascii="宋体" w:hAnsi="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lang w:val="en-US" w:eastAsia="zh-CN"/>
          <w14:textFill>
            <w14:solidFill>
              <w14:schemeClr w14:val="tx1"/>
            </w14:solidFill>
          </w14:textFill>
        </w:rPr>
        <w:t>6</w:t>
      </w: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宋体" w:hAnsi="宋体"/>
          <w:b w:val="0"/>
          <w:bCs w:val="0"/>
          <w:color w:val="000000" w:themeColor="text1"/>
          <w:sz w:val="24"/>
          <w:szCs w:val="24"/>
          <w14:textFill>
            <w14:solidFill>
              <w14:schemeClr w14:val="tx1"/>
            </w14:solidFill>
          </w14:textFill>
        </w:rPr>
        <w:t>评标</w:t>
      </w:r>
      <w:r>
        <w:rPr>
          <w:rFonts w:hint="eastAsia" w:ascii="宋体" w:hAnsi="宋体"/>
          <w:color w:val="000000" w:themeColor="text1"/>
          <w:sz w:val="24"/>
          <w:szCs w:val="24"/>
          <w14:textFill>
            <w14:solidFill>
              <w14:schemeClr w14:val="tx1"/>
            </w14:solidFill>
          </w14:textFill>
        </w:rPr>
        <w:t>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39A53C0E">
      <w:pPr>
        <w:keepNext w:val="0"/>
        <w:keepLines w:val="0"/>
        <w:pageBreakBefore w:val="0"/>
        <w:widowControl w:val="0"/>
        <w:numPr>
          <w:ilvl w:val="0"/>
          <w:numId w:val="0"/>
        </w:numPr>
        <w:kinsoku/>
        <w:wordWrap/>
        <w:overflowPunct/>
        <w:topLinePunct w:val="0"/>
        <w:bidi w:val="0"/>
        <w:spacing w:after="0" w:afterLines="0" w:line="500" w:lineRule="exact"/>
        <w:jc w:val="center"/>
        <w:rPr>
          <w:rFonts w:hint="eastAsia" w:ascii="宋体" w:hAnsi="宋体" w:eastAsia="宋体" w:cs="宋体"/>
          <w:b/>
          <w:bCs/>
          <w:color w:val="000000" w:themeColor="text1"/>
          <w:kern w:val="0"/>
          <w:sz w:val="28"/>
          <w:szCs w:val="28"/>
          <w14:textFill>
            <w14:solidFill>
              <w14:schemeClr w14:val="tx1"/>
            </w14:solidFill>
          </w14:textFill>
        </w:rPr>
      </w:pPr>
      <w:bookmarkStart w:id="25" w:name="_Toc24063"/>
      <w:r>
        <w:rPr>
          <w:rFonts w:hint="eastAsia" w:ascii="宋体" w:hAnsi="宋体" w:eastAsia="宋体" w:cs="宋体"/>
          <w:b/>
          <w:bCs/>
          <w:color w:val="000000" w:themeColor="text1"/>
          <w:kern w:val="0"/>
          <w:sz w:val="28"/>
          <w:szCs w:val="28"/>
          <w:lang w:val="en-US" w:eastAsia="en-US" w:bidi="ar-SA"/>
          <w14:textFill>
            <w14:solidFill>
              <w14:schemeClr w14:val="tx1"/>
            </w14:solidFill>
          </w14:textFill>
        </w:rPr>
        <w:t>七、</w:t>
      </w:r>
      <w:r>
        <w:rPr>
          <w:rFonts w:hint="eastAsia" w:ascii="宋体" w:hAnsi="宋体" w:eastAsia="宋体" w:cs="宋体"/>
          <w:b/>
          <w:bCs/>
          <w:color w:val="000000" w:themeColor="text1"/>
          <w:kern w:val="0"/>
          <w:sz w:val="28"/>
          <w:szCs w:val="28"/>
          <w14:textFill>
            <w14:solidFill>
              <w14:schemeClr w14:val="tx1"/>
            </w14:solidFill>
          </w14:textFill>
        </w:rPr>
        <w:t>授予合同</w:t>
      </w:r>
      <w:bookmarkEnd w:id="25"/>
    </w:p>
    <w:p w14:paraId="452779AC">
      <w:pPr>
        <w:keepNext w:val="0"/>
        <w:keepLines w:val="0"/>
        <w:pageBreakBefore w:val="0"/>
        <w:widowControl w:val="0"/>
        <w:numPr>
          <w:ilvl w:val="0"/>
          <w:numId w:val="0"/>
        </w:numPr>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合同授予标准</w:t>
      </w:r>
    </w:p>
    <w:p w14:paraId="35C3F6E0">
      <w:pPr>
        <w:keepNext w:val="0"/>
        <w:keepLines w:val="0"/>
        <w:pageBreakBefore w:val="0"/>
        <w:widowControl w:val="0"/>
        <w:numPr>
          <w:ilvl w:val="0"/>
          <w:numId w:val="0"/>
        </w:numPr>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本招标项目的合同将授予按本评标办法确定的中标供应商。</w:t>
      </w:r>
    </w:p>
    <w:p w14:paraId="593C82BE">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评标结束后，</w:t>
      </w:r>
      <w:r>
        <w:rPr>
          <w:rFonts w:hint="eastAsia" w:ascii="宋体" w:hAnsi="宋体" w:eastAsia="宋体" w:cs="宋体"/>
          <w:b w:val="0"/>
          <w:bCs/>
          <w:color w:val="000000" w:themeColor="text1"/>
          <w:sz w:val="24"/>
          <w:szCs w:val="24"/>
          <w14:textFill>
            <w14:solidFill>
              <w14:schemeClr w14:val="tx1"/>
            </w14:solidFill>
          </w14:textFill>
        </w:rPr>
        <w:t>采购人和其委托的采购代理机构，在项目评标结束当日完成评标报告的报送、中标供应商的确定、中标公告的发布、中标通知书发出。中标通知书发出后，采购人改变中标结果，或者中标供应商放弃中标，应按相关法律、规章、规范性文件的要求承担相应的法律责任。未按规定交纳服务费、领取中标通知书的视为自动放弃中标。</w:t>
      </w:r>
    </w:p>
    <w:p w14:paraId="1009E6EC">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.3</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采购人确定排名第一的中标候选人为中标供应商。当确定中标的中标候选人放弃中标或因不可抗力提出不能履行合同的，采购人可以按照评审报告推荐的中标候选</w:t>
      </w:r>
      <w:r>
        <w:rPr>
          <w:rFonts w:hint="eastAsia" w:ascii="宋体" w:hAnsi="宋体" w:eastAsia="宋体" w:cs="宋体"/>
          <w:b w:val="0"/>
          <w:bCs/>
          <w:color w:val="000000" w:themeColor="text1"/>
          <w:sz w:val="24"/>
          <w:szCs w:val="24"/>
          <w:lang w:val="en-US" w:eastAsia="zh-CN"/>
          <w14:textFill>
            <w14:solidFill>
              <w14:schemeClr w14:val="tx1"/>
            </w14:solidFill>
          </w14:textFill>
        </w:rPr>
        <w:t>人</w:t>
      </w:r>
      <w:r>
        <w:rPr>
          <w:rFonts w:hint="eastAsia" w:ascii="宋体" w:hAnsi="宋体" w:eastAsia="宋体" w:cs="宋体"/>
          <w:b w:val="0"/>
          <w:bCs/>
          <w:color w:val="000000" w:themeColor="text1"/>
          <w:sz w:val="24"/>
          <w:szCs w:val="24"/>
          <w14:textFill>
            <w14:solidFill>
              <w14:schemeClr w14:val="tx1"/>
            </w14:solidFill>
          </w14:textFill>
        </w:rPr>
        <w:t>名单，确定下一中标候选</w:t>
      </w:r>
      <w:r>
        <w:rPr>
          <w:rFonts w:hint="eastAsia" w:ascii="宋体" w:hAnsi="宋体" w:eastAsia="宋体" w:cs="宋体"/>
          <w:b w:val="0"/>
          <w:bCs/>
          <w:color w:val="000000" w:themeColor="text1"/>
          <w:sz w:val="24"/>
          <w:szCs w:val="24"/>
          <w:lang w:val="en-US" w:eastAsia="zh-CN"/>
          <w14:textFill>
            <w14:solidFill>
              <w14:schemeClr w14:val="tx1"/>
            </w14:solidFill>
          </w14:textFill>
        </w:rPr>
        <w:t>人</w:t>
      </w:r>
      <w:r>
        <w:rPr>
          <w:rFonts w:hint="eastAsia" w:ascii="宋体" w:hAnsi="宋体" w:eastAsia="宋体" w:cs="宋体"/>
          <w:b w:val="0"/>
          <w:bCs/>
          <w:color w:val="000000" w:themeColor="text1"/>
          <w:sz w:val="24"/>
          <w:szCs w:val="24"/>
          <w14:textFill>
            <w14:solidFill>
              <w14:schemeClr w14:val="tx1"/>
            </w14:solidFill>
          </w14:textFill>
        </w:rPr>
        <w:t>为中标供应商，也可以重新开展采购活动。</w:t>
      </w:r>
    </w:p>
    <w:p w14:paraId="79C3600A">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bookmarkStart w:id="26" w:name="_Toc10783"/>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14:textFill>
            <w14:solidFill>
              <w14:schemeClr w14:val="tx1"/>
            </w14:solidFill>
          </w14:textFill>
        </w:rPr>
        <w:t>、授予合同时变更数量的权利</w:t>
      </w:r>
      <w:bookmarkEnd w:id="26"/>
    </w:p>
    <w:p w14:paraId="3C69548B">
      <w:pPr>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leftChars="0"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bookmarkStart w:id="27" w:name="_Toc31110"/>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14:textFill>
            <w14:solidFill>
              <w14:schemeClr w14:val="tx1"/>
            </w14:solidFill>
          </w14:textFill>
        </w:rPr>
        <w:t>.1采购人在授予合同时，保留对货物数量予以适当增减的权利。供应商不得在此情况下对投标文件作出修改，如价格、交货期等。</w:t>
      </w:r>
      <w:bookmarkEnd w:id="27"/>
    </w:p>
    <w:p w14:paraId="4CE00008">
      <w:pPr>
        <w:keepNext w:val="0"/>
        <w:keepLines w:val="0"/>
        <w:pageBreakBefore w:val="0"/>
        <w:widowControl w:val="0"/>
        <w:numPr>
          <w:ilvl w:val="0"/>
          <w:numId w:val="0"/>
        </w:numPr>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30、</w:t>
      </w:r>
      <w:r>
        <w:rPr>
          <w:rFonts w:hint="eastAsia" w:ascii="宋体" w:hAnsi="宋体" w:eastAsia="宋体" w:cs="宋体"/>
          <w:b w:val="0"/>
          <w:bCs/>
          <w:color w:val="000000" w:themeColor="text1"/>
          <w:sz w:val="24"/>
          <w:szCs w:val="24"/>
          <w14:textFill>
            <w14:solidFill>
              <w14:schemeClr w14:val="tx1"/>
            </w14:solidFill>
          </w14:textFill>
        </w:rPr>
        <w:t>采购人拒绝投标的权力</w:t>
      </w:r>
    </w:p>
    <w:p w14:paraId="568F58B8">
      <w:pPr>
        <w:keepNext w:val="0"/>
        <w:keepLines w:val="0"/>
        <w:pageBreakBefore w:val="0"/>
        <w:widowControl w:val="0"/>
        <w:numPr>
          <w:ilvl w:val="0"/>
          <w:numId w:val="0"/>
        </w:numPr>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采购人不承诺将合同授予报价最低的或最高的</w:t>
      </w:r>
      <w:r>
        <w:rPr>
          <w:rFonts w:hint="eastAsia" w:ascii="宋体" w:hAnsi="宋体" w:eastAsia="宋体" w:cs="宋体"/>
          <w:b w:val="0"/>
          <w:bCs/>
          <w:color w:val="000000" w:themeColor="text1"/>
          <w:sz w:val="24"/>
          <w:szCs w:val="24"/>
          <w:lang w:val="en-US" w:eastAsia="zh-CN"/>
          <w14:textFill>
            <w14:solidFill>
              <w14:schemeClr w14:val="tx1"/>
            </w14:solidFill>
          </w14:textFill>
        </w:rPr>
        <w:t>中标</w:t>
      </w:r>
      <w:r>
        <w:rPr>
          <w:rFonts w:hint="eastAsia" w:ascii="宋体" w:hAnsi="宋体" w:eastAsia="宋体" w:cs="宋体"/>
          <w:b w:val="0"/>
          <w:bCs/>
          <w:color w:val="000000" w:themeColor="text1"/>
          <w:sz w:val="24"/>
          <w:szCs w:val="24"/>
          <w14:textFill>
            <w14:solidFill>
              <w14:schemeClr w14:val="tx1"/>
            </w14:solidFill>
          </w14:textFill>
        </w:rPr>
        <w:t>候选人。</w:t>
      </w:r>
    </w:p>
    <w:p w14:paraId="7934FAE1">
      <w:pPr>
        <w:keepNext w:val="0"/>
        <w:keepLines w:val="0"/>
        <w:pageBreakBefore w:val="0"/>
        <w:widowControl w:val="0"/>
        <w:numPr>
          <w:ilvl w:val="0"/>
          <w:numId w:val="0"/>
        </w:numPr>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中标通知</w:t>
      </w:r>
    </w:p>
    <w:p w14:paraId="158966A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w:t>
      </w:r>
      <w:r>
        <w:rPr>
          <w:rFonts w:hint="eastAsia" w:ascii="宋体" w:hAnsi="宋体" w:eastAsia="宋体" w:cs="宋体"/>
          <w:b w:val="0"/>
          <w:bCs/>
          <w:color w:val="000000" w:themeColor="text1"/>
          <w:sz w:val="24"/>
          <w:szCs w:val="24"/>
          <w14:textFill>
            <w14:solidFill>
              <w14:schemeClr w14:val="tx1"/>
            </w14:solidFill>
          </w14:textFill>
        </w:rPr>
        <w:t>.1 中标供应商确定后，在发布本项目招标公告的媒介上发布中标公告。</w:t>
      </w:r>
    </w:p>
    <w:p w14:paraId="57B7C5C0">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w:t>
      </w: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中标通知书是合同的组成部分。</w:t>
      </w:r>
    </w:p>
    <w:p w14:paraId="57485EAF">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31.3 对未中标的投标供应商，不做任何未中标原因的解释。</w:t>
      </w:r>
    </w:p>
    <w:p w14:paraId="5CEDEFB1">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31.4 招标代理服务收费参照豫招协[2023]002号河南省招标投标协会关于印发《河南省招标代理服务收费指导意见》规定的收费标准收取中标服务费。</w:t>
      </w:r>
    </w:p>
    <w:p w14:paraId="2CD7905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河南省招标代理服务费计算标准：</w:t>
      </w:r>
    </w:p>
    <w:tbl>
      <w:tblPr>
        <w:tblStyle w:val="4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1651"/>
        <w:gridCol w:w="1545"/>
        <w:gridCol w:w="1430"/>
      </w:tblGrid>
      <w:tr w14:paraId="2E5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5159DC8">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项目类型/（金额万元）</w:t>
            </w:r>
          </w:p>
        </w:tc>
        <w:tc>
          <w:tcPr>
            <w:tcW w:w="1651" w:type="dxa"/>
            <w:noWrap w:val="0"/>
            <w:vAlign w:val="center"/>
          </w:tcPr>
          <w:p w14:paraId="5E9DF7A3">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工程</w:t>
            </w:r>
          </w:p>
        </w:tc>
        <w:tc>
          <w:tcPr>
            <w:tcW w:w="1545" w:type="dxa"/>
            <w:noWrap w:val="0"/>
            <w:vAlign w:val="center"/>
          </w:tcPr>
          <w:p w14:paraId="220897A3">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货物</w:t>
            </w:r>
          </w:p>
        </w:tc>
        <w:tc>
          <w:tcPr>
            <w:tcW w:w="1430" w:type="dxa"/>
            <w:noWrap w:val="0"/>
            <w:vAlign w:val="center"/>
          </w:tcPr>
          <w:p w14:paraId="2090391D">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服务</w:t>
            </w:r>
          </w:p>
        </w:tc>
      </w:tr>
      <w:tr w14:paraId="6461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0B898845">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100万元以下（含100万元）</w:t>
            </w:r>
          </w:p>
        </w:tc>
        <w:tc>
          <w:tcPr>
            <w:tcW w:w="1651" w:type="dxa"/>
            <w:noWrap w:val="0"/>
            <w:vAlign w:val="center"/>
          </w:tcPr>
          <w:p w14:paraId="7A1D97D5">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1.20%</w:t>
            </w:r>
          </w:p>
        </w:tc>
        <w:tc>
          <w:tcPr>
            <w:tcW w:w="1545" w:type="dxa"/>
            <w:noWrap w:val="0"/>
            <w:vAlign w:val="center"/>
          </w:tcPr>
          <w:p w14:paraId="5D62ABDF">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1.70%</w:t>
            </w:r>
          </w:p>
        </w:tc>
        <w:tc>
          <w:tcPr>
            <w:tcW w:w="1430" w:type="dxa"/>
            <w:noWrap w:val="0"/>
            <w:vAlign w:val="center"/>
          </w:tcPr>
          <w:p w14:paraId="246BCCC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1.70%</w:t>
            </w:r>
          </w:p>
        </w:tc>
      </w:tr>
      <w:tr w14:paraId="6481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7CDAD5B">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100-500万元（含500万元）</w:t>
            </w:r>
          </w:p>
        </w:tc>
        <w:tc>
          <w:tcPr>
            <w:tcW w:w="1651" w:type="dxa"/>
            <w:noWrap w:val="0"/>
            <w:vAlign w:val="center"/>
          </w:tcPr>
          <w:p w14:paraId="44CCAC42">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1.00%</w:t>
            </w:r>
          </w:p>
        </w:tc>
        <w:tc>
          <w:tcPr>
            <w:tcW w:w="1545" w:type="dxa"/>
            <w:noWrap w:val="0"/>
            <w:vAlign w:val="center"/>
          </w:tcPr>
          <w:p w14:paraId="1CB0C89C">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1.20%</w:t>
            </w:r>
          </w:p>
        </w:tc>
        <w:tc>
          <w:tcPr>
            <w:tcW w:w="1430" w:type="dxa"/>
            <w:noWrap w:val="0"/>
            <w:vAlign w:val="center"/>
          </w:tcPr>
          <w:p w14:paraId="3B21A30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1.20%</w:t>
            </w:r>
          </w:p>
        </w:tc>
      </w:tr>
      <w:tr w14:paraId="2F5B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EA67C98">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500-1000万元（含1000万元）</w:t>
            </w:r>
          </w:p>
        </w:tc>
        <w:tc>
          <w:tcPr>
            <w:tcW w:w="1651" w:type="dxa"/>
            <w:noWrap w:val="0"/>
            <w:vAlign w:val="center"/>
          </w:tcPr>
          <w:p w14:paraId="4A3F394F">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0.70%</w:t>
            </w:r>
          </w:p>
        </w:tc>
        <w:tc>
          <w:tcPr>
            <w:tcW w:w="1545" w:type="dxa"/>
            <w:noWrap w:val="0"/>
            <w:vAlign w:val="center"/>
          </w:tcPr>
          <w:p w14:paraId="279FA57C">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0.80%</w:t>
            </w:r>
          </w:p>
        </w:tc>
        <w:tc>
          <w:tcPr>
            <w:tcW w:w="1430" w:type="dxa"/>
            <w:noWrap w:val="0"/>
            <w:vAlign w:val="center"/>
          </w:tcPr>
          <w:p w14:paraId="3B36802F">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0.70%</w:t>
            </w:r>
          </w:p>
        </w:tc>
      </w:tr>
      <w:tr w14:paraId="22A7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6089608">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1000-5000万元（含5000万元）</w:t>
            </w:r>
          </w:p>
        </w:tc>
        <w:tc>
          <w:tcPr>
            <w:tcW w:w="1651" w:type="dxa"/>
            <w:noWrap w:val="0"/>
            <w:vAlign w:val="center"/>
          </w:tcPr>
          <w:p w14:paraId="7602DAF9">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0.40%</w:t>
            </w:r>
          </w:p>
        </w:tc>
        <w:tc>
          <w:tcPr>
            <w:tcW w:w="1545" w:type="dxa"/>
            <w:noWrap w:val="0"/>
            <w:vAlign w:val="center"/>
          </w:tcPr>
          <w:p w14:paraId="7DA0B548">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0.50%</w:t>
            </w:r>
          </w:p>
        </w:tc>
        <w:tc>
          <w:tcPr>
            <w:tcW w:w="1430" w:type="dxa"/>
            <w:noWrap w:val="0"/>
            <w:vAlign w:val="center"/>
          </w:tcPr>
          <w:p w14:paraId="352FD8CC">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0.40%</w:t>
            </w:r>
          </w:p>
        </w:tc>
      </w:tr>
      <w:tr w14:paraId="57EA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5C90006A">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5000万元--1亿元（含1亿元）</w:t>
            </w:r>
          </w:p>
        </w:tc>
        <w:tc>
          <w:tcPr>
            <w:tcW w:w="1651" w:type="dxa"/>
            <w:noWrap w:val="0"/>
            <w:vAlign w:val="center"/>
          </w:tcPr>
          <w:p w14:paraId="0E1592F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0.25%</w:t>
            </w:r>
          </w:p>
        </w:tc>
        <w:tc>
          <w:tcPr>
            <w:tcW w:w="1545" w:type="dxa"/>
            <w:noWrap w:val="0"/>
            <w:vAlign w:val="center"/>
          </w:tcPr>
          <w:p w14:paraId="3977335D">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0.30%</w:t>
            </w:r>
          </w:p>
        </w:tc>
        <w:tc>
          <w:tcPr>
            <w:tcW w:w="1430" w:type="dxa"/>
            <w:noWrap w:val="0"/>
            <w:vAlign w:val="center"/>
          </w:tcPr>
          <w:p w14:paraId="226EF20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0.25%</w:t>
            </w:r>
          </w:p>
        </w:tc>
      </w:tr>
      <w:tr w14:paraId="5A20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3D41B9FA">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1亿--5亿元（含5亿元）</w:t>
            </w:r>
          </w:p>
        </w:tc>
        <w:tc>
          <w:tcPr>
            <w:tcW w:w="1651" w:type="dxa"/>
            <w:noWrap w:val="0"/>
            <w:vAlign w:val="center"/>
          </w:tcPr>
          <w:p w14:paraId="77FD8CFD">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0.10%</w:t>
            </w:r>
          </w:p>
        </w:tc>
        <w:tc>
          <w:tcPr>
            <w:tcW w:w="1545" w:type="dxa"/>
            <w:noWrap w:val="0"/>
            <w:vAlign w:val="center"/>
          </w:tcPr>
          <w:p w14:paraId="13773003">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0.10%</w:t>
            </w:r>
          </w:p>
        </w:tc>
        <w:tc>
          <w:tcPr>
            <w:tcW w:w="1430" w:type="dxa"/>
            <w:noWrap w:val="0"/>
            <w:vAlign w:val="center"/>
          </w:tcPr>
          <w:p w14:paraId="3DFC1F5B">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0.10%</w:t>
            </w:r>
          </w:p>
        </w:tc>
      </w:tr>
      <w:tr w14:paraId="6B88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4517B6E4">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5亿--10亿元（含10亿元）</w:t>
            </w:r>
          </w:p>
        </w:tc>
        <w:tc>
          <w:tcPr>
            <w:tcW w:w="1651" w:type="dxa"/>
            <w:noWrap w:val="0"/>
            <w:vAlign w:val="center"/>
          </w:tcPr>
          <w:p w14:paraId="1F3FEF7F">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0.045%</w:t>
            </w:r>
          </w:p>
        </w:tc>
        <w:tc>
          <w:tcPr>
            <w:tcW w:w="1545" w:type="dxa"/>
            <w:noWrap w:val="0"/>
            <w:vAlign w:val="center"/>
          </w:tcPr>
          <w:p w14:paraId="3B0E13DC">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0.045%</w:t>
            </w:r>
          </w:p>
        </w:tc>
        <w:tc>
          <w:tcPr>
            <w:tcW w:w="1430" w:type="dxa"/>
            <w:noWrap w:val="0"/>
            <w:vAlign w:val="center"/>
          </w:tcPr>
          <w:p w14:paraId="49E72359">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0.045%</w:t>
            </w:r>
          </w:p>
        </w:tc>
      </w:tr>
      <w:tr w14:paraId="2A48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61F1459C">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10亿--50亿元（含50亿元）</w:t>
            </w:r>
          </w:p>
        </w:tc>
        <w:tc>
          <w:tcPr>
            <w:tcW w:w="1651" w:type="dxa"/>
            <w:noWrap w:val="0"/>
            <w:vAlign w:val="center"/>
          </w:tcPr>
          <w:p w14:paraId="3398CD18">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0.010%</w:t>
            </w:r>
          </w:p>
        </w:tc>
        <w:tc>
          <w:tcPr>
            <w:tcW w:w="1545" w:type="dxa"/>
            <w:noWrap w:val="0"/>
            <w:vAlign w:val="center"/>
          </w:tcPr>
          <w:p w14:paraId="4887040B">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0.010%</w:t>
            </w:r>
          </w:p>
        </w:tc>
        <w:tc>
          <w:tcPr>
            <w:tcW w:w="1430" w:type="dxa"/>
            <w:noWrap w:val="0"/>
            <w:vAlign w:val="center"/>
          </w:tcPr>
          <w:p w14:paraId="4CAC3E6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0.010%</w:t>
            </w:r>
          </w:p>
        </w:tc>
      </w:tr>
      <w:tr w14:paraId="4AC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81CB580">
            <w:pPr>
              <w:keepNext w:val="0"/>
              <w:keepLines w:val="0"/>
              <w:pageBreakBefore w:val="0"/>
              <w:widowControl w:val="0"/>
              <w:kinsoku/>
              <w:overflowPunct/>
              <w:topLinePunct w:val="0"/>
              <w:autoSpaceDE/>
              <w:autoSpaceDN w:val="0"/>
              <w:bidi w:val="0"/>
              <w:spacing w:line="500" w:lineRule="exact"/>
              <w:jc w:val="left"/>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50亿--100亿元（含</w:t>
            </w:r>
            <w:r>
              <w:rPr>
                <w:rFonts w:hint="eastAsia" w:ascii="宋体" w:hAnsi="宋体"/>
                <w:b w:val="0"/>
                <w:i w:val="0"/>
                <w:snapToGrid/>
                <w:color w:val="000000" w:themeColor="text1"/>
                <w:sz w:val="24"/>
                <w:szCs w:val="18"/>
                <w:u w:val="none"/>
                <w:lang w:val="en-US" w:eastAsia="zh-CN"/>
                <w14:textFill>
                  <w14:solidFill>
                    <w14:schemeClr w14:val="tx1"/>
                  </w14:solidFill>
                </w14:textFill>
              </w:rPr>
              <w:t>100</w:t>
            </w:r>
            <w:r>
              <w:rPr>
                <w:rFonts w:hint="default" w:ascii="宋体" w:hAnsi="宋体" w:eastAsia="宋体"/>
                <w:b w:val="0"/>
                <w:i w:val="0"/>
                <w:snapToGrid/>
                <w:color w:val="000000" w:themeColor="text1"/>
                <w:sz w:val="24"/>
                <w:szCs w:val="18"/>
                <w:u w:val="none"/>
                <w:lang w:eastAsia="zh-CN"/>
                <w14:textFill>
                  <w14:solidFill>
                    <w14:schemeClr w14:val="tx1"/>
                  </w14:solidFill>
                </w14:textFill>
              </w:rPr>
              <w:t>亿元）</w:t>
            </w:r>
          </w:p>
        </w:tc>
        <w:tc>
          <w:tcPr>
            <w:tcW w:w="1651" w:type="dxa"/>
            <w:noWrap w:val="0"/>
            <w:vAlign w:val="center"/>
          </w:tcPr>
          <w:p w14:paraId="333BE3BA">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0.008%</w:t>
            </w:r>
          </w:p>
        </w:tc>
        <w:tc>
          <w:tcPr>
            <w:tcW w:w="1545" w:type="dxa"/>
            <w:noWrap w:val="0"/>
            <w:vAlign w:val="center"/>
          </w:tcPr>
          <w:p w14:paraId="35CE8F8E">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0.008%</w:t>
            </w:r>
          </w:p>
        </w:tc>
        <w:tc>
          <w:tcPr>
            <w:tcW w:w="1430" w:type="dxa"/>
            <w:noWrap w:val="0"/>
            <w:vAlign w:val="center"/>
          </w:tcPr>
          <w:p w14:paraId="20A973E8">
            <w:pPr>
              <w:keepNext w:val="0"/>
              <w:keepLines w:val="0"/>
              <w:pageBreakBefore w:val="0"/>
              <w:widowControl w:val="0"/>
              <w:kinsoku/>
              <w:overflowPunct/>
              <w:topLinePunct w:val="0"/>
              <w:autoSpaceDE/>
              <w:autoSpaceDN w:val="0"/>
              <w:bidi w:val="0"/>
              <w:spacing w:line="500" w:lineRule="exact"/>
              <w:jc w:val="center"/>
              <w:textAlignment w:val="center"/>
              <w:rPr>
                <w:rFonts w:hint="eastAsia" w:ascii="宋体" w:hAnsi="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0.008%</w:t>
            </w:r>
          </w:p>
        </w:tc>
      </w:tr>
      <w:tr w14:paraId="5CB8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tcBorders>
              <w:bottom w:val="single" w:color="auto" w:sz="4" w:space="0"/>
            </w:tcBorders>
            <w:noWrap w:val="0"/>
            <w:vAlign w:val="center"/>
          </w:tcPr>
          <w:p w14:paraId="3A27028A">
            <w:pPr>
              <w:keepNext w:val="0"/>
              <w:keepLines w:val="0"/>
              <w:pageBreakBefore w:val="0"/>
              <w:widowControl w:val="0"/>
              <w:kinsoku/>
              <w:overflowPunct/>
              <w:topLinePunct w:val="0"/>
              <w:autoSpaceDE/>
              <w:autoSpaceDN w:val="0"/>
              <w:bidi w:val="0"/>
              <w:spacing w:line="500" w:lineRule="exact"/>
              <w:jc w:val="left"/>
              <w:textAlignment w:val="center"/>
              <w:rPr>
                <w:rFonts w:hint="default" w:ascii="宋体" w:hAnsi="宋体" w:eastAsia="宋体" w:cs="Times New Roman"/>
                <w:b w:val="0"/>
                <w:i w:val="0"/>
                <w:snapToGrid/>
                <w:color w:val="000000" w:themeColor="text1"/>
                <w:sz w:val="24"/>
                <w:szCs w:val="18"/>
                <w:u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100亿元以上</w:t>
            </w:r>
          </w:p>
        </w:tc>
        <w:tc>
          <w:tcPr>
            <w:tcW w:w="1651" w:type="dxa"/>
            <w:tcBorders>
              <w:bottom w:val="single" w:color="auto" w:sz="4" w:space="0"/>
            </w:tcBorders>
            <w:noWrap w:val="0"/>
            <w:vAlign w:val="center"/>
          </w:tcPr>
          <w:p w14:paraId="75F3546B">
            <w:pPr>
              <w:keepNext w:val="0"/>
              <w:keepLines w:val="0"/>
              <w:pageBreakBefore w:val="0"/>
              <w:widowControl w:val="0"/>
              <w:kinsoku/>
              <w:overflowPunct/>
              <w:topLinePunct w:val="0"/>
              <w:autoSpaceDE/>
              <w:autoSpaceDN w:val="0"/>
              <w:bidi w:val="0"/>
              <w:spacing w:line="500" w:lineRule="exact"/>
              <w:jc w:val="center"/>
              <w:textAlignment w:val="center"/>
              <w:rPr>
                <w:rFonts w:hint="default" w:ascii="宋体" w:hAnsi="宋体" w:eastAsia="宋体" w:cs="Times New Roman"/>
                <w:b w:val="0"/>
                <w:i w:val="0"/>
                <w:snapToGrid/>
                <w:color w:val="000000" w:themeColor="text1"/>
                <w:sz w:val="24"/>
                <w:szCs w:val="18"/>
                <w:u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0.004%</w:t>
            </w:r>
          </w:p>
        </w:tc>
        <w:tc>
          <w:tcPr>
            <w:tcW w:w="1545" w:type="dxa"/>
            <w:tcBorders>
              <w:bottom w:val="single" w:color="auto" w:sz="4" w:space="0"/>
            </w:tcBorders>
            <w:noWrap w:val="0"/>
            <w:vAlign w:val="center"/>
          </w:tcPr>
          <w:p w14:paraId="64C9E21D">
            <w:pPr>
              <w:keepNext w:val="0"/>
              <w:keepLines w:val="0"/>
              <w:pageBreakBefore w:val="0"/>
              <w:widowControl w:val="0"/>
              <w:kinsoku/>
              <w:overflowPunct/>
              <w:topLinePunct w:val="0"/>
              <w:autoSpaceDE/>
              <w:autoSpaceDN w:val="0"/>
              <w:bidi w:val="0"/>
              <w:spacing w:line="500" w:lineRule="exact"/>
              <w:jc w:val="center"/>
              <w:textAlignment w:val="center"/>
              <w:rPr>
                <w:rFonts w:hint="default" w:ascii="宋体" w:hAnsi="宋体" w:eastAsia="宋体" w:cs="Times New Roman"/>
                <w:b w:val="0"/>
                <w:i w:val="0"/>
                <w:snapToGrid/>
                <w:color w:val="000000" w:themeColor="text1"/>
                <w:sz w:val="24"/>
                <w:szCs w:val="18"/>
                <w:u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0.004%</w:t>
            </w:r>
          </w:p>
        </w:tc>
        <w:tc>
          <w:tcPr>
            <w:tcW w:w="1430" w:type="dxa"/>
            <w:tcBorders>
              <w:bottom w:val="single" w:color="auto" w:sz="4" w:space="0"/>
            </w:tcBorders>
            <w:noWrap w:val="0"/>
            <w:vAlign w:val="center"/>
          </w:tcPr>
          <w:p w14:paraId="2EB2DE4D">
            <w:pPr>
              <w:keepNext w:val="0"/>
              <w:keepLines w:val="0"/>
              <w:pageBreakBefore w:val="0"/>
              <w:widowControl w:val="0"/>
              <w:kinsoku/>
              <w:overflowPunct/>
              <w:topLinePunct w:val="0"/>
              <w:autoSpaceDE/>
              <w:autoSpaceDN w:val="0"/>
              <w:bidi w:val="0"/>
              <w:spacing w:line="500" w:lineRule="exact"/>
              <w:jc w:val="center"/>
              <w:textAlignment w:val="center"/>
              <w:rPr>
                <w:rFonts w:hint="default" w:ascii="宋体" w:hAnsi="宋体" w:eastAsia="宋体" w:cs="Times New Roman"/>
                <w:b w:val="0"/>
                <w:i w:val="0"/>
                <w:snapToGrid/>
                <w:color w:val="000000" w:themeColor="text1"/>
                <w:sz w:val="24"/>
                <w:szCs w:val="18"/>
                <w:u w:val="none"/>
                <w:lang w:val="en-US" w:eastAsia="zh-CN" w:bidi="ar-SA"/>
                <w14:textFill>
                  <w14:solidFill>
                    <w14:schemeClr w14:val="tx1"/>
                  </w14:solidFill>
                </w14:textFill>
              </w:rPr>
            </w:pPr>
            <w:r>
              <w:rPr>
                <w:rFonts w:hint="default" w:ascii="宋体" w:hAnsi="宋体" w:eastAsia="宋体"/>
                <w:b w:val="0"/>
                <w:i w:val="0"/>
                <w:snapToGrid/>
                <w:color w:val="000000" w:themeColor="text1"/>
                <w:sz w:val="24"/>
                <w:szCs w:val="18"/>
                <w:u w:val="none"/>
                <w:lang w:eastAsia="zh-CN"/>
                <w14:textFill>
                  <w14:solidFill>
                    <w14:schemeClr w14:val="tx1"/>
                  </w14:solidFill>
                </w14:textFill>
              </w:rPr>
              <w:t>0.004%</w:t>
            </w:r>
          </w:p>
        </w:tc>
      </w:tr>
      <w:tr w14:paraId="7D56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4"/>
            <w:tcBorders>
              <w:top w:val="single" w:color="auto" w:sz="4" w:space="0"/>
              <w:left w:val="nil"/>
              <w:bottom w:val="nil"/>
              <w:right w:val="nil"/>
            </w:tcBorders>
            <w:noWrap w:val="0"/>
            <w:vAlign w:val="center"/>
          </w:tcPr>
          <w:p w14:paraId="402C77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注：1.按本表费率计算的收费金额为招标代理服务费的基准价格，不含工程量清单、最高投标限价（招标控制价）或标底的编制费用。</w:t>
            </w:r>
          </w:p>
          <w:p w14:paraId="3DDB216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val="en-US" w:eastAsia="zh-CN"/>
                <w14:textFill>
                  <w14:solidFill>
                    <w14:schemeClr w14:val="tx1"/>
                  </w14:solidFill>
                </w14:textFill>
              </w:rPr>
            </w:pPr>
            <w:r>
              <w:rPr>
                <w:rFonts w:hint="eastAsia" w:ascii="宋体" w:hAnsi="宋体" w:eastAsia="宋体"/>
                <w:b w:val="0"/>
                <w:i w:val="0"/>
                <w:snapToGrid/>
                <w:color w:val="000000" w:themeColor="text1"/>
                <w:sz w:val="24"/>
                <w:szCs w:val="24"/>
                <w:u w:val="none"/>
                <w:lang w:val="en-US" w:eastAsia="zh-CN"/>
                <w14:textFill>
                  <w14:solidFill>
                    <w14:schemeClr w14:val="tx1"/>
                  </w14:solidFill>
                </w14:textFill>
              </w:rPr>
              <w:t>2.招标代理服务收费按差额定率累进法计算。</w:t>
            </w:r>
          </w:p>
          <w:p w14:paraId="0C1ABF4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例如: 某工程招标代理业务，项目</w:t>
            </w:r>
            <w:r>
              <w:rPr>
                <w:rFonts w:hint="eastAsia" w:ascii="宋体" w:hAnsi="宋体" w:eastAsia="宋体"/>
                <w:b w:val="0"/>
                <w:i w:val="0"/>
                <w:snapToGrid/>
                <w:color w:val="000000" w:themeColor="text1"/>
                <w:sz w:val="24"/>
                <w:szCs w:val="24"/>
                <w:u w:val="none"/>
                <w:lang w:eastAsia="zh-CN"/>
                <w14:textFill>
                  <w14:solidFill>
                    <w14:schemeClr w14:val="tx1"/>
                  </w14:solidFill>
                </w14:textFill>
              </w:rPr>
              <w:t>预算单价金额</w:t>
            </w:r>
            <w:r>
              <w:rPr>
                <w:rFonts w:hint="default" w:ascii="宋体" w:hAnsi="宋体" w:eastAsia="宋体"/>
                <w:b w:val="0"/>
                <w:i w:val="0"/>
                <w:snapToGrid/>
                <w:color w:val="000000" w:themeColor="text1"/>
                <w:sz w:val="24"/>
                <w:szCs w:val="24"/>
                <w:u w:val="none"/>
                <w:lang w:eastAsia="zh-CN"/>
                <w14:textFill>
                  <w14:solidFill>
                    <w14:schemeClr w14:val="tx1"/>
                  </w14:solidFill>
                </w14:textFill>
              </w:rPr>
              <w:t>（招标控制价）为10000万元，招标代理服务收费计算如下:</w:t>
            </w:r>
          </w:p>
          <w:p w14:paraId="6791E31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eastAsia" w:ascii="宋体" w:hAnsi="宋体"/>
                <w:b w:val="0"/>
                <w:i w:val="0"/>
                <w:snapToGrid/>
                <w:color w:val="000000" w:themeColor="text1"/>
                <w:sz w:val="24"/>
                <w:szCs w:val="24"/>
                <w:u w:val="none"/>
                <w:lang w:val="en-US" w:eastAsia="zh-CN"/>
                <w14:textFill>
                  <w14:solidFill>
                    <w14:schemeClr w14:val="tx1"/>
                  </w14:solidFill>
                </w14:textFill>
              </w:rPr>
              <w:t xml:space="preserve"> </w:t>
            </w:r>
            <w:r>
              <w:rPr>
                <w:rFonts w:hint="default" w:ascii="宋体" w:hAnsi="宋体" w:eastAsia="宋体"/>
                <w:b w:val="0"/>
                <w:i w:val="0"/>
                <w:snapToGrid/>
                <w:color w:val="000000" w:themeColor="text1"/>
                <w:sz w:val="24"/>
                <w:szCs w:val="24"/>
                <w:u w:val="none"/>
                <w:lang w:eastAsia="zh-CN"/>
                <w14:textFill>
                  <w14:solidFill>
                    <w14:schemeClr w14:val="tx1"/>
                  </w14:solidFill>
                </w14:textFill>
              </w:rPr>
              <w:t>100万元×1.2%=1.2万元</w:t>
            </w:r>
          </w:p>
          <w:p w14:paraId="61B7732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（500-100）万元×1.0%=4万元</w:t>
            </w:r>
          </w:p>
          <w:p w14:paraId="3C2AE1D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（1000-500）×0.7%=3.5万元</w:t>
            </w:r>
          </w:p>
          <w:p w14:paraId="5FA6ED7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000000" w:themeColor="text1"/>
                <w:sz w:val="24"/>
                <w:szCs w:val="24"/>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（5000-1000）×0.4%=16万元</w:t>
            </w:r>
          </w:p>
          <w:p w14:paraId="259C84C3">
            <w:pPr>
              <w:keepNext w:val="0"/>
              <w:keepLines w:val="0"/>
              <w:pageBreakBefore w:val="0"/>
              <w:widowControl w:val="0"/>
              <w:kinsoku/>
              <w:overflowPunct/>
              <w:topLinePunct w:val="0"/>
              <w:autoSpaceDE/>
              <w:autoSpaceDN w:val="0"/>
              <w:bidi w:val="0"/>
              <w:spacing w:line="500" w:lineRule="exact"/>
              <w:jc w:val="both"/>
              <w:textAlignment w:val="center"/>
              <w:rPr>
                <w:rFonts w:hint="default" w:ascii="宋体" w:hAnsi="宋体" w:eastAsia="宋体"/>
                <w:b w:val="0"/>
                <w:i w:val="0"/>
                <w:snapToGrid/>
                <w:color w:val="000000" w:themeColor="text1"/>
                <w:sz w:val="24"/>
                <w:szCs w:val="18"/>
                <w:u w:val="none"/>
                <w:lang w:eastAsia="zh-CN"/>
                <w14:textFill>
                  <w14:solidFill>
                    <w14:schemeClr w14:val="tx1"/>
                  </w14:solidFill>
                </w14:textFill>
              </w:rPr>
            </w:pPr>
            <w:r>
              <w:rPr>
                <w:rFonts w:hint="default" w:ascii="宋体" w:hAnsi="宋体" w:eastAsia="宋体"/>
                <w:b w:val="0"/>
                <w:i w:val="0"/>
                <w:snapToGrid/>
                <w:color w:val="000000" w:themeColor="text1"/>
                <w:sz w:val="24"/>
                <w:szCs w:val="24"/>
                <w:u w:val="none"/>
                <w:lang w:eastAsia="zh-CN"/>
                <w14:textFill>
                  <w14:solidFill>
                    <w14:schemeClr w14:val="tx1"/>
                  </w14:solidFill>
                </w14:textFill>
              </w:rPr>
              <w:t>（10000-5000）×0.25%=12.5万元合计收费=1.2+4+3.5+16+12.5=37.2万元</w:t>
            </w:r>
          </w:p>
        </w:tc>
      </w:tr>
    </w:tbl>
    <w:p w14:paraId="04716954">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32</w:t>
      </w:r>
      <w:r>
        <w:rPr>
          <w:rFonts w:hint="eastAsia" w:ascii="宋体" w:hAnsi="宋体" w:eastAsia="宋体" w:cs="宋体"/>
          <w:b w:val="0"/>
          <w:bCs/>
          <w:color w:val="000000" w:themeColor="text1"/>
          <w:sz w:val="24"/>
          <w:szCs w:val="24"/>
          <w14:textFill>
            <w14:solidFill>
              <w14:schemeClr w14:val="tx1"/>
            </w14:solidFill>
          </w14:textFill>
        </w:rPr>
        <w:t>.签订合同</w:t>
      </w:r>
    </w:p>
    <w:p w14:paraId="330D7BD8">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32</w:t>
      </w:r>
      <w:r>
        <w:rPr>
          <w:rFonts w:hint="eastAsia" w:ascii="宋体" w:hAnsi="宋体" w:eastAsia="宋体" w:cs="宋体"/>
          <w:b w:val="0"/>
          <w:bCs/>
          <w:color w:val="000000" w:themeColor="text1"/>
          <w:sz w:val="24"/>
          <w:szCs w:val="24"/>
          <w14:textFill>
            <w14:solidFill>
              <w14:schemeClr w14:val="tx1"/>
            </w14:solidFill>
          </w14:textFill>
        </w:rPr>
        <w:t>.1采购人</w:t>
      </w:r>
      <w:r>
        <w:rPr>
          <w:rFonts w:hint="eastAsia" w:ascii="宋体" w:hAnsi="宋体" w:eastAsia="宋体" w:cs="宋体"/>
          <w:b w:val="0"/>
          <w:bCs/>
          <w:color w:val="000000" w:themeColor="text1"/>
          <w:sz w:val="24"/>
          <w:szCs w:val="24"/>
          <w:lang w:val="en-US" w:eastAsia="zh-CN"/>
          <w14:textFill>
            <w14:solidFill>
              <w14:schemeClr w14:val="tx1"/>
            </w14:solidFill>
          </w14:textFill>
        </w:rPr>
        <w:t>与</w:t>
      </w:r>
      <w:r>
        <w:rPr>
          <w:rFonts w:hint="eastAsia" w:ascii="宋体" w:hAnsi="宋体" w:eastAsia="宋体" w:cs="宋体"/>
          <w:b w:val="0"/>
          <w:bCs/>
          <w:color w:val="000000" w:themeColor="text1"/>
          <w:sz w:val="24"/>
          <w:szCs w:val="24"/>
          <w14:textFill>
            <w14:solidFill>
              <w14:schemeClr w14:val="tx1"/>
            </w14:solidFill>
          </w14:textFill>
        </w:rPr>
        <w:t>中标供应商在《中标通知书》发出之日起在</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14:textFill>
            <w14:solidFill>
              <w14:schemeClr w14:val="tx1"/>
            </w14:solidFill>
          </w14:textFill>
        </w:rPr>
        <w:t>个工作日，根据招标文件确定的事项和中标供应商投标文件签订合同</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合同签订后</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个工作日内在</w:t>
      </w:r>
      <w:r>
        <w:rPr>
          <w:rFonts w:hint="eastAsia" w:ascii="宋体" w:hAnsi="宋体" w:eastAsia="宋体" w:cs="宋体"/>
          <w:b w:val="0"/>
          <w:bCs/>
          <w:color w:val="000000" w:themeColor="text1"/>
          <w:sz w:val="24"/>
          <w:szCs w:val="24"/>
          <w:lang w:val="en-US" w:eastAsia="zh-CN"/>
          <w14:textFill>
            <w14:solidFill>
              <w14:schemeClr w14:val="tx1"/>
            </w14:solidFill>
          </w14:textFill>
        </w:rPr>
        <w:t>相关媒介上</w:t>
      </w:r>
      <w:r>
        <w:rPr>
          <w:rFonts w:hint="eastAsia" w:ascii="宋体" w:hAnsi="宋体" w:eastAsia="宋体" w:cs="宋体"/>
          <w:b w:val="0"/>
          <w:bCs/>
          <w:color w:val="000000" w:themeColor="text1"/>
          <w:sz w:val="24"/>
          <w:szCs w:val="24"/>
          <w14:textFill>
            <w14:solidFill>
              <w14:schemeClr w14:val="tx1"/>
            </w14:solidFill>
          </w14:textFill>
        </w:rPr>
        <w:t>发布公告</w:t>
      </w:r>
      <w:r>
        <w:rPr>
          <w:rFonts w:hint="eastAsia" w:ascii="宋体" w:hAnsi="宋体" w:eastAsia="宋体" w:cs="宋体"/>
          <w:b w:val="0"/>
          <w:bCs/>
          <w:color w:val="000000" w:themeColor="text1"/>
          <w:sz w:val="24"/>
          <w:szCs w:val="24"/>
          <w:lang w:val="en-US" w:eastAsia="zh-CN"/>
          <w14:textFill>
            <w14:solidFill>
              <w14:schemeClr w14:val="tx1"/>
            </w14:solidFill>
          </w14:textFill>
        </w:rPr>
        <w:t>信息</w:t>
      </w:r>
      <w:r>
        <w:rPr>
          <w:rFonts w:hint="eastAsia" w:ascii="宋体" w:hAnsi="宋体" w:eastAsia="宋体" w:cs="宋体"/>
          <w:b w:val="0"/>
          <w:bCs/>
          <w:color w:val="000000" w:themeColor="text1"/>
          <w:sz w:val="24"/>
          <w:szCs w:val="24"/>
          <w14:textFill>
            <w14:solidFill>
              <w14:schemeClr w14:val="tx1"/>
            </w14:solidFill>
          </w14:textFill>
        </w:rPr>
        <w:t>并完成合同备案。双方所签订的合同不得对招标文件和中标供应商投标文件作实质性修改。逾期未签订合同，按照有关法律规定承担相应的法律责任；</w:t>
      </w:r>
    </w:p>
    <w:p w14:paraId="44353315">
      <w:pPr>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32</w:t>
      </w:r>
      <w:r>
        <w:rPr>
          <w:rFonts w:hint="eastAsia" w:ascii="宋体" w:hAnsi="宋体" w:eastAsia="宋体" w:cs="宋体"/>
          <w:b w:val="0"/>
          <w:bCs/>
          <w:color w:val="000000" w:themeColor="text1"/>
          <w:sz w:val="24"/>
          <w:szCs w:val="24"/>
          <w14:textFill>
            <w14:solidFill>
              <w14:schemeClr w14:val="tx1"/>
            </w14:solidFill>
          </w14:textFill>
        </w:rPr>
        <w:t>.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7A20652C">
      <w:pPr>
        <w:pStyle w:val="20"/>
        <w:keepNext w:val="0"/>
        <w:keepLines w:val="0"/>
        <w:pageBreakBefore w:val="0"/>
        <w:widowControl w:val="0"/>
        <w:kinsoku/>
        <w:wordWrap/>
        <w:overflowPunct/>
        <w:topLinePunct w:val="0"/>
        <w:bidi w:val="0"/>
        <w:spacing w:after="0" w:afterLines="0" w:line="500" w:lineRule="exact"/>
        <w:ind w:left="0" w:leftChars="0"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32</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3中标供应商如不按本投标须知的规定与采购人订立合同，则采购人将废除授标，给采购人造成损失的，同时依法承担相应法律责任。</w:t>
      </w:r>
    </w:p>
    <w:p w14:paraId="70E24577">
      <w:pPr>
        <w:keepNext w:val="0"/>
        <w:keepLines w:val="0"/>
        <w:pageBreakBefore w:val="0"/>
        <w:widowControl w:val="0"/>
        <w:kinsoku/>
        <w:wordWrap/>
        <w:overflowPunct/>
        <w:topLinePunct w:val="0"/>
        <w:bidi w:val="0"/>
        <w:adjustRightInd w:val="0"/>
        <w:snapToGrid w:val="0"/>
        <w:spacing w:after="0" w:afterLines="0" w:line="500" w:lineRule="exact"/>
        <w:ind w:firstLine="562" w:firstLineChars="200"/>
        <w:jc w:val="center"/>
        <w:textAlignment w:val="auto"/>
        <w:rPr>
          <w:rFonts w:hint="eastAsia" w:ascii="宋体" w:hAnsi="宋体" w:eastAsia="宋体" w:cs="宋体"/>
          <w:b/>
          <w:bCs w:val="0"/>
          <w:color w:val="000000" w:themeColor="text1"/>
          <w:sz w:val="28"/>
          <w:szCs w:val="28"/>
          <w:lang w:val="en-US" w:eastAsia="zh-CN"/>
          <w14:textFill>
            <w14:solidFill>
              <w14:schemeClr w14:val="tx1"/>
            </w14:solidFill>
          </w14:textFill>
        </w:rPr>
      </w:pPr>
      <w:bookmarkStart w:id="28" w:name="_Toc509646995"/>
      <w:r>
        <w:rPr>
          <w:rFonts w:hint="eastAsia" w:ascii="宋体" w:hAnsi="宋体" w:eastAsia="宋体" w:cs="宋体"/>
          <w:b/>
          <w:bCs w:val="0"/>
          <w:color w:val="000000" w:themeColor="text1"/>
          <w:sz w:val="28"/>
          <w:szCs w:val="28"/>
          <w:lang w:val="en-US" w:eastAsia="zh-CN"/>
          <w14:textFill>
            <w14:solidFill>
              <w14:schemeClr w14:val="tx1"/>
            </w14:solidFill>
          </w14:textFill>
        </w:rPr>
        <w:t>八、重新招标</w:t>
      </w:r>
    </w:p>
    <w:p w14:paraId="6D02FCBD">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33、出现下列情形之一的，将终止采购活动，发布项目终止公告并说明原因，重新开展采购活动：</w:t>
      </w:r>
    </w:p>
    <w:p w14:paraId="680E5A16">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（1）不符合法律、法规和招标文件中规定的其他实质性要求的；</w:t>
      </w:r>
    </w:p>
    <w:p w14:paraId="39E609ED">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（2）其他法律、法规及本招标文件规定的属响应无效的情形，终止采购活动的条款；</w:t>
      </w:r>
    </w:p>
    <w:p w14:paraId="2F25505E">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（3）因情况变化，不再符合规定的采购方式适用情形的；出现影响采购公正的违法、违规行为的；</w:t>
      </w:r>
    </w:p>
    <w:p w14:paraId="395CBD6F">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（4）投标截止时间结束后参加供应商不足3家的，应重新组织采购，评审期间符合专业条件的供应商或者对招标文件作出实质响应的供应商不足3家的，应重新组织采购。</w:t>
      </w:r>
    </w:p>
    <w:p w14:paraId="66E15F8E">
      <w:pPr>
        <w:keepNext w:val="0"/>
        <w:keepLines w:val="0"/>
        <w:pageBreakBefore w:val="0"/>
        <w:widowControl w:val="0"/>
        <w:kinsoku/>
        <w:wordWrap/>
        <w:overflowPunct/>
        <w:topLinePunct w:val="0"/>
        <w:bidi w:val="0"/>
        <w:adjustRightInd w:val="0"/>
        <w:snapToGrid w:val="0"/>
        <w:spacing w:after="0" w:afterLines="0" w:line="500" w:lineRule="exact"/>
        <w:ind w:firstLine="562" w:firstLineChars="200"/>
        <w:jc w:val="center"/>
        <w:textAlignment w:val="auto"/>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九、投诉</w:t>
      </w:r>
    </w:p>
    <w:p w14:paraId="17F63DED">
      <w:pPr>
        <w:keepNext w:val="0"/>
        <w:keepLines w:val="0"/>
        <w:pageBreakBefore w:val="0"/>
        <w:widowControl w:val="0"/>
        <w:kinsoku/>
        <w:wordWrap/>
        <w:overflowPunct/>
        <w:topLinePunct w:val="0"/>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34、供应商和其他利害关系人认为本次招标违反法律、法规和规章规定的，有权向有关行政监督部门投诉。</w:t>
      </w:r>
    </w:p>
    <w:p w14:paraId="13AE0F2B">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562" w:firstLineChars="200"/>
        <w:jc w:val="center"/>
        <w:textAlignment w:val="auto"/>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十、质疑程序及处理</w:t>
      </w:r>
    </w:p>
    <w:p w14:paraId="03888529">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35.1 若供应商认为其投标未获公平评审或招标文件、采购过程和中标结果使自己的合法权益受到损害，可以在知道或者应知其权益受到损害之日起7个工作日内，将质疑书原件送达采购人或采购代理机构。提出质疑期限的计算，依照下列规定办理：</w:t>
      </w:r>
    </w:p>
    <w:p w14:paraId="6F52FFFE">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（一）对可以质疑的招标文件提出质疑的，为收到招标文件之日或者招标文件公告期限届满之日；</w:t>
      </w:r>
    </w:p>
    <w:p w14:paraId="4D5C4A2D">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（二）对采购过程提出质疑的，为各采购程序环节结束之日；</w:t>
      </w:r>
    </w:p>
    <w:p w14:paraId="060723CC">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（三）对中标结果提出质疑的，为中标结果公告期限届满之日。</w:t>
      </w:r>
    </w:p>
    <w:p w14:paraId="2AD20B00">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35.2 质疑书应当包括下列主要内容，并按照“谁主张、谁举证”的原则，附上相关证明材料。否则，采购人不予受理：</w:t>
      </w:r>
    </w:p>
    <w:p w14:paraId="0A95F096">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35.2.1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EBFEE4C">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35.2.2 供应商委托代理人办理质疑事宜，应当提交授权委托书，并载明委托代理的具体权限和事项。授权委托书应当由委托人签字并加盖单位公章。</w:t>
      </w:r>
    </w:p>
    <w:p w14:paraId="11E5EBA7">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36、质疑书提交方式</w:t>
      </w:r>
    </w:p>
    <w:p w14:paraId="4DD479E3">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36.1 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27C06F7">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36.2 供应商不得虚假质疑和恶意质疑，并对质疑内容的真实性承担责任。供应商或者其他利害关系人通过捏造事实、伪造证明材料等方式提出异议或投诉，阻碍招标活动正常进行的，属于严重不良行为，采购人将提请相关监督部门将其列入不良行为记录名单，并依法予以处罚。</w:t>
      </w:r>
    </w:p>
    <w:p w14:paraId="6237C8C4">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36.3 采购人将在收到符合上述条件的书面质疑后7个工作日内审查质疑事项，作出答复或相关处理决定，并以书面形式通知质疑供应商和其他有关供应商，但答复的内容不涉及商业秘密。若质疑涉及招标制度或程序，将被转交政府采购的管理部门审查。采购人遵循“谁过错谁负担”的原则，有过错的一方承担调查论证费用。</w:t>
      </w:r>
    </w:p>
    <w:p w14:paraId="788E19E1">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36.4 质疑供应商对采购人的答复不满意以及采购人未在规定的时间内做出答复的，可以在答复期满后15个工作日内向相关部门投诉。</w:t>
      </w:r>
    </w:p>
    <w:p w14:paraId="07E23C1F">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562" w:firstLineChars="200"/>
        <w:jc w:val="center"/>
        <w:textAlignment w:val="auto"/>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lang w:val="en-US" w:eastAsia="zh-CN"/>
          <w14:textFill>
            <w14:solidFill>
              <w14:schemeClr w14:val="tx1"/>
            </w14:solidFill>
          </w14:textFill>
        </w:rPr>
        <w:t>十一、</w:t>
      </w:r>
      <w:r>
        <w:rPr>
          <w:rFonts w:hint="eastAsia" w:ascii="宋体" w:hAnsi="宋体" w:eastAsia="宋体" w:cs="宋体"/>
          <w:b/>
          <w:bCs w:val="0"/>
          <w:color w:val="000000" w:themeColor="text1"/>
          <w:sz w:val="28"/>
          <w:szCs w:val="28"/>
          <w14:textFill>
            <w14:solidFill>
              <w14:schemeClr w14:val="tx1"/>
            </w14:solidFill>
          </w14:textFill>
        </w:rPr>
        <w:t>需要补充的其他内容</w:t>
      </w:r>
    </w:p>
    <w:p w14:paraId="35A8E366">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14:textFill>
            <w14:solidFill>
              <w14:schemeClr w14:val="tx1"/>
            </w14:solidFill>
          </w14:textFill>
        </w:rPr>
        <w:t xml:space="preserve"> 未尽事宜按国家有关规定执行。</w:t>
      </w:r>
    </w:p>
    <w:p w14:paraId="2C0245B8">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 xml:space="preserve"> 本招标文件最终解释权归采购人。</w:t>
      </w:r>
    </w:p>
    <w:p w14:paraId="3A474C21">
      <w:pPr>
        <w:keepNext w:val="0"/>
        <w:keepLines w:val="0"/>
        <w:pageBreakBefore w:val="0"/>
        <w:widowControl w:val="0"/>
        <w:kinsoku/>
        <w:wordWrap w:val="0"/>
        <w:overflowPunct/>
        <w:topLinePunct w:val="0"/>
        <w:autoSpaceDE/>
        <w:autoSpaceDN/>
        <w:bidi w:val="0"/>
        <w:adjustRightInd w:val="0"/>
        <w:snapToGrid w:val="0"/>
        <w:spacing w:after="0" w:afterLines="0" w:line="50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sectPr>
          <w:footerReference r:id="rId5" w:type="default"/>
          <w:pgSz w:w="11906" w:h="16838"/>
          <w:pgMar w:top="1417" w:right="1304" w:bottom="1417" w:left="130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val="0"/>
          <w:bCs/>
          <w:color w:val="000000" w:themeColor="text1"/>
          <w:sz w:val="24"/>
          <w:szCs w:val="24"/>
          <w:lang w:val="en-US" w:eastAsia="zh-CN"/>
          <w14:textFill>
            <w14:solidFill>
              <w14:schemeClr w14:val="tx1"/>
            </w14:solidFill>
          </w14:textFill>
        </w:rPr>
        <w:t>37</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 xml:space="preserve"> 需要补充的其他内容：见供应商须知前附表。</w:t>
      </w:r>
    </w:p>
    <w:bookmarkEnd w:id="28"/>
    <w:p w14:paraId="2F054535">
      <w:pPr>
        <w:pStyle w:val="4"/>
        <w:keepNext w:val="0"/>
        <w:keepLines w:val="0"/>
        <w:pageBreakBefore w:val="0"/>
        <w:widowControl w:val="0"/>
        <w:numPr>
          <w:ilvl w:val="0"/>
          <w:numId w:val="0"/>
        </w:numPr>
        <w:kinsoku/>
        <w:overflowPunct/>
        <w:topLinePunct w:val="0"/>
        <w:autoSpaceDE/>
        <w:autoSpaceDN/>
        <w:bidi w:val="0"/>
        <w:spacing w:line="500" w:lineRule="exact"/>
        <w:jc w:val="center"/>
        <w:textAlignment w:val="auto"/>
        <w:rPr>
          <w:rFonts w:hint="eastAsia"/>
          <w:color w:val="000000" w:themeColor="text1"/>
          <w:sz w:val="44"/>
          <w:szCs w:val="44"/>
          <w14:textFill>
            <w14:solidFill>
              <w14:schemeClr w14:val="tx1"/>
            </w14:solidFill>
          </w14:textFill>
        </w:rPr>
      </w:pPr>
      <w:r>
        <w:rPr>
          <w:rFonts w:hint="eastAsia" w:ascii="宋体" w:hAnsi="宋体" w:eastAsia="宋体" w:cs="黑体"/>
          <w:b/>
          <w:bCs/>
          <w:color w:val="000000" w:themeColor="text1"/>
          <w:sz w:val="44"/>
          <w:szCs w:val="44"/>
          <w:lang w:val="en-US" w:eastAsia="en-US" w:bidi="ar-SA"/>
          <w14:textFill>
            <w14:solidFill>
              <w14:schemeClr w14:val="tx1"/>
            </w14:solidFill>
          </w14:textFill>
        </w:rPr>
        <w:t>第三章</w:t>
      </w:r>
      <w:bookmarkStart w:id="29" w:name="_Toc19227"/>
      <w:bookmarkStart w:id="30" w:name="_Toc903"/>
      <w:r>
        <w:rPr>
          <w:rFonts w:hint="eastAsia" w:cs="黑体"/>
          <w:b/>
          <w:bCs/>
          <w:color w:val="000000" w:themeColor="text1"/>
          <w:sz w:val="44"/>
          <w:szCs w:val="44"/>
          <w:lang w:val="en-US" w:eastAsia="zh-CN" w:bidi="ar-SA"/>
          <w14:textFill>
            <w14:solidFill>
              <w14:schemeClr w14:val="tx1"/>
            </w14:solidFill>
          </w14:textFill>
        </w:rPr>
        <w:t xml:space="preserve"> </w:t>
      </w:r>
      <w:r>
        <w:rPr>
          <w:rFonts w:hint="eastAsia"/>
          <w:color w:val="000000" w:themeColor="text1"/>
          <w:sz w:val="44"/>
          <w:szCs w:val="44"/>
          <w14:textFill>
            <w14:solidFill>
              <w14:schemeClr w14:val="tx1"/>
            </w14:solidFill>
          </w14:textFill>
        </w:rPr>
        <w:t>采购需求</w:t>
      </w:r>
      <w:bookmarkEnd w:id="29"/>
      <w:bookmarkEnd w:id="30"/>
      <w:bookmarkStart w:id="31" w:name="_Toc24560"/>
      <w:bookmarkStart w:id="32" w:name="_Toc80256508"/>
      <w:bookmarkStart w:id="33" w:name="_Toc80256507"/>
    </w:p>
    <w:p w14:paraId="2A60BE53">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66" w:firstLineChars="200"/>
        <w:jc w:val="left"/>
        <w:textAlignment w:val="auto"/>
        <w:rPr>
          <w:rFonts w:ascii="宋体" w:hAnsi="宋体" w:eastAsia="宋体" w:cs="宋体"/>
          <w:b/>
          <w:bCs/>
          <w:spacing w:val="-4"/>
          <w:sz w:val="24"/>
          <w:szCs w:val="24"/>
        </w:rPr>
      </w:pPr>
      <w:r>
        <w:rPr>
          <w:rFonts w:ascii="宋体" w:hAnsi="宋体" w:eastAsia="宋体" w:cs="宋体"/>
          <w:b/>
          <w:bCs/>
          <w:spacing w:val="-4"/>
          <w:sz w:val="24"/>
          <w:szCs w:val="24"/>
        </w:rPr>
        <w:t>一、</w:t>
      </w:r>
      <w:r>
        <w:rPr>
          <w:rFonts w:hint="eastAsia" w:cs="宋体"/>
          <w:b/>
          <w:bCs/>
          <w:spacing w:val="-4"/>
          <w:sz w:val="24"/>
          <w:szCs w:val="24"/>
          <w:lang w:val="en-US" w:eastAsia="zh-CN"/>
        </w:rPr>
        <w:t>采购</w:t>
      </w:r>
      <w:r>
        <w:rPr>
          <w:rFonts w:ascii="宋体" w:hAnsi="宋体" w:eastAsia="宋体" w:cs="宋体"/>
          <w:b/>
          <w:bCs/>
          <w:spacing w:val="-4"/>
          <w:sz w:val="24"/>
          <w:szCs w:val="24"/>
        </w:rPr>
        <w:t>清单</w:t>
      </w:r>
    </w:p>
    <w:p w14:paraId="1803D5CC">
      <w:pPr>
        <w:spacing w:before="250" w:line="220" w:lineRule="auto"/>
        <w:ind w:left="485"/>
      </w:pPr>
      <w:r>
        <w:drawing>
          <wp:anchor distT="0" distB="0" distL="114300" distR="114300" simplePos="0" relativeHeight="251662336" behindDoc="0" locked="0" layoutInCell="1" allowOverlap="1">
            <wp:simplePos x="0" y="0"/>
            <wp:positionH relativeFrom="column">
              <wp:posOffset>288925</wp:posOffset>
            </wp:positionH>
            <wp:positionV relativeFrom="paragraph">
              <wp:posOffset>106680</wp:posOffset>
            </wp:positionV>
            <wp:extent cx="6110605" cy="7559675"/>
            <wp:effectExtent l="0" t="0" r="4445" b="3175"/>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6110605" cy="7559675"/>
                    </a:xfrm>
                    <a:prstGeom prst="rect">
                      <a:avLst/>
                    </a:prstGeom>
                    <a:noFill/>
                    <a:ln>
                      <a:noFill/>
                    </a:ln>
                  </pic:spPr>
                </pic:pic>
              </a:graphicData>
            </a:graphic>
          </wp:anchor>
        </w:drawing>
      </w:r>
    </w:p>
    <w:p w14:paraId="2E4B7E2C">
      <w:pPr>
        <w:spacing w:before="250" w:line="220" w:lineRule="auto"/>
        <w:ind w:left="485"/>
      </w:pPr>
    </w:p>
    <w:p w14:paraId="318EC11E">
      <w:pPr>
        <w:spacing w:before="250" w:line="220" w:lineRule="auto"/>
        <w:ind w:left="485"/>
      </w:pPr>
    </w:p>
    <w:p w14:paraId="579E1F65">
      <w:pPr>
        <w:spacing w:before="250" w:line="220" w:lineRule="auto"/>
        <w:ind w:left="485"/>
      </w:pPr>
    </w:p>
    <w:p w14:paraId="59B2C25A">
      <w:pPr>
        <w:spacing w:before="250" w:line="220" w:lineRule="auto"/>
        <w:ind w:left="485"/>
      </w:pPr>
    </w:p>
    <w:p w14:paraId="097F91E7">
      <w:pPr>
        <w:spacing w:before="250" w:line="220" w:lineRule="auto"/>
        <w:ind w:left="485"/>
      </w:pPr>
    </w:p>
    <w:p w14:paraId="0EF21948">
      <w:pPr>
        <w:spacing w:before="250" w:line="220" w:lineRule="auto"/>
        <w:ind w:left="485"/>
      </w:pPr>
    </w:p>
    <w:p w14:paraId="1044C95F">
      <w:pPr>
        <w:spacing w:before="250" w:line="220" w:lineRule="auto"/>
        <w:ind w:left="485"/>
      </w:pPr>
    </w:p>
    <w:p w14:paraId="7A693339">
      <w:pPr>
        <w:spacing w:before="250" w:line="220" w:lineRule="auto"/>
        <w:ind w:left="485"/>
      </w:pPr>
    </w:p>
    <w:p w14:paraId="11C46E12">
      <w:pPr>
        <w:spacing w:before="250" w:line="220" w:lineRule="auto"/>
        <w:ind w:left="485"/>
      </w:pPr>
    </w:p>
    <w:p w14:paraId="573B7CBC">
      <w:pPr>
        <w:spacing w:before="250" w:line="220" w:lineRule="auto"/>
        <w:ind w:left="485"/>
      </w:pPr>
    </w:p>
    <w:p w14:paraId="31D9BCB2">
      <w:pPr>
        <w:spacing w:before="250" w:line="220" w:lineRule="auto"/>
        <w:ind w:left="485"/>
      </w:pPr>
    </w:p>
    <w:p w14:paraId="0EBA3C8D">
      <w:pPr>
        <w:spacing w:before="250" w:line="220" w:lineRule="auto"/>
        <w:ind w:left="485"/>
      </w:pPr>
    </w:p>
    <w:p w14:paraId="7F5E04C1">
      <w:pPr>
        <w:spacing w:before="250" w:line="220" w:lineRule="auto"/>
        <w:ind w:left="485"/>
      </w:pPr>
    </w:p>
    <w:p w14:paraId="00FC4E0C">
      <w:pPr>
        <w:spacing w:before="250" w:line="220" w:lineRule="auto"/>
        <w:ind w:left="485"/>
      </w:pPr>
    </w:p>
    <w:p w14:paraId="270FDCF6">
      <w:pPr>
        <w:spacing w:before="250" w:line="220" w:lineRule="auto"/>
        <w:ind w:left="485"/>
      </w:pPr>
    </w:p>
    <w:p w14:paraId="27F4C752">
      <w:pPr>
        <w:spacing w:before="250" w:line="220" w:lineRule="auto"/>
        <w:ind w:left="485"/>
      </w:pPr>
    </w:p>
    <w:p w14:paraId="639E9B95">
      <w:pPr>
        <w:spacing w:before="250" w:line="220" w:lineRule="auto"/>
        <w:ind w:left="485"/>
      </w:pPr>
    </w:p>
    <w:p w14:paraId="178E155D">
      <w:pPr>
        <w:spacing w:before="250" w:line="220" w:lineRule="auto"/>
        <w:ind w:left="485"/>
      </w:pPr>
    </w:p>
    <w:p w14:paraId="54CC37CF">
      <w:pPr>
        <w:spacing w:before="250" w:line="220" w:lineRule="auto"/>
        <w:ind w:left="485"/>
      </w:pPr>
    </w:p>
    <w:p w14:paraId="5FC358F5">
      <w:pPr>
        <w:spacing w:before="250" w:line="220" w:lineRule="auto"/>
        <w:ind w:left="485"/>
      </w:pPr>
    </w:p>
    <w:p w14:paraId="7459A36C">
      <w:pPr>
        <w:spacing w:before="250" w:line="220" w:lineRule="auto"/>
        <w:ind w:left="485"/>
      </w:pPr>
    </w:p>
    <w:p w14:paraId="6F778C52">
      <w:pPr>
        <w:spacing w:before="250" w:line="220" w:lineRule="auto"/>
        <w:ind w:left="485"/>
      </w:pPr>
    </w:p>
    <w:p w14:paraId="3957EB1E">
      <w:pPr>
        <w:spacing w:before="250" w:line="220" w:lineRule="auto"/>
        <w:ind w:left="485"/>
      </w:pPr>
    </w:p>
    <w:p w14:paraId="0E2CBAD9">
      <w:pPr>
        <w:spacing w:before="250" w:line="220" w:lineRule="auto"/>
        <w:ind w:left="485"/>
      </w:pPr>
      <w:r>
        <w:drawing>
          <wp:anchor distT="0" distB="0" distL="114300" distR="114300" simplePos="0" relativeHeight="251663360" behindDoc="0" locked="0" layoutInCell="1" allowOverlap="1">
            <wp:simplePos x="0" y="0"/>
            <wp:positionH relativeFrom="column">
              <wp:posOffset>-73025</wp:posOffset>
            </wp:positionH>
            <wp:positionV relativeFrom="paragraph">
              <wp:posOffset>17780</wp:posOffset>
            </wp:positionV>
            <wp:extent cx="6111875" cy="7867015"/>
            <wp:effectExtent l="0" t="0" r="3175" b="63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6111875" cy="7867015"/>
                    </a:xfrm>
                    <a:prstGeom prst="rect">
                      <a:avLst/>
                    </a:prstGeom>
                    <a:noFill/>
                    <a:ln>
                      <a:noFill/>
                    </a:ln>
                  </pic:spPr>
                </pic:pic>
              </a:graphicData>
            </a:graphic>
          </wp:anchor>
        </w:drawing>
      </w:r>
    </w:p>
    <w:p w14:paraId="6F79647A">
      <w:pPr>
        <w:spacing w:before="250" w:line="220" w:lineRule="auto"/>
        <w:ind w:left="485"/>
      </w:pPr>
    </w:p>
    <w:p w14:paraId="24A4C3A2">
      <w:pPr>
        <w:pStyle w:val="2"/>
      </w:pPr>
    </w:p>
    <w:p w14:paraId="5A1D4C98">
      <w:pPr>
        <w:pStyle w:val="2"/>
      </w:pPr>
    </w:p>
    <w:p w14:paraId="534DBDD6">
      <w:pPr>
        <w:pStyle w:val="2"/>
      </w:pPr>
    </w:p>
    <w:p w14:paraId="2BDC32CD">
      <w:pPr>
        <w:pStyle w:val="2"/>
      </w:pPr>
    </w:p>
    <w:p w14:paraId="7B28B304">
      <w:pPr>
        <w:pStyle w:val="2"/>
      </w:pPr>
    </w:p>
    <w:p w14:paraId="6EA28ABD">
      <w:pPr>
        <w:pStyle w:val="2"/>
      </w:pPr>
    </w:p>
    <w:p w14:paraId="4DCD523F">
      <w:pPr>
        <w:pStyle w:val="2"/>
      </w:pPr>
    </w:p>
    <w:p w14:paraId="64551FA3">
      <w:pPr>
        <w:pStyle w:val="2"/>
      </w:pPr>
    </w:p>
    <w:p w14:paraId="389F4B24">
      <w:pPr>
        <w:pStyle w:val="2"/>
      </w:pPr>
    </w:p>
    <w:p w14:paraId="2DB8B02B">
      <w:pPr>
        <w:pStyle w:val="2"/>
      </w:pPr>
    </w:p>
    <w:p w14:paraId="172705CF">
      <w:pPr>
        <w:pStyle w:val="2"/>
      </w:pPr>
    </w:p>
    <w:p w14:paraId="31489D40">
      <w:pPr>
        <w:pStyle w:val="2"/>
      </w:pPr>
    </w:p>
    <w:p w14:paraId="2193FDE0">
      <w:pPr>
        <w:pStyle w:val="2"/>
      </w:pPr>
    </w:p>
    <w:p w14:paraId="192027FB">
      <w:pPr>
        <w:pStyle w:val="2"/>
      </w:pPr>
    </w:p>
    <w:p w14:paraId="77B289BD">
      <w:pPr>
        <w:pStyle w:val="2"/>
      </w:pPr>
    </w:p>
    <w:p w14:paraId="63976C15">
      <w:pPr>
        <w:pStyle w:val="2"/>
      </w:pPr>
    </w:p>
    <w:p w14:paraId="5616F9E4">
      <w:pPr>
        <w:pStyle w:val="2"/>
      </w:pPr>
    </w:p>
    <w:p w14:paraId="5E9792CF">
      <w:pPr>
        <w:pStyle w:val="2"/>
      </w:pPr>
    </w:p>
    <w:p w14:paraId="49F5BF1A">
      <w:pPr>
        <w:pStyle w:val="2"/>
      </w:pPr>
    </w:p>
    <w:p w14:paraId="48B15A9E">
      <w:pPr>
        <w:pStyle w:val="2"/>
      </w:pPr>
    </w:p>
    <w:p w14:paraId="5E96EBAD">
      <w:pPr>
        <w:pStyle w:val="2"/>
      </w:pPr>
    </w:p>
    <w:p w14:paraId="407F6A06">
      <w:pPr>
        <w:pStyle w:val="2"/>
      </w:pPr>
    </w:p>
    <w:p w14:paraId="2081F474">
      <w:pPr>
        <w:pStyle w:val="2"/>
      </w:pPr>
    </w:p>
    <w:p w14:paraId="6B168565">
      <w:pPr>
        <w:pStyle w:val="2"/>
      </w:pPr>
    </w:p>
    <w:p w14:paraId="0A7CD0E2">
      <w:pPr>
        <w:pStyle w:val="2"/>
      </w:pPr>
    </w:p>
    <w:p w14:paraId="2936391F">
      <w:pPr>
        <w:pStyle w:val="2"/>
      </w:pPr>
    </w:p>
    <w:p w14:paraId="1A37B4EE">
      <w:pPr>
        <w:pStyle w:val="2"/>
      </w:pPr>
    </w:p>
    <w:p w14:paraId="1C01529A">
      <w:pPr>
        <w:pStyle w:val="2"/>
      </w:pPr>
    </w:p>
    <w:p w14:paraId="1E92E1F9">
      <w:pPr>
        <w:pStyle w:val="2"/>
      </w:pPr>
    </w:p>
    <w:p w14:paraId="62218930">
      <w:pPr>
        <w:pStyle w:val="2"/>
      </w:pPr>
    </w:p>
    <w:p w14:paraId="260D987B">
      <w:pPr>
        <w:spacing w:before="250" w:line="220" w:lineRule="auto"/>
        <w:ind w:left="485"/>
      </w:pPr>
    </w:p>
    <w:p w14:paraId="7B00DF2E">
      <w:pPr>
        <w:spacing w:before="250" w:line="220" w:lineRule="auto"/>
        <w:ind w:left="485"/>
        <w:rPr>
          <w:rFonts w:ascii="宋体" w:hAnsi="宋体" w:eastAsia="宋体" w:cs="宋体"/>
          <w:b/>
          <w:bCs/>
          <w:spacing w:val="-4"/>
          <w:sz w:val="24"/>
          <w:szCs w:val="24"/>
        </w:rPr>
      </w:pPr>
      <w:r>
        <w:drawing>
          <wp:anchor distT="0" distB="0" distL="114300" distR="114300" simplePos="0" relativeHeight="251664384" behindDoc="0" locked="0" layoutInCell="1" allowOverlap="1">
            <wp:simplePos x="0" y="0"/>
            <wp:positionH relativeFrom="column">
              <wp:posOffset>-82550</wp:posOffset>
            </wp:positionH>
            <wp:positionV relativeFrom="paragraph">
              <wp:posOffset>69850</wp:posOffset>
            </wp:positionV>
            <wp:extent cx="6115050" cy="7694295"/>
            <wp:effectExtent l="0" t="0" r="0" b="1905"/>
            <wp:wrapNone/>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4"/>
                    <a:stretch>
                      <a:fillRect/>
                    </a:stretch>
                  </pic:blipFill>
                  <pic:spPr>
                    <a:xfrm>
                      <a:off x="0" y="0"/>
                      <a:ext cx="6115050" cy="7694295"/>
                    </a:xfrm>
                    <a:prstGeom prst="rect">
                      <a:avLst/>
                    </a:prstGeom>
                    <a:noFill/>
                    <a:ln>
                      <a:noFill/>
                    </a:ln>
                  </pic:spPr>
                </pic:pic>
              </a:graphicData>
            </a:graphic>
          </wp:anchor>
        </w:drawing>
      </w:r>
    </w:p>
    <w:p w14:paraId="6F5BB836">
      <w:pPr>
        <w:spacing w:before="250" w:line="220" w:lineRule="auto"/>
        <w:ind w:left="485"/>
        <w:rPr>
          <w:rFonts w:ascii="宋体" w:hAnsi="宋体" w:eastAsia="宋体" w:cs="宋体"/>
          <w:b/>
          <w:bCs/>
          <w:spacing w:val="-4"/>
          <w:sz w:val="24"/>
          <w:szCs w:val="24"/>
        </w:rPr>
      </w:pPr>
    </w:p>
    <w:p w14:paraId="2745A7B1">
      <w:pPr>
        <w:spacing w:before="250" w:line="220" w:lineRule="auto"/>
        <w:ind w:left="485"/>
        <w:rPr>
          <w:rFonts w:ascii="宋体" w:hAnsi="宋体" w:eastAsia="宋体" w:cs="宋体"/>
          <w:b/>
          <w:bCs/>
          <w:spacing w:val="-4"/>
          <w:sz w:val="24"/>
          <w:szCs w:val="24"/>
        </w:rPr>
      </w:pPr>
    </w:p>
    <w:p w14:paraId="2235D631">
      <w:pPr>
        <w:spacing w:before="250" w:line="220" w:lineRule="auto"/>
        <w:ind w:left="485"/>
        <w:rPr>
          <w:rFonts w:ascii="宋体" w:hAnsi="宋体" w:eastAsia="宋体" w:cs="宋体"/>
          <w:b/>
          <w:bCs/>
          <w:spacing w:val="-4"/>
          <w:sz w:val="24"/>
          <w:szCs w:val="24"/>
        </w:rPr>
      </w:pPr>
    </w:p>
    <w:p w14:paraId="437C718A">
      <w:pPr>
        <w:spacing w:before="250" w:line="220" w:lineRule="auto"/>
        <w:ind w:left="485"/>
        <w:rPr>
          <w:rFonts w:ascii="宋体" w:hAnsi="宋体" w:eastAsia="宋体" w:cs="宋体"/>
          <w:b/>
          <w:bCs/>
          <w:spacing w:val="-4"/>
          <w:sz w:val="24"/>
          <w:szCs w:val="24"/>
        </w:rPr>
      </w:pPr>
    </w:p>
    <w:p w14:paraId="7C10727D">
      <w:pPr>
        <w:spacing w:before="250" w:line="220" w:lineRule="auto"/>
        <w:ind w:left="485"/>
        <w:rPr>
          <w:rFonts w:ascii="宋体" w:hAnsi="宋体" w:eastAsia="宋体" w:cs="宋体"/>
          <w:b/>
          <w:bCs/>
          <w:spacing w:val="-4"/>
          <w:sz w:val="24"/>
          <w:szCs w:val="24"/>
        </w:rPr>
      </w:pPr>
    </w:p>
    <w:p w14:paraId="56E30C93">
      <w:pPr>
        <w:spacing w:before="250" w:line="220" w:lineRule="auto"/>
        <w:ind w:left="485"/>
        <w:rPr>
          <w:rFonts w:ascii="宋体" w:hAnsi="宋体" w:eastAsia="宋体" w:cs="宋体"/>
          <w:b/>
          <w:bCs/>
          <w:spacing w:val="-4"/>
          <w:sz w:val="24"/>
          <w:szCs w:val="24"/>
        </w:rPr>
      </w:pPr>
    </w:p>
    <w:p w14:paraId="776F445B">
      <w:pPr>
        <w:spacing w:before="250" w:line="220" w:lineRule="auto"/>
        <w:ind w:left="485"/>
        <w:rPr>
          <w:rFonts w:ascii="宋体" w:hAnsi="宋体" w:eastAsia="宋体" w:cs="宋体"/>
          <w:b/>
          <w:bCs/>
          <w:spacing w:val="-4"/>
          <w:sz w:val="24"/>
          <w:szCs w:val="24"/>
        </w:rPr>
      </w:pPr>
    </w:p>
    <w:p w14:paraId="209FA550">
      <w:pPr>
        <w:spacing w:before="250" w:line="220" w:lineRule="auto"/>
        <w:ind w:left="485"/>
        <w:rPr>
          <w:rFonts w:ascii="宋体" w:hAnsi="宋体" w:eastAsia="宋体" w:cs="宋体"/>
          <w:b/>
          <w:bCs/>
          <w:spacing w:val="-4"/>
          <w:sz w:val="24"/>
          <w:szCs w:val="24"/>
        </w:rPr>
      </w:pPr>
    </w:p>
    <w:p w14:paraId="52210D49">
      <w:pPr>
        <w:spacing w:before="250" w:line="220" w:lineRule="auto"/>
        <w:ind w:left="485"/>
        <w:rPr>
          <w:rFonts w:ascii="宋体" w:hAnsi="宋体" w:eastAsia="宋体" w:cs="宋体"/>
          <w:b/>
          <w:bCs/>
          <w:spacing w:val="-4"/>
          <w:sz w:val="24"/>
          <w:szCs w:val="24"/>
        </w:rPr>
      </w:pPr>
    </w:p>
    <w:p w14:paraId="0AA19949">
      <w:pPr>
        <w:spacing w:before="250" w:line="220" w:lineRule="auto"/>
        <w:ind w:left="485"/>
        <w:rPr>
          <w:rFonts w:ascii="宋体" w:hAnsi="宋体" w:eastAsia="宋体" w:cs="宋体"/>
          <w:b/>
          <w:bCs/>
          <w:spacing w:val="-4"/>
          <w:sz w:val="24"/>
          <w:szCs w:val="24"/>
        </w:rPr>
      </w:pPr>
    </w:p>
    <w:p w14:paraId="14E23BD7">
      <w:pPr>
        <w:spacing w:before="250" w:line="220" w:lineRule="auto"/>
        <w:ind w:left="485"/>
        <w:rPr>
          <w:rFonts w:ascii="宋体" w:hAnsi="宋体" w:eastAsia="宋体" w:cs="宋体"/>
          <w:b/>
          <w:bCs/>
          <w:spacing w:val="-4"/>
          <w:sz w:val="24"/>
          <w:szCs w:val="24"/>
        </w:rPr>
      </w:pPr>
    </w:p>
    <w:p w14:paraId="2FC95E85">
      <w:pPr>
        <w:spacing w:before="250" w:line="220" w:lineRule="auto"/>
        <w:ind w:left="485"/>
        <w:rPr>
          <w:rFonts w:ascii="宋体" w:hAnsi="宋体" w:eastAsia="宋体" w:cs="宋体"/>
          <w:b/>
          <w:bCs/>
          <w:spacing w:val="-4"/>
          <w:sz w:val="24"/>
          <w:szCs w:val="24"/>
        </w:rPr>
      </w:pPr>
    </w:p>
    <w:p w14:paraId="3B7C8844">
      <w:pPr>
        <w:spacing w:before="250" w:line="220" w:lineRule="auto"/>
        <w:ind w:left="485"/>
        <w:rPr>
          <w:rFonts w:ascii="宋体" w:hAnsi="宋体" w:eastAsia="宋体" w:cs="宋体"/>
          <w:b/>
          <w:bCs/>
          <w:spacing w:val="-4"/>
          <w:sz w:val="24"/>
          <w:szCs w:val="24"/>
        </w:rPr>
      </w:pPr>
    </w:p>
    <w:p w14:paraId="3677364A">
      <w:pPr>
        <w:spacing w:before="250" w:line="220" w:lineRule="auto"/>
        <w:ind w:left="485"/>
        <w:rPr>
          <w:rFonts w:ascii="宋体" w:hAnsi="宋体" w:eastAsia="宋体" w:cs="宋体"/>
          <w:b/>
          <w:bCs/>
          <w:spacing w:val="-4"/>
          <w:sz w:val="24"/>
          <w:szCs w:val="24"/>
        </w:rPr>
      </w:pPr>
    </w:p>
    <w:p w14:paraId="7E32D8F6">
      <w:pPr>
        <w:spacing w:before="250" w:line="220" w:lineRule="auto"/>
        <w:ind w:left="485"/>
        <w:rPr>
          <w:rFonts w:ascii="宋体" w:hAnsi="宋体" w:eastAsia="宋体" w:cs="宋体"/>
          <w:b/>
          <w:bCs/>
          <w:spacing w:val="-4"/>
          <w:sz w:val="24"/>
          <w:szCs w:val="24"/>
        </w:rPr>
      </w:pPr>
    </w:p>
    <w:p w14:paraId="5E8B865E">
      <w:pPr>
        <w:spacing w:before="250" w:line="220" w:lineRule="auto"/>
        <w:ind w:left="485"/>
        <w:rPr>
          <w:rFonts w:ascii="宋体" w:hAnsi="宋体" w:eastAsia="宋体" w:cs="宋体"/>
          <w:b/>
          <w:bCs/>
          <w:spacing w:val="-4"/>
          <w:sz w:val="24"/>
          <w:szCs w:val="24"/>
        </w:rPr>
      </w:pPr>
    </w:p>
    <w:p w14:paraId="2F6B7ACD">
      <w:pPr>
        <w:spacing w:before="250" w:line="220" w:lineRule="auto"/>
        <w:ind w:left="485"/>
        <w:rPr>
          <w:rFonts w:ascii="宋体" w:hAnsi="宋体" w:eastAsia="宋体" w:cs="宋体"/>
          <w:b/>
          <w:bCs/>
          <w:spacing w:val="-4"/>
          <w:sz w:val="24"/>
          <w:szCs w:val="24"/>
        </w:rPr>
      </w:pPr>
    </w:p>
    <w:p w14:paraId="7D5E833D">
      <w:pPr>
        <w:spacing w:before="250" w:line="220" w:lineRule="auto"/>
        <w:ind w:left="485"/>
        <w:rPr>
          <w:rFonts w:ascii="宋体" w:hAnsi="宋体" w:eastAsia="宋体" w:cs="宋体"/>
          <w:b/>
          <w:bCs/>
          <w:spacing w:val="-4"/>
          <w:sz w:val="24"/>
          <w:szCs w:val="24"/>
        </w:rPr>
      </w:pPr>
    </w:p>
    <w:p w14:paraId="4F1B7E1D">
      <w:pPr>
        <w:spacing w:before="250" w:line="220" w:lineRule="auto"/>
        <w:ind w:left="485"/>
        <w:rPr>
          <w:rFonts w:ascii="宋体" w:hAnsi="宋体" w:eastAsia="宋体" w:cs="宋体"/>
          <w:b/>
          <w:bCs/>
          <w:spacing w:val="-4"/>
          <w:sz w:val="24"/>
          <w:szCs w:val="24"/>
        </w:rPr>
      </w:pPr>
    </w:p>
    <w:p w14:paraId="67040D5F">
      <w:pPr>
        <w:spacing w:before="250" w:line="220" w:lineRule="auto"/>
        <w:ind w:left="485"/>
        <w:rPr>
          <w:rFonts w:ascii="宋体" w:hAnsi="宋体" w:eastAsia="宋体" w:cs="宋体"/>
          <w:b/>
          <w:bCs/>
          <w:spacing w:val="-4"/>
          <w:sz w:val="24"/>
          <w:szCs w:val="24"/>
        </w:rPr>
      </w:pPr>
    </w:p>
    <w:p w14:paraId="77694A40">
      <w:pPr>
        <w:spacing w:before="250" w:line="220" w:lineRule="auto"/>
        <w:ind w:left="485"/>
        <w:rPr>
          <w:rFonts w:ascii="宋体" w:hAnsi="宋体" w:eastAsia="宋体" w:cs="宋体"/>
          <w:b/>
          <w:bCs/>
          <w:spacing w:val="-4"/>
          <w:sz w:val="24"/>
          <w:szCs w:val="24"/>
        </w:rPr>
      </w:pPr>
    </w:p>
    <w:p w14:paraId="16A234AF">
      <w:pPr>
        <w:spacing w:before="250" w:line="220" w:lineRule="auto"/>
        <w:ind w:left="485"/>
        <w:rPr>
          <w:rFonts w:ascii="宋体" w:hAnsi="宋体" w:eastAsia="宋体" w:cs="宋体"/>
          <w:b/>
          <w:bCs/>
          <w:spacing w:val="-4"/>
          <w:sz w:val="24"/>
          <w:szCs w:val="24"/>
        </w:rPr>
      </w:pPr>
    </w:p>
    <w:p w14:paraId="7D30A997">
      <w:pPr>
        <w:spacing w:before="250" w:line="220" w:lineRule="auto"/>
        <w:ind w:left="485"/>
        <w:rPr>
          <w:rFonts w:ascii="宋体" w:hAnsi="宋体" w:eastAsia="宋体" w:cs="宋体"/>
          <w:b/>
          <w:bCs/>
          <w:spacing w:val="-4"/>
          <w:sz w:val="24"/>
          <w:szCs w:val="24"/>
        </w:rPr>
      </w:pPr>
    </w:p>
    <w:p w14:paraId="7F898552">
      <w:pPr>
        <w:spacing w:before="250" w:line="220" w:lineRule="auto"/>
        <w:ind w:left="485"/>
        <w:rPr>
          <w:rFonts w:ascii="宋体" w:hAnsi="宋体" w:eastAsia="宋体" w:cs="宋体"/>
          <w:b/>
          <w:bCs/>
          <w:spacing w:val="-4"/>
          <w:sz w:val="24"/>
          <w:szCs w:val="24"/>
        </w:rPr>
      </w:pPr>
      <w:r>
        <w:drawing>
          <wp:anchor distT="0" distB="0" distL="114300" distR="114300" simplePos="0" relativeHeight="251665408" behindDoc="0" locked="0" layoutInCell="1" allowOverlap="1">
            <wp:simplePos x="0" y="0"/>
            <wp:positionH relativeFrom="column">
              <wp:posOffset>-149225</wp:posOffset>
            </wp:positionH>
            <wp:positionV relativeFrom="paragraph">
              <wp:posOffset>69850</wp:posOffset>
            </wp:positionV>
            <wp:extent cx="6110605" cy="7547610"/>
            <wp:effectExtent l="0" t="0" r="4445" b="15240"/>
            <wp:wrapNone/>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a:stretch>
                      <a:fillRect/>
                    </a:stretch>
                  </pic:blipFill>
                  <pic:spPr>
                    <a:xfrm>
                      <a:off x="0" y="0"/>
                      <a:ext cx="6110605" cy="7547610"/>
                    </a:xfrm>
                    <a:prstGeom prst="rect">
                      <a:avLst/>
                    </a:prstGeom>
                    <a:noFill/>
                    <a:ln>
                      <a:noFill/>
                    </a:ln>
                  </pic:spPr>
                </pic:pic>
              </a:graphicData>
            </a:graphic>
          </wp:anchor>
        </w:drawing>
      </w:r>
    </w:p>
    <w:p w14:paraId="31B6B2A0">
      <w:pPr>
        <w:spacing w:before="250" w:line="220" w:lineRule="auto"/>
        <w:ind w:left="485"/>
        <w:rPr>
          <w:rFonts w:ascii="宋体" w:hAnsi="宋体" w:eastAsia="宋体" w:cs="宋体"/>
          <w:b/>
          <w:bCs/>
          <w:spacing w:val="-4"/>
          <w:sz w:val="24"/>
          <w:szCs w:val="24"/>
        </w:rPr>
      </w:pPr>
    </w:p>
    <w:p w14:paraId="634809D2">
      <w:pPr>
        <w:spacing w:before="250" w:line="220" w:lineRule="auto"/>
        <w:ind w:left="485"/>
        <w:rPr>
          <w:rFonts w:ascii="宋体" w:hAnsi="宋体" w:eastAsia="宋体" w:cs="宋体"/>
          <w:b/>
          <w:bCs/>
          <w:spacing w:val="-4"/>
          <w:sz w:val="24"/>
          <w:szCs w:val="24"/>
        </w:rPr>
      </w:pPr>
    </w:p>
    <w:p w14:paraId="4C636EBD">
      <w:pPr>
        <w:spacing w:before="250" w:line="220" w:lineRule="auto"/>
        <w:ind w:left="485"/>
        <w:rPr>
          <w:rFonts w:ascii="宋体" w:hAnsi="宋体" w:eastAsia="宋体" w:cs="宋体"/>
          <w:b/>
          <w:bCs/>
          <w:spacing w:val="-4"/>
          <w:sz w:val="24"/>
          <w:szCs w:val="24"/>
        </w:rPr>
      </w:pPr>
    </w:p>
    <w:p w14:paraId="40917650">
      <w:pPr>
        <w:spacing w:before="250" w:line="220" w:lineRule="auto"/>
        <w:ind w:left="485"/>
        <w:rPr>
          <w:rFonts w:ascii="宋体" w:hAnsi="宋体" w:eastAsia="宋体" w:cs="宋体"/>
          <w:b/>
          <w:bCs/>
          <w:spacing w:val="-4"/>
          <w:sz w:val="24"/>
          <w:szCs w:val="24"/>
        </w:rPr>
      </w:pPr>
    </w:p>
    <w:p w14:paraId="424C0117">
      <w:pPr>
        <w:spacing w:before="250" w:line="220" w:lineRule="auto"/>
        <w:ind w:left="485"/>
        <w:rPr>
          <w:rFonts w:ascii="宋体" w:hAnsi="宋体" w:eastAsia="宋体" w:cs="宋体"/>
          <w:b/>
          <w:bCs/>
          <w:spacing w:val="-4"/>
          <w:sz w:val="24"/>
          <w:szCs w:val="24"/>
        </w:rPr>
      </w:pPr>
    </w:p>
    <w:p w14:paraId="37F7C72A">
      <w:pPr>
        <w:spacing w:before="250" w:line="220" w:lineRule="auto"/>
        <w:ind w:left="485"/>
        <w:rPr>
          <w:rFonts w:ascii="宋体" w:hAnsi="宋体" w:eastAsia="宋体" w:cs="宋体"/>
          <w:b/>
          <w:bCs/>
          <w:spacing w:val="-4"/>
          <w:sz w:val="24"/>
          <w:szCs w:val="24"/>
        </w:rPr>
      </w:pPr>
    </w:p>
    <w:p w14:paraId="0E6114AA">
      <w:pPr>
        <w:spacing w:before="250" w:line="220" w:lineRule="auto"/>
        <w:ind w:left="485"/>
        <w:rPr>
          <w:rFonts w:ascii="宋体" w:hAnsi="宋体" w:eastAsia="宋体" w:cs="宋体"/>
          <w:b/>
          <w:bCs/>
          <w:spacing w:val="-4"/>
          <w:sz w:val="24"/>
          <w:szCs w:val="24"/>
        </w:rPr>
      </w:pPr>
    </w:p>
    <w:p w14:paraId="1302F8D6">
      <w:pPr>
        <w:spacing w:before="250" w:line="220" w:lineRule="auto"/>
        <w:ind w:left="485"/>
        <w:rPr>
          <w:rFonts w:ascii="宋体" w:hAnsi="宋体" w:eastAsia="宋体" w:cs="宋体"/>
          <w:b/>
          <w:bCs/>
          <w:spacing w:val="-4"/>
          <w:sz w:val="24"/>
          <w:szCs w:val="24"/>
        </w:rPr>
      </w:pPr>
    </w:p>
    <w:p w14:paraId="70E2A8F6">
      <w:pPr>
        <w:spacing w:before="250" w:line="220" w:lineRule="auto"/>
        <w:ind w:left="485"/>
        <w:rPr>
          <w:rFonts w:ascii="宋体" w:hAnsi="宋体" w:eastAsia="宋体" w:cs="宋体"/>
          <w:b/>
          <w:bCs/>
          <w:spacing w:val="-4"/>
          <w:sz w:val="24"/>
          <w:szCs w:val="24"/>
        </w:rPr>
      </w:pPr>
    </w:p>
    <w:p w14:paraId="62890996">
      <w:pPr>
        <w:spacing w:before="250" w:line="220" w:lineRule="auto"/>
        <w:ind w:left="485"/>
        <w:rPr>
          <w:rFonts w:ascii="宋体" w:hAnsi="宋体" w:eastAsia="宋体" w:cs="宋体"/>
          <w:b/>
          <w:bCs/>
          <w:spacing w:val="-4"/>
          <w:sz w:val="24"/>
          <w:szCs w:val="24"/>
        </w:rPr>
      </w:pPr>
    </w:p>
    <w:p w14:paraId="556A9A40">
      <w:pPr>
        <w:spacing w:before="250" w:line="220" w:lineRule="auto"/>
        <w:ind w:left="485"/>
        <w:rPr>
          <w:rFonts w:ascii="宋体" w:hAnsi="宋体" w:eastAsia="宋体" w:cs="宋体"/>
          <w:b/>
          <w:bCs/>
          <w:spacing w:val="-4"/>
          <w:sz w:val="24"/>
          <w:szCs w:val="24"/>
        </w:rPr>
      </w:pPr>
    </w:p>
    <w:p w14:paraId="4AF3EAEB">
      <w:pPr>
        <w:spacing w:before="250" w:line="220" w:lineRule="auto"/>
        <w:ind w:left="485"/>
        <w:rPr>
          <w:rFonts w:ascii="宋体" w:hAnsi="宋体" w:eastAsia="宋体" w:cs="宋体"/>
          <w:b/>
          <w:bCs/>
          <w:spacing w:val="-4"/>
          <w:sz w:val="24"/>
          <w:szCs w:val="24"/>
        </w:rPr>
      </w:pPr>
    </w:p>
    <w:p w14:paraId="57AD551F">
      <w:pPr>
        <w:spacing w:before="250" w:line="220" w:lineRule="auto"/>
        <w:ind w:left="485"/>
        <w:rPr>
          <w:rFonts w:ascii="宋体" w:hAnsi="宋体" w:eastAsia="宋体" w:cs="宋体"/>
          <w:b/>
          <w:bCs/>
          <w:spacing w:val="-4"/>
          <w:sz w:val="24"/>
          <w:szCs w:val="24"/>
        </w:rPr>
      </w:pPr>
    </w:p>
    <w:p w14:paraId="2171BF6F">
      <w:pPr>
        <w:spacing w:before="250" w:line="220" w:lineRule="auto"/>
        <w:ind w:left="485"/>
        <w:rPr>
          <w:rFonts w:ascii="宋体" w:hAnsi="宋体" w:eastAsia="宋体" w:cs="宋体"/>
          <w:b/>
          <w:bCs/>
          <w:spacing w:val="-4"/>
          <w:sz w:val="24"/>
          <w:szCs w:val="24"/>
        </w:rPr>
      </w:pPr>
    </w:p>
    <w:p w14:paraId="73D895A4">
      <w:pPr>
        <w:spacing w:before="250" w:line="220" w:lineRule="auto"/>
        <w:ind w:left="485"/>
        <w:rPr>
          <w:rFonts w:ascii="宋体" w:hAnsi="宋体" w:eastAsia="宋体" w:cs="宋体"/>
          <w:b/>
          <w:bCs/>
          <w:spacing w:val="-4"/>
          <w:sz w:val="24"/>
          <w:szCs w:val="24"/>
        </w:rPr>
      </w:pPr>
    </w:p>
    <w:p w14:paraId="4E9C5F9D">
      <w:pPr>
        <w:spacing w:before="250" w:line="220" w:lineRule="auto"/>
        <w:ind w:left="485"/>
        <w:rPr>
          <w:rFonts w:ascii="宋体" w:hAnsi="宋体" w:eastAsia="宋体" w:cs="宋体"/>
          <w:b/>
          <w:bCs/>
          <w:spacing w:val="-4"/>
          <w:sz w:val="24"/>
          <w:szCs w:val="24"/>
        </w:rPr>
      </w:pPr>
    </w:p>
    <w:p w14:paraId="152200B8">
      <w:pPr>
        <w:spacing w:before="250" w:line="220" w:lineRule="auto"/>
        <w:ind w:left="485"/>
        <w:rPr>
          <w:rFonts w:ascii="宋体" w:hAnsi="宋体" w:eastAsia="宋体" w:cs="宋体"/>
          <w:b/>
          <w:bCs/>
          <w:spacing w:val="-4"/>
          <w:sz w:val="24"/>
          <w:szCs w:val="24"/>
        </w:rPr>
      </w:pPr>
    </w:p>
    <w:p w14:paraId="6DAC3070">
      <w:pPr>
        <w:spacing w:before="250" w:line="220" w:lineRule="auto"/>
        <w:ind w:left="485"/>
        <w:rPr>
          <w:rFonts w:ascii="宋体" w:hAnsi="宋体" w:eastAsia="宋体" w:cs="宋体"/>
          <w:b/>
          <w:bCs/>
          <w:spacing w:val="-4"/>
          <w:sz w:val="24"/>
          <w:szCs w:val="24"/>
        </w:rPr>
      </w:pPr>
    </w:p>
    <w:p w14:paraId="46C8F2D2">
      <w:pPr>
        <w:spacing w:before="250" w:line="220" w:lineRule="auto"/>
        <w:ind w:left="485"/>
        <w:rPr>
          <w:rFonts w:ascii="宋体" w:hAnsi="宋体" w:eastAsia="宋体" w:cs="宋体"/>
          <w:b/>
          <w:bCs/>
          <w:spacing w:val="-4"/>
          <w:sz w:val="24"/>
          <w:szCs w:val="24"/>
        </w:rPr>
      </w:pPr>
    </w:p>
    <w:p w14:paraId="30D351BC">
      <w:pPr>
        <w:spacing w:before="250" w:line="220" w:lineRule="auto"/>
        <w:ind w:left="485"/>
        <w:rPr>
          <w:rFonts w:ascii="宋体" w:hAnsi="宋体" w:eastAsia="宋体" w:cs="宋体"/>
          <w:b/>
          <w:bCs/>
          <w:spacing w:val="-4"/>
          <w:sz w:val="24"/>
          <w:szCs w:val="24"/>
        </w:rPr>
      </w:pPr>
    </w:p>
    <w:p w14:paraId="018101F6">
      <w:pPr>
        <w:spacing w:before="250" w:line="220" w:lineRule="auto"/>
        <w:ind w:left="485"/>
        <w:rPr>
          <w:rFonts w:ascii="宋体" w:hAnsi="宋体" w:eastAsia="宋体" w:cs="宋体"/>
          <w:b/>
          <w:bCs/>
          <w:spacing w:val="-4"/>
          <w:sz w:val="24"/>
          <w:szCs w:val="24"/>
        </w:rPr>
      </w:pPr>
    </w:p>
    <w:p w14:paraId="02DB1223">
      <w:pPr>
        <w:spacing w:before="250" w:line="220" w:lineRule="auto"/>
        <w:ind w:left="485"/>
        <w:rPr>
          <w:rFonts w:ascii="宋体" w:hAnsi="宋体" w:eastAsia="宋体" w:cs="宋体"/>
          <w:b/>
          <w:bCs/>
          <w:spacing w:val="-4"/>
          <w:sz w:val="24"/>
          <w:szCs w:val="24"/>
        </w:rPr>
      </w:pPr>
    </w:p>
    <w:p w14:paraId="4AF4A6EF">
      <w:pPr>
        <w:spacing w:before="250" w:line="220" w:lineRule="auto"/>
        <w:ind w:left="485"/>
        <w:rPr>
          <w:rFonts w:ascii="宋体" w:hAnsi="宋体" w:eastAsia="宋体" w:cs="宋体"/>
          <w:b/>
          <w:bCs/>
          <w:spacing w:val="-4"/>
          <w:sz w:val="24"/>
          <w:szCs w:val="24"/>
        </w:rPr>
      </w:pPr>
    </w:p>
    <w:p w14:paraId="25CB7906">
      <w:pPr>
        <w:spacing w:before="250" w:line="220" w:lineRule="auto"/>
        <w:ind w:left="485"/>
        <w:rPr>
          <w:rFonts w:ascii="宋体" w:hAnsi="宋体" w:eastAsia="宋体" w:cs="宋体"/>
          <w:b/>
          <w:bCs/>
          <w:spacing w:val="-4"/>
          <w:sz w:val="24"/>
          <w:szCs w:val="24"/>
        </w:rPr>
      </w:pPr>
    </w:p>
    <w:p w14:paraId="4F624414">
      <w:pPr>
        <w:spacing w:before="250" w:line="220" w:lineRule="auto"/>
        <w:ind w:left="485"/>
        <w:rPr>
          <w:rFonts w:ascii="宋体" w:hAnsi="宋体" w:eastAsia="宋体" w:cs="宋体"/>
          <w:b/>
          <w:bCs/>
          <w:spacing w:val="-4"/>
          <w:sz w:val="24"/>
          <w:szCs w:val="24"/>
        </w:rPr>
      </w:pPr>
      <w:r>
        <w:drawing>
          <wp:anchor distT="0" distB="0" distL="114300" distR="114300" simplePos="0" relativeHeight="251666432" behindDoc="0" locked="0" layoutInCell="1" allowOverlap="1">
            <wp:simplePos x="0" y="0"/>
            <wp:positionH relativeFrom="column">
              <wp:posOffset>79375</wp:posOffset>
            </wp:positionH>
            <wp:positionV relativeFrom="paragraph">
              <wp:posOffset>193675</wp:posOffset>
            </wp:positionV>
            <wp:extent cx="6110605" cy="7776845"/>
            <wp:effectExtent l="0" t="0" r="4445" b="14605"/>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6"/>
                    <a:stretch>
                      <a:fillRect/>
                    </a:stretch>
                  </pic:blipFill>
                  <pic:spPr>
                    <a:xfrm>
                      <a:off x="0" y="0"/>
                      <a:ext cx="6110605" cy="7776845"/>
                    </a:xfrm>
                    <a:prstGeom prst="rect">
                      <a:avLst/>
                    </a:prstGeom>
                    <a:noFill/>
                    <a:ln>
                      <a:noFill/>
                    </a:ln>
                  </pic:spPr>
                </pic:pic>
              </a:graphicData>
            </a:graphic>
          </wp:anchor>
        </w:drawing>
      </w:r>
    </w:p>
    <w:p w14:paraId="5193F263">
      <w:pPr>
        <w:spacing w:before="250" w:line="220" w:lineRule="auto"/>
        <w:ind w:left="485"/>
        <w:rPr>
          <w:rFonts w:ascii="宋体" w:hAnsi="宋体" w:eastAsia="宋体" w:cs="宋体"/>
          <w:b/>
          <w:bCs/>
          <w:spacing w:val="-4"/>
          <w:sz w:val="24"/>
          <w:szCs w:val="24"/>
        </w:rPr>
      </w:pPr>
    </w:p>
    <w:p w14:paraId="1CB232CF">
      <w:pPr>
        <w:spacing w:before="250" w:line="220" w:lineRule="auto"/>
        <w:ind w:left="485"/>
        <w:rPr>
          <w:rFonts w:ascii="宋体" w:hAnsi="宋体" w:eastAsia="宋体" w:cs="宋体"/>
          <w:b/>
          <w:bCs/>
          <w:spacing w:val="-4"/>
          <w:sz w:val="24"/>
          <w:szCs w:val="24"/>
        </w:rPr>
      </w:pPr>
    </w:p>
    <w:p w14:paraId="28EC2850">
      <w:pPr>
        <w:spacing w:before="250" w:line="220" w:lineRule="auto"/>
        <w:ind w:left="485"/>
        <w:rPr>
          <w:rFonts w:ascii="宋体" w:hAnsi="宋体" w:eastAsia="宋体" w:cs="宋体"/>
          <w:b/>
          <w:bCs/>
          <w:spacing w:val="-4"/>
          <w:sz w:val="24"/>
          <w:szCs w:val="24"/>
        </w:rPr>
      </w:pPr>
    </w:p>
    <w:p w14:paraId="428DA80F">
      <w:pPr>
        <w:spacing w:before="250" w:line="220" w:lineRule="auto"/>
        <w:ind w:left="485"/>
        <w:rPr>
          <w:rFonts w:ascii="宋体" w:hAnsi="宋体" w:eastAsia="宋体" w:cs="宋体"/>
          <w:b/>
          <w:bCs/>
          <w:spacing w:val="-4"/>
          <w:sz w:val="24"/>
          <w:szCs w:val="24"/>
        </w:rPr>
      </w:pPr>
    </w:p>
    <w:p w14:paraId="29B646FE">
      <w:pPr>
        <w:spacing w:before="250" w:line="220" w:lineRule="auto"/>
        <w:ind w:left="485"/>
        <w:rPr>
          <w:rFonts w:ascii="宋体" w:hAnsi="宋体" w:eastAsia="宋体" w:cs="宋体"/>
          <w:b/>
          <w:bCs/>
          <w:spacing w:val="-4"/>
          <w:sz w:val="24"/>
          <w:szCs w:val="24"/>
        </w:rPr>
      </w:pPr>
    </w:p>
    <w:p w14:paraId="3B9A751B">
      <w:pPr>
        <w:spacing w:before="250" w:line="220" w:lineRule="auto"/>
        <w:ind w:left="485"/>
        <w:rPr>
          <w:rFonts w:ascii="宋体" w:hAnsi="宋体" w:eastAsia="宋体" w:cs="宋体"/>
          <w:b/>
          <w:bCs/>
          <w:spacing w:val="-4"/>
          <w:sz w:val="24"/>
          <w:szCs w:val="24"/>
        </w:rPr>
      </w:pPr>
    </w:p>
    <w:p w14:paraId="510F059F">
      <w:pPr>
        <w:spacing w:before="250" w:line="220" w:lineRule="auto"/>
        <w:ind w:left="485"/>
        <w:rPr>
          <w:rFonts w:ascii="宋体" w:hAnsi="宋体" w:eastAsia="宋体" w:cs="宋体"/>
          <w:b/>
          <w:bCs/>
          <w:spacing w:val="-4"/>
          <w:sz w:val="24"/>
          <w:szCs w:val="24"/>
        </w:rPr>
      </w:pPr>
    </w:p>
    <w:p w14:paraId="71B2E934">
      <w:pPr>
        <w:spacing w:before="250" w:line="220" w:lineRule="auto"/>
        <w:ind w:left="485"/>
        <w:rPr>
          <w:rFonts w:ascii="宋体" w:hAnsi="宋体" w:eastAsia="宋体" w:cs="宋体"/>
          <w:b/>
          <w:bCs/>
          <w:spacing w:val="-4"/>
          <w:sz w:val="24"/>
          <w:szCs w:val="24"/>
        </w:rPr>
      </w:pPr>
    </w:p>
    <w:p w14:paraId="59546823">
      <w:pPr>
        <w:spacing w:before="250" w:line="220" w:lineRule="auto"/>
        <w:ind w:left="485"/>
        <w:rPr>
          <w:rFonts w:ascii="宋体" w:hAnsi="宋体" w:eastAsia="宋体" w:cs="宋体"/>
          <w:b/>
          <w:bCs/>
          <w:spacing w:val="-4"/>
          <w:sz w:val="24"/>
          <w:szCs w:val="24"/>
        </w:rPr>
      </w:pPr>
    </w:p>
    <w:p w14:paraId="2E2B8F4A">
      <w:pPr>
        <w:spacing w:before="250" w:line="220" w:lineRule="auto"/>
        <w:ind w:left="485"/>
        <w:rPr>
          <w:rFonts w:ascii="宋体" w:hAnsi="宋体" w:eastAsia="宋体" w:cs="宋体"/>
          <w:b/>
          <w:bCs/>
          <w:spacing w:val="-4"/>
          <w:sz w:val="24"/>
          <w:szCs w:val="24"/>
        </w:rPr>
      </w:pPr>
    </w:p>
    <w:p w14:paraId="1D4EE404">
      <w:pPr>
        <w:spacing w:before="250" w:line="220" w:lineRule="auto"/>
        <w:ind w:left="485"/>
        <w:rPr>
          <w:rFonts w:ascii="宋体" w:hAnsi="宋体" w:eastAsia="宋体" w:cs="宋体"/>
          <w:b/>
          <w:bCs/>
          <w:spacing w:val="-4"/>
          <w:sz w:val="24"/>
          <w:szCs w:val="24"/>
        </w:rPr>
      </w:pPr>
    </w:p>
    <w:p w14:paraId="5AB2B71B">
      <w:pPr>
        <w:spacing w:before="250" w:line="220" w:lineRule="auto"/>
        <w:ind w:left="485"/>
        <w:rPr>
          <w:rFonts w:ascii="宋体" w:hAnsi="宋体" w:eastAsia="宋体" w:cs="宋体"/>
          <w:b/>
          <w:bCs/>
          <w:spacing w:val="-4"/>
          <w:sz w:val="24"/>
          <w:szCs w:val="24"/>
        </w:rPr>
      </w:pPr>
    </w:p>
    <w:p w14:paraId="041AFF04">
      <w:pPr>
        <w:spacing w:before="250" w:line="220" w:lineRule="auto"/>
        <w:ind w:left="485"/>
        <w:rPr>
          <w:rFonts w:ascii="宋体" w:hAnsi="宋体" w:eastAsia="宋体" w:cs="宋体"/>
          <w:b/>
          <w:bCs/>
          <w:spacing w:val="-4"/>
          <w:sz w:val="24"/>
          <w:szCs w:val="24"/>
        </w:rPr>
      </w:pPr>
    </w:p>
    <w:p w14:paraId="5660DBF1">
      <w:pPr>
        <w:spacing w:before="250" w:line="220" w:lineRule="auto"/>
        <w:ind w:left="485"/>
        <w:rPr>
          <w:rFonts w:ascii="宋体" w:hAnsi="宋体" w:eastAsia="宋体" w:cs="宋体"/>
          <w:b/>
          <w:bCs/>
          <w:spacing w:val="-4"/>
          <w:sz w:val="24"/>
          <w:szCs w:val="24"/>
        </w:rPr>
      </w:pPr>
    </w:p>
    <w:p w14:paraId="3807DD71">
      <w:pPr>
        <w:spacing w:before="250" w:line="220" w:lineRule="auto"/>
        <w:ind w:left="485"/>
        <w:rPr>
          <w:rFonts w:ascii="宋体" w:hAnsi="宋体" w:eastAsia="宋体" w:cs="宋体"/>
          <w:b/>
          <w:bCs/>
          <w:spacing w:val="-4"/>
          <w:sz w:val="24"/>
          <w:szCs w:val="24"/>
        </w:rPr>
      </w:pPr>
    </w:p>
    <w:p w14:paraId="44D63E88">
      <w:pPr>
        <w:spacing w:before="250" w:line="220" w:lineRule="auto"/>
        <w:ind w:left="485"/>
        <w:rPr>
          <w:rFonts w:ascii="宋体" w:hAnsi="宋体" w:eastAsia="宋体" w:cs="宋体"/>
          <w:b/>
          <w:bCs/>
          <w:spacing w:val="-4"/>
          <w:sz w:val="24"/>
          <w:szCs w:val="24"/>
        </w:rPr>
      </w:pPr>
    </w:p>
    <w:p w14:paraId="58DCB68C">
      <w:pPr>
        <w:spacing w:before="250" w:line="220" w:lineRule="auto"/>
        <w:ind w:left="485"/>
        <w:rPr>
          <w:rFonts w:ascii="宋体" w:hAnsi="宋体" w:eastAsia="宋体" w:cs="宋体"/>
          <w:b/>
          <w:bCs/>
          <w:spacing w:val="-4"/>
          <w:sz w:val="24"/>
          <w:szCs w:val="24"/>
        </w:rPr>
      </w:pPr>
    </w:p>
    <w:p w14:paraId="189DFBE0">
      <w:pPr>
        <w:spacing w:before="250" w:line="220" w:lineRule="auto"/>
        <w:ind w:left="485"/>
        <w:rPr>
          <w:rFonts w:ascii="宋体" w:hAnsi="宋体" w:eastAsia="宋体" w:cs="宋体"/>
          <w:b/>
          <w:bCs/>
          <w:spacing w:val="-4"/>
          <w:sz w:val="24"/>
          <w:szCs w:val="24"/>
        </w:rPr>
      </w:pPr>
    </w:p>
    <w:p w14:paraId="3FEF286E">
      <w:pPr>
        <w:spacing w:before="250" w:line="220" w:lineRule="auto"/>
        <w:ind w:left="485"/>
        <w:rPr>
          <w:rFonts w:ascii="宋体" w:hAnsi="宋体" w:eastAsia="宋体" w:cs="宋体"/>
          <w:b/>
          <w:bCs/>
          <w:spacing w:val="-4"/>
          <w:sz w:val="24"/>
          <w:szCs w:val="24"/>
        </w:rPr>
      </w:pPr>
    </w:p>
    <w:p w14:paraId="12BACEF1">
      <w:pPr>
        <w:spacing w:before="250" w:line="220" w:lineRule="auto"/>
        <w:ind w:left="485"/>
        <w:rPr>
          <w:rFonts w:ascii="宋体" w:hAnsi="宋体" w:eastAsia="宋体" w:cs="宋体"/>
          <w:b/>
          <w:bCs/>
          <w:spacing w:val="-4"/>
          <w:sz w:val="24"/>
          <w:szCs w:val="24"/>
        </w:rPr>
      </w:pPr>
    </w:p>
    <w:p w14:paraId="61984E9E">
      <w:pPr>
        <w:spacing w:before="250" w:line="220" w:lineRule="auto"/>
        <w:ind w:left="485"/>
        <w:rPr>
          <w:rFonts w:ascii="宋体" w:hAnsi="宋体" w:eastAsia="宋体" w:cs="宋体"/>
          <w:b/>
          <w:bCs/>
          <w:spacing w:val="-4"/>
          <w:sz w:val="24"/>
          <w:szCs w:val="24"/>
        </w:rPr>
      </w:pPr>
    </w:p>
    <w:p w14:paraId="0184679D">
      <w:pPr>
        <w:spacing w:before="250" w:line="220" w:lineRule="auto"/>
        <w:ind w:left="485"/>
        <w:rPr>
          <w:rFonts w:ascii="宋体" w:hAnsi="宋体" w:eastAsia="宋体" w:cs="宋体"/>
          <w:b/>
          <w:bCs/>
          <w:spacing w:val="-4"/>
          <w:sz w:val="24"/>
          <w:szCs w:val="24"/>
        </w:rPr>
      </w:pPr>
    </w:p>
    <w:p w14:paraId="06682590">
      <w:pPr>
        <w:spacing w:before="250" w:line="220" w:lineRule="auto"/>
        <w:rPr>
          <w:rFonts w:ascii="宋体" w:hAnsi="宋体" w:eastAsia="宋体" w:cs="宋体"/>
          <w:b/>
          <w:bCs/>
          <w:spacing w:val="-4"/>
          <w:sz w:val="24"/>
          <w:szCs w:val="24"/>
        </w:rPr>
      </w:pPr>
      <w:r>
        <w:drawing>
          <wp:anchor distT="0" distB="0" distL="114300" distR="114300" simplePos="0" relativeHeight="251667456" behindDoc="0" locked="0" layoutInCell="1" allowOverlap="1">
            <wp:simplePos x="0" y="0"/>
            <wp:positionH relativeFrom="column">
              <wp:posOffset>0</wp:posOffset>
            </wp:positionH>
            <wp:positionV relativeFrom="paragraph">
              <wp:posOffset>-12700</wp:posOffset>
            </wp:positionV>
            <wp:extent cx="6113780" cy="7686675"/>
            <wp:effectExtent l="0" t="0" r="1270" b="9525"/>
            <wp:wrapNone/>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6113780" cy="7686675"/>
                    </a:xfrm>
                    <a:prstGeom prst="rect">
                      <a:avLst/>
                    </a:prstGeom>
                    <a:noFill/>
                    <a:ln>
                      <a:noFill/>
                    </a:ln>
                  </pic:spPr>
                </pic:pic>
              </a:graphicData>
            </a:graphic>
          </wp:anchor>
        </w:drawing>
      </w:r>
    </w:p>
    <w:p w14:paraId="69F103D8">
      <w:pPr>
        <w:pStyle w:val="2"/>
        <w:rPr>
          <w:rFonts w:ascii="宋体" w:hAnsi="宋体" w:eastAsia="宋体" w:cs="宋体"/>
          <w:b/>
          <w:bCs/>
          <w:spacing w:val="-4"/>
          <w:sz w:val="24"/>
          <w:szCs w:val="24"/>
        </w:rPr>
      </w:pPr>
    </w:p>
    <w:p w14:paraId="1B2B255B">
      <w:pPr>
        <w:pStyle w:val="2"/>
        <w:rPr>
          <w:rFonts w:ascii="宋体" w:hAnsi="宋体" w:eastAsia="宋体" w:cs="宋体"/>
          <w:b/>
          <w:bCs/>
          <w:spacing w:val="-4"/>
          <w:sz w:val="24"/>
          <w:szCs w:val="24"/>
        </w:rPr>
      </w:pPr>
    </w:p>
    <w:p w14:paraId="512BBAA2">
      <w:pPr>
        <w:pStyle w:val="2"/>
        <w:rPr>
          <w:rFonts w:ascii="宋体" w:hAnsi="宋体" w:eastAsia="宋体" w:cs="宋体"/>
          <w:b/>
          <w:bCs/>
          <w:spacing w:val="-4"/>
          <w:sz w:val="24"/>
          <w:szCs w:val="24"/>
        </w:rPr>
      </w:pPr>
    </w:p>
    <w:p w14:paraId="1D819898">
      <w:pPr>
        <w:pStyle w:val="2"/>
        <w:rPr>
          <w:rFonts w:ascii="宋体" w:hAnsi="宋体" w:eastAsia="宋体" w:cs="宋体"/>
          <w:b/>
          <w:bCs/>
          <w:spacing w:val="-4"/>
          <w:sz w:val="24"/>
          <w:szCs w:val="24"/>
        </w:rPr>
      </w:pPr>
    </w:p>
    <w:p w14:paraId="3FF6AB30">
      <w:pPr>
        <w:pStyle w:val="2"/>
        <w:rPr>
          <w:rFonts w:ascii="宋体" w:hAnsi="宋体" w:eastAsia="宋体" w:cs="宋体"/>
          <w:b/>
          <w:bCs/>
          <w:spacing w:val="-4"/>
          <w:sz w:val="24"/>
          <w:szCs w:val="24"/>
        </w:rPr>
      </w:pPr>
    </w:p>
    <w:p w14:paraId="23F2F1DD">
      <w:pPr>
        <w:pStyle w:val="2"/>
        <w:rPr>
          <w:rFonts w:ascii="宋体" w:hAnsi="宋体" w:eastAsia="宋体" w:cs="宋体"/>
          <w:b/>
          <w:bCs/>
          <w:spacing w:val="-4"/>
          <w:sz w:val="24"/>
          <w:szCs w:val="24"/>
        </w:rPr>
      </w:pPr>
    </w:p>
    <w:p w14:paraId="3D3B4F35">
      <w:pPr>
        <w:pStyle w:val="2"/>
        <w:rPr>
          <w:rFonts w:ascii="宋体" w:hAnsi="宋体" w:eastAsia="宋体" w:cs="宋体"/>
          <w:b/>
          <w:bCs/>
          <w:spacing w:val="-4"/>
          <w:sz w:val="24"/>
          <w:szCs w:val="24"/>
        </w:rPr>
      </w:pPr>
    </w:p>
    <w:p w14:paraId="4B355795">
      <w:pPr>
        <w:pStyle w:val="2"/>
        <w:rPr>
          <w:rFonts w:ascii="宋体" w:hAnsi="宋体" w:eastAsia="宋体" w:cs="宋体"/>
          <w:b/>
          <w:bCs/>
          <w:spacing w:val="-4"/>
          <w:sz w:val="24"/>
          <w:szCs w:val="24"/>
        </w:rPr>
      </w:pPr>
    </w:p>
    <w:p w14:paraId="70603F3A">
      <w:pPr>
        <w:pStyle w:val="2"/>
        <w:rPr>
          <w:rFonts w:ascii="宋体" w:hAnsi="宋体" w:eastAsia="宋体" w:cs="宋体"/>
          <w:b/>
          <w:bCs/>
          <w:spacing w:val="-4"/>
          <w:sz w:val="24"/>
          <w:szCs w:val="24"/>
        </w:rPr>
      </w:pPr>
    </w:p>
    <w:p w14:paraId="03C5974B">
      <w:pPr>
        <w:pStyle w:val="2"/>
        <w:rPr>
          <w:rFonts w:ascii="宋体" w:hAnsi="宋体" w:eastAsia="宋体" w:cs="宋体"/>
          <w:b/>
          <w:bCs/>
          <w:spacing w:val="-4"/>
          <w:sz w:val="24"/>
          <w:szCs w:val="24"/>
        </w:rPr>
      </w:pPr>
    </w:p>
    <w:p w14:paraId="2F16892B">
      <w:pPr>
        <w:pStyle w:val="2"/>
        <w:rPr>
          <w:rFonts w:ascii="宋体" w:hAnsi="宋体" w:eastAsia="宋体" w:cs="宋体"/>
          <w:b/>
          <w:bCs/>
          <w:spacing w:val="-4"/>
          <w:sz w:val="24"/>
          <w:szCs w:val="24"/>
        </w:rPr>
      </w:pPr>
    </w:p>
    <w:p w14:paraId="22A33948">
      <w:pPr>
        <w:pStyle w:val="2"/>
        <w:rPr>
          <w:rFonts w:ascii="宋体" w:hAnsi="宋体" w:eastAsia="宋体" w:cs="宋体"/>
          <w:b/>
          <w:bCs/>
          <w:spacing w:val="-4"/>
          <w:sz w:val="24"/>
          <w:szCs w:val="24"/>
        </w:rPr>
      </w:pPr>
    </w:p>
    <w:p w14:paraId="7215C135">
      <w:pPr>
        <w:pStyle w:val="2"/>
        <w:rPr>
          <w:rFonts w:ascii="宋体" w:hAnsi="宋体" w:eastAsia="宋体" w:cs="宋体"/>
          <w:b/>
          <w:bCs/>
          <w:spacing w:val="-4"/>
          <w:sz w:val="24"/>
          <w:szCs w:val="24"/>
        </w:rPr>
      </w:pPr>
    </w:p>
    <w:p w14:paraId="758A1EE3">
      <w:pPr>
        <w:pStyle w:val="2"/>
        <w:rPr>
          <w:rFonts w:ascii="宋体" w:hAnsi="宋体" w:eastAsia="宋体" w:cs="宋体"/>
          <w:b/>
          <w:bCs/>
          <w:spacing w:val="-4"/>
          <w:sz w:val="24"/>
          <w:szCs w:val="24"/>
        </w:rPr>
      </w:pPr>
    </w:p>
    <w:p w14:paraId="08331E7A">
      <w:pPr>
        <w:pStyle w:val="2"/>
        <w:rPr>
          <w:rFonts w:ascii="宋体" w:hAnsi="宋体" w:eastAsia="宋体" w:cs="宋体"/>
          <w:b/>
          <w:bCs/>
          <w:spacing w:val="-4"/>
          <w:sz w:val="24"/>
          <w:szCs w:val="24"/>
        </w:rPr>
      </w:pPr>
    </w:p>
    <w:p w14:paraId="3E008417">
      <w:pPr>
        <w:pStyle w:val="2"/>
        <w:rPr>
          <w:rFonts w:ascii="宋体" w:hAnsi="宋体" w:eastAsia="宋体" w:cs="宋体"/>
          <w:b/>
          <w:bCs/>
          <w:spacing w:val="-4"/>
          <w:sz w:val="24"/>
          <w:szCs w:val="24"/>
        </w:rPr>
      </w:pPr>
    </w:p>
    <w:p w14:paraId="6AD1C299">
      <w:pPr>
        <w:pStyle w:val="2"/>
        <w:rPr>
          <w:rFonts w:ascii="宋体" w:hAnsi="宋体" w:eastAsia="宋体" w:cs="宋体"/>
          <w:b/>
          <w:bCs/>
          <w:spacing w:val="-4"/>
          <w:sz w:val="24"/>
          <w:szCs w:val="24"/>
        </w:rPr>
      </w:pPr>
    </w:p>
    <w:p w14:paraId="3EA9883A">
      <w:pPr>
        <w:pStyle w:val="2"/>
        <w:rPr>
          <w:rFonts w:ascii="宋体" w:hAnsi="宋体" w:eastAsia="宋体" w:cs="宋体"/>
          <w:b/>
          <w:bCs/>
          <w:spacing w:val="-4"/>
          <w:sz w:val="24"/>
          <w:szCs w:val="24"/>
        </w:rPr>
      </w:pPr>
    </w:p>
    <w:p w14:paraId="07F2E3D9">
      <w:pPr>
        <w:pStyle w:val="2"/>
        <w:rPr>
          <w:rFonts w:ascii="宋体" w:hAnsi="宋体" w:eastAsia="宋体" w:cs="宋体"/>
          <w:b/>
          <w:bCs/>
          <w:spacing w:val="-4"/>
          <w:sz w:val="24"/>
          <w:szCs w:val="24"/>
        </w:rPr>
      </w:pPr>
    </w:p>
    <w:p w14:paraId="64DA440F">
      <w:pPr>
        <w:pStyle w:val="2"/>
        <w:rPr>
          <w:rFonts w:ascii="宋体" w:hAnsi="宋体" w:eastAsia="宋体" w:cs="宋体"/>
          <w:b/>
          <w:bCs/>
          <w:spacing w:val="-4"/>
          <w:sz w:val="24"/>
          <w:szCs w:val="24"/>
        </w:rPr>
      </w:pPr>
    </w:p>
    <w:p w14:paraId="7786A253">
      <w:pPr>
        <w:pStyle w:val="2"/>
        <w:rPr>
          <w:rFonts w:ascii="宋体" w:hAnsi="宋体" w:eastAsia="宋体" w:cs="宋体"/>
          <w:b/>
          <w:bCs/>
          <w:spacing w:val="-4"/>
          <w:sz w:val="24"/>
          <w:szCs w:val="24"/>
        </w:rPr>
      </w:pPr>
    </w:p>
    <w:p w14:paraId="02176209">
      <w:pPr>
        <w:pStyle w:val="2"/>
        <w:rPr>
          <w:rFonts w:ascii="宋体" w:hAnsi="宋体" w:eastAsia="宋体" w:cs="宋体"/>
          <w:b/>
          <w:bCs/>
          <w:spacing w:val="-4"/>
          <w:sz w:val="24"/>
          <w:szCs w:val="24"/>
        </w:rPr>
      </w:pPr>
    </w:p>
    <w:p w14:paraId="306D11E3">
      <w:pPr>
        <w:pStyle w:val="2"/>
        <w:rPr>
          <w:rFonts w:ascii="宋体" w:hAnsi="宋体" w:eastAsia="宋体" w:cs="宋体"/>
          <w:b/>
          <w:bCs/>
          <w:spacing w:val="-4"/>
          <w:sz w:val="24"/>
          <w:szCs w:val="24"/>
        </w:rPr>
      </w:pPr>
    </w:p>
    <w:p w14:paraId="4CEE446D">
      <w:pPr>
        <w:pStyle w:val="2"/>
        <w:rPr>
          <w:rFonts w:ascii="宋体" w:hAnsi="宋体" w:eastAsia="宋体" w:cs="宋体"/>
          <w:b/>
          <w:bCs/>
          <w:spacing w:val="-4"/>
          <w:sz w:val="24"/>
          <w:szCs w:val="24"/>
        </w:rPr>
      </w:pPr>
    </w:p>
    <w:p w14:paraId="440A9643">
      <w:pPr>
        <w:pStyle w:val="2"/>
        <w:rPr>
          <w:rFonts w:ascii="宋体" w:hAnsi="宋体" w:eastAsia="宋体" w:cs="宋体"/>
          <w:b/>
          <w:bCs/>
          <w:spacing w:val="-4"/>
          <w:sz w:val="24"/>
          <w:szCs w:val="24"/>
        </w:rPr>
      </w:pPr>
    </w:p>
    <w:p w14:paraId="63B73AD8">
      <w:pPr>
        <w:pStyle w:val="2"/>
        <w:rPr>
          <w:rFonts w:ascii="宋体" w:hAnsi="宋体" w:eastAsia="宋体" w:cs="宋体"/>
          <w:b/>
          <w:bCs/>
          <w:spacing w:val="-4"/>
          <w:sz w:val="24"/>
          <w:szCs w:val="24"/>
        </w:rPr>
      </w:pPr>
    </w:p>
    <w:p w14:paraId="327AD352">
      <w:pPr>
        <w:pStyle w:val="2"/>
        <w:rPr>
          <w:rFonts w:ascii="宋体" w:hAnsi="宋体" w:eastAsia="宋体" w:cs="宋体"/>
          <w:b/>
          <w:bCs/>
          <w:spacing w:val="-4"/>
          <w:sz w:val="24"/>
          <w:szCs w:val="24"/>
        </w:rPr>
      </w:pPr>
    </w:p>
    <w:p w14:paraId="6E49E32A">
      <w:pPr>
        <w:pStyle w:val="2"/>
        <w:rPr>
          <w:rFonts w:ascii="宋体" w:hAnsi="宋体" w:eastAsia="宋体" w:cs="宋体"/>
          <w:b/>
          <w:bCs/>
          <w:spacing w:val="-4"/>
          <w:sz w:val="24"/>
          <w:szCs w:val="24"/>
        </w:rPr>
      </w:pPr>
    </w:p>
    <w:p w14:paraId="218F192F">
      <w:pPr>
        <w:pStyle w:val="2"/>
        <w:rPr>
          <w:rFonts w:ascii="宋体" w:hAnsi="宋体" w:eastAsia="宋体" w:cs="宋体"/>
          <w:b/>
          <w:bCs/>
          <w:spacing w:val="-4"/>
          <w:sz w:val="24"/>
          <w:szCs w:val="24"/>
        </w:rPr>
      </w:pPr>
    </w:p>
    <w:p w14:paraId="10043545">
      <w:pPr>
        <w:pStyle w:val="2"/>
        <w:rPr>
          <w:rFonts w:ascii="宋体" w:hAnsi="宋体" w:eastAsia="宋体" w:cs="宋体"/>
          <w:b/>
          <w:bCs/>
          <w:spacing w:val="-4"/>
          <w:sz w:val="24"/>
          <w:szCs w:val="24"/>
        </w:rPr>
      </w:pPr>
    </w:p>
    <w:p w14:paraId="433BF9E2">
      <w:pPr>
        <w:spacing w:before="250" w:line="220" w:lineRule="auto"/>
        <w:ind w:left="485"/>
        <w:rPr>
          <w:rFonts w:ascii="宋体" w:hAnsi="宋体" w:eastAsia="宋体" w:cs="宋体"/>
          <w:sz w:val="24"/>
          <w:szCs w:val="24"/>
        </w:rPr>
      </w:pPr>
      <w:r>
        <w:rPr>
          <w:rFonts w:ascii="宋体" w:hAnsi="宋体" w:eastAsia="宋体" w:cs="宋体"/>
          <w:b/>
          <w:bCs/>
          <w:spacing w:val="-4"/>
          <w:sz w:val="24"/>
          <w:szCs w:val="24"/>
        </w:rPr>
        <w:t>二、技术要求</w:t>
      </w:r>
    </w:p>
    <w:p w14:paraId="33964A6A">
      <w:pPr>
        <w:spacing w:before="273" w:line="220" w:lineRule="auto"/>
        <w:ind w:left="485"/>
        <w:rPr>
          <w:rFonts w:ascii="宋体" w:hAnsi="宋体" w:eastAsia="宋体" w:cs="宋体"/>
          <w:sz w:val="24"/>
          <w:szCs w:val="24"/>
        </w:rPr>
      </w:pPr>
      <w:r>
        <w:rPr>
          <w:rFonts w:ascii="宋体" w:hAnsi="宋体" w:eastAsia="宋体" w:cs="宋体"/>
          <w:spacing w:val="-4"/>
          <w:sz w:val="24"/>
          <w:szCs w:val="24"/>
        </w:rPr>
        <w:t>（1）技术要求</w:t>
      </w:r>
    </w:p>
    <w:p w14:paraId="2168A686">
      <w:pPr>
        <w:spacing w:before="276" w:line="430" w:lineRule="auto"/>
        <w:ind w:firstLine="495"/>
        <w:rPr>
          <w:rFonts w:ascii="宋体" w:hAnsi="宋体" w:eastAsia="宋体" w:cs="宋体"/>
          <w:sz w:val="24"/>
          <w:szCs w:val="24"/>
        </w:rPr>
      </w:pPr>
      <w:r>
        <w:rPr>
          <w:rFonts w:ascii="宋体" w:hAnsi="宋体" w:eastAsia="宋体" w:cs="宋体"/>
          <w:spacing w:val="-3"/>
          <w:sz w:val="24"/>
          <w:szCs w:val="24"/>
        </w:rPr>
        <w:t>1.平整土地达到工程量清单要求的内容：场地平整的</w:t>
      </w:r>
      <w:r>
        <w:rPr>
          <w:rFonts w:ascii="宋体" w:hAnsi="宋体" w:eastAsia="宋体" w:cs="宋体"/>
          <w:spacing w:val="-4"/>
          <w:sz w:val="24"/>
          <w:szCs w:val="24"/>
        </w:rPr>
        <w:t>效果要求为地面平坦、土地</w:t>
      </w:r>
      <w:r>
        <w:rPr>
          <w:rFonts w:ascii="宋体" w:hAnsi="宋体" w:eastAsia="宋体" w:cs="宋体"/>
          <w:spacing w:val="-6"/>
          <w:sz w:val="24"/>
          <w:szCs w:val="24"/>
        </w:rPr>
        <w:t>无杂草，坡度自然平缓；</w:t>
      </w:r>
    </w:p>
    <w:p w14:paraId="7C5A2401">
      <w:pPr>
        <w:spacing w:line="431" w:lineRule="auto"/>
        <w:ind w:left="10" w:right="1" w:firstLine="471"/>
        <w:rPr>
          <w:rFonts w:ascii="宋体" w:hAnsi="宋体" w:eastAsia="宋体" w:cs="宋体"/>
          <w:sz w:val="24"/>
          <w:szCs w:val="24"/>
        </w:rPr>
      </w:pPr>
      <w:r>
        <w:rPr>
          <w:rFonts w:ascii="宋体" w:hAnsi="宋体" w:eastAsia="宋体" w:cs="宋体"/>
          <w:sz w:val="24"/>
          <w:szCs w:val="24"/>
        </w:rPr>
        <w:t>2.种苗采购及移栽按照合理的密度进行移栽，种苗成活率应达到</w:t>
      </w:r>
      <w:r>
        <w:rPr>
          <w:rFonts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val="en-US" w:eastAsia="zh-CN"/>
        </w:rPr>
        <w:t>8</w:t>
      </w:r>
      <w:r>
        <w:rPr>
          <w:rFonts w:ascii="宋体" w:hAnsi="宋体" w:eastAsia="宋体" w:cs="宋体"/>
          <w:b w:val="0"/>
          <w:bCs w:val="0"/>
          <w:color w:val="auto"/>
          <w:sz w:val="24"/>
          <w:szCs w:val="24"/>
          <w:highlight w:val="none"/>
        </w:rPr>
        <w:t>%以上</w:t>
      </w:r>
      <w:r>
        <w:rPr>
          <w:rFonts w:ascii="宋体" w:hAnsi="宋体" w:eastAsia="宋体" w:cs="宋体"/>
          <w:sz w:val="24"/>
          <w:szCs w:val="24"/>
        </w:rPr>
        <w:t>，不足</w:t>
      </w:r>
      <w:r>
        <w:rPr>
          <w:rFonts w:ascii="宋体" w:hAnsi="宋体" w:eastAsia="宋体" w:cs="宋体"/>
          <w:spacing w:val="-8"/>
          <w:sz w:val="24"/>
          <w:szCs w:val="24"/>
        </w:rPr>
        <w:t>时应及时进行补栽；</w:t>
      </w:r>
    </w:p>
    <w:p w14:paraId="1226F13D">
      <w:pPr>
        <w:spacing w:line="431" w:lineRule="auto"/>
        <w:ind w:left="10" w:right="5" w:firstLine="473"/>
        <w:rPr>
          <w:rFonts w:ascii="宋体" w:hAnsi="宋体" w:eastAsia="宋体" w:cs="宋体"/>
          <w:sz w:val="24"/>
          <w:szCs w:val="24"/>
        </w:rPr>
      </w:pPr>
      <w:r>
        <w:rPr>
          <w:rFonts w:ascii="宋体" w:hAnsi="宋体" w:eastAsia="宋体" w:cs="宋体"/>
          <w:sz w:val="24"/>
          <w:szCs w:val="24"/>
        </w:rPr>
        <w:t xml:space="preserve">3. </w:t>
      </w:r>
      <w:r>
        <w:rPr>
          <w:rFonts w:hint="eastAsia" w:ascii="宋体" w:hAnsi="宋体" w:eastAsia="宋体" w:cs="宋体"/>
          <w:sz w:val="24"/>
          <w:szCs w:val="24"/>
          <w:lang w:eastAsia="zh-CN"/>
        </w:rPr>
        <w:t>运营管护</w:t>
      </w:r>
      <w:r>
        <w:rPr>
          <w:rFonts w:ascii="宋体" w:hAnsi="宋体" w:eastAsia="宋体" w:cs="宋体"/>
          <w:sz w:val="24"/>
          <w:szCs w:val="24"/>
        </w:rPr>
        <w:t>期间田间除草、施肥、灌溉排水、摘心打顶、病虫害防治等按照年度和</w:t>
      </w:r>
      <w:r>
        <w:rPr>
          <w:rFonts w:ascii="宋体" w:hAnsi="宋体" w:eastAsia="宋体" w:cs="宋体"/>
          <w:spacing w:val="-6"/>
          <w:sz w:val="24"/>
          <w:szCs w:val="24"/>
        </w:rPr>
        <w:t>时间节点进行实施。</w:t>
      </w:r>
    </w:p>
    <w:p w14:paraId="51B3B66B">
      <w:pPr>
        <w:spacing w:before="1" w:line="219" w:lineRule="auto"/>
        <w:ind w:left="482"/>
        <w:rPr>
          <w:rFonts w:ascii="宋体" w:hAnsi="宋体" w:eastAsia="宋体" w:cs="宋体"/>
          <w:sz w:val="24"/>
          <w:szCs w:val="24"/>
        </w:rPr>
      </w:pPr>
      <w:r>
        <w:rPr>
          <w:rFonts w:ascii="宋体" w:hAnsi="宋体" w:eastAsia="宋体" w:cs="宋体"/>
          <w:b/>
          <w:bCs/>
          <w:spacing w:val="-3"/>
          <w:sz w:val="24"/>
          <w:szCs w:val="24"/>
        </w:rPr>
        <w:t>其余要求详见工程量清单。</w:t>
      </w:r>
    </w:p>
    <w:p w14:paraId="17D22F93">
      <w:pPr>
        <w:spacing w:before="273" w:line="431" w:lineRule="auto"/>
        <w:ind w:right="22" w:firstLine="484"/>
        <w:rPr>
          <w:rFonts w:ascii="宋体" w:hAnsi="宋体" w:eastAsia="宋体" w:cs="宋体"/>
          <w:sz w:val="24"/>
          <w:szCs w:val="24"/>
        </w:rPr>
      </w:pPr>
      <w:r>
        <w:rPr>
          <w:rFonts w:ascii="宋体" w:hAnsi="宋体" w:eastAsia="宋体" w:cs="宋体"/>
          <w:b/>
          <w:bCs/>
          <w:spacing w:val="1"/>
          <w:sz w:val="24"/>
          <w:szCs w:val="24"/>
        </w:rPr>
        <w:t>备注：如中标单位在投标文件中弄虚作假响应了招标文件</w:t>
      </w:r>
      <w:r>
        <w:rPr>
          <w:rFonts w:ascii="宋体" w:hAnsi="宋体" w:eastAsia="宋体" w:cs="宋体"/>
          <w:b/>
          <w:bCs/>
          <w:sz w:val="24"/>
          <w:szCs w:val="24"/>
        </w:rPr>
        <w:t>的全部条款、条件和</w:t>
      </w:r>
      <w:r>
        <w:rPr>
          <w:rFonts w:ascii="宋体" w:hAnsi="宋体" w:eastAsia="宋体" w:cs="宋体"/>
          <w:b/>
          <w:bCs/>
          <w:spacing w:val="1"/>
          <w:sz w:val="24"/>
          <w:szCs w:val="24"/>
        </w:rPr>
        <w:t>规格，但实际提供产品不能响应招标文件的功能参数要</w:t>
      </w:r>
      <w:r>
        <w:rPr>
          <w:rFonts w:ascii="宋体" w:hAnsi="宋体" w:eastAsia="宋体" w:cs="宋体"/>
          <w:b/>
          <w:bCs/>
          <w:sz w:val="24"/>
          <w:szCs w:val="24"/>
        </w:rPr>
        <w:t>求，采购人有权终止合同，</w:t>
      </w:r>
      <w:r>
        <w:rPr>
          <w:rFonts w:ascii="宋体" w:hAnsi="宋体" w:eastAsia="宋体" w:cs="宋体"/>
          <w:b/>
          <w:bCs/>
          <w:spacing w:val="-3"/>
          <w:sz w:val="24"/>
          <w:szCs w:val="24"/>
        </w:rPr>
        <w:t>并取消中标资格，由此造成的后果由中标单位负责。</w:t>
      </w:r>
    </w:p>
    <w:p w14:paraId="2E2BA25E">
      <w:pPr>
        <w:spacing w:before="1" w:line="219" w:lineRule="auto"/>
        <w:ind w:left="481"/>
        <w:rPr>
          <w:rFonts w:ascii="宋体" w:hAnsi="宋体" w:eastAsia="宋体" w:cs="宋体"/>
          <w:sz w:val="24"/>
          <w:szCs w:val="24"/>
        </w:rPr>
      </w:pPr>
      <w:r>
        <w:rPr>
          <w:rFonts w:ascii="宋体" w:hAnsi="宋体" w:eastAsia="宋体" w:cs="宋体"/>
          <w:b/>
          <w:bCs/>
          <w:spacing w:val="-4"/>
          <w:sz w:val="24"/>
          <w:szCs w:val="24"/>
        </w:rPr>
        <w:t>三、项目商务要求</w:t>
      </w:r>
    </w:p>
    <w:p w14:paraId="6F797F2B">
      <w:pPr>
        <w:spacing w:before="274" w:line="220" w:lineRule="auto"/>
        <w:ind w:left="496"/>
        <w:rPr>
          <w:rFonts w:ascii="宋体" w:hAnsi="宋体" w:eastAsia="宋体" w:cs="宋体"/>
          <w:sz w:val="24"/>
          <w:szCs w:val="24"/>
        </w:rPr>
      </w:pPr>
      <w:r>
        <w:rPr>
          <w:rFonts w:ascii="宋体" w:hAnsi="宋体" w:eastAsia="宋体" w:cs="宋体"/>
          <w:spacing w:val="-6"/>
          <w:sz w:val="24"/>
          <w:szCs w:val="24"/>
        </w:rPr>
        <w:t>1.合同履行期限：</w:t>
      </w:r>
      <w:r>
        <w:rPr>
          <w:rFonts w:hint="eastAsia" w:ascii="宋体" w:hAnsi="宋体" w:eastAsia="宋体" w:cs="宋体"/>
          <w:b w:val="0"/>
          <w:bCs w:val="0"/>
          <w:color w:val="auto"/>
          <w:sz w:val="24"/>
          <w:szCs w:val="24"/>
          <w:highlight w:val="none"/>
          <w:lang w:val="en-US" w:eastAsia="zh-CN" w:bidi="ar-SA"/>
        </w:rPr>
        <w:t>合同签订后120日历天内完成，后期运营管护2年</w:t>
      </w:r>
    </w:p>
    <w:p w14:paraId="58D5B786">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67F10209">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369D164B">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6671A8FA">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4B8C3974">
      <w:pPr>
        <w:pStyle w:val="2"/>
        <w:rPr>
          <w:rFonts w:hint="eastAsia" w:ascii="宋体" w:hAnsi="宋体" w:eastAsia="宋体" w:cs="宋体"/>
          <w:b/>
          <w:color w:val="000000" w:themeColor="text1"/>
          <w:kern w:val="0"/>
          <w:sz w:val="28"/>
          <w:szCs w:val="28"/>
          <w:highlight w:val="none"/>
          <w14:textFill>
            <w14:solidFill>
              <w14:schemeClr w14:val="tx1"/>
            </w14:solidFill>
          </w14:textFill>
        </w:rPr>
      </w:pPr>
    </w:p>
    <w:p w14:paraId="6F195E28">
      <w:pPr>
        <w:pStyle w:val="2"/>
        <w:rPr>
          <w:rFonts w:hint="eastAsia" w:ascii="宋体" w:hAnsi="宋体" w:eastAsia="宋体" w:cs="宋体"/>
          <w:b/>
          <w:color w:val="000000" w:themeColor="text1"/>
          <w:kern w:val="0"/>
          <w:sz w:val="28"/>
          <w:szCs w:val="28"/>
          <w:highlight w:val="none"/>
          <w14:textFill>
            <w14:solidFill>
              <w14:schemeClr w14:val="tx1"/>
            </w14:solidFill>
          </w14:textFill>
        </w:rPr>
      </w:pPr>
    </w:p>
    <w:p w14:paraId="09776320">
      <w:pPr>
        <w:pStyle w:val="2"/>
        <w:rPr>
          <w:rFonts w:hint="eastAsia" w:ascii="宋体" w:hAnsi="宋体" w:eastAsia="宋体" w:cs="宋体"/>
          <w:b/>
          <w:color w:val="000000" w:themeColor="text1"/>
          <w:kern w:val="0"/>
          <w:sz w:val="28"/>
          <w:szCs w:val="28"/>
          <w:highlight w:val="none"/>
          <w14:textFill>
            <w14:solidFill>
              <w14:schemeClr w14:val="tx1"/>
            </w14:solidFill>
          </w14:textFill>
        </w:rPr>
      </w:pPr>
    </w:p>
    <w:p w14:paraId="2E7E2AE4">
      <w:pPr>
        <w:pStyle w:val="2"/>
        <w:rPr>
          <w:rFonts w:hint="eastAsia" w:ascii="宋体" w:hAnsi="宋体" w:eastAsia="宋体" w:cs="宋体"/>
          <w:b/>
          <w:color w:val="000000" w:themeColor="text1"/>
          <w:kern w:val="0"/>
          <w:sz w:val="28"/>
          <w:szCs w:val="28"/>
          <w:highlight w:val="none"/>
          <w14:textFill>
            <w14:solidFill>
              <w14:schemeClr w14:val="tx1"/>
            </w14:solidFill>
          </w14:textFill>
        </w:rPr>
      </w:pPr>
    </w:p>
    <w:p w14:paraId="6A4F136F">
      <w:pPr>
        <w:pStyle w:val="2"/>
        <w:rPr>
          <w:rFonts w:hint="eastAsia" w:ascii="宋体" w:hAnsi="宋体" w:eastAsia="宋体" w:cs="宋体"/>
          <w:b/>
          <w:color w:val="000000" w:themeColor="text1"/>
          <w:kern w:val="0"/>
          <w:sz w:val="28"/>
          <w:szCs w:val="28"/>
          <w:highlight w:val="none"/>
          <w14:textFill>
            <w14:solidFill>
              <w14:schemeClr w14:val="tx1"/>
            </w14:solidFill>
          </w14:textFill>
        </w:rPr>
      </w:pPr>
    </w:p>
    <w:p w14:paraId="2FA33EC3">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367926B8">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p>
    <w:p w14:paraId="68E664FF">
      <w:pPr>
        <w:keepNext w:val="0"/>
        <w:keepLines w:val="0"/>
        <w:pageBreakBefore w:val="0"/>
        <w:widowControl w:val="0"/>
        <w:kinsoku/>
        <w:overflowPunct/>
        <w:autoSpaceDE/>
        <w:autoSpaceDN/>
        <w:bidi w:val="0"/>
        <w:adjustRightInd/>
        <w:snapToGrid/>
        <w:spacing w:line="500" w:lineRule="exact"/>
        <w:jc w:val="center"/>
        <w:textAlignment w:val="auto"/>
        <w:outlineLvl w:val="0"/>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第</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四</w:t>
      </w:r>
      <w:r>
        <w:rPr>
          <w:rStyle w:val="93"/>
          <w:rFonts w:hint="eastAsia" w:ascii="宋体" w:hAnsi="宋体" w:eastAsia="宋体" w:cs="宋体"/>
          <w:color w:val="000000" w:themeColor="text1"/>
          <w:sz w:val="28"/>
          <w:szCs w:val="28"/>
          <w14:textFill>
            <w14:solidFill>
              <w14:schemeClr w14:val="tx1"/>
            </w14:solidFill>
          </w14:textFill>
        </w:rPr>
        <w:t>章 评标办法</w:t>
      </w:r>
      <w:bookmarkEnd w:id="31"/>
      <w:bookmarkEnd w:id="32"/>
    </w:p>
    <w:p w14:paraId="70CB851A">
      <w:pPr>
        <w:keepNext w:val="0"/>
        <w:keepLines w:val="0"/>
        <w:pageBreakBefore w:val="0"/>
        <w:widowControl w:val="0"/>
        <w:kinsoku/>
        <w:overflowPunct/>
        <w:autoSpaceDE/>
        <w:autoSpaceDN/>
        <w:bidi w:val="0"/>
        <w:adjustRightInd/>
        <w:snapToGrid/>
        <w:spacing w:line="500" w:lineRule="exact"/>
        <w:ind w:firstLine="426" w:firstLineChars="177"/>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 投标文件的评审、比较和否决</w:t>
      </w:r>
    </w:p>
    <w:p w14:paraId="057D707F">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评标委员会将按照招标文件的规定，仅对在实质上响应招标文件要求的投标文件进行评估和比较</w:t>
      </w:r>
      <w:r>
        <w:rPr>
          <w:rFonts w:hint="eastAsia" w:ascii="宋体" w:hAnsi="宋体" w:eastAsia="宋体" w:cs="宋体"/>
          <w:color w:val="000000" w:themeColor="text1"/>
          <w:sz w:val="24"/>
          <w:szCs w:val="24"/>
          <w:lang w:eastAsia="zh-CN"/>
          <w14:textFill>
            <w14:solidFill>
              <w14:schemeClr w14:val="tx1"/>
            </w14:solidFill>
          </w14:textFill>
        </w:rPr>
        <w:t>。</w:t>
      </w:r>
    </w:p>
    <w:p w14:paraId="2F4B4867">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根据相关法律法规及有关招标投标文件规定，结合本项目具体情况，制定本次招标评标办法。并按照“公平、公正、科学、择优”的原则进行评标。采用百分制综合评估法进行评比。</w:t>
      </w:r>
    </w:p>
    <w:p w14:paraId="062E92C3">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在评审过程中，评标委员会可以要求投标供应商就投标文件中含义不明确的内容进行陈述；凡遇到招标文件中无界定或界定不清、前后不一致使评标委员会成员意见有分歧且又难于协商一致的问题，均由评标委员会予以表决，获半数以上同意的即为通过，未获半数同意的即为否决。</w:t>
      </w:r>
    </w:p>
    <w:p w14:paraId="35E0600D">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评标时，投标报价是评标的重要依据，但不是唯一依据，采购人不承诺将合同授予报价最低或最高的投标供应商。</w:t>
      </w:r>
    </w:p>
    <w:p w14:paraId="68EBD135">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7BB06B68">
      <w:pPr>
        <w:keepNext w:val="0"/>
        <w:keepLines w:val="0"/>
        <w:pageBreakBefore w:val="0"/>
        <w:widowControl w:val="0"/>
        <w:kinsoku/>
        <w:overflowPunct/>
        <w:autoSpaceDE/>
        <w:autoSpaceDN/>
        <w:bidi w:val="0"/>
        <w:adjustRightInd/>
        <w:snapToGrid/>
        <w:spacing w:line="500" w:lineRule="exact"/>
        <w:ind w:firstLine="426" w:firstLineChars="177"/>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评审程序</w:t>
      </w:r>
    </w:p>
    <w:p w14:paraId="29B0935C">
      <w:pPr>
        <w:keepNext w:val="0"/>
        <w:keepLines w:val="0"/>
        <w:pageBreakBefore w:val="0"/>
        <w:widowControl w:val="0"/>
        <w:kinsoku/>
        <w:overflowPunct/>
        <w:autoSpaceDE/>
        <w:autoSpaceDN/>
        <w:bidi w:val="0"/>
        <w:adjustRightInd/>
        <w:snapToGrid/>
        <w:spacing w:line="500" w:lineRule="exact"/>
        <w:ind w:firstLine="424" w:firstLineChars="177"/>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本项目采用资格后审，</w:t>
      </w:r>
      <w:r>
        <w:rPr>
          <w:rFonts w:hint="eastAsia" w:ascii="宋体" w:hAnsi="宋体" w:eastAsia="宋体" w:cs="宋体"/>
          <w:color w:val="000000" w:themeColor="text1"/>
          <w:sz w:val="24"/>
          <w:szCs w:val="24"/>
          <w14:textFill>
            <w14:solidFill>
              <w14:schemeClr w14:val="tx1"/>
            </w14:solidFill>
          </w14:textFill>
        </w:rPr>
        <w:t>采购人或采购代理机构应当按照招标文件第二章投标供应</w:t>
      </w:r>
      <w:r>
        <w:rPr>
          <w:rFonts w:hint="eastAsia" w:ascii="宋体" w:hAnsi="宋体" w:eastAsia="宋体" w:cs="宋体"/>
          <w:b w:val="0"/>
          <w:bCs w:val="0"/>
          <w:color w:val="000000" w:themeColor="text1"/>
          <w:sz w:val="24"/>
          <w:szCs w:val="24"/>
          <w:lang w:val="en-US" w:eastAsia="zh-CN"/>
          <w14:textFill>
            <w14:solidFill>
              <w14:schemeClr w14:val="tx1"/>
            </w14:solidFill>
          </w14:textFill>
        </w:rPr>
        <w:t>商须知第11项要求，对投标供应商的投标文件进行资格评审，有一项不符合的，视为未通过资格审查；合格投标供应商不足3家的，不得评标。符合的进入下一评标程序。</w:t>
      </w:r>
    </w:p>
    <w:p w14:paraId="28243902">
      <w:pPr>
        <w:keepNext w:val="0"/>
        <w:keepLines w:val="0"/>
        <w:pageBreakBefore w:val="0"/>
        <w:widowControl w:val="0"/>
        <w:kinsoku/>
        <w:overflowPunct/>
        <w:autoSpaceDE/>
        <w:autoSpaceDN/>
        <w:bidi w:val="0"/>
        <w:adjustRightInd/>
        <w:snapToGrid/>
        <w:spacing w:line="500" w:lineRule="exact"/>
        <w:ind w:firstLine="426" w:firstLineChars="177"/>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3.评标具体方法和标准</w:t>
      </w:r>
    </w:p>
    <w:p w14:paraId="77617F3C">
      <w:pPr>
        <w:keepNext w:val="0"/>
        <w:keepLines w:val="0"/>
        <w:pageBreakBefore w:val="0"/>
        <w:widowControl w:val="0"/>
        <w:kinsoku/>
        <w:wordWrap w:val="0"/>
        <w:overflowPunct/>
        <w:topLinePunct/>
        <w:autoSpaceDE/>
        <w:autoSpaceDN/>
        <w:bidi w:val="0"/>
        <w:adjustRightInd/>
        <w:snapToGrid/>
        <w:spacing w:line="500" w:lineRule="exact"/>
        <w:ind w:firstLine="424" w:firstLineChars="177"/>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评标委员会根据评标原则和办法对所有投标文件进行集中审核，分别评价。</w:t>
      </w:r>
    </w:p>
    <w:p w14:paraId="4AC24EC6">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b/>
          <w:bCs/>
          <w:color w:val="auto"/>
          <w:sz w:val="28"/>
          <w:szCs w:val="28"/>
          <w:lang w:val="en-US" w:eastAsia="zh-CN"/>
        </w:rPr>
      </w:pPr>
    </w:p>
    <w:p w14:paraId="5F527537">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b/>
          <w:bCs/>
          <w:color w:val="auto"/>
          <w:sz w:val="28"/>
          <w:szCs w:val="28"/>
          <w:lang w:val="en-US" w:eastAsia="zh-CN"/>
        </w:rPr>
      </w:pPr>
    </w:p>
    <w:p w14:paraId="4A8EC15D">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b/>
          <w:bCs/>
          <w:color w:val="auto"/>
          <w:sz w:val="28"/>
          <w:szCs w:val="28"/>
          <w:lang w:val="en-US" w:eastAsia="zh-CN"/>
        </w:rPr>
      </w:pPr>
    </w:p>
    <w:p w14:paraId="2F2FE0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b/>
          <w:bCs/>
          <w:color w:val="auto"/>
          <w:sz w:val="28"/>
          <w:szCs w:val="28"/>
          <w:lang w:val="en-US" w:eastAsia="zh-CN"/>
        </w:rPr>
      </w:pPr>
    </w:p>
    <w:p w14:paraId="2FCC9CBD">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color w:val="auto"/>
          <w:sz w:val="28"/>
          <w:szCs w:val="28"/>
        </w:rPr>
      </w:pPr>
      <w:r>
        <w:rPr>
          <w:rFonts w:hint="eastAsia"/>
          <w:b/>
          <w:bCs/>
          <w:color w:val="auto"/>
          <w:sz w:val="28"/>
          <w:szCs w:val="28"/>
          <w:lang w:val="en-US" w:eastAsia="zh-CN"/>
        </w:rPr>
        <w:t>资格评审标准</w:t>
      </w:r>
    </w:p>
    <w:tbl>
      <w:tblPr>
        <w:tblStyle w:val="4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3850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3A473671">
            <w:pPr>
              <w:spacing w:line="360" w:lineRule="auto"/>
              <w:ind w:firstLine="431" w:firstLineChars="196"/>
              <w:rPr>
                <w:rFonts w:ascii="宋体" w:hAnsi="宋体" w:cs="宋体"/>
                <w:b/>
                <w:color w:val="auto"/>
                <w:sz w:val="22"/>
                <w:szCs w:val="22"/>
              </w:rPr>
            </w:pPr>
            <w:r>
              <w:rPr>
                <w:rFonts w:hint="eastAsia" w:ascii="宋体" w:hAnsi="宋体" w:cs="宋体"/>
                <w:b/>
                <w:color w:val="auto"/>
                <w:sz w:val="22"/>
                <w:szCs w:val="22"/>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252E6AE0">
            <w:pPr>
              <w:spacing w:line="360" w:lineRule="auto"/>
              <w:jc w:val="center"/>
              <w:rPr>
                <w:rFonts w:ascii="宋体" w:hAnsi="宋体" w:cs="宋体"/>
                <w:b/>
                <w:color w:val="auto"/>
                <w:sz w:val="22"/>
                <w:szCs w:val="22"/>
              </w:rPr>
            </w:pPr>
            <w:r>
              <w:rPr>
                <w:rFonts w:hint="eastAsia" w:ascii="宋体" w:hAnsi="宋体" w:cs="宋体"/>
                <w:b/>
                <w:color w:val="auto"/>
                <w:sz w:val="22"/>
                <w:szCs w:val="22"/>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213C5221">
            <w:pPr>
              <w:spacing w:line="360" w:lineRule="auto"/>
              <w:jc w:val="center"/>
              <w:rPr>
                <w:rFonts w:ascii="宋体" w:hAnsi="宋体" w:cs="宋体"/>
                <w:b/>
                <w:color w:val="auto"/>
                <w:sz w:val="22"/>
                <w:szCs w:val="22"/>
              </w:rPr>
            </w:pPr>
            <w:r>
              <w:rPr>
                <w:rFonts w:hint="eastAsia" w:ascii="宋体" w:hAnsi="宋体" w:cs="宋体"/>
                <w:b/>
                <w:color w:val="auto"/>
                <w:sz w:val="22"/>
                <w:szCs w:val="22"/>
              </w:rPr>
              <w:t>评审标准</w:t>
            </w:r>
          </w:p>
        </w:tc>
      </w:tr>
      <w:tr w14:paraId="48F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74" w:type="dxa"/>
            <w:vMerge w:val="restart"/>
            <w:tcBorders>
              <w:top w:val="single" w:color="auto" w:sz="4" w:space="0"/>
              <w:left w:val="single" w:color="auto" w:sz="4" w:space="0"/>
              <w:right w:val="single" w:color="auto" w:sz="4" w:space="0"/>
            </w:tcBorders>
            <w:vAlign w:val="center"/>
          </w:tcPr>
          <w:p w14:paraId="001AE124">
            <w:pPr>
              <w:spacing w:line="360" w:lineRule="auto"/>
              <w:jc w:val="center"/>
              <w:rPr>
                <w:rFonts w:ascii="宋体" w:hAnsi="宋体" w:cs="宋体"/>
                <w:bCs/>
                <w:color w:val="auto"/>
                <w:sz w:val="22"/>
                <w:szCs w:val="22"/>
              </w:rPr>
            </w:pPr>
            <w:r>
              <w:rPr>
                <w:rFonts w:hint="eastAsia" w:ascii="宋体" w:hAnsi="宋体" w:cs="宋体"/>
                <w:bCs/>
                <w:color w:val="auto"/>
                <w:sz w:val="22"/>
                <w:szCs w:val="22"/>
              </w:rPr>
              <w:t>2.1.1</w:t>
            </w:r>
          </w:p>
        </w:tc>
        <w:tc>
          <w:tcPr>
            <w:tcW w:w="1060" w:type="dxa"/>
            <w:vMerge w:val="restart"/>
            <w:tcBorders>
              <w:top w:val="single" w:color="auto" w:sz="4" w:space="0"/>
              <w:left w:val="single" w:color="auto" w:sz="4" w:space="0"/>
              <w:right w:val="single" w:color="auto" w:sz="4" w:space="0"/>
            </w:tcBorders>
            <w:vAlign w:val="center"/>
          </w:tcPr>
          <w:p w14:paraId="51E12F85">
            <w:pPr>
              <w:spacing w:line="360" w:lineRule="auto"/>
              <w:jc w:val="center"/>
              <w:rPr>
                <w:rFonts w:ascii="宋体" w:hAnsi="宋体" w:cs="宋体"/>
                <w:color w:val="auto"/>
                <w:sz w:val="22"/>
                <w:szCs w:val="22"/>
              </w:rPr>
            </w:pPr>
            <w:r>
              <w:rPr>
                <w:rFonts w:hint="eastAsia" w:ascii="宋体" w:hAnsi="宋体" w:cs="宋体"/>
                <w:color w:val="auto"/>
                <w:sz w:val="22"/>
                <w:szCs w:val="22"/>
              </w:rPr>
              <w:t>资格性</w:t>
            </w:r>
          </w:p>
          <w:p w14:paraId="50368877">
            <w:pPr>
              <w:spacing w:line="360" w:lineRule="auto"/>
              <w:jc w:val="center"/>
              <w:rPr>
                <w:rFonts w:ascii="宋体" w:hAnsi="宋体" w:cs="宋体"/>
                <w:color w:val="auto"/>
                <w:sz w:val="22"/>
                <w:szCs w:val="22"/>
              </w:rPr>
            </w:pPr>
            <w:r>
              <w:rPr>
                <w:rFonts w:hint="eastAsia" w:ascii="宋体" w:hAnsi="宋体" w:cs="宋体"/>
                <w:color w:val="auto"/>
                <w:sz w:val="22"/>
                <w:szCs w:val="22"/>
              </w:rPr>
              <w:t>审查</w:t>
            </w:r>
          </w:p>
          <w:p w14:paraId="5DA2FE08">
            <w:pPr>
              <w:spacing w:line="360" w:lineRule="auto"/>
              <w:jc w:val="center"/>
              <w:rPr>
                <w:rFonts w:ascii="宋体" w:hAnsi="宋体" w:cs="宋体"/>
                <w:color w:val="auto"/>
                <w:sz w:val="22"/>
                <w:szCs w:val="22"/>
              </w:rPr>
            </w:pPr>
            <w:r>
              <w:rPr>
                <w:rFonts w:hint="eastAsia" w:ascii="宋体" w:hAnsi="宋体" w:cs="宋体"/>
                <w:color w:val="auto"/>
                <w:sz w:val="22"/>
                <w:szCs w:val="22"/>
              </w:rPr>
              <w:t>标准</w:t>
            </w:r>
          </w:p>
        </w:tc>
        <w:tc>
          <w:tcPr>
            <w:tcW w:w="2262" w:type="dxa"/>
            <w:tcBorders>
              <w:top w:val="single" w:color="auto" w:sz="4" w:space="0"/>
              <w:left w:val="single" w:color="auto" w:sz="4" w:space="0"/>
              <w:right w:val="single" w:color="auto" w:sz="4" w:space="0"/>
            </w:tcBorders>
            <w:vAlign w:val="center"/>
          </w:tcPr>
          <w:p w14:paraId="52596ADD">
            <w:pPr>
              <w:spacing w:line="276" w:lineRule="auto"/>
              <w:jc w:val="center"/>
              <w:rPr>
                <w:rFonts w:ascii="宋体" w:hAnsi="宋体" w:cs="宋体"/>
                <w:color w:val="auto"/>
                <w:sz w:val="22"/>
                <w:szCs w:val="22"/>
              </w:rPr>
            </w:pPr>
            <w:r>
              <w:rPr>
                <w:rFonts w:hint="eastAsia" w:ascii="宋体" w:hAnsi="宋体" w:cs="宋体"/>
                <w:color w:val="auto"/>
                <w:sz w:val="22"/>
                <w:szCs w:val="22"/>
                <w:lang w:eastAsia="zh-CN"/>
              </w:rPr>
              <w:t>营业执照</w:t>
            </w:r>
          </w:p>
        </w:tc>
        <w:tc>
          <w:tcPr>
            <w:tcW w:w="5542" w:type="dxa"/>
            <w:tcBorders>
              <w:top w:val="single" w:color="auto" w:sz="4" w:space="0"/>
              <w:left w:val="single" w:color="auto" w:sz="4" w:space="0"/>
              <w:right w:val="single" w:color="auto" w:sz="4" w:space="0"/>
            </w:tcBorders>
            <w:vAlign w:val="center"/>
          </w:tcPr>
          <w:p w14:paraId="32488566">
            <w:pPr>
              <w:widowControl/>
              <w:rPr>
                <w:rFonts w:hint="eastAsia" w:ascii="宋体" w:hAnsi="宋体" w:eastAsia="宋体" w:cs="宋体"/>
                <w:color w:val="auto"/>
                <w:sz w:val="22"/>
                <w:szCs w:val="22"/>
                <w:lang w:eastAsia="zh-CN"/>
              </w:rPr>
            </w:pPr>
            <w:r>
              <w:rPr>
                <w:rFonts w:hint="eastAsia" w:ascii="宋体" w:hAnsi="宋体" w:eastAsia="宋体" w:cs="宋体"/>
                <w:i w:val="0"/>
                <w:iCs w:val="0"/>
                <w:caps w:val="0"/>
                <w:color w:val="333333"/>
                <w:spacing w:val="0"/>
                <w:sz w:val="21"/>
                <w:szCs w:val="21"/>
              </w:rPr>
              <w:t>具有独立承担民事责任的能力；【提供有效的营业执照或其他证明材料】；</w:t>
            </w:r>
          </w:p>
        </w:tc>
      </w:tr>
      <w:tr w14:paraId="1793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74" w:type="dxa"/>
            <w:vMerge w:val="continue"/>
            <w:tcBorders>
              <w:left w:val="single" w:color="auto" w:sz="4" w:space="0"/>
              <w:right w:val="single" w:color="auto" w:sz="4" w:space="0"/>
            </w:tcBorders>
            <w:vAlign w:val="center"/>
          </w:tcPr>
          <w:p w14:paraId="29D9BACE">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53771700">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43E7FBC6">
            <w:pPr>
              <w:spacing w:line="276" w:lineRule="auto"/>
              <w:jc w:val="both"/>
              <w:rPr>
                <w:rFonts w:hint="default" w:ascii="宋体" w:hAnsi="宋体" w:cs="宋体" w:eastAsiaTheme="minorEastAsia"/>
                <w:color w:val="auto"/>
                <w:sz w:val="22"/>
                <w:szCs w:val="22"/>
                <w:lang w:val="en-US" w:eastAsia="zh-CN"/>
              </w:rPr>
            </w:pPr>
            <w:r>
              <w:rPr>
                <w:rFonts w:hint="eastAsia" w:ascii="宋体" w:hAnsi="宋体" w:eastAsia="宋体" w:cs="宋体"/>
                <w:color w:val="auto"/>
                <w:sz w:val="22"/>
                <w:szCs w:val="22"/>
                <w:lang w:eastAsia="zh-CN"/>
              </w:rPr>
              <w:t>设备和专业技术能力</w:t>
            </w:r>
          </w:p>
        </w:tc>
        <w:tc>
          <w:tcPr>
            <w:tcW w:w="5542" w:type="dxa"/>
            <w:tcBorders>
              <w:top w:val="single" w:color="auto" w:sz="4" w:space="0"/>
              <w:left w:val="single" w:color="auto" w:sz="4" w:space="0"/>
              <w:right w:val="single" w:color="auto" w:sz="4" w:space="0"/>
            </w:tcBorders>
            <w:vAlign w:val="center"/>
          </w:tcPr>
          <w:p w14:paraId="0004EE4E">
            <w:pPr>
              <w:widowControl/>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供应商须具有履行合同所必须的设备、人员和专业技术能力；（承诺书格式自拟）</w:t>
            </w:r>
          </w:p>
        </w:tc>
      </w:tr>
      <w:tr w14:paraId="669F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74" w:type="dxa"/>
            <w:vMerge w:val="continue"/>
            <w:tcBorders>
              <w:left w:val="single" w:color="auto" w:sz="4" w:space="0"/>
              <w:right w:val="single" w:color="auto" w:sz="4" w:space="0"/>
            </w:tcBorders>
            <w:vAlign w:val="center"/>
          </w:tcPr>
          <w:p w14:paraId="504D8148">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7B643962">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69974B5C">
            <w:pPr>
              <w:widowControl/>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项目负责人</w:t>
            </w:r>
          </w:p>
        </w:tc>
        <w:tc>
          <w:tcPr>
            <w:tcW w:w="5542" w:type="dxa"/>
            <w:tcBorders>
              <w:top w:val="single" w:color="auto" w:sz="4" w:space="0"/>
              <w:left w:val="single" w:color="auto" w:sz="4" w:space="0"/>
              <w:right w:val="single" w:color="auto" w:sz="4" w:space="0"/>
            </w:tcBorders>
            <w:vAlign w:val="center"/>
          </w:tcPr>
          <w:p w14:paraId="501C8238">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拟派项目负责人为本单位员工（提供劳动合同）或已参加社会保险（近半年任意连续两个月）</w:t>
            </w:r>
          </w:p>
        </w:tc>
      </w:tr>
      <w:tr w14:paraId="73BC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74" w:type="dxa"/>
            <w:vMerge w:val="continue"/>
            <w:tcBorders>
              <w:left w:val="single" w:color="auto" w:sz="4" w:space="0"/>
              <w:right w:val="single" w:color="auto" w:sz="4" w:space="0"/>
            </w:tcBorders>
            <w:vAlign w:val="center"/>
          </w:tcPr>
          <w:p w14:paraId="00A0EABD">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5F86C8A2">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2F50C0F7">
            <w:pPr>
              <w:widowControl/>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财务状况</w:t>
            </w:r>
          </w:p>
        </w:tc>
        <w:tc>
          <w:tcPr>
            <w:tcW w:w="5542" w:type="dxa"/>
            <w:tcBorders>
              <w:top w:val="single" w:color="auto" w:sz="4" w:space="0"/>
              <w:left w:val="single" w:color="auto" w:sz="4" w:space="0"/>
              <w:right w:val="single" w:color="auto" w:sz="4" w:space="0"/>
            </w:tcBorders>
            <w:vAlign w:val="center"/>
          </w:tcPr>
          <w:p w14:paraId="13F99053">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具有良好的财务状况且没有处于被责令停业，提供企业近三年（新成立企业从成立之日起计算）任意一年审计报告或财务报表，若企业新成立不足一年，提供注册期后至今的财务报表</w:t>
            </w:r>
          </w:p>
        </w:tc>
      </w:tr>
      <w:tr w14:paraId="109B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74" w:type="dxa"/>
            <w:vMerge w:val="continue"/>
            <w:tcBorders>
              <w:left w:val="single" w:color="auto" w:sz="4" w:space="0"/>
              <w:right w:val="single" w:color="auto" w:sz="4" w:space="0"/>
            </w:tcBorders>
            <w:vAlign w:val="center"/>
          </w:tcPr>
          <w:p w14:paraId="542C2BF0">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76BDC058">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4442AA7A">
            <w:pPr>
              <w:widowControl/>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依法缴纳税收</w:t>
            </w:r>
          </w:p>
        </w:tc>
        <w:tc>
          <w:tcPr>
            <w:tcW w:w="5542" w:type="dxa"/>
            <w:tcBorders>
              <w:top w:val="single" w:color="auto" w:sz="4" w:space="0"/>
              <w:left w:val="single" w:color="auto" w:sz="4" w:space="0"/>
              <w:right w:val="single" w:color="auto" w:sz="4" w:space="0"/>
            </w:tcBorders>
            <w:vAlign w:val="center"/>
          </w:tcPr>
          <w:p w14:paraId="18AA3F3F">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提供企业近半年以来任意一个月（新成立的企业从成立之日起计算）依法缴纳税收的证明资料</w:t>
            </w:r>
          </w:p>
        </w:tc>
      </w:tr>
      <w:tr w14:paraId="13A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7207C60C">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7E566CD1">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6C8C7C1F">
            <w:pPr>
              <w:spacing w:line="276"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无行贿犯罪记录查询</w:t>
            </w:r>
          </w:p>
        </w:tc>
        <w:tc>
          <w:tcPr>
            <w:tcW w:w="5542" w:type="dxa"/>
            <w:tcBorders>
              <w:top w:val="single" w:color="auto" w:sz="4" w:space="0"/>
              <w:left w:val="single" w:color="auto" w:sz="4" w:space="0"/>
              <w:right w:val="single" w:color="auto" w:sz="4" w:space="0"/>
            </w:tcBorders>
            <w:vAlign w:val="center"/>
          </w:tcPr>
          <w:p w14:paraId="6058EA6F">
            <w:pPr>
              <w:widowControl/>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1D2C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3DFF8675">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5B44739F">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4B64ED4A">
            <w:pPr>
              <w:spacing w:line="276"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无商业贿赂查询等</w:t>
            </w:r>
          </w:p>
        </w:tc>
        <w:tc>
          <w:tcPr>
            <w:tcW w:w="5542" w:type="dxa"/>
            <w:tcBorders>
              <w:top w:val="single" w:color="auto" w:sz="4" w:space="0"/>
              <w:left w:val="single" w:color="auto" w:sz="4" w:space="0"/>
              <w:right w:val="single" w:color="auto" w:sz="4" w:space="0"/>
            </w:tcBorders>
            <w:vAlign w:val="center"/>
          </w:tcPr>
          <w:p w14:paraId="64D8FE02">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7F37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2F4DC106">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37CA0284">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440EFBFB">
            <w:pPr>
              <w:spacing w:line="276"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信用查询</w:t>
            </w:r>
          </w:p>
        </w:tc>
        <w:tc>
          <w:tcPr>
            <w:tcW w:w="5542" w:type="dxa"/>
            <w:tcBorders>
              <w:top w:val="single" w:color="auto" w:sz="4" w:space="0"/>
              <w:left w:val="single" w:color="auto" w:sz="4" w:space="0"/>
              <w:right w:val="single" w:color="auto" w:sz="4" w:space="0"/>
            </w:tcBorders>
            <w:vAlign w:val="center"/>
          </w:tcPr>
          <w:p w14:paraId="4167802E">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tc>
      </w:tr>
      <w:tr w14:paraId="15B7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74" w:type="dxa"/>
            <w:vMerge w:val="continue"/>
            <w:tcBorders>
              <w:left w:val="single" w:color="auto" w:sz="4" w:space="0"/>
              <w:right w:val="single" w:color="auto" w:sz="4" w:space="0"/>
            </w:tcBorders>
            <w:vAlign w:val="center"/>
          </w:tcPr>
          <w:p w14:paraId="469C41D5">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6167DA8E">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shd w:val="clear" w:color="auto" w:fill="auto"/>
            <w:vAlign w:val="center"/>
          </w:tcPr>
          <w:p w14:paraId="69BC9815">
            <w:pPr>
              <w:spacing w:line="276" w:lineRule="auto"/>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“国家企业信用信息公示系统”查询</w:t>
            </w:r>
          </w:p>
        </w:tc>
        <w:tc>
          <w:tcPr>
            <w:tcW w:w="5542" w:type="dxa"/>
            <w:tcBorders>
              <w:top w:val="single" w:color="auto" w:sz="4" w:space="0"/>
              <w:left w:val="single" w:color="auto" w:sz="4" w:space="0"/>
              <w:right w:val="single" w:color="auto" w:sz="4" w:space="0"/>
            </w:tcBorders>
            <w:shd w:val="clear" w:color="auto" w:fill="auto"/>
            <w:vAlign w:val="center"/>
          </w:tcPr>
          <w:p w14:paraId="27C878AB">
            <w:pPr>
              <w:widowControl/>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w:t>
            </w:r>
          </w:p>
        </w:tc>
      </w:tr>
      <w:tr w14:paraId="2BA6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4" w:type="dxa"/>
            <w:vMerge w:val="continue"/>
            <w:tcBorders>
              <w:left w:val="single" w:color="auto" w:sz="4" w:space="0"/>
              <w:right w:val="single" w:color="auto" w:sz="4" w:space="0"/>
            </w:tcBorders>
            <w:vAlign w:val="center"/>
          </w:tcPr>
          <w:p w14:paraId="74E5F843">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2FF178F3">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7045723D">
            <w:pPr>
              <w:spacing w:line="276"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承诺1</w:t>
            </w:r>
          </w:p>
        </w:tc>
        <w:tc>
          <w:tcPr>
            <w:tcW w:w="5542" w:type="dxa"/>
            <w:tcBorders>
              <w:top w:val="single" w:color="auto" w:sz="4" w:space="0"/>
              <w:left w:val="single" w:color="auto" w:sz="4" w:space="0"/>
              <w:right w:val="single" w:color="auto" w:sz="4" w:space="0"/>
            </w:tcBorders>
            <w:vAlign w:val="center"/>
          </w:tcPr>
          <w:p w14:paraId="6AE3D88A">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本项目不接收联合体投标</w:t>
            </w:r>
          </w:p>
        </w:tc>
      </w:tr>
      <w:tr w14:paraId="0FC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74" w:type="dxa"/>
            <w:vMerge w:val="continue"/>
            <w:tcBorders>
              <w:left w:val="single" w:color="auto" w:sz="4" w:space="0"/>
              <w:right w:val="single" w:color="auto" w:sz="4" w:space="0"/>
            </w:tcBorders>
            <w:vAlign w:val="center"/>
          </w:tcPr>
          <w:p w14:paraId="0B636036">
            <w:pPr>
              <w:spacing w:line="360" w:lineRule="auto"/>
              <w:jc w:val="center"/>
              <w:rPr>
                <w:rFonts w:ascii="宋体" w:hAnsi="宋体" w:cs="宋体"/>
                <w:bCs/>
                <w:color w:val="auto"/>
                <w:sz w:val="22"/>
                <w:szCs w:val="22"/>
              </w:rPr>
            </w:pPr>
          </w:p>
        </w:tc>
        <w:tc>
          <w:tcPr>
            <w:tcW w:w="1060" w:type="dxa"/>
            <w:vMerge w:val="continue"/>
            <w:tcBorders>
              <w:left w:val="single" w:color="auto" w:sz="4" w:space="0"/>
              <w:right w:val="single" w:color="auto" w:sz="4" w:space="0"/>
            </w:tcBorders>
            <w:vAlign w:val="center"/>
          </w:tcPr>
          <w:p w14:paraId="57E5B186">
            <w:pPr>
              <w:spacing w:line="360" w:lineRule="auto"/>
              <w:jc w:val="center"/>
              <w:rPr>
                <w:rFonts w:ascii="宋体" w:hAnsi="宋体" w:cs="宋体"/>
                <w:color w:val="auto"/>
                <w:sz w:val="22"/>
                <w:szCs w:val="22"/>
              </w:rPr>
            </w:pPr>
          </w:p>
        </w:tc>
        <w:tc>
          <w:tcPr>
            <w:tcW w:w="2262" w:type="dxa"/>
            <w:tcBorders>
              <w:top w:val="single" w:color="auto" w:sz="4" w:space="0"/>
              <w:left w:val="single" w:color="auto" w:sz="4" w:space="0"/>
              <w:right w:val="single" w:color="auto" w:sz="4" w:space="0"/>
            </w:tcBorders>
            <w:vAlign w:val="center"/>
          </w:tcPr>
          <w:p w14:paraId="53BB2247">
            <w:pPr>
              <w:spacing w:line="276" w:lineRule="auto"/>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承诺2</w:t>
            </w:r>
          </w:p>
        </w:tc>
        <w:tc>
          <w:tcPr>
            <w:tcW w:w="5542" w:type="dxa"/>
            <w:tcBorders>
              <w:top w:val="single" w:color="auto" w:sz="4" w:space="0"/>
              <w:left w:val="single" w:color="auto" w:sz="4" w:space="0"/>
              <w:right w:val="single" w:color="auto" w:sz="4" w:space="0"/>
            </w:tcBorders>
            <w:vAlign w:val="center"/>
          </w:tcPr>
          <w:p w14:paraId="5B2CA4B2">
            <w:pPr>
              <w:widowControl/>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本项目实行资格后审</w:t>
            </w:r>
          </w:p>
        </w:tc>
      </w:tr>
    </w:tbl>
    <w:p w14:paraId="192EF0C7">
      <w:pPr>
        <w:pStyle w:val="6"/>
        <w:rPr>
          <w:rFonts w:hint="default" w:eastAsia="宋体"/>
          <w:b/>
          <w:bCs/>
          <w:color w:val="auto"/>
          <w:sz w:val="24"/>
          <w:szCs w:val="24"/>
          <w:lang w:val="en-US" w:eastAsia="zh-CN"/>
        </w:rPr>
      </w:pPr>
      <w:bookmarkStart w:id="34" w:name="_Toc10786"/>
      <w:r>
        <w:rPr>
          <w:rFonts w:hint="eastAsia"/>
          <w:b/>
          <w:bCs/>
          <w:color w:val="auto"/>
          <w:sz w:val="24"/>
          <w:szCs w:val="24"/>
          <w:lang w:val="en-US" w:eastAsia="zh-CN"/>
        </w:rPr>
        <w:t>2.2 符合性评审</w:t>
      </w:r>
      <w:bookmarkEnd w:id="34"/>
    </w:p>
    <w:p w14:paraId="479EB05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szCs w:val="24"/>
        </w:rPr>
      </w:pPr>
      <w:r>
        <w:rPr>
          <w:rFonts w:hint="eastAsia" w:ascii="宋体"/>
          <w:color w:val="auto"/>
          <w:sz w:val="24"/>
          <w:szCs w:val="24"/>
        </w:rPr>
        <w:t>由评标委员会按照下列内容进行符合性审查，有一项不通过，视为未通过该项审查，不得进入下一评标过程。</w:t>
      </w:r>
    </w:p>
    <w:p w14:paraId="69220D8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default" w:ascii="宋体"/>
          <w:b/>
          <w:bCs/>
          <w:color w:val="auto"/>
          <w:sz w:val="28"/>
          <w:szCs w:val="28"/>
          <w:lang w:val="en-US"/>
        </w:rPr>
      </w:pPr>
      <w:r>
        <w:rPr>
          <w:rFonts w:hint="eastAsia" w:ascii="宋体"/>
          <w:b/>
          <w:bCs/>
          <w:color w:val="auto"/>
          <w:sz w:val="28"/>
          <w:szCs w:val="28"/>
          <w:lang w:val="en-US" w:eastAsia="zh-CN"/>
        </w:rPr>
        <w:t>形式评审标准、响应性审查标准</w:t>
      </w:r>
    </w:p>
    <w:tbl>
      <w:tblPr>
        <w:tblStyle w:val="40"/>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34E8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653F3EC2">
            <w:pPr>
              <w:keepNext w:val="0"/>
              <w:keepLines w:val="0"/>
              <w:pageBreakBefore w:val="0"/>
              <w:widowControl w:val="0"/>
              <w:kinsoku/>
              <w:wordWrap/>
              <w:overflowPunct/>
              <w:topLinePunct w:val="0"/>
              <w:autoSpaceDE/>
              <w:autoSpaceDN/>
              <w:bidi w:val="0"/>
              <w:adjustRightInd/>
              <w:snapToGrid/>
              <w:spacing w:line="240" w:lineRule="auto"/>
              <w:ind w:firstLine="431" w:firstLineChars="196"/>
              <w:jc w:val="center"/>
              <w:textAlignment w:val="auto"/>
              <w:rPr>
                <w:rFonts w:ascii="宋体" w:hAnsi="宋体" w:cs="宋体"/>
                <w:b/>
                <w:color w:val="auto"/>
                <w:sz w:val="22"/>
                <w:szCs w:val="22"/>
              </w:rPr>
            </w:pPr>
            <w:r>
              <w:rPr>
                <w:rFonts w:hint="eastAsia" w:ascii="宋体" w:hAnsi="宋体" w:cs="宋体"/>
                <w:b/>
                <w:color w:val="auto"/>
                <w:sz w:val="22"/>
                <w:szCs w:val="22"/>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39551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rPr>
            </w:pPr>
            <w:r>
              <w:rPr>
                <w:rFonts w:hint="eastAsia" w:ascii="宋体" w:hAnsi="宋体" w:cs="宋体"/>
                <w:b/>
                <w:color w:val="auto"/>
                <w:sz w:val="22"/>
                <w:szCs w:val="22"/>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41A00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rPr>
            </w:pPr>
            <w:r>
              <w:rPr>
                <w:rFonts w:hint="eastAsia" w:ascii="宋体" w:hAnsi="宋体" w:cs="宋体"/>
                <w:b/>
                <w:color w:val="auto"/>
                <w:sz w:val="22"/>
                <w:szCs w:val="22"/>
              </w:rPr>
              <w:t>评审标准</w:t>
            </w:r>
          </w:p>
        </w:tc>
      </w:tr>
      <w:tr w14:paraId="51E9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4" w:type="dxa"/>
            <w:vMerge w:val="restart"/>
            <w:tcBorders>
              <w:top w:val="single" w:color="auto" w:sz="4" w:space="0"/>
              <w:left w:val="single" w:color="auto" w:sz="4" w:space="0"/>
              <w:right w:val="single" w:color="auto" w:sz="4" w:space="0"/>
            </w:tcBorders>
            <w:vAlign w:val="center"/>
          </w:tcPr>
          <w:p w14:paraId="4908BE32">
            <w:pPr>
              <w:spacing w:line="360" w:lineRule="auto"/>
              <w:jc w:val="center"/>
              <w:rPr>
                <w:rFonts w:ascii="宋体" w:hAnsi="宋体" w:cs="宋体"/>
                <w:color w:val="auto"/>
                <w:sz w:val="22"/>
                <w:szCs w:val="22"/>
              </w:rPr>
            </w:pPr>
            <w:r>
              <w:rPr>
                <w:rFonts w:hint="eastAsia" w:ascii="宋体" w:hAnsi="宋体" w:cs="宋体"/>
                <w:color w:val="auto"/>
                <w:sz w:val="22"/>
                <w:szCs w:val="22"/>
              </w:rPr>
              <w:t>2.1.2</w:t>
            </w:r>
          </w:p>
        </w:tc>
        <w:tc>
          <w:tcPr>
            <w:tcW w:w="1060" w:type="dxa"/>
            <w:vMerge w:val="restart"/>
            <w:tcBorders>
              <w:top w:val="single" w:color="auto" w:sz="4" w:space="0"/>
              <w:left w:val="single" w:color="auto" w:sz="4" w:space="0"/>
              <w:right w:val="single" w:color="auto" w:sz="4" w:space="0"/>
            </w:tcBorders>
            <w:vAlign w:val="center"/>
          </w:tcPr>
          <w:p w14:paraId="0464C939">
            <w:pPr>
              <w:widowControl/>
              <w:adjustRightInd w:val="0"/>
              <w:snapToGrid w:val="0"/>
              <w:spacing w:line="400" w:lineRule="exact"/>
              <w:jc w:val="center"/>
              <w:rPr>
                <w:rFonts w:hint="eastAsia" w:ascii="宋体" w:hAnsi="宋体" w:cs="宋体"/>
                <w:bCs/>
                <w:color w:val="auto"/>
                <w:sz w:val="22"/>
                <w:szCs w:val="22"/>
                <w:lang w:eastAsia="zh-CN"/>
              </w:rPr>
            </w:pPr>
            <w:r>
              <w:rPr>
                <w:rFonts w:hint="eastAsia" w:ascii="宋体" w:hAnsi="宋体" w:cs="宋体"/>
                <w:bCs/>
                <w:color w:val="auto"/>
                <w:sz w:val="22"/>
                <w:szCs w:val="22"/>
                <w:lang w:eastAsia="zh-CN"/>
              </w:rPr>
              <w:t>形式评审标准</w:t>
            </w:r>
          </w:p>
        </w:tc>
        <w:tc>
          <w:tcPr>
            <w:tcW w:w="2262" w:type="dxa"/>
            <w:tcBorders>
              <w:top w:val="single" w:color="auto" w:sz="4" w:space="0"/>
              <w:left w:val="single" w:color="auto" w:sz="4" w:space="0"/>
              <w:right w:val="single" w:color="auto" w:sz="4" w:space="0"/>
            </w:tcBorders>
            <w:vAlign w:val="center"/>
          </w:tcPr>
          <w:p w14:paraId="00FD4DA4">
            <w:pPr>
              <w:widowControl/>
              <w:adjustRightInd w:val="0"/>
              <w:snapToGrid w:val="0"/>
              <w:spacing w:line="400" w:lineRule="exact"/>
              <w:jc w:val="center"/>
              <w:rPr>
                <w:rFonts w:hAnsi="宋体" w:cs="宋体"/>
                <w:color w:val="auto"/>
                <w:sz w:val="22"/>
                <w:szCs w:val="22"/>
              </w:rPr>
            </w:pPr>
            <w:r>
              <w:rPr>
                <w:rFonts w:hint="eastAsia" w:ascii="宋体" w:hAnsi="宋体" w:cs="宋体"/>
                <w:bCs/>
                <w:color w:val="auto"/>
                <w:sz w:val="22"/>
                <w:szCs w:val="22"/>
              </w:rPr>
              <w:t>供应商名称</w:t>
            </w:r>
          </w:p>
        </w:tc>
        <w:tc>
          <w:tcPr>
            <w:tcW w:w="5542" w:type="dxa"/>
            <w:tcBorders>
              <w:top w:val="single" w:color="auto" w:sz="4" w:space="0"/>
              <w:left w:val="single" w:color="auto" w:sz="4" w:space="0"/>
              <w:right w:val="single" w:color="auto" w:sz="4" w:space="0"/>
            </w:tcBorders>
            <w:vAlign w:val="center"/>
          </w:tcPr>
          <w:p w14:paraId="7DB09EC6">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与营业执照是否一致</w:t>
            </w:r>
          </w:p>
        </w:tc>
      </w:tr>
      <w:tr w14:paraId="153C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4" w:type="dxa"/>
            <w:vMerge w:val="continue"/>
            <w:tcBorders>
              <w:left w:val="single" w:color="auto" w:sz="4" w:space="0"/>
              <w:right w:val="single" w:color="auto" w:sz="4" w:space="0"/>
            </w:tcBorders>
            <w:vAlign w:val="center"/>
          </w:tcPr>
          <w:p w14:paraId="7FD64054">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5F2F3FD8">
            <w:pPr>
              <w:widowControl/>
              <w:adjustRightInd w:val="0"/>
              <w:snapToGrid w:val="0"/>
              <w:spacing w:line="400" w:lineRule="exact"/>
              <w:jc w:val="center"/>
              <w:rPr>
                <w:rFonts w:hint="eastAsia" w:ascii="宋体" w:hAnsi="宋体" w:cs="宋体"/>
                <w:bCs/>
                <w:color w:val="auto"/>
                <w:sz w:val="22"/>
                <w:szCs w:val="22"/>
                <w:lang w:eastAsia="zh-CN"/>
              </w:rPr>
            </w:pPr>
          </w:p>
        </w:tc>
        <w:tc>
          <w:tcPr>
            <w:tcW w:w="2262" w:type="dxa"/>
            <w:tcBorders>
              <w:top w:val="single" w:color="auto" w:sz="4" w:space="0"/>
              <w:left w:val="single" w:color="auto" w:sz="4" w:space="0"/>
              <w:bottom w:val="single" w:color="auto" w:sz="4" w:space="0"/>
              <w:right w:val="single" w:color="auto" w:sz="4" w:space="0"/>
            </w:tcBorders>
            <w:vAlign w:val="center"/>
          </w:tcPr>
          <w:p w14:paraId="4157C15D">
            <w:pPr>
              <w:widowControl/>
              <w:adjustRightInd w:val="0"/>
              <w:snapToGrid w:val="0"/>
              <w:spacing w:line="400" w:lineRule="exact"/>
              <w:jc w:val="center"/>
              <w:rPr>
                <w:rFonts w:hAnsi="宋体" w:cs="宋体"/>
                <w:color w:val="auto"/>
                <w:sz w:val="22"/>
                <w:szCs w:val="22"/>
              </w:rPr>
            </w:pPr>
            <w:r>
              <w:rPr>
                <w:rFonts w:hint="eastAsia" w:ascii="宋体" w:hAnsi="宋体" w:cs="宋体"/>
                <w:bCs/>
                <w:color w:val="auto"/>
                <w:sz w:val="22"/>
                <w:szCs w:val="22"/>
                <w:lang w:eastAsia="zh-CN"/>
              </w:rPr>
              <w:t>投标文件</w:t>
            </w:r>
            <w:r>
              <w:rPr>
                <w:rFonts w:hint="eastAsia" w:ascii="宋体" w:hAnsi="宋体" w:cs="宋体"/>
                <w:bCs/>
                <w:color w:val="auto"/>
                <w:sz w:val="22"/>
                <w:szCs w:val="22"/>
              </w:rPr>
              <w:t>签字盖章</w:t>
            </w:r>
          </w:p>
        </w:tc>
        <w:tc>
          <w:tcPr>
            <w:tcW w:w="5542" w:type="dxa"/>
            <w:tcBorders>
              <w:top w:val="single" w:color="auto" w:sz="4" w:space="0"/>
              <w:left w:val="single" w:color="auto" w:sz="4" w:space="0"/>
              <w:bottom w:val="single" w:color="auto" w:sz="4" w:space="0"/>
              <w:right w:val="single" w:color="auto" w:sz="4" w:space="0"/>
            </w:tcBorders>
            <w:vAlign w:val="center"/>
          </w:tcPr>
          <w:p w14:paraId="3CED4A43">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按照招标文件的规定进行签字或盖章</w:t>
            </w:r>
          </w:p>
        </w:tc>
      </w:tr>
      <w:tr w14:paraId="0B9C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14:paraId="553D1481">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7F9D6A68">
            <w:pPr>
              <w:widowControl/>
              <w:adjustRightInd w:val="0"/>
              <w:snapToGrid w:val="0"/>
              <w:spacing w:line="400" w:lineRule="exact"/>
              <w:jc w:val="center"/>
              <w:rPr>
                <w:rFonts w:hint="eastAsia" w:ascii="宋体" w:hAnsi="宋体" w:cs="宋体"/>
                <w:bCs/>
                <w:color w:val="auto"/>
                <w:sz w:val="22"/>
                <w:szCs w:val="22"/>
                <w:lang w:eastAsia="zh-CN"/>
              </w:rPr>
            </w:pPr>
          </w:p>
        </w:tc>
        <w:tc>
          <w:tcPr>
            <w:tcW w:w="2262" w:type="dxa"/>
            <w:tcBorders>
              <w:top w:val="single" w:color="auto" w:sz="4" w:space="0"/>
              <w:left w:val="single" w:color="auto" w:sz="4" w:space="0"/>
              <w:bottom w:val="single" w:color="auto" w:sz="4" w:space="0"/>
              <w:right w:val="single" w:color="auto" w:sz="4" w:space="0"/>
            </w:tcBorders>
            <w:vAlign w:val="center"/>
          </w:tcPr>
          <w:p w14:paraId="2EA7217A">
            <w:pPr>
              <w:widowControl/>
              <w:adjustRightInd w:val="0"/>
              <w:snapToGrid w:val="0"/>
              <w:spacing w:line="400" w:lineRule="exact"/>
              <w:jc w:val="center"/>
              <w:rPr>
                <w:rFonts w:hint="eastAsia" w:ascii="宋体" w:hAnsi="宋体" w:eastAsia="宋体" w:cs="宋体"/>
                <w:color w:val="auto"/>
                <w:sz w:val="22"/>
                <w:szCs w:val="22"/>
                <w:lang w:eastAsia="zh-CN"/>
              </w:rPr>
            </w:pPr>
            <w:r>
              <w:rPr>
                <w:rFonts w:hint="eastAsia" w:ascii="宋体" w:hAnsi="宋体" w:cs="宋体"/>
                <w:bCs/>
                <w:color w:val="auto"/>
                <w:sz w:val="22"/>
                <w:szCs w:val="22"/>
                <w:lang w:eastAsia="zh-CN"/>
              </w:rPr>
              <w:t>投标文件格式</w:t>
            </w:r>
          </w:p>
        </w:tc>
        <w:tc>
          <w:tcPr>
            <w:tcW w:w="5542" w:type="dxa"/>
            <w:tcBorders>
              <w:top w:val="single" w:color="auto" w:sz="4" w:space="0"/>
              <w:left w:val="single" w:color="auto" w:sz="4" w:space="0"/>
              <w:bottom w:val="single" w:color="auto" w:sz="4" w:space="0"/>
              <w:right w:val="single" w:color="auto" w:sz="4" w:space="0"/>
            </w:tcBorders>
            <w:vAlign w:val="center"/>
          </w:tcPr>
          <w:p w14:paraId="1AD3EDBB">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符合“</w:t>
            </w:r>
            <w:r>
              <w:rPr>
                <w:rFonts w:hint="eastAsia" w:ascii="宋体" w:hAnsi="宋体" w:cs="宋体"/>
                <w:bCs/>
                <w:color w:val="auto"/>
                <w:sz w:val="22"/>
                <w:szCs w:val="22"/>
                <w:lang w:eastAsia="zh-CN"/>
              </w:rPr>
              <w:t>投标文件格式</w:t>
            </w:r>
            <w:r>
              <w:rPr>
                <w:rFonts w:hint="eastAsia" w:ascii="宋体" w:hAnsi="宋体" w:cs="宋体"/>
                <w:bCs/>
                <w:color w:val="auto"/>
                <w:sz w:val="22"/>
                <w:szCs w:val="22"/>
              </w:rPr>
              <w:t>”的要求</w:t>
            </w:r>
          </w:p>
        </w:tc>
      </w:tr>
      <w:tr w14:paraId="44E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14:paraId="65678182">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449E9581">
            <w:pPr>
              <w:widowControl/>
              <w:adjustRightInd w:val="0"/>
              <w:snapToGrid w:val="0"/>
              <w:spacing w:line="400" w:lineRule="exact"/>
              <w:jc w:val="center"/>
              <w:rPr>
                <w:rFonts w:hint="eastAsia" w:ascii="宋体" w:hAnsi="宋体" w:cs="宋体"/>
                <w:bCs/>
                <w:color w:val="auto"/>
                <w:sz w:val="22"/>
                <w:szCs w:val="22"/>
                <w:lang w:eastAsia="zh-CN"/>
              </w:rPr>
            </w:pPr>
          </w:p>
        </w:tc>
        <w:tc>
          <w:tcPr>
            <w:tcW w:w="2262" w:type="dxa"/>
            <w:tcBorders>
              <w:top w:val="single" w:color="auto" w:sz="4" w:space="0"/>
              <w:left w:val="single" w:color="auto" w:sz="4" w:space="0"/>
              <w:bottom w:val="single" w:color="auto" w:sz="4" w:space="0"/>
              <w:right w:val="single" w:color="auto" w:sz="4" w:space="0"/>
            </w:tcBorders>
            <w:vAlign w:val="center"/>
          </w:tcPr>
          <w:p w14:paraId="75FD66CE">
            <w:pPr>
              <w:widowControl/>
              <w:adjustRightInd w:val="0"/>
              <w:snapToGrid w:val="0"/>
              <w:spacing w:line="400" w:lineRule="exact"/>
              <w:jc w:val="center"/>
              <w:rPr>
                <w:rFonts w:hint="eastAsia" w:ascii="宋体" w:hAnsi="宋体" w:cs="宋体"/>
                <w:bCs/>
                <w:color w:val="auto"/>
                <w:sz w:val="22"/>
                <w:szCs w:val="22"/>
                <w:lang w:eastAsia="zh-CN"/>
              </w:rPr>
            </w:pPr>
            <w:r>
              <w:rPr>
                <w:rFonts w:hint="eastAsia" w:ascii="宋体" w:hAnsi="宋体" w:cs="宋体"/>
                <w:bCs/>
                <w:color w:val="auto"/>
                <w:sz w:val="22"/>
                <w:szCs w:val="22"/>
                <w:lang w:eastAsia="zh-CN"/>
              </w:rPr>
              <w:t>报价唯一</w:t>
            </w:r>
          </w:p>
        </w:tc>
        <w:tc>
          <w:tcPr>
            <w:tcW w:w="5542" w:type="dxa"/>
            <w:tcBorders>
              <w:top w:val="single" w:color="auto" w:sz="4" w:space="0"/>
              <w:left w:val="single" w:color="auto" w:sz="4" w:space="0"/>
              <w:bottom w:val="single" w:color="auto" w:sz="4" w:space="0"/>
              <w:right w:val="single" w:color="auto" w:sz="4" w:space="0"/>
            </w:tcBorders>
            <w:vAlign w:val="center"/>
          </w:tcPr>
          <w:p w14:paraId="0AF5BA3A">
            <w:pPr>
              <w:widowControl/>
              <w:adjustRightInd w:val="0"/>
              <w:snapToGrid w:val="0"/>
              <w:spacing w:line="400" w:lineRule="exact"/>
              <w:jc w:val="both"/>
              <w:rPr>
                <w:rFonts w:hint="eastAsia" w:ascii="宋体" w:hAnsi="宋体" w:cs="宋体"/>
                <w:bCs/>
                <w:color w:val="auto"/>
                <w:sz w:val="22"/>
                <w:szCs w:val="22"/>
                <w:lang w:eastAsia="zh-CN"/>
              </w:rPr>
            </w:pPr>
            <w:r>
              <w:rPr>
                <w:rFonts w:hint="eastAsia" w:ascii="宋体" w:hAnsi="宋体" w:cs="宋体"/>
                <w:bCs/>
                <w:color w:val="auto"/>
                <w:sz w:val="22"/>
                <w:szCs w:val="22"/>
                <w:lang w:eastAsia="zh-CN"/>
              </w:rPr>
              <w:t>只能有一个有效报价</w:t>
            </w:r>
          </w:p>
        </w:tc>
      </w:tr>
      <w:tr w14:paraId="1A4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14:paraId="764328A5">
            <w:pPr>
              <w:rPr>
                <w:rFonts w:ascii="宋体" w:hAnsi="宋体" w:cs="宋体"/>
                <w:color w:val="auto"/>
                <w:sz w:val="22"/>
                <w:szCs w:val="22"/>
              </w:rPr>
            </w:pPr>
          </w:p>
        </w:tc>
        <w:tc>
          <w:tcPr>
            <w:tcW w:w="1060" w:type="dxa"/>
            <w:vMerge w:val="restart"/>
            <w:tcBorders>
              <w:left w:val="single" w:color="auto" w:sz="4" w:space="0"/>
              <w:right w:val="single" w:color="auto" w:sz="4" w:space="0"/>
            </w:tcBorders>
            <w:vAlign w:val="center"/>
          </w:tcPr>
          <w:p w14:paraId="7C99352C">
            <w:pPr>
              <w:widowControl/>
              <w:adjustRightInd w:val="0"/>
              <w:snapToGrid w:val="0"/>
              <w:spacing w:line="400" w:lineRule="exact"/>
              <w:jc w:val="center"/>
              <w:rPr>
                <w:rFonts w:hint="eastAsia" w:ascii="宋体" w:hAnsi="宋体" w:cs="宋体"/>
                <w:bCs/>
                <w:color w:val="auto"/>
                <w:sz w:val="22"/>
                <w:szCs w:val="22"/>
                <w:lang w:eastAsia="zh-CN"/>
              </w:rPr>
            </w:pPr>
            <w:r>
              <w:rPr>
                <w:rFonts w:hint="eastAsia" w:ascii="宋体" w:hAnsi="宋体" w:cs="宋体"/>
                <w:bCs/>
                <w:color w:val="auto"/>
                <w:sz w:val="22"/>
                <w:szCs w:val="22"/>
                <w:lang w:eastAsia="zh-CN"/>
              </w:rPr>
              <w:t>响应性审查标准</w:t>
            </w:r>
          </w:p>
        </w:tc>
        <w:tc>
          <w:tcPr>
            <w:tcW w:w="2262" w:type="dxa"/>
            <w:tcBorders>
              <w:top w:val="single" w:color="auto" w:sz="4" w:space="0"/>
              <w:left w:val="single" w:color="auto" w:sz="4" w:space="0"/>
              <w:bottom w:val="single" w:color="auto" w:sz="4" w:space="0"/>
              <w:right w:val="single" w:color="auto" w:sz="4" w:space="0"/>
            </w:tcBorders>
            <w:vAlign w:val="center"/>
          </w:tcPr>
          <w:p w14:paraId="1C736245">
            <w:pPr>
              <w:widowControl/>
              <w:adjustRightInd w:val="0"/>
              <w:snapToGrid w:val="0"/>
              <w:spacing w:line="400" w:lineRule="exact"/>
              <w:jc w:val="center"/>
              <w:rPr>
                <w:rFonts w:hint="eastAsia" w:ascii="宋体" w:hAnsi="宋体" w:cs="宋体"/>
                <w:bCs/>
                <w:color w:val="auto"/>
                <w:sz w:val="22"/>
                <w:szCs w:val="22"/>
              </w:rPr>
            </w:pPr>
            <w:r>
              <w:rPr>
                <w:rFonts w:hint="eastAsia" w:ascii="宋体" w:hAnsi="宋体" w:cs="宋体"/>
                <w:bCs/>
                <w:color w:val="auto"/>
                <w:sz w:val="22"/>
                <w:szCs w:val="22"/>
                <w:lang w:val="en-US" w:eastAsia="zh-CN"/>
              </w:rPr>
              <w:t>投标</w:t>
            </w:r>
            <w:r>
              <w:rPr>
                <w:rFonts w:hint="eastAsia" w:ascii="宋体" w:hAnsi="宋体" w:cs="宋体"/>
                <w:bCs/>
                <w:color w:val="auto"/>
                <w:sz w:val="22"/>
                <w:szCs w:val="22"/>
              </w:rPr>
              <w:t>内容</w:t>
            </w:r>
          </w:p>
        </w:tc>
        <w:tc>
          <w:tcPr>
            <w:tcW w:w="5542" w:type="dxa"/>
            <w:tcBorders>
              <w:top w:val="single" w:color="auto" w:sz="4" w:space="0"/>
              <w:left w:val="single" w:color="auto" w:sz="4" w:space="0"/>
              <w:bottom w:val="single" w:color="auto" w:sz="4" w:space="0"/>
              <w:right w:val="single" w:color="auto" w:sz="4" w:space="0"/>
            </w:tcBorders>
            <w:vAlign w:val="center"/>
          </w:tcPr>
          <w:p w14:paraId="104C71AE">
            <w:pPr>
              <w:widowControl/>
              <w:adjustRightInd w:val="0"/>
              <w:snapToGrid w:val="0"/>
              <w:spacing w:line="400" w:lineRule="exact"/>
              <w:rPr>
                <w:rFonts w:hint="eastAsia" w:ascii="宋体" w:hAnsi="宋体" w:cs="宋体"/>
                <w:bCs/>
                <w:color w:val="auto"/>
                <w:sz w:val="22"/>
                <w:szCs w:val="22"/>
              </w:rPr>
            </w:pPr>
            <w:r>
              <w:rPr>
                <w:rFonts w:hint="eastAsia" w:ascii="宋体" w:hAnsi="宋体" w:cs="宋体"/>
                <w:bCs/>
                <w:color w:val="auto"/>
                <w:sz w:val="22"/>
                <w:szCs w:val="22"/>
              </w:rPr>
              <w:t>符合第二章“供应商须知”规定</w:t>
            </w:r>
          </w:p>
        </w:tc>
      </w:tr>
      <w:tr w14:paraId="6E77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74" w:type="dxa"/>
            <w:vMerge w:val="continue"/>
            <w:tcBorders>
              <w:left w:val="single" w:color="auto" w:sz="4" w:space="0"/>
              <w:right w:val="single" w:color="auto" w:sz="4" w:space="0"/>
            </w:tcBorders>
            <w:vAlign w:val="center"/>
          </w:tcPr>
          <w:p w14:paraId="0DAA421F">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70CD62D4">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6AB4CC1F">
            <w:pPr>
              <w:widowControl/>
              <w:adjustRightInd w:val="0"/>
              <w:snapToGrid w:val="0"/>
              <w:spacing w:line="400" w:lineRule="exact"/>
              <w:jc w:val="center"/>
              <w:rPr>
                <w:rFonts w:ascii="宋体" w:hAnsi="宋体" w:cs="宋体"/>
                <w:color w:val="auto"/>
                <w:sz w:val="22"/>
                <w:szCs w:val="22"/>
              </w:rPr>
            </w:pPr>
            <w:r>
              <w:rPr>
                <w:rFonts w:hint="eastAsia" w:ascii="宋体" w:hAnsi="宋体" w:cs="宋体"/>
                <w:color w:val="auto"/>
                <w:sz w:val="22"/>
                <w:szCs w:val="22"/>
                <w:lang w:eastAsia="zh-CN"/>
              </w:rPr>
              <w:t>供货</w:t>
            </w:r>
            <w:r>
              <w:rPr>
                <w:rFonts w:hint="eastAsia" w:ascii="宋体" w:hAnsi="宋体" w:cs="宋体"/>
                <w:color w:val="auto"/>
                <w:sz w:val="22"/>
                <w:szCs w:val="22"/>
                <w:lang w:val="en-US" w:eastAsia="zh-CN"/>
              </w:rPr>
              <w:t>周</w:t>
            </w:r>
            <w:r>
              <w:rPr>
                <w:rFonts w:hint="eastAsia" w:ascii="宋体" w:hAnsi="宋体" w:cs="宋体"/>
                <w:color w:val="auto"/>
                <w:sz w:val="22"/>
                <w:szCs w:val="22"/>
              </w:rPr>
              <w:t>期</w:t>
            </w:r>
          </w:p>
        </w:tc>
        <w:tc>
          <w:tcPr>
            <w:tcW w:w="5542" w:type="dxa"/>
            <w:tcBorders>
              <w:top w:val="single" w:color="auto" w:sz="4" w:space="0"/>
              <w:left w:val="single" w:color="auto" w:sz="4" w:space="0"/>
              <w:bottom w:val="single" w:color="auto" w:sz="4" w:space="0"/>
              <w:right w:val="single" w:color="auto" w:sz="4" w:space="0"/>
            </w:tcBorders>
            <w:vAlign w:val="center"/>
          </w:tcPr>
          <w:p w14:paraId="4003A7D9">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符合第二章“供应商须知”规定</w:t>
            </w:r>
          </w:p>
        </w:tc>
      </w:tr>
      <w:tr w14:paraId="785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14:paraId="29011027">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3715714F">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26F0C5C0">
            <w:pPr>
              <w:widowControl/>
              <w:adjustRightInd w:val="0"/>
              <w:snapToGrid w:val="0"/>
              <w:spacing w:line="400" w:lineRule="exact"/>
              <w:jc w:val="center"/>
              <w:rPr>
                <w:rFonts w:ascii="宋体" w:hAnsi="宋体" w:cs="宋体"/>
                <w:color w:val="auto"/>
                <w:sz w:val="22"/>
                <w:szCs w:val="22"/>
              </w:rPr>
            </w:pPr>
            <w:r>
              <w:rPr>
                <w:rFonts w:hint="eastAsia" w:asciiTheme="minorEastAsia" w:hAnsiTheme="minorEastAsia" w:eastAsiaTheme="minorEastAsia"/>
                <w:color w:val="auto"/>
                <w:sz w:val="22"/>
                <w:szCs w:val="22"/>
                <w:lang w:eastAsia="zh-CN"/>
              </w:rPr>
              <w:t>交货地点</w:t>
            </w:r>
          </w:p>
        </w:tc>
        <w:tc>
          <w:tcPr>
            <w:tcW w:w="5542" w:type="dxa"/>
            <w:tcBorders>
              <w:top w:val="single" w:color="auto" w:sz="4" w:space="0"/>
              <w:left w:val="single" w:color="auto" w:sz="4" w:space="0"/>
              <w:bottom w:val="single" w:color="auto" w:sz="4" w:space="0"/>
              <w:right w:val="single" w:color="auto" w:sz="4" w:space="0"/>
            </w:tcBorders>
            <w:vAlign w:val="center"/>
          </w:tcPr>
          <w:p w14:paraId="36C78552">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符合第二章“供应商须知”规定</w:t>
            </w:r>
          </w:p>
        </w:tc>
      </w:tr>
      <w:tr w14:paraId="79C6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14:paraId="1E5FBC34">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4495ACB1">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5FB9F461">
            <w:pPr>
              <w:widowControl/>
              <w:adjustRightInd w:val="0"/>
              <w:snapToGrid w:val="0"/>
              <w:spacing w:line="400" w:lineRule="exact"/>
              <w:jc w:val="center"/>
              <w:rPr>
                <w:rFonts w:ascii="宋体" w:hAnsi="宋体" w:eastAsia="宋体" w:cs="宋体"/>
                <w:color w:val="auto"/>
                <w:kern w:val="2"/>
                <w:sz w:val="22"/>
                <w:szCs w:val="22"/>
                <w:lang w:val="en-US" w:eastAsia="zh-CN" w:bidi="ar-SA"/>
              </w:rPr>
            </w:pPr>
            <w:r>
              <w:rPr>
                <w:rFonts w:ascii="宋体" w:hAnsi="宋体" w:cs="宋体"/>
                <w:bCs/>
                <w:color w:val="auto"/>
                <w:sz w:val="22"/>
                <w:szCs w:val="22"/>
              </w:rPr>
              <w:t>质量</w:t>
            </w:r>
            <w:r>
              <w:rPr>
                <w:rFonts w:hint="eastAsia" w:ascii="宋体" w:hAnsi="宋体" w:cs="宋体"/>
                <w:bCs/>
                <w:color w:val="auto"/>
                <w:sz w:val="22"/>
                <w:szCs w:val="22"/>
              </w:rPr>
              <w:t>要求</w:t>
            </w:r>
          </w:p>
        </w:tc>
        <w:tc>
          <w:tcPr>
            <w:tcW w:w="5542" w:type="dxa"/>
            <w:tcBorders>
              <w:top w:val="single" w:color="auto" w:sz="4" w:space="0"/>
              <w:left w:val="single" w:color="auto" w:sz="4" w:space="0"/>
              <w:bottom w:val="single" w:color="auto" w:sz="4" w:space="0"/>
              <w:right w:val="single" w:color="auto" w:sz="4" w:space="0"/>
            </w:tcBorders>
            <w:vAlign w:val="center"/>
          </w:tcPr>
          <w:p w14:paraId="4EB374FB">
            <w:pPr>
              <w:widowControl/>
              <w:adjustRightInd w:val="0"/>
              <w:snapToGrid w:val="0"/>
              <w:spacing w:line="400" w:lineRule="exact"/>
              <w:rPr>
                <w:rFonts w:hint="eastAsia" w:ascii="宋体" w:hAnsi="宋体" w:eastAsia="宋体" w:cs="宋体"/>
                <w:color w:val="auto"/>
                <w:kern w:val="2"/>
                <w:sz w:val="22"/>
                <w:szCs w:val="22"/>
                <w:lang w:val="en-US" w:eastAsia="zh-CN" w:bidi="ar-SA"/>
              </w:rPr>
            </w:pPr>
            <w:r>
              <w:rPr>
                <w:rFonts w:hint="eastAsia" w:ascii="宋体" w:hAnsi="宋体" w:cs="宋体"/>
                <w:bCs/>
                <w:color w:val="auto"/>
                <w:sz w:val="22"/>
                <w:szCs w:val="22"/>
              </w:rPr>
              <w:t>符合第二章“供应商须知”规定</w:t>
            </w:r>
          </w:p>
        </w:tc>
      </w:tr>
      <w:tr w14:paraId="3AA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4" w:type="dxa"/>
            <w:vMerge w:val="continue"/>
            <w:tcBorders>
              <w:left w:val="single" w:color="auto" w:sz="4" w:space="0"/>
              <w:right w:val="single" w:color="auto" w:sz="4" w:space="0"/>
            </w:tcBorders>
            <w:vAlign w:val="center"/>
          </w:tcPr>
          <w:p w14:paraId="487D72B2">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30F77E9B">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3CF0A67D">
            <w:pPr>
              <w:widowControl/>
              <w:adjustRightInd w:val="0"/>
              <w:snapToGrid w:val="0"/>
              <w:spacing w:line="400" w:lineRule="exact"/>
              <w:jc w:val="center"/>
              <w:rPr>
                <w:rFonts w:ascii="宋体" w:hAnsi="宋体" w:cs="宋体"/>
                <w:color w:val="auto"/>
                <w:sz w:val="22"/>
                <w:szCs w:val="22"/>
              </w:rPr>
            </w:pPr>
            <w:r>
              <w:rPr>
                <w:rFonts w:hint="eastAsia" w:ascii="宋体" w:hAnsi="宋体" w:cs="宋体"/>
                <w:bCs/>
                <w:color w:val="auto"/>
                <w:sz w:val="22"/>
                <w:szCs w:val="22"/>
              </w:rPr>
              <w:t>投标</w:t>
            </w:r>
            <w:r>
              <w:rPr>
                <w:rFonts w:ascii="宋体" w:hAnsi="宋体" w:cs="宋体"/>
                <w:bCs/>
                <w:color w:val="auto"/>
                <w:sz w:val="22"/>
                <w:szCs w:val="22"/>
              </w:rPr>
              <w:t>有效期</w:t>
            </w:r>
          </w:p>
        </w:tc>
        <w:tc>
          <w:tcPr>
            <w:tcW w:w="5542" w:type="dxa"/>
            <w:tcBorders>
              <w:top w:val="single" w:color="auto" w:sz="4" w:space="0"/>
              <w:left w:val="single" w:color="auto" w:sz="4" w:space="0"/>
              <w:bottom w:val="single" w:color="auto" w:sz="4" w:space="0"/>
              <w:right w:val="single" w:color="auto" w:sz="4" w:space="0"/>
            </w:tcBorders>
            <w:vAlign w:val="center"/>
          </w:tcPr>
          <w:p w14:paraId="6BBF74BD">
            <w:pPr>
              <w:widowControl/>
              <w:adjustRightInd w:val="0"/>
              <w:snapToGrid w:val="0"/>
              <w:spacing w:line="400" w:lineRule="exact"/>
              <w:rPr>
                <w:rFonts w:ascii="宋体" w:hAnsi="宋体" w:cs="宋体"/>
                <w:color w:val="auto"/>
                <w:sz w:val="22"/>
                <w:szCs w:val="22"/>
              </w:rPr>
            </w:pPr>
            <w:r>
              <w:rPr>
                <w:rFonts w:hint="eastAsia" w:ascii="宋体" w:hAnsi="宋体" w:cs="宋体"/>
                <w:bCs/>
                <w:color w:val="auto"/>
                <w:sz w:val="22"/>
                <w:szCs w:val="22"/>
              </w:rPr>
              <w:t>符合第二章“供应商须知”规定</w:t>
            </w:r>
          </w:p>
        </w:tc>
      </w:tr>
      <w:tr w14:paraId="07D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vMerge w:val="continue"/>
            <w:tcBorders>
              <w:left w:val="single" w:color="auto" w:sz="4" w:space="0"/>
              <w:right w:val="single" w:color="auto" w:sz="4" w:space="0"/>
            </w:tcBorders>
            <w:vAlign w:val="center"/>
          </w:tcPr>
          <w:p w14:paraId="1DFDEE9D">
            <w:pPr>
              <w:rPr>
                <w:rFonts w:ascii="宋体" w:hAnsi="宋体" w:cs="宋体"/>
                <w:color w:val="auto"/>
                <w:sz w:val="22"/>
                <w:szCs w:val="22"/>
              </w:rPr>
            </w:pPr>
          </w:p>
        </w:tc>
        <w:tc>
          <w:tcPr>
            <w:tcW w:w="1060" w:type="dxa"/>
            <w:vMerge w:val="continue"/>
            <w:tcBorders>
              <w:left w:val="single" w:color="auto" w:sz="4" w:space="0"/>
              <w:right w:val="single" w:color="auto" w:sz="4" w:space="0"/>
            </w:tcBorders>
            <w:vAlign w:val="center"/>
          </w:tcPr>
          <w:p w14:paraId="39AE9FB9">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2AE38E7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kern w:val="2"/>
                <w:sz w:val="22"/>
                <w:szCs w:val="22"/>
                <w:lang w:val="en-US" w:eastAsia="zh-CN" w:bidi="ar-SA"/>
              </w:rPr>
            </w:pPr>
            <w:r>
              <w:rPr>
                <w:rFonts w:hint="eastAsia" w:ascii="宋体" w:hAnsi="宋体" w:cs="宋体"/>
                <w:bCs/>
                <w:color w:val="auto"/>
                <w:sz w:val="22"/>
                <w:szCs w:val="22"/>
                <w:lang w:val="en-US" w:eastAsia="zh-CN"/>
              </w:rPr>
              <w:t>投标承诺函</w:t>
            </w:r>
          </w:p>
        </w:tc>
        <w:tc>
          <w:tcPr>
            <w:tcW w:w="5542" w:type="dxa"/>
            <w:tcBorders>
              <w:top w:val="single" w:color="auto" w:sz="4" w:space="0"/>
              <w:left w:val="single" w:color="auto" w:sz="4" w:space="0"/>
              <w:bottom w:val="single" w:color="auto" w:sz="4" w:space="0"/>
              <w:right w:val="single" w:color="auto" w:sz="4" w:space="0"/>
            </w:tcBorders>
            <w:vAlign w:val="center"/>
          </w:tcPr>
          <w:p w14:paraId="2581349E">
            <w:pPr>
              <w:widowControl/>
              <w:adjustRightInd w:val="0"/>
              <w:snapToGrid w:val="0"/>
              <w:spacing w:line="400" w:lineRule="exact"/>
              <w:rPr>
                <w:rFonts w:hint="eastAsia" w:ascii="宋体" w:hAnsi="宋体" w:eastAsia="宋体" w:cs="宋体"/>
                <w:color w:val="auto"/>
                <w:kern w:val="2"/>
                <w:sz w:val="22"/>
                <w:szCs w:val="22"/>
                <w:lang w:val="en-US" w:eastAsia="zh-CN" w:bidi="ar-SA"/>
              </w:rPr>
            </w:pPr>
            <w:r>
              <w:rPr>
                <w:rFonts w:hint="eastAsia" w:ascii="宋体" w:hAnsi="宋体" w:cs="宋体"/>
                <w:bCs/>
                <w:color w:val="auto"/>
                <w:sz w:val="22"/>
                <w:szCs w:val="22"/>
                <w:lang w:eastAsia="zh-CN"/>
              </w:rPr>
              <w:t>按照</w:t>
            </w:r>
            <w:r>
              <w:rPr>
                <w:rFonts w:hint="eastAsia" w:ascii="宋体" w:hAnsi="宋体" w:cs="宋体"/>
                <w:bCs/>
                <w:color w:val="auto"/>
                <w:sz w:val="22"/>
                <w:szCs w:val="22"/>
              </w:rPr>
              <w:t>招标文件</w:t>
            </w:r>
            <w:r>
              <w:rPr>
                <w:rFonts w:hint="eastAsia" w:ascii="宋体" w:hAnsi="宋体" w:cs="宋体"/>
                <w:bCs/>
                <w:color w:val="auto"/>
                <w:sz w:val="22"/>
                <w:szCs w:val="22"/>
                <w:lang w:eastAsia="zh-CN"/>
              </w:rPr>
              <w:t>要求</w:t>
            </w:r>
            <w:r>
              <w:rPr>
                <w:rFonts w:hint="eastAsia" w:ascii="宋体" w:hAnsi="宋体" w:cs="宋体"/>
                <w:bCs/>
                <w:color w:val="auto"/>
                <w:sz w:val="22"/>
                <w:szCs w:val="22"/>
              </w:rPr>
              <w:t>的</w:t>
            </w:r>
            <w:r>
              <w:rPr>
                <w:rFonts w:hint="eastAsia" w:ascii="宋体" w:hAnsi="宋体" w:cs="宋体"/>
                <w:bCs/>
                <w:color w:val="auto"/>
                <w:sz w:val="22"/>
                <w:szCs w:val="22"/>
                <w:lang w:eastAsia="zh-CN"/>
              </w:rPr>
              <w:t>提供投标承诺函</w:t>
            </w:r>
          </w:p>
        </w:tc>
      </w:tr>
      <w:tr w14:paraId="0873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974" w:type="dxa"/>
            <w:vMerge w:val="continue"/>
            <w:tcBorders>
              <w:left w:val="single" w:color="auto" w:sz="4" w:space="0"/>
              <w:bottom w:val="single" w:color="auto" w:sz="4" w:space="0"/>
              <w:right w:val="single" w:color="auto" w:sz="4" w:space="0"/>
            </w:tcBorders>
            <w:vAlign w:val="center"/>
          </w:tcPr>
          <w:p w14:paraId="0BAD7BD7">
            <w:pPr>
              <w:rPr>
                <w:rFonts w:ascii="宋体" w:hAnsi="宋体" w:cs="宋体"/>
                <w:color w:val="auto"/>
                <w:sz w:val="22"/>
                <w:szCs w:val="22"/>
              </w:rPr>
            </w:pPr>
          </w:p>
        </w:tc>
        <w:tc>
          <w:tcPr>
            <w:tcW w:w="1060" w:type="dxa"/>
            <w:vMerge w:val="continue"/>
            <w:tcBorders>
              <w:left w:val="single" w:color="auto" w:sz="4" w:space="0"/>
              <w:bottom w:val="single" w:color="auto" w:sz="4" w:space="0"/>
              <w:right w:val="single" w:color="auto" w:sz="4" w:space="0"/>
            </w:tcBorders>
            <w:vAlign w:val="center"/>
          </w:tcPr>
          <w:p w14:paraId="43353828">
            <w:pPr>
              <w:rPr>
                <w:rFonts w:ascii="宋体" w:hAnsi="宋体" w:cs="宋体"/>
                <w:color w:val="auto"/>
                <w:sz w:val="22"/>
                <w:szCs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6CDABD22">
            <w:pPr>
              <w:widowControl/>
              <w:adjustRightInd w:val="0"/>
              <w:snapToGrid w:val="0"/>
              <w:spacing w:line="400" w:lineRule="exact"/>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其他要求</w:t>
            </w:r>
          </w:p>
        </w:tc>
        <w:tc>
          <w:tcPr>
            <w:tcW w:w="5542" w:type="dxa"/>
            <w:tcBorders>
              <w:top w:val="single" w:color="auto" w:sz="4" w:space="0"/>
              <w:left w:val="single" w:color="auto" w:sz="4" w:space="0"/>
              <w:bottom w:val="single" w:color="auto" w:sz="4" w:space="0"/>
              <w:right w:val="single" w:color="auto" w:sz="4" w:space="0"/>
            </w:tcBorders>
            <w:vAlign w:val="center"/>
          </w:tcPr>
          <w:p w14:paraId="776EA61F">
            <w:pPr>
              <w:widowControl/>
              <w:adjustRightInd w:val="0"/>
              <w:snapToGrid w:val="0"/>
              <w:spacing w:line="400" w:lineRule="exact"/>
              <w:rPr>
                <w:rFonts w:hint="default" w:ascii="宋体" w:hAnsi="宋体" w:eastAsia="宋体" w:cs="宋体"/>
                <w:color w:val="auto"/>
                <w:sz w:val="22"/>
                <w:szCs w:val="22"/>
                <w:lang w:val="en-US" w:eastAsia="zh-CN"/>
              </w:rPr>
            </w:pPr>
            <w:r>
              <w:rPr>
                <w:rFonts w:hint="eastAsia" w:ascii="宋体" w:hAnsi="宋体" w:cs="宋体"/>
                <w:bCs/>
                <w:color w:val="auto"/>
                <w:sz w:val="22"/>
                <w:szCs w:val="22"/>
                <w:lang w:val="en-US" w:eastAsia="zh-CN"/>
              </w:rPr>
              <w:t>满足招标文件其他要求</w:t>
            </w:r>
          </w:p>
        </w:tc>
      </w:tr>
    </w:tbl>
    <w:p w14:paraId="376B2EDC">
      <w:pPr>
        <w:spacing w:line="360" w:lineRule="auto"/>
        <w:jc w:val="both"/>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pPr>
    </w:p>
    <w:p w14:paraId="44AF0EAD">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kern w:val="0"/>
          <w:sz w:val="24"/>
          <w:szCs w:val="24"/>
          <w:highlight w:val="none"/>
          <w14:textFill>
            <w14:solidFill>
              <w14:schemeClr w14:val="tx1"/>
            </w14:solidFill>
          </w14:textFill>
        </w:rPr>
        <w:t>详细评审标准</w:t>
      </w:r>
    </w:p>
    <w:p w14:paraId="4598D309">
      <w:pPr>
        <w:spacing w:line="480" w:lineRule="exact"/>
        <w:jc w:val="both"/>
        <w:outlineLvl w:val="0"/>
        <w:rPr>
          <w:rFonts w:hint="eastAsia" w:ascii="宋体" w:hAnsi="宋体" w:eastAsia="宋体" w:cs="宋体"/>
          <w:b/>
          <w:color w:val="000000" w:themeColor="text1"/>
          <w:sz w:val="24"/>
          <w:szCs w:val="24"/>
          <w:highlight w:val="none"/>
          <w14:textFill>
            <w14:solidFill>
              <w14:schemeClr w14:val="tx1"/>
            </w14:solidFill>
          </w14:textFill>
        </w:rPr>
      </w:pPr>
    </w:p>
    <w:tbl>
      <w:tblPr>
        <w:tblStyle w:val="40"/>
        <w:tblpPr w:leftFromText="180" w:rightFromText="180" w:vertAnchor="text" w:horzAnchor="page" w:tblpX="1608" w:tblpY="33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37"/>
        <w:gridCol w:w="6086"/>
      </w:tblGrid>
      <w:tr w14:paraId="57B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55" w:type="dxa"/>
            <w:vAlign w:val="center"/>
          </w:tcPr>
          <w:p w14:paraId="407924A2">
            <w:pPr>
              <w:spacing w:line="288" w:lineRule="auto"/>
              <w:jc w:val="center"/>
              <w:rPr>
                <w:rFonts w:ascii="宋体" w:hAnsi="宋体" w:cs="宋体"/>
                <w:b/>
                <w:color w:val="auto"/>
                <w:sz w:val="22"/>
                <w:szCs w:val="22"/>
              </w:rPr>
            </w:pPr>
            <w:r>
              <w:rPr>
                <w:rFonts w:hint="eastAsia" w:ascii="宋体" w:hAnsi="宋体" w:cs="宋体"/>
                <w:b/>
                <w:color w:val="auto"/>
                <w:sz w:val="22"/>
                <w:szCs w:val="22"/>
              </w:rPr>
              <w:t>条款号</w:t>
            </w:r>
          </w:p>
        </w:tc>
        <w:tc>
          <w:tcPr>
            <w:tcW w:w="1537" w:type="dxa"/>
            <w:vAlign w:val="center"/>
          </w:tcPr>
          <w:p w14:paraId="65EB5DCB">
            <w:pPr>
              <w:spacing w:line="288" w:lineRule="auto"/>
              <w:rPr>
                <w:rFonts w:ascii="宋体" w:hAnsi="宋体" w:cs="宋体"/>
                <w:b/>
                <w:color w:val="auto"/>
                <w:sz w:val="22"/>
                <w:szCs w:val="22"/>
              </w:rPr>
            </w:pPr>
            <w:r>
              <w:rPr>
                <w:rFonts w:hint="eastAsia" w:ascii="宋体" w:hAnsi="宋体" w:cs="宋体"/>
                <w:b/>
                <w:color w:val="auto"/>
                <w:sz w:val="22"/>
                <w:szCs w:val="22"/>
              </w:rPr>
              <w:t>评分因素</w:t>
            </w:r>
          </w:p>
        </w:tc>
        <w:tc>
          <w:tcPr>
            <w:tcW w:w="6086" w:type="dxa"/>
            <w:vAlign w:val="center"/>
          </w:tcPr>
          <w:p w14:paraId="5B1A7FFA">
            <w:pPr>
              <w:spacing w:line="288" w:lineRule="auto"/>
              <w:jc w:val="center"/>
              <w:rPr>
                <w:rFonts w:ascii="宋体" w:hAnsi="宋体" w:cs="宋体"/>
                <w:b/>
                <w:color w:val="auto"/>
                <w:sz w:val="22"/>
                <w:szCs w:val="22"/>
              </w:rPr>
            </w:pPr>
            <w:r>
              <w:rPr>
                <w:rFonts w:hint="eastAsia" w:ascii="宋体" w:hAnsi="宋体" w:cs="宋体"/>
                <w:b/>
                <w:color w:val="auto"/>
                <w:sz w:val="22"/>
                <w:szCs w:val="22"/>
              </w:rPr>
              <w:t>评分标准</w:t>
            </w:r>
          </w:p>
        </w:tc>
      </w:tr>
      <w:tr w14:paraId="0454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55" w:type="dxa"/>
            <w:vAlign w:val="center"/>
          </w:tcPr>
          <w:p w14:paraId="720A8480">
            <w:pPr>
              <w:spacing w:line="288" w:lineRule="auto"/>
              <w:jc w:val="center"/>
              <w:rPr>
                <w:rFonts w:hint="default" w:ascii="宋体" w:hAnsi="宋体" w:eastAsia="宋体" w:cs="宋体"/>
                <w:b/>
                <w:color w:val="auto"/>
                <w:sz w:val="22"/>
                <w:szCs w:val="22"/>
                <w:lang w:val="en-US" w:eastAsia="zh-CN"/>
              </w:rPr>
            </w:pPr>
            <w:r>
              <w:rPr>
                <w:rFonts w:hint="eastAsia" w:ascii="宋体" w:hAnsi="宋体" w:cs="宋体"/>
                <w:b/>
                <w:color w:val="auto"/>
                <w:sz w:val="22"/>
                <w:szCs w:val="22"/>
                <w:lang w:val="en-US" w:eastAsia="zh-CN"/>
              </w:rPr>
              <w:t>2.2</w:t>
            </w:r>
          </w:p>
        </w:tc>
        <w:tc>
          <w:tcPr>
            <w:tcW w:w="1537" w:type="dxa"/>
            <w:vAlign w:val="center"/>
          </w:tcPr>
          <w:p w14:paraId="0D8CE181">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rPr>
            </w:pPr>
            <w:r>
              <w:rPr>
                <w:rFonts w:hint="eastAsia" w:ascii="宋体" w:hAnsi="宋体" w:eastAsia="宋体" w:cs="宋体"/>
                <w:bCs/>
                <w:kern w:val="2"/>
                <w:sz w:val="24"/>
                <w:szCs w:val="24"/>
              </w:rPr>
              <w:t>分值构成（总分100分）</w:t>
            </w:r>
          </w:p>
        </w:tc>
        <w:tc>
          <w:tcPr>
            <w:tcW w:w="6086" w:type="dxa"/>
            <w:vAlign w:val="center"/>
          </w:tcPr>
          <w:p w14:paraId="77C3430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报价得分：30分</w:t>
            </w:r>
          </w:p>
          <w:p w14:paraId="66C04597">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综合</w:t>
            </w:r>
            <w:r>
              <w:rPr>
                <w:rFonts w:hint="eastAsia" w:ascii="宋体" w:hAnsi="宋体" w:eastAsia="宋体" w:cs="宋体"/>
                <w:bCs/>
                <w:kern w:val="2"/>
                <w:sz w:val="24"/>
                <w:szCs w:val="24"/>
              </w:rPr>
              <w:t>标评审：</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分</w:t>
            </w:r>
          </w:p>
          <w:p w14:paraId="3A75B3B3">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rPr>
            </w:pPr>
            <w:r>
              <w:rPr>
                <w:rFonts w:hint="eastAsia" w:ascii="宋体" w:hAnsi="宋体" w:eastAsia="宋体" w:cs="宋体"/>
                <w:bCs/>
                <w:kern w:val="2"/>
                <w:sz w:val="24"/>
                <w:szCs w:val="24"/>
              </w:rPr>
              <w:t>技术标评审：</w:t>
            </w:r>
            <w:r>
              <w:rPr>
                <w:rFonts w:hint="eastAsia" w:ascii="宋体" w:hAnsi="宋体" w:eastAsia="宋体" w:cs="宋体"/>
                <w:bCs/>
                <w:kern w:val="2"/>
                <w:sz w:val="24"/>
                <w:szCs w:val="24"/>
                <w:lang w:val="en-US" w:eastAsia="zh-CN"/>
              </w:rPr>
              <w:t>50</w:t>
            </w:r>
            <w:r>
              <w:rPr>
                <w:rFonts w:hint="eastAsia" w:ascii="宋体" w:hAnsi="宋体" w:eastAsia="宋体" w:cs="宋体"/>
                <w:bCs/>
                <w:kern w:val="2"/>
                <w:sz w:val="24"/>
                <w:szCs w:val="24"/>
              </w:rPr>
              <w:t>分</w:t>
            </w:r>
          </w:p>
        </w:tc>
      </w:tr>
      <w:tr w14:paraId="2549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092" w:type="dxa"/>
            <w:gridSpan w:val="2"/>
            <w:vAlign w:val="center"/>
          </w:tcPr>
          <w:p w14:paraId="481D19AF">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招标采购预算</w:t>
            </w:r>
          </w:p>
        </w:tc>
        <w:tc>
          <w:tcPr>
            <w:tcW w:w="6086" w:type="dxa"/>
            <w:vAlign w:val="center"/>
          </w:tcPr>
          <w:p w14:paraId="7A1480B1">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本项目设招标采购预算，</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的投标总报价超出采购预算的采购人不予接受且按无效标处理。</w:t>
            </w:r>
          </w:p>
        </w:tc>
      </w:tr>
      <w:tr w14:paraId="1D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55" w:type="dxa"/>
            <w:vAlign w:val="center"/>
          </w:tcPr>
          <w:p w14:paraId="6237422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评审项</w:t>
            </w:r>
          </w:p>
        </w:tc>
        <w:tc>
          <w:tcPr>
            <w:tcW w:w="1537" w:type="dxa"/>
            <w:vAlign w:val="center"/>
          </w:tcPr>
          <w:p w14:paraId="37A9E71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编列内容</w:t>
            </w:r>
          </w:p>
        </w:tc>
        <w:tc>
          <w:tcPr>
            <w:tcW w:w="6086" w:type="dxa"/>
            <w:vAlign w:val="center"/>
          </w:tcPr>
          <w:p w14:paraId="29695C6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评审方法</w:t>
            </w:r>
          </w:p>
        </w:tc>
      </w:tr>
      <w:tr w14:paraId="32ED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55" w:type="dxa"/>
            <w:vAlign w:val="center"/>
          </w:tcPr>
          <w:p w14:paraId="3E49790A">
            <w:pPr>
              <w:widowControl/>
              <w:wordWrap/>
              <w:adjustRightInd w:val="0"/>
              <w:snapToGrid w:val="0"/>
              <w:spacing w:before="0" w:beforeLines="0" w:beforeAutospacing="0" w:afterAutospacing="0" w:line="360" w:lineRule="auto"/>
              <w:ind w:left="0" w:leftChars="0" w:right="0" w:rightChars="0"/>
              <w:jc w:val="center"/>
              <w:textAlignment w:val="auto"/>
              <w:rPr>
                <w:rFonts w:hint="eastAsia" w:ascii="宋体" w:hAnsi="宋体" w:cs="宋体"/>
                <w:color w:val="auto"/>
                <w:sz w:val="22"/>
                <w:szCs w:val="22"/>
              </w:rPr>
            </w:pPr>
            <w:r>
              <w:rPr>
                <w:rFonts w:hint="eastAsia" w:ascii="宋体" w:hAnsi="宋体" w:eastAsia="宋体" w:cs="宋体"/>
                <w:kern w:val="2"/>
                <w:sz w:val="24"/>
                <w:szCs w:val="24"/>
              </w:rPr>
              <w:t>投标报价</w:t>
            </w:r>
          </w:p>
        </w:tc>
        <w:tc>
          <w:tcPr>
            <w:tcW w:w="1537" w:type="dxa"/>
            <w:vAlign w:val="center"/>
          </w:tcPr>
          <w:p w14:paraId="4838E30E">
            <w:pPr>
              <w:widowControl/>
              <w:wordWrap/>
              <w:adjustRightInd w:val="0"/>
              <w:snapToGrid w:val="0"/>
              <w:spacing w:before="0" w:beforeLines="0" w:beforeAutospacing="0" w:afterAutospacing="0" w:line="360" w:lineRule="auto"/>
              <w:ind w:left="0" w:leftChars="0" w:right="0" w:rightChars="0"/>
              <w:jc w:val="center"/>
              <w:textAlignment w:val="auto"/>
              <w:rPr>
                <w:rFonts w:ascii="宋体" w:hAnsi="宋体" w:cs="宋体"/>
                <w:color w:val="auto"/>
                <w:sz w:val="22"/>
                <w:szCs w:val="22"/>
              </w:rPr>
            </w:pPr>
            <w:r>
              <w:rPr>
                <w:rFonts w:hint="eastAsia" w:ascii="宋体" w:hAnsi="宋体" w:eastAsia="宋体" w:cs="宋体"/>
                <w:kern w:val="2"/>
                <w:sz w:val="24"/>
                <w:szCs w:val="24"/>
              </w:rPr>
              <w:t>投标报价（30分）</w:t>
            </w:r>
          </w:p>
        </w:tc>
        <w:tc>
          <w:tcPr>
            <w:tcW w:w="6086" w:type="dxa"/>
            <w:vAlign w:val="center"/>
          </w:tcPr>
          <w:p w14:paraId="351E1E5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价格分应当采用低价优先法计算，即满足招标文件要求且投标价格最低的投标报价为评标基准价，其价格分为满分。其他响应供应商的价格分统一按照下列公式计算：投标报价得分= (评标基准价／投标报价)× 30%×100</w:t>
            </w:r>
          </w:p>
          <w:p w14:paraId="7F65C3C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备注：投标报价得分四舍五入后，小数点后保留两位有效数；</w:t>
            </w:r>
          </w:p>
          <w:p w14:paraId="289C1F65">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1、评审过程中，不得去掉最后报价中的最高报价和最低报价。</w:t>
            </w:r>
          </w:p>
          <w:p w14:paraId="1DF7E635">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2、政府采购政策：</w:t>
            </w:r>
          </w:p>
          <w:p w14:paraId="5FB35FB7">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一）价格扣除：投标人为小微企业的，且所投标的产品为小型和微型企业制造的，则给予该产品报价20%的扣除，用扣除后的价格参与评审。参加投标的小微企业，应当按照《政府采购促进中小企业发展管理办法》的通知（财库〔2020〕46号）的规定提供《中小微企业声明函》（中小企业划型标准详见《关于印发中小企业划型标准规定的通知》工信部联企业〔2011〕300号）。投标人为大型企业的不适用本款规定。投标人为联合体的，联合体各方均应为小微企业，否则不适用本款规定。</w:t>
            </w:r>
          </w:p>
          <w:p w14:paraId="5DFABD4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投标人所提供的本企业生产的产品的价格给予20%的扣除。</w:t>
            </w:r>
          </w:p>
          <w:p w14:paraId="32C6679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所投小微（监狱、残疾人福利）企业产品报价=所投小微（监狱、残疾人福利）企业产品报价合计×20%</w:t>
            </w:r>
          </w:p>
          <w:p w14:paraId="4BCB41C5">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同一投标人（包括联合体），小微企业产品企业产品价格扣除优惠只享受一次，不得重复享受。</w:t>
            </w:r>
          </w:p>
          <w:p w14:paraId="513F3BCF">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注：价格分计算保留小数点后二位。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27A6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555" w:type="dxa"/>
            <w:vMerge w:val="restart"/>
            <w:vAlign w:val="center"/>
          </w:tcPr>
          <w:p w14:paraId="523454AE">
            <w:pPr>
              <w:widowControl/>
              <w:spacing w:before="0" w:beforeLines="0" w:beforeAutospacing="0" w:afterAutospacing="0" w:line="360" w:lineRule="auto"/>
              <w:ind w:left="0" w:right="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综合部分</w:t>
            </w:r>
          </w:p>
          <w:p w14:paraId="66376B58">
            <w:pPr>
              <w:widowControl/>
              <w:spacing w:before="0" w:beforeLines="0" w:beforeAutospacing="0" w:afterAutospacing="0" w:line="360" w:lineRule="auto"/>
              <w:ind w:left="0"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评分标准</w:t>
            </w:r>
          </w:p>
          <w:p w14:paraId="63BA65FA">
            <w:pPr>
              <w:widowControl/>
              <w:spacing w:before="0" w:beforeLines="0" w:beforeAutospacing="0" w:afterAutospacing="0" w:line="360" w:lineRule="auto"/>
              <w:ind w:left="0" w:leftChars="0" w:right="0" w:rightChars="0"/>
              <w:jc w:val="left"/>
              <w:rPr>
                <w:rFonts w:hint="eastAsia" w:ascii="宋体" w:hAnsi="宋体" w:cs="宋体"/>
                <w:color w:val="auto"/>
                <w:kern w:val="0"/>
                <w:sz w:val="22"/>
                <w:szCs w:val="22"/>
              </w:rPr>
            </w:pP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20</w:t>
            </w:r>
            <w:r>
              <w:rPr>
                <w:rFonts w:hint="eastAsia" w:ascii="宋体" w:hAnsi="宋体" w:eastAsia="宋体" w:cs="宋体"/>
                <w:color w:val="auto"/>
                <w:kern w:val="2"/>
                <w:sz w:val="24"/>
                <w:szCs w:val="24"/>
              </w:rPr>
              <w:t>分）</w:t>
            </w:r>
          </w:p>
        </w:tc>
        <w:tc>
          <w:tcPr>
            <w:tcW w:w="1537" w:type="dxa"/>
            <w:vAlign w:val="center"/>
          </w:tcPr>
          <w:p w14:paraId="287A659B">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业绩（0-4分）</w:t>
            </w:r>
          </w:p>
        </w:tc>
        <w:tc>
          <w:tcPr>
            <w:tcW w:w="6086" w:type="dxa"/>
            <w:vAlign w:val="center"/>
          </w:tcPr>
          <w:p w14:paraId="1BE404B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提供 2023年1月1日以来300万以上业绩，每提供一份得2分，本项最高得4分。</w:t>
            </w:r>
          </w:p>
          <w:p w14:paraId="58827A5B">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rPr>
              <w:t>注：提供合同或中标通知书原件扫描件。</w:t>
            </w:r>
          </w:p>
        </w:tc>
      </w:tr>
      <w:tr w14:paraId="4AA0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55" w:type="dxa"/>
            <w:vMerge w:val="continue"/>
            <w:vAlign w:val="center"/>
          </w:tcPr>
          <w:p w14:paraId="42B944A5">
            <w:pPr>
              <w:widowControl/>
              <w:spacing w:before="0" w:beforeLines="0" w:beforeAutospacing="0" w:afterAutospacing="0" w:line="360" w:lineRule="auto"/>
              <w:ind w:left="0" w:leftChars="0" w:right="0" w:rightChars="0"/>
              <w:jc w:val="left"/>
              <w:rPr>
                <w:rFonts w:hint="eastAsia" w:ascii="宋体" w:hAnsi="宋体" w:eastAsia="宋体" w:cs="宋体"/>
                <w:color w:val="FF0000"/>
                <w:kern w:val="2"/>
                <w:sz w:val="24"/>
                <w:szCs w:val="24"/>
              </w:rPr>
            </w:pPr>
          </w:p>
        </w:tc>
        <w:tc>
          <w:tcPr>
            <w:tcW w:w="1537" w:type="dxa"/>
            <w:vAlign w:val="center"/>
          </w:tcPr>
          <w:p w14:paraId="4E5C0B4F">
            <w:pPr>
              <w:autoSpaceDE w:val="0"/>
              <w:autoSpaceDN w:val="0"/>
              <w:adjustRightInd w:val="0"/>
              <w:spacing w:line="360" w:lineRule="auto"/>
              <w:ind w:right="-22" w:rightChars="-10"/>
              <w:rPr>
                <w:rFonts w:hint="eastAsia" w:ascii="宋体" w:hAnsi="宋体" w:eastAsia="宋体" w:cs="宋体"/>
                <w:b w:val="0"/>
                <w:bCs/>
                <w:color w:val="FF0000"/>
                <w:kern w:val="2"/>
                <w:sz w:val="24"/>
                <w:szCs w:val="24"/>
                <w:highlight w:val="none"/>
                <w:lang w:val="en-US" w:eastAsia="zh-CN"/>
              </w:rPr>
            </w:pPr>
            <w:r>
              <w:rPr>
                <w:rFonts w:hint="eastAsia" w:ascii="宋体" w:hAnsi="宋体" w:cs="宋体"/>
                <w:bCs/>
                <w:sz w:val="24"/>
              </w:rPr>
              <w:t>服从釆购人的工作安排，并积极配合工作（</w:t>
            </w:r>
            <w:r>
              <w:rPr>
                <w:rFonts w:hint="eastAsia" w:ascii="宋体" w:hAnsi="宋体" w:eastAsia="宋体" w:cs="宋体"/>
                <w:bCs/>
                <w:sz w:val="24"/>
                <w:lang w:val="en-US" w:eastAsia="zh-CN"/>
              </w:rPr>
              <w:t>5</w:t>
            </w:r>
            <w:r>
              <w:rPr>
                <w:rFonts w:hint="eastAsia" w:ascii="宋体" w:hAnsi="宋体" w:cs="宋体"/>
                <w:bCs/>
                <w:sz w:val="24"/>
              </w:rPr>
              <w:t>分）</w:t>
            </w:r>
          </w:p>
        </w:tc>
        <w:tc>
          <w:tcPr>
            <w:tcW w:w="6086" w:type="dxa"/>
            <w:vAlign w:val="center"/>
          </w:tcPr>
          <w:p w14:paraId="5F1F16F5">
            <w:pPr>
              <w:autoSpaceDE w:val="0"/>
              <w:autoSpaceDN w:val="0"/>
              <w:adjustRightInd w:val="0"/>
              <w:spacing w:line="360" w:lineRule="auto"/>
              <w:ind w:right="-22" w:rightChars="-10"/>
              <w:rPr>
                <w:rFonts w:hint="eastAsia" w:ascii="宋体" w:hAnsi="宋体" w:cs="宋体"/>
                <w:bCs/>
                <w:sz w:val="24"/>
              </w:rPr>
            </w:pPr>
            <w:r>
              <w:rPr>
                <w:rFonts w:hint="eastAsia" w:ascii="宋体" w:hAnsi="宋体" w:cs="宋体"/>
                <w:bCs/>
                <w:sz w:val="24"/>
              </w:rPr>
              <w:t>投标人提供服从釆购人的工作安排，并积极配合工作的承诺得</w:t>
            </w:r>
            <w:r>
              <w:rPr>
                <w:rFonts w:hint="eastAsia" w:ascii="宋体" w:hAnsi="宋体" w:eastAsia="宋体" w:cs="宋体"/>
                <w:bCs/>
                <w:sz w:val="24"/>
                <w:lang w:val="en-US" w:eastAsia="zh-CN"/>
              </w:rPr>
              <w:t>2</w:t>
            </w:r>
            <w:r>
              <w:rPr>
                <w:rFonts w:hint="eastAsia" w:ascii="宋体" w:hAnsi="宋体" w:cs="宋体"/>
                <w:bCs/>
                <w:sz w:val="24"/>
              </w:rPr>
              <w:t>分，不提供不得分。</w:t>
            </w:r>
          </w:p>
          <w:p w14:paraId="3FE234B1">
            <w:pPr>
              <w:autoSpaceDE w:val="0"/>
              <w:autoSpaceDN w:val="0"/>
              <w:adjustRightInd w:val="0"/>
              <w:spacing w:line="360" w:lineRule="auto"/>
              <w:ind w:right="-22" w:rightChars="-10"/>
              <w:rPr>
                <w:rFonts w:hint="eastAsia" w:ascii="宋体" w:hAnsi="宋体" w:eastAsia="宋体" w:cs="宋体"/>
                <w:b w:val="0"/>
                <w:bCs/>
                <w:color w:val="FF0000"/>
                <w:kern w:val="2"/>
                <w:sz w:val="24"/>
                <w:szCs w:val="24"/>
                <w:highlight w:val="none"/>
                <w:lang w:val="en-US" w:eastAsia="zh-CN"/>
              </w:rPr>
            </w:pPr>
            <w:r>
              <w:rPr>
                <w:rFonts w:hint="eastAsia" w:ascii="宋体" w:hAnsi="宋体" w:cs="宋体"/>
                <w:bCs/>
                <w:sz w:val="24"/>
              </w:rPr>
              <w:t>投标人承诺一旦成为中标供应商，售后服务做到0.5小时内响应，在接到采购人指令后，2小时之内到达采购人指定地点开展工作，并在4小时之内解决问题的得</w:t>
            </w:r>
            <w:r>
              <w:rPr>
                <w:rFonts w:hint="eastAsia" w:ascii="宋体" w:hAnsi="宋体" w:eastAsia="宋体" w:cs="宋体"/>
                <w:bCs/>
                <w:sz w:val="24"/>
                <w:lang w:val="en-US" w:eastAsia="zh-CN"/>
              </w:rPr>
              <w:t>3</w:t>
            </w:r>
            <w:r>
              <w:rPr>
                <w:rFonts w:hint="eastAsia" w:ascii="宋体" w:hAnsi="宋体" w:cs="宋体"/>
                <w:bCs/>
                <w:sz w:val="24"/>
              </w:rPr>
              <w:t>分；不提供不得分</w:t>
            </w:r>
          </w:p>
        </w:tc>
      </w:tr>
      <w:tr w14:paraId="6ECA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2F5BBBA8">
            <w:pPr>
              <w:widowControl/>
              <w:spacing w:before="0" w:beforeLines="0" w:beforeAutospacing="0" w:afterAutospacing="0" w:line="360" w:lineRule="auto"/>
              <w:ind w:left="0" w:leftChars="0" w:right="0" w:rightChars="0"/>
              <w:jc w:val="center"/>
              <w:rPr>
                <w:rFonts w:hint="eastAsia" w:ascii="宋体" w:hAnsi="宋体" w:cs="宋体"/>
                <w:color w:val="auto"/>
                <w:sz w:val="22"/>
                <w:szCs w:val="22"/>
              </w:rPr>
            </w:pPr>
          </w:p>
        </w:tc>
        <w:tc>
          <w:tcPr>
            <w:tcW w:w="1537" w:type="dxa"/>
            <w:vMerge w:val="restart"/>
            <w:shd w:val="clear" w:color="auto" w:fill="auto"/>
            <w:vAlign w:val="center"/>
          </w:tcPr>
          <w:p w14:paraId="686723C4">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服务承诺及其它优惠承诺（0-11分）</w:t>
            </w:r>
          </w:p>
        </w:tc>
        <w:tc>
          <w:tcPr>
            <w:tcW w:w="6086" w:type="dxa"/>
            <w:shd w:val="clear" w:color="auto" w:fill="auto"/>
            <w:vAlign w:val="center"/>
          </w:tcPr>
          <w:p w14:paraId="1BF0270C">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售后服务承诺：承诺所提供种苗木验收，达不到合同要求的，供应商需采取补救措施，无偿重新提供相应种苗，并支付相应的栽植等费用，直到达标为止的得 3分，缺项不得分。</w:t>
            </w:r>
          </w:p>
        </w:tc>
      </w:tr>
      <w:tr w14:paraId="703F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3CFF8E38">
            <w:pPr>
              <w:widowControl/>
              <w:spacing w:before="0" w:beforeLines="0" w:beforeAutospacing="0" w:afterAutospacing="0" w:line="360" w:lineRule="auto"/>
              <w:ind w:left="0" w:leftChars="0" w:right="0" w:rightChars="0"/>
              <w:jc w:val="center"/>
              <w:rPr>
                <w:rFonts w:hint="eastAsia" w:ascii="宋体" w:hAnsi="宋体" w:cs="宋体"/>
                <w:color w:val="auto"/>
                <w:sz w:val="22"/>
                <w:szCs w:val="22"/>
              </w:rPr>
            </w:pPr>
          </w:p>
        </w:tc>
        <w:tc>
          <w:tcPr>
            <w:tcW w:w="1537" w:type="dxa"/>
            <w:vMerge w:val="continue"/>
            <w:shd w:val="clear" w:color="auto" w:fill="auto"/>
            <w:vAlign w:val="center"/>
          </w:tcPr>
          <w:p w14:paraId="4EDF9799">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color w:val="auto"/>
                <w:kern w:val="2"/>
                <w:sz w:val="24"/>
                <w:szCs w:val="24"/>
                <w:lang w:val="en-US" w:eastAsia="zh-CN"/>
              </w:rPr>
            </w:pPr>
          </w:p>
        </w:tc>
        <w:tc>
          <w:tcPr>
            <w:tcW w:w="6086" w:type="dxa"/>
            <w:shd w:val="clear" w:color="auto" w:fill="auto"/>
            <w:vAlign w:val="top"/>
          </w:tcPr>
          <w:p w14:paraId="001D55D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企业在2023年1月1日以来，在参加政府采购活动中无串通投标、无质量安全事故、拖欠工人工资投诉现象的信用承诺得3分（提供承诺书）。</w:t>
            </w:r>
            <w:r>
              <w:rPr>
                <w:rFonts w:hint="eastAsia" w:ascii="宋体" w:hAnsi="宋体" w:eastAsia="宋体" w:cs="宋体"/>
                <w:bCs/>
                <w:color w:val="auto"/>
                <w:kern w:val="2"/>
                <w:sz w:val="24"/>
                <w:szCs w:val="24"/>
                <w:highlight w:val="none"/>
                <w:lang w:val="en-US" w:eastAsia="zh-CN"/>
              </w:rPr>
              <w:t>缺项不得分。</w:t>
            </w:r>
          </w:p>
        </w:tc>
      </w:tr>
      <w:tr w14:paraId="15C6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3D08518B">
            <w:pPr>
              <w:widowControl/>
              <w:spacing w:before="0" w:beforeLines="0" w:beforeAutospacing="0" w:afterAutospacing="0" w:line="360" w:lineRule="auto"/>
              <w:ind w:left="0" w:leftChars="0" w:right="0" w:rightChars="0"/>
              <w:jc w:val="center"/>
              <w:rPr>
                <w:rFonts w:hint="eastAsia" w:ascii="宋体" w:hAnsi="宋体" w:cs="宋体"/>
                <w:color w:val="auto"/>
                <w:sz w:val="22"/>
                <w:szCs w:val="22"/>
              </w:rPr>
            </w:pPr>
          </w:p>
        </w:tc>
        <w:tc>
          <w:tcPr>
            <w:tcW w:w="1537" w:type="dxa"/>
            <w:vMerge w:val="continue"/>
            <w:shd w:val="clear" w:color="auto" w:fill="auto"/>
            <w:vAlign w:val="center"/>
          </w:tcPr>
          <w:p w14:paraId="7675F5DC">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color w:val="auto"/>
                <w:kern w:val="2"/>
                <w:sz w:val="24"/>
                <w:szCs w:val="24"/>
                <w:lang w:val="en-US" w:eastAsia="zh-CN"/>
              </w:rPr>
            </w:pPr>
          </w:p>
        </w:tc>
        <w:tc>
          <w:tcPr>
            <w:tcW w:w="6086" w:type="dxa"/>
            <w:shd w:val="clear" w:color="auto" w:fill="auto"/>
            <w:vAlign w:val="top"/>
          </w:tcPr>
          <w:p w14:paraId="0749BDE2">
            <w:pPr>
              <w:pageBreakBefore w:val="0"/>
              <w:kinsoku/>
              <w:wordWrap w:val="0"/>
              <w:overflowPunct/>
              <w:topLinePunct w:val="0"/>
              <w:bidi w:val="0"/>
              <w:spacing w:line="360" w:lineRule="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供应商提供农民工工资保障措施及承诺得2分；</w:t>
            </w:r>
            <w:r>
              <w:rPr>
                <w:rFonts w:hint="eastAsia" w:ascii="宋体" w:hAnsi="宋体" w:eastAsia="宋体" w:cs="宋体"/>
                <w:bCs/>
                <w:color w:val="auto"/>
                <w:kern w:val="2"/>
                <w:sz w:val="24"/>
                <w:szCs w:val="24"/>
                <w:highlight w:val="none"/>
                <w:lang w:val="en-US" w:eastAsia="zh-CN"/>
              </w:rPr>
              <w:t>缺项不得分。</w:t>
            </w:r>
          </w:p>
          <w:p w14:paraId="25B6F6FD">
            <w:pPr>
              <w:pageBreakBefore w:val="0"/>
              <w:kinsoku/>
              <w:wordWrap w:val="0"/>
              <w:overflowPunct/>
              <w:topLinePunct w:val="0"/>
              <w:bidi w:val="0"/>
              <w:spacing w:line="360" w:lineRule="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优惠承诺符合项目实际情况，确保依法依规，优惠承诺合理，详细得 3分，优惠承诺一般得 1 分，缺项得0分。</w:t>
            </w:r>
          </w:p>
        </w:tc>
      </w:tr>
      <w:tr w14:paraId="37B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Merge w:val="restart"/>
            <w:vAlign w:val="center"/>
          </w:tcPr>
          <w:p w14:paraId="6A4D9855">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技术部分</w:t>
            </w:r>
          </w:p>
          <w:p w14:paraId="080D2C0E">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评分标准</w:t>
            </w:r>
          </w:p>
          <w:p w14:paraId="116C8FA1">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cs="宋体"/>
                <w:color w:val="auto"/>
                <w:kern w:val="0"/>
                <w:sz w:val="22"/>
                <w:szCs w:val="22"/>
                <w:lang w:val="en-US" w:eastAsia="zh-CN"/>
              </w:rPr>
            </w:pPr>
            <w:r>
              <w:rPr>
                <w:rFonts w:hint="eastAsia" w:ascii="宋体" w:hAnsi="宋体" w:eastAsia="宋体" w:cs="宋体"/>
                <w:bCs/>
                <w:color w:val="000000"/>
                <w:kern w:val="2"/>
                <w:sz w:val="24"/>
                <w:szCs w:val="24"/>
                <w:lang w:val="en-US" w:eastAsia="zh-CN"/>
              </w:rPr>
              <w:t>（50分）</w:t>
            </w:r>
          </w:p>
        </w:tc>
        <w:tc>
          <w:tcPr>
            <w:tcW w:w="1537" w:type="dxa"/>
            <w:vAlign w:val="top"/>
          </w:tcPr>
          <w:p w14:paraId="44E53633">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2DBF82BF">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种植方案完整性及可行性（0-10分）</w:t>
            </w:r>
          </w:p>
        </w:tc>
        <w:tc>
          <w:tcPr>
            <w:tcW w:w="6086" w:type="dxa"/>
            <w:vAlign w:val="top"/>
          </w:tcPr>
          <w:p w14:paraId="7E1FABBF">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种植方案很完整、详细有效，对本项目实施的范围明确、内容清楚，采用的技术思路和方法非常合理、清晰、可行得10分；</w:t>
            </w:r>
          </w:p>
          <w:p w14:paraId="12F416CF">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种植方案较完整、有效，对本项目实施范围明确，采用的技术思想和方法较合理、可行得8 分；</w:t>
            </w:r>
          </w:p>
          <w:p w14:paraId="2C659D64">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提出基本方法，技术思路一般论述一般得5分；</w:t>
            </w:r>
          </w:p>
          <w:p w14:paraId="646D1866">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缺项不得分。</w:t>
            </w:r>
          </w:p>
        </w:tc>
      </w:tr>
      <w:tr w14:paraId="0BC1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Merge w:val="continue"/>
            <w:vAlign w:val="center"/>
          </w:tcPr>
          <w:p w14:paraId="5C581395">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z w:val="22"/>
                <w:szCs w:val="22"/>
              </w:rPr>
            </w:pPr>
          </w:p>
        </w:tc>
        <w:tc>
          <w:tcPr>
            <w:tcW w:w="1537" w:type="dxa"/>
            <w:vAlign w:val="top"/>
          </w:tcPr>
          <w:p w14:paraId="7CB55DD8">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7B913E9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质量保证措施方法（0-8分）</w:t>
            </w:r>
          </w:p>
        </w:tc>
        <w:tc>
          <w:tcPr>
            <w:tcW w:w="6086" w:type="dxa"/>
            <w:vAlign w:val="top"/>
          </w:tcPr>
          <w:p w14:paraId="40A123E3">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质量控制计划方案可行，有完善的质量保证措施，且质量保障措施切实可行得 8 分；</w:t>
            </w:r>
          </w:p>
          <w:p w14:paraId="35AB7C2A">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有质量控制计划方案，有质量保证措施，且质量保障措施较可行得5 分；</w:t>
            </w:r>
          </w:p>
          <w:p w14:paraId="3A71774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质量控制方案一般，质量保证措施可行性一般得 2 分；缺项不得分。</w:t>
            </w:r>
          </w:p>
        </w:tc>
      </w:tr>
      <w:tr w14:paraId="3B42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55" w:type="dxa"/>
            <w:vMerge w:val="continue"/>
            <w:vAlign w:val="center"/>
          </w:tcPr>
          <w:p w14:paraId="0FF51901">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rPr>
            </w:pPr>
          </w:p>
        </w:tc>
        <w:tc>
          <w:tcPr>
            <w:tcW w:w="1537" w:type="dxa"/>
            <w:vAlign w:val="top"/>
          </w:tcPr>
          <w:p w14:paraId="15F1888E">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1F08AAC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确保及时供货及运输安全保证（0-8分）</w:t>
            </w:r>
          </w:p>
        </w:tc>
        <w:tc>
          <w:tcPr>
            <w:tcW w:w="6086" w:type="dxa"/>
            <w:vAlign w:val="top"/>
          </w:tcPr>
          <w:p w14:paraId="385CD4B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供货、运输方案可行，时间安排合理，安全保证措施合理，切实可行，针对性强得 8分；</w:t>
            </w:r>
          </w:p>
          <w:p w14:paraId="41532AB6">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有供货、运输方案，时间安排可行，安全保证措施内容基本全面、合理，针对性较强，得 5 分；</w:t>
            </w:r>
          </w:p>
          <w:p w14:paraId="6FD17708">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供货、运输方案一般，时间安排及安全保障措施一般得3 分；</w:t>
            </w:r>
          </w:p>
          <w:p w14:paraId="7FB2888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缺项不得分。</w:t>
            </w:r>
          </w:p>
        </w:tc>
      </w:tr>
      <w:tr w14:paraId="4D8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55" w:type="dxa"/>
            <w:vMerge w:val="continue"/>
            <w:vAlign w:val="center"/>
          </w:tcPr>
          <w:p w14:paraId="0DADC18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rPr>
            </w:pPr>
          </w:p>
        </w:tc>
        <w:tc>
          <w:tcPr>
            <w:tcW w:w="1537" w:type="dxa"/>
            <w:vAlign w:val="top"/>
          </w:tcPr>
          <w:p w14:paraId="2043731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371B76B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安全储存措施（0-8分）</w:t>
            </w:r>
          </w:p>
        </w:tc>
        <w:tc>
          <w:tcPr>
            <w:tcW w:w="6086" w:type="dxa"/>
            <w:vAlign w:val="top"/>
          </w:tcPr>
          <w:p w14:paraId="60F9C1EE">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种苗、化肥、药品等安全储存措施具有针对性，储存方式、方法、条件等合理得 8分；</w:t>
            </w:r>
          </w:p>
          <w:p w14:paraId="28DD81CB">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储存方式、方法、条件等可行得4 分；</w:t>
            </w:r>
          </w:p>
          <w:p w14:paraId="7B174E9A">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储存方式、方法、条件等一般得2 分；</w:t>
            </w:r>
          </w:p>
          <w:p w14:paraId="205B917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缺项不得分。</w:t>
            </w:r>
          </w:p>
        </w:tc>
      </w:tr>
      <w:tr w14:paraId="11F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55" w:type="dxa"/>
            <w:vMerge w:val="continue"/>
            <w:vAlign w:val="center"/>
          </w:tcPr>
          <w:p w14:paraId="4A6B61A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rPr>
            </w:pPr>
          </w:p>
        </w:tc>
        <w:tc>
          <w:tcPr>
            <w:tcW w:w="1537" w:type="dxa"/>
            <w:vAlign w:val="top"/>
          </w:tcPr>
          <w:p w14:paraId="7F7935E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7C1D3BF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人员配置方案（0-6分）</w:t>
            </w:r>
          </w:p>
        </w:tc>
        <w:tc>
          <w:tcPr>
            <w:tcW w:w="6086" w:type="dxa"/>
            <w:vAlign w:val="top"/>
          </w:tcPr>
          <w:p w14:paraId="5DB5D24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工作人员配置具有针对性，人员配备情况合理、配置方案合理得 6分；</w:t>
            </w:r>
          </w:p>
          <w:p w14:paraId="7D2C1C56">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有工作人员配置，人员配备情况可行，配置方案可行得 4 分；工作人员配置情况及配置方案一般得 2 分；</w:t>
            </w:r>
          </w:p>
          <w:p w14:paraId="303554E3">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缺项不得分。</w:t>
            </w:r>
          </w:p>
        </w:tc>
      </w:tr>
      <w:tr w14:paraId="51E6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55" w:type="dxa"/>
            <w:vMerge w:val="continue"/>
            <w:vAlign w:val="center"/>
          </w:tcPr>
          <w:p w14:paraId="270D4D8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rPr>
            </w:pPr>
          </w:p>
        </w:tc>
        <w:tc>
          <w:tcPr>
            <w:tcW w:w="1537" w:type="dxa"/>
            <w:vAlign w:val="top"/>
          </w:tcPr>
          <w:p w14:paraId="5BCCE0AC">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6EE5FF29">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047DB1AE">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风险管理措施（0-6分）</w:t>
            </w:r>
          </w:p>
        </w:tc>
        <w:tc>
          <w:tcPr>
            <w:tcW w:w="6086" w:type="dxa"/>
            <w:vAlign w:val="top"/>
          </w:tcPr>
          <w:p w14:paraId="337E0127">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风险防控管理措施齐全，风险预控符合规范要求，风险控制要点定位准确，各阶段风险控制及应急措施合理，方法得当得 6 分；</w:t>
            </w:r>
          </w:p>
          <w:p w14:paraId="4CAE0D23">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有风险防控管理措施，风险控制要点定位可行，各阶段风险控制及应急措施可行得 4 分；</w:t>
            </w:r>
          </w:p>
          <w:p w14:paraId="17177D23">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风险防控管理措一般，各阶段风险控制及应急措施一般得 2 分；缺项不得分。</w:t>
            </w:r>
          </w:p>
        </w:tc>
      </w:tr>
      <w:tr w14:paraId="2235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555" w:type="dxa"/>
            <w:vMerge w:val="continue"/>
            <w:vAlign w:val="center"/>
          </w:tcPr>
          <w:p w14:paraId="0FDB43BF">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rPr>
            </w:pPr>
          </w:p>
        </w:tc>
        <w:tc>
          <w:tcPr>
            <w:tcW w:w="1537" w:type="dxa"/>
            <w:vAlign w:val="top"/>
          </w:tcPr>
          <w:p w14:paraId="456EE77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2404AC8F">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p>
          <w:p w14:paraId="492334FA">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后期维护承诺（0-4分）</w:t>
            </w:r>
          </w:p>
        </w:tc>
        <w:tc>
          <w:tcPr>
            <w:tcW w:w="6086" w:type="dxa"/>
            <w:vAlign w:val="top"/>
          </w:tcPr>
          <w:p w14:paraId="21EF4F59">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根据种苗成活率、成长健康以及后续管养等方面提出建议合理、方法得当的得 4 分。</w:t>
            </w:r>
          </w:p>
          <w:p w14:paraId="47A58C0E">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根据种苗成活率、成长健康以及后续管养等方面提出建议可行的得2 分。</w:t>
            </w:r>
          </w:p>
          <w:p w14:paraId="07F4D901">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根据种苗成活率、成长健康以及后续管养等方面提出建议一般的得1 分。缺项不得分。</w:t>
            </w:r>
          </w:p>
        </w:tc>
      </w:tr>
      <w:tr w14:paraId="2A5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78" w:type="dxa"/>
            <w:gridSpan w:val="3"/>
            <w:vAlign w:val="center"/>
          </w:tcPr>
          <w:p w14:paraId="069939E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000000"/>
                <w:kern w:val="2"/>
                <w:sz w:val="22"/>
                <w:szCs w:val="22"/>
                <w:lang w:val="en-US" w:eastAsia="zh-CN"/>
              </w:rPr>
            </w:pPr>
            <w:r>
              <w:rPr>
                <w:rFonts w:hint="eastAsia" w:ascii="宋体" w:hAnsi="宋体" w:eastAsia="宋体" w:cs="宋体"/>
                <w:bCs/>
                <w:color w:val="000000"/>
                <w:kern w:val="2"/>
                <w:sz w:val="22"/>
                <w:szCs w:val="22"/>
                <w:lang w:val="en-US" w:eastAsia="zh-CN"/>
              </w:rPr>
              <w:t>投标人综合得分=商务标得分＋技术标得分＋投标报价得分。</w:t>
            </w:r>
          </w:p>
          <w:p w14:paraId="7603446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000000"/>
                <w:kern w:val="2"/>
                <w:sz w:val="22"/>
                <w:szCs w:val="22"/>
                <w:lang w:val="en-US" w:eastAsia="zh-CN"/>
              </w:rPr>
            </w:pPr>
            <w:r>
              <w:rPr>
                <w:rFonts w:hint="eastAsia" w:ascii="宋体" w:hAnsi="宋体" w:eastAsia="宋体" w:cs="宋体"/>
                <w:bCs/>
                <w:color w:val="000000"/>
                <w:kern w:val="2"/>
                <w:sz w:val="22"/>
                <w:szCs w:val="22"/>
                <w:lang w:val="en-US" w:eastAsia="zh-CN"/>
              </w:rPr>
              <w:t>评标委员会完成对技术标、商务标和投标报价得分的汇总后取平均值作为该投标人的最终得分。</w:t>
            </w:r>
          </w:p>
          <w:p w14:paraId="55826C0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000000"/>
                <w:kern w:val="2"/>
                <w:sz w:val="22"/>
                <w:szCs w:val="22"/>
                <w:lang w:val="en-US" w:eastAsia="zh-CN"/>
              </w:rPr>
            </w:pPr>
            <w:r>
              <w:rPr>
                <w:rFonts w:hint="eastAsia" w:ascii="宋体" w:hAnsi="宋体" w:eastAsia="宋体" w:cs="宋体"/>
                <w:bCs/>
                <w:color w:val="000000"/>
                <w:kern w:val="2"/>
                <w:sz w:val="22"/>
                <w:szCs w:val="22"/>
                <w:lang w:val="en-US" w:eastAsia="zh-CN"/>
              </w:rPr>
              <w:t>本办法计算过程中分值按四舍五入保留两位小数，结果按四舍五入保留两位小数。</w:t>
            </w:r>
          </w:p>
          <w:p w14:paraId="1C1B575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000000"/>
                <w:kern w:val="2"/>
                <w:sz w:val="22"/>
                <w:szCs w:val="22"/>
                <w:lang w:val="en-US" w:eastAsia="zh-CN"/>
              </w:rPr>
            </w:pPr>
            <w:r>
              <w:rPr>
                <w:rFonts w:hint="eastAsia" w:ascii="宋体" w:hAnsi="宋体" w:eastAsia="宋体" w:cs="宋体"/>
                <w:bCs/>
                <w:color w:val="000000"/>
                <w:kern w:val="2"/>
                <w:sz w:val="22"/>
                <w:szCs w:val="22"/>
                <w:lang w:val="en-US" w:eastAsia="zh-CN"/>
              </w:rPr>
              <w:t>注：1.评审中资格审查、评审打分以投标文件中原件扫描件为准且必须内容齐全、真实有效、清晰可辨，复印件不予认可。投标文件及主体信息库的内容真实性由供应商自行承担。因供应商上传原因导致资格审查不合格或应得分项而未得分等情况的，由供应商自行承担责任。</w:t>
            </w:r>
          </w:p>
          <w:p w14:paraId="326EFB1E">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b w:val="0"/>
                <w:bCs w:val="0"/>
                <w:color w:val="auto"/>
                <w:sz w:val="22"/>
                <w:szCs w:val="22"/>
              </w:rPr>
            </w:pPr>
            <w:r>
              <w:rPr>
                <w:rFonts w:hint="eastAsia" w:ascii="宋体" w:hAnsi="宋体" w:eastAsia="宋体" w:cs="宋体"/>
                <w:bCs/>
                <w:color w:val="000000"/>
                <w:kern w:val="2"/>
                <w:sz w:val="22"/>
                <w:szCs w:val="22"/>
                <w:lang w:val="en-US" w:eastAsia="zh-CN"/>
              </w:rPr>
              <w:t>2.评标开始后，不再接受任何补充材料。</w:t>
            </w:r>
          </w:p>
        </w:tc>
      </w:tr>
    </w:tbl>
    <w:p w14:paraId="3100BB08">
      <w:pPr>
        <w:pStyle w:val="4"/>
        <w:numPr>
          <w:ilvl w:val="0"/>
          <w:numId w:val="0"/>
        </w:numPr>
        <w:bidi w:val="0"/>
        <w:ind w:left="440" w:leftChars="0"/>
        <w:jc w:val="center"/>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br w:type="page"/>
      </w:r>
      <w:r>
        <w:rPr>
          <w:rFonts w:hint="eastAsia"/>
          <w:color w:val="000000" w:themeColor="text1"/>
          <w:lang w:val="en-US" w:eastAsia="zh-CN"/>
          <w14:textFill>
            <w14:solidFill>
              <w14:schemeClr w14:val="tx1"/>
            </w14:solidFill>
          </w14:textFill>
        </w:rPr>
        <w:t>第五章</w:t>
      </w:r>
      <w:r>
        <w:rPr>
          <w:rFonts w:hint="eastAsia"/>
          <w:color w:val="000000" w:themeColor="text1"/>
          <w14:textFill>
            <w14:solidFill>
              <w14:schemeClr w14:val="tx1"/>
            </w14:solidFill>
          </w14:textFill>
        </w:rPr>
        <w:t xml:space="preserve"> </w:t>
      </w:r>
      <w:bookmarkStart w:id="35" w:name="_Toc12230"/>
      <w:r>
        <w:rPr>
          <w:rFonts w:hint="eastAsia"/>
          <w:color w:val="000000" w:themeColor="text1"/>
          <w14:textFill>
            <w14:solidFill>
              <w14:schemeClr w14:val="tx1"/>
            </w14:solidFill>
          </w14:textFill>
        </w:rPr>
        <w:t>合同条款及格式</w:t>
      </w:r>
      <w:bookmarkEnd w:id="33"/>
      <w:bookmarkEnd w:id="35"/>
    </w:p>
    <w:p w14:paraId="3778E49B">
      <w:pPr>
        <w:widowControl/>
        <w:snapToGrid w:val="0"/>
        <w:spacing w:line="52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（本合同仅供参考 双方可根据实际情况另行商议）</w:t>
      </w:r>
    </w:p>
    <w:p w14:paraId="7157DCF8">
      <w:pPr>
        <w:pStyle w:val="5"/>
        <w:spacing w:before="0" w:after="0" w:line="520" w:lineRule="exact"/>
        <w:ind w:firstLine="0"/>
        <w:jc w:val="center"/>
        <w:rPr>
          <w:rFonts w:hint="eastAsia" w:ascii="方正小标宋简体" w:hAnsi="宋体" w:eastAsia="方正小标宋简体"/>
          <w:b w:val="0"/>
          <w:color w:val="000000" w:themeColor="text1"/>
          <w14:textFill>
            <w14:solidFill>
              <w14:schemeClr w14:val="tx1"/>
            </w14:solidFill>
          </w14:textFill>
        </w:rPr>
      </w:pPr>
      <w:bookmarkStart w:id="36" w:name="_Toc29122"/>
    </w:p>
    <w:p w14:paraId="577C6206">
      <w:pPr>
        <w:pStyle w:val="5"/>
        <w:spacing w:before="0" w:after="0" w:line="520" w:lineRule="exact"/>
        <w:ind w:firstLine="0"/>
        <w:jc w:val="center"/>
        <w:rPr>
          <w:rFonts w:hint="eastAsia" w:ascii="方正小标宋简体" w:hAnsi="宋体" w:eastAsia="方正小标宋简体"/>
          <w:b w:val="0"/>
          <w:color w:val="000000" w:themeColor="text1"/>
          <w:szCs w:val="36"/>
          <w14:textFill>
            <w14:solidFill>
              <w14:schemeClr w14:val="tx1"/>
            </w14:solidFill>
          </w14:textFill>
        </w:rPr>
      </w:pPr>
      <w:r>
        <w:rPr>
          <w:rFonts w:hint="eastAsia" w:ascii="方正小标宋简体" w:hAnsi="宋体" w:eastAsia="方正小标宋简体"/>
          <w:b w:val="0"/>
          <w:color w:val="000000" w:themeColor="text1"/>
          <w14:textFill>
            <w14:solidFill>
              <w14:schemeClr w14:val="tx1"/>
            </w14:solidFill>
          </w14:textFill>
        </w:rPr>
        <w:t>采购合同内容</w:t>
      </w:r>
    </w:p>
    <w:p w14:paraId="5030BE51">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甲方：</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（采购人）</w:t>
      </w:r>
    </w:p>
    <w:p w14:paraId="2F628FD5">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乙方：</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（中标供应商）</w:t>
      </w:r>
    </w:p>
    <w:p w14:paraId="4BB2B1C3">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甲、乙双方根据《中华人民共和国采购法》、《中华人民共和国民法典》等法律法规的规定，按照</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项目名称）的中标结果签订本合同。</w:t>
      </w:r>
    </w:p>
    <w:p w14:paraId="4B0186A6">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1.合同内容</w:t>
      </w:r>
    </w:p>
    <w:p w14:paraId="1A1FD6DB">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 项目名称：</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p>
    <w:p w14:paraId="73307E3F">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 型号规格：</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p>
    <w:p w14:paraId="53F579FF">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 技术参数：</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p>
    <w:p w14:paraId="087D6C94">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1.4 数量（单位）：</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p>
    <w:p w14:paraId="79F474CC">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2.合同金额</w:t>
      </w:r>
    </w:p>
    <w:p w14:paraId="52C5E636">
      <w:pPr>
        <w:widowControl/>
        <w:spacing w:line="520" w:lineRule="atLeast"/>
        <w:ind w:firstLine="480"/>
        <w:jc w:val="left"/>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kern w:val="0"/>
          <w:sz w:val="24"/>
          <w:szCs w:val="24"/>
          <w14:textFill>
            <w14:solidFill>
              <w14:schemeClr w14:val="tx1"/>
            </w14:solidFill>
          </w14:textFill>
        </w:rPr>
        <w:t>本合同金额为人民币（大写）：</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kern w:val="0"/>
          <w:sz w:val="24"/>
          <w:szCs w:val="24"/>
          <w14:textFill>
            <w14:solidFill>
              <w14:schemeClr w14:val="tx1"/>
            </w14:solidFill>
          </w14:textFill>
        </w:rPr>
        <w:t>（</w:t>
      </w:r>
      <w:r>
        <w:rPr>
          <w:rFonts w:hint="eastAsia" w:cs="Times New Roman" w:asciiTheme="minorEastAsia" w:hAnsiTheme="minorEastAsia" w:eastAsiaTheme="minorEastAsia"/>
          <w:color w:val="000000" w:themeColor="text1"/>
          <w:kern w:val="0"/>
          <w:sz w:val="24"/>
          <w:szCs w:val="24"/>
          <w:lang w:val="en-US" w:eastAsia="zh-CN"/>
          <w14:textFill>
            <w14:solidFill>
              <w14:schemeClr w14:val="tx1"/>
            </w14:solidFill>
          </w14:textFill>
        </w:rPr>
        <w:t>小写：</w:t>
      </w:r>
      <w:r>
        <w:rPr>
          <w:rFonts w:hint="eastAsia" w:cs="Times New Roman"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kern w:val="0"/>
          <w:sz w:val="24"/>
          <w:szCs w:val="24"/>
          <w14:textFill>
            <w14:solidFill>
              <w14:schemeClr w14:val="tx1"/>
            </w14:solidFill>
          </w14:textFill>
        </w:rPr>
        <w:t>）</w:t>
      </w:r>
      <w:r>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t>。</w:t>
      </w:r>
    </w:p>
    <w:p w14:paraId="3026D0A6">
      <w:pPr>
        <w:widowControl/>
        <w:spacing w:line="520" w:lineRule="atLeast"/>
        <w:ind w:firstLine="480"/>
        <w:jc w:val="left"/>
        <w:rPr>
          <w:rFonts w:hint="eastAsia" w:cs="Times New Roman" w:asciiTheme="minorEastAsia" w:hAnsiTheme="minorEastAsia" w:eastAsiaTheme="minorEastAsia"/>
          <w:b/>
          <w:bCs/>
          <w:color w:val="000000" w:themeColor="text1"/>
          <w:kern w:val="0"/>
          <w:sz w:val="24"/>
          <w:szCs w:val="24"/>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kern w:val="0"/>
          <w:sz w:val="24"/>
          <w:szCs w:val="24"/>
          <w:lang w:val="en-US" w:eastAsia="zh-CN"/>
          <w14:textFill>
            <w14:solidFill>
              <w14:schemeClr w14:val="tx1"/>
            </w14:solidFill>
          </w14:textFill>
        </w:rPr>
        <w:t xml:space="preserve"> </w:t>
      </w:r>
    </w:p>
    <w:p w14:paraId="247DE935">
      <w:pPr>
        <w:widowControl/>
        <w:spacing w:line="520" w:lineRule="atLeast"/>
        <w:jc w:val="left"/>
        <w:rPr>
          <w:rFonts w:hint="eastAsia" w:cs="Times New Roman" w:asciiTheme="minorEastAsia" w:hAnsiTheme="minorEastAsia" w:eastAsia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eastAsiaTheme="minorEastAsia"/>
          <w:b/>
          <w:bCs/>
          <w:color w:val="000000" w:themeColor="text1"/>
          <w:kern w:val="0"/>
          <w:sz w:val="24"/>
          <w:szCs w:val="24"/>
          <w14:textFill>
            <w14:solidFill>
              <w14:schemeClr w14:val="tx1"/>
            </w14:solidFill>
          </w14:textFill>
        </w:rPr>
        <w:t>3.技术资料</w:t>
      </w:r>
    </w:p>
    <w:p w14:paraId="7984277F">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3.1乙方按招标文件规定的时间向甲方提供使用货物的有关技术资料。</w:t>
      </w:r>
    </w:p>
    <w:p w14:paraId="78763829">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3.2 没有甲方事先书面同意，乙方不得将由甲方提供的有关合同或任何合同条文、规格、计划、样品或资料提供给与履行本合同无关的任何其他人。</w:t>
      </w:r>
    </w:p>
    <w:p w14:paraId="7361B060">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4.知识产权</w:t>
      </w:r>
    </w:p>
    <w:p w14:paraId="6C59A900">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乙方保证所提供的货物或其任何一部分均不会侵犯任何第三方的知识产权。</w:t>
      </w:r>
    </w:p>
    <w:p w14:paraId="24429B1B">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5.产权担保</w:t>
      </w:r>
    </w:p>
    <w:p w14:paraId="7F68606E">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乙方保证所交付的货物的所有权完全属于乙方且无任何抵押、查封等产权瑕疵。</w:t>
      </w:r>
    </w:p>
    <w:p w14:paraId="68739046">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6.质量保证金</w:t>
      </w:r>
    </w:p>
    <w:p w14:paraId="7EE70C48">
      <w:pPr>
        <w:widowControl/>
        <w:spacing w:line="520" w:lineRule="atLeast"/>
        <w:ind w:firstLine="240" w:firstLineChars="100"/>
        <w:jc w:val="left"/>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本项目不要求。</w:t>
      </w:r>
    </w:p>
    <w:p w14:paraId="32A7EAF7">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7.转包或分包</w:t>
      </w:r>
    </w:p>
    <w:p w14:paraId="01E740DF">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7.1本合同范围的货物，由乙方直接供应，不得转让他人供应。</w:t>
      </w:r>
    </w:p>
    <w:p w14:paraId="43F8C4C1">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7.2 除非得到甲方的书面同意，乙方不得部分分包给他人供应。</w:t>
      </w:r>
    </w:p>
    <w:p w14:paraId="46A2341F">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7.3如有转让和未经甲方同意的分包行为，甲方有权给予终止合同。</w:t>
      </w:r>
    </w:p>
    <w:p w14:paraId="7B305412">
      <w:pPr>
        <w:widowControl/>
        <w:spacing w:line="520" w:lineRule="atLeast"/>
        <w:jc w:val="left"/>
        <w:rPr>
          <w:rFonts w:hint="eastAsia"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8.交货期、交货方式及</w:t>
      </w: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交货地点</w:t>
      </w:r>
    </w:p>
    <w:p w14:paraId="13354E58">
      <w:pPr>
        <w:widowControl/>
        <w:spacing w:line="520" w:lineRule="atLeast"/>
        <w:ind w:firstLine="480" w:firstLineChars="200"/>
        <w:jc w:val="left"/>
        <w:rPr>
          <w:rFonts w:hint="default" w:asciiTheme="minorEastAsia" w:hAnsiTheme="minorEastAsia" w:eastAsiaTheme="minorEastAsia"/>
          <w:color w:val="000000" w:themeColor="text1"/>
          <w:kern w:val="0"/>
          <w:sz w:val="24"/>
          <w:szCs w:val="24"/>
          <w:u w:val="singl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8.1 交货期：</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p>
    <w:p w14:paraId="4B334AB8">
      <w:pPr>
        <w:widowControl/>
        <w:spacing w:line="520" w:lineRule="atLeast"/>
        <w:ind w:firstLine="480" w:firstLineChars="200"/>
        <w:jc w:val="left"/>
        <w:rPr>
          <w:rFonts w:hint="default" w:asciiTheme="minorEastAsia" w:hAnsiTheme="minorEastAsia" w:eastAsiaTheme="minorEastAsia"/>
          <w:color w:val="000000" w:themeColor="text1"/>
          <w:kern w:val="0"/>
          <w:sz w:val="24"/>
          <w:szCs w:val="24"/>
          <w:u w:val="singl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8.2 交货方式：</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p>
    <w:p w14:paraId="2E7FD484">
      <w:pPr>
        <w:widowControl/>
        <w:spacing w:line="520" w:lineRule="atLeast"/>
        <w:ind w:firstLine="480" w:firstLineChars="20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8.3 </w:t>
      </w:r>
      <w:r>
        <w:rPr>
          <w:rFonts w:hint="eastAsia" w:asciiTheme="minorEastAsia" w:hAnsiTheme="minorEastAsia" w:eastAsiaTheme="minorEastAsia"/>
          <w:color w:val="000000" w:themeColor="text1"/>
          <w:kern w:val="0"/>
          <w:sz w:val="24"/>
          <w:szCs w:val="24"/>
          <w:lang w:eastAsia="zh-CN"/>
          <w14:textFill>
            <w14:solidFill>
              <w14:schemeClr w14:val="tx1"/>
            </w14:solidFill>
          </w14:textFill>
        </w:rPr>
        <w:t>交货地点</w:t>
      </w:r>
      <w:r>
        <w:rPr>
          <w:rFonts w:hint="eastAsia"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p>
    <w:p w14:paraId="61C817AC">
      <w:pPr>
        <w:widowControl/>
        <w:spacing w:line="520" w:lineRule="atLeast"/>
        <w:jc w:val="left"/>
        <w:rPr>
          <w:rFonts w:hint="eastAsia" w:asciiTheme="minorEastAsia" w:hAnsiTheme="minorEastAsia" w:eastAsiaTheme="minorEastAsia"/>
          <w:color w:val="000000" w:themeColor="text1"/>
          <w:kern w:val="0"/>
          <w:sz w:val="24"/>
          <w:szCs w:val="24"/>
          <w:u w:val="single"/>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9.货款支付：</w:t>
      </w:r>
      <w:r>
        <w:rPr>
          <w:rFonts w:hint="eastAsia"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u w:val="single"/>
          <w:lang w:eastAsia="zh-CN"/>
          <w14:textFill>
            <w14:solidFill>
              <w14:schemeClr w14:val="tx1"/>
            </w14:solidFill>
          </w14:textFill>
        </w:rPr>
        <w:t>。</w:t>
      </w:r>
    </w:p>
    <w:p w14:paraId="5F478B0B">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10.税费</w:t>
      </w:r>
    </w:p>
    <w:p w14:paraId="4A07B894">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本合同执行中相关的一切税费均由乙方负担。</w:t>
      </w:r>
    </w:p>
    <w:p w14:paraId="3619F494">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11.货物包装、发运及运输</w:t>
      </w:r>
    </w:p>
    <w:p w14:paraId="6E3B3D1A">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11.1 乙方在货物发运前对其进行满足运输距离、防潮、防震、防锈和防破损装卸等要求包装，以保证货物安全运达甲方指定地点。</w:t>
      </w:r>
    </w:p>
    <w:p w14:paraId="26063A11">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11.2 使用说明书、质量检验证明书、随配附件和工具以及清单一并附于货物内。</w:t>
      </w:r>
    </w:p>
    <w:p w14:paraId="46479D99">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11.3 乙方在货物发运手续办理完毕后24小时内或货到甲方48小时前通知甲方，以准备接货。</w:t>
      </w:r>
    </w:p>
    <w:p w14:paraId="542E1263">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11.4 货物在交付甲方前发生的风险均由乙方负责。</w:t>
      </w:r>
    </w:p>
    <w:p w14:paraId="7C60C599">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11.5 货物在规定的交付期限内由乙方送达甲方指定的地点视为交付，乙方同时需通知甲方货物已送达。</w:t>
      </w:r>
    </w:p>
    <w:p w14:paraId="19EEBC87">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12.质量保证及售后服务</w:t>
      </w:r>
    </w:p>
    <w:p w14:paraId="4E7468AD">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12.1 乙方提供的货物是全新、未使用过的，并完全符合强制性的国家技术质量规范和招标文件规定的质量、规格、性能和技术规范等的要求。</w:t>
      </w:r>
    </w:p>
    <w:p w14:paraId="078BB56D">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324618FB">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Theme="minorEastAsia" w:hAnsiTheme="minorEastAsia" w:eastAsiaTheme="minorEastAsia"/>
          <w:color w:val="000000" w:themeColor="text1"/>
          <w:kern w:val="0"/>
          <w:sz w:val="24"/>
          <w:szCs w:val="24"/>
          <w:u w:val="single"/>
          <w14:textFill>
            <w14:solidFill>
              <w14:schemeClr w14:val="tx1"/>
            </w14:solidFill>
          </w14:textFill>
        </w:rPr>
        <w:t>7</w:t>
      </w:r>
      <w:r>
        <w:rPr>
          <w:rFonts w:hint="eastAsia" w:asciiTheme="minorEastAsia" w:hAnsiTheme="minorEastAsia" w:eastAsiaTheme="minorEastAsia"/>
          <w:color w:val="000000" w:themeColor="text1"/>
          <w:kern w:val="0"/>
          <w:sz w:val="24"/>
          <w:szCs w:val="24"/>
          <w14:textFill>
            <w14:solidFill>
              <w14:schemeClr w14:val="tx1"/>
            </w14:solidFill>
          </w14:textFill>
        </w:rPr>
        <w:t>日内应免费维修或更换有缺陷的货物或部件。如果乙方在收到通知后</w:t>
      </w:r>
      <w:r>
        <w:rPr>
          <w:rFonts w:hint="eastAsia" w:asciiTheme="minorEastAsia" w:hAnsiTheme="minorEastAsia" w:eastAsiaTheme="minorEastAsia"/>
          <w:color w:val="000000" w:themeColor="text1"/>
          <w:kern w:val="0"/>
          <w:sz w:val="24"/>
          <w:szCs w:val="24"/>
          <w:u w:val="single"/>
          <w14:textFill>
            <w14:solidFill>
              <w14:schemeClr w14:val="tx1"/>
            </w14:solidFill>
          </w14:textFill>
        </w:rPr>
        <w:t>7</w:t>
      </w:r>
      <w:r>
        <w:rPr>
          <w:rFonts w:hint="eastAsia" w:asciiTheme="minorEastAsia" w:hAnsiTheme="minorEastAsia" w:eastAsiaTheme="minorEastAsia"/>
          <w:color w:val="000000" w:themeColor="text1"/>
          <w:kern w:val="0"/>
          <w:sz w:val="24"/>
          <w:szCs w:val="24"/>
          <w14:textFill>
            <w14:solidFill>
              <w14:schemeClr w14:val="tx1"/>
            </w14:solidFill>
          </w14:textFill>
        </w:rPr>
        <w:t>日内没有弥补缺陷，甲方可采取必要的补救措施，但由此引发的风险和费用将由乙方承担。</w:t>
      </w:r>
    </w:p>
    <w:p w14:paraId="7EBB551C">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12.4合同项下货物的质量保证期为自货物通过最终验收起个月，在保修期内，因人为因素出现故障外，乙方对货物出现的质量及安全问题负责处理解决并承担一切费用。</w:t>
      </w:r>
    </w:p>
    <w:p w14:paraId="5571095A">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12.5合同项下货物免费保修期为质量保证期满后个月，因人为因素出现的故障不在免费保修范围内。对超过保修期的货物终生维修，维修时只收部件成本费。</w:t>
      </w:r>
    </w:p>
    <w:p w14:paraId="5DABE13D">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12.6在使用过程中发生故障，乙方在接到甲方通知后在小时内到达甲方现场，小时内解除故障。</w:t>
      </w:r>
    </w:p>
    <w:p w14:paraId="511BFF0F">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13.调试和验收</w:t>
      </w:r>
    </w:p>
    <w:p w14:paraId="10D61256">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13.1乙方交货前对产品作出全面检查和对验收文件进行整理，并列出清单，作为甲方收货验收和使用的技术条件依据，检验的结果应随货物交甲方。</w:t>
      </w:r>
    </w:p>
    <w:p w14:paraId="0484885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13.2货物运抵现场后，甲方依据招标文件上的技术规格要求和国家有关质量标准在3个工作日内组织初步验收，并制作验收备忘录，签署验收意见。初步验收不合格的不予签收。</w:t>
      </w:r>
    </w:p>
    <w:p w14:paraId="36FCA523">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13.3 甲方对乙方提供的货物在使用前进行调试时，乙方负责安装并培训甲方的使用操作人员，并协助甲方一起调试，直到符合技术要求，甲方才做最终验收并签署验收意见。</w:t>
      </w:r>
    </w:p>
    <w:p w14:paraId="2644A306">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13.4 对大型或技术复杂的货物，甲方应邀请国家认可的专业检测机构参与初步验收及最终验收，并由其出具质量检测报告。</w:t>
      </w:r>
    </w:p>
    <w:p w14:paraId="67A18182">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13.5 验收时乙方必须在现场，验收完毕后作出验收结果报告。验收费用由乙方负责。</w:t>
      </w:r>
    </w:p>
    <w:p w14:paraId="3E4148E9">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14.索赔</w:t>
      </w:r>
    </w:p>
    <w:p w14:paraId="3F0B038A">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368A7975">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14.2 在根据合同第12条和第13条规定的检验期和质量保证期内，如果乙方对甲方提出的索赔负有责任，乙方应按照甲方同意的下列一种或多种方式解决索赔事宜：</w:t>
      </w:r>
    </w:p>
    <w:p w14:paraId="0F79BDAD">
      <w:pPr>
        <w:widowControl/>
        <w:spacing w:line="520" w:lineRule="atLeast"/>
        <w:ind w:firstLine="36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3471AF5">
      <w:pPr>
        <w:widowControl/>
        <w:spacing w:line="520" w:lineRule="atLeast"/>
        <w:ind w:firstLine="36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14.2.2 根据货物低劣程度、损坏程度以及甲方所遭受损失的数额，经双方商定降低货物的价格，或由有权的部门评估，以降低后的价格或评估价格为准。</w:t>
      </w:r>
    </w:p>
    <w:p w14:paraId="75AD83D4">
      <w:pPr>
        <w:widowControl/>
        <w:spacing w:line="520" w:lineRule="atLeast"/>
        <w:ind w:firstLine="36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14.2.3 用符合规格、质量和性能要求的新零件、部件或货物来更换有缺陷的部分和修补缺陷部分，乙方承担一切费用和风险并负担甲方所发生的一切直接费用。同时，乙方方应按合同第12条规定，相应延长修补或更换件的质量保证期。</w:t>
      </w:r>
    </w:p>
    <w:p w14:paraId="08CEB8CF">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06444C6">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15.违约责任</w:t>
      </w:r>
    </w:p>
    <w:p w14:paraId="4B7135B5">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15.1 甲方无正当理由拒收货物的，甲方向乙方偿付拒收货款总值的百分之五违约金。</w:t>
      </w:r>
    </w:p>
    <w:p w14:paraId="271616A0">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15.2 甲方无故逾期验收和办理货款支付手续的</w:t>
      </w:r>
      <w:r>
        <w:rPr>
          <w:rFonts w:hint="eastAsia" w:asciiTheme="minorEastAsia" w:hAnsiTheme="minorEastAsia" w:eastAsia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olor w:val="000000" w:themeColor="text1"/>
          <w:kern w:val="0"/>
          <w:sz w:val="24"/>
          <w:szCs w:val="24"/>
          <w14:textFill>
            <w14:solidFill>
              <w14:schemeClr w14:val="tx1"/>
            </w14:solidFill>
          </w14:textFill>
        </w:rPr>
        <w:t>甲方按逾期付款总额每日万分之五向乙方支付违约金。</w:t>
      </w:r>
    </w:p>
    <w:p w14:paraId="34960435">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1F467BA3">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16.不可抗力事件处理</w:t>
      </w:r>
    </w:p>
    <w:p w14:paraId="075D810C">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FB78F76">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16.2 本合同中的不可抗力指不能预见、不能避免并不能克服的客观情况。包括但不限于：自然灾害如地震、台风、洪水、火灾；政府行为、法律规定或其适用的变化或者其他任何无法预见、避免或者控制的事件。</w:t>
      </w:r>
    </w:p>
    <w:p w14:paraId="748CFEE9">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17.合同纠纷处理</w:t>
      </w:r>
    </w:p>
    <w:p w14:paraId="100B6827">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因本合同或与本合同有关的一切事项发生争议，由双方友好协商解决。协商不成的，任何一方均可选择以下方式解决：</w:t>
      </w:r>
    </w:p>
    <w:p w14:paraId="00318170">
      <w:pPr>
        <w:widowControl/>
        <w:spacing w:line="520" w:lineRule="atLeast"/>
        <w:ind w:firstLine="480"/>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17.1 向合同签订地人民法院提起诉讼。</w:t>
      </w:r>
    </w:p>
    <w:p w14:paraId="3F738656">
      <w:pPr>
        <w:widowControl/>
        <w:spacing w:line="520" w:lineRule="atLeast"/>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18.违约解除合同</w:t>
      </w:r>
    </w:p>
    <w:p w14:paraId="465F72AE">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18.1在乙方违约的情况下，甲方可向乙方发出书面通知，部分或全部终止合同，同时保留向对方追诉的权利。</w:t>
      </w:r>
    </w:p>
    <w:p w14:paraId="2752AB05">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18.1.1 乙方未能在合同规定的限期或甲方同意延长的限期内提供全部或部分货物，按合同第15.3的规定可以解除合同的。</w:t>
      </w:r>
    </w:p>
    <w:p w14:paraId="48CCF0CD">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18.1.2 乙方有转让和未经甲方同意的分包行为，按合同第7.3的规定可以解除合同的。</w:t>
      </w:r>
    </w:p>
    <w:p w14:paraId="42938405">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18.1.3 乙方未能履行合同规定的其它主要义务的。</w:t>
      </w:r>
    </w:p>
    <w:p w14:paraId="5FFA1B2C">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18.1.4 在本合同履行过程中有腐败和欺诈行为的。</w:t>
      </w:r>
    </w:p>
    <w:p w14:paraId="0682FF31">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A8DE7A2">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19.其他约定</w:t>
      </w:r>
    </w:p>
    <w:p w14:paraId="18EF44E4">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19.1 本采购项目的招标文件、中标供应商的投标文件以及相关的澄清确认函（如果有的话）均为本合同不可分割的一部分，与本合同具有同等法律效力。</w:t>
      </w:r>
    </w:p>
    <w:p w14:paraId="6A3BDAE3">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19.2 本合同未尽事宜，双方另行补充。</w:t>
      </w:r>
    </w:p>
    <w:p w14:paraId="0F942E12">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19.3本合同正本一式份，具有同等法律效力，甲、乙双方各执两份。</w:t>
      </w:r>
    </w:p>
    <w:p w14:paraId="4C3191DE">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hint="default" w:asciiTheme="minorEastAsia" w:hAnsiTheme="minorEastAsia" w:eastAsiaTheme="minorEastAsia"/>
          <w:color w:val="000000" w:themeColor="text1"/>
          <w:kern w:val="0"/>
          <w:sz w:val="24"/>
          <w:szCs w:val="24"/>
          <w:u w:val="single"/>
          <w:lang w:val="en-US" w:eastAsia="zh-CN"/>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19.4 签定地点：</w:t>
      </w:r>
      <w:r>
        <w:rPr>
          <w:rFonts w:hint="eastAsia"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p>
    <w:p w14:paraId="3859AF75">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hint="eastAsia" w:asciiTheme="minorEastAsia" w:hAnsiTheme="minorEastAsia" w:eastAsiaTheme="minorEastAsia"/>
          <w:color w:val="000000" w:themeColor="text1"/>
          <w:kern w:val="0"/>
          <w:sz w:val="24"/>
          <w:szCs w:val="24"/>
          <w14:textFill>
            <w14:solidFill>
              <w14:schemeClr w14:val="tx1"/>
            </w14:solidFill>
          </w14:textFill>
        </w:rPr>
      </w:pPr>
    </w:p>
    <w:p w14:paraId="1D014823">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hint="eastAsia" w:asciiTheme="minorEastAsia" w:hAnsiTheme="minorEastAsia" w:eastAsiaTheme="minorEastAsia"/>
          <w:color w:val="000000" w:themeColor="text1"/>
          <w:kern w:val="0"/>
          <w:sz w:val="24"/>
          <w:szCs w:val="24"/>
          <w14:textFill>
            <w14:solidFill>
              <w14:schemeClr w14:val="tx1"/>
            </w14:solidFill>
          </w14:textFill>
        </w:rPr>
      </w:pPr>
    </w:p>
    <w:p w14:paraId="007928FA">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甲 方：                          乙 方：</w:t>
      </w:r>
    </w:p>
    <w:p w14:paraId="5BF31177">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单位地址：                       单位地址：</w:t>
      </w:r>
    </w:p>
    <w:p w14:paraId="2EC3AC9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法定代表人：                     法定代表人：</w:t>
      </w:r>
    </w:p>
    <w:p w14:paraId="619687CE">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委托代理人：                     委托代理人：</w:t>
      </w:r>
    </w:p>
    <w:p w14:paraId="40E4AD39">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电 话：                          电 话：</w:t>
      </w:r>
    </w:p>
    <w:p w14:paraId="175DB944">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签订日期： 年 月 日</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签订日期： 年 月 日</w:t>
      </w:r>
    </w:p>
    <w:p w14:paraId="20C74448">
      <w:pPr>
        <w:widowControl/>
        <w:spacing w:line="520" w:lineRule="atLeast"/>
        <w:ind w:firstLine="480"/>
        <w:jc w:val="left"/>
        <w:rPr>
          <w:rFonts w:hint="eastAsia" w:asciiTheme="minorEastAsia" w:hAnsiTheme="minorEastAsia" w:eastAsiaTheme="minorEastAsia"/>
          <w:color w:val="000000" w:themeColor="text1"/>
          <w:kern w:val="0"/>
          <w:sz w:val="24"/>
          <w:szCs w:val="24"/>
          <w14:textFill>
            <w14:solidFill>
              <w14:schemeClr w14:val="tx1"/>
            </w14:solidFill>
          </w14:textFill>
        </w:rPr>
      </w:pPr>
    </w:p>
    <w:p w14:paraId="35F96EB3">
      <w:pPr>
        <w:spacing w:line="360" w:lineRule="auto"/>
        <w:rPr>
          <w:rFonts w:hint="eastAsia" w:ascii="宋体" w:hAnsi="宋体"/>
          <w:color w:val="000000" w:themeColor="text1"/>
          <w:sz w:val="21"/>
          <w:szCs w:val="21"/>
          <w14:textFill>
            <w14:solidFill>
              <w14:schemeClr w14:val="tx1"/>
            </w14:solidFill>
          </w14:textFill>
        </w:rPr>
      </w:pPr>
    </w:p>
    <w:p w14:paraId="4CC3B96A">
      <w:pPr>
        <w:pStyle w:val="4"/>
        <w:numPr>
          <w:ilvl w:val="0"/>
          <w:numId w:val="0"/>
        </w:numPr>
        <w:bidi w:val="0"/>
        <w:jc w:val="center"/>
        <w:rPr>
          <w:rFonts w:hint="eastAsia"/>
          <w:color w:val="000000" w:themeColor="text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bookmarkEnd w:id="36"/>
      <w:bookmarkStart w:id="37" w:name="_Toc30436"/>
      <w:bookmarkStart w:id="38" w:name="_Toc23982"/>
      <w:bookmarkStart w:id="39" w:name="_Toc80256509"/>
      <w:r>
        <w:rPr>
          <w:rFonts w:hint="eastAsia"/>
          <w:color w:val="000000" w:themeColor="text1"/>
          <w14:textFill>
            <w14:solidFill>
              <w14:schemeClr w14:val="tx1"/>
            </w14:solidFill>
          </w14:textFill>
        </w:rPr>
        <w:t>第六章  投标文件格式</w:t>
      </w:r>
      <w:bookmarkEnd w:id="37"/>
      <w:bookmarkEnd w:id="38"/>
      <w:bookmarkEnd w:id="39"/>
    </w:p>
    <w:p w14:paraId="14155CF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64B4CE86">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4B6D3A8D">
      <w:pPr>
        <w:keepNext w:val="0"/>
        <w:keepLines w:val="0"/>
        <w:pageBreakBefore w:val="0"/>
        <w:tabs>
          <w:tab w:val="left" w:pos="4358"/>
          <w:tab w:val="left" w:pos="6746"/>
        </w:tabs>
        <w:kinsoku/>
        <w:wordWrap w:val="0"/>
        <w:overflowPunct/>
        <w:topLinePunct w:val="0"/>
        <w:bidi w:val="0"/>
        <w:spacing w:before="71"/>
        <w:ind w:left="0" w:right="0" w:firstLine="0"/>
        <w:jc w:val="center"/>
        <w:textAlignment w:val="auto"/>
        <w:rPr>
          <w:rFonts w:hint="eastAsia" w:ascii="宋体" w:hAnsi="宋体" w:eastAsia="宋体" w:cs="宋体"/>
          <w:b/>
          <w:color w:val="000000" w:themeColor="text1"/>
          <w:sz w:val="32"/>
          <w:szCs w:val="32"/>
          <w14:textFill>
            <w14:solidFill>
              <w14:schemeClr w14:val="tx1"/>
            </w14:solidFill>
          </w14:textFill>
        </w:rPr>
      </w:pPr>
      <w:bookmarkStart w:id="40" w:name="_Toc16926_WPSOffice_Level1"/>
      <w:bookmarkEnd w:id="40"/>
      <w:bookmarkStart w:id="41" w:name="_Toc466566820"/>
      <w:bookmarkEnd w:id="41"/>
      <w:bookmarkStart w:id="42" w:name="_Toc9470_WPSOffice_Level1"/>
      <w:bookmarkEnd w:id="42"/>
      <w:r>
        <w:rPr>
          <w:rFonts w:hint="eastAsia" w:cs="宋体"/>
          <w:b/>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（项目名称</w:t>
      </w:r>
      <w:r>
        <w:rPr>
          <w:rFonts w:hint="eastAsia" w:ascii="宋体" w:hAnsi="宋体" w:eastAsia="宋体" w:cs="宋体"/>
          <w:b/>
          <w:color w:val="000000" w:themeColor="text1"/>
          <w:spacing w:val="-4"/>
          <w:sz w:val="32"/>
          <w:szCs w:val="32"/>
          <w14:textFill>
            <w14:solidFill>
              <w14:schemeClr w14:val="tx1"/>
            </w14:solidFill>
          </w14:textFill>
        </w:rPr>
        <w:t>）</w:t>
      </w:r>
    </w:p>
    <w:p w14:paraId="3770F51C">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52409611">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7A0D9942">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7AE885ED">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6A61DA3D">
      <w:pPr>
        <w:widowControl/>
        <w:jc w:val="center"/>
        <w:outlineLvl w:val="0"/>
        <w:rPr>
          <w:rFonts w:hint="eastAsia" w:ascii="宋体" w:hAnsi="宋体" w:eastAsia="宋体" w:cs="宋体"/>
          <w:color w:val="000000" w:themeColor="text1"/>
          <w:sz w:val="72"/>
          <w:szCs w:val="72"/>
          <w:highlight w:val="none"/>
          <w14:textFill>
            <w14:solidFill>
              <w14:schemeClr w14:val="tx1"/>
            </w14:solidFill>
          </w14:textFill>
        </w:rPr>
      </w:pPr>
      <w:bookmarkStart w:id="43" w:name="_Toc22300_WPSOffice_Level1"/>
      <w:bookmarkEnd w:id="43"/>
      <w:bookmarkStart w:id="44" w:name="_Toc26723_WPSOffice_Level1"/>
      <w:bookmarkEnd w:id="44"/>
      <w:bookmarkStart w:id="45" w:name="_Toc80256511"/>
      <w:bookmarkStart w:id="46" w:name="_Toc971"/>
      <w:bookmarkStart w:id="47" w:name="_Toc7210"/>
      <w:bookmarkStart w:id="48" w:name="_Toc10582_WPSOffice_Level1"/>
      <w:bookmarkStart w:id="49" w:name="_Toc18800_WPSOffice_Level1"/>
      <w:r>
        <w:rPr>
          <w:rFonts w:hint="eastAsia" w:ascii="宋体" w:hAnsi="宋体" w:eastAsia="宋体" w:cs="宋体"/>
          <w:color w:val="000000" w:themeColor="text1"/>
          <w:sz w:val="72"/>
          <w:szCs w:val="72"/>
          <w:highlight w:val="none"/>
          <w14:textFill>
            <w14:solidFill>
              <w14:schemeClr w14:val="tx1"/>
            </w14:solidFill>
          </w14:textFill>
        </w:rPr>
        <w:t>投 标 文 件</w:t>
      </w:r>
      <w:bookmarkEnd w:id="45"/>
      <w:bookmarkEnd w:id="46"/>
      <w:bookmarkEnd w:id="47"/>
      <w:bookmarkEnd w:id="48"/>
      <w:bookmarkEnd w:id="49"/>
    </w:p>
    <w:p w14:paraId="101BC8B4">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488CEF5D">
      <w:pPr>
        <w:pStyle w:val="2"/>
        <w:rPr>
          <w:rFonts w:hint="eastAsia" w:ascii="宋体" w:hAnsi="宋体" w:eastAsia="宋体" w:cs="宋体"/>
          <w:color w:val="000000" w:themeColor="text1"/>
          <w:sz w:val="28"/>
          <w:szCs w:val="28"/>
          <w:highlight w:val="none"/>
          <w14:textFill>
            <w14:solidFill>
              <w14:schemeClr w14:val="tx1"/>
            </w14:solidFill>
          </w14:textFill>
        </w:rPr>
      </w:pPr>
    </w:p>
    <w:p w14:paraId="5D5A9E3E">
      <w:pPr>
        <w:pStyle w:val="2"/>
        <w:rPr>
          <w:rFonts w:hint="eastAsia" w:ascii="宋体" w:hAnsi="宋体" w:eastAsia="宋体" w:cs="宋体"/>
          <w:color w:val="000000" w:themeColor="text1"/>
          <w:sz w:val="28"/>
          <w:szCs w:val="28"/>
          <w:highlight w:val="none"/>
          <w14:textFill>
            <w14:solidFill>
              <w14:schemeClr w14:val="tx1"/>
            </w14:solidFill>
          </w14:textFill>
        </w:rPr>
      </w:pPr>
    </w:p>
    <w:p w14:paraId="7C31EF46">
      <w:pPr>
        <w:spacing w:line="360" w:lineRule="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项目编号：</w:t>
      </w:r>
      <w:r>
        <w:rPr>
          <w:rFonts w:hint="eastAsia" w:cs="宋体"/>
          <w:b/>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6CB6953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45FD644F">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33CB273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11A8FCCF">
      <w:pPr>
        <w:spacing w:line="360" w:lineRule="auto"/>
        <w:jc w:val="both"/>
        <w:rPr>
          <w:rFonts w:hint="eastAsia" w:ascii="宋体" w:hAnsi="宋体" w:eastAsia="宋体" w:cs="宋体"/>
          <w:color w:val="000000" w:themeColor="text1"/>
          <w:sz w:val="24"/>
          <w:highlight w:val="none"/>
          <w14:textFill>
            <w14:solidFill>
              <w14:schemeClr w14:val="tx1"/>
            </w14:solidFill>
          </w14:textFill>
        </w:rPr>
      </w:pPr>
    </w:p>
    <w:p w14:paraId="04A8580E">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14:paraId="71E303B2">
      <w:pPr>
        <w:widowControl/>
        <w:spacing w:line="480" w:lineRule="auto"/>
        <w:jc w:val="center"/>
        <w:outlineLvl w:val="0"/>
        <w:rPr>
          <w:rFonts w:hint="eastAsia" w:ascii="宋体" w:hAnsi="宋体" w:eastAsia="宋体" w:cs="宋体"/>
          <w:color w:val="000000" w:themeColor="text1"/>
          <w:sz w:val="30"/>
          <w:szCs w:val="30"/>
          <w:highlight w:val="none"/>
          <w14:textFill>
            <w14:solidFill>
              <w14:schemeClr w14:val="tx1"/>
            </w14:solidFill>
          </w14:textFill>
        </w:rPr>
      </w:pPr>
      <w:bookmarkStart w:id="50" w:name="_Toc80256512"/>
      <w:bookmarkStart w:id="51" w:name="_Toc29803"/>
      <w:bookmarkStart w:id="52" w:name="_Toc26667"/>
      <w:r>
        <w:rPr>
          <w:rFonts w:hint="eastAsia" w:ascii="宋体" w:hAnsi="宋体" w:eastAsia="宋体" w:cs="宋体"/>
          <w:color w:val="000000" w:themeColor="text1"/>
          <w:sz w:val="30"/>
          <w:szCs w:val="30"/>
          <w:highlight w:val="none"/>
          <w14:textFill>
            <w14:solidFill>
              <w14:schemeClr w14:val="tx1"/>
            </w14:solidFill>
          </w14:textFill>
        </w:rPr>
        <w:t>供应商</w:t>
      </w:r>
      <w:r>
        <w:rPr>
          <w:rFonts w:hint="eastAsia" w:ascii="宋体" w:hAnsi="宋体" w:eastAsia="宋体" w:cs="宋体"/>
          <w:color w:val="000000" w:themeColor="text1"/>
          <w:sz w:val="30"/>
          <w:szCs w:val="30"/>
          <w:highlight w:val="none"/>
          <w:lang w:val="en-US" w:eastAsia="zh-CN"/>
          <w14:textFill>
            <w14:solidFill>
              <w14:schemeClr w14:val="tx1"/>
            </w14:solidFill>
          </w14:textFill>
        </w:rPr>
        <w:t>名称</w:t>
      </w:r>
      <w:r>
        <w:rPr>
          <w:rFonts w:hint="eastAsia" w:ascii="宋体" w:hAnsi="宋体" w:eastAsia="宋体" w:cs="宋体"/>
          <w:color w:val="000000" w:themeColor="text1"/>
          <w:sz w:val="30"/>
          <w:szCs w:val="30"/>
          <w:highlight w:val="none"/>
          <w14:textFill>
            <w14:solidFill>
              <w14:schemeClr w14:val="tx1"/>
            </w14:solidFill>
          </w14:textFill>
        </w:rPr>
        <w:t>：</w:t>
      </w:r>
      <w:r>
        <w:rPr>
          <w:rFonts w:hint="eastAsia" w:cs="宋体"/>
          <w:b/>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公章</w:t>
      </w:r>
      <w:r>
        <w:rPr>
          <w:rFonts w:hint="eastAsia" w:ascii="宋体" w:hAnsi="宋体" w:eastAsia="宋体" w:cs="宋体"/>
          <w:color w:val="000000" w:themeColor="text1"/>
          <w:sz w:val="30"/>
          <w:szCs w:val="30"/>
          <w:highlight w:val="none"/>
          <w14:textFill>
            <w14:solidFill>
              <w14:schemeClr w14:val="tx1"/>
            </w14:solidFill>
          </w14:textFill>
        </w:rPr>
        <w:t>电子签章）</w:t>
      </w:r>
      <w:bookmarkEnd w:id="50"/>
      <w:bookmarkEnd w:id="51"/>
      <w:bookmarkEnd w:id="52"/>
      <w:bookmarkStart w:id="53" w:name="_Toc25871"/>
      <w:bookmarkStart w:id="54" w:name="_Toc25185"/>
      <w:bookmarkStart w:id="55" w:name="_Toc80256513"/>
    </w:p>
    <w:p w14:paraId="63FD8881">
      <w:pPr>
        <w:widowControl/>
        <w:spacing w:line="480" w:lineRule="auto"/>
        <w:jc w:val="center"/>
        <w:outlineLvl w:val="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法定代表人：</w:t>
      </w:r>
      <w:r>
        <w:rPr>
          <w:rFonts w:hint="eastAsia" w:cs="宋体"/>
          <w:b/>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w:t>
      </w:r>
      <w:r>
        <w:rPr>
          <w:rFonts w:hint="eastAsia" w:ascii="宋体" w:hAnsi="宋体" w:eastAsia="宋体" w:cs="宋体"/>
          <w:color w:val="000000" w:themeColor="text1"/>
          <w:sz w:val="30"/>
          <w:szCs w:val="30"/>
          <w:highlight w:val="none"/>
          <w:lang w:val="en-US" w:eastAsia="zh-CN"/>
          <w14:textFill>
            <w14:solidFill>
              <w14:schemeClr w14:val="tx1"/>
            </w14:solidFill>
          </w14:textFill>
        </w:rPr>
        <w:t>法人</w:t>
      </w:r>
      <w:r>
        <w:rPr>
          <w:rFonts w:hint="eastAsia" w:ascii="宋体" w:hAnsi="宋体" w:eastAsia="宋体" w:cs="宋体"/>
          <w:color w:val="000000" w:themeColor="text1"/>
          <w:sz w:val="30"/>
          <w:szCs w:val="30"/>
          <w:highlight w:val="none"/>
          <w14:textFill>
            <w14:solidFill>
              <w14:schemeClr w14:val="tx1"/>
            </w14:solidFill>
          </w14:textFill>
        </w:rPr>
        <w:t>电子签章）</w:t>
      </w:r>
      <w:bookmarkEnd w:id="53"/>
      <w:bookmarkEnd w:id="54"/>
      <w:bookmarkEnd w:id="55"/>
    </w:p>
    <w:p w14:paraId="31D8AA04">
      <w:pPr>
        <w:widowControl/>
        <w:spacing w:line="480" w:lineRule="auto"/>
        <w:outlineLvl w:val="0"/>
        <w:rPr>
          <w:rFonts w:hint="eastAsia" w:ascii="宋体" w:hAnsi="宋体" w:eastAsia="宋体" w:cs="宋体"/>
          <w:color w:val="000000" w:themeColor="text1"/>
          <w:sz w:val="30"/>
          <w:szCs w:val="30"/>
          <w:highlight w:val="none"/>
          <w14:textFill>
            <w14:solidFill>
              <w14:schemeClr w14:val="tx1"/>
            </w14:solidFill>
          </w14:textFill>
        </w:rPr>
      </w:pPr>
      <w:bookmarkStart w:id="56" w:name="_Toc17200"/>
      <w:bookmarkStart w:id="57" w:name="_Toc80256514"/>
      <w:r>
        <w:rPr>
          <w:rFonts w:hint="eastAsia" w:ascii="宋体" w:hAnsi="宋体" w:eastAsia="宋体" w:cs="宋体"/>
          <w:color w:val="000000" w:themeColor="text1"/>
          <w:sz w:val="30"/>
          <w:szCs w:val="30"/>
          <w:highlight w:val="none"/>
          <w14:textFill>
            <w14:solidFill>
              <w14:schemeClr w14:val="tx1"/>
            </w14:solidFill>
          </w14:textFill>
        </w:rPr>
        <w:t xml:space="preserve">            </w:t>
      </w:r>
      <w:bookmarkStart w:id="58" w:name="_Toc25564"/>
      <w:r>
        <w:rPr>
          <w:rFonts w:hint="eastAsia" w:ascii="宋体" w:hAnsi="宋体" w:eastAsia="宋体" w:cs="宋体"/>
          <w:color w:val="000000" w:themeColor="text1"/>
          <w:sz w:val="30"/>
          <w:szCs w:val="30"/>
          <w:highlight w:val="none"/>
          <w14:textFill>
            <w14:solidFill>
              <w14:schemeClr w14:val="tx1"/>
            </w14:solidFill>
          </w14:textFill>
        </w:rPr>
        <w:t>日期：</w:t>
      </w:r>
      <w:r>
        <w:rPr>
          <w:rFonts w:hint="eastAsia" w:ascii="宋体" w:hAnsi="宋体" w:eastAsia="宋体" w:cs="宋体"/>
          <w:color w:val="000000" w:themeColor="text1"/>
          <w:sz w:val="30"/>
          <w:szCs w:val="3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 xml:space="preserve"> 年   月   日</w:t>
      </w:r>
      <w:bookmarkEnd w:id="56"/>
      <w:bookmarkEnd w:id="57"/>
      <w:bookmarkEnd w:id="58"/>
      <w:bookmarkStart w:id="59" w:name="_Toc30946_WPSOffice_Level1"/>
      <w:bookmarkEnd w:id="59"/>
    </w:p>
    <w:p w14:paraId="611512AF">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6F9BD3C7">
      <w:pPr>
        <w:pStyle w:val="100"/>
        <w:rPr>
          <w:rFonts w:hint="eastAsia" w:ascii="宋体" w:hAnsi="宋体" w:eastAsia="宋体" w:cs="宋体"/>
          <w:color w:val="000000" w:themeColor="text1"/>
          <w:highlight w:val="none"/>
          <w14:textFill>
            <w14:solidFill>
              <w14:schemeClr w14:val="tx1"/>
            </w14:solidFill>
          </w14:textFill>
        </w:rPr>
      </w:pPr>
    </w:p>
    <w:p w14:paraId="39AC4D5D">
      <w:pPr>
        <w:pStyle w:val="100"/>
        <w:rPr>
          <w:rFonts w:hint="eastAsia" w:ascii="宋体" w:hAnsi="宋体" w:eastAsia="宋体" w:cs="宋体"/>
          <w:color w:val="000000" w:themeColor="text1"/>
          <w:highlight w:val="none"/>
          <w14:textFill>
            <w14:solidFill>
              <w14:schemeClr w14:val="tx1"/>
            </w14:solidFill>
          </w14:textFill>
        </w:rPr>
      </w:pPr>
    </w:p>
    <w:p w14:paraId="47A5D078">
      <w:pPr>
        <w:pStyle w:val="100"/>
        <w:rPr>
          <w:rFonts w:hint="eastAsia" w:ascii="宋体" w:hAnsi="宋体" w:eastAsia="宋体" w:cs="宋体"/>
          <w:color w:val="000000" w:themeColor="text1"/>
          <w:highlight w:val="none"/>
          <w14:textFill>
            <w14:solidFill>
              <w14:schemeClr w14:val="tx1"/>
            </w14:solidFill>
          </w14:textFill>
        </w:rPr>
      </w:pPr>
    </w:p>
    <w:p w14:paraId="20915902">
      <w:pPr>
        <w:tabs>
          <w:tab w:val="left" w:pos="1260"/>
        </w:tabs>
        <w:spacing w:line="480" w:lineRule="atLeast"/>
        <w:jc w:val="center"/>
        <w:outlineLvl w:val="1"/>
        <w:rPr>
          <w:rFonts w:hint="eastAsia" w:ascii="宋体" w:hAnsi="宋体" w:eastAsia="宋体" w:cs="宋体"/>
          <w:b/>
          <w:color w:val="000000" w:themeColor="text1"/>
          <w:sz w:val="32"/>
          <w:szCs w:val="30"/>
          <w:highlight w:val="none"/>
          <w14:textFill>
            <w14:solidFill>
              <w14:schemeClr w14:val="tx1"/>
            </w14:solidFill>
          </w14:textFill>
        </w:rPr>
      </w:pPr>
      <w:r>
        <w:rPr>
          <w:rFonts w:hint="eastAsia" w:ascii="宋体" w:hAnsi="宋体" w:eastAsia="宋体" w:cs="宋体"/>
          <w:b/>
          <w:color w:val="000000" w:themeColor="text1"/>
          <w:sz w:val="32"/>
          <w:szCs w:val="30"/>
          <w:highlight w:val="none"/>
          <w14:textFill>
            <w14:solidFill>
              <w14:schemeClr w14:val="tx1"/>
            </w14:solidFill>
          </w14:textFill>
        </w:rPr>
        <w:t>目    录</w:t>
      </w:r>
    </w:p>
    <w:p w14:paraId="2082E7FA">
      <w:pPr>
        <w:tabs>
          <w:tab w:val="left" w:pos="1260"/>
        </w:tabs>
        <w:spacing w:line="480" w:lineRule="atLeast"/>
        <w:jc w:val="center"/>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格式</w:t>
      </w:r>
      <w:r>
        <w:rPr>
          <w:rFonts w:hint="eastAsia" w:ascii="宋体" w:hAnsi="宋体" w:eastAsia="宋体" w:cs="宋体"/>
          <w:color w:val="000000" w:themeColor="text1"/>
          <w:sz w:val="24"/>
          <w:highlight w:val="none"/>
          <w14:textFill>
            <w14:solidFill>
              <w14:schemeClr w14:val="tx1"/>
            </w14:solidFill>
          </w14:textFill>
        </w:rPr>
        <w:t>自拟）</w:t>
      </w:r>
    </w:p>
    <w:p w14:paraId="54996820">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9E8BFD5">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1F61C5FE">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7C0BB4D">
      <w:pPr>
        <w:pStyle w:val="100"/>
        <w:rPr>
          <w:rFonts w:hint="eastAsia" w:ascii="宋体" w:hAnsi="宋体" w:eastAsia="宋体" w:cs="宋体"/>
          <w:color w:val="000000" w:themeColor="text1"/>
          <w:highlight w:val="none"/>
          <w14:textFill>
            <w14:solidFill>
              <w14:schemeClr w14:val="tx1"/>
            </w14:solidFill>
          </w14:textFill>
        </w:rPr>
      </w:pPr>
    </w:p>
    <w:p w14:paraId="7BF6CA1C">
      <w:pPr>
        <w:pStyle w:val="100"/>
        <w:rPr>
          <w:rFonts w:hint="eastAsia" w:ascii="宋体" w:hAnsi="宋体" w:eastAsia="宋体" w:cs="宋体"/>
          <w:color w:val="000000" w:themeColor="text1"/>
          <w:highlight w:val="none"/>
          <w14:textFill>
            <w14:solidFill>
              <w14:schemeClr w14:val="tx1"/>
            </w14:solidFill>
          </w14:textFill>
        </w:rPr>
      </w:pPr>
    </w:p>
    <w:p w14:paraId="533BF231">
      <w:pPr>
        <w:pStyle w:val="100"/>
        <w:rPr>
          <w:rFonts w:hint="eastAsia" w:ascii="宋体" w:hAnsi="宋体" w:eastAsia="宋体" w:cs="宋体"/>
          <w:color w:val="000000" w:themeColor="text1"/>
          <w:highlight w:val="none"/>
          <w14:textFill>
            <w14:solidFill>
              <w14:schemeClr w14:val="tx1"/>
            </w14:solidFill>
          </w14:textFill>
        </w:rPr>
      </w:pPr>
    </w:p>
    <w:p w14:paraId="5A061363">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1FD987B2">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3273637F">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4E06A67">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0BF015A4">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053D66EE">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10C1C0FD">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460D1766">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B419DF3">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1269F1D0">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6B8F04A9">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F8641A4">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30AA3BB8">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32684792">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6E377191">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17360FBE">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72AC8F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60" w:name="_Toc1364_WPSOffice_Level1"/>
      <w:bookmarkStart w:id="61" w:name="_Toc32383"/>
      <w:bookmarkStart w:id="62" w:name="_Toc80256515"/>
      <w:bookmarkStart w:id="63" w:name="_Toc8736"/>
      <w:r>
        <w:rPr>
          <w:rFonts w:hint="eastAsia" w:ascii="宋体" w:hAnsi="宋体" w:eastAsia="宋体" w:cs="宋体"/>
          <w:b/>
          <w:color w:val="000000" w:themeColor="text1"/>
          <w:sz w:val="28"/>
          <w:szCs w:val="28"/>
          <w:highlight w:val="none"/>
          <w14:textFill>
            <w14:solidFill>
              <w14:schemeClr w14:val="tx1"/>
            </w14:solidFill>
          </w14:textFill>
        </w:rPr>
        <w:t>一、投标函</w:t>
      </w:r>
      <w:bookmarkEnd w:id="60"/>
      <w:r>
        <w:rPr>
          <w:rFonts w:hint="eastAsia" w:ascii="宋体" w:hAnsi="宋体" w:eastAsia="宋体" w:cs="宋体"/>
          <w:b/>
          <w:color w:val="000000" w:themeColor="text1"/>
          <w:sz w:val="28"/>
          <w:szCs w:val="28"/>
          <w:highlight w:val="none"/>
          <w14:textFill>
            <w14:solidFill>
              <w14:schemeClr w14:val="tx1"/>
            </w14:solidFill>
          </w14:textFill>
        </w:rPr>
        <w:t>及</w:t>
      </w:r>
      <w:bookmarkEnd w:id="61"/>
      <w:bookmarkEnd w:id="62"/>
      <w:bookmarkEnd w:id="63"/>
      <w:r>
        <w:rPr>
          <w:rFonts w:hint="eastAsia" w:ascii="宋体" w:hAnsi="宋体" w:eastAsia="宋体" w:cs="宋体"/>
          <w:b/>
          <w:color w:val="000000" w:themeColor="text1"/>
          <w:sz w:val="28"/>
          <w:szCs w:val="28"/>
          <w:highlight w:val="none"/>
          <w14:textFill>
            <w14:solidFill>
              <w14:schemeClr w14:val="tx1"/>
            </w14:solidFill>
          </w14:textFill>
        </w:rPr>
        <w:t>投标函</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附录</w:t>
      </w:r>
    </w:p>
    <w:p w14:paraId="7F570FE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8"/>
          <w:szCs w:val="36"/>
          <w:highlight w:val="none"/>
          <w14:textFill>
            <w14:solidFill>
              <w14:schemeClr w14:val="tx1"/>
            </w14:solidFill>
          </w14:textFill>
        </w:rPr>
        <w:t>（一）投标函</w:t>
      </w:r>
    </w:p>
    <w:p w14:paraId="2A2DE2D9">
      <w:pPr>
        <w:pStyle w:val="24"/>
        <w:widowControl/>
        <w:spacing w:line="500" w:lineRule="exact"/>
        <w:rPr>
          <w:rFonts w:hint="eastAsia" w:ascii="宋体" w:hAnsi="宋体" w:eastAsia="宋体" w:cs="宋体"/>
          <w:color w:val="auto"/>
          <w:sz w:val="24"/>
          <w:szCs w:val="24"/>
        </w:rPr>
      </w:pPr>
      <w:bookmarkStart w:id="64" w:name="_Toc21940_WPSOffice_Level1"/>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w:t>
      </w:r>
      <w:r>
        <w:rPr>
          <w:rFonts w:hint="eastAsia" w:hAnsi="宋体" w:cs="宋体"/>
          <w:color w:val="auto"/>
          <w:sz w:val="24"/>
          <w:szCs w:val="24"/>
          <w:u w:val="single"/>
          <w:lang w:eastAsia="zh-CN"/>
        </w:rPr>
        <w:t>采购人</w:t>
      </w:r>
      <w:r>
        <w:rPr>
          <w:rFonts w:hint="eastAsia" w:ascii="宋体" w:hAnsi="宋体" w:eastAsia="宋体" w:cs="宋体"/>
          <w:color w:val="auto"/>
          <w:sz w:val="24"/>
          <w:szCs w:val="24"/>
          <w:u w:val="single"/>
        </w:rPr>
        <w:t>）</w:t>
      </w:r>
    </w:p>
    <w:p w14:paraId="31AE5F39">
      <w:pPr>
        <w:widowControl w:val="0"/>
        <w:wordWrap/>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我们收到了 </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的招标文件，经详细研究，我们决定参加该</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投标活动并投标，我们郑重声明以下诸点并负法律责任。</w:t>
      </w:r>
    </w:p>
    <w:p w14:paraId="4323ED74">
      <w:pPr>
        <w:numPr>
          <w:ilvl w:val="0"/>
          <w:numId w:val="3"/>
        </w:numPr>
        <w:wordWrap w:val="0"/>
        <w:spacing w:line="50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愿按照招标文件中的条款和要求，提供服务，报价为</w:t>
      </w:r>
      <w:r>
        <w:rPr>
          <w:rFonts w:hint="eastAsia" w:ascii="宋体" w:hAnsi="宋体" w:cs="宋体"/>
          <w:color w:val="auto"/>
          <w:sz w:val="24"/>
          <w:szCs w:val="24"/>
          <w:lang w:eastAsia="zh-CN"/>
        </w:rPr>
        <w:t>：</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质量</w:t>
      </w:r>
      <w:r>
        <w:rPr>
          <w:rFonts w:hint="eastAsia" w:ascii="宋体" w:hAnsi="宋体" w:cs="宋体"/>
          <w:color w:val="auto"/>
          <w:sz w:val="24"/>
          <w:szCs w:val="24"/>
          <w:lang w:val="en-US" w:eastAsia="zh-CN"/>
        </w:rPr>
        <w:t>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供货周期</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lang w:val="en-US" w:eastAsia="zh-CN"/>
        </w:rPr>
        <w:t>供货地点</w:t>
      </w: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z w:val="24"/>
          <w:szCs w:val="24"/>
        </w:rPr>
        <w:t>。</w:t>
      </w:r>
    </w:p>
    <w:p w14:paraId="3FF3721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如果我们的投标文件被接受，我们将履行招标文件中规定的各项要求。</w:t>
      </w:r>
    </w:p>
    <w:p w14:paraId="59BF2DD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我们同意按招标文件中的规定，本投标文件的有效期为自投标截止之日起</w:t>
      </w:r>
      <w:r>
        <w:rPr>
          <w:rFonts w:hint="eastAsia" w:ascii="宋体" w:hAnsi="宋体" w:eastAsia="宋体" w:cs="宋体"/>
          <w:color w:val="auto"/>
          <w:sz w:val="24"/>
          <w:szCs w:val="24"/>
          <w:u w:val="single"/>
        </w:rPr>
        <w:t>60日历天</w:t>
      </w:r>
      <w:r>
        <w:rPr>
          <w:rFonts w:hint="eastAsia" w:ascii="宋体" w:hAnsi="宋体" w:eastAsia="宋体" w:cs="宋体"/>
          <w:color w:val="auto"/>
          <w:sz w:val="24"/>
          <w:szCs w:val="24"/>
        </w:rPr>
        <w:t>。如果中标，有效期延长至合同终止日止。</w:t>
      </w:r>
    </w:p>
    <w:p w14:paraId="1A65B7C7">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(4) 我们愿提供招标文件中要求的所有文件资料。</w:t>
      </w:r>
    </w:p>
    <w:p w14:paraId="015B111E">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(5) 我们已经详细审核了全部招标文件，包括修改、补充的文件(如果有的话)和参考资料及有关附件，我们完全理解并同意放弃对这方面有不明及误解的权利。</w:t>
      </w:r>
    </w:p>
    <w:p w14:paraId="12E181A2">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(6) 我们愿按《中华人民共和国合同法》履行自己的全部责任。</w:t>
      </w:r>
    </w:p>
    <w:p w14:paraId="1A10983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（7）随同本投标函递交的投标函附录属于合同文件的组成部分。</w:t>
      </w:r>
    </w:p>
    <w:p w14:paraId="2FCC290C">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（8）如果我方中标，愿履行招标文件中的各项条款和规定，并按国家有关标准向采购代理机构交纳中标服务费。</w:t>
      </w:r>
    </w:p>
    <w:p w14:paraId="026831A6">
      <w:pPr>
        <w:spacing w:line="500" w:lineRule="exact"/>
        <w:ind w:firstLine="120" w:firstLineChars="50"/>
        <w:jc w:val="right"/>
        <w:rPr>
          <w:rFonts w:hint="eastAsia" w:ascii="宋体" w:hAnsi="宋体" w:eastAsia="宋体" w:cs="宋体"/>
          <w:color w:val="auto"/>
          <w:sz w:val="24"/>
          <w:szCs w:val="24"/>
        </w:rPr>
      </w:pPr>
    </w:p>
    <w:p w14:paraId="2FE8E577">
      <w:pPr>
        <w:spacing w:line="500" w:lineRule="exact"/>
        <w:ind w:firstLine="120" w:firstLineChars="50"/>
        <w:jc w:val="right"/>
        <w:rPr>
          <w:rFonts w:hint="eastAsia" w:ascii="宋体" w:hAnsi="宋体" w:eastAsia="宋体" w:cs="宋体"/>
          <w:color w:val="auto"/>
          <w:sz w:val="24"/>
          <w:szCs w:val="24"/>
        </w:rPr>
      </w:pPr>
    </w:p>
    <w:p w14:paraId="00007590">
      <w:pPr>
        <w:spacing w:line="500" w:lineRule="exact"/>
        <w:ind w:firstLine="120" w:firstLineChars="5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投标供应商名称：(公章签章)       </w:t>
      </w:r>
    </w:p>
    <w:p w14:paraId="76442B98">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法定代表人：(法人签章)</w:t>
      </w:r>
    </w:p>
    <w:p w14:paraId="5642DB1F">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367D8DA7">
      <w:pPr>
        <w:spacing w:line="480" w:lineRule="auto"/>
        <w:jc w:val="both"/>
        <w:rPr>
          <w:rFonts w:hint="eastAsia" w:ascii="宋体" w:hAnsi="宋体" w:eastAsia="宋体" w:cs="宋体"/>
          <w:color w:val="000000" w:themeColor="text1"/>
          <w:sz w:val="28"/>
          <w:szCs w:val="36"/>
          <w:highlight w:val="none"/>
          <w14:textFill>
            <w14:solidFill>
              <w14:schemeClr w14:val="tx1"/>
            </w14:solidFill>
          </w14:textFill>
        </w:rPr>
      </w:pPr>
    </w:p>
    <w:bookmarkEnd w:id="64"/>
    <w:p w14:paraId="32701C4C">
      <w:pPr>
        <w:numPr>
          <w:ilvl w:val="0"/>
          <w:numId w:val="0"/>
        </w:numPr>
        <w:spacing w:line="480" w:lineRule="atLeast"/>
        <w:jc w:val="center"/>
        <w:outlineLvl w:val="2"/>
        <w:rPr>
          <w:rFonts w:hint="eastAsia" w:ascii="宋体" w:hAnsi="宋体" w:eastAsia="宋体" w:cs="宋体"/>
          <w:b/>
          <w:bCs/>
          <w:color w:val="000000" w:themeColor="text1"/>
          <w:sz w:val="28"/>
          <w:szCs w:val="36"/>
          <w:lang w:val="en-US" w:eastAsia="zh-CN" w:bidi="ar-SA"/>
          <w14:textFill>
            <w14:solidFill>
              <w14:schemeClr w14:val="tx1"/>
            </w14:solidFill>
          </w14:textFill>
        </w:rPr>
      </w:pPr>
    </w:p>
    <w:p w14:paraId="282A7274">
      <w:pPr>
        <w:numPr>
          <w:ilvl w:val="0"/>
          <w:numId w:val="0"/>
        </w:numPr>
        <w:spacing w:line="480" w:lineRule="atLeast"/>
        <w:jc w:val="center"/>
        <w:outlineLvl w:val="2"/>
        <w:rPr>
          <w:rFonts w:hint="eastAsia" w:ascii="宋体" w:hAnsi="宋体" w:eastAsia="宋体" w:cs="宋体"/>
          <w:b/>
          <w:bCs/>
          <w:color w:val="000000" w:themeColor="text1"/>
          <w:sz w:val="28"/>
          <w:szCs w:val="36"/>
          <w:lang w:val="en-US" w:eastAsia="zh-CN" w:bidi="ar-SA"/>
          <w14:textFill>
            <w14:solidFill>
              <w14:schemeClr w14:val="tx1"/>
            </w14:solidFill>
          </w14:textFill>
        </w:rPr>
      </w:pPr>
    </w:p>
    <w:p w14:paraId="77951A4D">
      <w:pPr>
        <w:numPr>
          <w:ilvl w:val="0"/>
          <w:numId w:val="0"/>
        </w:numPr>
        <w:spacing w:line="480" w:lineRule="atLeast"/>
        <w:jc w:val="center"/>
        <w:outlineLvl w:val="2"/>
        <w:rPr>
          <w:rFonts w:hint="eastAsia" w:ascii="宋体" w:hAnsi="宋体" w:eastAsia="宋体" w:cs="宋体"/>
          <w:b/>
          <w:bCs/>
          <w:color w:val="000000" w:themeColor="text1"/>
          <w:sz w:val="28"/>
          <w:szCs w:val="36"/>
          <w:highlight w:val="none"/>
          <w:lang w:val="en-US" w:eastAsia="zh-CN"/>
          <w14:textFill>
            <w14:solidFill>
              <w14:schemeClr w14:val="tx1"/>
            </w14:solidFill>
          </w14:textFill>
        </w:rPr>
      </w:pPr>
      <w:r>
        <w:rPr>
          <w:rFonts w:hint="eastAsia" w:ascii="宋体" w:hAnsi="宋体" w:eastAsia="宋体" w:cs="宋体"/>
          <w:b/>
          <w:bCs/>
          <w:color w:val="000000" w:themeColor="text1"/>
          <w:sz w:val="28"/>
          <w:szCs w:val="36"/>
          <w:lang w:val="en-US" w:eastAsia="zh-CN" w:bidi="ar-SA"/>
          <w14:textFill>
            <w14:solidFill>
              <w14:schemeClr w14:val="tx1"/>
            </w14:solidFill>
          </w14:textFill>
        </w:rPr>
        <w:t>（二）</w:t>
      </w:r>
      <w:r>
        <w:rPr>
          <w:rFonts w:hint="eastAsia" w:ascii="宋体" w:hAnsi="宋体" w:eastAsia="宋体" w:cs="宋体"/>
          <w:b/>
          <w:bCs/>
          <w:color w:val="000000" w:themeColor="text1"/>
          <w:sz w:val="28"/>
          <w:szCs w:val="36"/>
          <w:highlight w:val="none"/>
          <w14:textFill>
            <w14:solidFill>
              <w14:schemeClr w14:val="tx1"/>
            </w14:solidFill>
          </w14:textFill>
        </w:rPr>
        <w:t>投标函</w:t>
      </w: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附录</w:t>
      </w:r>
    </w:p>
    <w:tbl>
      <w:tblPr>
        <w:tblStyle w:val="40"/>
        <w:tblW w:w="8979" w:type="dxa"/>
        <w:jc w:val="center"/>
        <w:tblLayout w:type="fixed"/>
        <w:tblCellMar>
          <w:top w:w="0" w:type="dxa"/>
          <w:left w:w="108" w:type="dxa"/>
          <w:bottom w:w="0" w:type="dxa"/>
          <w:right w:w="108" w:type="dxa"/>
        </w:tblCellMar>
      </w:tblPr>
      <w:tblGrid>
        <w:gridCol w:w="2070"/>
        <w:gridCol w:w="2659"/>
        <w:gridCol w:w="1622"/>
        <w:gridCol w:w="2628"/>
      </w:tblGrid>
      <w:tr w14:paraId="366E84F9">
        <w:tblPrEx>
          <w:tblCellMar>
            <w:top w:w="0" w:type="dxa"/>
            <w:left w:w="108" w:type="dxa"/>
            <w:bottom w:w="0" w:type="dxa"/>
            <w:right w:w="108" w:type="dxa"/>
          </w:tblCellMar>
        </w:tblPrEx>
        <w:trPr>
          <w:trHeight w:val="603"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04A085AC">
            <w:pPr>
              <w:autoSpaceDE w:val="0"/>
              <w:autoSpaceDN w:val="0"/>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项目名称</w:t>
            </w:r>
          </w:p>
        </w:tc>
        <w:tc>
          <w:tcPr>
            <w:tcW w:w="6909" w:type="dxa"/>
            <w:gridSpan w:val="3"/>
            <w:tcBorders>
              <w:top w:val="single" w:color="auto" w:sz="4" w:space="0"/>
              <w:left w:val="nil"/>
              <w:bottom w:val="single" w:color="auto" w:sz="4" w:space="0"/>
              <w:right w:val="single" w:color="auto" w:sz="4" w:space="0"/>
            </w:tcBorders>
            <w:noWrap w:val="0"/>
            <w:vAlign w:val="center"/>
          </w:tcPr>
          <w:p w14:paraId="6983E4E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A4A7E0">
        <w:tblPrEx>
          <w:tblCellMar>
            <w:top w:w="0" w:type="dxa"/>
            <w:left w:w="108" w:type="dxa"/>
            <w:bottom w:w="0" w:type="dxa"/>
            <w:right w:w="108" w:type="dxa"/>
          </w:tblCellMar>
        </w:tblPrEx>
        <w:trPr>
          <w:trHeight w:val="473"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244C3344">
            <w:pPr>
              <w:autoSpaceDE w:val="0"/>
              <w:autoSpaceDN w:val="0"/>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供应商名称</w:t>
            </w:r>
          </w:p>
        </w:tc>
        <w:tc>
          <w:tcPr>
            <w:tcW w:w="6909" w:type="dxa"/>
            <w:gridSpan w:val="3"/>
            <w:tcBorders>
              <w:top w:val="single" w:color="auto" w:sz="4" w:space="0"/>
              <w:left w:val="nil"/>
              <w:bottom w:val="single" w:color="auto" w:sz="4" w:space="0"/>
              <w:right w:val="single" w:color="auto" w:sz="4" w:space="0"/>
            </w:tcBorders>
            <w:noWrap w:val="0"/>
            <w:vAlign w:val="center"/>
          </w:tcPr>
          <w:p w14:paraId="07CFE8F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BDBD142">
        <w:tblPrEx>
          <w:tblCellMar>
            <w:top w:w="0" w:type="dxa"/>
            <w:left w:w="108" w:type="dxa"/>
            <w:bottom w:w="0" w:type="dxa"/>
            <w:right w:w="108" w:type="dxa"/>
          </w:tblCellMar>
        </w:tblPrEx>
        <w:trPr>
          <w:trHeight w:val="479"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39201D5">
            <w:pPr>
              <w:autoSpaceDE w:val="0"/>
              <w:autoSpaceDN w:val="0"/>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供应商地址</w:t>
            </w:r>
          </w:p>
        </w:tc>
        <w:tc>
          <w:tcPr>
            <w:tcW w:w="6909" w:type="dxa"/>
            <w:gridSpan w:val="3"/>
            <w:tcBorders>
              <w:top w:val="single" w:color="auto" w:sz="4" w:space="0"/>
              <w:left w:val="nil"/>
              <w:bottom w:val="single" w:color="auto" w:sz="4" w:space="0"/>
              <w:right w:val="single" w:color="auto" w:sz="4" w:space="0"/>
            </w:tcBorders>
            <w:noWrap w:val="0"/>
            <w:vAlign w:val="center"/>
          </w:tcPr>
          <w:p w14:paraId="4CFBA68A">
            <w:pPr>
              <w:pStyle w:val="100"/>
              <w:rPr>
                <w:rFonts w:hint="eastAsia" w:ascii="宋体" w:hAnsi="宋体" w:eastAsia="宋体" w:cs="宋体"/>
                <w:color w:val="000000" w:themeColor="text1"/>
                <w:kern w:val="0"/>
                <w:sz w:val="24"/>
                <w:szCs w:val="24"/>
                <w:highlight w:val="none"/>
                <w14:textFill>
                  <w14:solidFill>
                    <w14:schemeClr w14:val="tx1"/>
                  </w14:solidFill>
                </w14:textFill>
              </w:rPr>
            </w:pPr>
          </w:p>
        </w:tc>
      </w:tr>
      <w:tr w14:paraId="535F5B7F">
        <w:tblPrEx>
          <w:tblCellMar>
            <w:top w:w="0" w:type="dxa"/>
            <w:left w:w="108" w:type="dxa"/>
            <w:bottom w:w="0" w:type="dxa"/>
            <w:right w:w="108" w:type="dxa"/>
          </w:tblCellMar>
        </w:tblPrEx>
        <w:trPr>
          <w:trHeight w:val="780"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31D225DF">
            <w:pPr>
              <w:autoSpaceDE w:val="0"/>
              <w:autoSpaceDN w:val="0"/>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统一社会信用代码</w:t>
            </w:r>
          </w:p>
        </w:tc>
        <w:tc>
          <w:tcPr>
            <w:tcW w:w="6909" w:type="dxa"/>
            <w:gridSpan w:val="3"/>
            <w:tcBorders>
              <w:top w:val="single" w:color="auto" w:sz="4" w:space="0"/>
              <w:left w:val="nil"/>
              <w:bottom w:val="single" w:color="auto" w:sz="4" w:space="0"/>
              <w:right w:val="single" w:color="auto" w:sz="4" w:space="0"/>
            </w:tcBorders>
            <w:noWrap w:val="0"/>
            <w:vAlign w:val="center"/>
          </w:tcPr>
          <w:p w14:paraId="47E3CAE0">
            <w:pPr>
              <w:pStyle w:val="100"/>
              <w:rPr>
                <w:rFonts w:hint="eastAsia" w:ascii="宋体" w:hAnsi="宋体" w:eastAsia="宋体" w:cs="宋体"/>
                <w:color w:val="000000" w:themeColor="text1"/>
                <w:kern w:val="0"/>
                <w:sz w:val="24"/>
                <w:szCs w:val="24"/>
                <w:highlight w:val="none"/>
                <w14:textFill>
                  <w14:solidFill>
                    <w14:schemeClr w14:val="tx1"/>
                  </w14:solidFill>
                </w14:textFill>
              </w:rPr>
            </w:pPr>
          </w:p>
        </w:tc>
      </w:tr>
      <w:tr w14:paraId="2902DEB3">
        <w:tblPrEx>
          <w:tblCellMar>
            <w:top w:w="0" w:type="dxa"/>
            <w:left w:w="108" w:type="dxa"/>
            <w:bottom w:w="0" w:type="dxa"/>
            <w:right w:w="108" w:type="dxa"/>
          </w:tblCellMar>
        </w:tblPrEx>
        <w:trPr>
          <w:trHeight w:val="512"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5A32BCCF">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法定代表人</w:t>
            </w:r>
          </w:p>
        </w:tc>
        <w:tc>
          <w:tcPr>
            <w:tcW w:w="6909" w:type="dxa"/>
            <w:gridSpan w:val="3"/>
            <w:tcBorders>
              <w:top w:val="single" w:color="auto" w:sz="4" w:space="0"/>
              <w:left w:val="nil"/>
              <w:bottom w:val="single" w:color="auto" w:sz="4" w:space="0"/>
              <w:right w:val="single" w:color="auto" w:sz="4" w:space="0"/>
            </w:tcBorders>
            <w:noWrap w:val="0"/>
            <w:vAlign w:val="center"/>
          </w:tcPr>
          <w:p w14:paraId="53DEA7CC">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r>
      <w:tr w14:paraId="24383A80">
        <w:tblPrEx>
          <w:tblCellMar>
            <w:top w:w="0" w:type="dxa"/>
            <w:left w:w="108" w:type="dxa"/>
            <w:bottom w:w="0" w:type="dxa"/>
            <w:right w:w="108" w:type="dxa"/>
          </w:tblCellMar>
        </w:tblPrEx>
        <w:trPr>
          <w:trHeight w:val="554"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F9CDFA3">
            <w:pPr>
              <w:autoSpaceDE w:val="0"/>
              <w:autoSpaceDN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项目负责人</w:t>
            </w:r>
          </w:p>
        </w:tc>
        <w:tc>
          <w:tcPr>
            <w:tcW w:w="2659" w:type="dxa"/>
            <w:tcBorders>
              <w:top w:val="single" w:color="auto" w:sz="4" w:space="0"/>
              <w:left w:val="nil"/>
              <w:bottom w:val="single" w:color="auto" w:sz="4" w:space="0"/>
              <w:right w:val="single" w:color="auto" w:sz="4" w:space="0"/>
            </w:tcBorders>
            <w:noWrap w:val="0"/>
            <w:vAlign w:val="center"/>
          </w:tcPr>
          <w:p w14:paraId="4F37000A">
            <w:pPr>
              <w:autoSpaceDE w:val="0"/>
              <w:autoSpaceDN w:val="0"/>
              <w:spacing w:line="5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2" w:type="dxa"/>
            <w:tcBorders>
              <w:top w:val="single" w:color="auto" w:sz="4" w:space="0"/>
              <w:left w:val="nil"/>
              <w:bottom w:val="single" w:color="auto" w:sz="4" w:space="0"/>
              <w:right w:val="single" w:color="auto" w:sz="4" w:space="0"/>
            </w:tcBorders>
            <w:noWrap w:val="0"/>
            <w:vAlign w:val="center"/>
          </w:tcPr>
          <w:p w14:paraId="1F7D6190">
            <w:pPr>
              <w:autoSpaceDE w:val="0"/>
              <w:autoSpaceDN w:val="0"/>
              <w:spacing w:line="5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联系电话</w:t>
            </w:r>
          </w:p>
        </w:tc>
        <w:tc>
          <w:tcPr>
            <w:tcW w:w="2628" w:type="dxa"/>
            <w:tcBorders>
              <w:top w:val="single" w:color="auto" w:sz="4" w:space="0"/>
              <w:left w:val="nil"/>
              <w:bottom w:val="single" w:color="auto" w:sz="4" w:space="0"/>
              <w:right w:val="single" w:color="auto" w:sz="4" w:space="0"/>
            </w:tcBorders>
            <w:noWrap w:val="0"/>
            <w:vAlign w:val="center"/>
          </w:tcPr>
          <w:p w14:paraId="480A801C">
            <w:pPr>
              <w:pStyle w:val="100"/>
              <w:rPr>
                <w:rFonts w:hint="eastAsia" w:ascii="宋体" w:hAnsi="宋体" w:eastAsia="宋体" w:cs="宋体"/>
                <w:color w:val="000000" w:themeColor="text1"/>
                <w:kern w:val="0"/>
                <w:sz w:val="24"/>
                <w:szCs w:val="24"/>
                <w:highlight w:val="none"/>
                <w14:textFill>
                  <w14:solidFill>
                    <w14:schemeClr w14:val="tx1"/>
                  </w14:solidFill>
                </w14:textFill>
              </w:rPr>
            </w:pPr>
          </w:p>
        </w:tc>
      </w:tr>
      <w:tr w14:paraId="71E0CC79">
        <w:tblPrEx>
          <w:tblCellMar>
            <w:top w:w="0" w:type="dxa"/>
            <w:left w:w="108" w:type="dxa"/>
            <w:bottom w:w="0" w:type="dxa"/>
            <w:right w:w="108" w:type="dxa"/>
          </w:tblCellMar>
        </w:tblPrEx>
        <w:trPr>
          <w:trHeight w:val="1148"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A07C168">
            <w:pPr>
              <w:autoSpaceDE w:val="0"/>
              <w:autoSpaceDN w:val="0"/>
              <w:spacing w:line="500" w:lineRule="exact"/>
              <w:jc w:val="center"/>
              <w:rPr>
                <w:rFonts w:hint="eastAsia" w:ascii="宋体" w:hAnsi="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w:t>
            </w:r>
            <w:r>
              <w:rPr>
                <w:rFonts w:hint="eastAsia" w:ascii="宋体" w:hAnsi="宋体"/>
                <w:color w:val="000000" w:themeColor="text1"/>
                <w:kern w:val="0"/>
                <w:sz w:val="24"/>
                <w:szCs w:val="24"/>
                <w:lang w:val="en-US" w:eastAsia="zh-CN"/>
                <w14:textFill>
                  <w14:solidFill>
                    <w14:schemeClr w14:val="tx1"/>
                  </w14:solidFill>
                </w14:textFill>
              </w:rPr>
              <w:t>总</w:t>
            </w:r>
            <w:r>
              <w:rPr>
                <w:rFonts w:hint="eastAsia" w:ascii="宋体" w:hAnsi="宋体"/>
                <w:color w:val="000000" w:themeColor="text1"/>
                <w:kern w:val="0"/>
                <w:sz w:val="24"/>
                <w:szCs w:val="24"/>
                <w14:textFill>
                  <w14:solidFill>
                    <w14:schemeClr w14:val="tx1"/>
                  </w14:solidFill>
                </w14:textFill>
              </w:rPr>
              <w:t>报价</w:t>
            </w:r>
          </w:p>
        </w:tc>
        <w:tc>
          <w:tcPr>
            <w:tcW w:w="6909" w:type="dxa"/>
            <w:gridSpan w:val="3"/>
            <w:tcBorders>
              <w:top w:val="single" w:color="auto" w:sz="4" w:space="0"/>
              <w:left w:val="nil"/>
              <w:bottom w:val="single" w:color="auto" w:sz="4" w:space="0"/>
              <w:right w:val="single" w:color="auto" w:sz="4" w:space="0"/>
            </w:tcBorders>
            <w:noWrap w:val="0"/>
            <w:vAlign w:val="center"/>
          </w:tcPr>
          <w:p w14:paraId="4C5607D7">
            <w:pPr>
              <w:autoSpaceDE w:val="0"/>
              <w:autoSpaceDN w:val="0"/>
              <w:spacing w:line="500" w:lineRule="exact"/>
              <w:jc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大写：</w:t>
            </w:r>
          </w:p>
          <w:p w14:paraId="4AA42C08">
            <w:pPr>
              <w:autoSpaceDE w:val="0"/>
              <w:autoSpaceDN w:val="0"/>
              <w:spacing w:line="500" w:lineRule="exact"/>
              <w:jc w:val="center"/>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小写：</w:t>
            </w:r>
          </w:p>
        </w:tc>
      </w:tr>
      <w:tr w14:paraId="72E302E1">
        <w:tblPrEx>
          <w:tblCellMar>
            <w:top w:w="0" w:type="dxa"/>
            <w:left w:w="108" w:type="dxa"/>
            <w:bottom w:w="0" w:type="dxa"/>
            <w:right w:w="108" w:type="dxa"/>
          </w:tblCellMar>
        </w:tblPrEx>
        <w:trPr>
          <w:trHeight w:val="570"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7A9AC80">
            <w:pPr>
              <w:autoSpaceDE w:val="0"/>
              <w:autoSpaceDN w:val="0"/>
              <w:spacing w:line="500" w:lineRule="exact"/>
              <w:jc w:val="center"/>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供货期限</w:t>
            </w:r>
          </w:p>
        </w:tc>
        <w:tc>
          <w:tcPr>
            <w:tcW w:w="6909" w:type="dxa"/>
            <w:gridSpan w:val="3"/>
            <w:tcBorders>
              <w:top w:val="single" w:color="auto" w:sz="4" w:space="0"/>
              <w:left w:val="nil"/>
              <w:bottom w:val="single" w:color="auto" w:sz="4" w:space="0"/>
              <w:right w:val="single" w:color="auto" w:sz="4" w:space="0"/>
            </w:tcBorders>
            <w:noWrap w:val="0"/>
            <w:vAlign w:val="center"/>
          </w:tcPr>
          <w:p w14:paraId="2BCAFF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CA703E">
        <w:tblPrEx>
          <w:tblCellMar>
            <w:top w:w="0" w:type="dxa"/>
            <w:left w:w="108" w:type="dxa"/>
            <w:bottom w:w="0" w:type="dxa"/>
            <w:right w:w="108" w:type="dxa"/>
          </w:tblCellMar>
        </w:tblPrEx>
        <w:trPr>
          <w:trHeight w:val="530"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0CBEDBF8">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质量要求</w:t>
            </w:r>
          </w:p>
        </w:tc>
        <w:tc>
          <w:tcPr>
            <w:tcW w:w="6909" w:type="dxa"/>
            <w:gridSpan w:val="3"/>
            <w:tcBorders>
              <w:top w:val="single" w:color="auto" w:sz="4" w:space="0"/>
              <w:left w:val="nil"/>
              <w:bottom w:val="single" w:color="auto" w:sz="4" w:space="0"/>
              <w:right w:val="single" w:color="auto" w:sz="4" w:space="0"/>
            </w:tcBorders>
            <w:noWrap w:val="0"/>
            <w:vAlign w:val="center"/>
          </w:tcPr>
          <w:p w14:paraId="4616A21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195749">
        <w:tblPrEx>
          <w:tblCellMar>
            <w:top w:w="0" w:type="dxa"/>
            <w:left w:w="108" w:type="dxa"/>
            <w:bottom w:w="0" w:type="dxa"/>
            <w:right w:w="108" w:type="dxa"/>
          </w:tblCellMar>
        </w:tblPrEx>
        <w:trPr>
          <w:trHeight w:val="430"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FB56642">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交货地点</w:t>
            </w:r>
          </w:p>
        </w:tc>
        <w:tc>
          <w:tcPr>
            <w:tcW w:w="6909" w:type="dxa"/>
            <w:gridSpan w:val="3"/>
            <w:tcBorders>
              <w:top w:val="single" w:color="auto" w:sz="4" w:space="0"/>
              <w:left w:val="nil"/>
              <w:bottom w:val="single" w:color="auto" w:sz="4" w:space="0"/>
              <w:right w:val="single" w:color="auto" w:sz="4" w:space="0"/>
            </w:tcBorders>
            <w:noWrap w:val="0"/>
            <w:vAlign w:val="center"/>
          </w:tcPr>
          <w:p w14:paraId="1F599296">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tc>
      </w:tr>
      <w:tr w14:paraId="0EA90518">
        <w:tblPrEx>
          <w:tblCellMar>
            <w:top w:w="0" w:type="dxa"/>
            <w:left w:w="108" w:type="dxa"/>
            <w:bottom w:w="0" w:type="dxa"/>
            <w:right w:w="108" w:type="dxa"/>
          </w:tblCellMar>
        </w:tblPrEx>
        <w:trPr>
          <w:trHeight w:val="660"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3E6315BE">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投标有效期</w:t>
            </w:r>
          </w:p>
        </w:tc>
        <w:tc>
          <w:tcPr>
            <w:tcW w:w="6909" w:type="dxa"/>
            <w:gridSpan w:val="3"/>
            <w:tcBorders>
              <w:top w:val="single" w:color="auto" w:sz="4" w:space="0"/>
              <w:left w:val="nil"/>
              <w:bottom w:val="single" w:color="auto" w:sz="4" w:space="0"/>
              <w:right w:val="single" w:color="auto" w:sz="4" w:space="0"/>
            </w:tcBorders>
            <w:noWrap w:val="0"/>
            <w:vAlign w:val="center"/>
          </w:tcPr>
          <w:p w14:paraId="4A404BC9">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投标截止之日起60日历天</w:t>
            </w:r>
          </w:p>
        </w:tc>
      </w:tr>
      <w:tr w14:paraId="74FDEFD6">
        <w:tblPrEx>
          <w:tblCellMar>
            <w:top w:w="0" w:type="dxa"/>
            <w:left w:w="108" w:type="dxa"/>
            <w:bottom w:w="0" w:type="dxa"/>
            <w:right w:w="108" w:type="dxa"/>
          </w:tblCellMar>
        </w:tblPrEx>
        <w:trPr>
          <w:trHeight w:val="492" w:hRule="atLeast"/>
          <w:jc w:val="center"/>
        </w:trPr>
        <w:tc>
          <w:tcPr>
            <w:tcW w:w="2070" w:type="dxa"/>
            <w:tcBorders>
              <w:top w:val="single" w:color="auto" w:sz="4" w:space="0"/>
              <w:left w:val="single" w:color="auto" w:sz="4" w:space="0"/>
              <w:bottom w:val="single" w:color="auto" w:sz="4" w:space="0"/>
              <w:right w:val="single" w:color="auto" w:sz="4" w:space="0"/>
            </w:tcBorders>
            <w:noWrap w:val="0"/>
            <w:vAlign w:val="center"/>
          </w:tcPr>
          <w:p w14:paraId="1F2069B0">
            <w:pPr>
              <w:autoSpaceDE w:val="0"/>
              <w:autoSpaceDN w:val="0"/>
              <w:spacing w:line="50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备注</w:t>
            </w:r>
          </w:p>
        </w:tc>
        <w:tc>
          <w:tcPr>
            <w:tcW w:w="6909" w:type="dxa"/>
            <w:gridSpan w:val="3"/>
            <w:tcBorders>
              <w:top w:val="single" w:color="auto" w:sz="4" w:space="0"/>
              <w:left w:val="nil"/>
              <w:bottom w:val="single" w:color="auto" w:sz="4" w:space="0"/>
              <w:right w:val="single" w:color="auto" w:sz="4" w:space="0"/>
            </w:tcBorders>
            <w:noWrap w:val="0"/>
            <w:vAlign w:val="center"/>
          </w:tcPr>
          <w:p w14:paraId="260504F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6EE05C51">
      <w:pPr>
        <w:spacing w:line="440" w:lineRule="exact"/>
        <w:ind w:firstLine="241" w:firstLineChars="100"/>
        <w:jc w:val="lef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bookmarkStart w:id="65" w:name="_Toc14073_WPSOffice_Level1"/>
      <w:bookmarkStart w:id="66" w:name="_Toc80256516"/>
      <w:bookmarkStart w:id="67" w:name="_Toc15598"/>
      <w:r>
        <w:rPr>
          <w:rFonts w:hint="eastAsia" w:ascii="宋体" w:hAnsi="宋体" w:eastAsia="宋体" w:cs="宋体"/>
          <w:b/>
          <w:bCs/>
          <w:color w:val="000000" w:themeColor="text1"/>
          <w:kern w:val="0"/>
          <w:sz w:val="24"/>
          <w:szCs w:val="24"/>
          <w:highlight w:val="none"/>
          <w14:textFill>
            <w14:solidFill>
              <w14:schemeClr w14:val="tx1"/>
            </w14:solidFill>
          </w14:textFill>
        </w:rPr>
        <w:t>注：</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1、投标报价包含货物费、人工费、运输费、包装费、装卸费、税费、售后服务及相关伴随服务等与项目相关的所有费用；</w:t>
      </w:r>
    </w:p>
    <w:p w14:paraId="5FC3B2B5">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p>
    <w:p w14:paraId="11199E9A">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7A42B578">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法人</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2879C49A">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686ED5E6">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sectPr>
          <w:headerReference r:id="rId6" w:type="default"/>
          <w:footerReference r:id="rId7" w:type="default"/>
          <w:pgSz w:w="12240" w:h="15840"/>
          <w:pgMar w:top="1417" w:right="1304" w:bottom="1417" w:left="1304" w:header="794" w:footer="907" w:gutter="0"/>
          <w:pgBorders>
            <w:top w:val="none" w:sz="0" w:space="0"/>
            <w:left w:val="none" w:sz="0" w:space="0"/>
            <w:bottom w:val="none" w:sz="0" w:space="0"/>
            <w:right w:val="none" w:sz="0" w:space="0"/>
          </w:pgBorders>
          <w:pgNumType w:fmt="decimal"/>
          <w:cols w:space="720" w:num="1"/>
        </w:sectPr>
      </w:pPr>
    </w:p>
    <w:p w14:paraId="4F9E7D8E">
      <w:pPr>
        <w:spacing w:line="360" w:lineRule="auto"/>
        <w:jc w:val="center"/>
        <w:outlineLvl w:val="0"/>
        <w:rPr>
          <w:rFonts w:hint="eastAsia" w:ascii="宋体" w:hAnsi="宋体" w:eastAsia="宋体" w:cs="宋体"/>
          <w:b/>
          <w:bCs/>
          <w:color w:val="000000" w:themeColor="text1"/>
          <w:kern w:val="0"/>
          <w:sz w:val="28"/>
          <w:szCs w:val="28"/>
          <w:lang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w:t>
      </w:r>
      <w:r>
        <w:rPr>
          <w:rFonts w:hint="eastAsia" w:ascii="宋体" w:hAnsi="宋体" w:cs="宋体"/>
          <w:b/>
          <w:bCs/>
          <w:color w:val="000000" w:themeColor="text1"/>
          <w:kern w:val="0"/>
          <w:sz w:val="28"/>
          <w:szCs w:val="28"/>
          <w:lang w:val="en-US" w:eastAsia="zh-CN"/>
          <w14:textFill>
            <w14:solidFill>
              <w14:schemeClr w14:val="tx1"/>
            </w14:solidFill>
          </w14:textFill>
        </w:rPr>
        <w:t>一</w:t>
      </w:r>
      <w:r>
        <w:rPr>
          <w:rFonts w:hint="eastAsia" w:ascii="宋体" w:hAnsi="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报价</w:t>
      </w:r>
      <w:r>
        <w:rPr>
          <w:rFonts w:hint="eastAsia" w:ascii="宋体" w:hAnsi="宋体" w:cs="宋体"/>
          <w:b/>
          <w:bCs/>
          <w:color w:val="000000" w:themeColor="text1"/>
          <w:kern w:val="0"/>
          <w:sz w:val="28"/>
          <w:szCs w:val="28"/>
          <w:lang w:val="en-US" w:eastAsia="zh-CN"/>
          <w14:textFill>
            <w14:solidFill>
              <w14:schemeClr w14:val="tx1"/>
            </w14:solidFill>
          </w14:textFill>
        </w:rPr>
        <w:t>明细表</w:t>
      </w:r>
    </w:p>
    <w:p w14:paraId="704B4BD9">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41FE7192">
      <w:pPr>
        <w:jc w:val="center"/>
        <w:outlineLvl w:val="1"/>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格式详见清单</w:t>
      </w:r>
    </w:p>
    <w:p w14:paraId="2096269C">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300231AC">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278EC97D">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1750FA9F">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11D2ACBE">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2E0A4725">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3ACF325F">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06DC3DF6">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231251A1">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766BC334">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1549E306">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27F5597E">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0B0EDE46">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100F0005">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2F02A61D">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46DC7B18">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77EB53AD">
      <w:pPr>
        <w:jc w:val="center"/>
        <w:outlineLvl w:val="1"/>
        <w:rPr>
          <w:rFonts w:hint="default" w:ascii="黑体" w:hAnsi="黑体" w:eastAsia="黑体" w:cs="黑体"/>
          <w:color w:val="000000" w:themeColor="text1"/>
          <w:sz w:val="30"/>
          <w:szCs w:val="30"/>
          <w:lang w:val="en-US" w:eastAsia="zh-CN"/>
          <w14:textFill>
            <w14:solidFill>
              <w14:schemeClr w14:val="tx1"/>
            </w14:solidFill>
          </w14:textFill>
        </w:rPr>
      </w:pPr>
    </w:p>
    <w:p w14:paraId="722F37D6">
      <w:pPr>
        <w:jc w:val="center"/>
        <w:outlineLvl w:val="1"/>
        <w:rPr>
          <w:rFonts w:hint="default" w:ascii="黑体" w:hAnsi="黑体" w:eastAsia="黑体" w:cs="黑体"/>
          <w:color w:val="000000" w:themeColor="text1"/>
          <w:sz w:val="30"/>
          <w:szCs w:val="30"/>
          <w:lang w:val="en-US" w:eastAsia="zh-CN"/>
          <w14:textFill>
            <w14:solidFill>
              <w14:schemeClr w14:val="tx1"/>
            </w14:solidFill>
          </w14:textFill>
        </w:rPr>
      </w:pPr>
    </w:p>
    <w:p w14:paraId="43A1F5B9">
      <w:pPr>
        <w:jc w:val="center"/>
        <w:outlineLvl w:val="1"/>
        <w:rPr>
          <w:rFonts w:hint="eastAsia" w:ascii="黑体" w:hAnsi="黑体" w:eastAsia="黑体" w:cs="黑体"/>
          <w:color w:val="000000" w:themeColor="text1"/>
          <w:sz w:val="30"/>
          <w:szCs w:val="30"/>
          <w:lang w:val="en-US" w:eastAsia="zh-CN"/>
          <w14:textFill>
            <w14:solidFill>
              <w14:schemeClr w14:val="tx1"/>
            </w14:solidFill>
          </w14:textFill>
        </w:rPr>
      </w:pPr>
    </w:p>
    <w:p w14:paraId="186478B0">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40865EF4">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法人</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3A53DE6">
      <w:pPr>
        <w:widowControl/>
        <w:spacing w:line="480" w:lineRule="auto"/>
        <w:jc w:val="right"/>
        <w:outlineLvl w:val="0"/>
        <w:rPr>
          <w:rFonts w:hint="eastAsia" w:ascii="黑体" w:hAnsi="黑体" w:eastAsia="黑体" w:cs="黑体"/>
          <w:color w:val="000000" w:themeColor="text1"/>
          <w:sz w:val="30"/>
          <w:szCs w:val="30"/>
          <w:lang w:val="en-US" w:eastAsia="zh-CN"/>
          <w14:textFill>
            <w14:solidFill>
              <w14:schemeClr w14:val="tx1"/>
            </w14:solidFill>
          </w14:textFill>
        </w:rPr>
        <w:sectPr>
          <w:pgSz w:w="12240" w:h="15840"/>
          <w:pgMar w:top="1400" w:right="1720" w:bottom="1120" w:left="1720" w:header="794" w:footer="9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z w:val="24"/>
          <w:szCs w:val="24"/>
          <w:highlight w:val="none"/>
          <w14:textFill>
            <w14:solidFill>
              <w14:schemeClr w14:val="tx1"/>
            </w14:solidFill>
          </w14:textFill>
        </w:rPr>
        <w:t xml:space="preserve">            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71D99339">
      <w:pPr>
        <w:widowControl/>
        <w:spacing w:line="520" w:lineRule="atLeast"/>
        <w:jc w:val="center"/>
        <w:outlineLvl w:val="0"/>
        <w:rPr>
          <w:rFonts w:hint="eastAsia" w:ascii="宋体" w:hAnsi="宋体" w:eastAsia="宋体" w:cs="宋体"/>
          <w:b/>
          <w:bCs/>
          <w:color w:val="000000" w:themeColor="text1"/>
          <w:kern w:val="0"/>
          <w:sz w:val="28"/>
          <w:szCs w:val="24"/>
          <w14:textFill>
            <w14:solidFill>
              <w14:schemeClr w14:val="tx1"/>
            </w14:solidFill>
          </w14:textFill>
        </w:rPr>
      </w:pPr>
      <w:bookmarkStart w:id="68" w:name="_Toc17188"/>
      <w:r>
        <w:rPr>
          <w:rFonts w:hint="eastAsia" w:ascii="宋体" w:hAnsi="宋体" w:eastAsia="宋体" w:cs="宋体"/>
          <w:b/>
          <w:bCs/>
          <w:color w:val="000000" w:themeColor="text1"/>
          <w:kern w:val="0"/>
          <w:sz w:val="28"/>
          <w:szCs w:val="24"/>
          <w14:textFill>
            <w14:solidFill>
              <w14:schemeClr w14:val="tx1"/>
            </w14:solidFill>
          </w14:textFill>
        </w:rPr>
        <w:t>附件</w:t>
      </w:r>
      <w:r>
        <w:rPr>
          <w:rFonts w:hint="eastAsia" w:ascii="宋体" w:hAnsi="宋体" w:cs="宋体"/>
          <w:b/>
          <w:bCs/>
          <w:color w:val="000000" w:themeColor="text1"/>
          <w:kern w:val="0"/>
          <w:sz w:val="28"/>
          <w:szCs w:val="24"/>
          <w:lang w:val="en-US" w:eastAsia="zh-CN"/>
          <w14:textFill>
            <w14:solidFill>
              <w14:schemeClr w14:val="tx1"/>
            </w14:solidFill>
          </w14:textFill>
        </w:rPr>
        <w:t>二：</w:t>
      </w:r>
      <w:r>
        <w:rPr>
          <w:rFonts w:hint="eastAsia" w:ascii="宋体" w:hAnsi="宋体" w:eastAsia="宋体" w:cs="宋体"/>
          <w:b/>
          <w:bCs/>
          <w:color w:val="000000" w:themeColor="text1"/>
          <w:kern w:val="0"/>
          <w:sz w:val="28"/>
          <w:szCs w:val="24"/>
          <w14:textFill>
            <w14:solidFill>
              <w14:schemeClr w14:val="tx1"/>
            </w14:solidFill>
          </w14:textFill>
        </w:rPr>
        <w:t>技术参数偏离表</w:t>
      </w:r>
    </w:p>
    <w:p w14:paraId="3DAA2BCC">
      <w:pPr>
        <w:widowControl/>
        <w:spacing w:line="520" w:lineRule="atLeast"/>
        <w:jc w:val="center"/>
        <w:outlineLvl w:val="0"/>
        <w:rPr>
          <w:rFonts w:hint="eastAsia" w:ascii="宋体" w:hAnsi="宋体" w:eastAsia="宋体" w:cs="宋体"/>
          <w:b/>
          <w:bCs/>
          <w:color w:val="000000" w:themeColor="text1"/>
          <w:kern w:val="0"/>
          <w:sz w:val="28"/>
          <w:szCs w:val="24"/>
          <w14:textFill>
            <w14:solidFill>
              <w14:schemeClr w14:val="tx1"/>
            </w14:solidFill>
          </w14:textFill>
        </w:rPr>
      </w:pPr>
    </w:p>
    <w:tbl>
      <w:tblPr>
        <w:tblStyle w:val="40"/>
        <w:tblpPr w:leftFromText="180" w:rightFromText="180" w:vertAnchor="text" w:horzAnchor="page" w:tblpX="1567" w:tblpY="297"/>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800"/>
        <w:gridCol w:w="2055"/>
        <w:gridCol w:w="2306"/>
        <w:gridCol w:w="1508"/>
        <w:gridCol w:w="844"/>
      </w:tblGrid>
      <w:tr w14:paraId="7DC6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51" w:type="dxa"/>
            <w:noWrap/>
            <w:vAlign w:val="top"/>
          </w:tcPr>
          <w:p w14:paraId="44B9EE0D">
            <w:pPr>
              <w:spacing w:line="480" w:lineRule="exact"/>
              <w:rPr>
                <w:bCs/>
                <w:sz w:val="28"/>
                <w:szCs w:val="28"/>
              </w:rPr>
            </w:pPr>
            <w:r>
              <w:rPr>
                <w:rFonts w:hint="eastAsia"/>
                <w:bCs/>
                <w:sz w:val="28"/>
                <w:szCs w:val="28"/>
              </w:rPr>
              <w:t>序号</w:t>
            </w:r>
          </w:p>
        </w:tc>
        <w:tc>
          <w:tcPr>
            <w:tcW w:w="1800" w:type="dxa"/>
            <w:noWrap/>
            <w:vAlign w:val="top"/>
          </w:tcPr>
          <w:p w14:paraId="72F222DA">
            <w:pPr>
              <w:spacing w:line="480" w:lineRule="exact"/>
              <w:jc w:val="center"/>
              <w:rPr>
                <w:bCs/>
                <w:sz w:val="28"/>
                <w:szCs w:val="28"/>
              </w:rPr>
            </w:pPr>
            <w:r>
              <w:rPr>
                <w:rFonts w:hint="eastAsia"/>
                <w:bCs/>
                <w:sz w:val="28"/>
                <w:szCs w:val="28"/>
              </w:rPr>
              <w:t>货物名称</w:t>
            </w:r>
          </w:p>
        </w:tc>
        <w:tc>
          <w:tcPr>
            <w:tcW w:w="2055" w:type="dxa"/>
            <w:noWrap/>
            <w:vAlign w:val="top"/>
          </w:tcPr>
          <w:p w14:paraId="27811386">
            <w:pPr>
              <w:spacing w:line="480" w:lineRule="exact"/>
              <w:jc w:val="center"/>
              <w:rPr>
                <w:bCs/>
                <w:sz w:val="28"/>
                <w:szCs w:val="28"/>
              </w:rPr>
            </w:pPr>
            <w:r>
              <w:rPr>
                <w:rFonts w:hint="eastAsia"/>
                <w:bCs/>
                <w:sz w:val="28"/>
                <w:szCs w:val="28"/>
              </w:rPr>
              <w:t>招标参数</w:t>
            </w:r>
          </w:p>
        </w:tc>
        <w:tc>
          <w:tcPr>
            <w:tcW w:w="2306" w:type="dxa"/>
            <w:noWrap/>
            <w:vAlign w:val="top"/>
          </w:tcPr>
          <w:p w14:paraId="681A9012">
            <w:pPr>
              <w:spacing w:line="480" w:lineRule="exact"/>
              <w:jc w:val="center"/>
              <w:rPr>
                <w:bCs/>
                <w:sz w:val="28"/>
                <w:szCs w:val="28"/>
              </w:rPr>
            </w:pPr>
            <w:r>
              <w:rPr>
                <w:rFonts w:hint="eastAsia"/>
                <w:bCs/>
                <w:sz w:val="28"/>
                <w:szCs w:val="28"/>
              </w:rPr>
              <w:t>投标参数</w:t>
            </w:r>
          </w:p>
        </w:tc>
        <w:tc>
          <w:tcPr>
            <w:tcW w:w="1508" w:type="dxa"/>
            <w:noWrap/>
            <w:vAlign w:val="top"/>
          </w:tcPr>
          <w:p w14:paraId="1244F779">
            <w:pPr>
              <w:spacing w:line="480" w:lineRule="exact"/>
              <w:jc w:val="center"/>
              <w:rPr>
                <w:bCs/>
                <w:sz w:val="28"/>
                <w:szCs w:val="28"/>
              </w:rPr>
            </w:pPr>
            <w:r>
              <w:rPr>
                <w:rFonts w:hint="eastAsia"/>
                <w:bCs/>
                <w:sz w:val="28"/>
                <w:szCs w:val="28"/>
              </w:rPr>
              <w:t>偏离说明</w:t>
            </w:r>
          </w:p>
        </w:tc>
        <w:tc>
          <w:tcPr>
            <w:tcW w:w="844" w:type="dxa"/>
            <w:noWrap/>
            <w:vAlign w:val="top"/>
          </w:tcPr>
          <w:p w14:paraId="6429F1E4">
            <w:pPr>
              <w:spacing w:line="480" w:lineRule="exact"/>
              <w:jc w:val="center"/>
              <w:rPr>
                <w:rFonts w:hint="eastAsia" w:eastAsia="宋体"/>
                <w:bCs/>
                <w:sz w:val="28"/>
                <w:szCs w:val="28"/>
                <w:lang w:val="en-US" w:eastAsia="zh-CN"/>
              </w:rPr>
            </w:pPr>
            <w:r>
              <w:rPr>
                <w:rFonts w:hint="eastAsia" w:ascii="宋体" w:hAnsi="宋体" w:eastAsia="宋体" w:cs="宋体"/>
                <w:sz w:val="28"/>
                <w:szCs w:val="28"/>
                <w:lang w:val="en-US" w:eastAsia="zh-CN"/>
              </w:rPr>
              <w:t>备注</w:t>
            </w:r>
          </w:p>
        </w:tc>
      </w:tr>
      <w:tr w14:paraId="1883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2009FCFB">
            <w:pPr>
              <w:spacing w:line="480" w:lineRule="exact"/>
              <w:rPr>
                <w:bCs/>
                <w:sz w:val="28"/>
                <w:szCs w:val="28"/>
              </w:rPr>
            </w:pPr>
          </w:p>
        </w:tc>
        <w:tc>
          <w:tcPr>
            <w:tcW w:w="1800" w:type="dxa"/>
            <w:noWrap/>
            <w:vAlign w:val="top"/>
          </w:tcPr>
          <w:p w14:paraId="7BAFB90C">
            <w:pPr>
              <w:spacing w:line="480" w:lineRule="exact"/>
              <w:rPr>
                <w:bCs/>
                <w:sz w:val="28"/>
                <w:szCs w:val="28"/>
              </w:rPr>
            </w:pPr>
          </w:p>
        </w:tc>
        <w:tc>
          <w:tcPr>
            <w:tcW w:w="2055" w:type="dxa"/>
            <w:noWrap/>
            <w:vAlign w:val="top"/>
          </w:tcPr>
          <w:p w14:paraId="5CA91A85">
            <w:pPr>
              <w:spacing w:line="480" w:lineRule="exact"/>
              <w:rPr>
                <w:bCs/>
                <w:sz w:val="28"/>
                <w:szCs w:val="28"/>
              </w:rPr>
            </w:pPr>
          </w:p>
        </w:tc>
        <w:tc>
          <w:tcPr>
            <w:tcW w:w="2306" w:type="dxa"/>
            <w:noWrap/>
            <w:vAlign w:val="top"/>
          </w:tcPr>
          <w:p w14:paraId="6827EA10">
            <w:pPr>
              <w:spacing w:line="480" w:lineRule="exact"/>
              <w:rPr>
                <w:bCs/>
                <w:sz w:val="28"/>
                <w:szCs w:val="28"/>
              </w:rPr>
            </w:pPr>
          </w:p>
        </w:tc>
        <w:tc>
          <w:tcPr>
            <w:tcW w:w="1508" w:type="dxa"/>
            <w:noWrap/>
            <w:vAlign w:val="top"/>
          </w:tcPr>
          <w:p w14:paraId="63747151">
            <w:pPr>
              <w:spacing w:line="480" w:lineRule="exact"/>
              <w:rPr>
                <w:bCs/>
                <w:sz w:val="28"/>
                <w:szCs w:val="28"/>
              </w:rPr>
            </w:pPr>
          </w:p>
        </w:tc>
        <w:tc>
          <w:tcPr>
            <w:tcW w:w="844" w:type="dxa"/>
            <w:noWrap/>
            <w:vAlign w:val="top"/>
          </w:tcPr>
          <w:p w14:paraId="592BBD6D">
            <w:pPr>
              <w:spacing w:line="480" w:lineRule="exact"/>
              <w:rPr>
                <w:bCs/>
                <w:sz w:val="28"/>
                <w:szCs w:val="28"/>
              </w:rPr>
            </w:pPr>
          </w:p>
        </w:tc>
      </w:tr>
      <w:tr w14:paraId="5A36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0EFD6789">
            <w:pPr>
              <w:spacing w:line="480" w:lineRule="exact"/>
              <w:rPr>
                <w:bCs/>
                <w:sz w:val="28"/>
                <w:szCs w:val="28"/>
              </w:rPr>
            </w:pPr>
          </w:p>
        </w:tc>
        <w:tc>
          <w:tcPr>
            <w:tcW w:w="1800" w:type="dxa"/>
            <w:noWrap/>
            <w:vAlign w:val="top"/>
          </w:tcPr>
          <w:p w14:paraId="298A5B52">
            <w:pPr>
              <w:spacing w:line="480" w:lineRule="exact"/>
              <w:rPr>
                <w:bCs/>
                <w:sz w:val="28"/>
                <w:szCs w:val="28"/>
              </w:rPr>
            </w:pPr>
          </w:p>
        </w:tc>
        <w:tc>
          <w:tcPr>
            <w:tcW w:w="2055" w:type="dxa"/>
            <w:noWrap/>
            <w:vAlign w:val="top"/>
          </w:tcPr>
          <w:p w14:paraId="4B78E8B8">
            <w:pPr>
              <w:spacing w:line="480" w:lineRule="exact"/>
              <w:rPr>
                <w:bCs/>
                <w:sz w:val="28"/>
                <w:szCs w:val="28"/>
              </w:rPr>
            </w:pPr>
          </w:p>
        </w:tc>
        <w:tc>
          <w:tcPr>
            <w:tcW w:w="2306" w:type="dxa"/>
            <w:noWrap/>
            <w:vAlign w:val="top"/>
          </w:tcPr>
          <w:p w14:paraId="28C7442B">
            <w:pPr>
              <w:spacing w:line="480" w:lineRule="exact"/>
              <w:rPr>
                <w:bCs/>
                <w:sz w:val="28"/>
                <w:szCs w:val="28"/>
              </w:rPr>
            </w:pPr>
          </w:p>
        </w:tc>
        <w:tc>
          <w:tcPr>
            <w:tcW w:w="1508" w:type="dxa"/>
            <w:noWrap/>
            <w:vAlign w:val="top"/>
          </w:tcPr>
          <w:p w14:paraId="7CAA9AD9">
            <w:pPr>
              <w:spacing w:line="480" w:lineRule="exact"/>
              <w:rPr>
                <w:bCs/>
                <w:sz w:val="28"/>
                <w:szCs w:val="28"/>
              </w:rPr>
            </w:pPr>
          </w:p>
        </w:tc>
        <w:tc>
          <w:tcPr>
            <w:tcW w:w="844" w:type="dxa"/>
            <w:noWrap/>
            <w:vAlign w:val="top"/>
          </w:tcPr>
          <w:p w14:paraId="1319F8E6">
            <w:pPr>
              <w:spacing w:line="480" w:lineRule="exact"/>
              <w:rPr>
                <w:bCs/>
                <w:sz w:val="28"/>
                <w:szCs w:val="28"/>
              </w:rPr>
            </w:pPr>
          </w:p>
        </w:tc>
      </w:tr>
      <w:tr w14:paraId="49CF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19D5FC96">
            <w:pPr>
              <w:spacing w:line="480" w:lineRule="exact"/>
              <w:rPr>
                <w:bCs/>
                <w:sz w:val="28"/>
                <w:szCs w:val="28"/>
              </w:rPr>
            </w:pPr>
          </w:p>
        </w:tc>
        <w:tc>
          <w:tcPr>
            <w:tcW w:w="1800" w:type="dxa"/>
            <w:noWrap/>
            <w:vAlign w:val="top"/>
          </w:tcPr>
          <w:p w14:paraId="76FA94C4">
            <w:pPr>
              <w:spacing w:line="480" w:lineRule="exact"/>
              <w:rPr>
                <w:bCs/>
                <w:sz w:val="28"/>
                <w:szCs w:val="28"/>
              </w:rPr>
            </w:pPr>
          </w:p>
        </w:tc>
        <w:tc>
          <w:tcPr>
            <w:tcW w:w="2055" w:type="dxa"/>
            <w:noWrap/>
            <w:vAlign w:val="top"/>
          </w:tcPr>
          <w:p w14:paraId="42EC2781">
            <w:pPr>
              <w:spacing w:line="480" w:lineRule="exact"/>
              <w:rPr>
                <w:bCs/>
                <w:sz w:val="28"/>
                <w:szCs w:val="28"/>
              </w:rPr>
            </w:pPr>
          </w:p>
        </w:tc>
        <w:tc>
          <w:tcPr>
            <w:tcW w:w="2306" w:type="dxa"/>
            <w:noWrap/>
            <w:vAlign w:val="top"/>
          </w:tcPr>
          <w:p w14:paraId="7F5A4614">
            <w:pPr>
              <w:spacing w:line="480" w:lineRule="exact"/>
              <w:rPr>
                <w:bCs/>
                <w:sz w:val="28"/>
                <w:szCs w:val="28"/>
              </w:rPr>
            </w:pPr>
          </w:p>
        </w:tc>
        <w:tc>
          <w:tcPr>
            <w:tcW w:w="1508" w:type="dxa"/>
            <w:noWrap/>
            <w:vAlign w:val="top"/>
          </w:tcPr>
          <w:p w14:paraId="13BD198B">
            <w:pPr>
              <w:spacing w:line="480" w:lineRule="exact"/>
              <w:rPr>
                <w:bCs/>
                <w:sz w:val="28"/>
                <w:szCs w:val="28"/>
              </w:rPr>
            </w:pPr>
          </w:p>
        </w:tc>
        <w:tc>
          <w:tcPr>
            <w:tcW w:w="844" w:type="dxa"/>
            <w:noWrap/>
            <w:vAlign w:val="top"/>
          </w:tcPr>
          <w:p w14:paraId="4FB19211">
            <w:pPr>
              <w:spacing w:line="480" w:lineRule="exact"/>
              <w:rPr>
                <w:bCs/>
                <w:sz w:val="28"/>
                <w:szCs w:val="28"/>
              </w:rPr>
            </w:pPr>
          </w:p>
        </w:tc>
      </w:tr>
      <w:tr w14:paraId="690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12FD8BE6">
            <w:pPr>
              <w:spacing w:line="480" w:lineRule="exact"/>
              <w:rPr>
                <w:bCs/>
                <w:sz w:val="28"/>
                <w:szCs w:val="28"/>
              </w:rPr>
            </w:pPr>
          </w:p>
        </w:tc>
        <w:tc>
          <w:tcPr>
            <w:tcW w:w="1800" w:type="dxa"/>
            <w:noWrap/>
            <w:vAlign w:val="top"/>
          </w:tcPr>
          <w:p w14:paraId="2FFF5883">
            <w:pPr>
              <w:spacing w:line="480" w:lineRule="exact"/>
              <w:rPr>
                <w:bCs/>
                <w:sz w:val="28"/>
                <w:szCs w:val="28"/>
              </w:rPr>
            </w:pPr>
          </w:p>
        </w:tc>
        <w:tc>
          <w:tcPr>
            <w:tcW w:w="2055" w:type="dxa"/>
            <w:noWrap/>
            <w:vAlign w:val="top"/>
          </w:tcPr>
          <w:p w14:paraId="0A55AE3D">
            <w:pPr>
              <w:spacing w:line="480" w:lineRule="exact"/>
              <w:rPr>
                <w:bCs/>
                <w:sz w:val="28"/>
                <w:szCs w:val="28"/>
              </w:rPr>
            </w:pPr>
          </w:p>
        </w:tc>
        <w:tc>
          <w:tcPr>
            <w:tcW w:w="2306" w:type="dxa"/>
            <w:noWrap/>
            <w:vAlign w:val="top"/>
          </w:tcPr>
          <w:p w14:paraId="0994CAF6">
            <w:pPr>
              <w:spacing w:line="480" w:lineRule="exact"/>
              <w:rPr>
                <w:bCs/>
                <w:sz w:val="28"/>
                <w:szCs w:val="28"/>
              </w:rPr>
            </w:pPr>
          </w:p>
        </w:tc>
        <w:tc>
          <w:tcPr>
            <w:tcW w:w="1508" w:type="dxa"/>
            <w:noWrap/>
            <w:vAlign w:val="top"/>
          </w:tcPr>
          <w:p w14:paraId="235614DC">
            <w:pPr>
              <w:spacing w:line="480" w:lineRule="exact"/>
              <w:rPr>
                <w:bCs/>
                <w:sz w:val="28"/>
                <w:szCs w:val="28"/>
              </w:rPr>
            </w:pPr>
          </w:p>
        </w:tc>
        <w:tc>
          <w:tcPr>
            <w:tcW w:w="844" w:type="dxa"/>
            <w:noWrap/>
            <w:vAlign w:val="top"/>
          </w:tcPr>
          <w:p w14:paraId="78AEF501">
            <w:pPr>
              <w:spacing w:line="480" w:lineRule="exact"/>
              <w:rPr>
                <w:bCs/>
                <w:sz w:val="28"/>
                <w:szCs w:val="28"/>
              </w:rPr>
            </w:pPr>
          </w:p>
        </w:tc>
      </w:tr>
      <w:tr w14:paraId="0AF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4EE70A87">
            <w:pPr>
              <w:spacing w:line="480" w:lineRule="exact"/>
              <w:rPr>
                <w:bCs/>
                <w:sz w:val="28"/>
                <w:szCs w:val="28"/>
              </w:rPr>
            </w:pPr>
          </w:p>
        </w:tc>
        <w:tc>
          <w:tcPr>
            <w:tcW w:w="1800" w:type="dxa"/>
            <w:noWrap/>
            <w:vAlign w:val="top"/>
          </w:tcPr>
          <w:p w14:paraId="5536A40A">
            <w:pPr>
              <w:spacing w:line="480" w:lineRule="exact"/>
              <w:rPr>
                <w:bCs/>
                <w:sz w:val="28"/>
                <w:szCs w:val="28"/>
              </w:rPr>
            </w:pPr>
          </w:p>
        </w:tc>
        <w:tc>
          <w:tcPr>
            <w:tcW w:w="2055" w:type="dxa"/>
            <w:noWrap/>
            <w:vAlign w:val="top"/>
          </w:tcPr>
          <w:p w14:paraId="2D9F16EA">
            <w:pPr>
              <w:spacing w:line="480" w:lineRule="exact"/>
              <w:rPr>
                <w:bCs/>
                <w:sz w:val="28"/>
                <w:szCs w:val="28"/>
              </w:rPr>
            </w:pPr>
          </w:p>
        </w:tc>
        <w:tc>
          <w:tcPr>
            <w:tcW w:w="2306" w:type="dxa"/>
            <w:noWrap/>
            <w:vAlign w:val="top"/>
          </w:tcPr>
          <w:p w14:paraId="4093F360">
            <w:pPr>
              <w:spacing w:line="480" w:lineRule="exact"/>
              <w:rPr>
                <w:bCs/>
                <w:sz w:val="28"/>
                <w:szCs w:val="28"/>
              </w:rPr>
            </w:pPr>
          </w:p>
        </w:tc>
        <w:tc>
          <w:tcPr>
            <w:tcW w:w="1508" w:type="dxa"/>
            <w:noWrap/>
            <w:vAlign w:val="top"/>
          </w:tcPr>
          <w:p w14:paraId="54015F08">
            <w:pPr>
              <w:spacing w:line="480" w:lineRule="exact"/>
              <w:rPr>
                <w:bCs/>
                <w:sz w:val="28"/>
                <w:szCs w:val="28"/>
              </w:rPr>
            </w:pPr>
          </w:p>
        </w:tc>
        <w:tc>
          <w:tcPr>
            <w:tcW w:w="844" w:type="dxa"/>
            <w:noWrap/>
            <w:vAlign w:val="top"/>
          </w:tcPr>
          <w:p w14:paraId="679D13C0">
            <w:pPr>
              <w:spacing w:line="480" w:lineRule="exact"/>
              <w:rPr>
                <w:bCs/>
                <w:sz w:val="28"/>
                <w:szCs w:val="28"/>
              </w:rPr>
            </w:pPr>
          </w:p>
        </w:tc>
      </w:tr>
      <w:tr w14:paraId="3AE5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7CB3C55F">
            <w:pPr>
              <w:spacing w:line="480" w:lineRule="exact"/>
              <w:rPr>
                <w:bCs/>
                <w:sz w:val="28"/>
                <w:szCs w:val="28"/>
              </w:rPr>
            </w:pPr>
          </w:p>
        </w:tc>
        <w:tc>
          <w:tcPr>
            <w:tcW w:w="1800" w:type="dxa"/>
            <w:noWrap/>
            <w:vAlign w:val="top"/>
          </w:tcPr>
          <w:p w14:paraId="761A5288">
            <w:pPr>
              <w:spacing w:line="480" w:lineRule="exact"/>
              <w:rPr>
                <w:bCs/>
                <w:sz w:val="28"/>
                <w:szCs w:val="28"/>
              </w:rPr>
            </w:pPr>
          </w:p>
        </w:tc>
        <w:tc>
          <w:tcPr>
            <w:tcW w:w="2055" w:type="dxa"/>
            <w:noWrap/>
            <w:vAlign w:val="top"/>
          </w:tcPr>
          <w:p w14:paraId="499A8AA1">
            <w:pPr>
              <w:spacing w:line="480" w:lineRule="exact"/>
              <w:rPr>
                <w:bCs/>
                <w:sz w:val="28"/>
                <w:szCs w:val="28"/>
              </w:rPr>
            </w:pPr>
          </w:p>
        </w:tc>
        <w:tc>
          <w:tcPr>
            <w:tcW w:w="2306" w:type="dxa"/>
            <w:noWrap/>
            <w:vAlign w:val="top"/>
          </w:tcPr>
          <w:p w14:paraId="3014A721">
            <w:pPr>
              <w:spacing w:line="480" w:lineRule="exact"/>
              <w:rPr>
                <w:bCs/>
                <w:sz w:val="28"/>
                <w:szCs w:val="28"/>
              </w:rPr>
            </w:pPr>
          </w:p>
        </w:tc>
        <w:tc>
          <w:tcPr>
            <w:tcW w:w="1508" w:type="dxa"/>
            <w:noWrap/>
            <w:vAlign w:val="top"/>
          </w:tcPr>
          <w:p w14:paraId="443B3B71">
            <w:pPr>
              <w:spacing w:line="480" w:lineRule="exact"/>
              <w:rPr>
                <w:bCs/>
                <w:sz w:val="28"/>
                <w:szCs w:val="28"/>
              </w:rPr>
            </w:pPr>
          </w:p>
        </w:tc>
        <w:tc>
          <w:tcPr>
            <w:tcW w:w="844" w:type="dxa"/>
            <w:noWrap/>
            <w:vAlign w:val="top"/>
          </w:tcPr>
          <w:p w14:paraId="045F78E9">
            <w:pPr>
              <w:spacing w:line="480" w:lineRule="exact"/>
              <w:rPr>
                <w:bCs/>
                <w:sz w:val="28"/>
                <w:szCs w:val="28"/>
              </w:rPr>
            </w:pPr>
          </w:p>
        </w:tc>
      </w:tr>
      <w:tr w14:paraId="6867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ign w:val="top"/>
          </w:tcPr>
          <w:p w14:paraId="153D70AC">
            <w:pPr>
              <w:spacing w:line="480" w:lineRule="exact"/>
              <w:rPr>
                <w:bCs/>
                <w:sz w:val="28"/>
                <w:szCs w:val="28"/>
              </w:rPr>
            </w:pPr>
          </w:p>
        </w:tc>
        <w:tc>
          <w:tcPr>
            <w:tcW w:w="1800" w:type="dxa"/>
            <w:noWrap/>
            <w:vAlign w:val="top"/>
          </w:tcPr>
          <w:p w14:paraId="44CBBFA2">
            <w:pPr>
              <w:spacing w:line="480" w:lineRule="exact"/>
              <w:rPr>
                <w:bCs/>
                <w:sz w:val="28"/>
                <w:szCs w:val="28"/>
              </w:rPr>
            </w:pPr>
          </w:p>
        </w:tc>
        <w:tc>
          <w:tcPr>
            <w:tcW w:w="2055" w:type="dxa"/>
            <w:noWrap/>
            <w:vAlign w:val="top"/>
          </w:tcPr>
          <w:p w14:paraId="1033FE08">
            <w:pPr>
              <w:spacing w:line="480" w:lineRule="exact"/>
              <w:rPr>
                <w:bCs/>
                <w:sz w:val="28"/>
                <w:szCs w:val="28"/>
              </w:rPr>
            </w:pPr>
          </w:p>
        </w:tc>
        <w:tc>
          <w:tcPr>
            <w:tcW w:w="2306" w:type="dxa"/>
            <w:noWrap/>
            <w:vAlign w:val="top"/>
          </w:tcPr>
          <w:p w14:paraId="7C35F777">
            <w:pPr>
              <w:spacing w:line="480" w:lineRule="exact"/>
              <w:rPr>
                <w:bCs/>
                <w:sz w:val="28"/>
                <w:szCs w:val="28"/>
              </w:rPr>
            </w:pPr>
          </w:p>
        </w:tc>
        <w:tc>
          <w:tcPr>
            <w:tcW w:w="1508" w:type="dxa"/>
            <w:noWrap/>
            <w:vAlign w:val="top"/>
          </w:tcPr>
          <w:p w14:paraId="7B44487B">
            <w:pPr>
              <w:spacing w:line="480" w:lineRule="exact"/>
              <w:rPr>
                <w:bCs/>
                <w:sz w:val="28"/>
                <w:szCs w:val="28"/>
              </w:rPr>
            </w:pPr>
          </w:p>
        </w:tc>
        <w:tc>
          <w:tcPr>
            <w:tcW w:w="844" w:type="dxa"/>
            <w:noWrap/>
            <w:vAlign w:val="top"/>
          </w:tcPr>
          <w:p w14:paraId="754CEE81">
            <w:pPr>
              <w:spacing w:line="480" w:lineRule="exact"/>
              <w:rPr>
                <w:bCs/>
                <w:sz w:val="28"/>
                <w:szCs w:val="28"/>
              </w:rPr>
            </w:pPr>
          </w:p>
        </w:tc>
      </w:tr>
    </w:tbl>
    <w:p w14:paraId="015258BD">
      <w:pPr>
        <w:pStyle w:val="107"/>
        <w:rPr>
          <w:rFonts w:ascii="宋体" w:hAnsi="宋体" w:cs="宋体"/>
          <w:sz w:val="28"/>
          <w:szCs w:val="28"/>
        </w:rPr>
      </w:pPr>
    </w:p>
    <w:p w14:paraId="5D45B3E5">
      <w:pPr>
        <w:pStyle w:val="5"/>
        <w:numPr>
          <w:ilvl w:val="1"/>
          <w:numId w:val="0"/>
        </w:numPr>
        <w:tabs>
          <w:tab w:val="left" w:pos="425"/>
        </w:tabs>
        <w:spacing w:line="480" w:lineRule="exact"/>
        <w:jc w:val="both"/>
        <w:rPr>
          <w:rFonts w:ascii="宋体" w:hAnsi="宋体"/>
          <w:b w:val="0"/>
          <w:bCs w:val="0"/>
          <w:sz w:val="24"/>
          <w:szCs w:val="24"/>
          <w:lang w:val="zh-CN"/>
        </w:rPr>
      </w:pPr>
      <w:r>
        <w:rPr>
          <w:rFonts w:hint="eastAsia" w:ascii="宋体" w:hAnsi="宋体"/>
          <w:b w:val="0"/>
          <w:bCs w:val="0"/>
          <w:sz w:val="24"/>
          <w:szCs w:val="24"/>
          <w:lang w:val="zh-CN"/>
        </w:rPr>
        <w:t>注：供应商应按本表“列”的内容要求逐项认真填报，可根据需要自行增减表格行数。</w:t>
      </w:r>
      <w:r>
        <w:rPr>
          <w:rFonts w:hint="eastAsia" w:ascii="宋体" w:hAnsi="宋体" w:cs="宋体"/>
          <w:b w:val="0"/>
          <w:bCs w:val="0"/>
          <w:color w:val="000000"/>
          <w:kern w:val="0"/>
          <w:sz w:val="24"/>
          <w:szCs w:val="24"/>
        </w:rPr>
        <w:t>因技术参数内容较多，此表只填有偏离的，</w:t>
      </w:r>
      <w:r>
        <w:rPr>
          <w:rFonts w:hint="eastAsia" w:ascii="宋体" w:hAnsi="宋体" w:cs="宋体"/>
          <w:b w:val="0"/>
          <w:bCs w:val="0"/>
          <w:color w:val="000000"/>
          <w:kern w:val="0"/>
          <w:sz w:val="24"/>
          <w:szCs w:val="24"/>
          <w:lang w:val="zh-CN"/>
        </w:rPr>
        <w:t>无偏离此表可不填列内容</w:t>
      </w:r>
      <w:r>
        <w:rPr>
          <w:rFonts w:hint="eastAsia" w:ascii="宋体" w:hAnsi="宋体" w:cs="宋体"/>
          <w:b w:val="0"/>
          <w:bCs w:val="0"/>
          <w:color w:val="000000"/>
          <w:kern w:val="0"/>
          <w:sz w:val="24"/>
          <w:szCs w:val="24"/>
        </w:rPr>
        <w:t>。</w:t>
      </w:r>
    </w:p>
    <w:p w14:paraId="661DC917">
      <w:pPr>
        <w:pStyle w:val="5"/>
        <w:numPr>
          <w:ilvl w:val="1"/>
          <w:numId w:val="0"/>
        </w:numPr>
        <w:tabs>
          <w:tab w:val="left" w:pos="425"/>
        </w:tabs>
        <w:spacing w:line="480" w:lineRule="exact"/>
        <w:ind w:left="1800"/>
        <w:rPr>
          <w:rFonts w:ascii="宋体" w:hAnsi="宋体"/>
          <w:bCs/>
          <w:sz w:val="28"/>
          <w:szCs w:val="28"/>
        </w:rPr>
      </w:pPr>
    </w:p>
    <w:p w14:paraId="59E74C8C">
      <w:pPr>
        <w:pStyle w:val="5"/>
        <w:numPr>
          <w:ilvl w:val="1"/>
          <w:numId w:val="0"/>
        </w:numPr>
        <w:tabs>
          <w:tab w:val="left" w:pos="425"/>
        </w:tabs>
        <w:spacing w:line="480" w:lineRule="exact"/>
        <w:ind w:left="1800"/>
        <w:rPr>
          <w:rFonts w:ascii="宋体" w:hAnsi="宋体"/>
          <w:bCs/>
          <w:sz w:val="28"/>
          <w:szCs w:val="28"/>
        </w:rPr>
      </w:pPr>
    </w:p>
    <w:p w14:paraId="42376585">
      <w:pPr>
        <w:pStyle w:val="5"/>
        <w:numPr>
          <w:ilvl w:val="1"/>
          <w:numId w:val="0"/>
        </w:numPr>
        <w:tabs>
          <w:tab w:val="left" w:pos="425"/>
        </w:tabs>
        <w:spacing w:line="480" w:lineRule="exact"/>
        <w:ind w:left="1800"/>
        <w:rPr>
          <w:rFonts w:ascii="宋体" w:hAnsi="宋体"/>
          <w:b w:val="0"/>
          <w:bCs w:val="0"/>
          <w:sz w:val="28"/>
          <w:szCs w:val="28"/>
        </w:rPr>
      </w:pPr>
      <w:r>
        <w:rPr>
          <w:rFonts w:hint="eastAsia" w:ascii="宋体" w:hAnsi="宋体"/>
          <w:b w:val="0"/>
          <w:bCs w:val="0"/>
          <w:sz w:val="28"/>
          <w:szCs w:val="28"/>
        </w:rPr>
        <w:t>供应商(签章)：</w:t>
      </w:r>
    </w:p>
    <w:p w14:paraId="716AC74A">
      <w:pPr>
        <w:pStyle w:val="5"/>
        <w:numPr>
          <w:ilvl w:val="1"/>
          <w:numId w:val="0"/>
        </w:numPr>
        <w:tabs>
          <w:tab w:val="left" w:pos="425"/>
        </w:tabs>
        <w:spacing w:line="480" w:lineRule="exact"/>
        <w:ind w:left="1800"/>
        <w:rPr>
          <w:rFonts w:ascii="宋体" w:hAnsi="宋体"/>
          <w:b w:val="0"/>
          <w:bCs w:val="0"/>
          <w:sz w:val="28"/>
          <w:szCs w:val="28"/>
        </w:rPr>
      </w:pPr>
      <w:r>
        <w:rPr>
          <w:rFonts w:hint="eastAsia" w:ascii="宋体" w:hAnsi="宋体"/>
          <w:b w:val="0"/>
          <w:bCs w:val="0"/>
          <w:sz w:val="28"/>
          <w:szCs w:val="28"/>
        </w:rPr>
        <w:t>法定代表人(签章)：</w:t>
      </w:r>
    </w:p>
    <w:p w14:paraId="733E1582">
      <w:pPr>
        <w:keepNext w:val="0"/>
        <w:keepLines w:val="0"/>
        <w:pageBreakBefore w:val="0"/>
        <w:widowControl/>
        <w:kinsoku/>
        <w:wordWrap/>
        <w:overflowPunct/>
        <w:topLinePunct w:val="0"/>
        <w:autoSpaceDE/>
        <w:autoSpaceDN/>
        <w:bidi w:val="0"/>
        <w:adjustRightInd/>
        <w:snapToGrid/>
        <w:spacing w:line="500" w:lineRule="exact"/>
        <w:ind w:firstLine="1680" w:firstLineChars="600"/>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b w:val="0"/>
          <w:bCs w:val="0"/>
          <w:sz w:val="28"/>
          <w:szCs w:val="28"/>
        </w:rPr>
        <w:t>日期：     年   月   日</w:t>
      </w:r>
    </w:p>
    <w:p w14:paraId="577CC125">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7277BCBC">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6D5F47A9">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713FC0B8">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61B68D6A">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60D18D6B">
      <w:pPr>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color w:val="000000" w:themeColor="text1"/>
          <w:sz w:val="28"/>
          <w:szCs w:val="28"/>
          <w:highlight w:val="none"/>
          <w14:textFill>
            <w14:solidFill>
              <w14:schemeClr w14:val="tx1"/>
            </w14:solidFill>
          </w14:textFill>
        </w:rPr>
      </w:pPr>
    </w:p>
    <w:p w14:paraId="3F2AB0E7">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二、法定代表人身份证明</w:t>
      </w:r>
      <w:bookmarkEnd w:id="65"/>
      <w:bookmarkEnd w:id="66"/>
      <w:bookmarkEnd w:id="67"/>
      <w:bookmarkEnd w:id="68"/>
    </w:p>
    <w:p w14:paraId="4959320E">
      <w:pPr>
        <w:spacing w:line="480" w:lineRule="atLeast"/>
        <w:rPr>
          <w:rFonts w:hint="eastAsia" w:ascii="宋体" w:hAnsi="宋体" w:eastAsia="宋体" w:cs="宋体"/>
          <w:b/>
          <w:color w:val="000000" w:themeColor="text1"/>
          <w:sz w:val="24"/>
          <w:highlight w:val="none"/>
          <w14:textFill>
            <w14:solidFill>
              <w14:schemeClr w14:val="tx1"/>
            </w14:solidFill>
          </w14:textFill>
        </w:rPr>
      </w:pPr>
    </w:p>
    <w:p w14:paraId="5830177C">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单位</w:t>
      </w:r>
      <w:r>
        <w:rPr>
          <w:rFonts w:hint="eastAsia" w:ascii="宋体" w:hAnsi="宋体" w:cs="宋体"/>
          <w:color w:val="000000" w:themeColor="text1"/>
          <w:sz w:val="24"/>
          <w:szCs w:val="24"/>
          <w14:textFill>
            <w14:solidFill>
              <w14:schemeClr w14:val="tx1"/>
            </w14:solidFill>
          </w14:textFill>
        </w:rPr>
        <w:t>名称：</w:t>
      </w:r>
      <w:r>
        <w:rPr>
          <w:rFonts w:hint="eastAsia" w:ascii="宋体" w:hAnsi="宋体" w:cs="宋体"/>
          <w:color w:val="000000" w:themeColor="text1"/>
          <w:sz w:val="24"/>
          <w:szCs w:val="24"/>
          <w:u w:val="single"/>
          <w14:textFill>
            <w14:solidFill>
              <w14:schemeClr w14:val="tx1"/>
            </w14:solidFill>
          </w14:textFill>
        </w:rPr>
        <w:t xml:space="preserve">                     </w:t>
      </w:r>
    </w:p>
    <w:p w14:paraId="6926FAE7">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单位性质：</w:t>
      </w:r>
      <w:r>
        <w:rPr>
          <w:rFonts w:hint="eastAsia" w:ascii="宋体" w:hAnsi="宋体" w:cs="宋体"/>
          <w:color w:val="000000" w:themeColor="text1"/>
          <w:sz w:val="24"/>
          <w:szCs w:val="24"/>
          <w:u w:val="single"/>
          <w14:textFill>
            <w14:solidFill>
              <w14:schemeClr w14:val="tx1"/>
            </w14:solidFill>
          </w14:textFill>
        </w:rPr>
        <w:t xml:space="preserve">                       </w:t>
      </w:r>
    </w:p>
    <w:p w14:paraId="31141434">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p>
    <w:p w14:paraId="6B7497A7">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成立时间：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14:paraId="08D33D3A">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经营期限：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p>
    <w:p w14:paraId="15F3DB60">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 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性别：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u w:val="single"/>
          <w14:textFill>
            <w14:solidFill>
              <w14:schemeClr w14:val="tx1"/>
            </w14:solidFill>
          </w14:textFill>
        </w:rPr>
        <w:t xml:space="preserve">       </w:t>
      </w:r>
    </w:p>
    <w:p w14:paraId="109A4088">
      <w:pPr>
        <w:spacing w:line="360" w:lineRule="auto"/>
        <w:ind w:firstLine="610"/>
        <w:jc w:val="both"/>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供应商</w:t>
      </w:r>
      <w:r>
        <w:rPr>
          <w:rFonts w:hint="eastAsia" w:ascii="宋体" w:hAnsi="宋体" w:cs="宋体"/>
          <w:color w:val="000000" w:themeColor="text1"/>
          <w:sz w:val="24"/>
          <w:szCs w:val="24"/>
          <w:u w:val="none"/>
          <w14:textFill>
            <w14:solidFill>
              <w14:schemeClr w14:val="tx1"/>
            </w14:solidFill>
          </w14:textFill>
        </w:rPr>
        <w:t>名称）</w:t>
      </w:r>
      <w:r>
        <w:rPr>
          <w:rFonts w:hint="eastAsia" w:ascii="宋体" w:hAnsi="宋体" w:cs="宋体"/>
          <w:color w:val="000000" w:themeColor="text1"/>
          <w:sz w:val="24"/>
          <w:szCs w:val="24"/>
          <w14:textFill>
            <w14:solidFill>
              <w14:schemeClr w14:val="tx1"/>
            </w14:solidFill>
          </w14:textFill>
        </w:rPr>
        <w:t>的法定代表人。</w:t>
      </w:r>
    </w:p>
    <w:p w14:paraId="789B954F">
      <w:pPr>
        <w:spacing w:line="360" w:lineRule="auto"/>
        <w:ind w:firstLine="610"/>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14:paraId="3A33900A">
      <w:pPr>
        <w:spacing w:line="360" w:lineRule="auto"/>
        <w:ind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附法定代表人身份证</w:t>
      </w:r>
      <w:r>
        <w:rPr>
          <w:rFonts w:hint="eastAsia" w:ascii="宋体" w:hAnsi="宋体" w:cs="宋体"/>
          <w:color w:val="000000" w:themeColor="text1"/>
          <w:sz w:val="24"/>
          <w:szCs w:val="24"/>
          <w:lang w:eastAsia="zh-CN"/>
          <w14:textFill>
            <w14:solidFill>
              <w14:schemeClr w14:val="tx1"/>
            </w14:solidFill>
          </w14:textFill>
        </w:rPr>
        <w:t>正反面原件</w:t>
      </w:r>
      <w:r>
        <w:rPr>
          <w:rFonts w:hint="eastAsia" w:ascii="宋体" w:hAnsi="宋体" w:cs="宋体"/>
          <w:color w:val="000000" w:themeColor="text1"/>
          <w:sz w:val="24"/>
          <w:szCs w:val="24"/>
          <w14:textFill>
            <w14:solidFill>
              <w14:schemeClr w14:val="tx1"/>
            </w14:solidFill>
          </w14:textFill>
        </w:rPr>
        <w:t>扫描件</w:t>
      </w:r>
      <w:r>
        <w:rPr>
          <w:rFonts w:hint="eastAsia" w:ascii="宋体" w:hAnsi="宋体" w:cs="宋体"/>
          <w:color w:val="000000" w:themeColor="text1"/>
          <w:sz w:val="24"/>
          <w:szCs w:val="24"/>
          <w:lang w:eastAsia="zh-CN"/>
          <w14:textFill>
            <w14:solidFill>
              <w14:schemeClr w14:val="tx1"/>
            </w14:solidFill>
          </w14:textFill>
        </w:rPr>
        <w:t>）</w:t>
      </w:r>
    </w:p>
    <w:p w14:paraId="4498A9C4">
      <w:pPr>
        <w:rPr>
          <w:rFonts w:hint="eastAsia" w:ascii="宋体" w:hAnsi="宋体" w:eastAsia="宋体" w:cs="宋体"/>
          <w:color w:val="000000" w:themeColor="text1"/>
          <w:highlight w:val="none"/>
          <w14:textFill>
            <w14:solidFill>
              <w14:schemeClr w14:val="tx1"/>
            </w14:solidFill>
          </w14:textFill>
        </w:rPr>
      </w:pPr>
    </w:p>
    <w:p w14:paraId="114158B0">
      <w:pPr>
        <w:wordWrap w:val="0"/>
        <w:overflowPunct w:val="0"/>
        <w:spacing w:beforeLines="50" w:afterLines="50" w:line="360" w:lineRule="auto"/>
        <w:jc w:val="left"/>
        <w:rPr>
          <w:rFonts w:hint="eastAsia" w:ascii="宋体" w:hAnsi="宋体" w:eastAsia="宋体" w:cs="宋体"/>
          <w:color w:val="000000" w:themeColor="text1"/>
          <w:sz w:val="24"/>
          <w:highlight w:val="none"/>
          <w14:textFill>
            <w14:solidFill>
              <w14:schemeClr w14:val="tx1"/>
            </w14:solidFill>
          </w14:textFill>
        </w:rPr>
      </w:pPr>
    </w:p>
    <w:p w14:paraId="06ACD06F">
      <w:pPr>
        <w:wordWrap w:val="0"/>
        <w:overflowPunct w:val="0"/>
        <w:spacing w:beforeLines="50" w:afterLines="50" w:line="360" w:lineRule="auto"/>
        <w:jc w:val="left"/>
        <w:rPr>
          <w:rFonts w:hint="eastAsia" w:ascii="宋体" w:hAnsi="宋体" w:eastAsia="宋体" w:cs="宋体"/>
          <w:color w:val="000000" w:themeColor="text1"/>
          <w:sz w:val="24"/>
          <w:highlight w:val="none"/>
          <w14:textFill>
            <w14:solidFill>
              <w14:schemeClr w14:val="tx1"/>
            </w14:solidFill>
          </w14:textFill>
        </w:rPr>
      </w:pPr>
    </w:p>
    <w:p w14:paraId="2B429E8C">
      <w:pPr>
        <w:wordWrap w:val="0"/>
        <w:overflowPunct w:val="0"/>
        <w:spacing w:beforeLines="50" w:afterLines="50"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供应商</w:t>
      </w:r>
      <w:r>
        <w:rPr>
          <w:rFonts w:hint="eastAsia" w:ascii="宋体" w:hAnsi="宋体" w:eastAsia="宋体" w:cs="宋体"/>
          <w:color w:val="000000" w:themeColor="text1"/>
          <w:kern w:val="0"/>
          <w:sz w:val="24"/>
          <w:highlight w:val="none"/>
          <w:lang w:val="en-US" w:eastAsia="zh-CN"/>
          <w14:textFill>
            <w14:solidFill>
              <w14:schemeClr w14:val="tx1"/>
            </w14:solidFill>
          </w14:textFill>
        </w:rPr>
        <w:t>名称</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企业电子签章</w:t>
      </w:r>
      <w:r>
        <w:rPr>
          <w:rFonts w:hint="eastAsia" w:ascii="宋体" w:hAnsi="宋体" w:eastAsia="宋体" w:cs="宋体"/>
          <w:color w:val="000000" w:themeColor="text1"/>
          <w:kern w:val="0"/>
          <w:sz w:val="24"/>
          <w:highlight w:val="none"/>
          <w14:textFill>
            <w14:solidFill>
              <w14:schemeClr w14:val="tx1"/>
            </w14:solidFill>
          </w14:textFill>
        </w:rPr>
        <w:t>）</w:t>
      </w:r>
    </w:p>
    <w:p w14:paraId="0884A687">
      <w:pPr>
        <w:wordWrap w:val="0"/>
        <w:overflowPunct w:val="0"/>
        <w:spacing w:beforeLines="50" w:afterLines="50"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日期：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5BFC22E">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5FD5B5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69" w:name="_Toc21143"/>
      <w:bookmarkStart w:id="70" w:name="_Toc23981_WPSOffice_Level1"/>
      <w:bookmarkStart w:id="71" w:name="_Toc27252"/>
      <w:bookmarkStart w:id="72" w:name="_Toc80256517"/>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法人</w:t>
      </w:r>
      <w:r>
        <w:rPr>
          <w:rFonts w:hint="eastAsia" w:ascii="宋体" w:hAnsi="宋体" w:eastAsia="宋体" w:cs="宋体"/>
          <w:b/>
          <w:color w:val="000000" w:themeColor="text1"/>
          <w:sz w:val="28"/>
          <w:szCs w:val="28"/>
          <w:highlight w:val="none"/>
          <w14:textFill>
            <w14:solidFill>
              <w14:schemeClr w14:val="tx1"/>
            </w14:solidFill>
          </w14:textFill>
        </w:rPr>
        <w:t>授权委托书</w:t>
      </w:r>
      <w:bookmarkEnd w:id="69"/>
      <w:bookmarkEnd w:id="70"/>
      <w:bookmarkEnd w:id="71"/>
      <w:bookmarkEnd w:id="72"/>
    </w:p>
    <w:p w14:paraId="63C5F6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本人</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（姓名）系</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投标</w:t>
      </w:r>
      <w:r>
        <w:rPr>
          <w:rFonts w:hint="eastAsia"/>
          <w:color w:val="000000" w:themeColor="text1"/>
          <w:sz w:val="24"/>
          <w:szCs w:val="24"/>
          <w:lang w:val="en-US" w:eastAsia="zh-CN"/>
          <w14:textFill>
            <w14:solidFill>
              <w14:schemeClr w14:val="tx1"/>
            </w14:solidFill>
          </w14:textFill>
        </w:rPr>
        <w:t>人</w:t>
      </w:r>
      <w:r>
        <w:rPr>
          <w:rFonts w:hint="eastAsia" w:ascii="宋体" w:hAnsi="宋体"/>
          <w:color w:val="000000" w:themeColor="text1"/>
          <w:sz w:val="24"/>
          <w:szCs w:val="24"/>
          <w14:textFill>
            <w14:solidFill>
              <w14:schemeClr w14:val="tx1"/>
            </w14:solidFill>
          </w14:textFill>
        </w:rPr>
        <w:t>名称）的法定代表人，现委托</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（项目名称）</w:t>
      </w:r>
      <w:r>
        <w:rPr>
          <w:rFonts w:hint="eastAsia"/>
          <w:color w:val="000000" w:themeColor="text1"/>
          <w:sz w:val="24"/>
          <w:szCs w:val="24"/>
          <w:lang w:val="en-US" w:eastAsia="zh-CN"/>
          <w14:textFill>
            <w14:solidFill>
              <w14:schemeClr w14:val="tx1"/>
            </w14:solidFill>
          </w14:textFill>
        </w:rPr>
        <w:t>投标</w:t>
      </w:r>
      <w:r>
        <w:rPr>
          <w:rFonts w:hint="eastAsia" w:ascii="宋体" w:hAnsi="宋体"/>
          <w:color w:val="000000" w:themeColor="text1"/>
          <w:sz w:val="24"/>
          <w:szCs w:val="24"/>
          <w14:textFill>
            <w14:solidFill>
              <w14:schemeClr w14:val="tx1"/>
            </w14:solidFill>
          </w14:textFill>
        </w:rPr>
        <w:t>文件、签订合同和处理有关事宜，其法律后果由我方承担。</w:t>
      </w:r>
    </w:p>
    <w:p w14:paraId="1F9219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委托期限：</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117B73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代理人无转委托权。</w:t>
      </w:r>
    </w:p>
    <w:p w14:paraId="7EA64E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（后</w:t>
      </w:r>
      <w:r>
        <w:rPr>
          <w:rFonts w:hint="eastAsia" w:ascii="宋体" w:hAnsi="宋体"/>
          <w:color w:val="000000" w:themeColor="text1"/>
          <w:sz w:val="24"/>
          <w:szCs w:val="24"/>
          <w14:textFill>
            <w14:solidFill>
              <w14:schemeClr w14:val="tx1"/>
            </w14:solidFill>
          </w14:textFill>
        </w:rPr>
        <w:t>附委托代理人的身份证正反面原件扫描件</w:t>
      </w:r>
      <w:r>
        <w:rPr>
          <w:rFonts w:hint="eastAsia" w:ascii="宋体" w:hAnsi="宋体"/>
          <w:color w:val="000000" w:themeColor="text1"/>
          <w:sz w:val="24"/>
          <w:szCs w:val="24"/>
          <w:lang w:eastAsia="zh-CN"/>
          <w14:textFill>
            <w14:solidFill>
              <w14:schemeClr w14:val="tx1"/>
            </w14:solidFill>
          </w14:textFill>
        </w:rPr>
        <w:t>）</w:t>
      </w:r>
    </w:p>
    <w:p w14:paraId="772C4850">
      <w:pPr>
        <w:widowControl/>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6396E50">
      <w:pPr>
        <w:rPr>
          <w:rFonts w:hint="eastAsia" w:ascii="宋体" w:hAnsi="宋体" w:eastAsia="宋体" w:cs="宋体"/>
          <w:color w:val="000000" w:themeColor="text1"/>
          <w:highlight w:val="none"/>
          <w14:textFill>
            <w14:solidFill>
              <w14:schemeClr w14:val="tx1"/>
            </w14:solidFill>
          </w14:textFill>
        </w:rPr>
      </w:pPr>
    </w:p>
    <w:p w14:paraId="271AE5BB">
      <w:pPr>
        <w:rPr>
          <w:rFonts w:hint="eastAsia" w:ascii="宋体" w:hAnsi="宋体" w:eastAsia="宋体" w:cs="宋体"/>
          <w:color w:val="000000" w:themeColor="text1"/>
          <w:highlight w:val="none"/>
          <w14:textFill>
            <w14:solidFill>
              <w14:schemeClr w14:val="tx1"/>
            </w14:solidFill>
          </w14:textFill>
        </w:rPr>
      </w:pPr>
    </w:p>
    <w:p w14:paraId="6A5499D3">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20685EFB">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法人</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326D9A1">
      <w:pPr>
        <w:keepNext w:val="0"/>
        <w:keepLines w:val="0"/>
        <w:pageBreakBefore w:val="0"/>
        <w:widowControl/>
        <w:kinsoku/>
        <w:wordWrap/>
        <w:overflowPunct/>
        <w:topLinePunct w:val="0"/>
        <w:autoSpaceDE/>
        <w:autoSpaceDN/>
        <w:bidi w:val="0"/>
        <w:adjustRightInd/>
        <w:snapToGrid/>
        <w:spacing w:beforeLines="20" w:afterLines="20" w:line="500" w:lineRule="exact"/>
        <w:ind w:firstLine="3840" w:firstLineChars="16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r>
        <w:rPr>
          <w:rFonts w:hint="eastAsia" w:cs="宋体"/>
          <w:b/>
          <w:color w:val="000000" w:themeColor="text1"/>
          <w:sz w:val="24"/>
          <w:szCs w:val="24"/>
          <w:u w:val="single"/>
          <w:lang w:val="en-US" w:eastAsia="zh-CN"/>
          <w14:textFill>
            <w14:solidFill>
              <w14:schemeClr w14:val="tx1"/>
            </w14:solidFill>
          </w14:textFill>
        </w:rPr>
        <w:t xml:space="preserve">              </w:t>
      </w:r>
    </w:p>
    <w:p w14:paraId="2D755669">
      <w:pPr>
        <w:keepNext w:val="0"/>
        <w:keepLines w:val="0"/>
        <w:pageBreakBefore w:val="0"/>
        <w:widowControl/>
        <w:kinsoku/>
        <w:wordWrap/>
        <w:overflowPunct/>
        <w:topLinePunct w:val="0"/>
        <w:autoSpaceDE/>
        <w:autoSpaceDN/>
        <w:bidi w:val="0"/>
        <w:adjustRightInd/>
        <w:snapToGrid/>
        <w:spacing w:beforeLines="20" w:afterLines="20" w:line="500" w:lineRule="exact"/>
        <w:ind w:firstLine="3840" w:firstLineChars="16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（签字或</w:t>
      </w:r>
      <w:r>
        <w:rPr>
          <w:rFonts w:hint="eastAsia" w:ascii="宋体" w:hAnsi="宋体" w:eastAsia="宋体" w:cs="宋体"/>
          <w:color w:val="000000" w:themeColor="text1"/>
          <w:sz w:val="24"/>
          <w:highlight w:val="none"/>
          <w:lang w:val="en-US" w:eastAsia="zh-CN"/>
          <w14:textFill>
            <w14:solidFill>
              <w14:schemeClr w14:val="tx1"/>
            </w14:solidFill>
          </w14:textFill>
        </w:rPr>
        <w:t>签</w:t>
      </w:r>
      <w:r>
        <w:rPr>
          <w:rFonts w:hint="eastAsia" w:ascii="宋体" w:hAnsi="宋体" w:eastAsia="宋体" w:cs="宋体"/>
          <w:color w:val="000000" w:themeColor="text1"/>
          <w:sz w:val="24"/>
          <w:highlight w:val="none"/>
          <w14:textFill>
            <w14:solidFill>
              <w14:schemeClr w14:val="tx1"/>
            </w14:solidFill>
          </w14:textFill>
        </w:rPr>
        <w:t>章）</w:t>
      </w:r>
    </w:p>
    <w:p w14:paraId="7BBE3C8B">
      <w:pPr>
        <w:keepNext w:val="0"/>
        <w:keepLines w:val="0"/>
        <w:pageBreakBefore w:val="0"/>
        <w:widowControl/>
        <w:kinsoku/>
        <w:wordWrap/>
        <w:overflowPunct/>
        <w:topLinePunct w:val="0"/>
        <w:autoSpaceDE/>
        <w:autoSpaceDN/>
        <w:bidi w:val="0"/>
        <w:adjustRightInd/>
        <w:snapToGrid/>
        <w:spacing w:beforeLines="20" w:afterLines="20" w:line="500" w:lineRule="exact"/>
        <w:ind w:firstLine="3840" w:firstLineChars="1600"/>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r>
        <w:rPr>
          <w:rFonts w:hint="eastAsia" w:cs="宋体"/>
          <w:b/>
          <w:color w:val="000000" w:themeColor="text1"/>
          <w:sz w:val="24"/>
          <w:szCs w:val="24"/>
          <w:u w:val="single"/>
          <w:lang w:val="en-US" w:eastAsia="zh-CN"/>
          <w14:textFill>
            <w14:solidFill>
              <w14:schemeClr w14:val="tx1"/>
            </w14:solidFill>
          </w14:textFill>
        </w:rPr>
        <w:t xml:space="preserve">              </w:t>
      </w:r>
    </w:p>
    <w:p w14:paraId="3802D2A0">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7E2D5973">
      <w:pPr>
        <w:pStyle w:val="2"/>
        <w:rPr>
          <w:rFonts w:hint="eastAsia" w:ascii="宋体" w:hAnsi="宋体" w:eastAsia="宋体" w:cs="宋体"/>
          <w:color w:val="000000" w:themeColor="text1"/>
          <w:sz w:val="24"/>
          <w:szCs w:val="24"/>
          <w:highlight w:val="none"/>
          <w14:textFill>
            <w14:solidFill>
              <w14:schemeClr w14:val="tx1"/>
            </w14:solidFill>
          </w14:textFill>
        </w:rPr>
      </w:pPr>
    </w:p>
    <w:p w14:paraId="72B035B6">
      <w:pPr>
        <w:keepNext w:val="0"/>
        <w:keepLines w:val="0"/>
        <w:pageBreakBefore w:val="0"/>
        <w:widowControl/>
        <w:kinsoku/>
        <w:wordWrap/>
        <w:overflowPunct/>
        <w:topLinePunct w:val="0"/>
        <w:autoSpaceDE/>
        <w:autoSpaceDN/>
        <w:bidi w:val="0"/>
        <w:adjustRightInd/>
        <w:snapToGrid/>
        <w:spacing w:line="360" w:lineRule="auto"/>
        <w:ind w:right="238"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sectPr>
          <w:pgSz w:w="12240" w:h="15840"/>
          <w:pgMar w:top="1400" w:right="1720" w:bottom="1120" w:left="1720" w:header="794" w:footer="907"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bCs/>
          <w:color w:val="000000" w:themeColor="text1"/>
          <w:sz w:val="24"/>
          <w:szCs w:val="21"/>
          <w:lang w:val="en-US" w:eastAsia="zh-CN"/>
          <w14:textFill>
            <w14:solidFill>
              <w14:schemeClr w14:val="tx1"/>
            </w14:solidFill>
          </w14:textFill>
        </w:rPr>
        <w:t>注：</w:t>
      </w:r>
      <w:r>
        <w:rPr>
          <w:rFonts w:hint="eastAsia" w:asciiTheme="minorEastAsia" w:hAnsiTheme="minorEastAsia" w:eastAsiaTheme="minorEastAsia"/>
          <w:bCs/>
          <w:color w:val="000000" w:themeColor="text1"/>
          <w:sz w:val="24"/>
          <w:szCs w:val="21"/>
          <w14:textFill>
            <w14:solidFill>
              <w14:schemeClr w14:val="tx1"/>
            </w14:solidFill>
          </w14:textFill>
        </w:rPr>
        <w:t>因本项目为电子标，</w:t>
      </w:r>
      <w:r>
        <w:rPr>
          <w:rFonts w:hint="eastAsia" w:asciiTheme="minorEastAsia" w:hAnsiTheme="minorEastAsia" w:eastAsiaTheme="minorEastAsia"/>
          <w:bCs/>
          <w:color w:val="000000" w:themeColor="text1"/>
          <w:sz w:val="24"/>
          <w:szCs w:val="21"/>
          <w:lang w:val="en-US" w:eastAsia="zh-CN"/>
          <w14:textFill>
            <w14:solidFill>
              <w14:schemeClr w14:val="tx1"/>
            </w14:solidFill>
          </w14:textFill>
        </w:rPr>
        <w:t>委托代理人可电子签章或上传委托代理人手写签名扫描件</w:t>
      </w:r>
      <w:r>
        <w:rPr>
          <w:rFonts w:hint="eastAsia" w:asciiTheme="minorEastAsia" w:hAnsiTheme="minorEastAsia" w:eastAsiaTheme="minorEastAsia"/>
          <w:bCs/>
          <w:color w:val="000000" w:themeColor="text1"/>
          <w:sz w:val="24"/>
          <w:szCs w:val="21"/>
          <w14:textFill>
            <w14:solidFill>
              <w14:schemeClr w14:val="tx1"/>
            </w14:solidFill>
          </w14:textFill>
        </w:rPr>
        <w:t>。</w:t>
      </w:r>
    </w:p>
    <w:p w14:paraId="6D65410A">
      <w:pPr>
        <w:pStyle w:val="100"/>
        <w:jc w:val="center"/>
        <w:rPr>
          <w:rFonts w:hint="eastAsia" w:ascii="宋体" w:hAnsi="宋体" w:eastAsia="宋体" w:cs="宋体"/>
          <w:b/>
          <w:color w:val="000000" w:themeColor="text1"/>
          <w:sz w:val="28"/>
          <w:szCs w:val="28"/>
          <w:highlight w:val="none"/>
          <w14:textFill>
            <w14:solidFill>
              <w14:schemeClr w14:val="tx1"/>
            </w14:solidFill>
          </w14:textFill>
        </w:rPr>
      </w:pPr>
      <w:bookmarkStart w:id="73" w:name="_Toc15348"/>
      <w:bookmarkStart w:id="74" w:name="_Toc80256518"/>
      <w:bookmarkStart w:id="75" w:name="_Toc30862"/>
      <w:bookmarkStart w:id="76" w:name="_Toc1273_WPSOffice_Level1"/>
      <w:r>
        <w:rPr>
          <w:rFonts w:hint="eastAsia" w:ascii="宋体" w:hAnsi="宋体" w:eastAsia="宋体" w:cs="宋体"/>
          <w:b/>
          <w:color w:val="000000" w:themeColor="text1"/>
          <w:sz w:val="28"/>
          <w:szCs w:val="28"/>
          <w:highlight w:val="none"/>
          <w14:textFill>
            <w14:solidFill>
              <w14:schemeClr w14:val="tx1"/>
            </w14:solidFill>
          </w14:textFill>
        </w:rPr>
        <w:t>四、投标承诺函</w:t>
      </w:r>
      <w:bookmarkEnd w:id="73"/>
      <w:bookmarkEnd w:id="74"/>
      <w:bookmarkEnd w:id="75"/>
      <w:bookmarkEnd w:id="76"/>
    </w:p>
    <w:p w14:paraId="02CF8260">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（采购人名称）：</w:t>
      </w:r>
    </w:p>
    <w:p w14:paraId="41DCB24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我公司作为本次采购项目的投标供应商，根据招标文件要求，现郑重承诺如下：</w:t>
      </w:r>
    </w:p>
    <w:p w14:paraId="61AF0190">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一、具备《中华人民共和国政府采购法》第二十二条第一款和本项目规定的条件：</w:t>
      </w:r>
    </w:p>
    <w:p w14:paraId="3C4CD28B">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（一）具有独立承担民事责任的能力；</w:t>
      </w:r>
    </w:p>
    <w:p w14:paraId="3B241C7E">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（二）具有良好的商业信誉和健全的财务会计制度；</w:t>
      </w:r>
    </w:p>
    <w:p w14:paraId="3C008E17">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（三）具有履行合同所必需的设备和专业技术能力；</w:t>
      </w:r>
    </w:p>
    <w:p w14:paraId="3D3A8D3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（四）有依法缴纳税收和社会保障资金的良好记录；</w:t>
      </w:r>
    </w:p>
    <w:p w14:paraId="4DFD415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（五）参加政府采购活动前三年内，在经营活动中没有重大违法记录；</w:t>
      </w:r>
    </w:p>
    <w:p w14:paraId="025AAAC7">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（六）法律、行政法规规定的其他条件；</w:t>
      </w:r>
    </w:p>
    <w:p w14:paraId="5495285D">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（七）根据采购项目提出的特殊条件。</w:t>
      </w:r>
    </w:p>
    <w:p w14:paraId="3DA2673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04ED7BE">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三、参加本次招标采购活动，不存在与单位负责人为同一人或者存在直接控股、管理关系的其他投标供应商参与同一合同项下的政府采购活动的行为。</w:t>
      </w:r>
    </w:p>
    <w:p w14:paraId="6F79D772">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四、参加本次招标采购活动，不存在为采购项目提供整体设计、规范编制或者项目管理、监理、检测等服务的行为。</w:t>
      </w:r>
    </w:p>
    <w:p w14:paraId="6CE5BC4F">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五、参加本次招标采购活动，不存在和其他投标供应商在同一合同项下的采购项目中，同时委托同一个自然人、同一家庭的人员、同一单位的人员作为代理人的行为。</w:t>
      </w:r>
    </w:p>
    <w:p w14:paraId="69EAA60D">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六、投标供应商参加本次政府采购活动要求在近三年内投标供应商和其法定代表人没有行贿犯罪行为。</w:t>
      </w:r>
    </w:p>
    <w:p w14:paraId="3CF8501A">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七、参加本次招标采购活动，不存在联合体投标。</w:t>
      </w:r>
    </w:p>
    <w:p w14:paraId="32F93099">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八、投标文件中提供的能够给予我公司带来优惠、好处的任何材料资料和技术、服务、商务等响应承诺情况都是真实的、有效的、合法的。</w:t>
      </w:r>
    </w:p>
    <w:p w14:paraId="14F908BF">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九、存在以下行为之一的愿意接受相关部门的处理：</w:t>
      </w:r>
    </w:p>
    <w:p w14:paraId="4EABF3DC">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（一）投标有效期内撤销投标文件的；</w:t>
      </w:r>
    </w:p>
    <w:p w14:paraId="5C517FD5">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（二）在采购人确定中标供应商以前放弃中标候选资格的；</w:t>
      </w:r>
    </w:p>
    <w:p w14:paraId="68F18585">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（三）由于中标供应商的原因未能按照招标文件的规定与采购人签订合同；</w:t>
      </w:r>
    </w:p>
    <w:p w14:paraId="37E2734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（四）在投标文件中提供虚假材料谋取中标；</w:t>
      </w:r>
    </w:p>
    <w:p w14:paraId="08291342">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（五）与采购人、其他投标供应商或者采购代理机构恶意串通的；</w:t>
      </w:r>
    </w:p>
    <w:p w14:paraId="45B4E998">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（六）投标有效期内，投标供应商在政府采购活动中有违法、违规、违纪行为。</w:t>
      </w:r>
    </w:p>
    <w:p w14:paraId="3614A68B">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由此产生的一切法律后果和责任由我公司承担。我公司声明放弃对此提出任何异议和追索的权利。</w:t>
      </w:r>
    </w:p>
    <w:p w14:paraId="38976DFF">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19FFC5BD">
      <w:pPr>
        <w:spacing w:line="48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356ABEED">
      <w:pPr>
        <w:spacing w:line="560" w:lineRule="exact"/>
        <w:jc w:val="right"/>
        <w:rPr>
          <w:rFonts w:hint="eastAsia" w:ascii="宋体" w:hAnsi="宋体" w:eastAsia="宋体" w:cs="宋体"/>
          <w:bCs/>
          <w:color w:val="000000" w:themeColor="text1"/>
          <w:sz w:val="24"/>
          <w:highlight w:val="none"/>
          <w14:textFill>
            <w14:solidFill>
              <w14:schemeClr w14:val="tx1"/>
            </w14:solidFill>
          </w14:textFill>
        </w:rPr>
      </w:pPr>
    </w:p>
    <w:p w14:paraId="5E0BEE68">
      <w:pPr>
        <w:widowControl/>
        <w:spacing w:line="480" w:lineRule="auto"/>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公章</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04DA2C8">
      <w:pPr>
        <w:widowControl/>
        <w:spacing w:line="480" w:lineRule="auto"/>
        <w:ind w:firstLine="2640" w:firstLineChars="1100"/>
        <w:jc w:val="right"/>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cs="宋体"/>
          <w:b/>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法人</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0F7ABD1">
      <w:pPr>
        <w:pStyle w:val="100"/>
        <w:jc w:val="righ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760F5F88">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64AF7977">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069C35A8">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576647EF">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000762A3">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0800B29">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7407592B">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74F7A0E3">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7EC1A71D">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1443E989">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40E88DA1">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5C8DBBDB">
      <w:pPr>
        <w:jc w:val="center"/>
        <w:rPr>
          <w:rFonts w:hint="eastAsia" w:ascii="宋体" w:hAnsi="宋体" w:eastAsia="宋体" w:cs="宋体"/>
          <w:b/>
          <w:bCs/>
          <w:color w:val="000000" w:themeColor="text1"/>
          <w:sz w:val="28"/>
          <w:szCs w:val="28"/>
          <w:lang w:eastAsia="zh-CN"/>
          <w14:textFill>
            <w14:solidFill>
              <w14:schemeClr w14:val="tx1"/>
            </w14:solidFill>
          </w14:textFill>
        </w:rPr>
      </w:pPr>
      <w:bookmarkStart w:id="77" w:name="_Toc31308"/>
      <w:bookmarkStart w:id="78" w:name="_Toc80256523"/>
      <w:r>
        <w:rPr>
          <w:rFonts w:hint="eastAsia" w:ascii="宋体" w:hAnsi="宋体" w:eastAsia="宋体" w:cs="宋体"/>
          <w:b/>
          <w:bCs/>
          <w:color w:val="000000" w:themeColor="text1"/>
          <w:sz w:val="28"/>
          <w:szCs w:val="28"/>
          <w:lang w:val="en-US" w:eastAsia="zh-CN"/>
          <w14:textFill>
            <w14:solidFill>
              <w14:schemeClr w14:val="tx1"/>
            </w14:solidFill>
          </w14:textFill>
        </w:rPr>
        <w:t>五、资格审查资料</w:t>
      </w:r>
    </w:p>
    <w:p w14:paraId="63DBECF9">
      <w:pPr>
        <w:spacing w:line="480" w:lineRule="exact"/>
        <w:jc w:val="center"/>
        <w:outlineLvl w:val="1"/>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（一）供应商</w:t>
      </w:r>
      <w:r>
        <w:rPr>
          <w:rFonts w:hint="eastAsia" w:ascii="宋体" w:hAnsi="宋体" w:eastAsia="宋体" w:cs="宋体"/>
          <w:b/>
          <w:bCs/>
          <w:color w:val="000000" w:themeColor="text1"/>
          <w:sz w:val="24"/>
          <w:szCs w:val="24"/>
          <w14:textFill>
            <w14:solidFill>
              <w14:schemeClr w14:val="tx1"/>
            </w14:solidFill>
          </w14:textFill>
        </w:rPr>
        <w:t>基本情况表</w:t>
      </w:r>
    </w:p>
    <w:tbl>
      <w:tblPr>
        <w:tblStyle w:val="40"/>
        <w:tblpPr w:leftFromText="180" w:rightFromText="180" w:vertAnchor="text" w:horzAnchor="margin" w:tblpXSpec="center" w:tblpY="163"/>
        <w:tblOverlap w:val="never"/>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083"/>
        <w:gridCol w:w="2810"/>
        <w:gridCol w:w="1360"/>
        <w:gridCol w:w="2078"/>
      </w:tblGrid>
      <w:tr w14:paraId="4B3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744DB46F">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w:t>
            </w:r>
          </w:p>
        </w:tc>
        <w:tc>
          <w:tcPr>
            <w:tcW w:w="7331" w:type="dxa"/>
            <w:gridSpan w:val="4"/>
            <w:tcBorders>
              <w:tl2br w:val="nil"/>
              <w:tr2bl w:val="nil"/>
            </w:tcBorders>
            <w:vAlign w:val="center"/>
          </w:tcPr>
          <w:p w14:paraId="277C0197">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4E30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52B60648">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3893" w:type="dxa"/>
            <w:gridSpan w:val="2"/>
            <w:tcBorders>
              <w:tl2br w:val="nil"/>
              <w:tr2bl w:val="nil"/>
            </w:tcBorders>
            <w:vAlign w:val="center"/>
          </w:tcPr>
          <w:p w14:paraId="248CB02B">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55F35C8D">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2078" w:type="dxa"/>
            <w:tcBorders>
              <w:tl2br w:val="nil"/>
              <w:tr2bl w:val="nil"/>
            </w:tcBorders>
            <w:vAlign w:val="center"/>
          </w:tcPr>
          <w:p w14:paraId="170E5CA8">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6EF1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208" w:type="dxa"/>
            <w:vMerge w:val="restart"/>
            <w:tcBorders>
              <w:tl2br w:val="nil"/>
              <w:tr2bl w:val="nil"/>
            </w:tcBorders>
            <w:vAlign w:val="center"/>
          </w:tcPr>
          <w:p w14:paraId="575C6E1E">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083" w:type="dxa"/>
            <w:tcBorders>
              <w:tl2br w:val="nil"/>
              <w:tr2bl w:val="nil"/>
            </w:tcBorders>
            <w:vAlign w:val="center"/>
          </w:tcPr>
          <w:p w14:paraId="62F6BAFD">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810" w:type="dxa"/>
            <w:tcBorders>
              <w:tl2br w:val="nil"/>
              <w:tr2bl w:val="nil"/>
            </w:tcBorders>
            <w:vAlign w:val="center"/>
          </w:tcPr>
          <w:p w14:paraId="0E3064F5">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584D0073">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078" w:type="dxa"/>
            <w:tcBorders>
              <w:tl2br w:val="nil"/>
              <w:tr2bl w:val="nil"/>
            </w:tcBorders>
            <w:vAlign w:val="center"/>
          </w:tcPr>
          <w:p w14:paraId="14C85246">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1941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208" w:type="dxa"/>
            <w:vMerge w:val="continue"/>
            <w:tcBorders>
              <w:tl2br w:val="nil"/>
              <w:tr2bl w:val="nil"/>
            </w:tcBorders>
            <w:vAlign w:val="center"/>
          </w:tcPr>
          <w:p w14:paraId="24DD6CAD">
            <w:pPr>
              <w:widowControl/>
              <w:spacing w:line="480" w:lineRule="exact"/>
              <w:rPr>
                <w:rFonts w:ascii="宋体" w:hAnsi="宋体" w:eastAsia="宋体" w:cs="宋体"/>
                <w:color w:val="000000" w:themeColor="text1"/>
                <w:sz w:val="24"/>
                <w:szCs w:val="24"/>
                <w14:textFill>
                  <w14:solidFill>
                    <w14:schemeClr w14:val="tx1"/>
                  </w14:solidFill>
                </w14:textFill>
              </w:rPr>
            </w:pPr>
          </w:p>
        </w:tc>
        <w:tc>
          <w:tcPr>
            <w:tcW w:w="1083" w:type="dxa"/>
            <w:tcBorders>
              <w:tl2br w:val="nil"/>
              <w:tr2bl w:val="nil"/>
            </w:tcBorders>
            <w:vAlign w:val="center"/>
          </w:tcPr>
          <w:p w14:paraId="6F2AE923">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2810" w:type="dxa"/>
            <w:tcBorders>
              <w:tl2br w:val="nil"/>
              <w:tr2bl w:val="nil"/>
            </w:tcBorders>
            <w:vAlign w:val="center"/>
          </w:tcPr>
          <w:p w14:paraId="6E00FE55">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2148B58B">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 址</w:t>
            </w:r>
          </w:p>
        </w:tc>
        <w:tc>
          <w:tcPr>
            <w:tcW w:w="2078" w:type="dxa"/>
            <w:tcBorders>
              <w:tl2br w:val="nil"/>
              <w:tr2bl w:val="nil"/>
            </w:tcBorders>
            <w:vAlign w:val="center"/>
          </w:tcPr>
          <w:p w14:paraId="2D642675">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1A0A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66CD20DA">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1083" w:type="dxa"/>
            <w:tcBorders>
              <w:tl2br w:val="nil"/>
              <w:tr2bl w:val="nil"/>
            </w:tcBorders>
            <w:vAlign w:val="center"/>
          </w:tcPr>
          <w:p w14:paraId="07A20E4C">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810" w:type="dxa"/>
            <w:tcBorders>
              <w:tl2br w:val="nil"/>
              <w:tr2bl w:val="nil"/>
            </w:tcBorders>
            <w:vAlign w:val="center"/>
          </w:tcPr>
          <w:p w14:paraId="3262031D">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65436405">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078" w:type="dxa"/>
            <w:tcBorders>
              <w:tl2br w:val="nil"/>
              <w:tr2bl w:val="nil"/>
            </w:tcBorders>
            <w:vAlign w:val="center"/>
          </w:tcPr>
          <w:p w14:paraId="6764585C">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37FE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283F8175">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083" w:type="dxa"/>
            <w:tcBorders>
              <w:tl2br w:val="nil"/>
              <w:tr2bl w:val="nil"/>
            </w:tcBorders>
            <w:vAlign w:val="center"/>
          </w:tcPr>
          <w:p w14:paraId="18EA947F">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810" w:type="dxa"/>
            <w:tcBorders>
              <w:tl2br w:val="nil"/>
              <w:tr2bl w:val="nil"/>
            </w:tcBorders>
            <w:vAlign w:val="center"/>
          </w:tcPr>
          <w:p w14:paraId="657D9648">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5F8243CB">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078" w:type="dxa"/>
            <w:tcBorders>
              <w:tl2br w:val="nil"/>
              <w:tr2bl w:val="nil"/>
            </w:tcBorders>
            <w:vAlign w:val="center"/>
          </w:tcPr>
          <w:p w14:paraId="420CA381">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70F3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5C11B749">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p>
        </w:tc>
        <w:tc>
          <w:tcPr>
            <w:tcW w:w="3893" w:type="dxa"/>
            <w:gridSpan w:val="2"/>
            <w:tcBorders>
              <w:tl2br w:val="nil"/>
              <w:tr2bl w:val="nil"/>
            </w:tcBorders>
            <w:vAlign w:val="center"/>
          </w:tcPr>
          <w:p w14:paraId="394FEFE0">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3438" w:type="dxa"/>
            <w:gridSpan w:val="2"/>
            <w:tcBorders>
              <w:tl2br w:val="nil"/>
              <w:tr2bl w:val="nil"/>
            </w:tcBorders>
            <w:vAlign w:val="center"/>
          </w:tcPr>
          <w:p w14:paraId="065BF2B4">
            <w:pPr>
              <w:topLinePunct/>
              <w:spacing w:line="480" w:lineRule="exact"/>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员工总人数：</w:t>
            </w:r>
          </w:p>
        </w:tc>
      </w:tr>
      <w:tr w14:paraId="004E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208" w:type="dxa"/>
            <w:tcBorders>
              <w:tl2br w:val="nil"/>
              <w:tr2bl w:val="nil"/>
            </w:tcBorders>
            <w:vAlign w:val="center"/>
          </w:tcPr>
          <w:p w14:paraId="042A7487">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统一社会信用代码</w:t>
            </w:r>
          </w:p>
        </w:tc>
        <w:tc>
          <w:tcPr>
            <w:tcW w:w="3893" w:type="dxa"/>
            <w:gridSpan w:val="2"/>
            <w:tcBorders>
              <w:tl2br w:val="nil"/>
              <w:tr2bl w:val="nil"/>
            </w:tcBorders>
            <w:vAlign w:val="center"/>
          </w:tcPr>
          <w:p w14:paraId="2AA5C320">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c>
          <w:tcPr>
            <w:tcW w:w="1360" w:type="dxa"/>
            <w:tcBorders>
              <w:tl2br w:val="nil"/>
              <w:tr2bl w:val="nil"/>
            </w:tcBorders>
            <w:vAlign w:val="center"/>
          </w:tcPr>
          <w:p w14:paraId="09B6422D">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078" w:type="dxa"/>
            <w:tcBorders>
              <w:tl2br w:val="nil"/>
              <w:tr2bl w:val="nil"/>
            </w:tcBorders>
            <w:vAlign w:val="center"/>
          </w:tcPr>
          <w:p w14:paraId="166F38B7">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1081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208" w:type="dxa"/>
            <w:tcBorders>
              <w:tl2br w:val="nil"/>
              <w:tr2bl w:val="nil"/>
            </w:tcBorders>
            <w:vAlign w:val="center"/>
          </w:tcPr>
          <w:p w14:paraId="057F8A07">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开户银行及账号</w:t>
            </w:r>
          </w:p>
        </w:tc>
        <w:tc>
          <w:tcPr>
            <w:tcW w:w="7331" w:type="dxa"/>
            <w:gridSpan w:val="4"/>
            <w:tcBorders>
              <w:tl2br w:val="nil"/>
              <w:tr2bl w:val="nil"/>
            </w:tcBorders>
            <w:vAlign w:val="center"/>
          </w:tcPr>
          <w:p w14:paraId="5892D275">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r w14:paraId="04B1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208" w:type="dxa"/>
            <w:tcBorders>
              <w:tl2br w:val="nil"/>
              <w:tr2bl w:val="nil"/>
            </w:tcBorders>
            <w:vAlign w:val="center"/>
          </w:tcPr>
          <w:p w14:paraId="0B375B52">
            <w:pPr>
              <w:topLinePunct/>
              <w:spacing w:line="480" w:lineRule="exact"/>
              <w:ind w:firstLine="240" w:firstLineChars="10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7331" w:type="dxa"/>
            <w:gridSpan w:val="4"/>
            <w:tcBorders>
              <w:tl2br w:val="nil"/>
              <w:tr2bl w:val="nil"/>
            </w:tcBorders>
            <w:vAlign w:val="center"/>
          </w:tcPr>
          <w:p w14:paraId="1992821F">
            <w:pPr>
              <w:topLinePunct/>
              <w:spacing w:line="480" w:lineRule="exact"/>
              <w:rPr>
                <w:rFonts w:ascii="宋体" w:hAnsi="宋体" w:eastAsia="宋体" w:cs="宋体"/>
                <w:color w:val="000000" w:themeColor="text1"/>
                <w:sz w:val="24"/>
                <w:szCs w:val="24"/>
                <w14:textFill>
                  <w14:solidFill>
                    <w14:schemeClr w14:val="tx1"/>
                  </w14:solidFill>
                </w14:textFill>
              </w:rPr>
            </w:pPr>
          </w:p>
        </w:tc>
      </w:tr>
      <w:tr w14:paraId="0015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08" w:type="dxa"/>
            <w:tcBorders>
              <w:tl2br w:val="nil"/>
              <w:tr2bl w:val="nil"/>
            </w:tcBorders>
            <w:vAlign w:val="center"/>
          </w:tcPr>
          <w:p w14:paraId="754EAE28">
            <w:pPr>
              <w:topLinePunct/>
              <w:spacing w:line="48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7331" w:type="dxa"/>
            <w:gridSpan w:val="4"/>
            <w:tcBorders>
              <w:tl2br w:val="nil"/>
              <w:tr2bl w:val="nil"/>
            </w:tcBorders>
            <w:vAlign w:val="center"/>
          </w:tcPr>
          <w:p w14:paraId="7EECE8C1">
            <w:pPr>
              <w:topLinePunct/>
              <w:spacing w:line="480" w:lineRule="exact"/>
              <w:jc w:val="center"/>
              <w:rPr>
                <w:rFonts w:ascii="宋体" w:hAnsi="宋体" w:eastAsia="宋体" w:cs="宋体"/>
                <w:color w:val="000000" w:themeColor="text1"/>
                <w:sz w:val="24"/>
                <w:szCs w:val="24"/>
                <w14:textFill>
                  <w14:solidFill>
                    <w14:schemeClr w14:val="tx1"/>
                  </w14:solidFill>
                </w14:textFill>
              </w:rPr>
            </w:pPr>
          </w:p>
        </w:tc>
      </w:tr>
    </w:tbl>
    <w:p w14:paraId="54974FE7">
      <w:pPr>
        <w:spacing w:line="360" w:lineRule="auto"/>
        <w:jc w:val="center"/>
        <w:rPr>
          <w:rFonts w:asciiTheme="minorEastAsia" w:hAnsiTheme="minorEastAsia" w:cstheme="minorEastAsia"/>
          <w:b/>
          <w:color w:val="000000" w:themeColor="text1"/>
          <w:kern w:val="0"/>
          <w:sz w:val="32"/>
          <w:szCs w:val="32"/>
          <w14:textFill>
            <w14:solidFill>
              <w14:schemeClr w14:val="tx1"/>
            </w14:solidFill>
          </w14:textFill>
        </w:rPr>
      </w:pPr>
    </w:p>
    <w:p w14:paraId="609E3C6D">
      <w:pPr>
        <w:widowControl/>
        <w:numPr>
          <w:ilvl w:val="0"/>
          <w:numId w:val="0"/>
        </w:numPr>
        <w:spacing w:line="480" w:lineRule="exact"/>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438C2322">
      <w:pPr>
        <w:widowControl/>
        <w:numPr>
          <w:ilvl w:val="0"/>
          <w:numId w:val="0"/>
        </w:numPr>
        <w:spacing w:line="480" w:lineRule="exact"/>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11BFB353">
      <w:pPr>
        <w:widowControl/>
        <w:numPr>
          <w:ilvl w:val="0"/>
          <w:numId w:val="0"/>
        </w:numPr>
        <w:spacing w:line="480" w:lineRule="exact"/>
        <w:jc w:val="center"/>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1D5E7894">
      <w:pPr>
        <w:widowControl/>
        <w:numPr>
          <w:ilvl w:val="0"/>
          <w:numId w:val="0"/>
        </w:numPr>
        <w:spacing w:line="48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供应商资格</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color w:val="000000" w:themeColor="text1"/>
          <w:sz w:val="28"/>
          <w:szCs w:val="28"/>
          <w:highlight w:val="none"/>
          <w14:textFill>
            <w14:solidFill>
              <w14:schemeClr w14:val="tx1"/>
            </w14:solidFill>
          </w14:textFill>
        </w:rPr>
        <w:t>材料</w:t>
      </w:r>
      <w:bookmarkEnd w:id="77"/>
      <w:bookmarkEnd w:id="78"/>
    </w:p>
    <w:p w14:paraId="54A4A582">
      <w:pPr>
        <w:pStyle w:val="10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（格式自拟，应逐页加盖</w:t>
      </w:r>
      <w:r>
        <w:rPr>
          <w:rFonts w:hint="eastAsia" w:ascii="宋体" w:hAnsi="宋体" w:eastAsia="宋体" w:cs="宋体"/>
          <w:b w:val="0"/>
          <w:bCs w:val="0"/>
          <w:color w:val="000000" w:themeColor="text1"/>
          <w:sz w:val="24"/>
          <w:szCs w:val="24"/>
          <w:lang w:eastAsia="zh-CN"/>
          <w14:textFill>
            <w14:solidFill>
              <w14:schemeClr w14:val="tx1"/>
            </w14:solidFill>
          </w14:textFill>
        </w:rPr>
        <w:t>公章</w:t>
      </w:r>
      <w:r>
        <w:rPr>
          <w:rFonts w:hint="eastAsia" w:ascii="宋体" w:hAnsi="宋体" w:eastAsia="宋体" w:cs="宋体"/>
          <w:b w:val="0"/>
          <w:bCs w:val="0"/>
          <w:color w:val="000000" w:themeColor="text1"/>
          <w:sz w:val="24"/>
          <w:szCs w:val="24"/>
          <w14:textFill>
            <w14:solidFill>
              <w14:schemeClr w14:val="tx1"/>
            </w14:solidFill>
          </w14:textFill>
        </w:rPr>
        <w:t>电子签章）</w:t>
      </w:r>
    </w:p>
    <w:p w14:paraId="49213FC3">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55715025">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4D076074">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396EDA02">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1AA9866A">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290902F9">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02B79D66">
      <w:pPr>
        <w:pStyle w:val="100"/>
        <w:rPr>
          <w:rFonts w:hint="eastAsia" w:ascii="宋体" w:hAnsi="宋体" w:eastAsia="宋体" w:cs="宋体"/>
          <w:b/>
          <w:color w:val="000000" w:themeColor="text1"/>
          <w:kern w:val="0"/>
          <w:sz w:val="32"/>
          <w:szCs w:val="32"/>
          <w:highlight w:val="none"/>
          <w14:textFill>
            <w14:solidFill>
              <w14:schemeClr w14:val="tx1"/>
            </w14:solidFill>
          </w14:textFill>
        </w:rPr>
      </w:pPr>
    </w:p>
    <w:p w14:paraId="4B1722D5">
      <w:pPr>
        <w:pStyle w:val="100"/>
        <w:numPr>
          <w:ilvl w:val="0"/>
          <w:numId w:val="0"/>
        </w:num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lang w:val="en-US" w:eastAsia="zh-CN" w:bidi="ar-SA"/>
          <w14:textFill>
            <w14:solidFill>
              <w14:schemeClr w14:val="tx1"/>
            </w14:solidFill>
          </w14:textFill>
        </w:rPr>
        <w:t>六、</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技术部分</w:t>
      </w:r>
    </w:p>
    <w:p w14:paraId="08B47D61">
      <w:pPr>
        <w:pStyle w:val="100"/>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（格式自拟，应逐页加盖</w:t>
      </w:r>
      <w:r>
        <w:rPr>
          <w:rFonts w:hint="eastAsia" w:ascii="宋体" w:hAnsi="宋体" w:eastAsia="宋体" w:cs="宋体"/>
          <w:b w:val="0"/>
          <w:bCs w:val="0"/>
          <w:color w:val="000000" w:themeColor="text1"/>
          <w:sz w:val="24"/>
          <w:szCs w:val="24"/>
          <w:lang w:eastAsia="zh-CN"/>
          <w14:textFill>
            <w14:solidFill>
              <w14:schemeClr w14:val="tx1"/>
            </w14:solidFill>
          </w14:textFill>
        </w:rPr>
        <w:t>公章</w:t>
      </w:r>
      <w:r>
        <w:rPr>
          <w:rFonts w:hint="eastAsia" w:ascii="宋体" w:hAnsi="宋体" w:eastAsia="宋体" w:cs="宋体"/>
          <w:b w:val="0"/>
          <w:bCs w:val="0"/>
          <w:color w:val="000000" w:themeColor="text1"/>
          <w:sz w:val="24"/>
          <w:szCs w:val="24"/>
          <w14:textFill>
            <w14:solidFill>
              <w14:schemeClr w14:val="tx1"/>
            </w14:solidFill>
          </w14:textFill>
        </w:rPr>
        <w:t>电子签章）</w:t>
      </w:r>
    </w:p>
    <w:p w14:paraId="2459C3FD">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31DF2ACD">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31183418">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6BCF8370">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6C57DD1F">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326D1772">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455A0387">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7B6C2320">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3F5AD4AE">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7D9DEAF3">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4B8C4BCC">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0F884B04">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19A86D79">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7083F53B">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5A35314F">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1F5D126D">
      <w:pPr>
        <w:spacing w:line="600" w:lineRule="exact"/>
        <w:jc w:val="center"/>
        <w:outlineLvl w:val="0"/>
        <w:rPr>
          <w:rFonts w:hint="eastAsia" w:ascii="宋体" w:hAnsi="宋体" w:eastAsia="宋体" w:cs="宋体"/>
          <w:b/>
          <w:color w:val="000000" w:themeColor="text1"/>
          <w:sz w:val="28"/>
          <w:szCs w:val="28"/>
          <w:highlight w:val="none"/>
          <w14:textFill>
            <w14:solidFill>
              <w14:schemeClr w14:val="tx1"/>
            </w14:solidFill>
          </w14:textFill>
        </w:rPr>
      </w:pPr>
    </w:p>
    <w:p w14:paraId="609ECDA6">
      <w:pPr>
        <w:pStyle w:val="100"/>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themeColor="text1"/>
          <w:sz w:val="28"/>
          <w:szCs w:val="28"/>
          <w:lang w:val="en-US" w:eastAsia="zh-CN" w:bidi="ar-SA"/>
          <w14:textFill>
            <w14:solidFill>
              <w14:schemeClr w14:val="tx1"/>
            </w14:solidFill>
          </w14:textFill>
        </w:rPr>
      </w:pPr>
      <w:bookmarkStart w:id="79" w:name="_Toc80256526"/>
      <w:bookmarkStart w:id="80" w:name="_Toc2352"/>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lang w:val="en-US" w:eastAsia="zh-CN" w:bidi="ar-SA"/>
          <w14:textFill>
            <w14:solidFill>
              <w14:schemeClr w14:val="tx1"/>
            </w14:solidFill>
          </w14:textFill>
        </w:rPr>
        <w:t>七、商务部分</w:t>
      </w:r>
    </w:p>
    <w:p w14:paraId="5750DE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color w:val="000000" w:themeColor="text1"/>
          <w14:textFill>
            <w14:solidFill>
              <w14:schemeClr w14:val="tx1"/>
            </w14:solidFill>
          </w14:textFill>
        </w:rPr>
      </w:pPr>
      <w:r>
        <w:rPr>
          <w:rFonts w:hint="eastAsia" w:ascii="宋体" w:hAnsi="宋体" w:eastAsia="宋体" w:cs="宋体"/>
          <w:b/>
          <w:color w:val="000000" w:themeColor="text1"/>
          <w:kern w:val="0"/>
          <w:sz w:val="28"/>
          <w:szCs w:val="28"/>
          <w:lang w:eastAsia="zh-CN"/>
          <w14:textFill>
            <w14:solidFill>
              <w14:schemeClr w14:val="tx1"/>
            </w14:solidFill>
          </w14:textFill>
        </w:rPr>
        <w:t>（</w:t>
      </w:r>
      <w:r>
        <w:rPr>
          <w:rFonts w:hint="eastAsia" w:ascii="宋体" w:hAnsi="宋体" w:eastAsia="宋体" w:cs="宋体"/>
          <w:b/>
          <w:color w:val="000000" w:themeColor="text1"/>
          <w:kern w:val="0"/>
          <w:sz w:val="28"/>
          <w:szCs w:val="28"/>
          <w:lang w:val="en-US" w:eastAsia="zh-CN"/>
          <w14:textFill>
            <w14:solidFill>
              <w14:schemeClr w14:val="tx1"/>
            </w14:solidFill>
          </w14:textFill>
        </w:rPr>
        <w:t>一</w:t>
      </w:r>
      <w:r>
        <w:rPr>
          <w:rFonts w:hint="eastAsia" w:ascii="宋体" w:hAnsi="宋体" w:eastAsia="宋体" w:cs="宋体"/>
          <w:b/>
          <w:color w:val="000000" w:themeColor="text1"/>
          <w:kern w:val="0"/>
          <w:sz w:val="28"/>
          <w:szCs w:val="28"/>
          <w:lang w:eastAsia="zh-CN"/>
          <w14:textFill>
            <w14:solidFill>
              <w14:schemeClr w14:val="tx1"/>
            </w14:solidFill>
          </w14:textFill>
        </w:rPr>
        <w:t>）</w:t>
      </w:r>
      <w:r>
        <w:rPr>
          <w:rFonts w:hint="eastAsia" w:ascii="宋体" w:hAnsi="宋体" w:eastAsia="宋体" w:cs="宋体"/>
          <w:b/>
          <w:color w:val="000000" w:themeColor="text1"/>
          <w:kern w:val="0"/>
          <w:sz w:val="28"/>
          <w:szCs w:val="28"/>
          <w14:textFill>
            <w14:solidFill>
              <w14:schemeClr w14:val="tx1"/>
            </w14:solidFill>
          </w14:textFill>
        </w:rPr>
        <w:t>业绩一览表及证明材料</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4265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6567CB">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620" w:type="dxa"/>
            <w:noWrap w:val="0"/>
            <w:vAlign w:val="center"/>
          </w:tcPr>
          <w:p w14:paraId="234977B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1440" w:type="dxa"/>
            <w:noWrap w:val="0"/>
            <w:vAlign w:val="center"/>
          </w:tcPr>
          <w:p w14:paraId="0E18017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中标日期</w:t>
            </w:r>
          </w:p>
        </w:tc>
        <w:tc>
          <w:tcPr>
            <w:tcW w:w="1356" w:type="dxa"/>
            <w:noWrap w:val="0"/>
            <w:vAlign w:val="center"/>
          </w:tcPr>
          <w:p w14:paraId="2CD23E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采购单位</w:t>
            </w:r>
          </w:p>
        </w:tc>
        <w:tc>
          <w:tcPr>
            <w:tcW w:w="1356" w:type="dxa"/>
            <w:noWrap w:val="0"/>
            <w:vAlign w:val="center"/>
          </w:tcPr>
          <w:p w14:paraId="1395A5F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中标金额</w:t>
            </w:r>
          </w:p>
        </w:tc>
        <w:tc>
          <w:tcPr>
            <w:tcW w:w="1731" w:type="dxa"/>
            <w:noWrap w:val="0"/>
            <w:vAlign w:val="center"/>
          </w:tcPr>
          <w:p w14:paraId="611E6AA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合同签订时间</w:t>
            </w:r>
          </w:p>
        </w:tc>
      </w:tr>
      <w:tr w14:paraId="74FC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D231AFC">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3C4EADE4">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6A532008">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0768D358">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425EED6E">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6E4F995D">
            <w:pPr>
              <w:jc w:val="center"/>
              <w:rPr>
                <w:rFonts w:hint="eastAsia" w:ascii="宋体" w:hAnsi="宋体" w:eastAsia="宋体" w:cs="宋体"/>
                <w:color w:val="000000" w:themeColor="text1"/>
                <w:sz w:val="24"/>
                <w14:textFill>
                  <w14:solidFill>
                    <w14:schemeClr w14:val="tx1"/>
                  </w14:solidFill>
                </w14:textFill>
              </w:rPr>
            </w:pPr>
          </w:p>
        </w:tc>
      </w:tr>
      <w:tr w14:paraId="6AD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41E22EF">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04F77D57">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68CE6725">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50D39994">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C919A72">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462B8F91">
            <w:pPr>
              <w:jc w:val="center"/>
              <w:rPr>
                <w:rFonts w:hint="eastAsia" w:ascii="宋体" w:hAnsi="宋体" w:eastAsia="宋体" w:cs="宋体"/>
                <w:color w:val="000000" w:themeColor="text1"/>
                <w:sz w:val="24"/>
                <w14:textFill>
                  <w14:solidFill>
                    <w14:schemeClr w14:val="tx1"/>
                  </w14:solidFill>
                </w14:textFill>
              </w:rPr>
            </w:pPr>
          </w:p>
        </w:tc>
      </w:tr>
      <w:tr w14:paraId="1FA8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6965060">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5A8FB332">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1920FADD">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45B3C81B">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3E3AF20">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16404C03">
            <w:pPr>
              <w:jc w:val="center"/>
              <w:rPr>
                <w:rFonts w:hint="eastAsia" w:ascii="宋体" w:hAnsi="宋体" w:eastAsia="宋体" w:cs="宋体"/>
                <w:color w:val="000000" w:themeColor="text1"/>
                <w:sz w:val="24"/>
                <w14:textFill>
                  <w14:solidFill>
                    <w14:schemeClr w14:val="tx1"/>
                  </w14:solidFill>
                </w14:textFill>
              </w:rPr>
            </w:pPr>
          </w:p>
        </w:tc>
      </w:tr>
      <w:tr w14:paraId="7A25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E0762A1">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1B77EEA1">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3FD7BEA3">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357D6BD8">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05C1C057">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0239E79E">
            <w:pPr>
              <w:jc w:val="center"/>
              <w:rPr>
                <w:rFonts w:hint="eastAsia" w:ascii="宋体" w:hAnsi="宋体" w:eastAsia="宋体" w:cs="宋体"/>
                <w:color w:val="000000" w:themeColor="text1"/>
                <w:sz w:val="24"/>
                <w14:textFill>
                  <w14:solidFill>
                    <w14:schemeClr w14:val="tx1"/>
                  </w14:solidFill>
                </w14:textFill>
              </w:rPr>
            </w:pPr>
          </w:p>
        </w:tc>
      </w:tr>
      <w:tr w14:paraId="7360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5804D23">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69453A02">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5CD026D7">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2D27EFD">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2D615D02">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12FD048E">
            <w:pPr>
              <w:jc w:val="center"/>
              <w:rPr>
                <w:rFonts w:hint="eastAsia" w:ascii="宋体" w:hAnsi="宋体" w:eastAsia="宋体" w:cs="宋体"/>
                <w:color w:val="000000" w:themeColor="text1"/>
                <w:sz w:val="24"/>
                <w14:textFill>
                  <w14:solidFill>
                    <w14:schemeClr w14:val="tx1"/>
                  </w14:solidFill>
                </w14:textFill>
              </w:rPr>
            </w:pPr>
          </w:p>
        </w:tc>
      </w:tr>
      <w:tr w14:paraId="7298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2C1A748">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34BDBFDE">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7B2D2465">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F61CDE9">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CA28697">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24F96BFE">
            <w:pPr>
              <w:jc w:val="center"/>
              <w:rPr>
                <w:rFonts w:hint="eastAsia" w:ascii="宋体" w:hAnsi="宋体" w:eastAsia="宋体" w:cs="宋体"/>
                <w:color w:val="000000" w:themeColor="text1"/>
                <w:sz w:val="24"/>
                <w14:textFill>
                  <w14:solidFill>
                    <w14:schemeClr w14:val="tx1"/>
                  </w14:solidFill>
                </w14:textFill>
              </w:rPr>
            </w:pPr>
          </w:p>
        </w:tc>
      </w:tr>
      <w:tr w14:paraId="6194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9A09D35">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73297D1C">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79F02CAA">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6EC1218E">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0799BD61">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2151A421">
            <w:pPr>
              <w:jc w:val="center"/>
              <w:rPr>
                <w:rFonts w:hint="eastAsia" w:ascii="宋体" w:hAnsi="宋体" w:eastAsia="宋体" w:cs="宋体"/>
                <w:color w:val="000000" w:themeColor="text1"/>
                <w:sz w:val="24"/>
                <w14:textFill>
                  <w14:solidFill>
                    <w14:schemeClr w14:val="tx1"/>
                  </w14:solidFill>
                </w14:textFill>
              </w:rPr>
            </w:pPr>
          </w:p>
        </w:tc>
      </w:tr>
      <w:tr w14:paraId="0E12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A4557E4">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319F627E">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151D6B8C">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4B410ABA">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1D447945">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6732172E">
            <w:pPr>
              <w:jc w:val="center"/>
              <w:rPr>
                <w:rFonts w:hint="eastAsia" w:ascii="宋体" w:hAnsi="宋体" w:eastAsia="宋体" w:cs="宋体"/>
                <w:color w:val="000000" w:themeColor="text1"/>
                <w:sz w:val="24"/>
                <w14:textFill>
                  <w14:solidFill>
                    <w14:schemeClr w14:val="tx1"/>
                  </w14:solidFill>
                </w14:textFill>
              </w:rPr>
            </w:pPr>
          </w:p>
        </w:tc>
      </w:tr>
      <w:tr w14:paraId="00D6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712F1D44">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6D69EAFE">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3F48B602">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566FBF16">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6A70C7D5">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27EB160C">
            <w:pPr>
              <w:jc w:val="center"/>
              <w:rPr>
                <w:rFonts w:hint="eastAsia" w:ascii="宋体" w:hAnsi="宋体" w:eastAsia="宋体" w:cs="宋体"/>
                <w:color w:val="000000" w:themeColor="text1"/>
                <w:sz w:val="24"/>
                <w14:textFill>
                  <w14:solidFill>
                    <w14:schemeClr w14:val="tx1"/>
                  </w14:solidFill>
                </w14:textFill>
              </w:rPr>
            </w:pPr>
          </w:p>
        </w:tc>
      </w:tr>
      <w:tr w14:paraId="0698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B6117EB">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56AC8C4F">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2382445F">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5203EC9D">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2F3717E0">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2C3102EC">
            <w:pPr>
              <w:jc w:val="center"/>
              <w:rPr>
                <w:rFonts w:hint="eastAsia" w:ascii="宋体" w:hAnsi="宋体" w:eastAsia="宋体" w:cs="宋体"/>
                <w:color w:val="000000" w:themeColor="text1"/>
                <w:sz w:val="24"/>
                <w14:textFill>
                  <w14:solidFill>
                    <w14:schemeClr w14:val="tx1"/>
                  </w14:solidFill>
                </w14:textFill>
              </w:rPr>
            </w:pPr>
          </w:p>
        </w:tc>
      </w:tr>
      <w:tr w14:paraId="3507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0D08430">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77AB8D04">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551EFDAE">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0B206DF6">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41FB02F8">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3CDA4E9B">
            <w:pPr>
              <w:jc w:val="center"/>
              <w:rPr>
                <w:rFonts w:hint="eastAsia" w:ascii="宋体" w:hAnsi="宋体" w:eastAsia="宋体" w:cs="宋体"/>
                <w:color w:val="000000" w:themeColor="text1"/>
                <w:sz w:val="24"/>
                <w14:textFill>
                  <w14:solidFill>
                    <w14:schemeClr w14:val="tx1"/>
                  </w14:solidFill>
                </w14:textFill>
              </w:rPr>
            </w:pPr>
          </w:p>
        </w:tc>
      </w:tr>
      <w:tr w14:paraId="7F77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8C59DAF">
            <w:pPr>
              <w:jc w:val="center"/>
              <w:rPr>
                <w:rFonts w:hint="eastAsia" w:ascii="宋体" w:hAnsi="宋体" w:eastAsia="宋体" w:cs="宋体"/>
                <w:color w:val="000000" w:themeColor="text1"/>
                <w:sz w:val="24"/>
                <w14:textFill>
                  <w14:solidFill>
                    <w14:schemeClr w14:val="tx1"/>
                  </w14:solidFill>
                </w14:textFill>
              </w:rPr>
            </w:pPr>
          </w:p>
        </w:tc>
        <w:tc>
          <w:tcPr>
            <w:tcW w:w="1620" w:type="dxa"/>
            <w:noWrap w:val="0"/>
            <w:vAlign w:val="center"/>
          </w:tcPr>
          <w:p w14:paraId="112DC5B7">
            <w:pPr>
              <w:jc w:val="center"/>
              <w:rPr>
                <w:rFonts w:hint="eastAsia" w:ascii="宋体" w:hAnsi="宋体" w:eastAsia="宋体" w:cs="宋体"/>
                <w:color w:val="000000" w:themeColor="text1"/>
                <w:sz w:val="24"/>
                <w14:textFill>
                  <w14:solidFill>
                    <w14:schemeClr w14:val="tx1"/>
                  </w14:solidFill>
                </w14:textFill>
              </w:rPr>
            </w:pPr>
          </w:p>
        </w:tc>
        <w:tc>
          <w:tcPr>
            <w:tcW w:w="1440" w:type="dxa"/>
            <w:noWrap w:val="0"/>
            <w:vAlign w:val="center"/>
          </w:tcPr>
          <w:p w14:paraId="285689AB">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772F38E8">
            <w:pPr>
              <w:jc w:val="center"/>
              <w:rPr>
                <w:rFonts w:hint="eastAsia" w:ascii="宋体" w:hAnsi="宋体" w:eastAsia="宋体" w:cs="宋体"/>
                <w:color w:val="000000" w:themeColor="text1"/>
                <w:sz w:val="24"/>
                <w14:textFill>
                  <w14:solidFill>
                    <w14:schemeClr w14:val="tx1"/>
                  </w14:solidFill>
                </w14:textFill>
              </w:rPr>
            </w:pPr>
          </w:p>
        </w:tc>
        <w:tc>
          <w:tcPr>
            <w:tcW w:w="1356" w:type="dxa"/>
            <w:noWrap w:val="0"/>
            <w:vAlign w:val="center"/>
          </w:tcPr>
          <w:p w14:paraId="1FE3B8B6">
            <w:pPr>
              <w:jc w:val="center"/>
              <w:rPr>
                <w:rFonts w:hint="eastAsia" w:ascii="宋体" w:hAnsi="宋体" w:eastAsia="宋体" w:cs="宋体"/>
                <w:color w:val="000000" w:themeColor="text1"/>
                <w:sz w:val="24"/>
                <w14:textFill>
                  <w14:solidFill>
                    <w14:schemeClr w14:val="tx1"/>
                  </w14:solidFill>
                </w14:textFill>
              </w:rPr>
            </w:pPr>
          </w:p>
        </w:tc>
        <w:tc>
          <w:tcPr>
            <w:tcW w:w="1731" w:type="dxa"/>
            <w:noWrap w:val="0"/>
            <w:vAlign w:val="center"/>
          </w:tcPr>
          <w:p w14:paraId="6809CC1C">
            <w:pPr>
              <w:jc w:val="center"/>
              <w:rPr>
                <w:rFonts w:hint="eastAsia" w:ascii="宋体" w:hAnsi="宋体" w:eastAsia="宋体" w:cs="宋体"/>
                <w:color w:val="000000" w:themeColor="text1"/>
                <w:sz w:val="24"/>
                <w14:textFill>
                  <w14:solidFill>
                    <w14:schemeClr w14:val="tx1"/>
                  </w14:solidFill>
                </w14:textFill>
              </w:rPr>
            </w:pPr>
          </w:p>
        </w:tc>
      </w:tr>
    </w:tbl>
    <w:p w14:paraId="682223FD">
      <w:pPr>
        <w:pStyle w:val="15"/>
        <w:keepNext w:val="0"/>
        <w:keepLines w:val="0"/>
        <w:pageBreakBefore w:val="0"/>
        <w:widowControl w:val="0"/>
        <w:kinsoku/>
        <w:wordWrap w:val="0"/>
        <w:overflowPunct/>
        <w:topLinePunct w:val="0"/>
        <w:autoSpaceDE w:val="0"/>
        <w:autoSpaceDN w:val="0"/>
        <w:bidi w:val="0"/>
        <w:adjustRightInd/>
        <w:snapToGrid/>
        <w:spacing w:before="0" w:beforeLines="50" w:line="360" w:lineRule="auto"/>
        <w:ind w:left="0" w:leftChars="0" w:firstLine="480" w:firstLineChars="200"/>
        <w:jc w:val="left"/>
        <w:textAlignment w:val="auto"/>
        <w:rPr>
          <w:rFonts w:hint="eastAsia"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注：供应商所列项目清单须附</w:t>
      </w:r>
      <w:r>
        <w:rPr>
          <w:rFonts w:hint="eastAsia" w:ascii="宋体" w:hAnsi="宋体" w:eastAsia="宋体" w:cs="宋体"/>
          <w:b w:val="0"/>
          <w:bCs/>
          <w:color w:val="000000" w:themeColor="text1"/>
          <w:sz w:val="24"/>
          <w:szCs w:val="24"/>
          <w:lang w:val="en-US" w:eastAsia="zh-CN"/>
          <w14:textFill>
            <w14:solidFill>
              <w14:schemeClr w14:val="tx1"/>
            </w14:solidFill>
          </w14:textFill>
        </w:rPr>
        <w:t>中标通标书</w:t>
      </w:r>
      <w:r>
        <w:rPr>
          <w:rFonts w:hint="eastAsia" w:cs="宋体"/>
          <w:b w:val="0"/>
          <w:bCs/>
          <w:color w:val="000000" w:themeColor="text1"/>
          <w:sz w:val="24"/>
          <w:szCs w:val="24"/>
          <w:lang w:val="en-US" w:eastAsia="zh-CN"/>
          <w14:textFill>
            <w14:solidFill>
              <w14:schemeClr w14:val="tx1"/>
            </w14:solidFill>
          </w14:textFill>
        </w:rPr>
        <w:t>或</w:t>
      </w:r>
      <w:r>
        <w:rPr>
          <w:rFonts w:hint="eastAsia" w:ascii="宋体" w:hAnsi="宋体" w:eastAsia="宋体" w:cs="宋体"/>
          <w:b w:val="0"/>
          <w:bCs/>
          <w:color w:val="000000" w:themeColor="text1"/>
          <w:sz w:val="24"/>
          <w:szCs w:val="24"/>
          <w14:textFill>
            <w14:solidFill>
              <w14:schemeClr w14:val="tx1"/>
            </w14:solidFill>
          </w14:textFill>
        </w:rPr>
        <w:t>合同</w:t>
      </w:r>
      <w:r>
        <w:rPr>
          <w:rFonts w:hint="eastAsia" w:ascii="宋体" w:hAnsi="宋体" w:eastAsia="宋体" w:cs="宋体"/>
          <w:b w:val="0"/>
          <w:bCs/>
          <w:color w:val="000000" w:themeColor="text1"/>
          <w:sz w:val="24"/>
          <w:szCs w:val="24"/>
          <w:lang w:val="en-US" w:eastAsia="zh-CN"/>
          <w14:textFill>
            <w14:solidFill>
              <w14:schemeClr w14:val="tx1"/>
            </w14:solidFill>
          </w14:textFill>
        </w:rPr>
        <w:t>协议书原件</w:t>
      </w:r>
      <w:r>
        <w:rPr>
          <w:rFonts w:hint="eastAsia" w:ascii="宋体" w:hAnsi="宋体" w:eastAsia="宋体" w:cs="宋体"/>
          <w:b w:val="0"/>
          <w:bCs/>
          <w:color w:val="000000" w:themeColor="text1"/>
          <w:sz w:val="24"/>
          <w:szCs w:val="24"/>
          <w14:textFill>
            <w14:solidFill>
              <w14:schemeClr w14:val="tx1"/>
            </w14:solidFill>
          </w14:textFill>
        </w:rPr>
        <w:t>的扫描件，时间要求为</w:t>
      </w:r>
      <w:r>
        <w:rPr>
          <w:rFonts w:hint="eastAsia" w:ascii="宋体" w:hAnsi="宋体" w:eastAsia="宋体" w:cs="宋体"/>
          <w:b w:val="0"/>
          <w:bCs/>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自</w:t>
      </w:r>
      <w:r>
        <w:rPr>
          <w:rFonts w:hint="eastAsia" w:ascii="宋体" w:hAnsi="宋体" w:eastAsia="宋体" w:cs="宋体"/>
          <w:color w:val="000000" w:themeColor="text1"/>
          <w:sz w:val="24"/>
          <w:szCs w:val="24"/>
          <w:lang w:val="en-US" w:eastAsia="zh-CN"/>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年01月01日以来</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合同协议书</w:t>
      </w:r>
      <w:r>
        <w:rPr>
          <w:rFonts w:hint="eastAsia" w:ascii="宋体" w:hAnsi="宋体" w:eastAsia="宋体" w:cs="宋体"/>
          <w:b w:val="0"/>
          <w:bCs/>
          <w:color w:val="000000" w:themeColor="text1"/>
          <w:sz w:val="24"/>
          <w:szCs w:val="24"/>
          <w:lang w:eastAsia="zh-CN"/>
          <w14:textFill>
            <w14:solidFill>
              <w14:schemeClr w14:val="tx1"/>
            </w14:solidFill>
          </w14:textFill>
        </w:rPr>
        <w:t>以合同签订</w:t>
      </w:r>
      <w:r>
        <w:rPr>
          <w:rFonts w:hint="eastAsia"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lang w:eastAsia="zh-CN"/>
          <w14:textFill>
            <w14:solidFill>
              <w14:schemeClr w14:val="tx1"/>
            </w14:solidFill>
          </w14:textFill>
        </w:rPr>
        <w:t>为准</w:t>
      </w:r>
    </w:p>
    <w:p w14:paraId="79012595">
      <w:pPr>
        <w:numPr>
          <w:ilvl w:val="0"/>
          <w:numId w:val="0"/>
        </w:numPr>
        <w:spacing w:line="360" w:lineRule="auto"/>
        <w:ind w:right="0" w:rightChars="0"/>
        <w:jc w:val="both"/>
        <w:rPr>
          <w:rFonts w:hint="eastAsia" w:ascii="宋体" w:hAnsi="宋体" w:cs="宋体"/>
          <w:color w:val="000000" w:themeColor="text1"/>
          <w:sz w:val="24"/>
          <w:szCs w:val="24"/>
          <w14:textFill>
            <w14:solidFill>
              <w14:schemeClr w14:val="tx1"/>
            </w14:solidFill>
          </w14:textFill>
        </w:rPr>
      </w:pPr>
    </w:p>
    <w:p w14:paraId="32F33E4E">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068A86A0">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2C0CABD4">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3AA8C20C">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04499182">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543B5E55">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10D4EAF6">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10826015">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6D37AB1D">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2AE1EA45">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5DF58CB6">
      <w:pPr>
        <w:pStyle w:val="100"/>
        <w:numPr>
          <w:ilvl w:val="0"/>
          <w:numId w:val="0"/>
        </w:numPr>
        <w:jc w:val="center"/>
        <w:rPr>
          <w:rFonts w:hint="eastAsia" w:ascii="宋体" w:hAnsi="宋体" w:eastAsia="宋体" w:cs="宋体"/>
          <w:b/>
          <w:bCs w:val="0"/>
          <w:color w:val="000000" w:themeColor="text1"/>
          <w:sz w:val="28"/>
          <w:szCs w:val="28"/>
          <w:lang w:val="en-US" w:eastAsia="zh-CN" w:bidi="ar-SA"/>
          <w14:textFill>
            <w14:solidFill>
              <w14:schemeClr w14:val="tx1"/>
            </w14:solidFill>
          </w14:textFill>
        </w:rPr>
      </w:pPr>
      <w:r>
        <w:rPr>
          <w:rFonts w:hint="eastAsia" w:ascii="宋体" w:hAnsi="宋体" w:eastAsia="宋体" w:cs="宋体"/>
          <w:b/>
          <w:bCs w:val="0"/>
          <w:color w:val="000000" w:themeColor="text1"/>
          <w:sz w:val="28"/>
          <w:szCs w:val="28"/>
          <w:lang w:val="en-US" w:eastAsia="zh-CN" w:bidi="ar-SA"/>
          <w14:textFill>
            <w14:solidFill>
              <w14:schemeClr w14:val="tx1"/>
            </w14:solidFill>
          </w14:textFill>
        </w:rPr>
        <w:t>（二）商务标其他资料</w:t>
      </w:r>
    </w:p>
    <w:p w14:paraId="1DC13B29">
      <w:pPr>
        <w:pStyle w:val="100"/>
        <w:numPr>
          <w:ilvl w:val="0"/>
          <w:numId w:val="0"/>
        </w:num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格式自拟，</w:t>
      </w:r>
      <w:r>
        <w:rPr>
          <w:rFonts w:hint="eastAsia" w:ascii="宋体" w:hAnsi="宋体" w:eastAsia="宋体" w:cs="宋体"/>
          <w:b w:val="0"/>
          <w:bCs w:val="0"/>
          <w:color w:val="000000" w:themeColor="text1"/>
          <w:sz w:val="24"/>
          <w:szCs w:val="24"/>
          <w14:textFill>
            <w14:solidFill>
              <w14:schemeClr w14:val="tx1"/>
            </w14:solidFill>
          </w14:textFill>
        </w:rPr>
        <w:t>应逐页加盖</w:t>
      </w:r>
      <w:r>
        <w:rPr>
          <w:rFonts w:hint="eastAsia" w:ascii="宋体" w:hAnsi="宋体" w:eastAsia="宋体" w:cs="宋体"/>
          <w:b w:val="0"/>
          <w:bCs w:val="0"/>
          <w:color w:val="000000" w:themeColor="text1"/>
          <w:sz w:val="24"/>
          <w:szCs w:val="24"/>
          <w:lang w:eastAsia="zh-CN"/>
          <w14:textFill>
            <w14:solidFill>
              <w14:schemeClr w14:val="tx1"/>
            </w14:solidFill>
          </w14:textFill>
        </w:rPr>
        <w:t>公章</w:t>
      </w:r>
      <w:r>
        <w:rPr>
          <w:rFonts w:hint="eastAsia" w:ascii="宋体" w:hAnsi="宋体" w:eastAsia="宋体" w:cs="宋体"/>
          <w:b w:val="0"/>
          <w:bCs w:val="0"/>
          <w:color w:val="000000" w:themeColor="text1"/>
          <w:sz w:val="24"/>
          <w:szCs w:val="24"/>
          <w14:textFill>
            <w14:solidFill>
              <w14:schemeClr w14:val="tx1"/>
            </w14:solidFill>
          </w14:textFill>
        </w:rPr>
        <w:t>电子签章</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内容包括但不限制于评分办法提到的内容</w:t>
      </w:r>
      <w:r>
        <w:rPr>
          <w:rFonts w:hint="eastAsia" w:ascii="宋体" w:hAnsi="宋体" w:eastAsia="宋体" w:cs="宋体"/>
          <w:bCs/>
          <w:color w:val="000000" w:themeColor="text1"/>
          <w:sz w:val="28"/>
          <w:szCs w:val="28"/>
          <w:highlight w:val="none"/>
          <w14:textFill>
            <w14:solidFill>
              <w14:schemeClr w14:val="tx1"/>
            </w14:solidFill>
          </w14:textFill>
        </w:rPr>
        <w:t>）</w:t>
      </w:r>
    </w:p>
    <w:p w14:paraId="59017842">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5E97E1E">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4537744A">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E7C416A">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21AC713D">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6B8A7EF2">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66FB4244">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2BC8B59E">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17DD5608">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B05F6B7">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4CB4302">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6A3590D0">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621F509F">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9D7538B">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2DFD128F">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6AF993CC">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7A0D650">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288D470">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266F9A9E">
      <w:pPr>
        <w:pStyle w:val="100"/>
        <w:rPr>
          <w:rFonts w:hint="eastAsia" w:ascii="宋体" w:hAnsi="宋体" w:eastAsia="宋体" w:cs="宋体"/>
          <w:b/>
          <w:color w:val="000000" w:themeColor="text1"/>
          <w:sz w:val="28"/>
          <w:szCs w:val="28"/>
          <w:highlight w:val="none"/>
          <w14:textFill>
            <w14:solidFill>
              <w14:schemeClr w14:val="tx1"/>
            </w14:solidFill>
          </w14:textFill>
        </w:rPr>
      </w:pPr>
    </w:p>
    <w:p w14:paraId="55B0DAD8">
      <w:pPr>
        <w:pStyle w:val="100"/>
        <w:jc w:val="both"/>
        <w:rPr>
          <w:rFonts w:hint="eastAsia" w:ascii="宋体" w:hAnsi="宋体" w:eastAsia="宋体" w:cs="宋体"/>
          <w:bCs/>
          <w:color w:val="000000" w:themeColor="text1"/>
          <w:sz w:val="28"/>
          <w:szCs w:val="28"/>
          <w:highlight w:val="none"/>
          <w14:textFill>
            <w14:solidFill>
              <w14:schemeClr w14:val="tx1"/>
            </w14:solidFill>
          </w14:textFill>
        </w:rPr>
      </w:pPr>
    </w:p>
    <w:p w14:paraId="27FD6F39">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2550DC7C">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1F67058E">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71E33C75">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15703FCF">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02362CFE">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07031C09">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417474DE">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78DFFF0E">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3D954ECD">
      <w:pPr>
        <w:pStyle w:val="100"/>
        <w:jc w:val="center"/>
        <w:rPr>
          <w:rFonts w:hint="eastAsia" w:ascii="宋体" w:hAnsi="宋体" w:eastAsia="宋体" w:cs="宋体"/>
          <w:bCs/>
          <w:color w:val="000000" w:themeColor="text1"/>
          <w:sz w:val="28"/>
          <w:szCs w:val="28"/>
          <w:highlight w:val="none"/>
          <w14:textFill>
            <w14:solidFill>
              <w14:schemeClr w14:val="tx1"/>
            </w14:solidFill>
          </w14:textFill>
        </w:rPr>
      </w:pPr>
    </w:p>
    <w:p w14:paraId="2A5EDDD1">
      <w:pPr>
        <w:spacing w:line="432" w:lineRule="auto"/>
        <w:rPr>
          <w:rFonts w:hint="eastAsia" w:ascii="宋体" w:hAnsi="宋体" w:eastAsia="宋体" w:cs="宋体"/>
          <w:color w:val="000000" w:themeColor="text1"/>
          <w:sz w:val="24"/>
          <w:highlight w:val="none"/>
          <w14:textFill>
            <w14:solidFill>
              <w14:schemeClr w14:val="tx1"/>
            </w14:solidFill>
          </w14:textFill>
        </w:rPr>
      </w:pPr>
    </w:p>
    <w:bookmarkEnd w:id="79"/>
    <w:bookmarkEnd w:id="80"/>
    <w:p w14:paraId="6C9B4222">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14:textFill>
            <w14:solidFill>
              <w14:schemeClr w14:val="tx1"/>
            </w14:solidFill>
          </w14:textFill>
        </w:rPr>
        <w:t>、其他资料</w:t>
      </w:r>
    </w:p>
    <w:p w14:paraId="1739451A">
      <w:pPr>
        <w:spacing w:line="600" w:lineRule="exact"/>
        <w:jc w:val="center"/>
        <w:outlineLvl w:val="0"/>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供应商认为应附的</w:t>
      </w:r>
      <w:r>
        <w:rPr>
          <w:rFonts w:hint="eastAsia" w:ascii="宋体" w:hAnsi="宋体" w:eastAsia="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有利于中标的</w:t>
      </w:r>
      <w:r>
        <w:rPr>
          <w:rFonts w:hint="eastAsia" w:ascii="宋体" w:hAnsi="宋体" w:eastAsia="宋体" w:cs="宋体"/>
          <w:bCs/>
          <w:color w:val="000000" w:themeColor="text1"/>
          <w:kern w:val="0"/>
          <w:sz w:val="24"/>
          <w:szCs w:val="24"/>
          <w14:textFill>
            <w14:solidFill>
              <w14:schemeClr w14:val="tx1"/>
            </w14:solidFill>
          </w14:textFill>
        </w:rPr>
        <w:t>其它相关资料</w:t>
      </w:r>
      <w:r>
        <w:rPr>
          <w:rFonts w:hint="eastAsia" w:ascii="宋体" w:hAnsi="宋体" w:cs="宋体"/>
          <w:bCs/>
          <w:color w:val="000000" w:themeColor="text1"/>
          <w:kern w:val="0"/>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bidi="zh-CN"/>
          <w14:textFill>
            <w14:solidFill>
              <w14:schemeClr w14:val="tx1"/>
            </w14:solidFill>
          </w14:textFill>
        </w:rPr>
        <w:t>格式自拟，需逐页加盖公章</w:t>
      </w:r>
      <w:r>
        <w:rPr>
          <w:rFonts w:hint="eastAsia" w:ascii="宋体" w:hAnsi="宋体" w:cs="宋体"/>
          <w:b w:val="0"/>
          <w:bCs w:val="0"/>
          <w:color w:val="000000" w:themeColor="text1"/>
          <w:sz w:val="24"/>
          <w:szCs w:val="24"/>
          <w:lang w:val="en-US" w:bidi="zh-CN"/>
          <w14:textFill>
            <w14:solidFill>
              <w14:schemeClr w14:val="tx1"/>
            </w14:solidFill>
          </w14:textFill>
        </w:rPr>
        <w:t>电子</w:t>
      </w:r>
      <w:r>
        <w:rPr>
          <w:rFonts w:hint="eastAsia" w:ascii="宋体" w:hAnsi="宋体" w:cs="宋体"/>
          <w:b w:val="0"/>
          <w:bCs w:val="0"/>
          <w:color w:val="000000" w:themeColor="text1"/>
          <w:sz w:val="24"/>
          <w:szCs w:val="24"/>
          <w:u w:val="none"/>
          <w:lang w:val="en-US" w:bidi="zh-CN"/>
          <w14:textFill>
            <w14:solidFill>
              <w14:schemeClr w14:val="tx1"/>
            </w14:solidFill>
          </w14:textFill>
        </w:rPr>
        <w:t>签章</w:t>
      </w:r>
      <w:r>
        <w:rPr>
          <w:rFonts w:hint="eastAsia" w:ascii="宋体" w:hAnsi="宋体" w:eastAsia="宋体" w:cs="宋体"/>
          <w:b w:val="0"/>
          <w:bCs/>
          <w:color w:val="000000" w:themeColor="text1"/>
          <w:kern w:val="0"/>
          <w:sz w:val="24"/>
          <w:szCs w:val="24"/>
          <w:highlight w:val="none"/>
          <w14:textFill>
            <w14:solidFill>
              <w14:schemeClr w14:val="tx1"/>
            </w14:solidFill>
          </w14:textFill>
        </w:rPr>
        <w:t>）</w:t>
      </w:r>
    </w:p>
    <w:p w14:paraId="07D9DFA4">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31E39516">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289A019">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3FFFE6E3">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0A268FD8">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CCF9652">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49F36A29">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7A89A8FD">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5C1D3362">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74C548EA">
      <w:pPr>
        <w:spacing w:line="600" w:lineRule="exact"/>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p>
    <w:p w14:paraId="2ADCBF00">
      <w:pPr>
        <w:spacing w:line="600" w:lineRule="exact"/>
        <w:jc w:val="left"/>
        <w:outlineLvl w:val="0"/>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bookmarkStart w:id="81" w:name="_Toc27279"/>
      <w:r>
        <w:rPr>
          <w:rFonts w:hint="eastAsia" w:ascii="宋体" w:hAnsi="宋体" w:eastAsia="宋体" w:cs="宋体"/>
          <w:bCs/>
          <w:color w:val="000000" w:themeColor="text1"/>
          <w:kern w:val="0"/>
          <w:sz w:val="28"/>
          <w:szCs w:val="28"/>
          <w:highlight w:val="none"/>
          <w14:textFill>
            <w14:solidFill>
              <w14:schemeClr w14:val="tx1"/>
            </w14:solidFill>
          </w14:textFill>
        </w:rPr>
        <w:t>附件1：</w:t>
      </w:r>
      <w:bookmarkEnd w:id="81"/>
    </w:p>
    <w:p w14:paraId="7106C6CB">
      <w:pPr>
        <w:pStyle w:val="38"/>
        <w:keepNext w:val="0"/>
        <w:keepLines w:val="0"/>
        <w:pageBreakBefore w:val="0"/>
        <w:kinsoku/>
        <w:wordWrap/>
        <w:overflowPunct/>
        <w:topLinePunct w:val="0"/>
        <w:autoSpaceDE/>
        <w:autoSpaceDN/>
        <w:bidi w:val="0"/>
        <w:spacing w:line="500" w:lineRule="exact"/>
        <w:ind w:firstLine="28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中小企业声明函</w:t>
      </w:r>
    </w:p>
    <w:p w14:paraId="1BD711D3">
      <w:pPr>
        <w:keepNext w:val="0"/>
        <w:keepLines w:val="0"/>
        <w:pageBreakBefore w:val="0"/>
        <w:kinsoku/>
        <w:wordWrap/>
        <w:overflowPunct/>
        <w:topLinePunct w:val="0"/>
        <w:autoSpaceDE/>
        <w:autoSpaceDN/>
        <w:bidi w:val="0"/>
        <w:adjustRightInd w:val="0"/>
        <w:snapToGrid w:val="0"/>
        <w:spacing w:line="500" w:lineRule="exact"/>
        <w:ind w:firstLine="482" w:firstLineChars="200"/>
        <w:jc w:val="center"/>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属于中小微企业的填写，</w:t>
      </w:r>
      <w:r>
        <w:rPr>
          <w:rFonts w:hint="eastAsia" w:ascii="宋体" w:hAnsi="宋体" w:eastAsia="宋体" w:cs="宋体"/>
          <w:b/>
          <w:bCs w:val="0"/>
          <w:iCs/>
          <w:color w:val="auto"/>
          <w:sz w:val="24"/>
          <w:szCs w:val="24"/>
        </w:rPr>
        <w:t>不属于的无需填写此项内容</w:t>
      </w:r>
      <w:r>
        <w:rPr>
          <w:rFonts w:hint="eastAsia" w:ascii="宋体" w:hAnsi="宋体" w:eastAsia="宋体" w:cs="宋体"/>
          <w:b/>
          <w:bCs w:val="0"/>
          <w:color w:val="auto"/>
          <w:sz w:val="24"/>
          <w:szCs w:val="24"/>
          <w:lang w:val="en-US" w:eastAsia="zh-CN"/>
        </w:rPr>
        <w:t>）</w:t>
      </w:r>
    </w:p>
    <w:p w14:paraId="3C497C32">
      <w:pPr>
        <w:wordWrap w:val="0"/>
        <w:autoSpaceDE w:val="0"/>
        <w:autoSpaceDN w:val="0"/>
        <w:spacing w:before="226" w:line="360" w:lineRule="auto"/>
        <w:ind w:right="561" w:rightChars="255" w:firstLine="518" w:firstLineChars="216"/>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4C51C4AA">
      <w:pPr>
        <w:wordWrap w:val="0"/>
        <w:autoSpaceDE w:val="0"/>
        <w:autoSpaceDN w:val="0"/>
        <w:spacing w:line="360" w:lineRule="auto"/>
        <w:ind w:right="561" w:rightChars="255" w:firstLine="518" w:firstLineChars="216"/>
        <w:jc w:val="left"/>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 xml:space="preserve"> ，属于 </w:t>
      </w:r>
      <w:r>
        <w:rPr>
          <w:rFonts w:hint="eastAsia" w:ascii="宋体" w:hAnsi="宋体" w:cs="宋体"/>
          <w:sz w:val="24"/>
          <w:u w:val="single"/>
        </w:rPr>
        <w:t xml:space="preserve">（采购文件中明确的所属行业）  </w:t>
      </w:r>
      <w:r>
        <w:rPr>
          <w:rFonts w:hint="eastAsia" w:ascii="宋体" w:hAnsi="宋体" w:cs="宋体"/>
          <w:sz w:val="24"/>
        </w:rPr>
        <w:t xml:space="preserve">行业 ；制造商为 </w:t>
      </w:r>
      <w:r>
        <w:rPr>
          <w:rFonts w:hint="eastAsia" w:ascii="宋体" w:hAnsi="宋体" w:cs="宋体"/>
          <w:sz w:val="24"/>
          <w:u w:val="single"/>
        </w:rPr>
        <w:t xml:space="preserve">（企业名称）   </w:t>
      </w:r>
      <w:r>
        <w:rPr>
          <w:rFonts w:hint="eastAsia" w:ascii="宋体" w:hAnsi="宋体" w:cs="宋体"/>
          <w:sz w:val="24"/>
        </w:rPr>
        <w:t xml:space="preserve">，从业人员人，营业收入为万元，资产总额为万元，属于 </w:t>
      </w:r>
      <w:r>
        <w:rPr>
          <w:rFonts w:hint="eastAsia" w:ascii="宋体" w:hAnsi="宋体" w:cs="宋体"/>
          <w:sz w:val="24"/>
          <w:u w:val="single"/>
        </w:rPr>
        <w:t xml:space="preserve">（中型企业、小型企业、微型企业）   </w:t>
      </w:r>
      <w:r>
        <w:rPr>
          <w:rFonts w:hint="eastAsia" w:ascii="宋体" w:hAnsi="宋体" w:cs="宋体"/>
          <w:sz w:val="24"/>
        </w:rPr>
        <w:t xml:space="preserve"> ；</w:t>
      </w:r>
    </w:p>
    <w:p w14:paraId="7CCB6EF3">
      <w:pPr>
        <w:wordWrap w:val="0"/>
        <w:autoSpaceDE w:val="0"/>
        <w:autoSpaceDN w:val="0"/>
        <w:spacing w:line="360" w:lineRule="auto"/>
        <w:ind w:right="561" w:rightChars="255" w:firstLine="518" w:firstLineChars="216"/>
        <w:jc w:val="left"/>
        <w:rPr>
          <w:rFonts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 xml:space="preserve"> ，属于</w:t>
      </w:r>
      <w:r>
        <w:rPr>
          <w:rFonts w:hint="eastAsia" w:ascii="宋体" w:hAnsi="宋体" w:cs="宋体"/>
          <w:sz w:val="24"/>
          <w:u w:val="single"/>
        </w:rPr>
        <w:t xml:space="preserve">（采购文件中明确的所属行业）  </w:t>
      </w:r>
      <w:r>
        <w:rPr>
          <w:rFonts w:hint="eastAsia" w:ascii="宋体" w:hAnsi="宋体" w:cs="宋体"/>
          <w:sz w:val="24"/>
        </w:rPr>
        <w:t xml:space="preserve">行业 ；制造商为 </w:t>
      </w:r>
      <w:r>
        <w:rPr>
          <w:rFonts w:hint="eastAsia" w:ascii="宋体" w:hAnsi="宋体" w:cs="宋体"/>
          <w:sz w:val="24"/>
          <w:u w:val="single"/>
        </w:rPr>
        <w:t xml:space="preserve">（企业名称）   </w:t>
      </w:r>
      <w:r>
        <w:rPr>
          <w:rFonts w:hint="eastAsia" w:ascii="宋体" w:hAnsi="宋体" w:cs="宋体"/>
          <w:sz w:val="24"/>
        </w:rPr>
        <w:t xml:space="preserve">，从业人员人，营业收入为万元，资产总额为万元，属于 </w:t>
      </w:r>
      <w:r>
        <w:rPr>
          <w:rFonts w:hint="eastAsia" w:ascii="宋体" w:hAnsi="宋体" w:cs="宋体"/>
          <w:sz w:val="24"/>
          <w:u w:val="single"/>
        </w:rPr>
        <w:t xml:space="preserve">（中型企业、小型企业、微型企业）   </w:t>
      </w:r>
      <w:r>
        <w:rPr>
          <w:rFonts w:hint="eastAsia" w:ascii="宋体" w:hAnsi="宋体" w:cs="宋体"/>
          <w:sz w:val="24"/>
        </w:rPr>
        <w:t xml:space="preserve"> ；</w:t>
      </w:r>
    </w:p>
    <w:p w14:paraId="6F1AD677">
      <w:pPr>
        <w:wordWrap w:val="0"/>
        <w:autoSpaceDE w:val="0"/>
        <w:autoSpaceDN w:val="0"/>
        <w:spacing w:line="360" w:lineRule="auto"/>
        <w:ind w:right="561" w:rightChars="255" w:firstLine="518" w:firstLineChars="216"/>
        <w:jc w:val="left"/>
        <w:rPr>
          <w:rFonts w:ascii="宋体" w:hAnsi="宋体" w:cs="宋体"/>
          <w:sz w:val="24"/>
        </w:rPr>
      </w:pPr>
      <w:r>
        <w:rPr>
          <w:rFonts w:hint="eastAsia" w:ascii="宋体" w:hAnsi="宋体" w:cs="宋体"/>
          <w:sz w:val="24"/>
        </w:rPr>
        <w:t>……</w:t>
      </w:r>
    </w:p>
    <w:p w14:paraId="4F2CA0CC">
      <w:pPr>
        <w:wordWrap w:val="0"/>
        <w:autoSpaceDE w:val="0"/>
        <w:autoSpaceDN w:val="0"/>
        <w:spacing w:line="360" w:lineRule="auto"/>
        <w:ind w:right="561" w:rightChars="255" w:firstLine="518" w:firstLineChars="216"/>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4FCA652">
      <w:pPr>
        <w:wordWrap w:val="0"/>
        <w:autoSpaceDE w:val="0"/>
        <w:autoSpaceDN w:val="0"/>
        <w:spacing w:before="118" w:line="360" w:lineRule="auto"/>
        <w:ind w:right="561" w:rightChars="255" w:firstLine="518" w:firstLineChars="216"/>
        <w:jc w:val="left"/>
        <w:rPr>
          <w:rFonts w:ascii="宋体" w:hAnsi="宋体" w:cs="宋体"/>
          <w:sz w:val="24"/>
        </w:rPr>
      </w:pPr>
      <w:r>
        <w:rPr>
          <w:rFonts w:hint="eastAsia" w:ascii="宋体" w:hAnsi="宋体" w:cs="宋体"/>
          <w:sz w:val="24"/>
        </w:rPr>
        <w:t>本企业对上述声明内容的真实性负责。如有虚假，将依法承担相应责任。</w:t>
      </w:r>
    </w:p>
    <w:p w14:paraId="145D1E3A">
      <w:pPr>
        <w:tabs>
          <w:tab w:val="left" w:pos="6218"/>
          <w:tab w:val="left" w:pos="7058"/>
          <w:tab w:val="left" w:pos="7687"/>
          <w:tab w:val="left" w:pos="8475"/>
        </w:tabs>
        <w:wordWrap w:val="0"/>
        <w:autoSpaceDE w:val="0"/>
        <w:autoSpaceDN w:val="0"/>
        <w:spacing w:before="159" w:line="360" w:lineRule="auto"/>
        <w:ind w:right="1983" w:firstLine="518" w:firstLineChars="216"/>
        <w:jc w:val="right"/>
        <w:rPr>
          <w:rFonts w:ascii="宋体" w:hAnsi="宋体" w:cs="宋体"/>
          <w:sz w:val="24"/>
        </w:rPr>
      </w:pPr>
      <w:r>
        <w:rPr>
          <w:rFonts w:hint="eastAsia" w:ascii="宋体" w:hAnsi="宋体" w:eastAsia="宋体" w:cs="宋体"/>
          <w:sz w:val="24"/>
          <w:lang w:val="en-US" w:eastAsia="zh-CN"/>
        </w:rPr>
        <w:t xml:space="preserve">                                  </w:t>
      </w:r>
      <w:r>
        <w:rPr>
          <w:rFonts w:hint="eastAsia" w:ascii="宋体" w:hAnsi="宋体" w:cs="宋体"/>
          <w:sz w:val="24"/>
        </w:rPr>
        <w:t>企业名称（盖章）：</w:t>
      </w:r>
      <w:r>
        <w:rPr>
          <w:rFonts w:hint="eastAsia" w:ascii="宋体" w:hAnsi="宋体" w:cs="宋体"/>
          <w:sz w:val="24"/>
        </w:rPr>
        <w:tab/>
      </w:r>
      <w:r>
        <w:rPr>
          <w:rFonts w:hint="eastAsia" w:ascii="宋体" w:hAnsi="宋体" w:cs="宋体"/>
          <w:sz w:val="24"/>
        </w:rPr>
        <w:tab/>
      </w:r>
    </w:p>
    <w:p w14:paraId="716ABF89">
      <w:pPr>
        <w:tabs>
          <w:tab w:val="left" w:pos="5275"/>
          <w:tab w:val="left" w:pos="7058"/>
          <w:tab w:val="left" w:pos="7687"/>
          <w:tab w:val="left" w:pos="8475"/>
        </w:tabs>
        <w:wordWrap w:val="0"/>
        <w:autoSpaceDE w:val="0"/>
        <w:autoSpaceDN w:val="0"/>
        <w:spacing w:before="159" w:line="360" w:lineRule="auto"/>
        <w:ind w:right="1983" w:firstLine="518" w:firstLineChars="216"/>
        <w:jc w:val="right"/>
        <w:rPr>
          <w:rFonts w:ascii="宋体" w:hAnsi="宋体" w:cs="宋体"/>
          <w:sz w:val="24"/>
        </w:rPr>
      </w:pPr>
      <w:r>
        <w:rPr>
          <w:rFonts w:hint="eastAsia" w:ascii="宋体" w:hAnsi="宋体" w:cs="宋体"/>
          <w:sz w:val="24"/>
        </w:rPr>
        <w:t>日期：  年  月   日</w:t>
      </w:r>
    </w:p>
    <w:p w14:paraId="745F30E1">
      <w:pPr>
        <w:wordWrap w:val="0"/>
        <w:autoSpaceDE w:val="0"/>
        <w:autoSpaceDN w:val="0"/>
        <w:spacing w:before="139" w:line="400" w:lineRule="exact"/>
        <w:ind w:firstLine="453" w:firstLineChars="216"/>
        <w:jc w:val="left"/>
        <w:rPr>
          <w:rFonts w:hint="eastAsia" w:ascii="宋体" w:hAnsi="宋体" w:cs="宋体"/>
          <w:sz w:val="21"/>
          <w:szCs w:val="21"/>
        </w:rPr>
      </w:pPr>
      <w:r>
        <w:rPr>
          <w:rFonts w:hint="eastAsia" w:ascii="宋体" w:hAnsi="宋体" w:cs="宋体"/>
          <w:sz w:val="21"/>
          <w:szCs w:val="21"/>
        </w:rPr>
        <w:t>说明：1.从业人员、营业收入、资产总额填报上一年度数据，无上一年度数据的新成立企业可不填报。</w:t>
      </w:r>
    </w:p>
    <w:p w14:paraId="10079401">
      <w:pPr>
        <w:wordWrap w:val="0"/>
        <w:autoSpaceDE w:val="0"/>
        <w:autoSpaceDN w:val="0"/>
        <w:spacing w:before="139" w:line="400" w:lineRule="exact"/>
        <w:ind w:firstLine="453" w:firstLineChars="216"/>
        <w:jc w:val="left"/>
        <w:rPr>
          <w:rFonts w:hint="eastAsia" w:ascii="宋体" w:hAnsi="宋体" w:cs="宋体"/>
          <w:sz w:val="21"/>
          <w:szCs w:val="21"/>
        </w:rPr>
      </w:pPr>
      <w:r>
        <w:rPr>
          <w:rFonts w:hint="eastAsia" w:ascii="宋体" w:hAnsi="宋体" w:cs="宋体"/>
          <w:sz w:val="21"/>
          <w:szCs w:val="21"/>
        </w:rPr>
        <w:t>2.中小企业划分标准见工业和信息化部 国家统计局 国家发展改革委 财政部 《关于印发中小企业划型标准规定的通知》工信部联企业[</w:t>
      </w:r>
      <w:r>
        <w:rPr>
          <w:rFonts w:hint="eastAsia" w:ascii="宋体" w:hAnsi="宋体" w:cs="宋体"/>
          <w:sz w:val="21"/>
          <w:szCs w:val="21"/>
        </w:rPr>
        <w:fldChar w:fldCharType="begin"/>
      </w:r>
      <w:r>
        <w:rPr>
          <w:rFonts w:hint="eastAsia" w:ascii="宋体" w:hAnsi="宋体" w:cs="宋体"/>
          <w:sz w:val="21"/>
          <w:szCs w:val="21"/>
        </w:rPr>
        <w:instrText xml:space="preserve"> HYPERLINK \l "bookmark13" </w:instrText>
      </w:r>
      <w:r>
        <w:rPr>
          <w:rFonts w:hint="eastAsia" w:ascii="宋体" w:hAnsi="宋体" w:cs="宋体"/>
          <w:sz w:val="21"/>
          <w:szCs w:val="21"/>
        </w:rPr>
        <w:fldChar w:fldCharType="separate"/>
      </w:r>
      <w:r>
        <w:rPr>
          <w:rFonts w:hint="eastAsia" w:ascii="宋体" w:hAnsi="宋体" w:cs="宋体"/>
          <w:sz w:val="21"/>
          <w:szCs w:val="21"/>
        </w:rPr>
        <w:t>2011</w:t>
      </w:r>
      <w:r>
        <w:rPr>
          <w:rFonts w:hint="eastAsia" w:ascii="宋体" w:hAnsi="宋体" w:cs="宋体"/>
          <w:sz w:val="21"/>
          <w:szCs w:val="21"/>
        </w:rPr>
        <w:fldChar w:fldCharType="end"/>
      </w:r>
      <w:r>
        <w:rPr>
          <w:rFonts w:hint="eastAsia" w:ascii="宋体" w:hAnsi="宋体" w:cs="宋体"/>
          <w:sz w:val="21"/>
          <w:szCs w:val="21"/>
        </w:rPr>
        <w:t>]300 号。</w:t>
      </w:r>
    </w:p>
    <w:p w14:paraId="71FCB35D">
      <w:pPr>
        <w:wordWrap w:val="0"/>
        <w:autoSpaceDE w:val="0"/>
        <w:autoSpaceDN w:val="0"/>
        <w:spacing w:before="139" w:line="400" w:lineRule="exact"/>
        <w:ind w:firstLine="453" w:firstLineChars="216"/>
        <w:jc w:val="left"/>
        <w:rPr>
          <w:rFonts w:hint="eastAsia" w:ascii="宋体" w:hAnsi="宋体" w:cs="宋体"/>
          <w:sz w:val="21"/>
          <w:szCs w:val="21"/>
        </w:rPr>
      </w:pPr>
      <w:r>
        <w:rPr>
          <w:rFonts w:hint="eastAsia" w:ascii="宋体" w:hAnsi="宋体" w:cs="宋体"/>
          <w:sz w:val="21"/>
          <w:szCs w:val="21"/>
        </w:rPr>
        <w:t>3.本项目标的物所属行业：农、林、牧、渔业。</w:t>
      </w:r>
    </w:p>
    <w:p w14:paraId="376AFEBD">
      <w:pPr>
        <w:widowControl/>
        <w:spacing w:line="360" w:lineRule="auto"/>
        <w:jc w:val="left"/>
        <w:rPr>
          <w:rFonts w:hint="eastAsia" w:hAnsi="宋体" w:cs="宋体"/>
          <w:b/>
          <w:bCs/>
          <w:color w:val="000000" w:themeColor="text1"/>
          <w:lang w:eastAsia="zh-CN"/>
          <w14:textFill>
            <w14:solidFill>
              <w14:schemeClr w14:val="tx1"/>
            </w14:solidFill>
          </w14:textFill>
        </w:rPr>
      </w:pPr>
    </w:p>
    <w:p w14:paraId="5CE17832">
      <w:pPr>
        <w:keepNext w:val="0"/>
        <w:keepLines w:val="0"/>
        <w:pageBreakBefore w:val="0"/>
        <w:widowControl/>
        <w:numPr>
          <w:ilvl w:val="0"/>
          <w:numId w:val="4"/>
        </w:numPr>
        <w:kinsoku/>
        <w:wordWrap/>
        <w:overflowPunct/>
        <w:topLinePunct w:val="0"/>
        <w:autoSpaceDE/>
        <w:autoSpaceDN/>
        <w:bidi w:val="0"/>
        <w:adjustRightInd/>
        <w:snapToGrid/>
        <w:spacing w:line="500" w:lineRule="exact"/>
        <w:ind w:leftChars="0"/>
        <w:jc w:val="both"/>
        <w:textAlignment w:val="auto"/>
        <w:outlineLvl w:val="0"/>
        <w:rPr>
          <w:rFonts w:hint="eastAsia" w:ascii="宋体" w:hAnsi="宋体" w:eastAsia="宋体" w:cs="宋体"/>
          <w:color w:val="000000" w:themeColor="text1"/>
          <w:sz w:val="6"/>
          <w:szCs w:val="6"/>
          <w:lang w:val="en-US" w:eastAsia="zh-CN"/>
          <w14:textFill>
            <w14:solidFill>
              <w14:schemeClr w14:val="tx1"/>
            </w14:solidFill>
          </w14:textFill>
        </w:rPr>
      </w:pPr>
      <w:bookmarkStart w:id="82" w:name="_Toc13551"/>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附件2：             </w:t>
      </w:r>
    </w:p>
    <w:p w14:paraId="2EB062BB">
      <w:pPr>
        <w:keepNext w:val="0"/>
        <w:keepLines w:val="0"/>
        <w:pageBreakBefore w:val="0"/>
        <w:widowControl/>
        <w:numPr>
          <w:ilvl w:val="0"/>
          <w:numId w:val="4"/>
        </w:numPr>
        <w:kinsoku/>
        <w:wordWrap/>
        <w:overflowPunct/>
        <w:topLinePunct w:val="0"/>
        <w:autoSpaceDE/>
        <w:autoSpaceDN/>
        <w:bidi w:val="0"/>
        <w:adjustRightInd/>
        <w:snapToGrid/>
        <w:spacing w:line="500" w:lineRule="exact"/>
        <w:ind w:leftChars="0"/>
        <w:jc w:val="center"/>
        <w:textAlignment w:val="auto"/>
        <w:outlineLvl w:val="0"/>
        <w:rPr>
          <w:rFonts w:hint="eastAsia" w:ascii="宋体" w:hAnsi="宋体" w:eastAsia="宋体" w:cs="宋体"/>
          <w:color w:val="000000" w:themeColor="text1"/>
          <w:sz w:val="6"/>
          <w:szCs w:val="6"/>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残疾人福利性单位声明函</w:t>
      </w:r>
      <w:bookmarkEnd w:id="82"/>
    </w:p>
    <w:p w14:paraId="3F844B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（属于残疾人福利性单位的填写，不属于的无需填写此项内容）</w:t>
      </w:r>
    </w:p>
    <w:p w14:paraId="28675BC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B00386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5430EFA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p>
    <w:p w14:paraId="37DFE2B5">
      <w:pPr>
        <w:pStyle w:val="38"/>
        <w:keepNext w:val="0"/>
        <w:keepLines w:val="0"/>
        <w:pageBreakBefore w:val="0"/>
        <w:widowControl w:val="0"/>
        <w:kinsoku/>
        <w:wordWrap/>
        <w:overflowPunct/>
        <w:topLinePunct w:val="0"/>
        <w:autoSpaceDE/>
        <w:autoSpaceDN/>
        <w:bidi w:val="0"/>
        <w:adjustRightInd/>
        <w:snapToGrid/>
        <w:spacing w:line="500" w:lineRule="exact"/>
        <w:ind w:firstLine="240"/>
        <w:jc w:val="right"/>
        <w:textAlignment w:val="auto"/>
        <w:rPr>
          <w:rFonts w:hint="eastAsia" w:ascii="宋体" w:hAnsi="宋体" w:cs="宋体"/>
          <w:color w:val="000000" w:themeColor="text1"/>
          <w:sz w:val="24"/>
          <w:szCs w:val="24"/>
          <w:lang w:val="en-US" w:eastAsia="zh-CN"/>
          <w14:textFill>
            <w14:solidFill>
              <w14:schemeClr w14:val="tx1"/>
            </w14:solidFill>
          </w14:textFill>
        </w:rPr>
      </w:pPr>
      <w:bookmarkStart w:id="83" w:name="_Toc2378"/>
    </w:p>
    <w:p w14:paraId="6E0191F0">
      <w:pPr>
        <w:pStyle w:val="38"/>
        <w:keepNext w:val="0"/>
        <w:keepLines w:val="0"/>
        <w:pageBreakBefore w:val="0"/>
        <w:widowControl w:val="0"/>
        <w:kinsoku/>
        <w:wordWrap/>
        <w:overflowPunct/>
        <w:topLinePunct w:val="0"/>
        <w:autoSpaceDE/>
        <w:autoSpaceDN/>
        <w:bidi w:val="0"/>
        <w:adjustRightInd/>
        <w:snapToGrid/>
        <w:spacing w:line="500" w:lineRule="exact"/>
        <w:ind w:firstLine="24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公章电子</w:t>
      </w:r>
      <w:r>
        <w:rPr>
          <w:rFonts w:hint="eastAsia" w:ascii="宋体" w:hAnsi="宋体" w:eastAsia="宋体" w:cs="宋体"/>
          <w:color w:val="000000" w:themeColor="text1"/>
          <w:sz w:val="24"/>
          <w:szCs w:val="24"/>
          <w14:textFill>
            <w14:solidFill>
              <w14:schemeClr w14:val="tx1"/>
            </w14:solidFill>
          </w14:textFill>
        </w:rPr>
        <w:t>签章）</w:t>
      </w:r>
    </w:p>
    <w:p w14:paraId="296BAE40">
      <w:pPr>
        <w:pStyle w:val="38"/>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eastAsia="宋体" w:cs="宋体"/>
          <w:color w:val="000000" w:themeColor="text1"/>
          <w:sz w:val="24"/>
          <w:szCs w:val="24"/>
          <w:lang w:val="en-US" w:eastAsia="zh-CN"/>
          <w14:textFill>
            <w14:solidFill>
              <w14:schemeClr w14:val="tx1"/>
            </w14:solidFill>
          </w14:textFill>
        </w:rPr>
        <w:t xml:space="preserve">   年  月  日</w:t>
      </w:r>
    </w:p>
    <w:p w14:paraId="5B6ABA84">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0524AB30">
      <w:pPr>
        <w:pStyle w:val="39"/>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41869EE8">
      <w:pPr>
        <w:pStyle w:val="15"/>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05D6BA7E">
      <w:pPr>
        <w:pStyle w:val="15"/>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12B3934D">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468157F9">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264CA619">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1A30E0EA">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04898A2A">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1C67AE3C">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62C6DD8B">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65A011E0">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7657AB66">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1F6B0C44">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4EFFC37A">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490510D6">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2BBE23AC">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74E09ADD">
      <w:pPr>
        <w:pStyle w:val="38"/>
        <w:ind w:firstLine="240"/>
        <w:jc w:val="left"/>
        <w:rPr>
          <w:rStyle w:val="72"/>
          <w:rFonts w:hint="eastAsia" w:ascii="宋体" w:hAnsi="宋体" w:eastAsia="宋体" w:cs="宋体"/>
          <w:color w:val="000000" w:themeColor="text1"/>
          <w:sz w:val="28"/>
          <w:szCs w:val="28"/>
          <w:lang w:val="en-US" w:eastAsia="zh-CN"/>
          <w14:textFill>
            <w14:solidFill>
              <w14:schemeClr w14:val="tx1"/>
            </w14:solidFill>
          </w14:textFill>
        </w:rPr>
      </w:pPr>
    </w:p>
    <w:p w14:paraId="6FED5B70">
      <w:pPr>
        <w:pStyle w:val="38"/>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Style w:val="72"/>
          <w:rFonts w:hint="eastAsia" w:ascii="宋体" w:hAnsi="宋体" w:cs="宋体"/>
          <w:color w:val="000000" w:themeColor="text1"/>
          <w:sz w:val="28"/>
          <w:szCs w:val="28"/>
          <w:lang w:val="en-US" w:eastAsia="zh-CN"/>
          <w14:textFill>
            <w14:solidFill>
              <w14:schemeClr w14:val="tx1"/>
            </w14:solidFill>
          </w14:textFill>
        </w:rPr>
      </w:pPr>
      <w:r>
        <w:rPr>
          <w:rStyle w:val="72"/>
          <w:rFonts w:hint="eastAsia" w:ascii="宋体" w:hAnsi="宋体" w:cs="宋体"/>
          <w:color w:val="000000" w:themeColor="text1"/>
          <w:sz w:val="28"/>
          <w:szCs w:val="28"/>
          <w:lang w:val="en-US" w:eastAsia="zh-CN"/>
          <w14:textFill>
            <w14:solidFill>
              <w14:schemeClr w14:val="tx1"/>
            </w14:solidFill>
          </w14:textFill>
        </w:rPr>
        <w:t>附件</w:t>
      </w:r>
      <w:r>
        <w:rPr>
          <w:rStyle w:val="72"/>
          <w:rFonts w:hint="eastAsia" w:ascii="宋体" w:hAnsi="宋体" w:eastAsia="宋体" w:cs="宋体"/>
          <w:color w:val="000000" w:themeColor="text1"/>
          <w:sz w:val="28"/>
          <w:szCs w:val="28"/>
          <w:lang w:val="en-US" w:eastAsia="zh-CN"/>
          <w14:textFill>
            <w14:solidFill>
              <w14:schemeClr w14:val="tx1"/>
            </w14:solidFill>
          </w14:textFill>
        </w:rPr>
        <w:t>3</w:t>
      </w:r>
      <w:r>
        <w:rPr>
          <w:rStyle w:val="72"/>
          <w:rFonts w:hint="eastAsia" w:ascii="宋体" w:hAnsi="宋体" w:cs="宋体"/>
          <w:color w:val="000000" w:themeColor="text1"/>
          <w:sz w:val="28"/>
          <w:szCs w:val="28"/>
          <w:lang w:val="en-US" w:eastAsia="zh-CN"/>
          <w14:textFill>
            <w14:solidFill>
              <w14:schemeClr w14:val="tx1"/>
            </w14:solidFill>
          </w14:textFill>
        </w:rPr>
        <w:t xml:space="preserve">：               </w:t>
      </w:r>
    </w:p>
    <w:p w14:paraId="7B97BA8E">
      <w:pPr>
        <w:pStyle w:val="38"/>
        <w:keepNext w:val="0"/>
        <w:keepLines w:val="0"/>
        <w:pageBreakBefore w:val="0"/>
        <w:kinsoku/>
        <w:wordWrap/>
        <w:overflowPunct/>
        <w:topLinePunct w:val="0"/>
        <w:autoSpaceDE/>
        <w:autoSpaceDN/>
        <w:bidi w:val="0"/>
        <w:adjustRightInd/>
        <w:snapToGrid/>
        <w:spacing w:line="500" w:lineRule="exact"/>
        <w:ind w:firstLine="240"/>
        <w:jc w:val="center"/>
        <w:textAlignment w:val="auto"/>
        <w:rPr>
          <w:rFonts w:hint="eastAsia" w:ascii="宋体" w:hAnsi="宋体" w:eastAsia="宋体" w:cs="宋体"/>
          <w:b/>
          <w:bCs/>
          <w:iCs/>
          <w:color w:val="000000" w:themeColor="text1"/>
          <w:sz w:val="24"/>
          <w:szCs w:val="24"/>
          <w14:textFill>
            <w14:solidFill>
              <w14:schemeClr w14:val="tx1"/>
            </w14:solidFill>
          </w14:textFill>
        </w:rPr>
      </w:pPr>
      <w:r>
        <w:rPr>
          <w:rStyle w:val="72"/>
          <w:rFonts w:hint="eastAsia" w:ascii="宋体" w:hAnsi="宋体" w:eastAsia="宋体" w:cs="宋体"/>
          <w:color w:val="000000" w:themeColor="text1"/>
          <w:sz w:val="28"/>
          <w:szCs w:val="28"/>
          <w:lang w:val="en-US" w:eastAsia="zh-CN"/>
          <w14:textFill>
            <w14:solidFill>
              <w14:schemeClr w14:val="tx1"/>
            </w14:solidFill>
          </w14:textFill>
        </w:rPr>
        <w:t>监狱企业证明文件</w:t>
      </w:r>
      <w:bookmarkEnd w:id="83"/>
    </w:p>
    <w:p w14:paraId="491ECD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iCs/>
          <w:color w:val="000000" w:themeColor="text1"/>
          <w:sz w:val="24"/>
          <w:szCs w:val="24"/>
          <w14:textFill>
            <w14:solidFill>
              <w14:schemeClr w14:val="tx1"/>
            </w14:solidFill>
          </w14:textFill>
        </w:rPr>
        <w:t>（属于监狱企业的提供，不属于的无需</w:t>
      </w:r>
      <w:r>
        <w:rPr>
          <w:rFonts w:hint="eastAsia" w:ascii="宋体" w:hAnsi="宋体" w:eastAsia="宋体" w:cs="宋体"/>
          <w:b/>
          <w:bCs/>
          <w:iCs/>
          <w:color w:val="000000" w:themeColor="text1"/>
          <w:sz w:val="24"/>
          <w:szCs w:val="24"/>
          <w:lang w:val="en-US" w:eastAsia="zh-CN"/>
          <w14:textFill>
            <w14:solidFill>
              <w14:schemeClr w14:val="tx1"/>
            </w14:solidFill>
          </w14:textFill>
        </w:rPr>
        <w:t>提供</w:t>
      </w:r>
      <w:r>
        <w:rPr>
          <w:rFonts w:hint="eastAsia" w:ascii="宋体" w:hAnsi="宋体" w:eastAsia="宋体" w:cs="宋体"/>
          <w:b/>
          <w:bCs/>
          <w:iCs/>
          <w:color w:val="000000" w:themeColor="text1"/>
          <w:sz w:val="24"/>
          <w:szCs w:val="24"/>
          <w14:textFill>
            <w14:solidFill>
              <w14:schemeClr w14:val="tx1"/>
            </w14:solidFill>
          </w14:textFill>
        </w:rPr>
        <w:t>此项内容）</w:t>
      </w:r>
    </w:p>
    <w:p w14:paraId="362072C7">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1、政府采购政策政部、司法部关于政府采购支持监狱企业发展有关问题的通知（财库【2014】68号）关于监狱企业：视同小微企业。</w:t>
      </w:r>
    </w:p>
    <w:p w14:paraId="124AC7D9">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2、提供由省级以上监狱管理局、戒毒管理局（含新疆生产建设兵团）出具的属于监狱企业的证明材料。</w:t>
      </w:r>
    </w:p>
    <w:p w14:paraId="2BB7B029">
      <w:pPr>
        <w:pStyle w:val="38"/>
        <w:spacing w:line="500" w:lineRule="exact"/>
        <w:ind w:left="0" w:leftChars="0" w:firstLine="480" w:firstLineChars="20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注：在投标文件中附扫描件。</w:t>
      </w:r>
    </w:p>
    <w:p w14:paraId="2D75872A">
      <w:pPr>
        <w:pStyle w:val="38"/>
        <w:spacing w:line="500" w:lineRule="exact"/>
        <w:ind w:firstLine="480" w:firstLineChars="200"/>
        <w:jc w:val="right"/>
        <w:rPr>
          <w:rFonts w:hint="eastAsia" w:ascii="宋体" w:hAnsi="宋体" w:eastAsia="宋体" w:cs="宋体"/>
          <w:bCs/>
          <w:color w:val="000000" w:themeColor="text1"/>
          <w:sz w:val="24"/>
          <w:szCs w:val="24"/>
          <w14:textFill>
            <w14:solidFill>
              <w14:schemeClr w14:val="tx1"/>
            </w14:solidFill>
          </w14:textFill>
        </w:rPr>
      </w:pPr>
    </w:p>
    <w:p w14:paraId="23EF7036">
      <w:pPr>
        <w:rPr>
          <w:rFonts w:hint="eastAsia" w:ascii="宋体" w:hAnsi="宋体" w:eastAsia="宋体" w:cs="宋体"/>
          <w:bCs/>
          <w:color w:val="000000" w:themeColor="text1"/>
          <w:sz w:val="24"/>
          <w:szCs w:val="24"/>
          <w14:textFill>
            <w14:solidFill>
              <w14:schemeClr w14:val="tx1"/>
            </w14:solidFill>
          </w14:textFill>
        </w:rPr>
      </w:pPr>
    </w:p>
    <w:p w14:paraId="63201776">
      <w:pPr>
        <w:pStyle w:val="38"/>
        <w:rPr>
          <w:rFonts w:hint="eastAsia"/>
          <w:color w:val="000000" w:themeColor="text1"/>
          <w14:textFill>
            <w14:solidFill>
              <w14:schemeClr w14:val="tx1"/>
            </w14:solidFill>
          </w14:textFill>
        </w:rPr>
      </w:pPr>
    </w:p>
    <w:p w14:paraId="663B23BA">
      <w:pPr>
        <w:pStyle w:val="38"/>
        <w:spacing w:line="500" w:lineRule="exact"/>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olor w:val="000000" w:themeColor="text1"/>
          <w:kern w:val="2"/>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公章电子</w:t>
      </w:r>
      <w:r>
        <w:rPr>
          <w:rFonts w:hint="eastAsia" w:ascii="宋体" w:hAnsi="宋体" w:eastAsia="宋体" w:cs="宋体"/>
          <w:color w:val="000000" w:themeColor="text1"/>
          <w:sz w:val="24"/>
          <w:szCs w:val="24"/>
          <w14:textFill>
            <w14:solidFill>
              <w14:schemeClr w14:val="tx1"/>
            </w14:solidFill>
          </w14:textFill>
        </w:rPr>
        <w:t>签章）</w:t>
      </w:r>
    </w:p>
    <w:p w14:paraId="465F95C2">
      <w:pPr>
        <w:pStyle w:val="38"/>
        <w:spacing w:line="500" w:lineRule="exact"/>
        <w:ind w:firstLine="480" w:firstLineChars="20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月  日</w:t>
      </w:r>
    </w:p>
    <w:p w14:paraId="35CC52E2">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04066DD1">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7A1BFE57">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717E1019">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4126D344">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234CBCF0">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47218770">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6FDC0870">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2FEE4616">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081B0DEB">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2F310D64">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25977058">
      <w:pPr>
        <w:keepNext w:val="0"/>
        <w:keepLines w:val="0"/>
        <w:pageBreakBefore w:val="0"/>
        <w:widowControl/>
        <w:kinsoku/>
        <w:wordWrap/>
        <w:overflowPunct/>
        <w:topLinePunct w:val="0"/>
        <w:autoSpaceDE/>
        <w:autoSpaceDN/>
        <w:bidi w:val="0"/>
        <w:adjustRightInd/>
        <w:snapToGrid/>
        <w:spacing w:line="500" w:lineRule="exact"/>
        <w:ind w:firstLine="440" w:firstLineChars="200"/>
        <w:jc w:val="left"/>
        <w:textAlignment w:val="auto"/>
        <w:rPr>
          <w:rFonts w:hint="eastAsia" w:hAnsi="宋体" w:cs="宋体"/>
          <w:b/>
          <w:bCs/>
          <w:color w:val="000000" w:themeColor="text1"/>
          <w:lang w:eastAsia="zh-CN"/>
          <w14:textFill>
            <w14:solidFill>
              <w14:schemeClr w14:val="tx1"/>
            </w14:solidFill>
          </w14:textFill>
        </w:rPr>
      </w:pPr>
    </w:p>
    <w:p w14:paraId="038112D8">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right="0"/>
        <w:jc w:val="left"/>
        <w:textAlignment w:val="baseline"/>
        <w:rPr>
          <w:rFonts w:hint="eastAsia" w:hAnsi="宋体" w:cs="宋体"/>
          <w:b/>
          <w:bCs/>
          <w:color w:val="auto"/>
          <w:lang w:eastAsia="zh-CN"/>
        </w:rPr>
      </w:pPr>
    </w:p>
    <w:sectPr>
      <w:headerReference r:id="rId8" w:type="default"/>
      <w:footerReference r:id="rId9" w:type="default"/>
      <w:pgSz w:w="12240" w:h="15840"/>
      <w:pgMar w:top="1400" w:right="1720" w:bottom="1120" w:left="1720" w:header="794" w:footer="921"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127417-B621-4D47-B984-AA2DDECAB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8D3E32-0F59-456D-9C43-1474E292D383}"/>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2747005-2FB8-4C5C-A28B-C0BE4EC17C5B}"/>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79D9E286-FD1C-4525-8C1E-840D03E059C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BF5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0B44694">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yVXLraAQAAugMAAA4AAAAAAAAAAQAg&#10;AAAAHgEAAGRycy9lMm9Eb2MueG1sUEsFBgAAAAAGAAYAWQEAAGoFAAAAAA==&#10;">
              <v:fill on="f" focussize="0,0"/>
              <v:stroke on="f" joinstyle="miter"/>
              <v:imagedata o:title=""/>
              <o:lock v:ext="edit" aspectratio="f"/>
              <v:textbox inset="0mm,0mm,0mm,0mm" style="mso-fit-shape-to-text:t;">
                <w:txbxContent>
                  <w:p w14:paraId="10B44694">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CE87">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3F8E8">
                          <w:pPr>
                            <w:pStyle w:val="2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xOKMsBAACc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jPxjFEfejKHuV6EF4f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cTijLAQAAnAMAAA4AAAAAAAAAAQAgAAAAHgEAAGRycy9lMm9E&#10;b2MueG1sUEsFBgAAAAAGAAYAWQEAAFsFAAAAAA==&#10;">
              <v:fill on="f" focussize="0,0"/>
              <v:stroke on="f"/>
              <v:imagedata o:title=""/>
              <o:lock v:ext="edit" aspectratio="f"/>
              <v:textbox inset="0mm,0mm,0mm,0mm" style="mso-fit-shape-to-text:t;">
                <w:txbxContent>
                  <w:p w14:paraId="0573F8E8">
                    <w:pPr>
                      <w:pStyle w:val="2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201D4FAD">
                          <w:pPr>
                            <w:snapToGrid w:val="0"/>
                            <w:rPr>
                              <w:sz w:val="1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9HWgbaAQAAugMAAA4AAAAAAAAAAQAg&#10;AAAAHgEAAGRycy9lMm9Eb2MueG1sUEsFBgAAAAAGAAYAWQEAAGoFAAAAAA==&#10;">
              <v:fill on="f" focussize="0,0"/>
              <v:stroke on="f" joinstyle="miter"/>
              <v:imagedata o:title=""/>
              <o:lock v:ext="edit" aspectratio="f"/>
              <v:textbox inset="0mm,0mm,0mm,0mm" style="mso-fit-shape-to-text:t;">
                <w:txbxContent>
                  <w:p w14:paraId="201D4FAD">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16F8">
    <w:pPr>
      <w:spacing w:line="14" w:lineRule="auto"/>
      <w:rPr>
        <w:sz w:val="20"/>
        <w:szCs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444F8">
                          <w:pPr>
                            <w:pStyle w:val="2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14:paraId="393444F8">
                    <w:pPr>
                      <w:pStyle w:val="27"/>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3806825</wp:posOffset>
              </wp:positionH>
              <wp:positionV relativeFrom="page">
                <wp:posOffset>9333230</wp:posOffset>
              </wp:positionV>
              <wp:extent cx="133350" cy="1397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33350" cy="139700"/>
                      </a:xfrm>
                      <a:prstGeom prst="rect">
                        <a:avLst/>
                      </a:prstGeom>
                      <a:noFill/>
                      <a:ln>
                        <a:noFill/>
                      </a:ln>
                    </wps:spPr>
                    <wps:txbx>
                      <w:txbxContent>
                        <w:p w14:paraId="33CB7450">
                          <w:pPr>
                            <w:spacing w:line="203" w:lineRule="exact"/>
                            <w:rPr>
                              <w:rFonts w:cs="Calibri"/>
                              <w:sz w:val="18"/>
                              <w:szCs w:val="18"/>
                            </w:rPr>
                          </w:pPr>
                        </w:p>
                      </w:txbxContent>
                    </wps:txbx>
                    <wps:bodyPr lIns="0" tIns="0" rIns="0" bIns="0" upright="1"/>
                  </wps:wsp>
                </a:graphicData>
              </a:graphic>
            </wp:anchor>
          </w:drawing>
        </mc:Choice>
        <mc:Fallback>
          <w:pict>
            <v:shape id="文本框 1028" o:spid="_x0000_s1026" o:spt="202" type="#_x0000_t202" style="position:absolute;left:0pt;margin-left:299.75pt;margin-top:734.9pt;height:11pt;width:10.5pt;mso-position-horizontal-relative:page;mso-position-vertical-relative:page;z-index:-251655168;mso-width-relative:page;mso-height-relative:page;" filled="f" stroked="f" coordsize="21600,21600" o:gfxdata="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1JnZAAAADQEAAA8AAAAAAAAAAQAgAAAAIgAAAGRycy9kb3ducmV2LnhtbFBL&#10;AQIUABQAAAAIAIdO4kAdXRQWvAEAAHQDAAAOAAAAAAAAAAEAIAAAACgBAABkcnMvZTJvRG9jLnht&#10;bFBLBQYAAAAABgAGAFkBAABWBQAAAAA=&#10;">
              <v:fill on="f" focussize="0,0"/>
              <v:stroke on="f"/>
              <v:imagedata o:title=""/>
              <o:lock v:ext="edit" aspectratio="f"/>
              <v:textbox inset="0mm,0mm,0mm,0mm">
                <w:txbxContent>
                  <w:p w14:paraId="33CB7450">
                    <w:pPr>
                      <w:spacing w:line="203" w:lineRule="exact"/>
                      <w:rPr>
                        <w:rFonts w:cs="Calibri"/>
                        <w:sz w:val="18"/>
                        <w:szCs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63C0">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CA9AE">
                          <w:pPr>
                            <w:pStyle w:val="27"/>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v:fill on="f" focussize="0,0"/>
              <v:stroke on="f"/>
              <v:imagedata o:title=""/>
              <o:lock v:ext="edit" aspectratio="f"/>
              <v:textbox inset="0mm,0mm,0mm,0mm" style="mso-fit-shape-to-text:t;">
                <w:txbxContent>
                  <w:p w14:paraId="0AFCA9AE">
                    <w:pPr>
                      <w:pStyle w:val="2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AA3">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0078">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62C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21D34"/>
    <w:multiLevelType w:val="singleLevel"/>
    <w:tmpl w:val="A2621D34"/>
    <w:lvl w:ilvl="0" w:tentative="0">
      <w:start w:val="2"/>
      <w:numFmt w:val="decimal"/>
      <w:suff w:val="nothing"/>
      <w:lvlText w:val="%1、"/>
      <w:lvlJc w:val="left"/>
    </w:lvl>
  </w:abstractNum>
  <w:abstractNum w:abstractNumId="1">
    <w:nsid w:val="D6763FFC"/>
    <w:multiLevelType w:val="singleLevel"/>
    <w:tmpl w:val="D6763FFC"/>
    <w:lvl w:ilvl="0" w:tentative="0">
      <w:start w:val="1"/>
      <w:numFmt w:val="decimal"/>
      <w:suff w:val="space"/>
      <w:lvlText w:val="(%1)"/>
      <w:lvlJc w:val="left"/>
      <w:pPr>
        <w:ind w:left="480" w:firstLine="0"/>
      </w:pPr>
    </w:lvl>
  </w:abstractNum>
  <w:abstractNum w:abstractNumId="2">
    <w:nsid w:val="EE15EEC8"/>
    <w:multiLevelType w:val="singleLevel"/>
    <w:tmpl w:val="EE15EEC8"/>
    <w:lvl w:ilvl="0" w:tentative="0">
      <w:start w:val="1"/>
      <w:numFmt w:val="decimal"/>
      <w:suff w:val="nothing"/>
      <w:lvlText w:val="%1、"/>
      <w:lvlJc w:val="left"/>
    </w:lvl>
  </w:abstractNum>
  <w:abstractNum w:abstractNumId="3">
    <w:nsid w:val="FF04FCA6"/>
    <w:multiLevelType w:val="singleLevel"/>
    <w:tmpl w:val="FF04FCA6"/>
    <w:lvl w:ilvl="0" w:tentative="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dit="trackedChanges" w:enforcement="1" w:cryptProviderType="rsaFull" w:cryptAlgorithmClass="hash" w:cryptAlgorithmType="typeAny" w:cryptAlgorithmSid="4" w:cryptSpinCount="0" w:hash="wPtOoAwpRPVo6Q36cGNifa2mD78=" w:salt="UAsLSwqgLs0/rqFFDAXbNg=="/>
  <w:defaultTabStop w:val="42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A05DA7"/>
    <w:rsid w:val="00001828"/>
    <w:rsid w:val="00003393"/>
    <w:rsid w:val="000138C8"/>
    <w:rsid w:val="00037F59"/>
    <w:rsid w:val="00042D0B"/>
    <w:rsid w:val="0005214E"/>
    <w:rsid w:val="000548B4"/>
    <w:rsid w:val="00060C6A"/>
    <w:rsid w:val="00072F13"/>
    <w:rsid w:val="0007706E"/>
    <w:rsid w:val="00077596"/>
    <w:rsid w:val="00085226"/>
    <w:rsid w:val="00087FF4"/>
    <w:rsid w:val="00094F70"/>
    <w:rsid w:val="000B2710"/>
    <w:rsid w:val="000B415E"/>
    <w:rsid w:val="000C383B"/>
    <w:rsid w:val="000C43E6"/>
    <w:rsid w:val="000C5D26"/>
    <w:rsid w:val="000D53A4"/>
    <w:rsid w:val="000E09A8"/>
    <w:rsid w:val="000E3900"/>
    <w:rsid w:val="000E4B76"/>
    <w:rsid w:val="000F2692"/>
    <w:rsid w:val="00102804"/>
    <w:rsid w:val="001163F5"/>
    <w:rsid w:val="001168AD"/>
    <w:rsid w:val="00120151"/>
    <w:rsid w:val="00123AE8"/>
    <w:rsid w:val="001311B8"/>
    <w:rsid w:val="00146927"/>
    <w:rsid w:val="0015215E"/>
    <w:rsid w:val="0016365D"/>
    <w:rsid w:val="0016582F"/>
    <w:rsid w:val="00172549"/>
    <w:rsid w:val="001846C1"/>
    <w:rsid w:val="001907C2"/>
    <w:rsid w:val="00192C49"/>
    <w:rsid w:val="001D5A29"/>
    <w:rsid w:val="001E784D"/>
    <w:rsid w:val="00200D53"/>
    <w:rsid w:val="00211575"/>
    <w:rsid w:val="0021259C"/>
    <w:rsid w:val="0021356F"/>
    <w:rsid w:val="002165C4"/>
    <w:rsid w:val="0021666C"/>
    <w:rsid w:val="00232921"/>
    <w:rsid w:val="00242104"/>
    <w:rsid w:val="002428FC"/>
    <w:rsid w:val="00245685"/>
    <w:rsid w:val="00247826"/>
    <w:rsid w:val="0025002A"/>
    <w:rsid w:val="00256BD1"/>
    <w:rsid w:val="00261EAA"/>
    <w:rsid w:val="0026261E"/>
    <w:rsid w:val="002729D6"/>
    <w:rsid w:val="00292687"/>
    <w:rsid w:val="00293230"/>
    <w:rsid w:val="00294073"/>
    <w:rsid w:val="0029576A"/>
    <w:rsid w:val="002A1981"/>
    <w:rsid w:val="002B2E03"/>
    <w:rsid w:val="002B579B"/>
    <w:rsid w:val="002D6B56"/>
    <w:rsid w:val="002E0B98"/>
    <w:rsid w:val="002E5C13"/>
    <w:rsid w:val="002F3ECC"/>
    <w:rsid w:val="002F760B"/>
    <w:rsid w:val="00317262"/>
    <w:rsid w:val="003244BF"/>
    <w:rsid w:val="003407E2"/>
    <w:rsid w:val="00342FC8"/>
    <w:rsid w:val="00374429"/>
    <w:rsid w:val="00380375"/>
    <w:rsid w:val="003868F1"/>
    <w:rsid w:val="00391EF3"/>
    <w:rsid w:val="003B589D"/>
    <w:rsid w:val="003E179A"/>
    <w:rsid w:val="003E5B28"/>
    <w:rsid w:val="0041362A"/>
    <w:rsid w:val="00435D06"/>
    <w:rsid w:val="00451D22"/>
    <w:rsid w:val="0046786A"/>
    <w:rsid w:val="004709FA"/>
    <w:rsid w:val="00482BA1"/>
    <w:rsid w:val="004935C6"/>
    <w:rsid w:val="004B1F34"/>
    <w:rsid w:val="004B617B"/>
    <w:rsid w:val="004B6FFE"/>
    <w:rsid w:val="004C0C5D"/>
    <w:rsid w:val="004C37B8"/>
    <w:rsid w:val="004C5A68"/>
    <w:rsid w:val="004E09CE"/>
    <w:rsid w:val="004F295D"/>
    <w:rsid w:val="004F2EEF"/>
    <w:rsid w:val="00525772"/>
    <w:rsid w:val="005352DB"/>
    <w:rsid w:val="005360DA"/>
    <w:rsid w:val="005410AF"/>
    <w:rsid w:val="00565AFA"/>
    <w:rsid w:val="005702C3"/>
    <w:rsid w:val="0057417F"/>
    <w:rsid w:val="005878FE"/>
    <w:rsid w:val="005A4753"/>
    <w:rsid w:val="005B0F1B"/>
    <w:rsid w:val="005B2B14"/>
    <w:rsid w:val="005B6CF3"/>
    <w:rsid w:val="005C044E"/>
    <w:rsid w:val="005D0797"/>
    <w:rsid w:val="005D6E62"/>
    <w:rsid w:val="005E2D8D"/>
    <w:rsid w:val="005E7797"/>
    <w:rsid w:val="00627E6B"/>
    <w:rsid w:val="0063130B"/>
    <w:rsid w:val="00634F7A"/>
    <w:rsid w:val="00645110"/>
    <w:rsid w:val="00657832"/>
    <w:rsid w:val="0067560A"/>
    <w:rsid w:val="00682A77"/>
    <w:rsid w:val="0069226E"/>
    <w:rsid w:val="00694921"/>
    <w:rsid w:val="00695E5A"/>
    <w:rsid w:val="00696210"/>
    <w:rsid w:val="006A0A22"/>
    <w:rsid w:val="006B3831"/>
    <w:rsid w:val="006B5463"/>
    <w:rsid w:val="006C7137"/>
    <w:rsid w:val="006D0D68"/>
    <w:rsid w:val="006D6199"/>
    <w:rsid w:val="006E1A8F"/>
    <w:rsid w:val="006E6D6B"/>
    <w:rsid w:val="006F200A"/>
    <w:rsid w:val="006F68F4"/>
    <w:rsid w:val="00700784"/>
    <w:rsid w:val="007007DA"/>
    <w:rsid w:val="00706D1C"/>
    <w:rsid w:val="00715647"/>
    <w:rsid w:val="00720E67"/>
    <w:rsid w:val="00721954"/>
    <w:rsid w:val="00732A1C"/>
    <w:rsid w:val="00735655"/>
    <w:rsid w:val="00746704"/>
    <w:rsid w:val="007500C5"/>
    <w:rsid w:val="007541B1"/>
    <w:rsid w:val="00763BF5"/>
    <w:rsid w:val="00764CC5"/>
    <w:rsid w:val="007A4B7C"/>
    <w:rsid w:val="007B1E83"/>
    <w:rsid w:val="007B1F78"/>
    <w:rsid w:val="007B677C"/>
    <w:rsid w:val="007C14C4"/>
    <w:rsid w:val="007D0D6B"/>
    <w:rsid w:val="00806E69"/>
    <w:rsid w:val="008233E7"/>
    <w:rsid w:val="00843956"/>
    <w:rsid w:val="00843E7F"/>
    <w:rsid w:val="00853682"/>
    <w:rsid w:val="0086108B"/>
    <w:rsid w:val="0086265F"/>
    <w:rsid w:val="008700BD"/>
    <w:rsid w:val="00882FC8"/>
    <w:rsid w:val="00887675"/>
    <w:rsid w:val="00891ADD"/>
    <w:rsid w:val="008C1057"/>
    <w:rsid w:val="008C21CA"/>
    <w:rsid w:val="008C2A01"/>
    <w:rsid w:val="008D1525"/>
    <w:rsid w:val="008E161F"/>
    <w:rsid w:val="009017DB"/>
    <w:rsid w:val="00902431"/>
    <w:rsid w:val="00915736"/>
    <w:rsid w:val="00942D36"/>
    <w:rsid w:val="009444C8"/>
    <w:rsid w:val="00960202"/>
    <w:rsid w:val="00964463"/>
    <w:rsid w:val="0097219C"/>
    <w:rsid w:val="0097291D"/>
    <w:rsid w:val="00972D1F"/>
    <w:rsid w:val="009732BD"/>
    <w:rsid w:val="00975D66"/>
    <w:rsid w:val="00984E95"/>
    <w:rsid w:val="009B1AB3"/>
    <w:rsid w:val="009B53AC"/>
    <w:rsid w:val="00A0544A"/>
    <w:rsid w:val="00A05DA7"/>
    <w:rsid w:val="00A13AF2"/>
    <w:rsid w:val="00A205AB"/>
    <w:rsid w:val="00A505A9"/>
    <w:rsid w:val="00A51329"/>
    <w:rsid w:val="00A5376F"/>
    <w:rsid w:val="00A57CB4"/>
    <w:rsid w:val="00A676C2"/>
    <w:rsid w:val="00A83621"/>
    <w:rsid w:val="00A8554A"/>
    <w:rsid w:val="00A864A4"/>
    <w:rsid w:val="00A90E0C"/>
    <w:rsid w:val="00A96D4F"/>
    <w:rsid w:val="00AA3B9B"/>
    <w:rsid w:val="00AB7C15"/>
    <w:rsid w:val="00AD12EC"/>
    <w:rsid w:val="00AE1F54"/>
    <w:rsid w:val="00AE2576"/>
    <w:rsid w:val="00AE7F6E"/>
    <w:rsid w:val="00B13393"/>
    <w:rsid w:val="00B31B86"/>
    <w:rsid w:val="00B336B8"/>
    <w:rsid w:val="00B430E5"/>
    <w:rsid w:val="00B43B61"/>
    <w:rsid w:val="00B45561"/>
    <w:rsid w:val="00B5336D"/>
    <w:rsid w:val="00B93EC1"/>
    <w:rsid w:val="00BA03B6"/>
    <w:rsid w:val="00BC02A9"/>
    <w:rsid w:val="00BD47AF"/>
    <w:rsid w:val="00BD634F"/>
    <w:rsid w:val="00BF4CF4"/>
    <w:rsid w:val="00C11FC0"/>
    <w:rsid w:val="00C17F86"/>
    <w:rsid w:val="00C3013C"/>
    <w:rsid w:val="00C46CE1"/>
    <w:rsid w:val="00C5485B"/>
    <w:rsid w:val="00C56C0F"/>
    <w:rsid w:val="00C65B9B"/>
    <w:rsid w:val="00C734B6"/>
    <w:rsid w:val="00C813F4"/>
    <w:rsid w:val="00C8621F"/>
    <w:rsid w:val="00C93EED"/>
    <w:rsid w:val="00CA0FC3"/>
    <w:rsid w:val="00CB3647"/>
    <w:rsid w:val="00CD3BA0"/>
    <w:rsid w:val="00CD3DFD"/>
    <w:rsid w:val="00CE6C50"/>
    <w:rsid w:val="00CE7D9C"/>
    <w:rsid w:val="00CF520B"/>
    <w:rsid w:val="00CF646B"/>
    <w:rsid w:val="00CF7FE4"/>
    <w:rsid w:val="00D06232"/>
    <w:rsid w:val="00D232C1"/>
    <w:rsid w:val="00D23B37"/>
    <w:rsid w:val="00D26D9F"/>
    <w:rsid w:val="00D417B0"/>
    <w:rsid w:val="00D43022"/>
    <w:rsid w:val="00D47693"/>
    <w:rsid w:val="00D50E06"/>
    <w:rsid w:val="00D52ADC"/>
    <w:rsid w:val="00D55FAD"/>
    <w:rsid w:val="00D83C4F"/>
    <w:rsid w:val="00D93C1A"/>
    <w:rsid w:val="00D962CF"/>
    <w:rsid w:val="00D96E3E"/>
    <w:rsid w:val="00DA5A95"/>
    <w:rsid w:val="00DA62A5"/>
    <w:rsid w:val="00DC36FD"/>
    <w:rsid w:val="00DC3C9E"/>
    <w:rsid w:val="00DD03C4"/>
    <w:rsid w:val="00DD1ED1"/>
    <w:rsid w:val="00DF32E4"/>
    <w:rsid w:val="00E04847"/>
    <w:rsid w:val="00E13FFC"/>
    <w:rsid w:val="00E15636"/>
    <w:rsid w:val="00E159D1"/>
    <w:rsid w:val="00E35E3B"/>
    <w:rsid w:val="00E37C7A"/>
    <w:rsid w:val="00E40912"/>
    <w:rsid w:val="00E45346"/>
    <w:rsid w:val="00E4689D"/>
    <w:rsid w:val="00E55F54"/>
    <w:rsid w:val="00E7434D"/>
    <w:rsid w:val="00E95BE3"/>
    <w:rsid w:val="00EB0686"/>
    <w:rsid w:val="00ED1733"/>
    <w:rsid w:val="00EE18EF"/>
    <w:rsid w:val="00EE6F0C"/>
    <w:rsid w:val="00EE75E0"/>
    <w:rsid w:val="00EF16FF"/>
    <w:rsid w:val="00F05477"/>
    <w:rsid w:val="00F15957"/>
    <w:rsid w:val="00F16F69"/>
    <w:rsid w:val="00F230E5"/>
    <w:rsid w:val="00F24E61"/>
    <w:rsid w:val="00F264DE"/>
    <w:rsid w:val="00F3148C"/>
    <w:rsid w:val="00F330D5"/>
    <w:rsid w:val="00F3506A"/>
    <w:rsid w:val="00F51253"/>
    <w:rsid w:val="00F62A9A"/>
    <w:rsid w:val="00F71EA5"/>
    <w:rsid w:val="00F80D20"/>
    <w:rsid w:val="00F8139D"/>
    <w:rsid w:val="00F8406D"/>
    <w:rsid w:val="00F91170"/>
    <w:rsid w:val="00F9380E"/>
    <w:rsid w:val="00F93E2B"/>
    <w:rsid w:val="00FB2E4B"/>
    <w:rsid w:val="00FD03D5"/>
    <w:rsid w:val="00FF1D76"/>
    <w:rsid w:val="00FF54D0"/>
    <w:rsid w:val="01011432"/>
    <w:rsid w:val="01284C10"/>
    <w:rsid w:val="013F53AE"/>
    <w:rsid w:val="01533DD0"/>
    <w:rsid w:val="01816CCF"/>
    <w:rsid w:val="01C2257A"/>
    <w:rsid w:val="01E0141C"/>
    <w:rsid w:val="020624C0"/>
    <w:rsid w:val="02467A44"/>
    <w:rsid w:val="02B81FC4"/>
    <w:rsid w:val="02E335BF"/>
    <w:rsid w:val="03095BEF"/>
    <w:rsid w:val="032B375B"/>
    <w:rsid w:val="032F04D8"/>
    <w:rsid w:val="03442DE6"/>
    <w:rsid w:val="034B47D7"/>
    <w:rsid w:val="034F0B7A"/>
    <w:rsid w:val="035B7A5B"/>
    <w:rsid w:val="036B7036"/>
    <w:rsid w:val="03724869"/>
    <w:rsid w:val="03773C2D"/>
    <w:rsid w:val="038D3451"/>
    <w:rsid w:val="03B016D7"/>
    <w:rsid w:val="03DF7E09"/>
    <w:rsid w:val="03E312C3"/>
    <w:rsid w:val="04090D29"/>
    <w:rsid w:val="04673CA2"/>
    <w:rsid w:val="047744A0"/>
    <w:rsid w:val="04CD4C20"/>
    <w:rsid w:val="04D87478"/>
    <w:rsid w:val="04EA1CE0"/>
    <w:rsid w:val="04ED41A7"/>
    <w:rsid w:val="05066C7E"/>
    <w:rsid w:val="051777D5"/>
    <w:rsid w:val="051B3A21"/>
    <w:rsid w:val="05253698"/>
    <w:rsid w:val="05315843"/>
    <w:rsid w:val="05323A1C"/>
    <w:rsid w:val="059A45BD"/>
    <w:rsid w:val="05A97689"/>
    <w:rsid w:val="05D13AC9"/>
    <w:rsid w:val="05E01E38"/>
    <w:rsid w:val="05E57574"/>
    <w:rsid w:val="05F23A3F"/>
    <w:rsid w:val="06733D9B"/>
    <w:rsid w:val="06B62CBE"/>
    <w:rsid w:val="06B87CB8"/>
    <w:rsid w:val="06FA704F"/>
    <w:rsid w:val="0728596A"/>
    <w:rsid w:val="074719FC"/>
    <w:rsid w:val="07834D51"/>
    <w:rsid w:val="07B2792A"/>
    <w:rsid w:val="07E04497"/>
    <w:rsid w:val="081920BA"/>
    <w:rsid w:val="083F3A9B"/>
    <w:rsid w:val="085047BB"/>
    <w:rsid w:val="087D30BE"/>
    <w:rsid w:val="08B140CE"/>
    <w:rsid w:val="08E214E7"/>
    <w:rsid w:val="08F059AA"/>
    <w:rsid w:val="08F5187C"/>
    <w:rsid w:val="090C4E18"/>
    <w:rsid w:val="09455F12"/>
    <w:rsid w:val="096B0630"/>
    <w:rsid w:val="096E162E"/>
    <w:rsid w:val="09C86EE1"/>
    <w:rsid w:val="09D744AE"/>
    <w:rsid w:val="0A037FC9"/>
    <w:rsid w:val="0A1B7A08"/>
    <w:rsid w:val="0A3B7727"/>
    <w:rsid w:val="0A607C0A"/>
    <w:rsid w:val="0A782765"/>
    <w:rsid w:val="0A903F21"/>
    <w:rsid w:val="0ADD081A"/>
    <w:rsid w:val="0AE3520F"/>
    <w:rsid w:val="0AFF3D11"/>
    <w:rsid w:val="0B065FC2"/>
    <w:rsid w:val="0B147891"/>
    <w:rsid w:val="0B1D155E"/>
    <w:rsid w:val="0B745622"/>
    <w:rsid w:val="0B7E024F"/>
    <w:rsid w:val="0B9655C3"/>
    <w:rsid w:val="0BC546B6"/>
    <w:rsid w:val="0BF9542B"/>
    <w:rsid w:val="0C020575"/>
    <w:rsid w:val="0C1071ED"/>
    <w:rsid w:val="0C124EEE"/>
    <w:rsid w:val="0C24091D"/>
    <w:rsid w:val="0C2C20EB"/>
    <w:rsid w:val="0C4531F8"/>
    <w:rsid w:val="0C5F4313"/>
    <w:rsid w:val="0C6C036D"/>
    <w:rsid w:val="0C6D28B8"/>
    <w:rsid w:val="0C950F0F"/>
    <w:rsid w:val="0C9B1B99"/>
    <w:rsid w:val="0CBD5D70"/>
    <w:rsid w:val="0CCA0113"/>
    <w:rsid w:val="0D2C6083"/>
    <w:rsid w:val="0D444B80"/>
    <w:rsid w:val="0D4C763E"/>
    <w:rsid w:val="0D500D75"/>
    <w:rsid w:val="0D69568B"/>
    <w:rsid w:val="0D760893"/>
    <w:rsid w:val="0D8458C4"/>
    <w:rsid w:val="0DB7190D"/>
    <w:rsid w:val="0DCD4609"/>
    <w:rsid w:val="0DE15EAF"/>
    <w:rsid w:val="0E0A1E1D"/>
    <w:rsid w:val="0E1934B6"/>
    <w:rsid w:val="0E2E4CD2"/>
    <w:rsid w:val="0E43301E"/>
    <w:rsid w:val="0E9C16CB"/>
    <w:rsid w:val="0EAF6971"/>
    <w:rsid w:val="0ED131F4"/>
    <w:rsid w:val="0F470958"/>
    <w:rsid w:val="0F4E7CD4"/>
    <w:rsid w:val="0F7D7DCA"/>
    <w:rsid w:val="0F924901"/>
    <w:rsid w:val="0F926DAA"/>
    <w:rsid w:val="0F9F3B9F"/>
    <w:rsid w:val="0FD267C1"/>
    <w:rsid w:val="0FD6350A"/>
    <w:rsid w:val="10160038"/>
    <w:rsid w:val="101C2B60"/>
    <w:rsid w:val="102B2DC0"/>
    <w:rsid w:val="103C4234"/>
    <w:rsid w:val="10772B6A"/>
    <w:rsid w:val="109A1311"/>
    <w:rsid w:val="111E393A"/>
    <w:rsid w:val="113D6059"/>
    <w:rsid w:val="11434745"/>
    <w:rsid w:val="1148677C"/>
    <w:rsid w:val="118A0FD0"/>
    <w:rsid w:val="11916802"/>
    <w:rsid w:val="11B12A00"/>
    <w:rsid w:val="11DA3D05"/>
    <w:rsid w:val="12217B86"/>
    <w:rsid w:val="124B3E10"/>
    <w:rsid w:val="126868D7"/>
    <w:rsid w:val="1280260B"/>
    <w:rsid w:val="12F11306"/>
    <w:rsid w:val="131E5E73"/>
    <w:rsid w:val="136600DF"/>
    <w:rsid w:val="137F31E9"/>
    <w:rsid w:val="13AC6A48"/>
    <w:rsid w:val="13BD743A"/>
    <w:rsid w:val="13EE7E50"/>
    <w:rsid w:val="14024FE7"/>
    <w:rsid w:val="144F735B"/>
    <w:rsid w:val="146412CF"/>
    <w:rsid w:val="147C72F5"/>
    <w:rsid w:val="147C7AB5"/>
    <w:rsid w:val="148606D0"/>
    <w:rsid w:val="14956609"/>
    <w:rsid w:val="14A96674"/>
    <w:rsid w:val="14B03698"/>
    <w:rsid w:val="14BD1E65"/>
    <w:rsid w:val="14D61ED0"/>
    <w:rsid w:val="14DE2744"/>
    <w:rsid w:val="14DE58BA"/>
    <w:rsid w:val="14F236FC"/>
    <w:rsid w:val="151C63E2"/>
    <w:rsid w:val="15263AAF"/>
    <w:rsid w:val="153E7F13"/>
    <w:rsid w:val="15A72150"/>
    <w:rsid w:val="15C9656A"/>
    <w:rsid w:val="162A0C4B"/>
    <w:rsid w:val="1642631D"/>
    <w:rsid w:val="165878EE"/>
    <w:rsid w:val="168626AD"/>
    <w:rsid w:val="16A42B33"/>
    <w:rsid w:val="16CE7D9B"/>
    <w:rsid w:val="17007354"/>
    <w:rsid w:val="172C2803"/>
    <w:rsid w:val="17B6143D"/>
    <w:rsid w:val="17BB114D"/>
    <w:rsid w:val="17BC6567"/>
    <w:rsid w:val="17CE2B12"/>
    <w:rsid w:val="17F93E7F"/>
    <w:rsid w:val="18700F1F"/>
    <w:rsid w:val="18770500"/>
    <w:rsid w:val="188B5D59"/>
    <w:rsid w:val="18950986"/>
    <w:rsid w:val="189A454F"/>
    <w:rsid w:val="189F35B2"/>
    <w:rsid w:val="18A1557C"/>
    <w:rsid w:val="18D21BDA"/>
    <w:rsid w:val="18E13BCB"/>
    <w:rsid w:val="18E62C27"/>
    <w:rsid w:val="18EB67F8"/>
    <w:rsid w:val="18F65D34"/>
    <w:rsid w:val="18FF4051"/>
    <w:rsid w:val="18FF4670"/>
    <w:rsid w:val="19047787"/>
    <w:rsid w:val="19487E02"/>
    <w:rsid w:val="195A5E0E"/>
    <w:rsid w:val="19632558"/>
    <w:rsid w:val="198A4263"/>
    <w:rsid w:val="19913C87"/>
    <w:rsid w:val="19B15F8C"/>
    <w:rsid w:val="19BC57A0"/>
    <w:rsid w:val="19C631B3"/>
    <w:rsid w:val="19EF40C6"/>
    <w:rsid w:val="1A085187"/>
    <w:rsid w:val="1A361CF4"/>
    <w:rsid w:val="1A3F6DFB"/>
    <w:rsid w:val="1A4729C7"/>
    <w:rsid w:val="1A6D78D8"/>
    <w:rsid w:val="1A8C65C3"/>
    <w:rsid w:val="1A8F0467"/>
    <w:rsid w:val="1AC5064D"/>
    <w:rsid w:val="1AEB78DE"/>
    <w:rsid w:val="1B067601"/>
    <w:rsid w:val="1B1738D4"/>
    <w:rsid w:val="1B461C71"/>
    <w:rsid w:val="1B520DB0"/>
    <w:rsid w:val="1B5A5051"/>
    <w:rsid w:val="1B79633D"/>
    <w:rsid w:val="1B8D1DE8"/>
    <w:rsid w:val="1C0A0707"/>
    <w:rsid w:val="1C3E30E2"/>
    <w:rsid w:val="1C422DF6"/>
    <w:rsid w:val="1C5059CF"/>
    <w:rsid w:val="1C694603"/>
    <w:rsid w:val="1C872CDB"/>
    <w:rsid w:val="1C932673"/>
    <w:rsid w:val="1CBD494F"/>
    <w:rsid w:val="1CCE6AC3"/>
    <w:rsid w:val="1CD06430"/>
    <w:rsid w:val="1CD457F3"/>
    <w:rsid w:val="1CF52E26"/>
    <w:rsid w:val="1CFB0451"/>
    <w:rsid w:val="1D0545A1"/>
    <w:rsid w:val="1D2574B3"/>
    <w:rsid w:val="1D375855"/>
    <w:rsid w:val="1D586BC9"/>
    <w:rsid w:val="1D7A4369"/>
    <w:rsid w:val="1D8F582E"/>
    <w:rsid w:val="1D9456B0"/>
    <w:rsid w:val="1D951428"/>
    <w:rsid w:val="1DCA7323"/>
    <w:rsid w:val="1DCF0244"/>
    <w:rsid w:val="1DD22E22"/>
    <w:rsid w:val="1DD95CC8"/>
    <w:rsid w:val="1DDA6A02"/>
    <w:rsid w:val="1E447858"/>
    <w:rsid w:val="1E7B17A7"/>
    <w:rsid w:val="1E9C367F"/>
    <w:rsid w:val="1E9F255E"/>
    <w:rsid w:val="1EC75F2D"/>
    <w:rsid w:val="1EE43C99"/>
    <w:rsid w:val="1F086AFE"/>
    <w:rsid w:val="1F176598"/>
    <w:rsid w:val="1F3D1B10"/>
    <w:rsid w:val="1F420C28"/>
    <w:rsid w:val="1F450F34"/>
    <w:rsid w:val="1F574BE7"/>
    <w:rsid w:val="1F626226"/>
    <w:rsid w:val="1F813CF1"/>
    <w:rsid w:val="1F8B34B5"/>
    <w:rsid w:val="1FA121FB"/>
    <w:rsid w:val="1FB060A0"/>
    <w:rsid w:val="1FC974B6"/>
    <w:rsid w:val="1FE741BD"/>
    <w:rsid w:val="200F41A6"/>
    <w:rsid w:val="20384A18"/>
    <w:rsid w:val="203B0065"/>
    <w:rsid w:val="204D5FEA"/>
    <w:rsid w:val="20803CC9"/>
    <w:rsid w:val="20DC7CCA"/>
    <w:rsid w:val="20E27B73"/>
    <w:rsid w:val="20F63F8C"/>
    <w:rsid w:val="212067A6"/>
    <w:rsid w:val="212343F7"/>
    <w:rsid w:val="21624D20"/>
    <w:rsid w:val="217912BF"/>
    <w:rsid w:val="217D46AD"/>
    <w:rsid w:val="21A22986"/>
    <w:rsid w:val="21A262F6"/>
    <w:rsid w:val="21D267A7"/>
    <w:rsid w:val="222334A6"/>
    <w:rsid w:val="222C39A3"/>
    <w:rsid w:val="22482F0D"/>
    <w:rsid w:val="227E06DD"/>
    <w:rsid w:val="228C128A"/>
    <w:rsid w:val="228F28EA"/>
    <w:rsid w:val="2291647A"/>
    <w:rsid w:val="22951308"/>
    <w:rsid w:val="22C32593"/>
    <w:rsid w:val="22D3622C"/>
    <w:rsid w:val="22EF14AD"/>
    <w:rsid w:val="22FB1D2D"/>
    <w:rsid w:val="2309444A"/>
    <w:rsid w:val="231B39D5"/>
    <w:rsid w:val="232B0864"/>
    <w:rsid w:val="23360FB7"/>
    <w:rsid w:val="2398757C"/>
    <w:rsid w:val="23B819CC"/>
    <w:rsid w:val="23BE3486"/>
    <w:rsid w:val="23CF1A81"/>
    <w:rsid w:val="23D412DC"/>
    <w:rsid w:val="23D9206E"/>
    <w:rsid w:val="23DF33FD"/>
    <w:rsid w:val="241A4435"/>
    <w:rsid w:val="24412260"/>
    <w:rsid w:val="24457B55"/>
    <w:rsid w:val="24C33002"/>
    <w:rsid w:val="24DC4B11"/>
    <w:rsid w:val="24E318DF"/>
    <w:rsid w:val="24F13E55"/>
    <w:rsid w:val="25364CD0"/>
    <w:rsid w:val="255676EF"/>
    <w:rsid w:val="255A0C4E"/>
    <w:rsid w:val="257C6E0B"/>
    <w:rsid w:val="25A50317"/>
    <w:rsid w:val="25CD0B0A"/>
    <w:rsid w:val="262272DE"/>
    <w:rsid w:val="26261CCC"/>
    <w:rsid w:val="267B4F9F"/>
    <w:rsid w:val="269811C6"/>
    <w:rsid w:val="26A822A9"/>
    <w:rsid w:val="26CF4F1E"/>
    <w:rsid w:val="26FD18B9"/>
    <w:rsid w:val="2706149E"/>
    <w:rsid w:val="27201D62"/>
    <w:rsid w:val="272C0707"/>
    <w:rsid w:val="279222E9"/>
    <w:rsid w:val="279802A7"/>
    <w:rsid w:val="27A6171B"/>
    <w:rsid w:val="27AC7A9A"/>
    <w:rsid w:val="28036860"/>
    <w:rsid w:val="283772A8"/>
    <w:rsid w:val="287C0C0E"/>
    <w:rsid w:val="288D1679"/>
    <w:rsid w:val="28A349F9"/>
    <w:rsid w:val="28C52679"/>
    <w:rsid w:val="28C64684"/>
    <w:rsid w:val="28E0024E"/>
    <w:rsid w:val="28F27F55"/>
    <w:rsid w:val="28FA75B8"/>
    <w:rsid w:val="290F392E"/>
    <w:rsid w:val="293D4E4D"/>
    <w:rsid w:val="295D4808"/>
    <w:rsid w:val="296D0128"/>
    <w:rsid w:val="299810D6"/>
    <w:rsid w:val="29C63095"/>
    <w:rsid w:val="29D919AD"/>
    <w:rsid w:val="29EC0622"/>
    <w:rsid w:val="2A0155AC"/>
    <w:rsid w:val="2A5649D6"/>
    <w:rsid w:val="2A7169E6"/>
    <w:rsid w:val="2A896D59"/>
    <w:rsid w:val="2A930A9D"/>
    <w:rsid w:val="2AA55E34"/>
    <w:rsid w:val="2AC825F2"/>
    <w:rsid w:val="2AC82E3D"/>
    <w:rsid w:val="2ADB2B70"/>
    <w:rsid w:val="2AE35B4C"/>
    <w:rsid w:val="2B054B6B"/>
    <w:rsid w:val="2B2A1401"/>
    <w:rsid w:val="2B30453E"/>
    <w:rsid w:val="2B3E4EAD"/>
    <w:rsid w:val="2B717030"/>
    <w:rsid w:val="2B9176D3"/>
    <w:rsid w:val="2BA3685A"/>
    <w:rsid w:val="2BAD5B8F"/>
    <w:rsid w:val="2BBF3EEE"/>
    <w:rsid w:val="2BC730F4"/>
    <w:rsid w:val="2BD6116B"/>
    <w:rsid w:val="2BD96764"/>
    <w:rsid w:val="2BEB56B4"/>
    <w:rsid w:val="2BFD19C7"/>
    <w:rsid w:val="2C0901E2"/>
    <w:rsid w:val="2C2051E2"/>
    <w:rsid w:val="2C495505"/>
    <w:rsid w:val="2C5C1A8E"/>
    <w:rsid w:val="2C8D4187"/>
    <w:rsid w:val="2CC706FB"/>
    <w:rsid w:val="2CE550C6"/>
    <w:rsid w:val="2CF241A1"/>
    <w:rsid w:val="2D1265F1"/>
    <w:rsid w:val="2D1660E1"/>
    <w:rsid w:val="2D2E3A92"/>
    <w:rsid w:val="2D616C31"/>
    <w:rsid w:val="2D73058C"/>
    <w:rsid w:val="2DE55AB4"/>
    <w:rsid w:val="2E0423DE"/>
    <w:rsid w:val="2E1F7F0F"/>
    <w:rsid w:val="2E291E44"/>
    <w:rsid w:val="2E55425D"/>
    <w:rsid w:val="2E6469D8"/>
    <w:rsid w:val="2EA92857"/>
    <w:rsid w:val="2EAB61D6"/>
    <w:rsid w:val="2F0E5351"/>
    <w:rsid w:val="2F2B1BEC"/>
    <w:rsid w:val="2F77513E"/>
    <w:rsid w:val="2FAE5FBE"/>
    <w:rsid w:val="2FB17272"/>
    <w:rsid w:val="2FD94E0C"/>
    <w:rsid w:val="30122898"/>
    <w:rsid w:val="30532F8E"/>
    <w:rsid w:val="30933C4C"/>
    <w:rsid w:val="309A2B85"/>
    <w:rsid w:val="30C563A6"/>
    <w:rsid w:val="30E31097"/>
    <w:rsid w:val="30E84D27"/>
    <w:rsid w:val="30EE328A"/>
    <w:rsid w:val="30F33128"/>
    <w:rsid w:val="30F3375D"/>
    <w:rsid w:val="3106646D"/>
    <w:rsid w:val="3164427C"/>
    <w:rsid w:val="31687D65"/>
    <w:rsid w:val="31D10829"/>
    <w:rsid w:val="32143D54"/>
    <w:rsid w:val="3220355E"/>
    <w:rsid w:val="32244DFC"/>
    <w:rsid w:val="32393AD1"/>
    <w:rsid w:val="325068C4"/>
    <w:rsid w:val="3253299C"/>
    <w:rsid w:val="32546C1E"/>
    <w:rsid w:val="32847649"/>
    <w:rsid w:val="32A518B9"/>
    <w:rsid w:val="32C052A0"/>
    <w:rsid w:val="32C81181"/>
    <w:rsid w:val="32C96BC5"/>
    <w:rsid w:val="32D256C9"/>
    <w:rsid w:val="32ED1692"/>
    <w:rsid w:val="32F44DE0"/>
    <w:rsid w:val="33157C43"/>
    <w:rsid w:val="338D3BB2"/>
    <w:rsid w:val="33993F10"/>
    <w:rsid w:val="33AD7074"/>
    <w:rsid w:val="33C541C0"/>
    <w:rsid w:val="345C1D1B"/>
    <w:rsid w:val="346936A8"/>
    <w:rsid w:val="346B51B8"/>
    <w:rsid w:val="34BB30CA"/>
    <w:rsid w:val="34C226AB"/>
    <w:rsid w:val="353F6DC5"/>
    <w:rsid w:val="354E2190"/>
    <w:rsid w:val="357532E4"/>
    <w:rsid w:val="35A0071E"/>
    <w:rsid w:val="35DD739C"/>
    <w:rsid w:val="363561A5"/>
    <w:rsid w:val="365C1350"/>
    <w:rsid w:val="3666655F"/>
    <w:rsid w:val="36714388"/>
    <w:rsid w:val="36767BF1"/>
    <w:rsid w:val="3681331C"/>
    <w:rsid w:val="36887926"/>
    <w:rsid w:val="36962041"/>
    <w:rsid w:val="36CC7811"/>
    <w:rsid w:val="36DE12F2"/>
    <w:rsid w:val="36EF34FF"/>
    <w:rsid w:val="36F35F61"/>
    <w:rsid w:val="36F7729B"/>
    <w:rsid w:val="37022309"/>
    <w:rsid w:val="37357164"/>
    <w:rsid w:val="37500442"/>
    <w:rsid w:val="37557806"/>
    <w:rsid w:val="37A11630"/>
    <w:rsid w:val="37C30C14"/>
    <w:rsid w:val="37EA03CB"/>
    <w:rsid w:val="37F7266B"/>
    <w:rsid w:val="380A6843"/>
    <w:rsid w:val="381C4571"/>
    <w:rsid w:val="381E409C"/>
    <w:rsid w:val="382E3373"/>
    <w:rsid w:val="38382FD4"/>
    <w:rsid w:val="3842087D"/>
    <w:rsid w:val="38515A60"/>
    <w:rsid w:val="386E5BFC"/>
    <w:rsid w:val="38741F0E"/>
    <w:rsid w:val="38806B05"/>
    <w:rsid w:val="388C5394"/>
    <w:rsid w:val="38910D12"/>
    <w:rsid w:val="389820A0"/>
    <w:rsid w:val="389A33CF"/>
    <w:rsid w:val="38A31F2B"/>
    <w:rsid w:val="38A47DB8"/>
    <w:rsid w:val="38AC78FA"/>
    <w:rsid w:val="38B13162"/>
    <w:rsid w:val="38B60778"/>
    <w:rsid w:val="38E803A4"/>
    <w:rsid w:val="39023AB1"/>
    <w:rsid w:val="39112E4E"/>
    <w:rsid w:val="39847402"/>
    <w:rsid w:val="39897C3B"/>
    <w:rsid w:val="399B34CA"/>
    <w:rsid w:val="39BA7F53"/>
    <w:rsid w:val="39C66FBF"/>
    <w:rsid w:val="39D41F37"/>
    <w:rsid w:val="39E135D3"/>
    <w:rsid w:val="3A0B6C43"/>
    <w:rsid w:val="3A0D3492"/>
    <w:rsid w:val="3A4F5E72"/>
    <w:rsid w:val="3A695377"/>
    <w:rsid w:val="3A861E43"/>
    <w:rsid w:val="3AA75652"/>
    <w:rsid w:val="3AC96C9F"/>
    <w:rsid w:val="3AF5619D"/>
    <w:rsid w:val="3AF974C9"/>
    <w:rsid w:val="3B00217F"/>
    <w:rsid w:val="3B0D76DD"/>
    <w:rsid w:val="3B5F50F7"/>
    <w:rsid w:val="3B63072A"/>
    <w:rsid w:val="3B8B1A48"/>
    <w:rsid w:val="3B8B7C9A"/>
    <w:rsid w:val="3BC461A0"/>
    <w:rsid w:val="3C5540AC"/>
    <w:rsid w:val="3C7D531D"/>
    <w:rsid w:val="3C830972"/>
    <w:rsid w:val="3C8576F2"/>
    <w:rsid w:val="3CDC62D4"/>
    <w:rsid w:val="3CE16596"/>
    <w:rsid w:val="3CEA6C43"/>
    <w:rsid w:val="3CF23B5A"/>
    <w:rsid w:val="3D0C0967"/>
    <w:rsid w:val="3D127F47"/>
    <w:rsid w:val="3D583BAC"/>
    <w:rsid w:val="3D606F05"/>
    <w:rsid w:val="3DAB4624"/>
    <w:rsid w:val="3DB00B59"/>
    <w:rsid w:val="3DF16F67"/>
    <w:rsid w:val="3E522CF1"/>
    <w:rsid w:val="3E527E6A"/>
    <w:rsid w:val="3E6A117B"/>
    <w:rsid w:val="3E754AC0"/>
    <w:rsid w:val="3EA90437"/>
    <w:rsid w:val="3EDE27D7"/>
    <w:rsid w:val="3F4C77F4"/>
    <w:rsid w:val="3F7722E4"/>
    <w:rsid w:val="3F8A64BB"/>
    <w:rsid w:val="3F8E7D59"/>
    <w:rsid w:val="3F9609BC"/>
    <w:rsid w:val="3F9A4950"/>
    <w:rsid w:val="3FB13584"/>
    <w:rsid w:val="3FC17683"/>
    <w:rsid w:val="3FCA18E1"/>
    <w:rsid w:val="3FD80FD4"/>
    <w:rsid w:val="3FE21E53"/>
    <w:rsid w:val="402576FA"/>
    <w:rsid w:val="407C34F9"/>
    <w:rsid w:val="40A92971"/>
    <w:rsid w:val="40D53766"/>
    <w:rsid w:val="410451E3"/>
    <w:rsid w:val="41355D5C"/>
    <w:rsid w:val="414F04EC"/>
    <w:rsid w:val="41614FF9"/>
    <w:rsid w:val="4164390B"/>
    <w:rsid w:val="419E7FFC"/>
    <w:rsid w:val="41E16F5A"/>
    <w:rsid w:val="41F12885"/>
    <w:rsid w:val="41F8595E"/>
    <w:rsid w:val="4220256A"/>
    <w:rsid w:val="425D3A13"/>
    <w:rsid w:val="42791172"/>
    <w:rsid w:val="42A30CC5"/>
    <w:rsid w:val="42CB3259"/>
    <w:rsid w:val="42F92A5B"/>
    <w:rsid w:val="433F4D3E"/>
    <w:rsid w:val="43432C09"/>
    <w:rsid w:val="434C7124"/>
    <w:rsid w:val="4356219C"/>
    <w:rsid w:val="43597222"/>
    <w:rsid w:val="437454B8"/>
    <w:rsid w:val="43821D8D"/>
    <w:rsid w:val="43CF3AAE"/>
    <w:rsid w:val="43E90708"/>
    <w:rsid w:val="43F32881"/>
    <w:rsid w:val="44223166"/>
    <w:rsid w:val="44287CA1"/>
    <w:rsid w:val="44501A81"/>
    <w:rsid w:val="44664067"/>
    <w:rsid w:val="446E7E4C"/>
    <w:rsid w:val="44722F56"/>
    <w:rsid w:val="44974335"/>
    <w:rsid w:val="44CC6C2E"/>
    <w:rsid w:val="44E12640"/>
    <w:rsid w:val="45156827"/>
    <w:rsid w:val="452555C1"/>
    <w:rsid w:val="452F5FE5"/>
    <w:rsid w:val="45383C57"/>
    <w:rsid w:val="455B692F"/>
    <w:rsid w:val="456A6B72"/>
    <w:rsid w:val="45807483"/>
    <w:rsid w:val="458563B0"/>
    <w:rsid w:val="4597548E"/>
    <w:rsid w:val="45BE559E"/>
    <w:rsid w:val="45C118CB"/>
    <w:rsid w:val="45E26FF6"/>
    <w:rsid w:val="45E83F3B"/>
    <w:rsid w:val="45EC7588"/>
    <w:rsid w:val="45FD4CB1"/>
    <w:rsid w:val="46026DAB"/>
    <w:rsid w:val="46063770"/>
    <w:rsid w:val="46234316"/>
    <w:rsid w:val="466E2692"/>
    <w:rsid w:val="467D4684"/>
    <w:rsid w:val="469F0A9E"/>
    <w:rsid w:val="46A71700"/>
    <w:rsid w:val="46B34549"/>
    <w:rsid w:val="46B74B8A"/>
    <w:rsid w:val="46EE63EF"/>
    <w:rsid w:val="4715323E"/>
    <w:rsid w:val="47170634"/>
    <w:rsid w:val="474156B1"/>
    <w:rsid w:val="474F7221"/>
    <w:rsid w:val="47605BC6"/>
    <w:rsid w:val="47753311"/>
    <w:rsid w:val="47C45A2F"/>
    <w:rsid w:val="47DF247D"/>
    <w:rsid w:val="47F25B59"/>
    <w:rsid w:val="47F74BA1"/>
    <w:rsid w:val="47FC1476"/>
    <w:rsid w:val="481132D5"/>
    <w:rsid w:val="482C7188"/>
    <w:rsid w:val="48464245"/>
    <w:rsid w:val="48561630"/>
    <w:rsid w:val="485D476D"/>
    <w:rsid w:val="48952158"/>
    <w:rsid w:val="48CB231C"/>
    <w:rsid w:val="48E22EC4"/>
    <w:rsid w:val="49177011"/>
    <w:rsid w:val="49290AF3"/>
    <w:rsid w:val="492E6109"/>
    <w:rsid w:val="4944592C"/>
    <w:rsid w:val="49583186"/>
    <w:rsid w:val="49667FF7"/>
    <w:rsid w:val="496B72D4"/>
    <w:rsid w:val="49802A68"/>
    <w:rsid w:val="49942410"/>
    <w:rsid w:val="49A02651"/>
    <w:rsid w:val="49D756BA"/>
    <w:rsid w:val="49DA05ED"/>
    <w:rsid w:val="4A0700D9"/>
    <w:rsid w:val="4A1C41B3"/>
    <w:rsid w:val="4ABD7744"/>
    <w:rsid w:val="4B0B4954"/>
    <w:rsid w:val="4B142950"/>
    <w:rsid w:val="4B307F16"/>
    <w:rsid w:val="4B6E6C91"/>
    <w:rsid w:val="4B8F7333"/>
    <w:rsid w:val="4B977F95"/>
    <w:rsid w:val="4BEE1EC9"/>
    <w:rsid w:val="4BF4363A"/>
    <w:rsid w:val="4BF4798A"/>
    <w:rsid w:val="4C3265F7"/>
    <w:rsid w:val="4C4334E7"/>
    <w:rsid w:val="4C8F5111"/>
    <w:rsid w:val="4CBB4158"/>
    <w:rsid w:val="4D3349CE"/>
    <w:rsid w:val="4D7311B2"/>
    <w:rsid w:val="4DB03590"/>
    <w:rsid w:val="4DF36F56"/>
    <w:rsid w:val="4DF45140"/>
    <w:rsid w:val="4E0B62AA"/>
    <w:rsid w:val="4E1001DB"/>
    <w:rsid w:val="4E1F107E"/>
    <w:rsid w:val="4E2552AD"/>
    <w:rsid w:val="4E2A3343"/>
    <w:rsid w:val="4E816CDB"/>
    <w:rsid w:val="4EB175C0"/>
    <w:rsid w:val="4EF70D4B"/>
    <w:rsid w:val="4F047D35"/>
    <w:rsid w:val="4F0F50FB"/>
    <w:rsid w:val="4F225755"/>
    <w:rsid w:val="4F2F4D96"/>
    <w:rsid w:val="4F334112"/>
    <w:rsid w:val="4F365D17"/>
    <w:rsid w:val="4F527237"/>
    <w:rsid w:val="4F64562E"/>
    <w:rsid w:val="4F893A3A"/>
    <w:rsid w:val="4F934F18"/>
    <w:rsid w:val="4F9A44F8"/>
    <w:rsid w:val="4FA87A03"/>
    <w:rsid w:val="4FBB7CAF"/>
    <w:rsid w:val="4FC52AB4"/>
    <w:rsid w:val="4FD53EC0"/>
    <w:rsid w:val="4FF45F63"/>
    <w:rsid w:val="500E459E"/>
    <w:rsid w:val="504331CC"/>
    <w:rsid w:val="50722D7F"/>
    <w:rsid w:val="50726BE2"/>
    <w:rsid w:val="5079410E"/>
    <w:rsid w:val="50925C97"/>
    <w:rsid w:val="51121E6C"/>
    <w:rsid w:val="51300F5F"/>
    <w:rsid w:val="5160489E"/>
    <w:rsid w:val="5174795A"/>
    <w:rsid w:val="51847CC8"/>
    <w:rsid w:val="51897B82"/>
    <w:rsid w:val="51AB6027"/>
    <w:rsid w:val="51B5605F"/>
    <w:rsid w:val="51B9532F"/>
    <w:rsid w:val="51D535C6"/>
    <w:rsid w:val="523D4267"/>
    <w:rsid w:val="52473E4D"/>
    <w:rsid w:val="524825AE"/>
    <w:rsid w:val="525C7843"/>
    <w:rsid w:val="5277467D"/>
    <w:rsid w:val="527876A4"/>
    <w:rsid w:val="527C6CA6"/>
    <w:rsid w:val="527E5C57"/>
    <w:rsid w:val="53134CF9"/>
    <w:rsid w:val="536728C5"/>
    <w:rsid w:val="53706D9D"/>
    <w:rsid w:val="537A5052"/>
    <w:rsid w:val="53C74263"/>
    <w:rsid w:val="53E77541"/>
    <w:rsid w:val="53EB5322"/>
    <w:rsid w:val="542D34A9"/>
    <w:rsid w:val="543071C7"/>
    <w:rsid w:val="543B42DA"/>
    <w:rsid w:val="543D6BFA"/>
    <w:rsid w:val="546A755E"/>
    <w:rsid w:val="548D0188"/>
    <w:rsid w:val="549C486F"/>
    <w:rsid w:val="54B90F7D"/>
    <w:rsid w:val="54B92CA9"/>
    <w:rsid w:val="54BB1403"/>
    <w:rsid w:val="54FD75C8"/>
    <w:rsid w:val="553B5757"/>
    <w:rsid w:val="553D4343"/>
    <w:rsid w:val="555775BD"/>
    <w:rsid w:val="55661086"/>
    <w:rsid w:val="557C5175"/>
    <w:rsid w:val="55C01586"/>
    <w:rsid w:val="55CA2593"/>
    <w:rsid w:val="55E1125E"/>
    <w:rsid w:val="562555C7"/>
    <w:rsid w:val="563A0E92"/>
    <w:rsid w:val="56503B63"/>
    <w:rsid w:val="56617B1E"/>
    <w:rsid w:val="56707D61"/>
    <w:rsid w:val="56CE0629"/>
    <w:rsid w:val="56D66374"/>
    <w:rsid w:val="56DA3A80"/>
    <w:rsid w:val="57232214"/>
    <w:rsid w:val="5740094B"/>
    <w:rsid w:val="57686183"/>
    <w:rsid w:val="578D7B2A"/>
    <w:rsid w:val="584C035A"/>
    <w:rsid w:val="58597148"/>
    <w:rsid w:val="58D5317F"/>
    <w:rsid w:val="58D65EE5"/>
    <w:rsid w:val="58DB78D4"/>
    <w:rsid w:val="58EA0945"/>
    <w:rsid w:val="59086AC8"/>
    <w:rsid w:val="59253085"/>
    <w:rsid w:val="59BB12F3"/>
    <w:rsid w:val="59BF18D8"/>
    <w:rsid w:val="59CC1752"/>
    <w:rsid w:val="5A42686F"/>
    <w:rsid w:val="5A490FF5"/>
    <w:rsid w:val="5A6F35F1"/>
    <w:rsid w:val="5A7705D6"/>
    <w:rsid w:val="5A7C524C"/>
    <w:rsid w:val="5AF50835"/>
    <w:rsid w:val="5B1909C7"/>
    <w:rsid w:val="5B1B05A3"/>
    <w:rsid w:val="5B462234"/>
    <w:rsid w:val="5B4C4290"/>
    <w:rsid w:val="5B6F4A8B"/>
    <w:rsid w:val="5B876AF2"/>
    <w:rsid w:val="5BB47AA6"/>
    <w:rsid w:val="5BCD2BEE"/>
    <w:rsid w:val="5BD91F04"/>
    <w:rsid w:val="5C225659"/>
    <w:rsid w:val="5C492DC1"/>
    <w:rsid w:val="5C5529BC"/>
    <w:rsid w:val="5C5D67F8"/>
    <w:rsid w:val="5CD1707F"/>
    <w:rsid w:val="5CEC6F1A"/>
    <w:rsid w:val="5CED7EAB"/>
    <w:rsid w:val="5CF76AE6"/>
    <w:rsid w:val="5CFB0C71"/>
    <w:rsid w:val="5D0E2082"/>
    <w:rsid w:val="5D22487D"/>
    <w:rsid w:val="5D7C6FEB"/>
    <w:rsid w:val="5DA35DEF"/>
    <w:rsid w:val="5DCB1A86"/>
    <w:rsid w:val="5E47584B"/>
    <w:rsid w:val="5E4832D8"/>
    <w:rsid w:val="5E845A1C"/>
    <w:rsid w:val="5E8F1E62"/>
    <w:rsid w:val="5EC21376"/>
    <w:rsid w:val="5EC92704"/>
    <w:rsid w:val="5ECA3D86"/>
    <w:rsid w:val="5EDE667C"/>
    <w:rsid w:val="5EE376EA"/>
    <w:rsid w:val="5EE5030F"/>
    <w:rsid w:val="5F211144"/>
    <w:rsid w:val="5F2D3CB4"/>
    <w:rsid w:val="5F491D86"/>
    <w:rsid w:val="5F58501E"/>
    <w:rsid w:val="5F627A06"/>
    <w:rsid w:val="5FCA6734"/>
    <w:rsid w:val="5FF77F2F"/>
    <w:rsid w:val="5FFF0AF7"/>
    <w:rsid w:val="6009202E"/>
    <w:rsid w:val="601150AC"/>
    <w:rsid w:val="602F67A3"/>
    <w:rsid w:val="602F7491"/>
    <w:rsid w:val="60573990"/>
    <w:rsid w:val="607D653C"/>
    <w:rsid w:val="60894CFD"/>
    <w:rsid w:val="609B3C2C"/>
    <w:rsid w:val="60C70EC5"/>
    <w:rsid w:val="60CA2D7C"/>
    <w:rsid w:val="60DC70B6"/>
    <w:rsid w:val="60EE0200"/>
    <w:rsid w:val="616D4BA1"/>
    <w:rsid w:val="618D5C6B"/>
    <w:rsid w:val="61B96A60"/>
    <w:rsid w:val="623A1E1F"/>
    <w:rsid w:val="62400DDA"/>
    <w:rsid w:val="62A772F8"/>
    <w:rsid w:val="62AD2707"/>
    <w:rsid w:val="636A1A84"/>
    <w:rsid w:val="636A4566"/>
    <w:rsid w:val="63A454EE"/>
    <w:rsid w:val="63B2347A"/>
    <w:rsid w:val="63D86F45"/>
    <w:rsid w:val="63F21DB5"/>
    <w:rsid w:val="64242E1E"/>
    <w:rsid w:val="642709DA"/>
    <w:rsid w:val="64841C09"/>
    <w:rsid w:val="648A0D4F"/>
    <w:rsid w:val="648C2AFC"/>
    <w:rsid w:val="64947D16"/>
    <w:rsid w:val="64CA4244"/>
    <w:rsid w:val="64D4770D"/>
    <w:rsid w:val="64E70F5A"/>
    <w:rsid w:val="64ED580C"/>
    <w:rsid w:val="64F30D78"/>
    <w:rsid w:val="651741AC"/>
    <w:rsid w:val="653449D7"/>
    <w:rsid w:val="65591B4C"/>
    <w:rsid w:val="65ED0ADC"/>
    <w:rsid w:val="6630667E"/>
    <w:rsid w:val="66604EA4"/>
    <w:rsid w:val="669435F8"/>
    <w:rsid w:val="66A355E9"/>
    <w:rsid w:val="66DD22B4"/>
    <w:rsid w:val="66EE2624"/>
    <w:rsid w:val="66F43476"/>
    <w:rsid w:val="670F6F63"/>
    <w:rsid w:val="675863D3"/>
    <w:rsid w:val="67662C5D"/>
    <w:rsid w:val="67A621D7"/>
    <w:rsid w:val="680E2F36"/>
    <w:rsid w:val="681503E6"/>
    <w:rsid w:val="68280EB4"/>
    <w:rsid w:val="68336E40"/>
    <w:rsid w:val="68476448"/>
    <w:rsid w:val="68863217"/>
    <w:rsid w:val="68AB69D7"/>
    <w:rsid w:val="68D53D44"/>
    <w:rsid w:val="69072F07"/>
    <w:rsid w:val="69580265"/>
    <w:rsid w:val="696279DD"/>
    <w:rsid w:val="698931BC"/>
    <w:rsid w:val="699B6A4B"/>
    <w:rsid w:val="69B0699A"/>
    <w:rsid w:val="69DB2724"/>
    <w:rsid w:val="69E54AC4"/>
    <w:rsid w:val="6A283DDB"/>
    <w:rsid w:val="6A4E61B3"/>
    <w:rsid w:val="6A51544F"/>
    <w:rsid w:val="6A5C4584"/>
    <w:rsid w:val="6A835E5D"/>
    <w:rsid w:val="6AB51D8E"/>
    <w:rsid w:val="6AF065DC"/>
    <w:rsid w:val="6B161469"/>
    <w:rsid w:val="6B1B6095"/>
    <w:rsid w:val="6B1C63D1"/>
    <w:rsid w:val="6B2057D3"/>
    <w:rsid w:val="6B2874EA"/>
    <w:rsid w:val="6B4E719B"/>
    <w:rsid w:val="6B543355"/>
    <w:rsid w:val="6B706C82"/>
    <w:rsid w:val="6B8C6F93"/>
    <w:rsid w:val="6B8C7363"/>
    <w:rsid w:val="6BA30A6E"/>
    <w:rsid w:val="6BBB51FE"/>
    <w:rsid w:val="6BDD1DB2"/>
    <w:rsid w:val="6C23532C"/>
    <w:rsid w:val="6C866AC9"/>
    <w:rsid w:val="6C994C52"/>
    <w:rsid w:val="6CA420BB"/>
    <w:rsid w:val="6CA6414C"/>
    <w:rsid w:val="6CB10090"/>
    <w:rsid w:val="6D30652C"/>
    <w:rsid w:val="6D317DF2"/>
    <w:rsid w:val="6D421E98"/>
    <w:rsid w:val="6D7866A5"/>
    <w:rsid w:val="6D911535"/>
    <w:rsid w:val="6D9F4DFD"/>
    <w:rsid w:val="6DFD00FB"/>
    <w:rsid w:val="6E104A83"/>
    <w:rsid w:val="6E3408A6"/>
    <w:rsid w:val="6E4771A1"/>
    <w:rsid w:val="6EAE5472"/>
    <w:rsid w:val="6EB07E29"/>
    <w:rsid w:val="6EB74327"/>
    <w:rsid w:val="6ED206E8"/>
    <w:rsid w:val="6EED1AF7"/>
    <w:rsid w:val="6EF97F57"/>
    <w:rsid w:val="6F0248F7"/>
    <w:rsid w:val="6F502086"/>
    <w:rsid w:val="6F566693"/>
    <w:rsid w:val="6F60051B"/>
    <w:rsid w:val="6F617198"/>
    <w:rsid w:val="6FC7059A"/>
    <w:rsid w:val="700458C5"/>
    <w:rsid w:val="70310109"/>
    <w:rsid w:val="70566534"/>
    <w:rsid w:val="70583DB3"/>
    <w:rsid w:val="70761FC0"/>
    <w:rsid w:val="707E38C7"/>
    <w:rsid w:val="70C13206"/>
    <w:rsid w:val="70C25BD4"/>
    <w:rsid w:val="71A462ED"/>
    <w:rsid w:val="72710C91"/>
    <w:rsid w:val="727C25EF"/>
    <w:rsid w:val="72A02D9E"/>
    <w:rsid w:val="72A050D2"/>
    <w:rsid w:val="72C877EB"/>
    <w:rsid w:val="72CB25FB"/>
    <w:rsid w:val="73221F8B"/>
    <w:rsid w:val="734E622F"/>
    <w:rsid w:val="7363682B"/>
    <w:rsid w:val="737E3665"/>
    <w:rsid w:val="73804890"/>
    <w:rsid w:val="73B928EF"/>
    <w:rsid w:val="73B9492C"/>
    <w:rsid w:val="73BB61C1"/>
    <w:rsid w:val="73C51294"/>
    <w:rsid w:val="73CD639B"/>
    <w:rsid w:val="73CF42D2"/>
    <w:rsid w:val="74024296"/>
    <w:rsid w:val="74026044"/>
    <w:rsid w:val="74195ED6"/>
    <w:rsid w:val="742A10F7"/>
    <w:rsid w:val="745E0291"/>
    <w:rsid w:val="745E5DE3"/>
    <w:rsid w:val="745E666F"/>
    <w:rsid w:val="746A0C2F"/>
    <w:rsid w:val="747078E7"/>
    <w:rsid w:val="748F3650"/>
    <w:rsid w:val="74BA691F"/>
    <w:rsid w:val="74C55E6F"/>
    <w:rsid w:val="74EC2851"/>
    <w:rsid w:val="75436915"/>
    <w:rsid w:val="75780312"/>
    <w:rsid w:val="75A874BD"/>
    <w:rsid w:val="76193DFA"/>
    <w:rsid w:val="76252B26"/>
    <w:rsid w:val="76395471"/>
    <w:rsid w:val="764E1F9B"/>
    <w:rsid w:val="76626CD9"/>
    <w:rsid w:val="76777D18"/>
    <w:rsid w:val="76C53359"/>
    <w:rsid w:val="76EB6545"/>
    <w:rsid w:val="76FA1BEC"/>
    <w:rsid w:val="76FC3474"/>
    <w:rsid w:val="771B79CA"/>
    <w:rsid w:val="772D3B54"/>
    <w:rsid w:val="773C7ABF"/>
    <w:rsid w:val="773D3837"/>
    <w:rsid w:val="774A385E"/>
    <w:rsid w:val="77514BED"/>
    <w:rsid w:val="778D6A7B"/>
    <w:rsid w:val="77BC38A7"/>
    <w:rsid w:val="77CA3F70"/>
    <w:rsid w:val="77E3618D"/>
    <w:rsid w:val="77E800E2"/>
    <w:rsid w:val="77F7266A"/>
    <w:rsid w:val="77FE4D75"/>
    <w:rsid w:val="781A2F55"/>
    <w:rsid w:val="78432B78"/>
    <w:rsid w:val="786F5C73"/>
    <w:rsid w:val="787C6D9C"/>
    <w:rsid w:val="78852BA7"/>
    <w:rsid w:val="788B01D8"/>
    <w:rsid w:val="789B6AAF"/>
    <w:rsid w:val="789D71FE"/>
    <w:rsid w:val="78A24B75"/>
    <w:rsid w:val="78BB2C66"/>
    <w:rsid w:val="78C7785D"/>
    <w:rsid w:val="78C935D5"/>
    <w:rsid w:val="79386C6E"/>
    <w:rsid w:val="79684BC9"/>
    <w:rsid w:val="79815C5D"/>
    <w:rsid w:val="79825532"/>
    <w:rsid w:val="79863274"/>
    <w:rsid w:val="799A0ACD"/>
    <w:rsid w:val="79EE4CD5"/>
    <w:rsid w:val="7A04522E"/>
    <w:rsid w:val="7A140880"/>
    <w:rsid w:val="7A1F0FD2"/>
    <w:rsid w:val="7A2F56B9"/>
    <w:rsid w:val="7A320D06"/>
    <w:rsid w:val="7A5B629E"/>
    <w:rsid w:val="7A680BCB"/>
    <w:rsid w:val="7A7E5845"/>
    <w:rsid w:val="7A9419C0"/>
    <w:rsid w:val="7A995229"/>
    <w:rsid w:val="7A9A68C3"/>
    <w:rsid w:val="7AAC2680"/>
    <w:rsid w:val="7AF901BE"/>
    <w:rsid w:val="7B303CC7"/>
    <w:rsid w:val="7B3F3D1F"/>
    <w:rsid w:val="7B446F42"/>
    <w:rsid w:val="7B533629"/>
    <w:rsid w:val="7B7641A3"/>
    <w:rsid w:val="7B786BEC"/>
    <w:rsid w:val="7B8956FC"/>
    <w:rsid w:val="7B937ECA"/>
    <w:rsid w:val="7BAA5A72"/>
    <w:rsid w:val="7BAB0D70"/>
    <w:rsid w:val="7BB87930"/>
    <w:rsid w:val="7BC41E31"/>
    <w:rsid w:val="7BD14395"/>
    <w:rsid w:val="7BE57BA3"/>
    <w:rsid w:val="7C02394F"/>
    <w:rsid w:val="7C1A7CA3"/>
    <w:rsid w:val="7C391209"/>
    <w:rsid w:val="7C927A54"/>
    <w:rsid w:val="7C9712F4"/>
    <w:rsid w:val="7CBC3133"/>
    <w:rsid w:val="7CC145C3"/>
    <w:rsid w:val="7CC22F42"/>
    <w:rsid w:val="7D0012D4"/>
    <w:rsid w:val="7D172435"/>
    <w:rsid w:val="7D1E37C3"/>
    <w:rsid w:val="7D475F8F"/>
    <w:rsid w:val="7D476A06"/>
    <w:rsid w:val="7D495510"/>
    <w:rsid w:val="7D4C6582"/>
    <w:rsid w:val="7D665B32"/>
    <w:rsid w:val="7D756300"/>
    <w:rsid w:val="7D861BBB"/>
    <w:rsid w:val="7DE74669"/>
    <w:rsid w:val="7E013B45"/>
    <w:rsid w:val="7E0429B9"/>
    <w:rsid w:val="7E681F5F"/>
    <w:rsid w:val="7E8906AF"/>
    <w:rsid w:val="7EA85A3A"/>
    <w:rsid w:val="7EB37FFD"/>
    <w:rsid w:val="7EB4439D"/>
    <w:rsid w:val="7EB92883"/>
    <w:rsid w:val="7ECF1219"/>
    <w:rsid w:val="7ECF687B"/>
    <w:rsid w:val="7EDC1B88"/>
    <w:rsid w:val="7EFC18E2"/>
    <w:rsid w:val="7F590AE3"/>
    <w:rsid w:val="7F9D6634"/>
    <w:rsid w:val="7FCC7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Calibri" w:cs="黑体"/>
      <w:sz w:val="22"/>
      <w:szCs w:val="22"/>
      <w:lang w:val="en-US" w:eastAsia="en-US" w:bidi="ar-SA"/>
    </w:rPr>
  </w:style>
  <w:style w:type="paragraph" w:styleId="4">
    <w:name w:val="heading 1"/>
    <w:basedOn w:val="1"/>
    <w:next w:val="1"/>
    <w:link w:val="93"/>
    <w:qFormat/>
    <w:uiPriority w:val="9"/>
    <w:pPr>
      <w:outlineLvl w:val="0"/>
    </w:pPr>
    <w:rPr>
      <w:rFonts w:ascii="宋体" w:hAnsi="宋体" w:eastAsia="宋体"/>
      <w:b/>
      <w:bCs/>
      <w:sz w:val="32"/>
      <w:szCs w:val="32"/>
    </w:rPr>
  </w:style>
  <w:style w:type="paragraph" w:styleId="5">
    <w:name w:val="heading 2"/>
    <w:basedOn w:val="1"/>
    <w:next w:val="1"/>
    <w:link w:val="72"/>
    <w:qFormat/>
    <w:uiPriority w:val="9"/>
    <w:pPr>
      <w:keepNext/>
      <w:keepLines/>
      <w:spacing w:before="260" w:after="260" w:line="416" w:lineRule="auto"/>
      <w:jc w:val="both"/>
      <w:outlineLvl w:val="1"/>
    </w:pPr>
    <w:rPr>
      <w:rFonts w:ascii="Arial" w:hAnsi="Arial" w:eastAsia="黑体" w:cs="Times New Roman"/>
      <w:b/>
      <w:bCs/>
      <w:kern w:val="2"/>
      <w:sz w:val="32"/>
      <w:szCs w:val="32"/>
      <w:lang w:eastAsia="zh-CN"/>
    </w:rPr>
  </w:style>
  <w:style w:type="paragraph" w:styleId="6">
    <w:name w:val="heading 3"/>
    <w:basedOn w:val="1"/>
    <w:next w:val="7"/>
    <w:autoRedefine/>
    <w:unhideWhenUsed/>
    <w:qFormat/>
    <w:uiPriority w:val="0"/>
    <w:pPr>
      <w:ind w:left="118"/>
      <w:outlineLvl w:val="2"/>
    </w:pPr>
    <w:rPr>
      <w:rFonts w:ascii="宋体" w:hAnsi="宋体" w:eastAsia="宋体"/>
      <w:b/>
      <w:bCs/>
      <w:sz w:val="30"/>
      <w:szCs w:val="30"/>
    </w:rPr>
  </w:style>
  <w:style w:type="paragraph" w:styleId="8">
    <w:name w:val="heading 4"/>
    <w:basedOn w:val="1"/>
    <w:next w:val="1"/>
    <w:autoRedefine/>
    <w:unhideWhenUsed/>
    <w:qFormat/>
    <w:uiPriority w:val="0"/>
    <w:pPr>
      <w:ind w:left="118"/>
      <w:outlineLvl w:val="3"/>
    </w:pPr>
    <w:rPr>
      <w:rFonts w:ascii="宋体" w:hAnsi="宋体" w:eastAsia="宋体"/>
      <w:sz w:val="30"/>
      <w:szCs w:val="30"/>
    </w:rPr>
  </w:style>
  <w:style w:type="paragraph" w:styleId="9">
    <w:name w:val="heading 5"/>
    <w:basedOn w:val="1"/>
    <w:autoRedefine/>
    <w:semiHidden/>
    <w:unhideWhenUsed/>
    <w:qFormat/>
    <w:uiPriority w:val="0"/>
    <w:pPr>
      <w:ind w:left="122"/>
      <w:outlineLvl w:val="4"/>
    </w:pPr>
    <w:rPr>
      <w:rFonts w:ascii="黑体" w:hAnsi="黑体" w:eastAsia="黑体"/>
      <w:b/>
      <w:bCs/>
      <w:sz w:val="28"/>
      <w:szCs w:val="28"/>
    </w:rPr>
  </w:style>
  <w:style w:type="paragraph" w:styleId="10">
    <w:name w:val="heading 6"/>
    <w:basedOn w:val="1"/>
    <w:next w:val="1"/>
    <w:semiHidden/>
    <w:unhideWhenUsed/>
    <w:qFormat/>
    <w:uiPriority w:val="0"/>
    <w:pPr>
      <w:ind w:left="122"/>
      <w:outlineLvl w:val="5"/>
    </w:pPr>
    <w:rPr>
      <w:rFonts w:ascii="宋体" w:hAnsi="宋体" w:eastAsia="宋体"/>
      <w:sz w:val="28"/>
      <w:szCs w:val="28"/>
      <w:u w:val="single"/>
    </w:rPr>
  </w:style>
  <w:style w:type="paragraph" w:styleId="11">
    <w:name w:val="heading 7"/>
    <w:basedOn w:val="1"/>
    <w:next w:val="1"/>
    <w:semiHidden/>
    <w:unhideWhenUsed/>
    <w:qFormat/>
    <w:uiPriority w:val="0"/>
    <w:pPr>
      <w:spacing w:before="26"/>
      <w:ind w:left="142"/>
      <w:outlineLvl w:val="6"/>
    </w:pPr>
    <w:rPr>
      <w:rFonts w:ascii="宋体" w:hAnsi="宋体" w:eastAsia="宋体"/>
      <w:b/>
      <w:bCs/>
      <w:sz w:val="24"/>
      <w:szCs w:val="24"/>
    </w:rPr>
  </w:style>
  <w:style w:type="paragraph" w:styleId="12">
    <w:name w:val="heading 8"/>
    <w:basedOn w:val="1"/>
    <w:next w:val="1"/>
    <w:semiHidden/>
    <w:unhideWhenUsed/>
    <w:qFormat/>
    <w:uiPriority w:val="0"/>
    <w:pPr>
      <w:ind w:left="118"/>
      <w:outlineLvl w:val="7"/>
    </w:pPr>
    <w:rPr>
      <w:rFonts w:ascii="宋体" w:hAnsi="宋体" w:eastAsia="宋体"/>
      <w:sz w:val="24"/>
      <w:szCs w:val="24"/>
    </w:rPr>
  </w:style>
  <w:style w:type="paragraph" w:styleId="13">
    <w:name w:val="heading 9"/>
    <w:basedOn w:val="1"/>
    <w:next w:val="1"/>
    <w:semiHidden/>
    <w:unhideWhenUsed/>
    <w:qFormat/>
    <w:uiPriority w:val="0"/>
    <w:pPr>
      <w:ind w:left="118"/>
      <w:outlineLvl w:val="8"/>
    </w:pPr>
    <w:rPr>
      <w:rFonts w:ascii="宋体" w:hAnsi="宋体" w:eastAsia="宋体"/>
      <w:b/>
      <w:bCs/>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qFormat/>
    <w:uiPriority w:val="99"/>
    <w:pPr>
      <w:spacing w:after="120"/>
    </w:pPr>
  </w:style>
  <w:style w:type="paragraph" w:styleId="7">
    <w:name w:val="Normal Indent"/>
    <w:basedOn w:val="1"/>
    <w:semiHidden/>
    <w:unhideWhenUsed/>
    <w:qFormat/>
    <w:uiPriority w:val="0"/>
    <w:pPr>
      <w:ind w:firstLine="420"/>
    </w:pPr>
    <w:rPr>
      <w:sz w:val="21"/>
      <w:szCs w:val="20"/>
    </w:rPr>
  </w:style>
  <w:style w:type="paragraph" w:styleId="14">
    <w:name w:val="Body Text 3"/>
    <w:qFormat/>
    <w:uiPriority w:val="0"/>
    <w:rPr>
      <w:rFonts w:ascii="宋体" w:hAnsi="Times New Roman" w:eastAsia="宋体" w:cs="黑体"/>
      <w:sz w:val="24"/>
      <w:szCs w:val="22"/>
      <w:lang w:val="en-US" w:eastAsia="zh-CN" w:bidi="ar-SA"/>
    </w:rPr>
  </w:style>
  <w:style w:type="paragraph" w:styleId="15">
    <w:name w:val="Body Text"/>
    <w:basedOn w:val="1"/>
    <w:next w:val="16"/>
    <w:link w:val="94"/>
    <w:qFormat/>
    <w:uiPriority w:val="99"/>
    <w:pPr>
      <w:ind w:left="122"/>
    </w:pPr>
    <w:rPr>
      <w:rFonts w:ascii="宋体" w:hAnsi="宋体" w:eastAsia="宋体"/>
      <w:sz w:val="21"/>
      <w:szCs w:val="21"/>
    </w:rPr>
  </w:style>
  <w:style w:type="paragraph" w:customStyle="1" w:styleId="16">
    <w:name w:val="style4"/>
    <w:basedOn w:val="1"/>
    <w:next w:val="17"/>
    <w:qFormat/>
    <w:uiPriority w:val="99"/>
    <w:pPr>
      <w:widowControl/>
      <w:spacing w:before="280" w:after="280"/>
    </w:pPr>
    <w:rPr>
      <w:rFonts w:ascii="宋体" w:hAnsi="Times New Roman" w:eastAsia="宋体" w:cs="Times New Roman"/>
      <w:sz w:val="18"/>
    </w:rPr>
  </w:style>
  <w:style w:type="paragraph" w:customStyle="1" w:styleId="17">
    <w:name w:val="2"/>
    <w:next w:val="1"/>
    <w:qFormat/>
    <w:uiPriority w:val="0"/>
    <w:pPr>
      <w:widowControl w:val="0"/>
      <w:jc w:val="both"/>
    </w:pPr>
    <w:rPr>
      <w:rFonts w:hint="default" w:ascii="Times New Roman" w:hAnsi="Times New Roman" w:eastAsia="宋体" w:cs="Times New Roman"/>
      <w:sz w:val="21"/>
      <w:szCs w:val="22"/>
    </w:rPr>
  </w:style>
  <w:style w:type="paragraph" w:styleId="18">
    <w:name w:val="Body Text Indent"/>
    <w:basedOn w:val="1"/>
    <w:next w:val="19"/>
    <w:link w:val="71"/>
    <w:qFormat/>
    <w:uiPriority w:val="0"/>
    <w:pPr>
      <w:spacing w:after="120"/>
      <w:ind w:left="420" w:leftChars="200"/>
    </w:pPr>
  </w:style>
  <w:style w:type="paragraph" w:styleId="19">
    <w:name w:val="envelope return"/>
    <w:basedOn w:val="1"/>
    <w:unhideWhenUsed/>
    <w:qFormat/>
    <w:uiPriority w:val="99"/>
    <w:pPr>
      <w:snapToGrid w:val="0"/>
    </w:pPr>
    <w:rPr>
      <w:rFonts w:ascii="Arial" w:hAnsi="Arial" w:cs="Arial"/>
    </w:rPr>
  </w:style>
  <w:style w:type="paragraph" w:styleId="20">
    <w:name w:val="List 2"/>
    <w:basedOn w:val="1"/>
    <w:qFormat/>
    <w:uiPriority w:val="0"/>
    <w:pPr>
      <w:ind w:left="100" w:leftChars="200" w:hanging="200" w:hangingChars="200"/>
    </w:pPr>
  </w:style>
  <w:style w:type="paragraph" w:styleId="21">
    <w:name w:val="toc 3"/>
    <w:basedOn w:val="1"/>
    <w:next w:val="1"/>
    <w:autoRedefine/>
    <w:unhideWhenUsed/>
    <w:qFormat/>
    <w:uiPriority w:val="39"/>
    <w:pPr>
      <w:widowControl/>
      <w:spacing w:after="100" w:line="276" w:lineRule="auto"/>
      <w:ind w:left="440"/>
    </w:pPr>
    <w:rPr>
      <w:rFonts w:eastAsia="宋体"/>
      <w:lang w:eastAsia="zh-CN"/>
    </w:rPr>
  </w:style>
  <w:style w:type="paragraph" w:styleId="22">
    <w:name w:val="Plain Text"/>
    <w:basedOn w:val="1"/>
    <w:next w:val="23"/>
    <w:autoRedefine/>
    <w:qFormat/>
    <w:uiPriority w:val="0"/>
    <w:rPr>
      <w:rFonts w:ascii="宋体" w:hAnsi="Courier New" w:eastAsia="华文宋体" w:cs="Times New Roman"/>
      <w:sz w:val="28"/>
    </w:rPr>
  </w:style>
  <w:style w:type="paragraph" w:styleId="23">
    <w:name w:val="index 7"/>
    <w:basedOn w:val="1"/>
    <w:next w:val="1"/>
    <w:autoRedefine/>
    <w:unhideWhenUsed/>
    <w:qFormat/>
    <w:uiPriority w:val="99"/>
    <w:pPr>
      <w:ind w:left="1200" w:leftChars="1200"/>
    </w:pPr>
  </w:style>
  <w:style w:type="paragraph" w:styleId="24">
    <w:name w:val="Date"/>
    <w:basedOn w:val="1"/>
    <w:next w:val="1"/>
    <w:autoRedefine/>
    <w:qFormat/>
    <w:uiPriority w:val="0"/>
    <w:rPr>
      <w:rFonts w:hint="eastAsia" w:ascii="宋体" w:hAnsi="Calibri" w:eastAsia="宋体" w:cs="Times New Roman"/>
      <w:sz w:val="32"/>
    </w:rPr>
  </w:style>
  <w:style w:type="paragraph" w:styleId="25">
    <w:name w:val="Body Text Indent 2"/>
    <w:basedOn w:val="1"/>
    <w:autoRedefine/>
    <w:qFormat/>
    <w:uiPriority w:val="0"/>
    <w:pPr>
      <w:ind w:firstLine="630"/>
    </w:pPr>
    <w:rPr>
      <w:rFonts w:ascii="宋体" w:eastAsia="宋体" w:cs="Times New Roman"/>
      <w:sz w:val="32"/>
      <w:szCs w:val="24"/>
    </w:rPr>
  </w:style>
  <w:style w:type="paragraph" w:styleId="26">
    <w:name w:val="Balloon Text"/>
    <w:basedOn w:val="1"/>
    <w:link w:val="70"/>
    <w:autoRedefine/>
    <w:qFormat/>
    <w:uiPriority w:val="99"/>
    <w:rPr>
      <w:sz w:val="18"/>
      <w:szCs w:val="18"/>
    </w:rPr>
  </w:style>
  <w:style w:type="paragraph" w:styleId="27">
    <w:name w:val="footer"/>
    <w:basedOn w:val="1"/>
    <w:link w:val="95"/>
    <w:autoRedefine/>
    <w:qFormat/>
    <w:uiPriority w:val="99"/>
    <w:pPr>
      <w:tabs>
        <w:tab w:val="center" w:pos="4153"/>
        <w:tab w:val="right" w:pos="8306"/>
      </w:tabs>
      <w:snapToGrid w:val="0"/>
    </w:pPr>
    <w:rPr>
      <w:sz w:val="18"/>
    </w:rPr>
  </w:style>
  <w:style w:type="paragraph" w:styleId="28">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570"/>
      <w:ind w:left="122"/>
    </w:pPr>
    <w:rPr>
      <w:rFonts w:ascii="宋体" w:hAnsi="宋体" w:eastAsia="宋体"/>
      <w:sz w:val="30"/>
      <w:szCs w:val="30"/>
    </w:rPr>
  </w:style>
  <w:style w:type="paragraph" w:styleId="30">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31">
    <w:name w:val="footnote text"/>
    <w:basedOn w:val="1"/>
    <w:qFormat/>
    <w:uiPriority w:val="99"/>
    <w:pPr>
      <w:snapToGrid w:val="0"/>
      <w:jc w:val="left"/>
    </w:pPr>
    <w:rPr>
      <w:sz w:val="18"/>
      <w:szCs w:val="18"/>
    </w:rPr>
  </w:style>
  <w:style w:type="paragraph" w:styleId="32">
    <w:name w:val="List 5"/>
    <w:basedOn w:val="1"/>
    <w:qFormat/>
    <w:uiPriority w:val="0"/>
    <w:pPr>
      <w:ind w:left="100" w:leftChars="800" w:hanging="200" w:hangingChars="200"/>
    </w:pPr>
    <w:rPr>
      <w:szCs w:val="24"/>
    </w:rPr>
  </w:style>
  <w:style w:type="paragraph" w:styleId="33">
    <w:name w:val="toc 2"/>
    <w:basedOn w:val="1"/>
    <w:next w:val="1"/>
    <w:unhideWhenUsed/>
    <w:qFormat/>
    <w:uiPriority w:val="39"/>
    <w:pPr>
      <w:widowControl/>
      <w:spacing w:after="100" w:line="276" w:lineRule="auto"/>
      <w:ind w:left="220"/>
    </w:pPr>
    <w:rPr>
      <w:rFonts w:eastAsia="宋体"/>
      <w:lang w:eastAsia="zh-CN"/>
    </w:rPr>
  </w:style>
  <w:style w:type="paragraph" w:styleId="34">
    <w:name w:val="Body Text 2"/>
    <w:basedOn w:val="1"/>
    <w:qFormat/>
    <w:uiPriority w:val="0"/>
    <w:pPr>
      <w:spacing w:after="120" w:line="480" w:lineRule="auto"/>
      <w:ind w:firstLine="560" w:firstLineChars="200"/>
    </w:pPr>
    <w:rPr>
      <w:rFonts w:ascii="Calibri" w:hAnsi="Calibri" w:eastAsia="仿宋_GB2312"/>
      <w:kern w:val="0"/>
      <w:sz w:val="28"/>
      <w:szCs w:val="24"/>
    </w:rPr>
  </w:style>
  <w:style w:type="paragraph" w:styleId="35">
    <w:name w:val="Message Header"/>
    <w:basedOn w:val="1"/>
    <w:next w:val="36"/>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6">
    <w:name w:val="我的正文"/>
    <w:basedOn w:val="18"/>
    <w:qFormat/>
    <w:uiPriority w:val="0"/>
    <w:pPr>
      <w:ind w:firstLine="480" w:firstLineChars="200"/>
    </w:pPr>
  </w:style>
  <w:style w:type="paragraph" w:styleId="37">
    <w:name w:val="Normal (Web)"/>
    <w:basedOn w:val="1"/>
    <w:qFormat/>
    <w:uiPriority w:val="0"/>
    <w:rPr>
      <w:sz w:val="24"/>
      <w:lang w:eastAsia="zh-CN"/>
    </w:rPr>
  </w:style>
  <w:style w:type="paragraph" w:styleId="38">
    <w:name w:val="Body Text First Indent"/>
    <w:basedOn w:val="15"/>
    <w:next w:val="1"/>
    <w:link w:val="97"/>
    <w:qFormat/>
    <w:uiPriority w:val="0"/>
    <w:pPr>
      <w:ind w:firstLine="420" w:firstLineChars="100"/>
    </w:pPr>
    <w:rPr>
      <w:rFonts w:ascii="Calibri" w:hAnsi="Calibri"/>
      <w:lang w:eastAsia="zh-CN"/>
    </w:rPr>
  </w:style>
  <w:style w:type="paragraph" w:styleId="39">
    <w:name w:val="Body Text First Indent 2"/>
    <w:basedOn w:val="1"/>
    <w:next w:val="15"/>
    <w:autoRedefine/>
    <w:qFormat/>
    <w:uiPriority w:val="0"/>
    <w:pPr>
      <w:ind w:firstLine="420" w:firstLineChars="200"/>
    </w:pPr>
    <w:rPr>
      <w:rFonts w:ascii="Calibri" w:hAnsi="Calibri"/>
      <w:kern w:val="0"/>
      <w:sz w:val="20"/>
      <w:szCs w:val="20"/>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FollowedHyperlink"/>
    <w:qFormat/>
    <w:uiPriority w:val="99"/>
    <w:rPr>
      <w:color w:val="000000"/>
      <w:u w:val="none"/>
    </w:rPr>
  </w:style>
  <w:style w:type="character" w:styleId="45">
    <w:name w:val="Emphasis"/>
    <w:basedOn w:val="42"/>
    <w:qFormat/>
    <w:uiPriority w:val="0"/>
  </w:style>
  <w:style w:type="character" w:styleId="46">
    <w:name w:val="HTML Definition"/>
    <w:basedOn w:val="42"/>
    <w:qFormat/>
    <w:uiPriority w:val="0"/>
  </w:style>
  <w:style w:type="character" w:styleId="47">
    <w:name w:val="HTML Typewriter"/>
    <w:autoRedefine/>
    <w:qFormat/>
    <w:uiPriority w:val="0"/>
    <w:rPr>
      <w:rFonts w:hint="default" w:ascii="monospace" w:hAnsi="monospace" w:eastAsia="monospace" w:cs="monospace"/>
      <w:sz w:val="20"/>
    </w:rPr>
  </w:style>
  <w:style w:type="character" w:styleId="48">
    <w:name w:val="HTML Acronym"/>
    <w:basedOn w:val="42"/>
    <w:autoRedefine/>
    <w:qFormat/>
    <w:uiPriority w:val="0"/>
  </w:style>
  <w:style w:type="character" w:styleId="49">
    <w:name w:val="HTML Variable"/>
    <w:basedOn w:val="42"/>
    <w:autoRedefine/>
    <w:qFormat/>
    <w:uiPriority w:val="0"/>
  </w:style>
  <w:style w:type="character" w:styleId="50">
    <w:name w:val="Hyperlink"/>
    <w:autoRedefine/>
    <w:qFormat/>
    <w:uiPriority w:val="99"/>
    <w:rPr>
      <w:color w:val="000000"/>
      <w:u w:val="none"/>
    </w:rPr>
  </w:style>
  <w:style w:type="character" w:styleId="51">
    <w:name w:val="HTML Code"/>
    <w:autoRedefine/>
    <w:qFormat/>
    <w:uiPriority w:val="0"/>
    <w:rPr>
      <w:rFonts w:ascii="Courier New" w:hAnsi="Courier New"/>
      <w:vanish/>
      <w:sz w:val="20"/>
    </w:rPr>
  </w:style>
  <w:style w:type="character" w:styleId="52">
    <w:name w:val="HTML Cite"/>
    <w:basedOn w:val="42"/>
    <w:autoRedefine/>
    <w:qFormat/>
    <w:uiPriority w:val="0"/>
  </w:style>
  <w:style w:type="character" w:styleId="53">
    <w:name w:val="HTML Keyboard"/>
    <w:autoRedefine/>
    <w:qFormat/>
    <w:uiPriority w:val="0"/>
    <w:rPr>
      <w:rFonts w:hint="default" w:ascii="monospace" w:hAnsi="monospace" w:eastAsia="monospace" w:cs="monospace"/>
      <w:sz w:val="20"/>
    </w:rPr>
  </w:style>
  <w:style w:type="character" w:styleId="54">
    <w:name w:val="HTML Sample"/>
    <w:autoRedefine/>
    <w:qFormat/>
    <w:uiPriority w:val="0"/>
    <w:rPr>
      <w:rFonts w:hint="default" w:ascii="monospace" w:hAnsi="monospace" w:eastAsia="monospace" w:cs="monospace"/>
    </w:rPr>
  </w:style>
  <w:style w:type="paragraph" w:customStyle="1" w:styleId="55">
    <w:name w:val="Default"/>
    <w:next w:val="2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Table Paragraph"/>
    <w:basedOn w:val="1"/>
    <w:autoRedefine/>
    <w:qFormat/>
    <w:uiPriority w:val="1"/>
  </w:style>
  <w:style w:type="paragraph" w:customStyle="1" w:styleId="57">
    <w:name w:val="表格"/>
    <w:basedOn w:val="1"/>
    <w:autoRedefine/>
    <w:qFormat/>
    <w:uiPriority w:val="0"/>
    <w:pPr>
      <w:adjustRightInd w:val="0"/>
      <w:spacing w:line="400" w:lineRule="atLeast"/>
      <w:textAlignment w:val="baseline"/>
    </w:pPr>
    <w:rPr>
      <w:rFonts w:ascii="仿宋_GB2312" w:eastAsia="仿宋_GB2312"/>
      <w:sz w:val="28"/>
      <w:szCs w:val="24"/>
    </w:rPr>
  </w:style>
  <w:style w:type="paragraph" w:customStyle="1" w:styleId="58">
    <w:name w:val="文档正文"/>
    <w:basedOn w:val="1"/>
    <w:autoRedefine/>
    <w:qFormat/>
    <w:uiPriority w:val="0"/>
    <w:pPr>
      <w:spacing w:line="480" w:lineRule="atLeast"/>
      <w:ind w:firstLine="567"/>
      <w:textAlignment w:val="baseline"/>
    </w:pPr>
    <w:rPr>
      <w:rFonts w:hint="eastAsia" w:ascii="仿宋_GB2312" w:eastAsia="仿宋_GB2312"/>
      <w:sz w:val="28"/>
      <w:szCs w:val="24"/>
    </w:rPr>
  </w:style>
  <w:style w:type="paragraph" w:customStyle="1" w:styleId="59">
    <w:name w:val="p0"/>
    <w:basedOn w:val="1"/>
    <w:autoRedefine/>
    <w:qFormat/>
    <w:uiPriority w:val="0"/>
    <w:pPr>
      <w:widowControl/>
      <w:jc w:val="both"/>
    </w:pPr>
    <w:rPr>
      <w:rFonts w:ascii="Times New Roman" w:hAnsi="Times New Roman" w:eastAsia="宋体" w:cs="Times New Roman"/>
      <w:sz w:val="21"/>
      <w:szCs w:val="21"/>
      <w:lang w:eastAsia="zh-CN"/>
    </w:rPr>
  </w:style>
  <w:style w:type="paragraph" w:customStyle="1" w:styleId="60">
    <w:name w:val="Char1"/>
    <w:basedOn w:val="1"/>
    <w:autoRedefine/>
    <w:qFormat/>
    <w:uiPriority w:val="0"/>
    <w:pPr>
      <w:jc w:val="both"/>
    </w:pPr>
    <w:rPr>
      <w:rFonts w:ascii="Times New Roman" w:hAnsi="Times New Roman" w:eastAsia="宋体" w:cs="Times New Roman"/>
      <w:kern w:val="2"/>
      <w:sz w:val="21"/>
      <w:szCs w:val="21"/>
      <w:lang w:eastAsia="zh-CN"/>
    </w:rPr>
  </w:style>
  <w:style w:type="paragraph" w:customStyle="1" w:styleId="61">
    <w:name w:val="TOC 标题1"/>
    <w:basedOn w:val="4"/>
    <w:next w:val="1"/>
    <w:autoRedefine/>
    <w:semiHidden/>
    <w:unhideWhenUsed/>
    <w:qFormat/>
    <w:uiPriority w:val="39"/>
    <w:pPr>
      <w:keepNext/>
      <w:keepLines/>
      <w:widowControl/>
      <w:spacing w:before="480" w:line="276" w:lineRule="auto"/>
      <w:outlineLvl w:val="9"/>
    </w:pPr>
    <w:rPr>
      <w:rFonts w:ascii="Calibri Light" w:hAnsi="Calibri Light"/>
      <w:color w:val="2D73B3"/>
      <w:sz w:val="28"/>
      <w:szCs w:val="28"/>
      <w:lang w:eastAsia="zh-CN"/>
    </w:rPr>
  </w:style>
  <w:style w:type="paragraph" w:customStyle="1" w:styleId="62">
    <w:name w:val="列表段落1"/>
    <w:basedOn w:val="1"/>
    <w:autoRedefine/>
    <w:qFormat/>
    <w:uiPriority w:val="0"/>
    <w:pPr>
      <w:ind w:firstLine="420" w:firstLineChars="200"/>
    </w:pPr>
    <w:rPr>
      <w:rFonts w:cs="Times New Roman"/>
      <w:szCs w:val="20"/>
    </w:rPr>
  </w:style>
  <w:style w:type="paragraph" w:customStyle="1" w:styleId="63">
    <w:name w:val="正文1"/>
    <w:basedOn w:val="1"/>
    <w:autoRedefine/>
    <w:qFormat/>
    <w:uiPriority w:val="0"/>
    <w:pPr>
      <w:tabs>
        <w:tab w:val="left" w:pos="1800"/>
      </w:tabs>
      <w:spacing w:line="360" w:lineRule="auto"/>
    </w:pPr>
    <w:rPr>
      <w:rFonts w:ascii="宋体" w:hAnsi="宋体" w:eastAsia="宋体" w:cs="Arial"/>
      <w:sz w:val="24"/>
    </w:rPr>
  </w:style>
  <w:style w:type="paragraph" w:customStyle="1" w:styleId="64">
    <w:name w:val="列出段落1"/>
    <w:basedOn w:val="1"/>
    <w:autoRedefine/>
    <w:qFormat/>
    <w:uiPriority w:val="99"/>
    <w:pPr>
      <w:ind w:firstLine="420" w:firstLineChars="200"/>
    </w:pPr>
    <w:rPr>
      <w:rFonts w:ascii="Times New Roman" w:hAnsi="Times New Roman" w:eastAsia="宋体" w:cs="Times New Roman"/>
      <w:szCs w:val="20"/>
    </w:rPr>
  </w:style>
  <w:style w:type="paragraph" w:customStyle="1" w:styleId="65">
    <w:name w:val="表格文本"/>
    <w:basedOn w:val="1"/>
    <w:autoRedefine/>
    <w:qFormat/>
    <w:uiPriority w:val="0"/>
    <w:pPr>
      <w:jc w:val="center"/>
    </w:pPr>
    <w:rPr>
      <w:rFonts w:ascii="宋体" w:hAnsi="宋体"/>
      <w:bCs/>
      <w:sz w:val="21"/>
      <w:szCs w:val="21"/>
    </w:rPr>
  </w:style>
  <w:style w:type="paragraph" w:customStyle="1" w:styleId="66">
    <w:name w:val="CZG正文"/>
    <w:basedOn w:val="1"/>
    <w:autoRedefine/>
    <w:qFormat/>
    <w:uiPriority w:val="0"/>
    <w:pPr>
      <w:spacing w:line="440" w:lineRule="exact"/>
    </w:pPr>
    <w:rPr>
      <w:rFonts w:ascii="幼圆" w:eastAsia="幼圆"/>
      <w:sz w:val="24"/>
      <w:szCs w:val="24"/>
    </w:rPr>
  </w:style>
  <w:style w:type="paragraph" w:customStyle="1" w:styleId="67">
    <w:name w:val="retrait3"/>
    <w:basedOn w:val="1"/>
    <w:autoRedefine/>
    <w:qFormat/>
    <w:uiPriority w:val="0"/>
    <w:pPr>
      <w:widowControl/>
      <w:spacing w:before="20" w:after="20"/>
      <w:ind w:left="851"/>
    </w:pPr>
    <w:rPr>
      <w:rFonts w:ascii="Arial" w:hAnsi="Arial" w:eastAsia="宋体" w:cs="Times New Roman"/>
      <w:sz w:val="24"/>
      <w:szCs w:val="20"/>
    </w:rPr>
  </w:style>
  <w:style w:type="paragraph" w:customStyle="1" w:styleId="68">
    <w:name w:val="tableau"/>
    <w:basedOn w:val="1"/>
    <w:autoRedefine/>
    <w:qFormat/>
    <w:uiPriority w:val="0"/>
    <w:pPr>
      <w:widowControl/>
      <w:spacing w:before="20" w:after="20"/>
      <w:jc w:val="center"/>
    </w:pPr>
    <w:rPr>
      <w:rFonts w:ascii="Arial" w:hAnsi="Arial" w:eastAsia="宋体" w:cs="Times New Roman"/>
      <w:sz w:val="16"/>
      <w:szCs w:val="20"/>
    </w:rPr>
  </w:style>
  <w:style w:type="character" w:customStyle="1" w:styleId="69">
    <w:name w:val="标题 1 Char Char"/>
    <w:autoRedefine/>
    <w:qFormat/>
    <w:uiPriority w:val="0"/>
    <w:rPr>
      <w:rFonts w:eastAsia="宋体"/>
      <w:b/>
      <w:spacing w:val="-2"/>
      <w:sz w:val="24"/>
      <w:lang w:val="en-US" w:eastAsia="zh-CN" w:bidi="ar-SA"/>
    </w:rPr>
  </w:style>
  <w:style w:type="character" w:customStyle="1" w:styleId="70">
    <w:name w:val="批注框文本 Char"/>
    <w:link w:val="26"/>
    <w:autoRedefine/>
    <w:qFormat/>
    <w:uiPriority w:val="99"/>
    <w:rPr>
      <w:rFonts w:ascii="Calibri" w:hAnsi="Calibri" w:eastAsia="Calibri" w:cs="黑体"/>
      <w:sz w:val="18"/>
      <w:szCs w:val="18"/>
      <w:lang w:eastAsia="en-US"/>
    </w:rPr>
  </w:style>
  <w:style w:type="character" w:customStyle="1" w:styleId="71">
    <w:name w:val="正文文本缩进 Char"/>
    <w:link w:val="18"/>
    <w:autoRedefine/>
    <w:qFormat/>
    <w:uiPriority w:val="0"/>
    <w:rPr>
      <w:rFonts w:ascii="Calibri" w:hAnsi="Calibri" w:eastAsia="Calibri" w:cs="黑体"/>
      <w:sz w:val="22"/>
      <w:szCs w:val="22"/>
      <w:lang w:eastAsia="en-US"/>
    </w:rPr>
  </w:style>
  <w:style w:type="character" w:customStyle="1" w:styleId="72">
    <w:name w:val="标题 2 Char"/>
    <w:link w:val="5"/>
    <w:autoRedefine/>
    <w:qFormat/>
    <w:uiPriority w:val="9"/>
    <w:rPr>
      <w:rFonts w:ascii="Arial" w:hAnsi="Arial" w:eastAsia="黑体"/>
      <w:b/>
      <w:bCs/>
      <w:kern w:val="2"/>
      <w:sz w:val="32"/>
      <w:szCs w:val="32"/>
    </w:rPr>
  </w:style>
  <w:style w:type="character" w:customStyle="1" w:styleId="73">
    <w:name w:val="font31"/>
    <w:autoRedefine/>
    <w:qFormat/>
    <w:uiPriority w:val="0"/>
    <w:rPr>
      <w:rFonts w:hint="eastAsia" w:ascii="微软雅黑" w:hAnsi="微软雅黑" w:eastAsia="微软雅黑" w:cs="微软雅黑"/>
      <w:color w:val="000000"/>
      <w:sz w:val="28"/>
      <w:szCs w:val="28"/>
      <w:u w:val="none"/>
    </w:rPr>
  </w:style>
  <w:style w:type="character" w:customStyle="1" w:styleId="74">
    <w:name w:val="font81"/>
    <w:autoRedefine/>
    <w:qFormat/>
    <w:uiPriority w:val="0"/>
    <w:rPr>
      <w:rFonts w:hint="eastAsia" w:ascii="微软雅黑" w:hAnsi="微软雅黑" w:eastAsia="微软雅黑" w:cs="微软雅黑"/>
      <w:color w:val="000000"/>
      <w:sz w:val="28"/>
      <w:szCs w:val="28"/>
      <w:u w:val="none"/>
    </w:rPr>
  </w:style>
  <w:style w:type="character" w:customStyle="1" w:styleId="75">
    <w:name w:val="font91"/>
    <w:autoRedefine/>
    <w:qFormat/>
    <w:uiPriority w:val="0"/>
    <w:rPr>
      <w:rFonts w:hint="eastAsia" w:ascii="微软雅黑" w:hAnsi="微软雅黑" w:eastAsia="微软雅黑" w:cs="微软雅黑"/>
      <w:color w:val="000000"/>
      <w:sz w:val="28"/>
      <w:szCs w:val="28"/>
      <w:u w:val="none"/>
    </w:rPr>
  </w:style>
  <w:style w:type="character" w:customStyle="1" w:styleId="76">
    <w:name w:val="awspan1"/>
    <w:autoRedefine/>
    <w:qFormat/>
    <w:uiPriority w:val="0"/>
    <w:rPr>
      <w:color w:val="000000"/>
      <w:sz w:val="24"/>
      <w:szCs w:val="24"/>
    </w:rPr>
  </w:style>
  <w:style w:type="character" w:customStyle="1" w:styleId="77">
    <w:name w:val="layui-laypage-curr"/>
    <w:basedOn w:val="42"/>
    <w:autoRedefine/>
    <w:qFormat/>
    <w:uiPriority w:val="0"/>
  </w:style>
  <w:style w:type="character" w:customStyle="1" w:styleId="78">
    <w:name w:val="mail-contents"/>
    <w:basedOn w:val="42"/>
    <w:autoRedefine/>
    <w:qFormat/>
    <w:uiPriority w:val="0"/>
  </w:style>
  <w:style w:type="character" w:customStyle="1" w:styleId="79">
    <w:name w:val="s5"/>
    <w:autoRedefine/>
    <w:qFormat/>
    <w:uiPriority w:val="0"/>
    <w:rPr>
      <w:spacing w:val="125"/>
    </w:rPr>
  </w:style>
  <w:style w:type="character" w:customStyle="1" w:styleId="80">
    <w:name w:val="hover34"/>
    <w:autoRedefine/>
    <w:qFormat/>
    <w:uiPriority w:val="0"/>
    <w:rPr>
      <w:color w:val="5FB878"/>
    </w:rPr>
  </w:style>
  <w:style w:type="character" w:customStyle="1" w:styleId="81">
    <w:name w:val="hover35"/>
    <w:autoRedefine/>
    <w:qFormat/>
    <w:uiPriority w:val="0"/>
    <w:rPr>
      <w:color w:val="5FB878"/>
    </w:rPr>
  </w:style>
  <w:style w:type="character" w:customStyle="1" w:styleId="82">
    <w:name w:val="hover36"/>
    <w:autoRedefine/>
    <w:qFormat/>
    <w:uiPriority w:val="0"/>
    <w:rPr>
      <w:color w:val="FFFFFF"/>
    </w:rPr>
  </w:style>
  <w:style w:type="character" w:customStyle="1" w:styleId="83">
    <w:name w:val="layui-this4"/>
    <w:autoRedefine/>
    <w:qFormat/>
    <w:uiPriority w:val="0"/>
    <w:rPr>
      <w:bdr w:val="single" w:color="EEEEEE" w:sz="6" w:space="0"/>
      <w:shd w:val="clear" w:color="010000" w:fill="FFFFFF"/>
    </w:rPr>
  </w:style>
  <w:style w:type="character" w:customStyle="1" w:styleId="84">
    <w:name w:val="first-child"/>
    <w:basedOn w:val="42"/>
    <w:autoRedefine/>
    <w:qFormat/>
    <w:uiPriority w:val="0"/>
  </w:style>
  <w:style w:type="character" w:customStyle="1" w:styleId="85">
    <w:name w:val="layui-this"/>
    <w:autoRedefine/>
    <w:qFormat/>
    <w:uiPriority w:val="0"/>
    <w:rPr>
      <w:bdr w:val="single" w:color="EEEEEE" w:sz="6" w:space="0"/>
      <w:shd w:val="clear" w:color="010000" w:fill="FFFFFF"/>
    </w:rPr>
  </w:style>
  <w:style w:type="character" w:customStyle="1" w:styleId="86">
    <w:name w:val="hover33"/>
    <w:autoRedefine/>
    <w:qFormat/>
    <w:uiPriority w:val="0"/>
    <w:rPr>
      <w:color w:val="5FB878"/>
    </w:rPr>
  </w:style>
  <w:style w:type="character" w:customStyle="1" w:styleId="87">
    <w:name w:val="hover1"/>
    <w:autoRedefine/>
    <w:qFormat/>
    <w:uiPriority w:val="0"/>
    <w:rPr>
      <w:color w:val="2590EB"/>
    </w:rPr>
  </w:style>
  <w:style w:type="character" w:customStyle="1" w:styleId="88">
    <w:name w:val="hover2"/>
    <w:autoRedefine/>
    <w:qFormat/>
    <w:uiPriority w:val="0"/>
    <w:rPr>
      <w:color w:val="2590EB"/>
    </w:rPr>
  </w:style>
  <w:style w:type="character" w:customStyle="1" w:styleId="89">
    <w:name w:val="hover3"/>
    <w:basedOn w:val="42"/>
    <w:autoRedefine/>
    <w:qFormat/>
    <w:uiPriority w:val="0"/>
  </w:style>
  <w:style w:type="character" w:customStyle="1" w:styleId="90">
    <w:name w:val="mini-outputtext1"/>
    <w:basedOn w:val="42"/>
    <w:autoRedefine/>
    <w:qFormat/>
    <w:uiPriority w:val="0"/>
  </w:style>
  <w:style w:type="character" w:customStyle="1" w:styleId="91">
    <w:name w:val="font11"/>
    <w:autoRedefine/>
    <w:qFormat/>
    <w:uiPriority w:val="0"/>
    <w:rPr>
      <w:rFonts w:hint="eastAsia" w:ascii="宋体" w:hAnsi="宋体" w:eastAsia="宋体" w:cs="宋体"/>
      <w:color w:val="FF0000"/>
      <w:sz w:val="24"/>
      <w:szCs w:val="24"/>
      <w:u w:val="none"/>
    </w:rPr>
  </w:style>
  <w:style w:type="character" w:customStyle="1" w:styleId="92">
    <w:name w:val="layui-layer-tabnow"/>
    <w:autoRedefine/>
    <w:qFormat/>
    <w:uiPriority w:val="0"/>
    <w:rPr>
      <w:bdr w:val="single" w:color="CCCCCC" w:sz="6" w:space="0"/>
      <w:shd w:val="clear" w:color="auto" w:fill="FFFFFF"/>
    </w:rPr>
  </w:style>
  <w:style w:type="character" w:customStyle="1" w:styleId="93">
    <w:name w:val="标题 1 Char"/>
    <w:link w:val="4"/>
    <w:autoRedefine/>
    <w:qFormat/>
    <w:uiPriority w:val="9"/>
    <w:rPr>
      <w:rFonts w:ascii="宋体" w:hAnsi="宋体" w:cs="黑体"/>
      <w:b/>
      <w:bCs/>
      <w:sz w:val="32"/>
      <w:szCs w:val="32"/>
      <w:lang w:eastAsia="en-US"/>
    </w:rPr>
  </w:style>
  <w:style w:type="character" w:customStyle="1" w:styleId="94">
    <w:name w:val="正文文本 Char"/>
    <w:link w:val="15"/>
    <w:autoRedefine/>
    <w:qFormat/>
    <w:uiPriority w:val="99"/>
    <w:rPr>
      <w:rFonts w:ascii="宋体" w:hAnsi="宋体" w:cs="黑体"/>
      <w:sz w:val="21"/>
      <w:szCs w:val="21"/>
      <w:lang w:eastAsia="en-US"/>
    </w:rPr>
  </w:style>
  <w:style w:type="character" w:customStyle="1" w:styleId="95">
    <w:name w:val="页脚 Char"/>
    <w:link w:val="27"/>
    <w:autoRedefine/>
    <w:qFormat/>
    <w:uiPriority w:val="99"/>
    <w:rPr>
      <w:rFonts w:ascii="Calibri" w:hAnsi="Calibri" w:eastAsia="Calibri" w:cs="黑体"/>
      <w:sz w:val="18"/>
      <w:szCs w:val="22"/>
      <w:lang w:eastAsia="en-US"/>
    </w:rPr>
  </w:style>
  <w:style w:type="character" w:customStyle="1" w:styleId="96">
    <w:name w:val="页眉 Char"/>
    <w:link w:val="28"/>
    <w:autoRedefine/>
    <w:qFormat/>
    <w:uiPriority w:val="99"/>
    <w:rPr>
      <w:rFonts w:ascii="Calibri" w:hAnsi="Calibri" w:eastAsia="Calibri" w:cs="黑体"/>
      <w:sz w:val="18"/>
      <w:szCs w:val="18"/>
      <w:lang w:eastAsia="en-US"/>
    </w:rPr>
  </w:style>
  <w:style w:type="character" w:customStyle="1" w:styleId="97">
    <w:name w:val="正文首行缩进 Char"/>
    <w:link w:val="38"/>
    <w:autoRedefine/>
    <w:qFormat/>
    <w:uiPriority w:val="0"/>
    <w:rPr>
      <w:rFonts w:ascii="Calibri" w:hAnsi="Calibri" w:cs="黑体"/>
      <w:sz w:val="21"/>
      <w:szCs w:val="21"/>
    </w:rPr>
  </w:style>
  <w:style w:type="table" w:customStyle="1" w:styleId="98">
    <w:name w:val="网格型1"/>
    <w:basedOn w:val="4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TOC 标题2"/>
    <w:basedOn w:val="4"/>
    <w:next w:val="1"/>
    <w:autoRedefine/>
    <w:qFormat/>
    <w:uiPriority w:val="39"/>
    <w:pPr>
      <w:keepNext/>
      <w:keepLines/>
      <w:widowControl/>
      <w:spacing w:before="480" w:line="276" w:lineRule="auto"/>
      <w:outlineLvl w:val="9"/>
    </w:pPr>
    <w:rPr>
      <w:rFonts w:ascii="Cambria" w:hAnsi="Cambria" w:cs="Times New Roman"/>
      <w:color w:val="365F91"/>
      <w:sz w:val="28"/>
      <w:szCs w:val="28"/>
      <w:lang w:eastAsia="zh-CN"/>
    </w:rPr>
  </w:style>
  <w:style w:type="paragraph" w:customStyle="1" w:styleId="100">
    <w:name w:val="无间隔1"/>
    <w:basedOn w:val="1"/>
    <w:autoRedefine/>
    <w:qFormat/>
    <w:uiPriority w:val="1"/>
    <w:pPr>
      <w:spacing w:line="400" w:lineRule="exact"/>
    </w:pPr>
    <w:rPr>
      <w:rFonts w:ascii="Times New Roman" w:hAnsi="Times New Roman"/>
      <w:sz w:val="24"/>
      <w:szCs w:val="24"/>
    </w:rPr>
  </w:style>
  <w:style w:type="paragraph" w:styleId="101">
    <w:name w:val="List Paragraph"/>
    <w:basedOn w:val="1"/>
    <w:autoRedefine/>
    <w:unhideWhenUsed/>
    <w:qFormat/>
    <w:uiPriority w:val="99"/>
    <w:pPr>
      <w:ind w:firstLine="420" w:firstLineChars="200"/>
    </w:pPr>
  </w:style>
  <w:style w:type="paragraph" w:customStyle="1" w:styleId="10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3">
    <w:name w:val="Char Char Char Char Char Char Char1 Char"/>
    <w:basedOn w:val="1"/>
    <w:autoRedefine/>
    <w:qFormat/>
    <w:uiPriority w:val="0"/>
    <w:rPr>
      <w:rFonts w:ascii="Tahoma" w:hAnsi="Tahoma"/>
      <w:sz w:val="24"/>
    </w:rPr>
  </w:style>
  <w:style w:type="character" w:customStyle="1" w:styleId="104">
    <w:name w:val="hover"/>
    <w:basedOn w:val="42"/>
    <w:autoRedefine/>
    <w:qFormat/>
    <w:uiPriority w:val="0"/>
    <w:rPr>
      <w:color w:val="2590EB"/>
    </w:rPr>
  </w:style>
  <w:style w:type="paragraph" w:customStyle="1" w:styleId="105">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106">
    <w:name w:val="样式 标题 2 + Times New Roman 四号 非加粗 段前: 5 磅 段后: 0 磅 行距: 固定值 20..."/>
    <w:basedOn w:val="5"/>
    <w:autoRedefine/>
    <w:qFormat/>
    <w:uiPriority w:val="0"/>
    <w:pPr>
      <w:spacing w:before="100" w:line="400" w:lineRule="exact"/>
    </w:pPr>
    <w:rPr>
      <w:rFonts w:ascii="Times New Roman" w:hAnsi="Times New Roman"/>
      <w:sz w:val="28"/>
      <w:szCs w:val="20"/>
    </w:rPr>
  </w:style>
  <w:style w:type="paragraph" w:customStyle="1" w:styleId="107">
    <w:name w:val="文档正文5"/>
    <w:basedOn w:val="7"/>
    <w:autoRedefine/>
    <w:qFormat/>
    <w:uiPriority w:val="0"/>
    <w:pPr>
      <w:autoSpaceDE w:val="0"/>
      <w:autoSpaceDN w:val="0"/>
      <w:snapToGrid w:val="0"/>
      <w:spacing w:line="440" w:lineRule="exact"/>
      <w:ind w:firstLine="505"/>
    </w:pPr>
    <w:rPr>
      <w:spacing w:val="4"/>
    </w:rPr>
  </w:style>
  <w:style w:type="paragraph" w:customStyle="1" w:styleId="108">
    <w:name w:val="Table Text"/>
    <w:basedOn w:val="1"/>
    <w:autoRedefine/>
    <w:semiHidden/>
    <w:qFormat/>
    <w:uiPriority w:val="0"/>
    <w:rPr>
      <w:rFonts w:ascii="宋体" w:hAnsi="宋体" w:eastAsia="宋体" w:cs="宋体"/>
      <w:sz w:val="22"/>
      <w:szCs w:val="22"/>
      <w:lang w:val="en-US" w:eastAsia="en-US" w:bidi="ar-SA"/>
    </w:rPr>
  </w:style>
  <w:style w:type="table" w:customStyle="1" w:styleId="10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57C27-8553-4505-AEC4-3137E449F3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12361</Words>
  <Characters>13578</Characters>
  <Lines>344</Lines>
  <Paragraphs>97</Paragraphs>
  <TotalTime>15</TotalTime>
  <ScaleCrop>false</ScaleCrop>
  <LinksUpToDate>false</LinksUpToDate>
  <CharactersWithSpaces>13675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2018-04-03T07:57:00Z</dcterms:created>
  <dc:creator>dong</dc:creator>
  <cp:lastModifiedBy>lykj</cp:lastModifiedBy>
  <cp:lastPrinted>2026-04-27T09:58:00Z</cp:lastPrinted>
  <dcterms:modified xsi:type="dcterms:W3CDTF">2026-04-28T10:34:12Z</dcterms:modified>
  <dc:title>卢氏县靖华西路（寨子村）棚户区改造电梯采购项目</dc:title>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80DFC0C0F88243889AF46939894A55DC_13</vt:lpwstr>
  </property>
  <property fmtid="{D5CDD505-2E9C-101B-9397-08002B2CF9AE}" pid="4" name="KSOTemplateDocerSaveRecord">
    <vt:lpwstr>eyJoZGlkIjoiNTc0MWM4OTBiMzFkMmVkNmU4MWRhZjM3MjU5MTA2MGUiLCJ1c2VySWQiOiI5MjYzNzA2MTEifQ==</vt:lpwstr>
  </property>
</Properties>
</file>