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55A1A">
      <w:pPr>
        <w:rPr>
          <w:rFonts w:ascii="宋体" w:hAnsi="宋体"/>
          <w:b/>
          <w:sz w:val="52"/>
          <w:szCs w:val="52"/>
        </w:rPr>
      </w:pPr>
      <w:bookmarkStart w:id="0" w:name="_Toc247085671"/>
      <w:bookmarkStart w:id="1" w:name="_Toc296602401"/>
      <w:bookmarkStart w:id="2" w:name="_Toc246996900"/>
      <w:bookmarkStart w:id="3" w:name="_Toc179632527"/>
      <w:bookmarkStart w:id="4" w:name="_Toc152042287"/>
      <w:bookmarkStart w:id="5" w:name="_Toc144974479"/>
      <w:bookmarkStart w:id="6" w:name="_Toc246996157"/>
      <w:bookmarkStart w:id="7" w:name="_Toc247096243"/>
      <w:bookmarkStart w:id="8" w:name="_Toc152045511"/>
    </w:p>
    <w:p w14:paraId="3EB30890">
      <w:pPr>
        <w:jc w:val="center"/>
        <w:rPr>
          <w:rFonts w:ascii="宋体" w:hAnsi="宋体"/>
          <w:b/>
          <w:sz w:val="44"/>
          <w:szCs w:val="44"/>
        </w:rPr>
      </w:pPr>
      <w:r>
        <w:rPr>
          <w:rFonts w:hint="eastAsia" w:ascii="宋体" w:hAnsi="宋体"/>
          <w:b/>
          <w:sz w:val="52"/>
          <w:szCs w:val="52"/>
        </w:rPr>
        <w:t>尹庄镇Y008线留村村-寺洼村-唐窑村道路维修工程</w:t>
      </w:r>
    </w:p>
    <w:p w14:paraId="10714718">
      <w:pPr>
        <w:pStyle w:val="18"/>
        <w:rPr>
          <w:rFonts w:ascii="宋体" w:hAnsi="宋体"/>
          <w:bCs/>
          <w:sz w:val="52"/>
          <w:szCs w:val="52"/>
        </w:rPr>
      </w:pPr>
    </w:p>
    <w:p w14:paraId="0894841E">
      <w:pPr>
        <w:pStyle w:val="19"/>
      </w:pPr>
    </w:p>
    <w:p w14:paraId="04D2C095">
      <w:pPr>
        <w:jc w:val="center"/>
        <w:rPr>
          <w:rFonts w:ascii="宋体" w:hAnsi="宋体"/>
          <w:b/>
          <w:sz w:val="88"/>
          <w:szCs w:val="88"/>
        </w:rPr>
      </w:pPr>
      <w:r>
        <w:rPr>
          <w:rFonts w:hint="eastAsia" w:ascii="宋体" w:hAnsi="宋体"/>
          <w:b/>
          <w:sz w:val="88"/>
          <w:szCs w:val="88"/>
        </w:rPr>
        <w:t>招 标 文 件</w:t>
      </w:r>
    </w:p>
    <w:p w14:paraId="5A05DAD0">
      <w:pPr>
        <w:spacing w:line="500" w:lineRule="exact"/>
        <w:jc w:val="center"/>
        <w:rPr>
          <w:rFonts w:ascii="宋体" w:hAnsi="宋体"/>
          <w:b/>
          <w:sz w:val="84"/>
          <w:szCs w:val="84"/>
        </w:rPr>
      </w:pPr>
    </w:p>
    <w:p w14:paraId="5FD20853">
      <w:pPr>
        <w:jc w:val="center"/>
        <w:rPr>
          <w:rFonts w:ascii="宋体" w:hAnsi="宋体"/>
          <w:b/>
          <w:sz w:val="30"/>
          <w:szCs w:val="30"/>
        </w:rPr>
      </w:pPr>
    </w:p>
    <w:p w14:paraId="28CF1A38">
      <w:pPr>
        <w:spacing w:line="360" w:lineRule="auto"/>
        <w:ind w:left="1262" w:hanging="1262" w:hangingChars="419"/>
        <w:jc w:val="center"/>
        <w:rPr>
          <w:rFonts w:ascii="宋体" w:hAnsi="宋体"/>
          <w:b/>
          <w:color w:val="auto"/>
          <w:sz w:val="30"/>
          <w:szCs w:val="30"/>
        </w:rPr>
      </w:pPr>
      <w:r>
        <w:rPr>
          <w:rFonts w:hint="eastAsia" w:ascii="宋体" w:hAnsi="宋体"/>
          <w:b/>
          <w:color w:val="FF0000"/>
          <w:sz w:val="30"/>
          <w:szCs w:val="30"/>
        </w:rPr>
        <w:t xml:space="preserve"> </w:t>
      </w:r>
      <w:r>
        <w:rPr>
          <w:rFonts w:hint="eastAsia" w:ascii="宋体" w:hAnsi="宋体"/>
          <w:b w:val="0"/>
          <w:bCs/>
          <w:color w:val="auto"/>
          <w:sz w:val="30"/>
          <w:szCs w:val="30"/>
        </w:rPr>
        <w:t>招标编号：LBGZ[2026]051-GC008</w:t>
      </w:r>
    </w:p>
    <w:p w14:paraId="2C12C1E4">
      <w:pPr>
        <w:spacing w:line="360" w:lineRule="auto"/>
        <w:ind w:left="1262" w:hanging="1257" w:hangingChars="419"/>
        <w:jc w:val="center"/>
        <w:rPr>
          <w:rFonts w:hint="default" w:ascii="宋体" w:hAnsi="宋体" w:eastAsia="宋体"/>
          <w:b/>
          <w:color w:val="auto"/>
          <w:sz w:val="30"/>
          <w:szCs w:val="30"/>
          <w:lang w:val="en-US" w:eastAsia="zh-CN"/>
        </w:rPr>
      </w:pPr>
      <w:r>
        <w:rPr>
          <w:rFonts w:hint="eastAsia" w:ascii="宋体" w:hAnsi="宋体"/>
          <w:b w:val="0"/>
          <w:bCs/>
          <w:color w:val="auto"/>
          <w:sz w:val="30"/>
          <w:szCs w:val="30"/>
          <w:lang w:val="en-US" w:eastAsia="zh-CN"/>
        </w:rPr>
        <w:t xml:space="preserve">            灵宝公开采购-2026-15</w:t>
      </w:r>
    </w:p>
    <w:p w14:paraId="54A000CA">
      <w:pPr>
        <w:spacing w:line="360" w:lineRule="auto"/>
        <w:ind w:firstLine="1581" w:firstLineChars="753"/>
        <w:jc w:val="left"/>
        <w:rPr>
          <w:rFonts w:ascii="宋体" w:hAnsi="宋体"/>
          <w:b/>
          <w:sz w:val="30"/>
          <w:szCs w:val="30"/>
        </w:rPr>
      </w:pPr>
      <w:r>
        <w:rPr>
          <w:rFonts w:ascii="宋体" w:hAnsi="宋体" w:cs="宋体"/>
          <w:bCs/>
          <w:szCs w:val="21"/>
        </w:rPr>
        <w:drawing>
          <wp:anchor distT="0" distB="0" distL="114300" distR="114300" simplePos="0" relativeHeight="251659264" behindDoc="0" locked="0" layoutInCell="1" allowOverlap="1">
            <wp:simplePos x="0" y="0"/>
            <wp:positionH relativeFrom="column">
              <wp:posOffset>1967230</wp:posOffset>
            </wp:positionH>
            <wp:positionV relativeFrom="paragraph">
              <wp:posOffset>84455</wp:posOffset>
            </wp:positionV>
            <wp:extent cx="1666875" cy="1847850"/>
            <wp:effectExtent l="0" t="0" r="9525" b="0"/>
            <wp:wrapNone/>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2"/>
                    <a:stretch>
                      <a:fillRect/>
                    </a:stretch>
                  </pic:blipFill>
                  <pic:spPr>
                    <a:xfrm>
                      <a:off x="0" y="0"/>
                      <a:ext cx="1666875" cy="1847850"/>
                    </a:xfrm>
                    <a:prstGeom prst="rect">
                      <a:avLst/>
                    </a:prstGeom>
                    <a:noFill/>
                    <a:ln>
                      <a:noFill/>
                    </a:ln>
                  </pic:spPr>
                </pic:pic>
              </a:graphicData>
            </a:graphic>
          </wp:anchor>
        </w:drawing>
      </w:r>
      <w:r>
        <w:rPr>
          <w:rFonts w:hint="eastAsia" w:ascii="宋体" w:hAnsi="宋体"/>
          <w:b/>
          <w:sz w:val="28"/>
          <w:szCs w:val="28"/>
        </w:rPr>
        <w:t xml:space="preserve"> </w:t>
      </w:r>
      <w:r>
        <w:rPr>
          <w:rFonts w:hint="eastAsia" w:ascii="宋体" w:hAnsi="宋体"/>
          <w:b/>
          <w:sz w:val="30"/>
          <w:szCs w:val="30"/>
        </w:rPr>
        <w:t xml:space="preserve">         </w:t>
      </w:r>
    </w:p>
    <w:p w14:paraId="528B5C87">
      <w:pPr>
        <w:spacing w:line="360" w:lineRule="auto"/>
        <w:jc w:val="center"/>
        <w:rPr>
          <w:rFonts w:ascii="宋体" w:hAnsi="宋体"/>
          <w:b/>
          <w:sz w:val="30"/>
          <w:szCs w:val="30"/>
        </w:rPr>
      </w:pPr>
    </w:p>
    <w:p w14:paraId="35C50662">
      <w:pPr>
        <w:spacing w:line="360" w:lineRule="auto"/>
        <w:jc w:val="center"/>
        <w:rPr>
          <w:rFonts w:ascii="宋体" w:hAnsi="宋体"/>
          <w:b/>
          <w:sz w:val="30"/>
          <w:szCs w:val="30"/>
        </w:rPr>
      </w:pPr>
    </w:p>
    <w:p w14:paraId="3B542663">
      <w:pPr>
        <w:spacing w:line="360" w:lineRule="auto"/>
        <w:jc w:val="center"/>
        <w:rPr>
          <w:rFonts w:ascii="宋体" w:hAnsi="宋体"/>
          <w:b/>
          <w:sz w:val="30"/>
          <w:szCs w:val="30"/>
        </w:rPr>
      </w:pPr>
    </w:p>
    <w:p w14:paraId="49071B91">
      <w:pPr>
        <w:spacing w:line="360" w:lineRule="auto"/>
        <w:rPr>
          <w:rFonts w:ascii="宋体" w:hAnsi="宋体"/>
          <w:b/>
          <w:sz w:val="30"/>
          <w:szCs w:val="30"/>
        </w:rPr>
      </w:pPr>
    </w:p>
    <w:p w14:paraId="0C1BD937">
      <w:pPr>
        <w:spacing w:line="360" w:lineRule="auto"/>
        <w:rPr>
          <w:rFonts w:ascii="宋体" w:hAnsi="宋体"/>
          <w:b/>
          <w:sz w:val="30"/>
          <w:szCs w:val="30"/>
        </w:rPr>
      </w:pPr>
    </w:p>
    <w:p w14:paraId="6BAA4FEF">
      <w:pPr>
        <w:spacing w:line="360" w:lineRule="auto"/>
        <w:rPr>
          <w:rFonts w:ascii="宋体" w:hAnsi="宋体"/>
          <w:b/>
          <w:sz w:val="30"/>
          <w:szCs w:val="30"/>
        </w:rPr>
      </w:pPr>
    </w:p>
    <w:p w14:paraId="501FECE0">
      <w:pPr>
        <w:spacing w:line="240" w:lineRule="exact"/>
        <w:jc w:val="left"/>
        <w:rPr>
          <w:rFonts w:ascii="宋体" w:hAnsi="宋体"/>
          <w:b/>
          <w:sz w:val="30"/>
          <w:szCs w:val="30"/>
        </w:rPr>
      </w:pPr>
    </w:p>
    <w:p w14:paraId="53D81AFF">
      <w:pPr>
        <w:spacing w:line="360" w:lineRule="auto"/>
        <w:ind w:left="0" w:leftChars="0" w:firstLine="2107" w:firstLineChars="656"/>
        <w:jc w:val="left"/>
        <w:rPr>
          <w:rFonts w:ascii="宋体" w:hAnsi="宋体"/>
          <w:b/>
          <w:sz w:val="32"/>
          <w:szCs w:val="32"/>
        </w:rPr>
      </w:pPr>
      <w:r>
        <w:rPr>
          <w:rFonts w:hint="eastAsia" w:ascii="宋体" w:hAnsi="宋体"/>
          <w:b/>
          <w:sz w:val="32"/>
          <w:szCs w:val="32"/>
        </w:rPr>
        <w:t>招  标  人：灵宝市尹庄镇人民政府</w:t>
      </w:r>
    </w:p>
    <w:p w14:paraId="39FE56C9">
      <w:pPr>
        <w:spacing w:line="360" w:lineRule="auto"/>
        <w:ind w:left="0" w:leftChars="0" w:firstLine="2107" w:firstLineChars="656"/>
        <w:jc w:val="left"/>
        <w:rPr>
          <w:rFonts w:ascii="宋体" w:hAnsi="宋体"/>
          <w:b/>
          <w:sz w:val="32"/>
          <w:szCs w:val="32"/>
        </w:rPr>
      </w:pPr>
      <w:r>
        <w:rPr>
          <w:rFonts w:hint="eastAsia" w:ascii="宋体" w:hAnsi="宋体"/>
          <w:b/>
          <w:sz w:val="32"/>
          <w:szCs w:val="32"/>
        </w:rPr>
        <w:t>招标代理机构：兴建建设管理有限公司</w:t>
      </w:r>
    </w:p>
    <w:p w14:paraId="09AAD834">
      <w:pPr>
        <w:spacing w:line="360" w:lineRule="auto"/>
        <w:ind w:left="0" w:leftChars="0" w:firstLine="2107" w:firstLineChars="656"/>
        <w:jc w:val="left"/>
        <w:rPr>
          <w:rFonts w:ascii="宋体" w:hAnsi="宋体"/>
          <w:b/>
          <w:sz w:val="48"/>
          <w:szCs w:val="48"/>
        </w:rPr>
      </w:pPr>
      <w:r>
        <w:rPr>
          <w:rFonts w:hint="eastAsia" w:ascii="宋体" w:hAnsi="宋体"/>
          <w:b/>
          <w:sz w:val="32"/>
          <w:szCs w:val="32"/>
        </w:rPr>
        <w:t>日      期：二〇二六年四月</w:t>
      </w:r>
    </w:p>
    <w:p w14:paraId="1C68DF27">
      <w:pPr>
        <w:spacing w:line="360" w:lineRule="auto"/>
        <w:jc w:val="center"/>
        <w:rPr>
          <w:rFonts w:ascii="宋体" w:hAnsi="宋体"/>
          <w:b/>
          <w:sz w:val="44"/>
          <w:szCs w:val="44"/>
        </w:rPr>
        <w:sectPr>
          <w:footerReference r:id="rId4" w:type="first"/>
          <w:footerReference r:id="rId3" w:type="default"/>
          <w:pgSz w:w="11906" w:h="16838"/>
          <w:pgMar w:top="1440" w:right="1587" w:bottom="1440" w:left="1587" w:header="851" w:footer="851" w:gutter="0"/>
          <w:pgNumType w:start="1"/>
          <w:cols w:space="720" w:num="1"/>
          <w:docGrid w:linePitch="312" w:charSpace="0"/>
        </w:sectPr>
      </w:pPr>
    </w:p>
    <w:p w14:paraId="71456445">
      <w:pPr>
        <w:spacing w:line="360" w:lineRule="auto"/>
        <w:jc w:val="center"/>
        <w:rPr>
          <w:rFonts w:ascii="宋体" w:hAnsi="宋体"/>
          <w:b/>
          <w:sz w:val="44"/>
          <w:szCs w:val="44"/>
        </w:rPr>
      </w:pPr>
      <w:r>
        <w:rPr>
          <w:rFonts w:hint="eastAsia" w:ascii="宋体" w:hAnsi="宋体"/>
          <w:b/>
          <w:sz w:val="44"/>
          <w:szCs w:val="44"/>
        </w:rPr>
        <w:t>目  录</w:t>
      </w:r>
    </w:p>
    <w:p w14:paraId="264A5E3C">
      <w:pPr>
        <w:pStyle w:val="14"/>
        <w:tabs>
          <w:tab w:val="right" w:leader="dot" w:pos="9751"/>
        </w:tabs>
        <w:spacing w:line="500" w:lineRule="exact"/>
        <w:rPr>
          <w:rFonts w:ascii="宋体" w:hAnsi="宋体" w:eastAsia="宋体" w:cs="宋体"/>
          <w:sz w:val="24"/>
        </w:rPr>
      </w:pPr>
      <w:r>
        <w:rPr>
          <w:rFonts w:hint="eastAsia" w:ascii="宋体" w:hAnsi="宋体" w:eastAsia="宋体" w:cs="宋体"/>
          <w:b/>
          <w:sz w:val="24"/>
        </w:rPr>
        <w:fldChar w:fldCharType="begin"/>
      </w:r>
      <w:r>
        <w:rPr>
          <w:rFonts w:hint="eastAsia" w:ascii="宋体" w:hAnsi="宋体" w:eastAsia="宋体" w:cs="宋体"/>
          <w:b/>
          <w:sz w:val="24"/>
        </w:rPr>
        <w:instrText xml:space="preserve">TOC \o "1-2" \h \u </w:instrText>
      </w:r>
      <w:r>
        <w:rPr>
          <w:rFonts w:hint="eastAsia" w:ascii="宋体" w:hAnsi="宋体" w:eastAsia="宋体" w:cs="宋体"/>
          <w:b/>
          <w:sz w:val="24"/>
        </w:rPr>
        <w:fldChar w:fldCharType="separate"/>
      </w:r>
      <w:r>
        <w:fldChar w:fldCharType="begin"/>
      </w:r>
      <w:r>
        <w:instrText xml:space="preserve"> HYPERLINK \l "_Toc12540" </w:instrText>
      </w:r>
      <w:r>
        <w:fldChar w:fldCharType="separate"/>
      </w:r>
      <w:r>
        <w:rPr>
          <w:rFonts w:hint="eastAsia" w:ascii="宋体" w:hAnsi="宋体" w:eastAsia="宋体" w:cs="宋体"/>
          <w:sz w:val="24"/>
        </w:rPr>
        <w:t>第一章 招标公告</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_Toc12540 \h </w:instrText>
      </w:r>
      <w:r>
        <w:rPr>
          <w:rFonts w:hint="eastAsia" w:ascii="宋体" w:hAnsi="宋体" w:eastAsia="宋体" w:cs="宋体"/>
          <w:sz w:val="24"/>
        </w:rPr>
        <w:fldChar w:fldCharType="separate"/>
      </w:r>
      <w:r>
        <w:rPr>
          <w:rFonts w:hint="eastAsia" w:ascii="宋体" w:hAnsi="宋体" w:eastAsia="宋体" w:cs="宋体"/>
          <w:sz w:val="24"/>
        </w:rPr>
        <w:t>3</w:t>
      </w:r>
      <w:r>
        <w:rPr>
          <w:rFonts w:hint="eastAsia" w:ascii="宋体" w:hAnsi="宋体" w:eastAsia="宋体" w:cs="宋体"/>
          <w:sz w:val="24"/>
        </w:rPr>
        <w:fldChar w:fldCharType="end"/>
      </w:r>
      <w:r>
        <w:rPr>
          <w:rFonts w:hint="eastAsia" w:ascii="宋体" w:hAnsi="宋体" w:eastAsia="宋体" w:cs="宋体"/>
          <w:sz w:val="24"/>
        </w:rPr>
        <w:fldChar w:fldCharType="end"/>
      </w:r>
    </w:p>
    <w:p w14:paraId="1F4A5C0D">
      <w:pPr>
        <w:pStyle w:val="14"/>
        <w:tabs>
          <w:tab w:val="right" w:leader="dot" w:pos="9751"/>
        </w:tabs>
        <w:spacing w:line="500" w:lineRule="exact"/>
        <w:rPr>
          <w:rFonts w:ascii="宋体" w:hAnsi="宋体" w:eastAsia="宋体" w:cs="宋体"/>
          <w:sz w:val="24"/>
        </w:rPr>
      </w:pPr>
      <w:r>
        <w:fldChar w:fldCharType="begin"/>
      </w:r>
      <w:r>
        <w:instrText xml:space="preserve"> HYPERLINK \l "_Toc12099" </w:instrText>
      </w:r>
      <w:r>
        <w:fldChar w:fldCharType="separate"/>
      </w:r>
      <w:r>
        <w:rPr>
          <w:rFonts w:hint="eastAsia" w:ascii="宋体" w:hAnsi="宋体" w:eastAsia="宋体" w:cs="宋体"/>
          <w:sz w:val="24"/>
        </w:rPr>
        <w:t>第二章 投标人须知</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_Toc12099 \h </w:instrText>
      </w:r>
      <w:r>
        <w:rPr>
          <w:rFonts w:hint="eastAsia" w:ascii="宋体" w:hAnsi="宋体" w:eastAsia="宋体" w:cs="宋体"/>
          <w:sz w:val="24"/>
        </w:rPr>
        <w:fldChar w:fldCharType="separate"/>
      </w:r>
      <w:r>
        <w:rPr>
          <w:rFonts w:hint="eastAsia" w:ascii="宋体" w:hAnsi="宋体" w:eastAsia="宋体" w:cs="宋体"/>
          <w:sz w:val="24"/>
        </w:rPr>
        <w:t>7</w:t>
      </w:r>
      <w:r>
        <w:rPr>
          <w:rFonts w:hint="eastAsia" w:ascii="宋体" w:hAnsi="宋体" w:eastAsia="宋体" w:cs="宋体"/>
          <w:sz w:val="24"/>
        </w:rPr>
        <w:fldChar w:fldCharType="end"/>
      </w:r>
      <w:r>
        <w:rPr>
          <w:rFonts w:hint="eastAsia" w:ascii="宋体" w:hAnsi="宋体" w:eastAsia="宋体" w:cs="宋体"/>
          <w:sz w:val="24"/>
        </w:rPr>
        <w:fldChar w:fldCharType="end"/>
      </w:r>
    </w:p>
    <w:p w14:paraId="3731F3A4">
      <w:pPr>
        <w:pStyle w:val="14"/>
        <w:tabs>
          <w:tab w:val="right" w:leader="dot" w:pos="9751"/>
        </w:tabs>
        <w:spacing w:line="500" w:lineRule="exact"/>
        <w:rPr>
          <w:rFonts w:ascii="宋体" w:hAnsi="宋体" w:eastAsia="宋体" w:cs="宋体"/>
          <w:sz w:val="24"/>
        </w:rPr>
      </w:pPr>
      <w:r>
        <w:fldChar w:fldCharType="begin"/>
      </w:r>
      <w:r>
        <w:instrText xml:space="preserve"> HYPERLINK \l "_Toc11233" </w:instrText>
      </w:r>
      <w:r>
        <w:fldChar w:fldCharType="separate"/>
      </w:r>
      <w:r>
        <w:rPr>
          <w:rFonts w:hint="eastAsia" w:ascii="宋体" w:hAnsi="宋体" w:eastAsia="宋体" w:cs="宋体"/>
          <w:sz w:val="24"/>
        </w:rPr>
        <w:t>第三章 评标办法（合格制）</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_Toc11233 \h </w:instrText>
      </w:r>
      <w:r>
        <w:rPr>
          <w:rFonts w:hint="eastAsia" w:ascii="宋体" w:hAnsi="宋体" w:eastAsia="宋体" w:cs="宋体"/>
          <w:sz w:val="24"/>
        </w:rPr>
        <w:fldChar w:fldCharType="separate"/>
      </w:r>
      <w:r>
        <w:rPr>
          <w:rFonts w:hint="eastAsia" w:ascii="宋体" w:hAnsi="宋体" w:eastAsia="宋体" w:cs="宋体"/>
          <w:sz w:val="24"/>
        </w:rPr>
        <w:t>39</w:t>
      </w:r>
      <w:r>
        <w:rPr>
          <w:rFonts w:hint="eastAsia" w:ascii="宋体" w:hAnsi="宋体" w:eastAsia="宋体" w:cs="宋体"/>
          <w:sz w:val="24"/>
        </w:rPr>
        <w:fldChar w:fldCharType="end"/>
      </w:r>
      <w:r>
        <w:rPr>
          <w:rFonts w:hint="eastAsia" w:ascii="宋体" w:hAnsi="宋体" w:eastAsia="宋体" w:cs="宋体"/>
          <w:sz w:val="24"/>
        </w:rPr>
        <w:fldChar w:fldCharType="end"/>
      </w:r>
    </w:p>
    <w:p w14:paraId="192F80F6">
      <w:pPr>
        <w:pStyle w:val="14"/>
        <w:tabs>
          <w:tab w:val="right" w:leader="dot" w:pos="9751"/>
        </w:tabs>
        <w:spacing w:line="500" w:lineRule="exact"/>
        <w:rPr>
          <w:rFonts w:ascii="宋体" w:hAnsi="宋体" w:eastAsia="宋体" w:cs="宋体"/>
          <w:sz w:val="24"/>
        </w:rPr>
      </w:pPr>
      <w:r>
        <w:fldChar w:fldCharType="begin"/>
      </w:r>
      <w:r>
        <w:instrText xml:space="preserve"> HYPERLINK \l "_Toc30268" </w:instrText>
      </w:r>
      <w:r>
        <w:fldChar w:fldCharType="separate"/>
      </w:r>
      <w:r>
        <w:rPr>
          <w:rFonts w:hint="eastAsia" w:ascii="宋体" w:hAnsi="宋体" w:eastAsia="宋体" w:cs="宋体"/>
          <w:sz w:val="24"/>
        </w:rPr>
        <w:t>第四章 定标方法</w:t>
      </w:r>
      <w:r>
        <w:rPr>
          <w:rFonts w:hint="eastAsia" w:ascii="宋体" w:hAnsi="宋体" w:eastAsia="宋体" w:cs="宋体"/>
          <w:sz w:val="24"/>
        </w:rPr>
        <w:tab/>
      </w:r>
      <w:r>
        <w:rPr>
          <w:rFonts w:hint="eastAsia" w:ascii="宋体" w:hAnsi="宋体" w:eastAsia="宋体" w:cs="宋体"/>
          <w:sz w:val="24"/>
        </w:rPr>
        <w:t>4</w:t>
      </w:r>
      <w:r>
        <w:rPr>
          <w:rFonts w:hint="eastAsia" w:ascii="宋体" w:hAnsi="宋体" w:eastAsia="宋体" w:cs="宋体"/>
          <w:sz w:val="24"/>
        </w:rPr>
        <w:fldChar w:fldCharType="end"/>
      </w:r>
      <w:r>
        <w:rPr>
          <w:rFonts w:hint="eastAsia" w:ascii="宋体" w:hAnsi="宋体" w:eastAsia="宋体" w:cs="宋体"/>
          <w:sz w:val="24"/>
        </w:rPr>
        <w:t>8</w:t>
      </w:r>
    </w:p>
    <w:p w14:paraId="5514AE48">
      <w:pPr>
        <w:pStyle w:val="14"/>
        <w:tabs>
          <w:tab w:val="right" w:leader="dot" w:pos="9751"/>
        </w:tabs>
        <w:spacing w:line="500" w:lineRule="exact"/>
        <w:rPr>
          <w:rFonts w:ascii="宋体" w:hAnsi="宋体" w:eastAsia="宋体" w:cs="宋体"/>
          <w:sz w:val="24"/>
        </w:rPr>
      </w:pPr>
      <w:r>
        <w:fldChar w:fldCharType="begin"/>
      </w:r>
      <w:r>
        <w:instrText xml:space="preserve"> HYPERLINK \l "_Toc30268" </w:instrText>
      </w:r>
      <w:r>
        <w:fldChar w:fldCharType="separate"/>
      </w:r>
      <w:r>
        <w:rPr>
          <w:rFonts w:hint="eastAsia" w:ascii="宋体" w:hAnsi="宋体" w:eastAsia="宋体" w:cs="宋体"/>
          <w:sz w:val="24"/>
        </w:rPr>
        <w:t>第五章 合同条款及格式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_Toc30268 \h </w:instrText>
      </w:r>
      <w:r>
        <w:rPr>
          <w:rFonts w:hint="eastAsia" w:ascii="宋体" w:hAnsi="宋体" w:eastAsia="宋体" w:cs="宋体"/>
          <w:sz w:val="24"/>
        </w:rPr>
        <w:fldChar w:fldCharType="separate"/>
      </w:r>
      <w:r>
        <w:rPr>
          <w:rFonts w:hint="eastAsia" w:ascii="宋体" w:hAnsi="宋体" w:eastAsia="宋体" w:cs="宋体"/>
          <w:sz w:val="24"/>
        </w:rPr>
        <w:t>53</w:t>
      </w:r>
      <w:r>
        <w:rPr>
          <w:rFonts w:hint="eastAsia" w:ascii="宋体" w:hAnsi="宋体" w:eastAsia="宋体" w:cs="宋体"/>
          <w:sz w:val="24"/>
        </w:rPr>
        <w:fldChar w:fldCharType="end"/>
      </w:r>
      <w:r>
        <w:rPr>
          <w:rFonts w:hint="eastAsia" w:ascii="宋体" w:hAnsi="宋体" w:eastAsia="宋体" w:cs="宋体"/>
          <w:sz w:val="24"/>
        </w:rPr>
        <w:fldChar w:fldCharType="end"/>
      </w:r>
    </w:p>
    <w:p w14:paraId="5330C58E">
      <w:pPr>
        <w:pStyle w:val="14"/>
        <w:tabs>
          <w:tab w:val="right" w:leader="dot" w:pos="9751"/>
        </w:tabs>
        <w:spacing w:line="500" w:lineRule="exact"/>
        <w:rPr>
          <w:rFonts w:ascii="宋体" w:hAnsi="宋体" w:eastAsia="宋体" w:cs="宋体"/>
          <w:sz w:val="24"/>
        </w:rPr>
      </w:pPr>
      <w:r>
        <w:fldChar w:fldCharType="begin"/>
      </w:r>
      <w:r>
        <w:instrText xml:space="preserve"> HYPERLINK \l "_Toc20482" </w:instrText>
      </w:r>
      <w:r>
        <w:fldChar w:fldCharType="separate"/>
      </w:r>
      <w:r>
        <w:rPr>
          <w:rFonts w:hint="eastAsia" w:ascii="宋体" w:hAnsi="宋体" w:eastAsia="宋体" w:cs="宋体"/>
          <w:sz w:val="24"/>
        </w:rPr>
        <w:t>第六章 工程量清单和招标控制价</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_Toc20482 \h </w:instrText>
      </w:r>
      <w:r>
        <w:rPr>
          <w:rFonts w:hint="eastAsia" w:ascii="宋体" w:hAnsi="宋体" w:eastAsia="宋体" w:cs="宋体"/>
          <w:sz w:val="24"/>
        </w:rPr>
        <w:fldChar w:fldCharType="separate"/>
      </w:r>
      <w:r>
        <w:rPr>
          <w:rFonts w:hint="eastAsia" w:ascii="宋体" w:hAnsi="宋体" w:eastAsia="宋体" w:cs="宋体"/>
          <w:sz w:val="24"/>
        </w:rPr>
        <w:t>101</w:t>
      </w:r>
      <w:r>
        <w:rPr>
          <w:rFonts w:hint="eastAsia" w:ascii="宋体" w:hAnsi="宋体" w:eastAsia="宋体" w:cs="宋体"/>
          <w:sz w:val="24"/>
        </w:rPr>
        <w:fldChar w:fldCharType="end"/>
      </w:r>
      <w:r>
        <w:rPr>
          <w:rFonts w:hint="eastAsia" w:ascii="宋体" w:hAnsi="宋体" w:eastAsia="宋体" w:cs="宋体"/>
          <w:sz w:val="24"/>
        </w:rPr>
        <w:fldChar w:fldCharType="end"/>
      </w:r>
    </w:p>
    <w:p w14:paraId="2DA5A359">
      <w:pPr>
        <w:pStyle w:val="14"/>
        <w:tabs>
          <w:tab w:val="right" w:leader="dot" w:pos="9751"/>
        </w:tabs>
        <w:spacing w:line="500" w:lineRule="exact"/>
        <w:rPr>
          <w:rFonts w:ascii="宋体" w:hAnsi="宋体" w:eastAsia="宋体" w:cs="宋体"/>
          <w:sz w:val="24"/>
        </w:rPr>
      </w:pPr>
      <w:r>
        <w:fldChar w:fldCharType="begin"/>
      </w:r>
      <w:r>
        <w:instrText xml:space="preserve"> HYPERLINK \l "_Toc10706" </w:instrText>
      </w:r>
      <w:r>
        <w:fldChar w:fldCharType="separate"/>
      </w:r>
      <w:r>
        <w:rPr>
          <w:rFonts w:hint="eastAsia" w:ascii="宋体" w:hAnsi="宋体" w:eastAsia="宋体" w:cs="宋体"/>
          <w:sz w:val="24"/>
        </w:rPr>
        <w:t>第七章 图  纸</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_Toc10706 \h </w:instrText>
      </w:r>
      <w:r>
        <w:rPr>
          <w:rFonts w:hint="eastAsia" w:ascii="宋体" w:hAnsi="宋体" w:eastAsia="宋体" w:cs="宋体"/>
          <w:sz w:val="24"/>
        </w:rPr>
        <w:fldChar w:fldCharType="separate"/>
      </w:r>
      <w:r>
        <w:rPr>
          <w:rFonts w:hint="eastAsia" w:ascii="宋体" w:hAnsi="宋体" w:eastAsia="宋体" w:cs="宋体"/>
          <w:sz w:val="24"/>
        </w:rPr>
        <w:t>101</w:t>
      </w:r>
      <w:r>
        <w:rPr>
          <w:rFonts w:hint="eastAsia" w:ascii="宋体" w:hAnsi="宋体" w:eastAsia="宋体" w:cs="宋体"/>
          <w:sz w:val="24"/>
        </w:rPr>
        <w:fldChar w:fldCharType="end"/>
      </w:r>
      <w:r>
        <w:rPr>
          <w:rFonts w:hint="eastAsia" w:ascii="宋体" w:hAnsi="宋体" w:eastAsia="宋体" w:cs="宋体"/>
          <w:sz w:val="24"/>
        </w:rPr>
        <w:fldChar w:fldCharType="end"/>
      </w:r>
    </w:p>
    <w:p w14:paraId="011333ED">
      <w:pPr>
        <w:pStyle w:val="14"/>
        <w:tabs>
          <w:tab w:val="right" w:leader="dot" w:pos="9751"/>
        </w:tabs>
        <w:spacing w:line="500" w:lineRule="exact"/>
        <w:rPr>
          <w:rFonts w:ascii="宋体" w:hAnsi="宋体" w:eastAsia="宋体" w:cs="宋体"/>
          <w:sz w:val="24"/>
        </w:rPr>
      </w:pPr>
      <w:r>
        <w:fldChar w:fldCharType="begin"/>
      </w:r>
      <w:r>
        <w:instrText xml:space="preserve"> HYPERLINK \l "_Toc16849" </w:instrText>
      </w:r>
      <w:r>
        <w:fldChar w:fldCharType="separate"/>
      </w:r>
      <w:r>
        <w:rPr>
          <w:rFonts w:hint="eastAsia" w:ascii="宋体" w:hAnsi="宋体" w:eastAsia="宋体" w:cs="宋体"/>
          <w:sz w:val="24"/>
        </w:rPr>
        <w:t>第八章 技术规范</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_Toc16849 \h </w:instrText>
      </w:r>
      <w:r>
        <w:rPr>
          <w:rFonts w:hint="eastAsia" w:ascii="宋体" w:hAnsi="宋体" w:eastAsia="宋体" w:cs="宋体"/>
          <w:sz w:val="24"/>
        </w:rPr>
        <w:fldChar w:fldCharType="separate"/>
      </w:r>
      <w:r>
        <w:rPr>
          <w:rFonts w:hint="eastAsia" w:ascii="宋体" w:hAnsi="宋体" w:eastAsia="宋体" w:cs="宋体"/>
          <w:sz w:val="24"/>
        </w:rPr>
        <w:t>101</w:t>
      </w:r>
      <w:r>
        <w:rPr>
          <w:rFonts w:hint="eastAsia" w:ascii="宋体" w:hAnsi="宋体" w:eastAsia="宋体" w:cs="宋体"/>
          <w:sz w:val="24"/>
        </w:rPr>
        <w:fldChar w:fldCharType="end"/>
      </w:r>
      <w:r>
        <w:rPr>
          <w:rFonts w:hint="eastAsia" w:ascii="宋体" w:hAnsi="宋体" w:eastAsia="宋体" w:cs="宋体"/>
          <w:sz w:val="24"/>
        </w:rPr>
        <w:fldChar w:fldCharType="end"/>
      </w:r>
    </w:p>
    <w:p w14:paraId="704365F6">
      <w:pPr>
        <w:pStyle w:val="14"/>
        <w:tabs>
          <w:tab w:val="right" w:leader="dot" w:pos="9751"/>
        </w:tabs>
        <w:spacing w:line="500" w:lineRule="exact"/>
        <w:rPr>
          <w:rFonts w:ascii="宋体" w:hAnsi="宋体" w:eastAsia="宋体" w:cs="宋体"/>
          <w:sz w:val="24"/>
        </w:rPr>
      </w:pPr>
      <w:r>
        <w:fldChar w:fldCharType="begin"/>
      </w:r>
      <w:r>
        <w:instrText xml:space="preserve"> HYPERLINK \l "_Toc21579" </w:instrText>
      </w:r>
      <w:r>
        <w:fldChar w:fldCharType="separate"/>
      </w:r>
      <w:r>
        <w:rPr>
          <w:rFonts w:hint="eastAsia" w:ascii="宋体" w:hAnsi="宋体" w:eastAsia="宋体" w:cs="宋体"/>
          <w:sz w:val="24"/>
        </w:rPr>
        <w:t>第九章 工程量清单计量规则</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_Toc21579 \h </w:instrText>
      </w:r>
      <w:r>
        <w:rPr>
          <w:rFonts w:hint="eastAsia" w:ascii="宋体" w:hAnsi="宋体" w:eastAsia="宋体" w:cs="宋体"/>
          <w:sz w:val="24"/>
        </w:rPr>
        <w:fldChar w:fldCharType="separate"/>
      </w:r>
      <w:r>
        <w:rPr>
          <w:rFonts w:hint="eastAsia" w:ascii="宋体" w:hAnsi="宋体" w:eastAsia="宋体" w:cs="宋体"/>
          <w:sz w:val="24"/>
        </w:rPr>
        <w:t>101</w:t>
      </w:r>
      <w:r>
        <w:rPr>
          <w:rFonts w:hint="eastAsia" w:ascii="宋体" w:hAnsi="宋体" w:eastAsia="宋体" w:cs="宋体"/>
          <w:sz w:val="24"/>
        </w:rPr>
        <w:fldChar w:fldCharType="end"/>
      </w:r>
      <w:r>
        <w:rPr>
          <w:rFonts w:hint="eastAsia" w:ascii="宋体" w:hAnsi="宋体" w:eastAsia="宋体" w:cs="宋体"/>
          <w:sz w:val="24"/>
        </w:rPr>
        <w:fldChar w:fldCharType="end"/>
      </w:r>
    </w:p>
    <w:p w14:paraId="77F1E9D8">
      <w:pPr>
        <w:pStyle w:val="14"/>
        <w:tabs>
          <w:tab w:val="right" w:leader="dot" w:pos="9751"/>
        </w:tabs>
        <w:spacing w:line="500" w:lineRule="exact"/>
        <w:rPr>
          <w:rFonts w:ascii="宋体" w:hAnsi="宋体" w:eastAsia="宋体" w:cs="宋体"/>
          <w:sz w:val="24"/>
        </w:rPr>
      </w:pPr>
      <w:r>
        <w:fldChar w:fldCharType="begin"/>
      </w:r>
      <w:r>
        <w:instrText xml:space="preserve"> HYPERLINK \l "_Toc5947" </w:instrText>
      </w:r>
      <w:r>
        <w:fldChar w:fldCharType="separate"/>
      </w:r>
      <w:r>
        <w:rPr>
          <w:rFonts w:hint="eastAsia" w:ascii="宋体" w:hAnsi="宋体" w:eastAsia="宋体" w:cs="宋体"/>
          <w:sz w:val="24"/>
        </w:rPr>
        <w:t>第十章 投标文件格式</w:t>
      </w:r>
      <w:r>
        <w:rPr>
          <w:rFonts w:hint="eastAsia" w:ascii="宋体" w:hAnsi="宋体" w:eastAsia="宋体" w:cs="宋体"/>
          <w:sz w:val="24"/>
        </w:rPr>
        <w:tab/>
      </w:r>
      <w:r>
        <w:rPr>
          <w:rFonts w:hint="eastAsia" w:ascii="宋体" w:hAnsi="宋体" w:eastAsia="宋体" w:cs="宋体"/>
          <w:sz w:val="24"/>
        </w:rPr>
        <w:fldChar w:fldCharType="begin"/>
      </w:r>
      <w:r>
        <w:rPr>
          <w:rFonts w:hint="eastAsia" w:ascii="宋体" w:hAnsi="宋体" w:eastAsia="宋体" w:cs="宋体"/>
          <w:sz w:val="24"/>
        </w:rPr>
        <w:instrText xml:space="preserve"> PAGEREF _Toc5947 \h </w:instrText>
      </w:r>
      <w:r>
        <w:rPr>
          <w:rFonts w:hint="eastAsia" w:ascii="宋体" w:hAnsi="宋体" w:eastAsia="宋体" w:cs="宋体"/>
          <w:sz w:val="24"/>
        </w:rPr>
        <w:fldChar w:fldCharType="separate"/>
      </w:r>
      <w:r>
        <w:rPr>
          <w:rFonts w:hint="eastAsia" w:ascii="宋体" w:hAnsi="宋体" w:eastAsia="宋体" w:cs="宋体"/>
          <w:sz w:val="24"/>
        </w:rPr>
        <w:t>102</w:t>
      </w:r>
      <w:r>
        <w:rPr>
          <w:rFonts w:hint="eastAsia" w:ascii="宋体" w:hAnsi="宋体" w:eastAsia="宋体" w:cs="宋体"/>
          <w:sz w:val="24"/>
        </w:rPr>
        <w:fldChar w:fldCharType="end"/>
      </w:r>
      <w:r>
        <w:rPr>
          <w:rFonts w:hint="eastAsia" w:ascii="宋体" w:hAnsi="宋体" w:eastAsia="宋体" w:cs="宋体"/>
          <w:sz w:val="24"/>
        </w:rPr>
        <w:fldChar w:fldCharType="end"/>
      </w:r>
    </w:p>
    <w:p w14:paraId="258B8D08">
      <w:pPr>
        <w:spacing w:line="500" w:lineRule="exact"/>
        <w:jc w:val="center"/>
        <w:rPr>
          <w:rFonts w:ascii="宋体" w:hAnsi="宋体"/>
          <w:b/>
          <w:sz w:val="30"/>
          <w:szCs w:val="30"/>
        </w:rPr>
      </w:pPr>
      <w:r>
        <w:rPr>
          <w:rFonts w:hint="eastAsia" w:ascii="宋体" w:hAnsi="宋体" w:cs="宋体"/>
          <w:sz w:val="24"/>
          <w:szCs w:val="24"/>
        </w:rPr>
        <w:fldChar w:fldCharType="end"/>
      </w:r>
    </w:p>
    <w:p w14:paraId="085A6C99">
      <w:pPr>
        <w:ind w:left="218" w:hanging="218" w:hangingChars="68"/>
        <w:jc w:val="center"/>
        <w:rPr>
          <w:rFonts w:ascii="宋体" w:hAnsi="宋体"/>
          <w:b/>
          <w:sz w:val="32"/>
          <w:szCs w:val="32"/>
        </w:rPr>
      </w:pPr>
    </w:p>
    <w:p w14:paraId="456F5570">
      <w:pPr>
        <w:pStyle w:val="2"/>
        <w:rPr>
          <w:rFonts w:ascii="宋体" w:hAnsi="宋体"/>
          <w:b/>
          <w:sz w:val="32"/>
          <w:szCs w:val="32"/>
        </w:rPr>
      </w:pPr>
      <w:r>
        <w:rPr>
          <w:rFonts w:ascii="宋体" w:hAnsi="宋体"/>
          <w:b/>
          <w:sz w:val="32"/>
          <w:szCs w:val="32"/>
        </w:rPr>
        <w:br w:type="page"/>
      </w:r>
      <w:bookmarkStart w:id="9" w:name="_Toc19239"/>
      <w:bookmarkStart w:id="10" w:name="_Toc12540"/>
      <w:r>
        <w:rPr>
          <w:rFonts w:hint="eastAsia" w:ascii="宋体" w:hAnsi="宋体"/>
          <w:b/>
          <w:sz w:val="32"/>
          <w:szCs w:val="32"/>
        </w:rPr>
        <w:t xml:space="preserve">第一章  </w:t>
      </w:r>
      <w:bookmarkEnd w:id="0"/>
      <w:bookmarkEnd w:id="1"/>
      <w:bookmarkEnd w:id="2"/>
      <w:bookmarkEnd w:id="3"/>
      <w:bookmarkEnd w:id="4"/>
      <w:bookmarkEnd w:id="5"/>
      <w:bookmarkEnd w:id="6"/>
      <w:bookmarkEnd w:id="7"/>
      <w:bookmarkEnd w:id="8"/>
      <w:r>
        <w:rPr>
          <w:rFonts w:hint="eastAsia" w:ascii="宋体" w:hAnsi="宋体"/>
          <w:b/>
          <w:sz w:val="32"/>
          <w:szCs w:val="32"/>
        </w:rPr>
        <w:t>招标公告</w:t>
      </w:r>
      <w:bookmarkEnd w:id="9"/>
      <w:bookmarkEnd w:id="10"/>
    </w:p>
    <w:p w14:paraId="7FA275D9">
      <w:pPr>
        <w:spacing w:line="420" w:lineRule="exact"/>
        <w:ind w:firstLine="549" w:firstLineChars="228"/>
        <w:jc w:val="left"/>
        <w:rPr>
          <w:rFonts w:ascii="宋体" w:hAnsi="宋体"/>
          <w:b/>
          <w:bCs/>
          <w:sz w:val="24"/>
          <w:szCs w:val="24"/>
        </w:rPr>
      </w:pPr>
      <w:bookmarkStart w:id="11" w:name="_Toc152042303"/>
      <w:bookmarkStart w:id="12" w:name="_Toc152045527"/>
      <w:bookmarkStart w:id="13" w:name="_Toc247085687"/>
      <w:bookmarkStart w:id="14" w:name="_Toc179632544"/>
      <w:bookmarkStart w:id="15" w:name="_Toc144974495"/>
      <w:bookmarkStart w:id="16" w:name="_Toc246996173"/>
      <w:bookmarkStart w:id="17" w:name="_Toc296602418"/>
      <w:bookmarkStart w:id="18" w:name="_Toc246996916"/>
      <w:r>
        <w:rPr>
          <w:rFonts w:hint="eastAsia" w:ascii="宋体" w:hAnsi="宋体"/>
          <w:b/>
          <w:bCs/>
          <w:sz w:val="24"/>
          <w:szCs w:val="24"/>
        </w:rPr>
        <w:t>一、招标条件</w:t>
      </w:r>
    </w:p>
    <w:p w14:paraId="67A1357F">
      <w:pPr>
        <w:spacing w:line="420" w:lineRule="exact"/>
        <w:ind w:firstLine="480" w:firstLineChars="200"/>
        <w:rPr>
          <w:rFonts w:ascii="宋体" w:hAnsi="宋体"/>
          <w:sz w:val="24"/>
          <w:szCs w:val="24"/>
        </w:rPr>
      </w:pPr>
      <w:r>
        <w:rPr>
          <w:rFonts w:hint="eastAsia" w:ascii="宋体" w:hAnsi="宋体"/>
          <w:sz w:val="24"/>
          <w:szCs w:val="24"/>
        </w:rPr>
        <w:t>尹庄镇Y008线留村村-寺洼村-唐窑村道路维修工程，资金来源为上级补助和地方财政配套资金，招标人为灵宝市尹庄镇人民政府，招标代理机构为兴建建设管理有限公司。项目已具备招标条件，现对该项目进行公开招标。</w:t>
      </w:r>
    </w:p>
    <w:p w14:paraId="408D8175">
      <w:pPr>
        <w:spacing w:line="420" w:lineRule="exact"/>
        <w:ind w:firstLine="308" w:firstLineChars="128"/>
        <w:jc w:val="left"/>
        <w:rPr>
          <w:rFonts w:ascii="宋体" w:hAnsi="宋体"/>
          <w:b/>
          <w:bCs/>
          <w:sz w:val="24"/>
          <w:szCs w:val="24"/>
        </w:rPr>
      </w:pPr>
      <w:r>
        <w:rPr>
          <w:rFonts w:hint="eastAsia" w:ascii="宋体" w:hAnsi="宋体"/>
          <w:b/>
          <w:bCs/>
          <w:sz w:val="24"/>
          <w:szCs w:val="24"/>
        </w:rPr>
        <w:t xml:space="preserve"> </w:t>
      </w:r>
      <w:r>
        <w:rPr>
          <w:rFonts w:ascii="宋体" w:hAnsi="宋体"/>
          <w:b/>
          <w:bCs/>
          <w:sz w:val="24"/>
          <w:szCs w:val="24"/>
        </w:rPr>
        <w:t>二、项目概况与招标范围</w:t>
      </w:r>
    </w:p>
    <w:p w14:paraId="4937FE75">
      <w:pPr>
        <w:spacing w:line="420" w:lineRule="exact"/>
        <w:ind w:firstLine="480" w:firstLineChars="200"/>
        <w:jc w:val="left"/>
        <w:rPr>
          <w:rFonts w:ascii="宋体" w:hAnsi="宋体"/>
          <w:color w:val="auto"/>
          <w:sz w:val="24"/>
          <w:szCs w:val="24"/>
        </w:rPr>
      </w:pPr>
      <w:r>
        <w:rPr>
          <w:rFonts w:hint="eastAsia" w:ascii="宋体" w:hAnsi="宋体"/>
          <w:sz w:val="24"/>
          <w:szCs w:val="24"/>
        </w:rPr>
        <w:t>1、项目名称：尹庄镇Y008线留村村-寺洼村-唐</w:t>
      </w:r>
      <w:r>
        <w:rPr>
          <w:rFonts w:hint="eastAsia" w:ascii="宋体" w:hAnsi="宋体"/>
          <w:color w:val="auto"/>
          <w:sz w:val="24"/>
          <w:szCs w:val="24"/>
        </w:rPr>
        <w:t>窑村道路维修工程</w:t>
      </w:r>
    </w:p>
    <w:p w14:paraId="1CD572CF">
      <w:pPr>
        <w:spacing w:line="42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rPr>
        <w:t>2</w:t>
      </w:r>
      <w:r>
        <w:rPr>
          <w:rFonts w:ascii="宋体" w:hAnsi="宋体"/>
          <w:color w:val="auto"/>
          <w:sz w:val="24"/>
          <w:szCs w:val="24"/>
        </w:rPr>
        <w:t>、</w:t>
      </w:r>
      <w:r>
        <w:rPr>
          <w:rFonts w:hint="eastAsia" w:ascii="宋体" w:hAnsi="宋体"/>
          <w:color w:val="auto"/>
          <w:sz w:val="24"/>
          <w:szCs w:val="24"/>
        </w:rPr>
        <w:t>项目</w:t>
      </w:r>
      <w:r>
        <w:rPr>
          <w:rFonts w:ascii="宋体" w:hAnsi="宋体"/>
          <w:color w:val="auto"/>
          <w:sz w:val="24"/>
          <w:szCs w:val="24"/>
        </w:rPr>
        <w:t>编号：</w:t>
      </w:r>
      <w:r>
        <w:rPr>
          <w:rFonts w:hint="eastAsia" w:ascii="宋体" w:hAnsi="宋体"/>
          <w:color w:val="auto"/>
          <w:sz w:val="24"/>
          <w:szCs w:val="24"/>
        </w:rPr>
        <w:t>LBGZ[2026]051-GC008</w:t>
      </w:r>
      <w:r>
        <w:rPr>
          <w:rFonts w:hint="eastAsia" w:ascii="宋体" w:hAnsi="宋体"/>
          <w:color w:val="auto"/>
          <w:sz w:val="24"/>
          <w:szCs w:val="24"/>
          <w:lang w:val="en-US" w:eastAsia="zh-CN"/>
        </w:rPr>
        <w:t>；灵宝公开采购-2026-15；</w:t>
      </w:r>
    </w:p>
    <w:p w14:paraId="302FDAD7">
      <w:pPr>
        <w:pStyle w:val="24"/>
        <w:spacing w:line="420" w:lineRule="exact"/>
        <w:ind w:firstLine="480" w:firstLineChars="200"/>
        <w:jc w:val="left"/>
        <w:rPr>
          <w:rFonts w:ascii="宋体" w:hAnsi="宋体" w:cs="宋体"/>
          <w:bCs/>
          <w:sz w:val="24"/>
        </w:rPr>
      </w:pPr>
      <w:r>
        <w:rPr>
          <w:rFonts w:hint="eastAsia" w:ascii="宋体" w:hAnsi="宋体"/>
          <w:sz w:val="24"/>
          <w:szCs w:val="24"/>
        </w:rPr>
        <w:t>3</w:t>
      </w:r>
      <w:r>
        <w:rPr>
          <w:rFonts w:ascii="宋体" w:hAnsi="宋体"/>
          <w:sz w:val="24"/>
          <w:szCs w:val="24"/>
        </w:rPr>
        <w:t>、</w:t>
      </w:r>
      <w:r>
        <w:rPr>
          <w:rFonts w:hint="eastAsia" w:ascii="宋体" w:hAnsi="宋体"/>
          <w:sz w:val="24"/>
          <w:szCs w:val="24"/>
        </w:rPr>
        <w:t>项目概况：本项目为尹庄镇Y008线留村村-寺洼村-唐窑村道路维修工程。项目起点位于唐窑村南村口，路线沿既有村道向南上跨S74灵宝绕城高速后经灵子沟至原上村，于K4+117处向北沿既有村道前行，于K7+484.5处下穿S74灵宝绕城高速后经留村至终点，终点位于唐窑村北村口与现有村内主路平面交叉，路线全长8.641公里。主要建设内容为：路基工程、路面工程、防护工程、排水工程、平面交叉工程、安全设施工程等；具体工程数量详见施工图纸及工程量清单。</w:t>
      </w:r>
    </w:p>
    <w:p w14:paraId="082008C0">
      <w:pPr>
        <w:tabs>
          <w:tab w:val="left" w:pos="2020"/>
          <w:tab w:val="center" w:pos="4153"/>
        </w:tabs>
        <w:spacing w:line="420" w:lineRule="exact"/>
        <w:ind w:firstLine="480"/>
        <w:rPr>
          <w:rFonts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招标范围</w:t>
      </w:r>
      <w:r>
        <w:rPr>
          <w:rFonts w:ascii="宋体" w:hAnsi="宋体"/>
          <w:sz w:val="24"/>
          <w:szCs w:val="24"/>
        </w:rPr>
        <w:t>：</w:t>
      </w:r>
      <w:r>
        <w:rPr>
          <w:rFonts w:hint="eastAsia" w:ascii="宋体" w:hAnsi="宋体"/>
          <w:sz w:val="24"/>
        </w:rPr>
        <w:t>本项目招标文件、补充文件、施工图纸、工程量清单及答疑文件等列明的所有建设内容。</w:t>
      </w:r>
    </w:p>
    <w:p w14:paraId="31C481EB">
      <w:pPr>
        <w:spacing w:line="420" w:lineRule="exact"/>
        <w:ind w:firstLine="480" w:firstLineChars="200"/>
        <w:jc w:val="left"/>
        <w:rPr>
          <w:rFonts w:ascii="宋体" w:hAnsi="宋体"/>
          <w:sz w:val="24"/>
          <w:szCs w:val="24"/>
        </w:rPr>
      </w:pPr>
      <w:r>
        <w:rPr>
          <w:rFonts w:hint="eastAsia" w:ascii="宋体" w:hAnsi="宋体"/>
          <w:sz w:val="24"/>
          <w:szCs w:val="24"/>
        </w:rPr>
        <w:t>5、招标控制价：411.678585万元。</w:t>
      </w:r>
    </w:p>
    <w:p w14:paraId="09CE5F45">
      <w:pPr>
        <w:spacing w:line="420" w:lineRule="exact"/>
        <w:ind w:firstLine="480" w:firstLineChars="200"/>
        <w:jc w:val="left"/>
        <w:rPr>
          <w:rFonts w:ascii="宋体" w:hAnsi="宋体"/>
          <w:sz w:val="24"/>
          <w:szCs w:val="24"/>
        </w:rPr>
      </w:pPr>
      <w:r>
        <w:rPr>
          <w:rFonts w:hint="eastAsia" w:ascii="宋体" w:hAnsi="宋体"/>
          <w:sz w:val="24"/>
          <w:szCs w:val="24"/>
        </w:rPr>
        <w:t>6、资金来源：上级补助和地方财政配套资金。</w:t>
      </w:r>
    </w:p>
    <w:p w14:paraId="14E37CD9">
      <w:pPr>
        <w:spacing w:line="420" w:lineRule="exact"/>
        <w:ind w:firstLine="480" w:firstLineChars="200"/>
        <w:jc w:val="left"/>
        <w:rPr>
          <w:rFonts w:ascii="宋体" w:hAnsi="宋体"/>
          <w:sz w:val="24"/>
          <w:szCs w:val="24"/>
        </w:rPr>
      </w:pPr>
      <w:r>
        <w:rPr>
          <w:rFonts w:hint="eastAsia" w:ascii="宋体" w:hAnsi="宋体"/>
          <w:sz w:val="24"/>
          <w:szCs w:val="24"/>
        </w:rPr>
        <w:t>7</w:t>
      </w:r>
      <w:r>
        <w:rPr>
          <w:rFonts w:ascii="宋体" w:hAnsi="宋体"/>
          <w:sz w:val="24"/>
          <w:szCs w:val="24"/>
        </w:rPr>
        <w:t>、质量要求：</w:t>
      </w:r>
      <w:r>
        <w:rPr>
          <w:rFonts w:hint="eastAsia" w:ascii="宋体" w:hAnsi="宋体" w:cs="宋体"/>
          <w:sz w:val="24"/>
          <w:szCs w:val="24"/>
        </w:rPr>
        <w:t>符合国家现行公路工程施工质量评定标准合格标准。</w:t>
      </w:r>
    </w:p>
    <w:p w14:paraId="3E5C4B9D">
      <w:pPr>
        <w:spacing w:line="420" w:lineRule="exact"/>
        <w:ind w:firstLine="480" w:firstLineChars="200"/>
        <w:rPr>
          <w:rFonts w:ascii="宋体" w:hAnsi="宋体"/>
          <w:color w:val="auto"/>
          <w:sz w:val="24"/>
          <w:szCs w:val="24"/>
        </w:rPr>
      </w:pPr>
      <w:r>
        <w:rPr>
          <w:rFonts w:hint="eastAsia" w:ascii="宋体" w:hAnsi="宋体"/>
          <w:color w:val="auto"/>
          <w:sz w:val="24"/>
          <w:szCs w:val="24"/>
        </w:rPr>
        <w:t>8、计划工期：</w:t>
      </w:r>
      <w:r>
        <w:rPr>
          <w:rFonts w:hint="eastAsia" w:ascii="宋体" w:hAnsi="宋体"/>
          <w:color w:val="auto"/>
          <w:sz w:val="24"/>
          <w:szCs w:val="24"/>
          <w:lang w:val="en-US" w:eastAsia="zh-CN"/>
        </w:rPr>
        <w:t>60</w:t>
      </w:r>
      <w:r>
        <w:rPr>
          <w:rFonts w:hint="eastAsia" w:ascii="宋体" w:hAnsi="宋体"/>
          <w:color w:val="auto"/>
          <w:sz w:val="24"/>
          <w:szCs w:val="24"/>
        </w:rPr>
        <w:t>日历天。</w:t>
      </w:r>
    </w:p>
    <w:p w14:paraId="269865FE">
      <w:pPr>
        <w:spacing w:line="420" w:lineRule="exact"/>
        <w:ind w:firstLine="480" w:firstLineChars="200"/>
        <w:jc w:val="left"/>
        <w:rPr>
          <w:rFonts w:ascii="宋体" w:hAnsi="宋体"/>
          <w:sz w:val="24"/>
          <w:szCs w:val="24"/>
        </w:rPr>
      </w:pPr>
      <w:r>
        <w:rPr>
          <w:rFonts w:hint="eastAsia" w:ascii="宋体" w:hAnsi="宋体"/>
          <w:sz w:val="24"/>
          <w:szCs w:val="24"/>
        </w:rPr>
        <w:t>9、安全目标：安全生产零事故。</w:t>
      </w:r>
    </w:p>
    <w:p w14:paraId="15B1494D">
      <w:pPr>
        <w:spacing w:line="420" w:lineRule="exact"/>
        <w:ind w:firstLine="480" w:firstLineChars="200"/>
        <w:jc w:val="left"/>
        <w:rPr>
          <w:rFonts w:ascii="宋体" w:hAnsi="宋体"/>
          <w:sz w:val="24"/>
          <w:szCs w:val="24"/>
        </w:rPr>
      </w:pPr>
      <w:r>
        <w:rPr>
          <w:rFonts w:hint="eastAsia" w:ascii="宋体" w:hAnsi="宋体"/>
          <w:sz w:val="24"/>
          <w:szCs w:val="24"/>
        </w:rPr>
        <w:t>10</w:t>
      </w:r>
      <w:r>
        <w:rPr>
          <w:rFonts w:ascii="宋体" w:hAnsi="宋体"/>
          <w:sz w:val="24"/>
          <w:szCs w:val="24"/>
        </w:rPr>
        <w:t>、标段划分：本项目</w:t>
      </w:r>
      <w:r>
        <w:rPr>
          <w:rFonts w:hint="eastAsia" w:ascii="宋体" w:hAnsi="宋体"/>
          <w:sz w:val="24"/>
          <w:szCs w:val="24"/>
        </w:rPr>
        <w:t>不分</w:t>
      </w:r>
      <w:r>
        <w:rPr>
          <w:rFonts w:ascii="宋体" w:hAnsi="宋体"/>
          <w:sz w:val="24"/>
          <w:szCs w:val="24"/>
        </w:rPr>
        <w:t>标段</w:t>
      </w:r>
      <w:r>
        <w:rPr>
          <w:rFonts w:hint="eastAsia" w:ascii="宋体" w:hAnsi="宋体"/>
          <w:sz w:val="24"/>
          <w:szCs w:val="24"/>
        </w:rPr>
        <w:t>。</w:t>
      </w:r>
    </w:p>
    <w:p w14:paraId="6087FC95">
      <w:pPr>
        <w:spacing w:line="420" w:lineRule="exact"/>
        <w:ind w:left="210" w:leftChars="100" w:firstLine="240" w:firstLineChars="100"/>
        <w:rPr>
          <w:rFonts w:ascii="宋体" w:hAnsi="宋体"/>
          <w:sz w:val="24"/>
          <w:szCs w:val="24"/>
        </w:rPr>
      </w:pPr>
      <w:r>
        <w:rPr>
          <w:rFonts w:hint="eastAsia" w:ascii="宋体" w:hAnsi="宋体"/>
          <w:sz w:val="24"/>
          <w:szCs w:val="24"/>
        </w:rPr>
        <w:t>11、本项目采用“评定分离”方式，定标方法采用核查随机法。</w:t>
      </w:r>
    </w:p>
    <w:p w14:paraId="03829940">
      <w:pPr>
        <w:spacing w:line="420" w:lineRule="exact"/>
        <w:ind w:left="210" w:leftChars="100" w:firstLine="241" w:firstLineChars="100"/>
        <w:rPr>
          <w:rFonts w:ascii="宋体" w:hAnsi="宋体"/>
          <w:b/>
          <w:bCs/>
          <w:sz w:val="24"/>
          <w:szCs w:val="24"/>
        </w:rPr>
      </w:pPr>
      <w:r>
        <w:rPr>
          <w:rFonts w:hint="eastAsia" w:ascii="宋体" w:hAnsi="宋体"/>
          <w:b/>
          <w:bCs/>
          <w:sz w:val="24"/>
          <w:szCs w:val="24"/>
        </w:rPr>
        <w:t>三、投标人资格要求：</w:t>
      </w:r>
    </w:p>
    <w:p w14:paraId="140F049E">
      <w:pPr>
        <w:spacing w:line="420" w:lineRule="exact"/>
        <w:ind w:firstLine="480" w:firstLineChars="200"/>
        <w:jc w:val="left"/>
        <w:rPr>
          <w:rFonts w:ascii="宋体" w:hAnsi="宋体"/>
          <w:sz w:val="24"/>
          <w:szCs w:val="24"/>
        </w:rPr>
      </w:pPr>
      <w:r>
        <w:rPr>
          <w:rFonts w:hint="eastAsia" w:ascii="宋体" w:hAnsi="宋体"/>
          <w:sz w:val="24"/>
          <w:szCs w:val="24"/>
        </w:rPr>
        <w:t>1、投标人须具有独立承担民事责任的能力，提供有效的营业执照；</w:t>
      </w:r>
    </w:p>
    <w:p w14:paraId="1176E81E">
      <w:pPr>
        <w:spacing w:line="420" w:lineRule="exact"/>
        <w:ind w:firstLine="480" w:firstLineChars="200"/>
        <w:jc w:val="left"/>
        <w:rPr>
          <w:rFonts w:ascii="宋体" w:hAnsi="宋体"/>
          <w:sz w:val="24"/>
          <w:szCs w:val="24"/>
        </w:rPr>
      </w:pPr>
      <w:r>
        <w:rPr>
          <w:rFonts w:hint="eastAsia" w:ascii="宋体" w:hAnsi="宋体"/>
          <w:sz w:val="24"/>
          <w:szCs w:val="24"/>
        </w:rPr>
        <w:t>2、投标人应具备公路工程施工总承包三级及以上资质，有效的安全生产许可证，并在人员、设备、资金等方面具有相应的施工能力；</w:t>
      </w:r>
    </w:p>
    <w:p w14:paraId="239AAECC">
      <w:pPr>
        <w:spacing w:line="420" w:lineRule="exact"/>
        <w:ind w:firstLine="504" w:firstLineChars="200"/>
        <w:jc w:val="left"/>
        <w:rPr>
          <w:rFonts w:ascii="宋体" w:hAnsi="宋体"/>
          <w:sz w:val="24"/>
          <w:szCs w:val="24"/>
        </w:rPr>
      </w:pPr>
      <w:r>
        <w:rPr>
          <w:rFonts w:hint="eastAsia" w:ascii="宋体" w:hAnsi="宋体"/>
          <w:spacing w:val="6"/>
          <w:sz w:val="24"/>
          <w:szCs w:val="24"/>
        </w:rPr>
        <w:t>3、拟派项目经理须具备公路工程专业贰级及以上注册建造师资格、安全生产考核</w:t>
      </w:r>
      <w:r>
        <w:rPr>
          <w:rFonts w:hint="eastAsia" w:ascii="宋体" w:hAnsi="宋体"/>
          <w:spacing w:val="11"/>
          <w:sz w:val="24"/>
          <w:szCs w:val="24"/>
        </w:rPr>
        <w:t>合格证（交安B证），并出具项目经理无在建</w:t>
      </w:r>
      <w:r>
        <w:rPr>
          <w:rFonts w:hint="eastAsia" w:ascii="宋体" w:hAnsi="宋体"/>
          <w:spacing w:val="6"/>
          <w:sz w:val="24"/>
          <w:szCs w:val="24"/>
        </w:rPr>
        <w:t>工程承诺书，技术负责人应具备相关专业的中级及以上技</w:t>
      </w:r>
      <w:r>
        <w:rPr>
          <w:rFonts w:hint="eastAsia" w:ascii="宋体" w:hAnsi="宋体"/>
          <w:spacing w:val="11"/>
          <w:sz w:val="24"/>
          <w:szCs w:val="24"/>
        </w:rPr>
        <w:t>术职</w:t>
      </w:r>
      <w:r>
        <w:rPr>
          <w:rFonts w:hint="eastAsia" w:ascii="宋体" w:hAnsi="宋体"/>
          <w:spacing w:val="6"/>
          <w:sz w:val="24"/>
          <w:szCs w:val="24"/>
        </w:rPr>
        <w:t>称（</w:t>
      </w:r>
      <w:r>
        <w:rPr>
          <w:rFonts w:hint="eastAsia" w:ascii="宋体" w:hAnsi="宋体"/>
          <w:sz w:val="24"/>
          <w:szCs w:val="24"/>
        </w:rPr>
        <w:t>提供项目经理和技术负责人在本企业缴纳</w:t>
      </w:r>
      <w:r>
        <w:rPr>
          <w:rFonts w:ascii="宋体" w:hAnsi="宋体"/>
          <w:sz w:val="24"/>
          <w:szCs w:val="24"/>
        </w:rPr>
        <w:t>社会养老保险的缴费证明</w:t>
      </w:r>
      <w:r>
        <w:rPr>
          <w:rFonts w:hint="eastAsia" w:ascii="宋体" w:hAnsi="宋体"/>
          <w:spacing w:val="6"/>
          <w:sz w:val="24"/>
          <w:szCs w:val="24"/>
        </w:rPr>
        <w:t>）</w:t>
      </w:r>
      <w:r>
        <w:rPr>
          <w:rFonts w:hint="eastAsia" w:ascii="宋体" w:hAnsi="宋体"/>
          <w:sz w:val="24"/>
          <w:szCs w:val="24"/>
        </w:rPr>
        <w:t>；</w:t>
      </w:r>
    </w:p>
    <w:p w14:paraId="25EBCCF2">
      <w:pPr>
        <w:spacing w:line="420" w:lineRule="exact"/>
        <w:ind w:firstLine="480" w:firstLineChars="200"/>
        <w:jc w:val="left"/>
        <w:rPr>
          <w:rFonts w:ascii="宋体" w:hAnsi="宋体"/>
          <w:sz w:val="24"/>
          <w:szCs w:val="24"/>
        </w:rPr>
      </w:pPr>
      <w:r>
        <w:rPr>
          <w:rFonts w:hint="eastAsia" w:ascii="宋体" w:hAnsi="宋体"/>
          <w:sz w:val="24"/>
          <w:szCs w:val="24"/>
        </w:rPr>
        <w:t>4、投标人自行出具本单位无商业贿赂及无不正当竞争行为的承诺书；</w:t>
      </w:r>
    </w:p>
    <w:p w14:paraId="030EEF87">
      <w:pPr>
        <w:spacing w:line="420" w:lineRule="exact"/>
        <w:ind w:firstLine="480" w:firstLineChars="200"/>
        <w:jc w:val="left"/>
        <w:rPr>
          <w:rFonts w:ascii="宋体" w:hAnsi="宋体"/>
          <w:sz w:val="24"/>
          <w:szCs w:val="24"/>
        </w:rPr>
      </w:pPr>
      <w:r>
        <w:rPr>
          <w:rFonts w:hint="eastAsia" w:ascii="宋体" w:hAnsi="宋体"/>
          <w:sz w:val="24"/>
          <w:szCs w:val="24"/>
        </w:rPr>
        <w:t>5、投标人出具无行贿犯罪记录在中国裁判文书网自行查询或自行承诺（查询对象：企业、法定代表人、拟派项目经理）；</w:t>
      </w:r>
    </w:p>
    <w:p w14:paraId="0BBB111C">
      <w:pPr>
        <w:spacing w:line="420" w:lineRule="exact"/>
        <w:ind w:firstLine="480" w:firstLineChars="200"/>
        <w:jc w:val="left"/>
        <w:rPr>
          <w:rFonts w:ascii="宋体" w:hAnsi="宋体"/>
          <w:sz w:val="24"/>
          <w:szCs w:val="24"/>
        </w:rPr>
      </w:pPr>
      <w:r>
        <w:rPr>
          <w:rFonts w:hint="eastAsia" w:ascii="宋体" w:hAnsi="宋体"/>
          <w:sz w:val="24"/>
          <w:szCs w:val="24"/>
        </w:rPr>
        <w:t>6、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信用中国”网站（www.creditchina.gov.cn）</w:t>
      </w:r>
      <w:r>
        <w:rPr>
          <w:rFonts w:hint="eastAsia" w:ascii="宋体" w:hAnsi="宋体"/>
          <w:spacing w:val="6"/>
          <w:sz w:val="24"/>
          <w:szCs w:val="24"/>
        </w:rPr>
        <w:t>，查询内容：重大税收违法失信主体、政府采购严重违法失信行为；“中国执行信息公开网”（http://zxgk.court.gov.cn），查询内容：失信被执行人；</w:t>
      </w:r>
      <w:r>
        <w:rPr>
          <w:rFonts w:hint="eastAsia" w:ascii="宋体" w:hAnsi="宋体"/>
          <w:sz w:val="24"/>
          <w:szCs w:val="24"/>
        </w:rPr>
        <w:t>中国政府采购网（www.ccgp.gov.cn），查询内容：</w:t>
      </w:r>
      <w:r>
        <w:rPr>
          <w:rFonts w:hint="eastAsia" w:ascii="宋体" w:hAnsi="宋体"/>
          <w:spacing w:val="6"/>
          <w:sz w:val="24"/>
          <w:szCs w:val="24"/>
        </w:rPr>
        <w:t>政府采购严重违法失信行为记录名单</w:t>
      </w:r>
      <w:r>
        <w:rPr>
          <w:rFonts w:hint="eastAsia" w:ascii="宋体" w:hAnsi="宋体"/>
          <w:sz w:val="24"/>
          <w:szCs w:val="24"/>
        </w:rPr>
        <w:t>】；投标人须提供查询结果截图，查询日期为本公告发布之日起；</w:t>
      </w:r>
    </w:p>
    <w:p w14:paraId="152F1859">
      <w:pPr>
        <w:spacing w:line="420" w:lineRule="exact"/>
        <w:ind w:firstLine="420" w:firstLineChars="175"/>
        <w:jc w:val="left"/>
        <w:rPr>
          <w:rFonts w:ascii="宋体" w:hAnsi="宋体"/>
          <w:sz w:val="24"/>
          <w:szCs w:val="24"/>
        </w:rPr>
      </w:pPr>
      <w:r>
        <w:rPr>
          <w:rFonts w:hint="eastAsia" w:ascii="宋体" w:hAnsi="宋体"/>
          <w:sz w:val="24"/>
          <w:szCs w:val="24"/>
        </w:rPr>
        <w:t>7、单位负责人为同一人或者存在控股、管理关系的不同投标人，不得同时参加本项目招标活动（提供“国家企业信用信息公示系统”http://www.gsxt.gov.cn/index.html网页查询，需包含公司基本信息、股东信息及股权变更信息内容）；</w:t>
      </w:r>
    </w:p>
    <w:p w14:paraId="0EEF6723">
      <w:pPr>
        <w:spacing w:line="420" w:lineRule="exact"/>
        <w:ind w:firstLine="420" w:firstLineChars="175"/>
        <w:jc w:val="left"/>
        <w:rPr>
          <w:rFonts w:ascii="宋体" w:hAnsi="宋体"/>
          <w:sz w:val="24"/>
          <w:szCs w:val="24"/>
        </w:rPr>
      </w:pPr>
      <w:r>
        <w:rPr>
          <w:rFonts w:hint="eastAsia" w:ascii="宋体" w:hAnsi="宋体"/>
          <w:sz w:val="24"/>
          <w:szCs w:val="24"/>
        </w:rPr>
        <w:t>8、本项目不接受联合体投标；</w:t>
      </w:r>
    </w:p>
    <w:p w14:paraId="15D06A40">
      <w:pPr>
        <w:spacing w:line="420" w:lineRule="exact"/>
        <w:ind w:firstLine="420" w:firstLineChars="175"/>
        <w:jc w:val="left"/>
        <w:rPr>
          <w:rFonts w:ascii="宋体" w:hAnsi="宋体"/>
          <w:sz w:val="24"/>
          <w:szCs w:val="24"/>
        </w:rPr>
      </w:pPr>
      <w:r>
        <w:rPr>
          <w:rFonts w:hint="eastAsia" w:ascii="宋体" w:hAnsi="宋体"/>
          <w:sz w:val="24"/>
          <w:szCs w:val="24"/>
        </w:rPr>
        <w:t>9、本次招标实行资格后审，资格评审以投标文件为准，其上传资料真实性由投标人自行承担。</w:t>
      </w:r>
    </w:p>
    <w:p w14:paraId="3DDFF4F7">
      <w:pPr>
        <w:spacing w:line="420" w:lineRule="exact"/>
        <w:rPr>
          <w:rFonts w:ascii="宋体" w:hAnsi="宋体"/>
          <w:sz w:val="24"/>
          <w:szCs w:val="24"/>
        </w:rPr>
      </w:pPr>
      <w:r>
        <w:rPr>
          <w:rFonts w:hint="eastAsia" w:ascii="宋体" w:hAnsi="宋体"/>
          <w:sz w:val="24"/>
          <w:szCs w:val="24"/>
        </w:rPr>
        <w:t xml:space="preserve"> </w:t>
      </w:r>
      <w:r>
        <w:rPr>
          <w:rFonts w:hint="eastAsia" w:ascii="宋体" w:hAnsi="宋体"/>
          <w:b/>
          <w:bCs/>
          <w:sz w:val="24"/>
          <w:szCs w:val="24"/>
        </w:rPr>
        <w:t xml:space="preserve">   四、招标文件的获取方式</w:t>
      </w:r>
      <w:r>
        <w:rPr>
          <w:rFonts w:hint="eastAsia" w:ascii="宋体" w:hAnsi="宋体"/>
          <w:sz w:val="24"/>
          <w:szCs w:val="24"/>
        </w:rPr>
        <w:t xml:space="preserve">： </w:t>
      </w:r>
    </w:p>
    <w:p w14:paraId="0C7B2A0A">
      <w:pPr>
        <w:pStyle w:val="17"/>
        <w:spacing w:before="0" w:beforeAutospacing="0" w:after="0" w:afterAutospacing="0" w:line="420" w:lineRule="exact"/>
        <w:ind w:firstLine="480" w:firstLineChars="200"/>
        <w:rPr>
          <w:szCs w:val="28"/>
        </w:rPr>
      </w:pPr>
      <w:r>
        <w:rPr>
          <w:rFonts w:hint="eastAsia"/>
        </w:rPr>
        <w:t>1、招标文件获取方式：</w:t>
      </w:r>
      <w:r>
        <w:rPr>
          <w:rFonts w:hint="eastAsia"/>
          <w:szCs w:val="28"/>
        </w:rPr>
        <w:t>本项目没有报名环节，投标人凭CA数字证书通过三门峡市公共资源交易中心网（</w:t>
      </w:r>
      <w:r>
        <w:rPr>
          <w:rFonts w:hint="eastAsia"/>
        </w:rPr>
        <w:t>网址：http://gzjy.smx.gov.cn/</w:t>
      </w:r>
      <w:r>
        <w:rPr>
          <w:rFonts w:hint="eastAsia"/>
          <w:szCs w:val="28"/>
        </w:rPr>
        <w:t>），点击交易平台选择“市场主体登录”，在所参与项目右侧点击参与投标，即可直接下载本项目招标文件（包含图纸、清单等投标所需一切内容）。</w:t>
      </w:r>
    </w:p>
    <w:p w14:paraId="27AAC0E1">
      <w:pPr>
        <w:pStyle w:val="17"/>
        <w:spacing w:before="0" w:beforeAutospacing="0" w:after="0" w:afterAutospacing="0" w:line="420" w:lineRule="exact"/>
        <w:ind w:firstLine="480"/>
        <w:rPr>
          <w:szCs w:val="28"/>
        </w:rPr>
      </w:pPr>
      <w:r>
        <w:rPr>
          <w:rFonts w:hint="eastAsia"/>
          <w:szCs w:val="28"/>
        </w:rPr>
        <w:t>具体操作请查看以下链接：</w:t>
      </w:r>
    </w:p>
    <w:p w14:paraId="4D43E5CD">
      <w:pPr>
        <w:pStyle w:val="17"/>
        <w:spacing w:before="0" w:beforeAutospacing="0" w:after="0" w:afterAutospacing="0" w:line="420" w:lineRule="exact"/>
        <w:ind w:firstLine="480"/>
        <w:rPr>
          <w:szCs w:val="28"/>
        </w:rPr>
      </w:pPr>
      <w:r>
        <w:rPr>
          <w:rFonts w:hint="eastAsia"/>
        </w:rPr>
        <w:t>http://gzjy.smx.gov.cn/bzzx/008001/20211105/57b16af9-ab87-4395-a723-7758c628a3f8.html</w:t>
      </w:r>
    </w:p>
    <w:p w14:paraId="57C1B088">
      <w:pPr>
        <w:pStyle w:val="17"/>
        <w:spacing w:before="0" w:beforeAutospacing="0" w:after="0" w:afterAutospacing="0" w:line="420" w:lineRule="exact"/>
        <w:ind w:firstLine="480"/>
        <w:rPr>
          <w:szCs w:val="28"/>
        </w:rPr>
      </w:pPr>
      <w:r>
        <w:rPr>
          <w:rFonts w:hint="eastAsia"/>
          <w:szCs w:val="28"/>
        </w:rPr>
        <w:t>办理CA证书：</w:t>
      </w:r>
    </w:p>
    <w:p w14:paraId="2F179758">
      <w:pPr>
        <w:spacing w:line="420" w:lineRule="exact"/>
        <w:ind w:firstLine="371" w:firstLineChars="177"/>
        <w:rPr>
          <w:rFonts w:ascii="宋体" w:hAnsi="宋体" w:cs="宋体"/>
          <w:sz w:val="24"/>
          <w:szCs w:val="24"/>
        </w:rPr>
      </w:pPr>
      <w:r>
        <w:fldChar w:fldCharType="begin"/>
      </w:r>
      <w:r>
        <w:instrText xml:space="preserve"> HYPERLINK "http://gzjy.smx.gov.cn/bzzx/008001/20231102/4defc9b5-408e-47f2-9e9f-1f376a06ee1f.html" </w:instrText>
      </w:r>
      <w:r>
        <w:fldChar w:fldCharType="separate"/>
      </w:r>
      <w:r>
        <w:rPr>
          <w:rFonts w:hint="eastAsia" w:ascii="宋体" w:hAnsi="宋体" w:cs="宋体"/>
          <w:sz w:val="24"/>
          <w:szCs w:val="24"/>
        </w:rPr>
        <w:t>http://gzjy.smx.gov.cn/bzzx/008001/20231102/4defc9b5-408e-47f2-9e9f-1f376a06ee1f.html</w:t>
      </w:r>
      <w:r>
        <w:rPr>
          <w:rFonts w:hint="eastAsia" w:ascii="宋体" w:hAnsi="宋体" w:cs="宋体"/>
          <w:sz w:val="24"/>
          <w:szCs w:val="24"/>
        </w:rPr>
        <w:fldChar w:fldCharType="end"/>
      </w:r>
    </w:p>
    <w:p w14:paraId="7A64A4A3">
      <w:pPr>
        <w:spacing w:line="420" w:lineRule="exact"/>
        <w:ind w:firstLine="480" w:firstLineChars="200"/>
      </w:pPr>
      <w:r>
        <w:rPr>
          <w:rFonts w:hint="eastAsia" w:ascii="宋体" w:hAnsi="宋体"/>
          <w:sz w:val="24"/>
          <w:szCs w:val="24"/>
        </w:rPr>
        <w:t>2、招标文件下载时间：2026年4月</w:t>
      </w:r>
      <w:r>
        <w:rPr>
          <w:rFonts w:hint="eastAsia" w:ascii="宋体" w:hAnsi="宋体"/>
          <w:sz w:val="24"/>
          <w:szCs w:val="24"/>
          <w:lang w:val="en-US" w:eastAsia="zh-CN"/>
        </w:rPr>
        <w:t>15</w:t>
      </w:r>
      <w:r>
        <w:rPr>
          <w:rFonts w:hint="eastAsia" w:ascii="宋体" w:hAnsi="宋体"/>
          <w:sz w:val="24"/>
          <w:szCs w:val="24"/>
        </w:rPr>
        <w:t>日至</w:t>
      </w:r>
      <w:r>
        <w:rPr>
          <w:rFonts w:hint="eastAsia" w:ascii="宋体" w:hAnsi="宋体"/>
          <w:sz w:val="24"/>
          <w:szCs w:val="24"/>
          <w:lang w:eastAsia="zh-CN"/>
        </w:rPr>
        <w:t>2026年5月8日8时30分</w:t>
      </w:r>
      <w:r>
        <w:rPr>
          <w:rFonts w:hint="eastAsia" w:ascii="宋体" w:hAnsi="宋体"/>
          <w:sz w:val="24"/>
          <w:szCs w:val="24"/>
        </w:rPr>
        <w:t>。</w:t>
      </w:r>
    </w:p>
    <w:p w14:paraId="5206BC1E">
      <w:pPr>
        <w:spacing w:line="420" w:lineRule="exact"/>
        <w:ind w:firstLine="480" w:firstLineChars="200"/>
        <w:rPr>
          <w:rFonts w:ascii="宋体" w:hAnsi="宋体"/>
          <w:sz w:val="24"/>
          <w:szCs w:val="28"/>
        </w:rPr>
      </w:pPr>
      <w:r>
        <w:rPr>
          <w:rFonts w:hint="eastAsia" w:ascii="宋体" w:hAnsi="宋体"/>
          <w:sz w:val="24"/>
          <w:szCs w:val="28"/>
        </w:rPr>
        <w:t>3、本项目采用全电子化招标，不再收取招标文件费。</w:t>
      </w:r>
    </w:p>
    <w:p w14:paraId="3383CB93">
      <w:pPr>
        <w:spacing w:line="420" w:lineRule="exact"/>
        <w:ind w:firstLine="484" w:firstLineChars="202"/>
        <w:rPr>
          <w:rFonts w:ascii="宋体" w:hAnsi="宋体"/>
          <w:sz w:val="24"/>
          <w:szCs w:val="28"/>
        </w:rPr>
      </w:pPr>
      <w:r>
        <w:rPr>
          <w:rFonts w:hint="eastAsia" w:ascii="宋体" w:hAnsi="宋体"/>
          <w:sz w:val="24"/>
          <w:szCs w:val="28"/>
        </w:rPr>
        <w:t>注：本项目为不见面开标项目，开标当日，投标人无需到开标现场参加开标会议，投标人应当在开标（投标）截止时间前，登陆不见面开标大厅选择登陆三门峡市公共资源电子招投标系统进行登陆（网址为</w:t>
      </w:r>
    </w:p>
    <w:p w14:paraId="1DBF480C">
      <w:pPr>
        <w:spacing w:line="420" w:lineRule="exact"/>
        <w:ind w:firstLine="484" w:firstLineChars="202"/>
        <w:rPr>
          <w:rFonts w:ascii="宋体" w:hAnsi="宋体"/>
          <w:sz w:val="24"/>
          <w:szCs w:val="28"/>
        </w:rPr>
      </w:pPr>
      <w:r>
        <w:rPr>
          <w:rFonts w:hint="eastAsia" w:ascii="宋体" w:hAnsi="宋体"/>
          <w:sz w:val="24"/>
          <w:szCs w:val="24"/>
        </w:rPr>
        <w:t>http://120.194.249.36:10094/BidOpening/bidopeninghallaction/hall/login</w:t>
      </w:r>
      <w:r>
        <w:rPr>
          <w:rFonts w:hint="eastAsia" w:ascii="宋体" w:hAnsi="宋体"/>
          <w:sz w:val="24"/>
          <w:szCs w:val="28"/>
        </w:rPr>
        <w:t>）,在线准时参加开标活动并进行投标文件解密等。每位投标人的解密时间为开标时间起30分钟内完成。因投标人原因未能解密、解密失败或解密超时的将被拒绝。</w:t>
      </w:r>
    </w:p>
    <w:p w14:paraId="267FBBA8">
      <w:pPr>
        <w:spacing w:line="420" w:lineRule="exact"/>
        <w:ind w:firstLine="482" w:firstLineChars="200"/>
        <w:rPr>
          <w:rFonts w:ascii="宋体" w:hAnsi="宋体"/>
          <w:b/>
          <w:bCs/>
          <w:sz w:val="24"/>
          <w:szCs w:val="24"/>
        </w:rPr>
      </w:pPr>
      <w:r>
        <w:rPr>
          <w:rFonts w:hint="eastAsia" w:ascii="宋体" w:hAnsi="宋体"/>
          <w:b/>
          <w:bCs/>
          <w:sz w:val="24"/>
          <w:szCs w:val="24"/>
        </w:rPr>
        <w:t>五、投标保证金：</w:t>
      </w:r>
    </w:p>
    <w:p w14:paraId="3AB059EF">
      <w:pPr>
        <w:spacing w:line="420" w:lineRule="exact"/>
        <w:ind w:firstLine="480" w:firstLineChars="200"/>
        <w:rPr>
          <w:rFonts w:ascii="宋体" w:hAnsi="宋体"/>
          <w:sz w:val="24"/>
          <w:szCs w:val="24"/>
        </w:rPr>
      </w:pPr>
      <w:r>
        <w:rPr>
          <w:rFonts w:hint="eastAsia" w:ascii="宋体" w:hAnsi="宋体"/>
          <w:sz w:val="24"/>
          <w:szCs w:val="24"/>
        </w:rPr>
        <w:t>1、投标保证金数额：捌万元整（￥80000.00元）。</w:t>
      </w:r>
    </w:p>
    <w:p w14:paraId="353D17AA">
      <w:pPr>
        <w:spacing w:line="420" w:lineRule="exact"/>
        <w:ind w:firstLine="480" w:firstLineChars="200"/>
        <w:rPr>
          <w:rFonts w:ascii="宋体" w:hAnsi="宋体"/>
          <w:sz w:val="24"/>
          <w:szCs w:val="24"/>
        </w:rPr>
      </w:pPr>
      <w:r>
        <w:rPr>
          <w:rFonts w:hint="eastAsia" w:ascii="宋体" w:hAnsi="宋体"/>
          <w:sz w:val="24"/>
          <w:szCs w:val="24"/>
        </w:rPr>
        <w:t>2、投标保证金递交的截止时间：</w:t>
      </w:r>
      <w:r>
        <w:rPr>
          <w:rFonts w:hint="eastAsia" w:ascii="宋体" w:hAnsi="宋体"/>
          <w:sz w:val="24"/>
          <w:szCs w:val="24"/>
          <w:lang w:eastAsia="zh-CN"/>
        </w:rPr>
        <w:t>2026年5月8日8时30分</w:t>
      </w:r>
      <w:r>
        <w:rPr>
          <w:rFonts w:hint="eastAsia" w:ascii="宋体" w:hAnsi="宋体"/>
          <w:sz w:val="24"/>
          <w:szCs w:val="24"/>
        </w:rPr>
        <w:t xml:space="preserve">。 </w:t>
      </w:r>
    </w:p>
    <w:p w14:paraId="6254A7FD">
      <w:pPr>
        <w:spacing w:line="420" w:lineRule="exact"/>
        <w:ind w:firstLine="480" w:firstLineChars="200"/>
        <w:rPr>
          <w:rFonts w:ascii="宋体" w:hAnsi="宋体"/>
          <w:sz w:val="24"/>
          <w:szCs w:val="24"/>
        </w:rPr>
      </w:pPr>
      <w:r>
        <w:rPr>
          <w:rFonts w:hint="eastAsia" w:ascii="宋体" w:hAnsi="宋体"/>
          <w:sz w:val="24"/>
          <w:szCs w:val="24"/>
        </w:rPr>
        <w:t>3、根据《关于加快推进公共资源交易领域信用监管工作的通知》三公管办[2021]3号文要求：建筑类施工企业获得“优秀”、公路类施工企业获得 “AA”、水利类施工企业获得“AAA”等级且连续3年无不良行为记录的中小微企业，保证金缴纳金额为：</w:t>
      </w:r>
      <w:r>
        <w:rPr>
          <w:rFonts w:hint="eastAsia" w:ascii="宋体" w:hAnsi="宋体" w:cs="宋体"/>
          <w:sz w:val="24"/>
          <w:szCs w:val="24"/>
        </w:rPr>
        <w:t>￥72000.00元；</w:t>
      </w:r>
    </w:p>
    <w:p w14:paraId="506A0390">
      <w:pPr>
        <w:spacing w:line="420" w:lineRule="exact"/>
        <w:ind w:firstLine="480" w:firstLineChars="200"/>
        <w:rPr>
          <w:rFonts w:ascii="宋体" w:hAnsi="宋体"/>
          <w:sz w:val="24"/>
          <w:szCs w:val="24"/>
        </w:rPr>
      </w:pPr>
      <w:r>
        <w:rPr>
          <w:rFonts w:hint="eastAsia" w:ascii="宋体" w:hAnsi="宋体"/>
          <w:sz w:val="24"/>
          <w:szCs w:val="24"/>
        </w:rPr>
        <w:t>建筑类施工企业获得“良好”、公路类施工企业获得“A”、水利类施工企业获得“AA”等级且连续3年无不良行为记录的中小微企业，保证金缴纳金额</w:t>
      </w:r>
      <w:r>
        <w:rPr>
          <w:rFonts w:hint="eastAsia" w:ascii="宋体" w:hAnsi="宋体" w:cs="宋体"/>
          <w:sz w:val="24"/>
          <w:szCs w:val="24"/>
        </w:rPr>
        <w:t>：￥76000.00元；</w:t>
      </w:r>
    </w:p>
    <w:p w14:paraId="12F35FCA">
      <w:pPr>
        <w:spacing w:line="420" w:lineRule="exact"/>
        <w:ind w:firstLine="480" w:firstLineChars="200"/>
        <w:rPr>
          <w:rFonts w:ascii="宋体" w:hAnsi="宋体"/>
          <w:sz w:val="24"/>
          <w:szCs w:val="24"/>
        </w:rPr>
      </w:pPr>
      <w:r>
        <w:rPr>
          <w:rFonts w:hint="eastAsia" w:ascii="宋体" w:hAnsi="宋体"/>
          <w:sz w:val="24"/>
          <w:szCs w:val="24"/>
        </w:rPr>
        <w:t>4、（1）缴纳方式详见：投标人市场主体登录-系统菜单-工程业务-业务管理-保证金单笔入账查询即可查询保证金缴纳账号及到账情况。（2）本项目投标保证金可以使用电子保函。电子保函方便快捷，不占用资金，开具方式请登录“网站首页-电子保函平台”或者“登录系统首页右下角-三门峡金融服务平台”或者直接登陆：</w:t>
      </w:r>
      <w:r>
        <w:rPr>
          <w:rFonts w:ascii="宋体" w:hAnsi="宋体"/>
          <w:sz w:val="24"/>
          <w:szCs w:val="24"/>
        </w:rPr>
        <w:t>http://120.194.249.36:10094/smxbaohan/</w:t>
      </w:r>
      <w:r>
        <w:rPr>
          <w:rFonts w:hint="eastAsia" w:ascii="宋体" w:hAnsi="宋体"/>
          <w:sz w:val="24"/>
          <w:szCs w:val="24"/>
        </w:rPr>
        <w:t>进行操作，如果有问题，可咨询：0398-3117871、400-1538889。本项目投标保证金办理保函缴纳金额按上述标准执行。</w:t>
      </w:r>
    </w:p>
    <w:p w14:paraId="61E448A1">
      <w:pPr>
        <w:spacing w:line="420" w:lineRule="exact"/>
        <w:ind w:firstLine="482" w:firstLineChars="200"/>
        <w:rPr>
          <w:rFonts w:ascii="宋体" w:hAnsi="宋体"/>
          <w:sz w:val="24"/>
          <w:szCs w:val="24"/>
        </w:rPr>
      </w:pPr>
      <w:r>
        <w:rPr>
          <w:rFonts w:hint="eastAsia" w:ascii="宋体" w:hAnsi="宋体"/>
          <w:b/>
          <w:bCs/>
          <w:sz w:val="24"/>
          <w:szCs w:val="24"/>
        </w:rPr>
        <w:t>六、开标时间和地点</w:t>
      </w:r>
    </w:p>
    <w:p w14:paraId="400C1C66">
      <w:pPr>
        <w:spacing w:line="420" w:lineRule="exact"/>
        <w:ind w:firstLine="480" w:firstLineChars="200"/>
        <w:rPr>
          <w:rFonts w:ascii="宋体" w:hAnsi="宋体"/>
          <w:sz w:val="24"/>
          <w:szCs w:val="24"/>
        </w:rPr>
      </w:pPr>
      <w:r>
        <w:rPr>
          <w:rFonts w:hint="eastAsia" w:ascii="宋体" w:hAnsi="宋体"/>
          <w:sz w:val="24"/>
          <w:szCs w:val="24"/>
        </w:rPr>
        <w:t>1、投标截止时间及开标时间：</w:t>
      </w:r>
      <w:r>
        <w:rPr>
          <w:rFonts w:hint="eastAsia" w:ascii="宋体" w:hAnsi="宋体"/>
          <w:sz w:val="24"/>
          <w:szCs w:val="24"/>
          <w:lang w:eastAsia="zh-CN"/>
        </w:rPr>
        <w:t>2026年5月8日8时30分</w:t>
      </w:r>
      <w:r>
        <w:rPr>
          <w:rFonts w:hint="eastAsia" w:ascii="宋体" w:hAnsi="宋体"/>
          <w:sz w:val="24"/>
          <w:szCs w:val="24"/>
        </w:rPr>
        <w:t>。</w:t>
      </w:r>
    </w:p>
    <w:p w14:paraId="53C15872">
      <w:pPr>
        <w:spacing w:line="420" w:lineRule="exact"/>
        <w:ind w:firstLine="480" w:firstLineChars="200"/>
        <w:rPr>
          <w:rFonts w:ascii="宋体" w:hAnsi="宋体"/>
          <w:sz w:val="24"/>
          <w:szCs w:val="24"/>
        </w:rPr>
      </w:pPr>
      <w:r>
        <w:rPr>
          <w:rFonts w:hint="eastAsia" w:ascii="宋体" w:hAnsi="宋体"/>
          <w:sz w:val="24"/>
          <w:szCs w:val="24"/>
        </w:rPr>
        <w:t>2、开标地点：灵宝市公共资源交易中心开标</w:t>
      </w:r>
      <w:r>
        <w:rPr>
          <w:rFonts w:hint="eastAsia" w:ascii="宋体" w:hAnsi="宋体"/>
          <w:sz w:val="24"/>
          <w:szCs w:val="24"/>
          <w:lang w:val="en-US" w:eastAsia="zh-CN"/>
        </w:rPr>
        <w:t>二</w:t>
      </w:r>
      <w:r>
        <w:rPr>
          <w:rFonts w:hint="eastAsia" w:ascii="宋体" w:hAnsi="宋体"/>
          <w:sz w:val="24"/>
          <w:szCs w:val="24"/>
        </w:rPr>
        <w:t>室评标</w:t>
      </w:r>
      <w:r>
        <w:rPr>
          <w:rFonts w:hint="eastAsia" w:ascii="宋体" w:hAnsi="宋体"/>
          <w:sz w:val="24"/>
          <w:szCs w:val="24"/>
          <w:lang w:val="en-US" w:eastAsia="zh-CN"/>
        </w:rPr>
        <w:t>二</w:t>
      </w:r>
      <w:r>
        <w:rPr>
          <w:rFonts w:hint="eastAsia" w:ascii="宋体" w:hAnsi="宋体"/>
          <w:sz w:val="24"/>
          <w:szCs w:val="24"/>
        </w:rPr>
        <w:t>室。</w:t>
      </w:r>
    </w:p>
    <w:p w14:paraId="73E4618B">
      <w:pPr>
        <w:spacing w:line="420" w:lineRule="exact"/>
        <w:ind w:firstLine="482" w:firstLineChars="200"/>
        <w:rPr>
          <w:rFonts w:ascii="宋体" w:hAnsi="宋体"/>
          <w:b/>
          <w:bCs/>
          <w:sz w:val="24"/>
          <w:szCs w:val="24"/>
        </w:rPr>
      </w:pPr>
      <w:r>
        <w:rPr>
          <w:rFonts w:hint="eastAsia" w:ascii="宋体" w:hAnsi="宋体"/>
          <w:b/>
          <w:bCs/>
          <w:sz w:val="24"/>
          <w:szCs w:val="24"/>
        </w:rPr>
        <w:t>七、其他事项</w:t>
      </w:r>
    </w:p>
    <w:p w14:paraId="3822D092">
      <w:pPr>
        <w:spacing w:line="420" w:lineRule="exact"/>
        <w:rPr>
          <w:rFonts w:ascii="宋体" w:hAnsi="宋体"/>
          <w:sz w:val="24"/>
          <w:szCs w:val="24"/>
        </w:rPr>
      </w:pPr>
      <w:r>
        <w:rPr>
          <w:rFonts w:hint="eastAsia" w:ascii="宋体" w:hAnsi="宋体"/>
          <w:sz w:val="24"/>
          <w:szCs w:val="24"/>
        </w:rPr>
        <w:t xml:space="preserve">    1、投标人应仔细阅读操作手册，在本公告中要求的截止时间前完成网上投标保证金的缴纳工作。并充分考虑人为操作和银行异地跨行转账到账的时间等因素，因投标人操作不当或银行到账时间等问题造成的无法投标等一切后果，由投标人自行承担。</w:t>
      </w:r>
    </w:p>
    <w:p w14:paraId="1B6D1730">
      <w:pPr>
        <w:spacing w:line="420" w:lineRule="exact"/>
        <w:ind w:firstLine="480" w:firstLineChars="200"/>
        <w:rPr>
          <w:rFonts w:ascii="宋体" w:hAnsi="宋体"/>
          <w:sz w:val="24"/>
          <w:szCs w:val="24"/>
        </w:rPr>
      </w:pPr>
      <w:r>
        <w:rPr>
          <w:rFonts w:hint="eastAsia" w:ascii="宋体" w:hAnsi="宋体"/>
          <w:sz w:val="24"/>
          <w:szCs w:val="24"/>
        </w:rPr>
        <w:t>2、投标人递交的资料和投标文件不论中标与否均不予退还。</w:t>
      </w:r>
    </w:p>
    <w:p w14:paraId="41720CE5">
      <w:pPr>
        <w:spacing w:line="420" w:lineRule="exact"/>
        <w:ind w:firstLine="480" w:firstLineChars="200"/>
        <w:rPr>
          <w:rFonts w:ascii="宋体" w:hAnsi="宋体"/>
          <w:sz w:val="24"/>
          <w:szCs w:val="24"/>
        </w:rPr>
      </w:pPr>
      <w:r>
        <w:rPr>
          <w:rFonts w:hint="eastAsia" w:ascii="宋体" w:hAnsi="宋体"/>
          <w:sz w:val="24"/>
          <w:szCs w:val="24"/>
        </w:rPr>
        <w:t>3、本项目不组织投标人踏勘现场。</w:t>
      </w:r>
    </w:p>
    <w:p w14:paraId="75C7BB89">
      <w:pPr>
        <w:spacing w:line="420" w:lineRule="exact"/>
        <w:ind w:firstLine="480" w:firstLineChars="200"/>
        <w:rPr>
          <w:rFonts w:ascii="宋体" w:hAnsi="宋体"/>
          <w:sz w:val="24"/>
          <w:szCs w:val="24"/>
        </w:rPr>
      </w:pPr>
      <w:r>
        <w:rPr>
          <w:rFonts w:hint="eastAsia" w:ascii="宋体" w:hAnsi="宋体"/>
          <w:sz w:val="24"/>
          <w:szCs w:val="24"/>
        </w:rPr>
        <w:t>4、投标所发生的一切费用由各投标人自行承担，并承担相应的风险和责任。</w:t>
      </w:r>
    </w:p>
    <w:p w14:paraId="3B9BC4B1">
      <w:pPr>
        <w:spacing w:line="420" w:lineRule="exact"/>
        <w:ind w:firstLine="480" w:firstLineChars="200"/>
        <w:rPr>
          <w:rFonts w:ascii="宋体" w:hAnsi="宋体"/>
          <w:sz w:val="24"/>
          <w:szCs w:val="24"/>
        </w:rPr>
      </w:pPr>
      <w:r>
        <w:rPr>
          <w:rFonts w:hint="eastAsia" w:ascii="宋体" w:hAnsi="宋体"/>
          <w:sz w:val="24"/>
          <w:szCs w:val="24"/>
        </w:rPr>
        <w:t>5、根据优化营商环境的要求，评标时以投标文件为准：</w:t>
      </w:r>
    </w:p>
    <w:p w14:paraId="4190D380">
      <w:pPr>
        <w:spacing w:line="420" w:lineRule="exact"/>
        <w:ind w:firstLine="480" w:firstLineChars="200"/>
        <w:rPr>
          <w:rFonts w:ascii="宋体" w:hAnsi="宋体"/>
          <w:sz w:val="24"/>
          <w:szCs w:val="24"/>
        </w:rPr>
      </w:pPr>
      <w:r>
        <w:rPr>
          <w:rFonts w:hint="eastAsia" w:ascii="宋体" w:hAnsi="宋体"/>
          <w:sz w:val="24"/>
          <w:szCs w:val="24"/>
        </w:rPr>
        <w:t>（1）资格评审部分</w:t>
      </w:r>
      <w:r>
        <w:rPr>
          <w:rFonts w:hint="eastAsia" w:ascii="宋体" w:hAnsi="宋体"/>
          <w:b/>
          <w:bCs/>
          <w:sz w:val="24"/>
          <w:szCs w:val="24"/>
        </w:rPr>
        <w:t>：</w:t>
      </w:r>
      <w:r>
        <w:rPr>
          <w:rFonts w:hint="eastAsia" w:ascii="宋体" w:hAnsi="宋体"/>
          <w:sz w:val="24"/>
          <w:szCs w:val="28"/>
        </w:rPr>
        <w:t>本项目实行资格后审，资格评审以投标文件为准，其资料真实性由投标人自行承担</w:t>
      </w:r>
      <w:r>
        <w:rPr>
          <w:rFonts w:hint="eastAsia" w:ascii="宋体" w:hAnsi="宋体"/>
          <w:sz w:val="24"/>
          <w:szCs w:val="24"/>
        </w:rPr>
        <w:t>。</w:t>
      </w:r>
    </w:p>
    <w:p w14:paraId="381801FF">
      <w:pPr>
        <w:spacing w:line="420" w:lineRule="exact"/>
        <w:ind w:firstLine="480" w:firstLineChars="200"/>
        <w:rPr>
          <w:rFonts w:ascii="宋体" w:hAnsi="宋体"/>
          <w:sz w:val="24"/>
          <w:szCs w:val="24"/>
        </w:rPr>
      </w:pPr>
      <w:r>
        <w:rPr>
          <w:rFonts w:hint="eastAsia" w:ascii="宋体" w:hAnsi="宋体"/>
          <w:sz w:val="24"/>
          <w:szCs w:val="24"/>
        </w:rPr>
        <w:t>（2）评标打分部分：评标打分部分按照合格制原则进行，涉及到资格审查、企业荣誉、人员业绩、企业业绩等计分部分时，以投标单位自行上传到投标文件中的相应内容为准。</w:t>
      </w:r>
    </w:p>
    <w:p w14:paraId="6CDEB60F">
      <w:pPr>
        <w:spacing w:line="420" w:lineRule="exact"/>
        <w:ind w:firstLine="480" w:firstLineChars="200"/>
        <w:rPr>
          <w:rFonts w:ascii="宋体" w:hAnsi="宋体"/>
          <w:sz w:val="24"/>
          <w:szCs w:val="24"/>
        </w:rPr>
      </w:pPr>
      <w:r>
        <w:rPr>
          <w:rFonts w:hint="eastAsia" w:ascii="宋体" w:hAnsi="宋体"/>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61B0139">
      <w:pPr>
        <w:spacing w:line="420" w:lineRule="exact"/>
        <w:ind w:firstLine="480" w:firstLineChars="200"/>
        <w:rPr>
          <w:rFonts w:ascii="宋体" w:hAnsi="宋体"/>
          <w:sz w:val="24"/>
          <w:szCs w:val="24"/>
        </w:rPr>
      </w:pPr>
      <w:r>
        <w:rPr>
          <w:rFonts w:hint="eastAsia" w:ascii="宋体" w:hAnsi="宋体"/>
          <w:sz w:val="24"/>
          <w:szCs w:val="24"/>
        </w:rPr>
        <w:t>温馨提示：本项目为电子化、无纸化交易项目，开标时不再接受任何纸质资料，为保证您能投标成功，请需仔细阅读招标文件和三门峡市公共资源交易中心官网业务办理指南。</w:t>
      </w:r>
    </w:p>
    <w:p w14:paraId="27ADB5EA">
      <w:pPr>
        <w:spacing w:line="420" w:lineRule="exact"/>
        <w:ind w:firstLine="482" w:firstLineChars="200"/>
        <w:rPr>
          <w:rFonts w:ascii="宋体" w:hAnsi="宋体"/>
          <w:b/>
          <w:bCs/>
          <w:sz w:val="24"/>
          <w:szCs w:val="24"/>
        </w:rPr>
      </w:pPr>
      <w:r>
        <w:rPr>
          <w:rFonts w:hint="eastAsia" w:ascii="宋体" w:hAnsi="宋体"/>
          <w:b/>
          <w:bCs/>
          <w:sz w:val="24"/>
          <w:szCs w:val="24"/>
        </w:rPr>
        <w:t>八、发布公告的媒介</w:t>
      </w:r>
    </w:p>
    <w:p w14:paraId="6EB13ED1">
      <w:pPr>
        <w:spacing w:line="420" w:lineRule="exact"/>
        <w:ind w:firstLine="480" w:firstLineChars="200"/>
        <w:rPr>
          <w:rFonts w:ascii="宋体" w:hAnsi="宋体"/>
          <w:sz w:val="24"/>
          <w:szCs w:val="24"/>
        </w:rPr>
      </w:pPr>
      <w:r>
        <w:rPr>
          <w:rFonts w:hint="eastAsia" w:ascii="宋体" w:hAnsi="宋体"/>
          <w:sz w:val="24"/>
          <w:szCs w:val="24"/>
        </w:rPr>
        <w:t>本次招标公告在《河南省政府采购网》、《中国招标投标公共服务平台》、《三门峡市公共资源交易中心网》以及行业主管部门网站等媒体上公开发布。</w:t>
      </w:r>
    </w:p>
    <w:p w14:paraId="450D218C">
      <w:pPr>
        <w:spacing w:line="420" w:lineRule="exact"/>
        <w:ind w:firstLine="482" w:firstLineChars="200"/>
        <w:rPr>
          <w:rFonts w:ascii="宋体" w:hAnsi="宋体"/>
          <w:b/>
          <w:bCs/>
          <w:sz w:val="24"/>
          <w:szCs w:val="24"/>
        </w:rPr>
      </w:pPr>
      <w:r>
        <w:rPr>
          <w:rFonts w:hint="eastAsia" w:ascii="宋体" w:hAnsi="宋体"/>
          <w:b/>
          <w:bCs/>
          <w:sz w:val="24"/>
          <w:szCs w:val="24"/>
        </w:rPr>
        <w:t>九、联系方式：</w:t>
      </w:r>
    </w:p>
    <w:p w14:paraId="1368310A">
      <w:pPr>
        <w:spacing w:line="420" w:lineRule="exact"/>
        <w:ind w:firstLine="480" w:firstLineChars="200"/>
        <w:rPr>
          <w:rFonts w:ascii="宋体" w:hAnsi="宋体"/>
          <w:sz w:val="24"/>
          <w:szCs w:val="24"/>
        </w:rPr>
      </w:pPr>
      <w:r>
        <w:rPr>
          <w:rFonts w:hint="eastAsia" w:ascii="宋体" w:hAnsi="宋体"/>
          <w:sz w:val="24"/>
          <w:szCs w:val="24"/>
        </w:rPr>
        <w:t>监督单位：灵宝市财政局政府采购监督管理科</w:t>
      </w:r>
    </w:p>
    <w:p w14:paraId="6EBDACEA">
      <w:pPr>
        <w:spacing w:line="420" w:lineRule="exact"/>
        <w:ind w:firstLine="480" w:firstLineChars="200"/>
        <w:rPr>
          <w:rFonts w:ascii="宋体" w:hAnsi="宋体"/>
          <w:sz w:val="24"/>
          <w:szCs w:val="24"/>
        </w:rPr>
      </w:pPr>
      <w:r>
        <w:rPr>
          <w:rFonts w:hint="eastAsia" w:ascii="宋体" w:hAnsi="宋体"/>
          <w:sz w:val="24"/>
          <w:szCs w:val="24"/>
        </w:rPr>
        <w:t>联系电话：0398-8852670</w:t>
      </w:r>
    </w:p>
    <w:p w14:paraId="338DB70B">
      <w:pPr>
        <w:spacing w:line="420" w:lineRule="exact"/>
        <w:ind w:firstLine="480" w:firstLineChars="200"/>
        <w:rPr>
          <w:rFonts w:ascii="宋体" w:hAnsi="宋体"/>
          <w:sz w:val="24"/>
          <w:szCs w:val="24"/>
        </w:rPr>
      </w:pPr>
      <w:r>
        <w:rPr>
          <w:rFonts w:hint="eastAsia" w:ascii="宋体" w:hAnsi="宋体"/>
          <w:sz w:val="24"/>
          <w:szCs w:val="24"/>
        </w:rPr>
        <w:t>监督单位：灵宝市交通运输局</w:t>
      </w:r>
    </w:p>
    <w:p w14:paraId="20EC0916">
      <w:pPr>
        <w:spacing w:line="420" w:lineRule="exact"/>
        <w:ind w:firstLine="480" w:firstLineChars="200"/>
        <w:rPr>
          <w:rFonts w:ascii="宋体" w:hAnsi="宋体"/>
          <w:sz w:val="24"/>
          <w:szCs w:val="24"/>
        </w:rPr>
      </w:pPr>
      <w:r>
        <w:rPr>
          <w:rFonts w:hint="eastAsia" w:ascii="宋体" w:hAnsi="宋体"/>
          <w:sz w:val="24"/>
          <w:szCs w:val="24"/>
        </w:rPr>
        <w:t>联系电话：0398-8852367</w:t>
      </w:r>
    </w:p>
    <w:p w14:paraId="1C6E5DAF">
      <w:pPr>
        <w:spacing w:line="420" w:lineRule="exact"/>
        <w:ind w:firstLine="480" w:firstLineChars="200"/>
        <w:rPr>
          <w:rFonts w:ascii="宋体" w:hAnsi="宋体"/>
          <w:sz w:val="24"/>
          <w:szCs w:val="24"/>
        </w:rPr>
      </w:pPr>
      <w:r>
        <w:rPr>
          <w:rFonts w:ascii="宋体" w:hAnsi="宋体"/>
          <w:sz w:val="24"/>
          <w:szCs w:val="24"/>
        </w:rPr>
        <w:t>招标人：</w:t>
      </w:r>
      <w:r>
        <w:rPr>
          <w:rFonts w:hint="eastAsia" w:ascii="宋体" w:hAnsi="宋体"/>
          <w:sz w:val="24"/>
          <w:szCs w:val="24"/>
        </w:rPr>
        <w:t>灵宝市尹庄镇人民政府</w:t>
      </w:r>
    </w:p>
    <w:p w14:paraId="4CAC3EC6">
      <w:pPr>
        <w:spacing w:line="420" w:lineRule="exact"/>
        <w:ind w:firstLine="480" w:firstLineChars="200"/>
        <w:rPr>
          <w:rFonts w:ascii="宋体" w:hAnsi="宋体"/>
          <w:sz w:val="24"/>
          <w:szCs w:val="24"/>
        </w:rPr>
      </w:pPr>
      <w:r>
        <w:rPr>
          <w:rFonts w:hint="eastAsia" w:ascii="宋体" w:hAnsi="宋体"/>
          <w:sz w:val="24"/>
          <w:szCs w:val="24"/>
        </w:rPr>
        <w:t>地址：灵宝市车站路东段</w:t>
      </w:r>
    </w:p>
    <w:p w14:paraId="52314181">
      <w:pPr>
        <w:spacing w:line="420" w:lineRule="exact"/>
        <w:ind w:firstLine="480" w:firstLineChars="200"/>
        <w:rPr>
          <w:rFonts w:ascii="宋体" w:hAnsi="宋体"/>
          <w:sz w:val="24"/>
          <w:szCs w:val="24"/>
        </w:rPr>
      </w:pPr>
      <w:r>
        <w:rPr>
          <w:rFonts w:ascii="宋体" w:hAnsi="宋体"/>
          <w:sz w:val="24"/>
          <w:szCs w:val="24"/>
        </w:rPr>
        <w:t>联系人：</w:t>
      </w:r>
      <w:r>
        <w:rPr>
          <w:rFonts w:hint="eastAsia" w:ascii="宋体" w:hAnsi="宋体"/>
          <w:sz w:val="24"/>
          <w:szCs w:val="24"/>
        </w:rPr>
        <w:t>李女士</w:t>
      </w:r>
    </w:p>
    <w:p w14:paraId="1E50391D">
      <w:pPr>
        <w:spacing w:line="420" w:lineRule="exact"/>
        <w:ind w:firstLine="480" w:firstLineChars="200"/>
        <w:rPr>
          <w:rFonts w:ascii="宋体" w:hAnsi="宋体" w:cs="宋体"/>
          <w:color w:val="333333"/>
          <w:sz w:val="24"/>
          <w:szCs w:val="24"/>
        </w:rPr>
      </w:pPr>
      <w:r>
        <w:rPr>
          <w:rFonts w:hint="eastAsia" w:ascii="宋体" w:hAnsi="宋体" w:cs="宋体"/>
          <w:color w:val="333333"/>
          <w:sz w:val="24"/>
          <w:szCs w:val="24"/>
        </w:rPr>
        <w:t xml:space="preserve">电话：18639886663 </w:t>
      </w:r>
    </w:p>
    <w:p w14:paraId="58F8775C">
      <w:pPr>
        <w:spacing w:line="420" w:lineRule="exact"/>
        <w:ind w:firstLine="480" w:firstLineChars="200"/>
        <w:rPr>
          <w:rFonts w:ascii="宋体" w:hAnsi="宋体"/>
          <w:sz w:val="24"/>
          <w:szCs w:val="24"/>
        </w:rPr>
      </w:pPr>
      <w:r>
        <w:rPr>
          <w:rFonts w:ascii="宋体" w:hAnsi="宋体"/>
          <w:sz w:val="24"/>
          <w:szCs w:val="24"/>
        </w:rPr>
        <w:t>招标代理机构：</w:t>
      </w:r>
      <w:r>
        <w:rPr>
          <w:rFonts w:hint="eastAsia" w:ascii="宋体" w:hAnsi="宋体"/>
          <w:sz w:val="24"/>
          <w:szCs w:val="24"/>
        </w:rPr>
        <w:t>兴建建设管理有限公司</w:t>
      </w:r>
    </w:p>
    <w:p w14:paraId="0A579CAC">
      <w:pPr>
        <w:spacing w:line="420" w:lineRule="exact"/>
        <w:ind w:firstLine="480" w:firstLineChars="200"/>
        <w:rPr>
          <w:rFonts w:ascii="宋体" w:hAnsi="宋体"/>
          <w:sz w:val="24"/>
          <w:szCs w:val="24"/>
        </w:rPr>
      </w:pPr>
      <w:r>
        <w:rPr>
          <w:rFonts w:ascii="宋体" w:hAnsi="宋体"/>
          <w:sz w:val="24"/>
          <w:szCs w:val="24"/>
        </w:rPr>
        <w:t>地址：</w:t>
      </w:r>
      <w:r>
        <w:rPr>
          <w:rFonts w:hint="eastAsia" w:ascii="宋体" w:hAnsi="宋体"/>
          <w:sz w:val="24"/>
          <w:szCs w:val="24"/>
        </w:rPr>
        <w:t>灵宝市天基茂业A1-2702室</w:t>
      </w:r>
    </w:p>
    <w:p w14:paraId="54EA79A5">
      <w:pPr>
        <w:spacing w:line="420" w:lineRule="exact"/>
        <w:ind w:firstLine="480" w:firstLineChars="200"/>
        <w:rPr>
          <w:rFonts w:ascii="宋体" w:hAnsi="宋体"/>
          <w:sz w:val="24"/>
          <w:szCs w:val="24"/>
        </w:rPr>
      </w:pPr>
      <w:r>
        <w:rPr>
          <w:rFonts w:ascii="宋体" w:hAnsi="宋体"/>
          <w:sz w:val="24"/>
          <w:szCs w:val="24"/>
        </w:rPr>
        <w:t>联系人：</w:t>
      </w:r>
      <w:r>
        <w:rPr>
          <w:rFonts w:hint="eastAsia" w:ascii="宋体" w:hAnsi="宋体"/>
          <w:sz w:val="24"/>
          <w:szCs w:val="24"/>
        </w:rPr>
        <w:t>许女士</w:t>
      </w:r>
    </w:p>
    <w:p w14:paraId="1855EA2B">
      <w:pPr>
        <w:spacing w:line="420" w:lineRule="exact"/>
        <w:ind w:firstLine="480" w:firstLineChars="200"/>
        <w:rPr>
          <w:rFonts w:ascii="宋体" w:hAnsi="宋体"/>
          <w:sz w:val="24"/>
          <w:szCs w:val="24"/>
        </w:rPr>
      </w:pPr>
      <w:r>
        <w:rPr>
          <w:rFonts w:ascii="宋体" w:hAnsi="宋体"/>
          <w:sz w:val="24"/>
          <w:szCs w:val="24"/>
        </w:rPr>
        <w:t>电话</w:t>
      </w:r>
      <w:r>
        <w:rPr>
          <w:rFonts w:hint="eastAsia" w:ascii="宋体" w:hAnsi="宋体"/>
          <w:sz w:val="24"/>
          <w:szCs w:val="24"/>
        </w:rPr>
        <w:t>：13949796015</w:t>
      </w:r>
    </w:p>
    <w:p w14:paraId="709F5788">
      <w:pPr>
        <w:pStyle w:val="2"/>
        <w:spacing w:line="500" w:lineRule="exact"/>
        <w:rPr>
          <w:rFonts w:ascii="宋体" w:hAnsi="宋体"/>
          <w:b/>
          <w:sz w:val="32"/>
          <w:szCs w:val="32"/>
        </w:rPr>
      </w:pPr>
      <w:r>
        <w:rPr>
          <w:rFonts w:ascii="宋体" w:hAnsi="宋体"/>
          <w:b/>
          <w:sz w:val="32"/>
          <w:szCs w:val="32"/>
        </w:rPr>
        <w:br w:type="page"/>
      </w:r>
      <w:bookmarkStart w:id="19" w:name="_Toc27673"/>
      <w:bookmarkStart w:id="20" w:name="_Toc12099"/>
      <w:r>
        <w:rPr>
          <w:rFonts w:hint="eastAsia" w:ascii="宋体" w:hAnsi="宋体"/>
          <w:b/>
          <w:sz w:val="32"/>
          <w:szCs w:val="32"/>
        </w:rPr>
        <w:t>第二章 投标人须知</w:t>
      </w:r>
      <w:bookmarkEnd w:id="11"/>
      <w:bookmarkEnd w:id="12"/>
      <w:bookmarkEnd w:id="13"/>
      <w:bookmarkEnd w:id="14"/>
      <w:bookmarkEnd w:id="15"/>
      <w:bookmarkEnd w:id="16"/>
      <w:bookmarkEnd w:id="17"/>
      <w:bookmarkEnd w:id="18"/>
      <w:bookmarkEnd w:id="19"/>
      <w:bookmarkEnd w:id="20"/>
    </w:p>
    <w:p w14:paraId="4972DC3C">
      <w:pPr>
        <w:spacing w:line="500" w:lineRule="exact"/>
        <w:jc w:val="center"/>
        <w:rPr>
          <w:rFonts w:ascii="宋体" w:hAnsi="宋体"/>
          <w:b/>
          <w:bCs/>
          <w:sz w:val="28"/>
          <w:szCs w:val="28"/>
        </w:rPr>
      </w:pPr>
      <w:bookmarkStart w:id="21" w:name="_Toc179632545"/>
      <w:bookmarkStart w:id="22" w:name="_Toc246996174"/>
      <w:bookmarkStart w:id="23" w:name="_Toc246996917"/>
      <w:bookmarkStart w:id="24" w:name="_Toc296602419"/>
      <w:bookmarkStart w:id="25" w:name="_Toc152042304"/>
      <w:bookmarkStart w:id="26" w:name="_Toc152045528"/>
      <w:bookmarkStart w:id="27" w:name="_Toc247085688"/>
      <w:bookmarkStart w:id="28" w:name="_Toc144974496"/>
      <w:r>
        <w:rPr>
          <w:rFonts w:hint="eastAsia" w:ascii="宋体" w:hAnsi="宋体"/>
          <w:b/>
          <w:bCs/>
          <w:sz w:val="28"/>
          <w:szCs w:val="28"/>
        </w:rPr>
        <w:t>投标人须知前附表</w:t>
      </w:r>
      <w:bookmarkEnd w:id="21"/>
      <w:bookmarkEnd w:id="22"/>
      <w:bookmarkEnd w:id="23"/>
      <w:bookmarkEnd w:id="24"/>
      <w:bookmarkEnd w:id="25"/>
      <w:bookmarkEnd w:id="26"/>
      <w:bookmarkEnd w:id="27"/>
      <w:bookmarkEnd w:id="28"/>
    </w:p>
    <w:tbl>
      <w:tblPr>
        <w:tblStyle w:val="20"/>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6"/>
        <w:gridCol w:w="1472"/>
        <w:gridCol w:w="702"/>
        <w:gridCol w:w="6379"/>
      </w:tblGrid>
      <w:tr w14:paraId="08C9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3CB1342D">
            <w:pPr>
              <w:spacing w:line="460" w:lineRule="exact"/>
              <w:jc w:val="center"/>
              <w:rPr>
                <w:rFonts w:ascii="宋体" w:hAnsi="宋体"/>
                <w:sz w:val="24"/>
                <w:szCs w:val="24"/>
              </w:rPr>
            </w:pPr>
            <w:r>
              <w:rPr>
                <w:rFonts w:hint="eastAsia" w:ascii="宋体" w:hAnsi="宋体"/>
                <w:sz w:val="24"/>
                <w:szCs w:val="24"/>
              </w:rPr>
              <w:t>条款号</w:t>
            </w:r>
          </w:p>
        </w:tc>
        <w:tc>
          <w:tcPr>
            <w:tcW w:w="2280" w:type="dxa"/>
            <w:gridSpan w:val="3"/>
            <w:vAlign w:val="center"/>
          </w:tcPr>
          <w:p w14:paraId="47A58AE4">
            <w:pPr>
              <w:spacing w:line="460" w:lineRule="exact"/>
              <w:jc w:val="center"/>
              <w:rPr>
                <w:rFonts w:ascii="宋体" w:hAnsi="宋体"/>
                <w:sz w:val="24"/>
                <w:szCs w:val="24"/>
              </w:rPr>
            </w:pPr>
            <w:r>
              <w:rPr>
                <w:rFonts w:hint="eastAsia" w:ascii="宋体" w:hAnsi="宋体"/>
                <w:sz w:val="24"/>
                <w:szCs w:val="24"/>
              </w:rPr>
              <w:t>条 款 名 称</w:t>
            </w:r>
          </w:p>
        </w:tc>
        <w:tc>
          <w:tcPr>
            <w:tcW w:w="6379" w:type="dxa"/>
            <w:vAlign w:val="center"/>
          </w:tcPr>
          <w:p w14:paraId="26722791">
            <w:pPr>
              <w:spacing w:line="460" w:lineRule="exact"/>
              <w:jc w:val="center"/>
              <w:rPr>
                <w:rFonts w:ascii="宋体" w:hAnsi="宋体"/>
                <w:sz w:val="24"/>
                <w:szCs w:val="24"/>
              </w:rPr>
            </w:pPr>
            <w:r>
              <w:rPr>
                <w:rFonts w:hint="eastAsia" w:ascii="宋体" w:hAnsi="宋体"/>
                <w:sz w:val="24"/>
                <w:szCs w:val="24"/>
              </w:rPr>
              <w:t>编  列  内  容</w:t>
            </w:r>
          </w:p>
        </w:tc>
      </w:tr>
      <w:tr w14:paraId="7D23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080" w:type="dxa"/>
            <w:vAlign w:val="center"/>
          </w:tcPr>
          <w:p w14:paraId="46AB579F">
            <w:pPr>
              <w:spacing w:line="460" w:lineRule="exact"/>
              <w:jc w:val="center"/>
              <w:rPr>
                <w:rFonts w:ascii="宋体" w:hAnsi="宋体"/>
                <w:sz w:val="24"/>
                <w:szCs w:val="24"/>
              </w:rPr>
            </w:pPr>
            <w:r>
              <w:rPr>
                <w:rFonts w:hint="eastAsia" w:ascii="宋体" w:hAnsi="宋体"/>
                <w:sz w:val="24"/>
                <w:szCs w:val="24"/>
              </w:rPr>
              <w:t>1.1.2</w:t>
            </w:r>
          </w:p>
        </w:tc>
        <w:tc>
          <w:tcPr>
            <w:tcW w:w="2280" w:type="dxa"/>
            <w:gridSpan w:val="3"/>
            <w:vAlign w:val="center"/>
          </w:tcPr>
          <w:p w14:paraId="50DF2665">
            <w:pPr>
              <w:spacing w:line="460" w:lineRule="exact"/>
              <w:jc w:val="center"/>
              <w:rPr>
                <w:rFonts w:ascii="宋体" w:hAnsi="宋体"/>
                <w:sz w:val="24"/>
                <w:szCs w:val="24"/>
              </w:rPr>
            </w:pPr>
            <w:r>
              <w:rPr>
                <w:rFonts w:hint="eastAsia" w:ascii="宋体" w:hAnsi="宋体"/>
                <w:sz w:val="24"/>
                <w:szCs w:val="24"/>
              </w:rPr>
              <w:t>招标人</w:t>
            </w:r>
          </w:p>
        </w:tc>
        <w:tc>
          <w:tcPr>
            <w:tcW w:w="6379" w:type="dxa"/>
            <w:vAlign w:val="center"/>
          </w:tcPr>
          <w:p w14:paraId="6BAAB13E">
            <w:pPr>
              <w:spacing w:line="480" w:lineRule="exact"/>
              <w:rPr>
                <w:rFonts w:ascii="宋体" w:hAnsi="宋体"/>
                <w:sz w:val="24"/>
                <w:szCs w:val="24"/>
              </w:rPr>
            </w:pPr>
            <w:r>
              <w:rPr>
                <w:rFonts w:ascii="宋体" w:hAnsi="宋体"/>
                <w:sz w:val="24"/>
                <w:szCs w:val="24"/>
              </w:rPr>
              <w:t>招标人：</w:t>
            </w:r>
            <w:r>
              <w:rPr>
                <w:rFonts w:hint="eastAsia" w:ascii="宋体" w:hAnsi="宋体"/>
                <w:sz w:val="24"/>
                <w:szCs w:val="24"/>
              </w:rPr>
              <w:t>灵宝市尹庄镇人民政府</w:t>
            </w:r>
          </w:p>
          <w:p w14:paraId="68707547">
            <w:pPr>
              <w:spacing w:line="480" w:lineRule="exact"/>
              <w:rPr>
                <w:rFonts w:ascii="宋体" w:hAnsi="宋体"/>
                <w:sz w:val="24"/>
                <w:szCs w:val="24"/>
              </w:rPr>
            </w:pPr>
            <w:r>
              <w:rPr>
                <w:rFonts w:hint="eastAsia" w:ascii="宋体" w:hAnsi="宋体"/>
                <w:sz w:val="24"/>
                <w:szCs w:val="24"/>
              </w:rPr>
              <w:t>地址：灵宝市车站路东段</w:t>
            </w:r>
          </w:p>
          <w:p w14:paraId="7022E861">
            <w:pPr>
              <w:spacing w:line="480" w:lineRule="exact"/>
              <w:rPr>
                <w:rFonts w:ascii="宋体" w:hAnsi="宋体"/>
                <w:sz w:val="24"/>
                <w:szCs w:val="24"/>
              </w:rPr>
            </w:pPr>
            <w:r>
              <w:rPr>
                <w:rFonts w:ascii="宋体" w:hAnsi="宋体"/>
                <w:sz w:val="24"/>
                <w:szCs w:val="24"/>
              </w:rPr>
              <w:t>联系人：</w:t>
            </w:r>
            <w:r>
              <w:rPr>
                <w:rFonts w:hint="eastAsia" w:ascii="宋体" w:hAnsi="宋体"/>
                <w:sz w:val="24"/>
                <w:szCs w:val="24"/>
              </w:rPr>
              <w:t>李女士</w:t>
            </w:r>
          </w:p>
          <w:p w14:paraId="09BCAE9B">
            <w:pPr>
              <w:spacing w:line="480" w:lineRule="exact"/>
              <w:rPr>
                <w:rFonts w:ascii="宋体" w:hAnsi="宋体"/>
                <w:sz w:val="24"/>
                <w:szCs w:val="24"/>
              </w:rPr>
            </w:pPr>
            <w:r>
              <w:rPr>
                <w:rFonts w:hint="eastAsia" w:ascii="宋体" w:hAnsi="宋体"/>
                <w:sz w:val="24"/>
                <w:szCs w:val="24"/>
              </w:rPr>
              <w:t>电话：18639886663</w:t>
            </w:r>
          </w:p>
        </w:tc>
      </w:tr>
      <w:tr w14:paraId="01A4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80" w:type="dxa"/>
            <w:vAlign w:val="center"/>
          </w:tcPr>
          <w:p w14:paraId="75BA4D32">
            <w:pPr>
              <w:spacing w:line="460" w:lineRule="exact"/>
              <w:jc w:val="center"/>
              <w:rPr>
                <w:rFonts w:ascii="宋体" w:hAnsi="宋体"/>
                <w:sz w:val="24"/>
                <w:szCs w:val="24"/>
              </w:rPr>
            </w:pPr>
            <w:r>
              <w:rPr>
                <w:rFonts w:hint="eastAsia" w:ascii="宋体" w:hAnsi="宋体"/>
                <w:sz w:val="24"/>
                <w:szCs w:val="24"/>
              </w:rPr>
              <w:t>1.1.3</w:t>
            </w:r>
          </w:p>
        </w:tc>
        <w:tc>
          <w:tcPr>
            <w:tcW w:w="2280" w:type="dxa"/>
            <w:gridSpan w:val="3"/>
            <w:vAlign w:val="center"/>
          </w:tcPr>
          <w:p w14:paraId="057EBA13">
            <w:pPr>
              <w:spacing w:line="460" w:lineRule="exact"/>
              <w:jc w:val="center"/>
              <w:rPr>
                <w:rFonts w:ascii="宋体" w:hAnsi="宋体"/>
                <w:sz w:val="24"/>
                <w:szCs w:val="24"/>
              </w:rPr>
            </w:pPr>
            <w:r>
              <w:rPr>
                <w:rFonts w:hint="eastAsia" w:ascii="宋体" w:hAnsi="宋体"/>
                <w:sz w:val="24"/>
                <w:szCs w:val="24"/>
              </w:rPr>
              <w:t>招标代理机构</w:t>
            </w:r>
          </w:p>
        </w:tc>
        <w:tc>
          <w:tcPr>
            <w:tcW w:w="6379" w:type="dxa"/>
            <w:vAlign w:val="center"/>
          </w:tcPr>
          <w:p w14:paraId="4DFA4129">
            <w:pPr>
              <w:spacing w:line="480" w:lineRule="exact"/>
              <w:rPr>
                <w:rFonts w:ascii="宋体" w:hAnsi="宋体"/>
                <w:sz w:val="24"/>
                <w:szCs w:val="24"/>
              </w:rPr>
            </w:pPr>
            <w:r>
              <w:rPr>
                <w:rFonts w:ascii="宋体" w:hAnsi="宋体"/>
                <w:sz w:val="24"/>
                <w:szCs w:val="24"/>
              </w:rPr>
              <w:t>招标代理机构：</w:t>
            </w:r>
            <w:r>
              <w:rPr>
                <w:rFonts w:hint="eastAsia" w:ascii="宋体" w:hAnsi="宋体"/>
                <w:sz w:val="24"/>
                <w:szCs w:val="24"/>
              </w:rPr>
              <w:t>兴建建设管理有限公司</w:t>
            </w:r>
          </w:p>
          <w:p w14:paraId="654E53CA">
            <w:pPr>
              <w:spacing w:line="480" w:lineRule="exact"/>
              <w:rPr>
                <w:rFonts w:ascii="宋体" w:hAnsi="宋体"/>
                <w:sz w:val="24"/>
                <w:szCs w:val="24"/>
              </w:rPr>
            </w:pPr>
            <w:r>
              <w:rPr>
                <w:rFonts w:ascii="宋体" w:hAnsi="宋体"/>
                <w:sz w:val="24"/>
                <w:szCs w:val="24"/>
              </w:rPr>
              <w:t>地址：</w:t>
            </w:r>
            <w:r>
              <w:rPr>
                <w:rFonts w:hint="eastAsia" w:ascii="宋体" w:hAnsi="宋体"/>
                <w:sz w:val="24"/>
                <w:szCs w:val="24"/>
              </w:rPr>
              <w:t>灵宝市天基茂业A1-2702室</w:t>
            </w:r>
          </w:p>
          <w:p w14:paraId="6DBCD120">
            <w:pPr>
              <w:spacing w:line="480" w:lineRule="exact"/>
              <w:rPr>
                <w:rFonts w:ascii="宋体" w:hAnsi="宋体"/>
                <w:sz w:val="24"/>
                <w:szCs w:val="24"/>
              </w:rPr>
            </w:pPr>
            <w:r>
              <w:rPr>
                <w:rFonts w:ascii="宋体" w:hAnsi="宋体"/>
                <w:sz w:val="24"/>
                <w:szCs w:val="24"/>
              </w:rPr>
              <w:t>联系人：</w:t>
            </w:r>
            <w:r>
              <w:rPr>
                <w:rFonts w:hint="eastAsia" w:ascii="宋体" w:hAnsi="宋体"/>
                <w:sz w:val="24"/>
                <w:szCs w:val="24"/>
              </w:rPr>
              <w:t>许女士</w:t>
            </w:r>
          </w:p>
          <w:p w14:paraId="2306C256">
            <w:pPr>
              <w:spacing w:line="480" w:lineRule="exact"/>
              <w:rPr>
                <w:rFonts w:ascii="宋体" w:hAnsi="宋体"/>
                <w:sz w:val="24"/>
                <w:szCs w:val="24"/>
              </w:rPr>
            </w:pPr>
            <w:r>
              <w:rPr>
                <w:rFonts w:ascii="宋体" w:hAnsi="宋体"/>
                <w:sz w:val="24"/>
                <w:szCs w:val="24"/>
              </w:rPr>
              <w:t>电话</w:t>
            </w:r>
            <w:r>
              <w:rPr>
                <w:rFonts w:hint="eastAsia" w:ascii="宋体" w:hAnsi="宋体"/>
                <w:sz w:val="24"/>
                <w:szCs w:val="24"/>
              </w:rPr>
              <w:t>：13949796015</w:t>
            </w:r>
          </w:p>
        </w:tc>
      </w:tr>
      <w:tr w14:paraId="272C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080" w:type="dxa"/>
            <w:vAlign w:val="center"/>
          </w:tcPr>
          <w:p w14:paraId="2D49F934">
            <w:pPr>
              <w:spacing w:line="460" w:lineRule="exact"/>
              <w:jc w:val="center"/>
              <w:rPr>
                <w:rFonts w:ascii="宋体" w:hAnsi="宋体"/>
                <w:sz w:val="24"/>
                <w:szCs w:val="24"/>
              </w:rPr>
            </w:pPr>
            <w:r>
              <w:rPr>
                <w:rFonts w:hint="eastAsia" w:ascii="宋体" w:hAnsi="宋体"/>
                <w:sz w:val="24"/>
                <w:szCs w:val="24"/>
              </w:rPr>
              <w:t>1.1.4</w:t>
            </w:r>
          </w:p>
        </w:tc>
        <w:tc>
          <w:tcPr>
            <w:tcW w:w="2280" w:type="dxa"/>
            <w:gridSpan w:val="3"/>
            <w:vAlign w:val="center"/>
          </w:tcPr>
          <w:p w14:paraId="4F17ED04">
            <w:pPr>
              <w:spacing w:line="460" w:lineRule="exact"/>
              <w:jc w:val="center"/>
              <w:rPr>
                <w:rFonts w:ascii="宋体" w:hAnsi="宋体"/>
                <w:sz w:val="24"/>
                <w:szCs w:val="24"/>
              </w:rPr>
            </w:pPr>
            <w:r>
              <w:rPr>
                <w:rFonts w:hint="eastAsia" w:ascii="宋体" w:hAnsi="宋体"/>
                <w:sz w:val="24"/>
                <w:szCs w:val="24"/>
              </w:rPr>
              <w:t>项目名称</w:t>
            </w:r>
          </w:p>
        </w:tc>
        <w:tc>
          <w:tcPr>
            <w:tcW w:w="6379" w:type="dxa"/>
            <w:vAlign w:val="center"/>
          </w:tcPr>
          <w:p w14:paraId="644B4FEF">
            <w:pPr>
              <w:spacing w:line="480" w:lineRule="exact"/>
              <w:rPr>
                <w:rFonts w:ascii="宋体" w:hAnsi="宋体"/>
                <w:sz w:val="24"/>
                <w:szCs w:val="24"/>
              </w:rPr>
            </w:pPr>
            <w:r>
              <w:rPr>
                <w:rFonts w:hint="eastAsia" w:ascii="宋体" w:hAnsi="宋体"/>
                <w:sz w:val="24"/>
                <w:szCs w:val="24"/>
              </w:rPr>
              <w:t>尹庄镇Y008线留村村-寺洼村-唐窑村道路维修工程</w:t>
            </w:r>
          </w:p>
        </w:tc>
      </w:tr>
      <w:tr w14:paraId="6F0D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080" w:type="dxa"/>
            <w:vAlign w:val="center"/>
          </w:tcPr>
          <w:p w14:paraId="4A6B67E4">
            <w:pPr>
              <w:spacing w:line="460" w:lineRule="exact"/>
              <w:jc w:val="center"/>
              <w:rPr>
                <w:rFonts w:ascii="宋体" w:hAnsi="宋体"/>
                <w:sz w:val="24"/>
                <w:szCs w:val="24"/>
              </w:rPr>
            </w:pPr>
            <w:r>
              <w:rPr>
                <w:rFonts w:hint="eastAsia" w:ascii="宋体" w:hAnsi="宋体"/>
                <w:sz w:val="24"/>
                <w:szCs w:val="24"/>
              </w:rPr>
              <w:t>1.1.5</w:t>
            </w:r>
          </w:p>
        </w:tc>
        <w:tc>
          <w:tcPr>
            <w:tcW w:w="2280" w:type="dxa"/>
            <w:gridSpan w:val="3"/>
            <w:vAlign w:val="center"/>
          </w:tcPr>
          <w:p w14:paraId="183812F4">
            <w:pPr>
              <w:spacing w:line="460" w:lineRule="exact"/>
              <w:jc w:val="center"/>
              <w:rPr>
                <w:rFonts w:ascii="宋体" w:hAnsi="宋体"/>
                <w:sz w:val="24"/>
                <w:szCs w:val="24"/>
              </w:rPr>
            </w:pPr>
            <w:r>
              <w:rPr>
                <w:rFonts w:hint="eastAsia" w:ascii="宋体" w:hAnsi="宋体"/>
                <w:sz w:val="24"/>
                <w:szCs w:val="24"/>
              </w:rPr>
              <w:t>建设地点</w:t>
            </w:r>
          </w:p>
        </w:tc>
        <w:tc>
          <w:tcPr>
            <w:tcW w:w="6379" w:type="dxa"/>
            <w:vAlign w:val="center"/>
          </w:tcPr>
          <w:p w14:paraId="7B5831F7">
            <w:pPr>
              <w:spacing w:line="480" w:lineRule="exact"/>
              <w:rPr>
                <w:rFonts w:ascii="宋体" w:hAnsi="宋体"/>
                <w:sz w:val="24"/>
                <w:szCs w:val="24"/>
              </w:rPr>
            </w:pPr>
            <w:r>
              <w:rPr>
                <w:rFonts w:hint="eastAsia" w:ascii="宋体" w:hAnsi="宋体"/>
                <w:sz w:val="24"/>
                <w:szCs w:val="24"/>
              </w:rPr>
              <w:t>灵宝市尹庄镇境内</w:t>
            </w:r>
          </w:p>
        </w:tc>
      </w:tr>
      <w:tr w14:paraId="2749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80" w:type="dxa"/>
            <w:vAlign w:val="center"/>
          </w:tcPr>
          <w:p w14:paraId="683824DB">
            <w:pPr>
              <w:spacing w:line="460" w:lineRule="exact"/>
              <w:jc w:val="center"/>
              <w:rPr>
                <w:rFonts w:ascii="宋体" w:hAnsi="宋体"/>
                <w:sz w:val="24"/>
                <w:szCs w:val="24"/>
              </w:rPr>
            </w:pPr>
            <w:r>
              <w:rPr>
                <w:rFonts w:hint="eastAsia" w:ascii="宋体" w:hAnsi="宋体"/>
                <w:sz w:val="24"/>
                <w:szCs w:val="24"/>
              </w:rPr>
              <w:t>1.1.6</w:t>
            </w:r>
          </w:p>
        </w:tc>
        <w:tc>
          <w:tcPr>
            <w:tcW w:w="2280" w:type="dxa"/>
            <w:gridSpan w:val="3"/>
            <w:vAlign w:val="center"/>
          </w:tcPr>
          <w:p w14:paraId="5C7E174F">
            <w:pPr>
              <w:spacing w:line="460" w:lineRule="exact"/>
              <w:jc w:val="center"/>
              <w:rPr>
                <w:rFonts w:ascii="宋体" w:hAnsi="宋体"/>
                <w:sz w:val="24"/>
                <w:szCs w:val="24"/>
              </w:rPr>
            </w:pPr>
            <w:r>
              <w:rPr>
                <w:rFonts w:hint="eastAsia" w:ascii="宋体" w:hAnsi="宋体"/>
                <w:sz w:val="24"/>
                <w:szCs w:val="24"/>
              </w:rPr>
              <w:t>项目概况</w:t>
            </w:r>
          </w:p>
        </w:tc>
        <w:tc>
          <w:tcPr>
            <w:tcW w:w="6379" w:type="dxa"/>
            <w:vAlign w:val="center"/>
          </w:tcPr>
          <w:p w14:paraId="2B3C19C2">
            <w:pPr>
              <w:pStyle w:val="24"/>
              <w:spacing w:line="440" w:lineRule="exact"/>
              <w:jc w:val="left"/>
              <w:rPr>
                <w:rFonts w:ascii="宋体" w:hAnsi="宋体" w:cs="宋体"/>
                <w:snapToGrid w:val="0"/>
                <w:sz w:val="24"/>
              </w:rPr>
            </w:pPr>
            <w:r>
              <w:rPr>
                <w:rFonts w:hint="eastAsia" w:ascii="宋体" w:hAnsi="宋体" w:cs="宋体"/>
                <w:snapToGrid w:val="0"/>
                <w:sz w:val="24"/>
              </w:rPr>
              <w:t>本项目为尹庄镇Y008线留村村-寺洼村-唐窑村道路维修工程。项目起点位于唐窑村南村口，路线沿既有村道向南上跨S74灵宝绕城高速后经灵子沟至原上村，于K4+117处向北沿既有村道前行，于K7</w:t>
            </w:r>
            <w:bookmarkStart w:id="790" w:name="_GoBack"/>
            <w:bookmarkEnd w:id="790"/>
            <w:r>
              <w:rPr>
                <w:rFonts w:hint="eastAsia" w:ascii="宋体" w:hAnsi="宋体" w:cs="宋体"/>
                <w:snapToGrid w:val="0"/>
                <w:sz w:val="24"/>
              </w:rPr>
              <w:t>+484.5处下穿S74灵宝绕城高速后经留村至终点，终点位于唐窑村北村口与现有村内主路平面交叉，路线全长8.641公里。主要建设内容为：路基工程、路面工程、防护工程、排水工程、平面交叉工程、安全设施工程等；具体工程数量详见施工图纸及工程量清单。</w:t>
            </w:r>
          </w:p>
        </w:tc>
      </w:tr>
      <w:tr w14:paraId="6E0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7A98E7BD">
            <w:pPr>
              <w:spacing w:line="460" w:lineRule="exact"/>
              <w:jc w:val="center"/>
              <w:rPr>
                <w:rFonts w:ascii="宋体" w:hAnsi="宋体"/>
                <w:sz w:val="24"/>
                <w:szCs w:val="24"/>
              </w:rPr>
            </w:pPr>
            <w:r>
              <w:rPr>
                <w:rFonts w:hint="eastAsia" w:ascii="宋体" w:hAnsi="宋体"/>
                <w:sz w:val="24"/>
                <w:szCs w:val="24"/>
              </w:rPr>
              <w:t>1.2.1</w:t>
            </w:r>
          </w:p>
        </w:tc>
        <w:tc>
          <w:tcPr>
            <w:tcW w:w="2280" w:type="dxa"/>
            <w:gridSpan w:val="3"/>
            <w:vAlign w:val="center"/>
          </w:tcPr>
          <w:p w14:paraId="5E3A7722">
            <w:pPr>
              <w:spacing w:line="460" w:lineRule="exact"/>
              <w:jc w:val="center"/>
              <w:rPr>
                <w:rFonts w:ascii="宋体" w:hAnsi="宋体"/>
                <w:sz w:val="24"/>
                <w:szCs w:val="24"/>
              </w:rPr>
            </w:pPr>
            <w:r>
              <w:rPr>
                <w:rFonts w:hint="eastAsia" w:ascii="宋体" w:hAnsi="宋体"/>
                <w:sz w:val="24"/>
                <w:szCs w:val="24"/>
              </w:rPr>
              <w:t>资金来源</w:t>
            </w:r>
          </w:p>
        </w:tc>
        <w:tc>
          <w:tcPr>
            <w:tcW w:w="6379" w:type="dxa"/>
            <w:vAlign w:val="center"/>
          </w:tcPr>
          <w:p w14:paraId="290D4433">
            <w:pPr>
              <w:spacing w:line="460" w:lineRule="exact"/>
              <w:rPr>
                <w:rFonts w:ascii="宋体" w:hAnsi="宋体"/>
                <w:sz w:val="24"/>
                <w:szCs w:val="24"/>
              </w:rPr>
            </w:pPr>
            <w:r>
              <w:rPr>
                <w:rFonts w:hint="eastAsia" w:ascii="宋体" w:hAnsi="宋体"/>
                <w:sz w:val="24"/>
                <w:szCs w:val="24"/>
              </w:rPr>
              <w:t>上级补助和地方财政配套资金</w:t>
            </w:r>
          </w:p>
        </w:tc>
      </w:tr>
      <w:tr w14:paraId="66D4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001F3586">
            <w:pPr>
              <w:spacing w:line="460" w:lineRule="exact"/>
              <w:jc w:val="center"/>
              <w:rPr>
                <w:rFonts w:ascii="宋体" w:hAnsi="宋体"/>
                <w:sz w:val="24"/>
                <w:szCs w:val="24"/>
              </w:rPr>
            </w:pPr>
            <w:r>
              <w:rPr>
                <w:rFonts w:hint="eastAsia" w:ascii="宋体" w:hAnsi="宋体"/>
                <w:sz w:val="24"/>
                <w:szCs w:val="24"/>
              </w:rPr>
              <w:t>1.3.1</w:t>
            </w:r>
          </w:p>
        </w:tc>
        <w:tc>
          <w:tcPr>
            <w:tcW w:w="2280" w:type="dxa"/>
            <w:gridSpan w:val="3"/>
            <w:vAlign w:val="center"/>
          </w:tcPr>
          <w:p w14:paraId="294F5DD0">
            <w:pPr>
              <w:spacing w:line="460" w:lineRule="exact"/>
              <w:jc w:val="center"/>
              <w:rPr>
                <w:rFonts w:ascii="宋体" w:hAnsi="宋体"/>
                <w:color w:val="auto"/>
                <w:sz w:val="24"/>
                <w:szCs w:val="24"/>
                <w:highlight w:val="yellow"/>
              </w:rPr>
            </w:pPr>
            <w:r>
              <w:rPr>
                <w:rFonts w:hint="eastAsia" w:ascii="宋体" w:hAnsi="宋体"/>
                <w:color w:val="auto"/>
                <w:sz w:val="24"/>
                <w:szCs w:val="24"/>
                <w:highlight w:val="yellow"/>
              </w:rPr>
              <w:t>招标范围</w:t>
            </w:r>
          </w:p>
        </w:tc>
        <w:tc>
          <w:tcPr>
            <w:tcW w:w="6379" w:type="dxa"/>
            <w:vAlign w:val="center"/>
          </w:tcPr>
          <w:p w14:paraId="4CB32A5A">
            <w:pPr>
              <w:spacing w:line="460" w:lineRule="exact"/>
              <w:rPr>
                <w:rFonts w:ascii="宋体" w:hAnsi="宋体"/>
                <w:color w:val="auto"/>
                <w:sz w:val="24"/>
                <w:szCs w:val="24"/>
                <w:highlight w:val="yellow"/>
              </w:rPr>
            </w:pPr>
            <w:r>
              <w:rPr>
                <w:rFonts w:hint="eastAsia" w:ascii="宋体" w:hAnsi="宋体"/>
                <w:color w:val="auto"/>
                <w:sz w:val="24"/>
                <w:highlight w:val="yellow"/>
              </w:rPr>
              <w:t>本项目招标文件、补充文件、施工图纸、工程量清单及答疑文件等列明的所有建设内容。</w:t>
            </w:r>
          </w:p>
        </w:tc>
      </w:tr>
      <w:tr w14:paraId="5D1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66568E01">
            <w:pPr>
              <w:spacing w:line="460" w:lineRule="exact"/>
              <w:jc w:val="center"/>
              <w:rPr>
                <w:rFonts w:ascii="宋体" w:hAnsi="宋体"/>
                <w:sz w:val="24"/>
                <w:szCs w:val="24"/>
              </w:rPr>
            </w:pPr>
            <w:r>
              <w:rPr>
                <w:rFonts w:hint="eastAsia" w:ascii="宋体" w:hAnsi="宋体"/>
                <w:sz w:val="24"/>
                <w:szCs w:val="24"/>
              </w:rPr>
              <w:t>1.3.2</w:t>
            </w:r>
          </w:p>
        </w:tc>
        <w:tc>
          <w:tcPr>
            <w:tcW w:w="2280" w:type="dxa"/>
            <w:gridSpan w:val="3"/>
            <w:vAlign w:val="center"/>
          </w:tcPr>
          <w:p w14:paraId="2637EA78">
            <w:pPr>
              <w:spacing w:line="460" w:lineRule="exact"/>
              <w:jc w:val="center"/>
              <w:rPr>
                <w:rFonts w:ascii="宋体" w:hAnsi="宋体"/>
                <w:color w:val="auto"/>
                <w:sz w:val="24"/>
                <w:szCs w:val="24"/>
              </w:rPr>
            </w:pPr>
            <w:r>
              <w:rPr>
                <w:rFonts w:hint="eastAsia" w:ascii="宋体" w:hAnsi="宋体"/>
                <w:color w:val="auto"/>
                <w:sz w:val="24"/>
                <w:szCs w:val="24"/>
              </w:rPr>
              <w:t>计划工期</w:t>
            </w:r>
          </w:p>
        </w:tc>
        <w:tc>
          <w:tcPr>
            <w:tcW w:w="6379" w:type="dxa"/>
            <w:vAlign w:val="center"/>
          </w:tcPr>
          <w:p w14:paraId="7C7D2800">
            <w:pPr>
              <w:spacing w:line="460" w:lineRule="exact"/>
              <w:rPr>
                <w:rFonts w:ascii="宋体" w:hAnsi="宋体"/>
                <w:color w:val="auto"/>
                <w:sz w:val="24"/>
              </w:rPr>
            </w:pPr>
            <w:r>
              <w:rPr>
                <w:rFonts w:hint="eastAsia" w:ascii="宋体" w:hAnsi="宋体"/>
                <w:color w:val="auto"/>
                <w:sz w:val="24"/>
                <w:lang w:val="en-US" w:eastAsia="zh-CN"/>
              </w:rPr>
              <w:t>60</w:t>
            </w:r>
            <w:r>
              <w:rPr>
                <w:rFonts w:hint="eastAsia" w:ascii="宋体" w:hAnsi="宋体"/>
                <w:color w:val="auto"/>
                <w:sz w:val="24"/>
              </w:rPr>
              <w:t>日历天</w:t>
            </w:r>
          </w:p>
        </w:tc>
      </w:tr>
      <w:tr w14:paraId="7722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0" w:type="dxa"/>
            <w:vAlign w:val="center"/>
          </w:tcPr>
          <w:p w14:paraId="781D5C74">
            <w:pPr>
              <w:spacing w:line="460" w:lineRule="exact"/>
              <w:jc w:val="center"/>
              <w:rPr>
                <w:rFonts w:ascii="宋体" w:hAnsi="宋体"/>
                <w:sz w:val="24"/>
                <w:szCs w:val="24"/>
              </w:rPr>
            </w:pPr>
            <w:r>
              <w:rPr>
                <w:rFonts w:hint="eastAsia" w:ascii="宋体" w:hAnsi="宋体"/>
                <w:sz w:val="24"/>
                <w:szCs w:val="24"/>
              </w:rPr>
              <w:t>1.3.3</w:t>
            </w:r>
          </w:p>
        </w:tc>
        <w:tc>
          <w:tcPr>
            <w:tcW w:w="2280" w:type="dxa"/>
            <w:gridSpan w:val="3"/>
            <w:vAlign w:val="center"/>
          </w:tcPr>
          <w:p w14:paraId="5D797CBE">
            <w:pPr>
              <w:spacing w:line="460" w:lineRule="exact"/>
              <w:jc w:val="center"/>
              <w:rPr>
                <w:rFonts w:ascii="宋体" w:hAnsi="宋体"/>
                <w:sz w:val="24"/>
                <w:szCs w:val="24"/>
              </w:rPr>
            </w:pPr>
            <w:r>
              <w:rPr>
                <w:rFonts w:hint="eastAsia" w:ascii="宋体" w:hAnsi="宋体"/>
                <w:sz w:val="24"/>
                <w:szCs w:val="24"/>
              </w:rPr>
              <w:t>质量要求</w:t>
            </w:r>
          </w:p>
        </w:tc>
        <w:tc>
          <w:tcPr>
            <w:tcW w:w="6379" w:type="dxa"/>
            <w:vAlign w:val="center"/>
          </w:tcPr>
          <w:p w14:paraId="4CF0993A">
            <w:pPr>
              <w:pStyle w:val="7"/>
              <w:spacing w:after="0" w:line="520" w:lineRule="exact"/>
              <w:jc w:val="left"/>
              <w:rPr>
                <w:rFonts w:ascii="宋体" w:hAnsi="宋体"/>
                <w:kern w:val="2"/>
                <w:sz w:val="24"/>
                <w:szCs w:val="24"/>
              </w:rPr>
            </w:pPr>
            <w:r>
              <w:rPr>
                <w:rFonts w:hint="eastAsia" w:ascii="宋体" w:hAnsi="宋体" w:cs="宋体"/>
                <w:sz w:val="24"/>
                <w:szCs w:val="24"/>
              </w:rPr>
              <w:t>符合国家现行公路工程施工质量评定标准合格标准</w:t>
            </w:r>
          </w:p>
        </w:tc>
      </w:tr>
      <w:tr w14:paraId="26B3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3EFAA6D3">
            <w:pPr>
              <w:spacing w:line="460" w:lineRule="exact"/>
              <w:jc w:val="center"/>
              <w:rPr>
                <w:rFonts w:ascii="宋体" w:hAnsi="宋体"/>
                <w:sz w:val="24"/>
                <w:szCs w:val="24"/>
              </w:rPr>
            </w:pPr>
            <w:r>
              <w:rPr>
                <w:rFonts w:hint="eastAsia" w:ascii="宋体" w:hAnsi="宋体"/>
                <w:sz w:val="24"/>
                <w:szCs w:val="24"/>
              </w:rPr>
              <w:t>1.3.4</w:t>
            </w:r>
          </w:p>
        </w:tc>
        <w:tc>
          <w:tcPr>
            <w:tcW w:w="2280" w:type="dxa"/>
            <w:gridSpan w:val="3"/>
            <w:vAlign w:val="center"/>
          </w:tcPr>
          <w:p w14:paraId="7AD0DD60">
            <w:pPr>
              <w:spacing w:line="460" w:lineRule="exact"/>
              <w:jc w:val="center"/>
              <w:rPr>
                <w:rFonts w:ascii="宋体" w:hAnsi="宋体"/>
                <w:sz w:val="24"/>
                <w:szCs w:val="24"/>
              </w:rPr>
            </w:pPr>
            <w:r>
              <w:rPr>
                <w:rFonts w:hint="eastAsia" w:ascii="宋体" w:hAnsi="宋体"/>
                <w:sz w:val="24"/>
                <w:szCs w:val="24"/>
              </w:rPr>
              <w:t>安全目标</w:t>
            </w:r>
          </w:p>
        </w:tc>
        <w:tc>
          <w:tcPr>
            <w:tcW w:w="6379" w:type="dxa"/>
            <w:vAlign w:val="center"/>
          </w:tcPr>
          <w:p w14:paraId="58FDCF39">
            <w:pPr>
              <w:pStyle w:val="7"/>
              <w:spacing w:after="0" w:line="520" w:lineRule="exact"/>
              <w:jc w:val="left"/>
              <w:rPr>
                <w:rFonts w:ascii="宋体" w:hAnsi="宋体"/>
                <w:kern w:val="2"/>
                <w:sz w:val="24"/>
                <w:szCs w:val="24"/>
              </w:rPr>
            </w:pPr>
            <w:r>
              <w:rPr>
                <w:rFonts w:hint="eastAsia" w:ascii="宋体" w:hAnsi="宋体"/>
                <w:kern w:val="2"/>
                <w:sz w:val="24"/>
                <w:szCs w:val="24"/>
              </w:rPr>
              <w:t>安全生产零事故</w:t>
            </w:r>
          </w:p>
        </w:tc>
      </w:tr>
      <w:tr w14:paraId="5EA7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1DABE48B">
            <w:pPr>
              <w:spacing w:line="460" w:lineRule="exact"/>
              <w:jc w:val="center"/>
              <w:rPr>
                <w:rFonts w:ascii="宋体" w:hAnsi="宋体"/>
                <w:sz w:val="24"/>
                <w:szCs w:val="24"/>
              </w:rPr>
            </w:pPr>
            <w:r>
              <w:rPr>
                <w:rFonts w:hint="eastAsia" w:ascii="宋体" w:hAnsi="宋体"/>
                <w:sz w:val="24"/>
                <w:szCs w:val="24"/>
              </w:rPr>
              <w:t>1.4.1</w:t>
            </w:r>
          </w:p>
        </w:tc>
        <w:tc>
          <w:tcPr>
            <w:tcW w:w="2280" w:type="dxa"/>
            <w:gridSpan w:val="3"/>
            <w:vAlign w:val="center"/>
          </w:tcPr>
          <w:p w14:paraId="45FC0FAF">
            <w:pPr>
              <w:spacing w:line="460" w:lineRule="exact"/>
              <w:jc w:val="center"/>
              <w:rPr>
                <w:rFonts w:ascii="宋体" w:hAnsi="宋体"/>
                <w:sz w:val="24"/>
                <w:szCs w:val="24"/>
              </w:rPr>
            </w:pPr>
            <w:r>
              <w:rPr>
                <w:rFonts w:hint="eastAsia" w:ascii="宋体" w:hAnsi="宋体"/>
                <w:sz w:val="24"/>
                <w:szCs w:val="24"/>
              </w:rPr>
              <w:t>投标人资质条件、能力和信誉</w:t>
            </w:r>
          </w:p>
        </w:tc>
        <w:tc>
          <w:tcPr>
            <w:tcW w:w="6379" w:type="dxa"/>
            <w:vAlign w:val="center"/>
          </w:tcPr>
          <w:p w14:paraId="43ACF094">
            <w:pPr>
              <w:spacing w:line="460" w:lineRule="exact"/>
              <w:rPr>
                <w:rFonts w:ascii="宋体" w:hAnsi="宋体"/>
                <w:sz w:val="24"/>
              </w:rPr>
            </w:pPr>
            <w:r>
              <w:rPr>
                <w:rFonts w:hint="eastAsia" w:ascii="宋体" w:hAnsi="宋体"/>
                <w:sz w:val="24"/>
              </w:rPr>
              <w:t>1、投标人须具有独立承担民事责任的能力，提供有效的营业执照；</w:t>
            </w:r>
          </w:p>
          <w:p w14:paraId="0F36EE9E">
            <w:pPr>
              <w:spacing w:line="460" w:lineRule="exact"/>
              <w:rPr>
                <w:rFonts w:ascii="宋体" w:hAnsi="宋体"/>
                <w:sz w:val="24"/>
              </w:rPr>
            </w:pPr>
            <w:r>
              <w:rPr>
                <w:rFonts w:hint="eastAsia" w:ascii="宋体" w:hAnsi="宋体"/>
                <w:sz w:val="24"/>
              </w:rPr>
              <w:t>2、投标人应具备公路工程施工总承包三级及以上资质，有效的安全生产许可证，并在人员、设备、资金等方面具有相应的施工能力；</w:t>
            </w:r>
          </w:p>
          <w:p w14:paraId="5BA75BC9">
            <w:pPr>
              <w:spacing w:line="460" w:lineRule="exact"/>
              <w:rPr>
                <w:rFonts w:ascii="宋体" w:hAnsi="宋体"/>
                <w:sz w:val="24"/>
              </w:rPr>
            </w:pPr>
            <w:r>
              <w:rPr>
                <w:rFonts w:hint="eastAsia" w:ascii="宋体" w:hAnsi="宋体"/>
                <w:sz w:val="24"/>
              </w:rPr>
              <w:t>3、拟派项目经理须具备公路工程专业贰级及以上注册建造师资格、安全生产考核合格证（交安B证），并出具项目经理无在建工程承诺书，技术负责人应具备相关专业的中级及以上技术职称（提供项目经理和技术负责人本企业缴纳社会养老保险的缴费证明）；</w:t>
            </w:r>
          </w:p>
          <w:p w14:paraId="3044471A">
            <w:pPr>
              <w:spacing w:line="460" w:lineRule="exact"/>
              <w:rPr>
                <w:rFonts w:ascii="宋体" w:hAnsi="宋体"/>
                <w:sz w:val="24"/>
              </w:rPr>
            </w:pPr>
            <w:r>
              <w:rPr>
                <w:rFonts w:hint="eastAsia" w:ascii="宋体" w:hAnsi="宋体"/>
                <w:sz w:val="24"/>
              </w:rPr>
              <w:t>4、投标人自行出具本单位无商业贿赂及无不正当竞争行为的承诺书；</w:t>
            </w:r>
          </w:p>
          <w:p w14:paraId="6C066D73">
            <w:pPr>
              <w:spacing w:line="460" w:lineRule="exact"/>
              <w:rPr>
                <w:rFonts w:ascii="宋体" w:hAnsi="宋体"/>
                <w:sz w:val="24"/>
              </w:rPr>
            </w:pPr>
            <w:r>
              <w:rPr>
                <w:rFonts w:hint="eastAsia" w:ascii="宋体" w:hAnsi="宋体"/>
                <w:sz w:val="24"/>
              </w:rPr>
              <w:t>5、投标人出具无行贿犯罪记录在中国裁判文书网自行查询或自行承诺（查询对象：企业、法定代表人、拟派项目经理）；</w:t>
            </w:r>
          </w:p>
          <w:p w14:paraId="48A38C3E">
            <w:pPr>
              <w:spacing w:line="460" w:lineRule="exact"/>
              <w:rPr>
                <w:rFonts w:ascii="宋体" w:hAnsi="宋体"/>
                <w:sz w:val="24"/>
              </w:rPr>
            </w:pPr>
            <w:r>
              <w:rPr>
                <w:rFonts w:hint="eastAsia" w:ascii="宋体" w:hAnsi="宋体"/>
                <w:sz w:val="24"/>
              </w:rPr>
              <w:t>6、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信用中国”网站（www.creditchina.gov.cn），查询内容：重大税收违法失信主体、政府采购严重违法失信行为；“中国执行信息公开网”（http://zxgk.court.gov.cn），查询内容：失信被执行人；中国政府采购网（www.ccgp.gov.cn），查询内容：政府采购严重违法失信行为记录名单】；投标人须提供查询结果截图，查询日期为本公告发布之日起；</w:t>
            </w:r>
          </w:p>
          <w:p w14:paraId="1A7E886F">
            <w:pPr>
              <w:spacing w:line="460" w:lineRule="exact"/>
              <w:rPr>
                <w:rFonts w:ascii="宋体" w:hAnsi="宋体"/>
                <w:sz w:val="24"/>
              </w:rPr>
            </w:pPr>
            <w:r>
              <w:rPr>
                <w:rFonts w:hint="eastAsia" w:ascii="宋体" w:hAnsi="宋体"/>
                <w:sz w:val="24"/>
              </w:rPr>
              <w:t>7、单位负责人为同一人或者存在控股、管理关系的不同投标人，不得同时参加本项目招标活动（提供“国家企业信用信息公示系统”http://www.gsxt.gov.cn/index.html网页查询，需包含公司基本信息、股东信息及股权变更信息内容）；</w:t>
            </w:r>
          </w:p>
          <w:p w14:paraId="43543090">
            <w:pPr>
              <w:spacing w:line="460" w:lineRule="exact"/>
              <w:rPr>
                <w:rFonts w:ascii="宋体" w:hAnsi="宋体"/>
                <w:sz w:val="24"/>
              </w:rPr>
            </w:pPr>
            <w:r>
              <w:rPr>
                <w:rFonts w:hint="eastAsia" w:ascii="宋体" w:hAnsi="宋体"/>
                <w:sz w:val="24"/>
              </w:rPr>
              <w:t>8、本项目不接受联合体投标；</w:t>
            </w:r>
          </w:p>
          <w:p w14:paraId="3BBD1F72">
            <w:pPr>
              <w:spacing w:line="460" w:lineRule="exact"/>
              <w:rPr>
                <w:rFonts w:ascii="宋体" w:hAnsi="宋体"/>
                <w:sz w:val="24"/>
              </w:rPr>
            </w:pPr>
            <w:r>
              <w:rPr>
                <w:rFonts w:hint="eastAsia" w:ascii="宋体" w:hAnsi="宋体"/>
                <w:sz w:val="24"/>
              </w:rPr>
              <w:t>9、本次招标实行资格后审，资格评审以投标文件为准，其上传资料真实性由投标人自行承担。</w:t>
            </w:r>
          </w:p>
        </w:tc>
      </w:tr>
      <w:tr w14:paraId="1F5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03811D5E">
            <w:pPr>
              <w:spacing w:line="460" w:lineRule="exact"/>
              <w:jc w:val="center"/>
              <w:rPr>
                <w:rFonts w:ascii="宋体" w:hAnsi="宋体"/>
                <w:sz w:val="24"/>
                <w:szCs w:val="24"/>
              </w:rPr>
            </w:pPr>
            <w:r>
              <w:rPr>
                <w:rFonts w:hint="eastAsia" w:ascii="宋体" w:hAnsi="宋体"/>
                <w:sz w:val="24"/>
                <w:szCs w:val="24"/>
              </w:rPr>
              <w:t>1.4.2</w:t>
            </w:r>
          </w:p>
        </w:tc>
        <w:tc>
          <w:tcPr>
            <w:tcW w:w="2280" w:type="dxa"/>
            <w:gridSpan w:val="3"/>
            <w:vAlign w:val="center"/>
          </w:tcPr>
          <w:p w14:paraId="62EA94CC">
            <w:pPr>
              <w:spacing w:line="460" w:lineRule="exact"/>
              <w:jc w:val="center"/>
              <w:rPr>
                <w:rFonts w:ascii="宋体" w:hAnsi="宋体"/>
                <w:sz w:val="24"/>
                <w:szCs w:val="24"/>
              </w:rPr>
            </w:pPr>
            <w:r>
              <w:rPr>
                <w:rFonts w:hint="eastAsia" w:ascii="宋体" w:hAnsi="宋体"/>
                <w:sz w:val="24"/>
                <w:szCs w:val="24"/>
              </w:rPr>
              <w:t>是否接受联合体投标</w:t>
            </w:r>
          </w:p>
        </w:tc>
        <w:tc>
          <w:tcPr>
            <w:tcW w:w="6379" w:type="dxa"/>
            <w:vAlign w:val="center"/>
          </w:tcPr>
          <w:p w14:paraId="70C98E08">
            <w:pPr>
              <w:spacing w:line="460" w:lineRule="exact"/>
              <w:rPr>
                <w:rFonts w:ascii="宋体" w:hAnsi="宋体"/>
                <w:sz w:val="24"/>
                <w:szCs w:val="24"/>
              </w:rPr>
            </w:pPr>
            <w:r>
              <w:rPr>
                <w:rFonts w:hint="eastAsia" w:ascii="宋体" w:hAnsi="宋体"/>
                <w:sz w:val="24"/>
                <w:szCs w:val="24"/>
              </w:rPr>
              <w:t>不接受</w:t>
            </w:r>
          </w:p>
        </w:tc>
      </w:tr>
      <w:tr w14:paraId="7658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38E5574A">
            <w:pPr>
              <w:spacing w:line="460" w:lineRule="exact"/>
              <w:jc w:val="center"/>
              <w:rPr>
                <w:rFonts w:ascii="宋体" w:hAnsi="宋体"/>
                <w:sz w:val="24"/>
                <w:szCs w:val="24"/>
              </w:rPr>
            </w:pPr>
            <w:r>
              <w:rPr>
                <w:rFonts w:hint="eastAsia" w:ascii="宋体" w:hAnsi="宋体"/>
                <w:sz w:val="24"/>
                <w:szCs w:val="24"/>
              </w:rPr>
              <w:t>1.4.3</w:t>
            </w:r>
          </w:p>
        </w:tc>
        <w:tc>
          <w:tcPr>
            <w:tcW w:w="2280" w:type="dxa"/>
            <w:gridSpan w:val="3"/>
            <w:vAlign w:val="center"/>
          </w:tcPr>
          <w:p w14:paraId="00DFD977">
            <w:pPr>
              <w:spacing w:line="460" w:lineRule="exact"/>
              <w:jc w:val="center"/>
              <w:rPr>
                <w:rFonts w:ascii="宋体" w:hAnsi="宋体"/>
                <w:sz w:val="24"/>
                <w:szCs w:val="24"/>
              </w:rPr>
            </w:pPr>
            <w:r>
              <w:rPr>
                <w:rFonts w:hint="eastAsia" w:ascii="宋体" w:hAnsi="宋体"/>
                <w:sz w:val="24"/>
                <w:szCs w:val="24"/>
              </w:rPr>
              <w:t>投标人不得存在的其他关联情形</w:t>
            </w:r>
          </w:p>
        </w:tc>
        <w:tc>
          <w:tcPr>
            <w:tcW w:w="6379" w:type="dxa"/>
            <w:vAlign w:val="center"/>
          </w:tcPr>
          <w:p w14:paraId="70B421BD">
            <w:pPr>
              <w:spacing w:line="460" w:lineRule="exact"/>
              <w:rPr>
                <w:rFonts w:ascii="宋体" w:hAnsi="宋体"/>
                <w:sz w:val="24"/>
                <w:szCs w:val="24"/>
              </w:rPr>
            </w:pPr>
            <w:r>
              <w:rPr>
                <w:rFonts w:hint="eastAsia" w:ascii="宋体" w:hAnsi="宋体"/>
                <w:sz w:val="24"/>
                <w:szCs w:val="24"/>
              </w:rPr>
              <w:t>详见投标人须知总则1.4.3</w:t>
            </w:r>
          </w:p>
        </w:tc>
      </w:tr>
      <w:tr w14:paraId="60E1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4740F426">
            <w:pPr>
              <w:spacing w:line="460" w:lineRule="exact"/>
              <w:jc w:val="center"/>
              <w:rPr>
                <w:rFonts w:ascii="宋体" w:hAnsi="宋体"/>
                <w:sz w:val="24"/>
                <w:szCs w:val="24"/>
              </w:rPr>
            </w:pPr>
            <w:r>
              <w:rPr>
                <w:rFonts w:hint="eastAsia" w:ascii="宋体" w:hAnsi="宋体"/>
                <w:sz w:val="24"/>
                <w:szCs w:val="24"/>
              </w:rPr>
              <w:t>1.9.1</w:t>
            </w:r>
          </w:p>
        </w:tc>
        <w:tc>
          <w:tcPr>
            <w:tcW w:w="2280" w:type="dxa"/>
            <w:gridSpan w:val="3"/>
            <w:vAlign w:val="center"/>
          </w:tcPr>
          <w:p w14:paraId="3DDC45F3">
            <w:pPr>
              <w:spacing w:line="460" w:lineRule="exact"/>
              <w:jc w:val="center"/>
              <w:rPr>
                <w:rFonts w:ascii="宋体" w:hAnsi="宋体"/>
                <w:sz w:val="24"/>
                <w:szCs w:val="24"/>
              </w:rPr>
            </w:pPr>
            <w:r>
              <w:rPr>
                <w:rFonts w:hint="eastAsia" w:ascii="宋体" w:hAnsi="宋体"/>
                <w:sz w:val="24"/>
                <w:szCs w:val="24"/>
              </w:rPr>
              <w:t>踏勘现场</w:t>
            </w:r>
          </w:p>
        </w:tc>
        <w:tc>
          <w:tcPr>
            <w:tcW w:w="6379" w:type="dxa"/>
            <w:vAlign w:val="center"/>
          </w:tcPr>
          <w:p w14:paraId="337B186D">
            <w:pPr>
              <w:spacing w:line="460" w:lineRule="exact"/>
              <w:rPr>
                <w:rFonts w:ascii="宋体" w:hAnsi="宋体"/>
                <w:sz w:val="24"/>
                <w:szCs w:val="24"/>
              </w:rPr>
            </w:pPr>
            <w:r>
              <w:rPr>
                <w:rFonts w:hint="eastAsia" w:ascii="宋体" w:hAnsi="宋体"/>
                <w:sz w:val="24"/>
                <w:szCs w:val="24"/>
              </w:rPr>
              <w:t>不组织，投标人自行踏勘</w:t>
            </w:r>
          </w:p>
        </w:tc>
      </w:tr>
      <w:tr w14:paraId="15D6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06074882">
            <w:pPr>
              <w:spacing w:line="460" w:lineRule="exact"/>
              <w:jc w:val="center"/>
              <w:rPr>
                <w:rFonts w:ascii="宋体" w:hAnsi="宋体"/>
                <w:sz w:val="24"/>
                <w:szCs w:val="24"/>
              </w:rPr>
            </w:pPr>
            <w:r>
              <w:rPr>
                <w:rFonts w:hint="eastAsia" w:ascii="宋体" w:hAnsi="宋体"/>
                <w:sz w:val="24"/>
                <w:szCs w:val="24"/>
              </w:rPr>
              <w:t>1.10.1</w:t>
            </w:r>
          </w:p>
        </w:tc>
        <w:tc>
          <w:tcPr>
            <w:tcW w:w="2280" w:type="dxa"/>
            <w:gridSpan w:val="3"/>
            <w:vAlign w:val="center"/>
          </w:tcPr>
          <w:p w14:paraId="7D006BB9">
            <w:pPr>
              <w:spacing w:line="460" w:lineRule="exact"/>
              <w:jc w:val="center"/>
              <w:rPr>
                <w:rFonts w:ascii="宋体" w:hAnsi="宋体"/>
                <w:sz w:val="24"/>
                <w:szCs w:val="24"/>
              </w:rPr>
            </w:pPr>
            <w:r>
              <w:rPr>
                <w:rFonts w:hint="eastAsia" w:ascii="宋体" w:hAnsi="宋体"/>
                <w:sz w:val="24"/>
                <w:szCs w:val="24"/>
              </w:rPr>
              <w:t>投标预备会</w:t>
            </w:r>
          </w:p>
        </w:tc>
        <w:tc>
          <w:tcPr>
            <w:tcW w:w="6379" w:type="dxa"/>
            <w:vAlign w:val="center"/>
          </w:tcPr>
          <w:p w14:paraId="1BF15D2B">
            <w:pPr>
              <w:spacing w:line="460" w:lineRule="exact"/>
              <w:rPr>
                <w:rFonts w:ascii="宋体" w:hAnsi="宋体"/>
                <w:sz w:val="24"/>
                <w:szCs w:val="24"/>
              </w:rPr>
            </w:pPr>
            <w:r>
              <w:rPr>
                <w:rFonts w:hint="eastAsia" w:ascii="宋体" w:hAnsi="宋体"/>
                <w:sz w:val="24"/>
                <w:szCs w:val="24"/>
              </w:rPr>
              <w:t>不召开</w:t>
            </w:r>
          </w:p>
        </w:tc>
      </w:tr>
      <w:tr w14:paraId="24E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00FB71E4">
            <w:pPr>
              <w:spacing w:line="460" w:lineRule="exact"/>
              <w:jc w:val="center"/>
              <w:rPr>
                <w:rFonts w:ascii="宋体" w:hAnsi="宋体"/>
                <w:sz w:val="24"/>
                <w:szCs w:val="24"/>
              </w:rPr>
            </w:pPr>
            <w:r>
              <w:rPr>
                <w:rFonts w:hint="eastAsia" w:ascii="宋体" w:hAnsi="宋体"/>
                <w:sz w:val="24"/>
                <w:szCs w:val="24"/>
              </w:rPr>
              <w:t>1.10.2</w:t>
            </w:r>
          </w:p>
        </w:tc>
        <w:tc>
          <w:tcPr>
            <w:tcW w:w="2280" w:type="dxa"/>
            <w:gridSpan w:val="3"/>
            <w:vAlign w:val="center"/>
          </w:tcPr>
          <w:p w14:paraId="0ED0AA5B">
            <w:pPr>
              <w:spacing w:line="460" w:lineRule="exact"/>
              <w:jc w:val="center"/>
              <w:rPr>
                <w:rFonts w:ascii="宋体" w:hAnsi="宋体"/>
                <w:sz w:val="24"/>
                <w:szCs w:val="24"/>
              </w:rPr>
            </w:pPr>
            <w:r>
              <w:rPr>
                <w:rFonts w:hint="eastAsia" w:ascii="宋体" w:hAnsi="宋体"/>
                <w:sz w:val="24"/>
                <w:szCs w:val="24"/>
              </w:rPr>
              <w:t>投标人提出问题的截止时间</w:t>
            </w:r>
          </w:p>
        </w:tc>
        <w:tc>
          <w:tcPr>
            <w:tcW w:w="6379" w:type="dxa"/>
            <w:vAlign w:val="center"/>
          </w:tcPr>
          <w:p w14:paraId="7EDF1C88">
            <w:pPr>
              <w:spacing w:line="460" w:lineRule="exact"/>
              <w:rPr>
                <w:rFonts w:ascii="宋体" w:hAnsi="宋体"/>
                <w:sz w:val="24"/>
                <w:szCs w:val="24"/>
              </w:rPr>
            </w:pPr>
            <w:r>
              <w:rPr>
                <w:rFonts w:hint="eastAsia" w:ascii="宋体" w:hAnsi="宋体"/>
                <w:sz w:val="24"/>
                <w:szCs w:val="24"/>
              </w:rPr>
              <w:t>投标截止时间10日前</w:t>
            </w:r>
          </w:p>
        </w:tc>
      </w:tr>
      <w:tr w14:paraId="35F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157DFBA6">
            <w:pPr>
              <w:spacing w:line="460" w:lineRule="exact"/>
              <w:jc w:val="center"/>
              <w:rPr>
                <w:rFonts w:ascii="宋体" w:hAnsi="宋体"/>
                <w:sz w:val="24"/>
                <w:szCs w:val="24"/>
              </w:rPr>
            </w:pPr>
            <w:r>
              <w:rPr>
                <w:rFonts w:hint="eastAsia" w:ascii="宋体" w:hAnsi="宋体"/>
                <w:sz w:val="24"/>
                <w:szCs w:val="24"/>
              </w:rPr>
              <w:t>1.10.3</w:t>
            </w:r>
          </w:p>
        </w:tc>
        <w:tc>
          <w:tcPr>
            <w:tcW w:w="2280" w:type="dxa"/>
            <w:gridSpan w:val="3"/>
            <w:vAlign w:val="center"/>
          </w:tcPr>
          <w:p w14:paraId="3D9A0238">
            <w:pPr>
              <w:spacing w:line="460" w:lineRule="exact"/>
              <w:jc w:val="center"/>
              <w:rPr>
                <w:rFonts w:ascii="宋体" w:hAnsi="宋体"/>
                <w:sz w:val="24"/>
                <w:szCs w:val="24"/>
              </w:rPr>
            </w:pPr>
            <w:r>
              <w:rPr>
                <w:rFonts w:hint="eastAsia" w:ascii="宋体" w:hAnsi="宋体"/>
                <w:sz w:val="24"/>
                <w:szCs w:val="24"/>
              </w:rPr>
              <w:t>招标人书面澄清的时间</w:t>
            </w:r>
          </w:p>
        </w:tc>
        <w:tc>
          <w:tcPr>
            <w:tcW w:w="6379" w:type="dxa"/>
            <w:vAlign w:val="center"/>
          </w:tcPr>
          <w:p w14:paraId="69877C6B">
            <w:pPr>
              <w:spacing w:line="460" w:lineRule="exact"/>
              <w:rPr>
                <w:rFonts w:ascii="宋体" w:hAnsi="宋体"/>
                <w:sz w:val="24"/>
                <w:szCs w:val="24"/>
              </w:rPr>
            </w:pPr>
            <w:r>
              <w:rPr>
                <w:rFonts w:hint="eastAsia" w:ascii="宋体" w:hAnsi="宋体"/>
                <w:sz w:val="24"/>
                <w:szCs w:val="24"/>
              </w:rPr>
              <w:t>投标截止时间15日前</w:t>
            </w:r>
          </w:p>
        </w:tc>
      </w:tr>
      <w:tr w14:paraId="1C69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1E592FD">
            <w:pPr>
              <w:spacing w:line="460" w:lineRule="exact"/>
              <w:jc w:val="center"/>
              <w:rPr>
                <w:rFonts w:ascii="宋体" w:hAnsi="宋体"/>
                <w:sz w:val="24"/>
                <w:szCs w:val="24"/>
              </w:rPr>
            </w:pPr>
            <w:r>
              <w:rPr>
                <w:rFonts w:hint="eastAsia" w:ascii="宋体" w:hAnsi="宋体"/>
                <w:sz w:val="24"/>
                <w:szCs w:val="24"/>
              </w:rPr>
              <w:t>1.11</w:t>
            </w:r>
          </w:p>
        </w:tc>
        <w:tc>
          <w:tcPr>
            <w:tcW w:w="2280" w:type="dxa"/>
            <w:gridSpan w:val="3"/>
            <w:vAlign w:val="center"/>
          </w:tcPr>
          <w:p w14:paraId="675618EC">
            <w:pPr>
              <w:spacing w:line="460" w:lineRule="exact"/>
              <w:jc w:val="center"/>
              <w:rPr>
                <w:rFonts w:ascii="宋体" w:hAnsi="宋体"/>
                <w:sz w:val="24"/>
                <w:szCs w:val="24"/>
              </w:rPr>
            </w:pPr>
            <w:r>
              <w:rPr>
                <w:rFonts w:hint="eastAsia" w:ascii="宋体" w:hAnsi="宋体"/>
                <w:sz w:val="24"/>
                <w:szCs w:val="24"/>
              </w:rPr>
              <w:t>分  包</w:t>
            </w:r>
          </w:p>
        </w:tc>
        <w:tc>
          <w:tcPr>
            <w:tcW w:w="6379" w:type="dxa"/>
            <w:vAlign w:val="center"/>
          </w:tcPr>
          <w:p w14:paraId="6BBFE8BA">
            <w:pPr>
              <w:spacing w:line="460" w:lineRule="exact"/>
              <w:rPr>
                <w:rFonts w:ascii="宋体" w:hAnsi="宋体"/>
                <w:sz w:val="24"/>
                <w:szCs w:val="24"/>
              </w:rPr>
            </w:pPr>
            <w:r>
              <w:rPr>
                <w:rFonts w:hint="eastAsia" w:ascii="宋体" w:hAnsi="宋体"/>
                <w:sz w:val="24"/>
                <w:szCs w:val="24"/>
              </w:rPr>
              <w:t>不允许</w:t>
            </w:r>
          </w:p>
        </w:tc>
      </w:tr>
      <w:tr w14:paraId="1B6D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6A0CC21D">
            <w:pPr>
              <w:spacing w:line="460" w:lineRule="exact"/>
              <w:jc w:val="center"/>
              <w:rPr>
                <w:rFonts w:ascii="宋体" w:hAnsi="宋体"/>
                <w:sz w:val="24"/>
                <w:szCs w:val="24"/>
              </w:rPr>
            </w:pPr>
            <w:r>
              <w:rPr>
                <w:rFonts w:hint="eastAsia" w:ascii="宋体" w:hAnsi="宋体"/>
                <w:sz w:val="24"/>
                <w:szCs w:val="24"/>
              </w:rPr>
              <w:t>2.1</w:t>
            </w:r>
          </w:p>
        </w:tc>
        <w:tc>
          <w:tcPr>
            <w:tcW w:w="2280" w:type="dxa"/>
            <w:gridSpan w:val="3"/>
            <w:vAlign w:val="center"/>
          </w:tcPr>
          <w:p w14:paraId="497E9470">
            <w:pPr>
              <w:spacing w:line="460" w:lineRule="exact"/>
              <w:jc w:val="center"/>
              <w:rPr>
                <w:rFonts w:ascii="宋体" w:hAnsi="宋体"/>
                <w:sz w:val="24"/>
                <w:szCs w:val="24"/>
              </w:rPr>
            </w:pPr>
            <w:r>
              <w:rPr>
                <w:rFonts w:hint="eastAsia" w:ascii="宋体" w:hAnsi="宋体"/>
                <w:sz w:val="24"/>
                <w:szCs w:val="24"/>
              </w:rPr>
              <w:t>构成招标文件的其他材料</w:t>
            </w:r>
          </w:p>
        </w:tc>
        <w:tc>
          <w:tcPr>
            <w:tcW w:w="6379" w:type="dxa"/>
            <w:vAlign w:val="center"/>
          </w:tcPr>
          <w:p w14:paraId="5C2A080B">
            <w:pPr>
              <w:spacing w:line="460" w:lineRule="exact"/>
              <w:rPr>
                <w:rFonts w:ascii="宋体" w:hAnsi="宋体"/>
                <w:sz w:val="24"/>
                <w:szCs w:val="24"/>
              </w:rPr>
            </w:pPr>
            <w:r>
              <w:rPr>
                <w:rFonts w:hint="eastAsia" w:ascii="宋体" w:hAnsi="宋体"/>
                <w:sz w:val="24"/>
                <w:szCs w:val="24"/>
              </w:rPr>
              <w:t>经相关部门确认的答疑纪要、招标文件的补充、澄清和修改文件（如有）</w:t>
            </w:r>
          </w:p>
        </w:tc>
      </w:tr>
      <w:tr w14:paraId="1E72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80" w:type="dxa"/>
            <w:vAlign w:val="center"/>
          </w:tcPr>
          <w:p w14:paraId="234BBFC8">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2.2.1</w:t>
            </w:r>
          </w:p>
        </w:tc>
        <w:tc>
          <w:tcPr>
            <w:tcW w:w="2280" w:type="dxa"/>
            <w:gridSpan w:val="3"/>
            <w:vAlign w:val="center"/>
          </w:tcPr>
          <w:p w14:paraId="53D0FA72">
            <w:pPr>
              <w:spacing w:line="400" w:lineRule="exact"/>
              <w:jc w:val="center"/>
              <w:rPr>
                <w:rFonts w:ascii="宋体" w:hAnsi="宋体"/>
                <w:color w:val="FF0000"/>
                <w:sz w:val="24"/>
                <w:szCs w:val="24"/>
              </w:rPr>
            </w:pPr>
            <w:r>
              <w:rPr>
                <w:rFonts w:hint="eastAsia" w:ascii="宋体" w:hAnsi="宋体" w:cs="宋体"/>
                <w:sz w:val="24"/>
                <w:szCs w:val="24"/>
              </w:rPr>
              <w:t>投标人要求澄清招标文件的截止时间</w:t>
            </w:r>
          </w:p>
        </w:tc>
        <w:tc>
          <w:tcPr>
            <w:tcW w:w="6379" w:type="dxa"/>
            <w:vAlign w:val="center"/>
          </w:tcPr>
          <w:p w14:paraId="437E8822">
            <w:pPr>
              <w:spacing w:line="400" w:lineRule="exact"/>
              <w:rPr>
                <w:rFonts w:ascii="宋体" w:hAnsi="宋体"/>
                <w:color w:val="FF0000"/>
                <w:sz w:val="24"/>
                <w:szCs w:val="24"/>
              </w:rPr>
            </w:pPr>
            <w:r>
              <w:rPr>
                <w:rFonts w:hint="eastAsia" w:ascii="宋体" w:hAnsi="宋体" w:cs="宋体"/>
                <w:sz w:val="24"/>
                <w:szCs w:val="24"/>
              </w:rPr>
              <w:t>投标截止时间15日前</w:t>
            </w:r>
          </w:p>
        </w:tc>
      </w:tr>
      <w:tr w14:paraId="1D29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80" w:type="dxa"/>
            <w:vAlign w:val="center"/>
          </w:tcPr>
          <w:p w14:paraId="00A7031A">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2.2.2</w:t>
            </w:r>
          </w:p>
        </w:tc>
        <w:tc>
          <w:tcPr>
            <w:tcW w:w="2280" w:type="dxa"/>
            <w:gridSpan w:val="3"/>
            <w:vAlign w:val="center"/>
          </w:tcPr>
          <w:p w14:paraId="7138CB93">
            <w:pPr>
              <w:spacing w:line="360" w:lineRule="auto"/>
              <w:rPr>
                <w:rFonts w:ascii="宋体" w:hAnsi="宋体"/>
                <w:sz w:val="24"/>
                <w:szCs w:val="24"/>
              </w:rPr>
            </w:pPr>
            <w:r>
              <w:rPr>
                <w:rFonts w:hint="eastAsia" w:ascii="宋体" w:hAnsi="宋体"/>
                <w:sz w:val="24"/>
                <w:szCs w:val="24"/>
              </w:rPr>
              <w:t>招标文件澄清发出的形式</w:t>
            </w:r>
          </w:p>
        </w:tc>
        <w:tc>
          <w:tcPr>
            <w:tcW w:w="6379" w:type="dxa"/>
            <w:vAlign w:val="center"/>
          </w:tcPr>
          <w:p w14:paraId="5567ECA0">
            <w:pPr>
              <w:spacing w:line="360" w:lineRule="auto"/>
              <w:rPr>
                <w:rFonts w:ascii="宋体" w:hAnsi="宋体"/>
                <w:sz w:val="24"/>
                <w:szCs w:val="24"/>
              </w:rPr>
            </w:pPr>
            <w:r>
              <w:rPr>
                <w:rFonts w:hint="eastAsia" w:ascii="宋体" w:hAnsi="宋体"/>
                <w:sz w:val="24"/>
                <w:szCs w:val="24"/>
              </w:rPr>
              <w:t>所有投标单位请时刻关注《三门峡市公共资源交易中心电子化交易系统》，该项目所有澄清、修改、答疑、变更均在《三门峡市公共资源交易中心网》发布，不再另行通知。如未及时查看影响其投标，后果自负。（如有）</w:t>
            </w:r>
          </w:p>
        </w:tc>
      </w:tr>
      <w:tr w14:paraId="76B1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080" w:type="dxa"/>
            <w:vAlign w:val="center"/>
          </w:tcPr>
          <w:p w14:paraId="2DD63E95">
            <w:pPr>
              <w:spacing w:line="360" w:lineRule="auto"/>
              <w:jc w:val="center"/>
              <w:rPr>
                <w:rFonts w:ascii="宋体" w:hAnsi="宋体"/>
                <w:sz w:val="24"/>
                <w:szCs w:val="24"/>
              </w:rPr>
            </w:pPr>
            <w:r>
              <w:rPr>
                <w:rFonts w:hint="eastAsia" w:ascii="宋体" w:hAnsi="宋体" w:cs="宋体"/>
                <w:szCs w:val="21"/>
              </w:rPr>
              <w:t>2.2.3</w:t>
            </w:r>
          </w:p>
        </w:tc>
        <w:tc>
          <w:tcPr>
            <w:tcW w:w="2280" w:type="dxa"/>
            <w:gridSpan w:val="3"/>
            <w:shd w:val="clear" w:color="auto" w:fill="auto"/>
            <w:vAlign w:val="center"/>
          </w:tcPr>
          <w:p w14:paraId="0C605A3A">
            <w:pPr>
              <w:spacing w:line="400" w:lineRule="exact"/>
              <w:jc w:val="center"/>
              <w:rPr>
                <w:rFonts w:ascii="宋体" w:hAnsi="宋体"/>
                <w:color w:val="FF0000"/>
                <w:sz w:val="24"/>
                <w:szCs w:val="24"/>
              </w:rPr>
            </w:pPr>
            <w:r>
              <w:rPr>
                <w:rFonts w:hint="eastAsia" w:ascii="宋体" w:hAnsi="宋体" w:cs="宋体"/>
                <w:sz w:val="24"/>
                <w:szCs w:val="24"/>
              </w:rPr>
              <w:t>投标人确认收到招标文件澄清的时间</w:t>
            </w:r>
          </w:p>
        </w:tc>
        <w:tc>
          <w:tcPr>
            <w:tcW w:w="6379" w:type="dxa"/>
            <w:shd w:val="clear" w:color="auto" w:fill="auto"/>
            <w:vAlign w:val="center"/>
          </w:tcPr>
          <w:p w14:paraId="2213FAD0">
            <w:pPr>
              <w:spacing w:line="400" w:lineRule="exact"/>
              <w:rPr>
                <w:rFonts w:ascii="宋体" w:hAnsi="宋体"/>
                <w:color w:val="FF0000"/>
                <w:sz w:val="24"/>
                <w:szCs w:val="24"/>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26AC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080" w:type="dxa"/>
            <w:vAlign w:val="center"/>
          </w:tcPr>
          <w:p w14:paraId="2EA2C3D0">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sz w:val="24"/>
                <w:szCs w:val="24"/>
              </w:rPr>
            </w:pPr>
            <w:r>
              <w:rPr>
                <w:rFonts w:hint="eastAsia"/>
                <w:sz w:val="21"/>
              </w:rPr>
              <w:t>2.3.1</w:t>
            </w:r>
          </w:p>
        </w:tc>
        <w:tc>
          <w:tcPr>
            <w:tcW w:w="2280" w:type="dxa"/>
            <w:gridSpan w:val="3"/>
            <w:shd w:val="clear" w:color="auto" w:fill="auto"/>
            <w:vAlign w:val="center"/>
          </w:tcPr>
          <w:p w14:paraId="6496DD7A">
            <w:pPr>
              <w:spacing w:line="400" w:lineRule="exact"/>
              <w:jc w:val="center"/>
              <w:rPr>
                <w:rFonts w:ascii="宋体" w:hAnsi="宋体"/>
                <w:color w:val="FF0000"/>
                <w:sz w:val="24"/>
                <w:szCs w:val="24"/>
              </w:rPr>
            </w:pPr>
            <w:r>
              <w:rPr>
                <w:rFonts w:hint="eastAsia" w:ascii="宋体" w:hAnsi="宋体" w:cs="宋体"/>
                <w:sz w:val="24"/>
                <w:szCs w:val="24"/>
              </w:rPr>
              <w:t>投标人确认收到招标文件修改的时间</w:t>
            </w:r>
          </w:p>
        </w:tc>
        <w:tc>
          <w:tcPr>
            <w:tcW w:w="6379" w:type="dxa"/>
            <w:shd w:val="clear" w:color="auto" w:fill="auto"/>
            <w:vAlign w:val="center"/>
          </w:tcPr>
          <w:p w14:paraId="2F026D21">
            <w:pPr>
              <w:spacing w:line="400" w:lineRule="exact"/>
              <w:rPr>
                <w:rFonts w:ascii="宋体" w:hAnsi="宋体"/>
                <w:color w:val="FF0000"/>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133B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186ABE23">
            <w:pPr>
              <w:spacing w:line="460" w:lineRule="exact"/>
              <w:jc w:val="center"/>
              <w:rPr>
                <w:rFonts w:ascii="宋体" w:hAnsi="宋体"/>
                <w:sz w:val="24"/>
                <w:szCs w:val="24"/>
              </w:rPr>
            </w:pPr>
            <w:r>
              <w:rPr>
                <w:rFonts w:hint="eastAsia" w:ascii="宋体" w:hAnsi="宋体"/>
                <w:sz w:val="24"/>
                <w:szCs w:val="24"/>
              </w:rPr>
              <w:t>3.1.1</w:t>
            </w:r>
          </w:p>
        </w:tc>
        <w:tc>
          <w:tcPr>
            <w:tcW w:w="2280" w:type="dxa"/>
            <w:gridSpan w:val="3"/>
            <w:vAlign w:val="center"/>
          </w:tcPr>
          <w:p w14:paraId="037C924F">
            <w:pPr>
              <w:spacing w:line="460" w:lineRule="exact"/>
              <w:jc w:val="center"/>
              <w:rPr>
                <w:rFonts w:ascii="宋体" w:hAnsi="宋体"/>
                <w:sz w:val="24"/>
                <w:szCs w:val="24"/>
              </w:rPr>
            </w:pPr>
            <w:r>
              <w:rPr>
                <w:rFonts w:hint="eastAsia" w:ascii="宋体" w:hAnsi="宋体"/>
                <w:sz w:val="24"/>
                <w:szCs w:val="24"/>
              </w:rPr>
              <w:t>投标文件密封形式</w:t>
            </w:r>
          </w:p>
        </w:tc>
        <w:tc>
          <w:tcPr>
            <w:tcW w:w="6379" w:type="dxa"/>
            <w:vAlign w:val="center"/>
          </w:tcPr>
          <w:p w14:paraId="1B9FB3CA">
            <w:pPr>
              <w:spacing w:line="460" w:lineRule="exact"/>
              <w:jc w:val="left"/>
              <w:rPr>
                <w:rFonts w:ascii="宋体" w:hAnsi="宋体"/>
                <w:sz w:val="24"/>
                <w:szCs w:val="24"/>
              </w:rPr>
            </w:pPr>
            <w:r>
              <w:rPr>
                <w:rFonts w:hint="eastAsia" w:ascii="宋体" w:hAnsi="宋体"/>
                <w:sz w:val="24"/>
                <w:szCs w:val="24"/>
              </w:rPr>
              <w:t>双信封</w:t>
            </w:r>
          </w:p>
        </w:tc>
      </w:tr>
      <w:tr w14:paraId="2C4B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7487FA9C">
            <w:pPr>
              <w:spacing w:line="460" w:lineRule="exact"/>
              <w:jc w:val="center"/>
              <w:rPr>
                <w:rFonts w:ascii="宋体" w:hAnsi="宋体"/>
                <w:sz w:val="24"/>
                <w:szCs w:val="24"/>
              </w:rPr>
            </w:pPr>
            <w:r>
              <w:rPr>
                <w:rFonts w:hint="eastAsia" w:ascii="宋体" w:hAnsi="宋体"/>
                <w:sz w:val="24"/>
                <w:szCs w:val="24"/>
              </w:rPr>
              <w:t>3.2.1</w:t>
            </w:r>
          </w:p>
        </w:tc>
        <w:tc>
          <w:tcPr>
            <w:tcW w:w="2280" w:type="dxa"/>
            <w:gridSpan w:val="3"/>
            <w:vAlign w:val="center"/>
          </w:tcPr>
          <w:p w14:paraId="032F1920">
            <w:pPr>
              <w:spacing w:line="460" w:lineRule="exact"/>
              <w:jc w:val="center"/>
              <w:rPr>
                <w:rFonts w:ascii="宋体" w:hAnsi="宋体"/>
                <w:sz w:val="24"/>
                <w:szCs w:val="24"/>
              </w:rPr>
            </w:pPr>
            <w:r>
              <w:rPr>
                <w:rFonts w:hint="eastAsia" w:ascii="宋体" w:hAnsi="宋体"/>
                <w:sz w:val="24"/>
                <w:szCs w:val="24"/>
              </w:rPr>
              <w:t>增值税税金的计算方法</w:t>
            </w:r>
          </w:p>
        </w:tc>
        <w:tc>
          <w:tcPr>
            <w:tcW w:w="6379" w:type="dxa"/>
            <w:vAlign w:val="center"/>
          </w:tcPr>
          <w:p w14:paraId="11213A4E">
            <w:pPr>
              <w:spacing w:line="460" w:lineRule="exact"/>
              <w:jc w:val="left"/>
              <w:rPr>
                <w:rFonts w:ascii="宋体" w:hAnsi="宋体"/>
                <w:sz w:val="24"/>
                <w:szCs w:val="24"/>
              </w:rPr>
            </w:pPr>
            <w:r>
              <w:rPr>
                <w:rFonts w:hint="eastAsia" w:ascii="宋体" w:hAnsi="宋体"/>
                <w:sz w:val="24"/>
                <w:szCs w:val="24"/>
              </w:rPr>
              <w:t>执行国家最新政策</w:t>
            </w:r>
          </w:p>
        </w:tc>
      </w:tr>
      <w:tr w14:paraId="5876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6FD004C8">
            <w:pPr>
              <w:spacing w:line="460" w:lineRule="exact"/>
              <w:jc w:val="center"/>
              <w:rPr>
                <w:rFonts w:ascii="宋体" w:hAnsi="宋体"/>
                <w:sz w:val="24"/>
                <w:szCs w:val="24"/>
              </w:rPr>
            </w:pPr>
            <w:r>
              <w:rPr>
                <w:rFonts w:hint="eastAsia" w:ascii="宋体" w:hAnsi="宋体"/>
                <w:sz w:val="24"/>
                <w:szCs w:val="24"/>
              </w:rPr>
              <w:t>3.2.2</w:t>
            </w:r>
          </w:p>
        </w:tc>
        <w:tc>
          <w:tcPr>
            <w:tcW w:w="2280" w:type="dxa"/>
            <w:gridSpan w:val="3"/>
            <w:vAlign w:val="center"/>
          </w:tcPr>
          <w:p w14:paraId="542ADA7E">
            <w:pPr>
              <w:spacing w:line="460" w:lineRule="exact"/>
              <w:jc w:val="center"/>
              <w:rPr>
                <w:rFonts w:ascii="宋体" w:hAnsi="宋体"/>
                <w:sz w:val="24"/>
                <w:szCs w:val="24"/>
              </w:rPr>
            </w:pPr>
            <w:r>
              <w:rPr>
                <w:rFonts w:hint="eastAsia" w:ascii="宋体" w:hAnsi="宋体"/>
                <w:sz w:val="24"/>
                <w:szCs w:val="24"/>
              </w:rPr>
              <w:t>工程量清单的填写方式</w:t>
            </w:r>
          </w:p>
        </w:tc>
        <w:tc>
          <w:tcPr>
            <w:tcW w:w="6379" w:type="dxa"/>
            <w:vAlign w:val="center"/>
          </w:tcPr>
          <w:p w14:paraId="01F2B233">
            <w:pPr>
              <w:spacing w:line="460" w:lineRule="exact"/>
              <w:jc w:val="left"/>
              <w:rPr>
                <w:rFonts w:ascii="宋体" w:hAnsi="宋体"/>
                <w:sz w:val="24"/>
                <w:szCs w:val="24"/>
              </w:rPr>
            </w:pPr>
            <w:r>
              <w:rPr>
                <w:rFonts w:hint="eastAsia" w:ascii="宋体" w:hAnsi="宋体"/>
                <w:sz w:val="24"/>
                <w:szCs w:val="24"/>
              </w:rPr>
              <w:t>投标人按照招标人提供的工程量清单电子文件填写工程量清单。</w:t>
            </w:r>
          </w:p>
        </w:tc>
      </w:tr>
      <w:tr w14:paraId="300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1063662F">
            <w:pPr>
              <w:spacing w:line="460" w:lineRule="exact"/>
              <w:jc w:val="center"/>
              <w:rPr>
                <w:rFonts w:ascii="宋体" w:hAnsi="宋体"/>
                <w:sz w:val="24"/>
                <w:szCs w:val="24"/>
              </w:rPr>
            </w:pPr>
            <w:r>
              <w:rPr>
                <w:rFonts w:hint="eastAsia" w:ascii="宋体" w:hAnsi="宋体"/>
                <w:sz w:val="24"/>
                <w:szCs w:val="24"/>
              </w:rPr>
              <w:t>3.2.3</w:t>
            </w:r>
          </w:p>
        </w:tc>
        <w:tc>
          <w:tcPr>
            <w:tcW w:w="2280" w:type="dxa"/>
            <w:gridSpan w:val="3"/>
            <w:vAlign w:val="center"/>
          </w:tcPr>
          <w:p w14:paraId="162D73D5">
            <w:pPr>
              <w:spacing w:line="460" w:lineRule="exact"/>
              <w:jc w:val="center"/>
              <w:rPr>
                <w:rFonts w:ascii="宋体" w:hAnsi="宋体"/>
                <w:sz w:val="24"/>
                <w:szCs w:val="24"/>
              </w:rPr>
            </w:pPr>
            <w:r>
              <w:rPr>
                <w:rFonts w:hint="eastAsia" w:ascii="宋体" w:hAnsi="宋体"/>
                <w:sz w:val="24"/>
                <w:szCs w:val="24"/>
              </w:rPr>
              <w:t>报价方式</w:t>
            </w:r>
          </w:p>
        </w:tc>
        <w:tc>
          <w:tcPr>
            <w:tcW w:w="6379" w:type="dxa"/>
            <w:vAlign w:val="center"/>
          </w:tcPr>
          <w:p w14:paraId="4AE3FDA0">
            <w:pPr>
              <w:pStyle w:val="17"/>
              <w:shd w:val="clear" w:color="auto" w:fill="FFFFFF"/>
              <w:spacing w:before="0" w:beforeAutospacing="0" w:after="0" w:afterAutospacing="0" w:line="360" w:lineRule="auto"/>
              <w:rPr>
                <w:rFonts w:cs="Times New Roman"/>
                <w:color w:val="000000"/>
                <w:sz w:val="21"/>
                <w:szCs w:val="21"/>
                <w:shd w:val="clear" w:color="auto" w:fill="FFFFFF"/>
              </w:rPr>
            </w:pPr>
            <w:r>
              <w:rPr>
                <w:rFonts w:hint="eastAsia" w:cs="Times New Roman"/>
                <w:color w:val="000000"/>
                <w:sz w:val="21"/>
                <w:szCs w:val="21"/>
                <w:shd w:val="clear" w:color="auto" w:fill="FFFFFF"/>
              </w:rPr>
              <w:t>☑</w:t>
            </w:r>
            <w:r>
              <w:rPr>
                <w:rFonts w:hint="eastAsia" w:cs="Times New Roman"/>
              </w:rPr>
              <w:t>固定单价</w:t>
            </w:r>
          </w:p>
          <w:p w14:paraId="0027F373">
            <w:pPr>
              <w:spacing w:line="460" w:lineRule="exact"/>
              <w:jc w:val="left"/>
              <w:rPr>
                <w:rFonts w:ascii="宋体" w:hAnsi="宋体"/>
                <w:sz w:val="24"/>
                <w:szCs w:val="24"/>
              </w:rPr>
            </w:pPr>
            <w:r>
              <w:rPr>
                <w:rFonts w:hint="eastAsia"/>
                <w:color w:val="000000"/>
                <w:szCs w:val="21"/>
                <w:shd w:val="clear" w:color="auto" w:fill="FFFFFF"/>
              </w:rPr>
              <w:t>□</w:t>
            </w:r>
            <w:r>
              <w:rPr>
                <w:rFonts w:hint="eastAsia" w:ascii="宋体" w:hAnsi="宋体"/>
                <w:sz w:val="24"/>
                <w:szCs w:val="24"/>
              </w:rPr>
              <w:t>总价</w:t>
            </w:r>
          </w:p>
        </w:tc>
      </w:tr>
      <w:tr w14:paraId="5184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5D8437A4">
            <w:pPr>
              <w:spacing w:line="460" w:lineRule="exact"/>
              <w:jc w:val="center"/>
              <w:rPr>
                <w:rFonts w:ascii="宋体" w:hAnsi="宋体"/>
                <w:sz w:val="24"/>
                <w:szCs w:val="24"/>
              </w:rPr>
            </w:pPr>
            <w:r>
              <w:rPr>
                <w:rFonts w:hint="eastAsia" w:ascii="宋体" w:hAnsi="宋体"/>
                <w:sz w:val="24"/>
                <w:szCs w:val="24"/>
              </w:rPr>
              <w:t>3.2.6</w:t>
            </w:r>
          </w:p>
        </w:tc>
        <w:tc>
          <w:tcPr>
            <w:tcW w:w="2280" w:type="dxa"/>
            <w:gridSpan w:val="3"/>
            <w:vAlign w:val="center"/>
          </w:tcPr>
          <w:p w14:paraId="34734D80">
            <w:pPr>
              <w:spacing w:line="460" w:lineRule="exact"/>
              <w:jc w:val="center"/>
              <w:rPr>
                <w:rFonts w:ascii="宋体" w:hAnsi="宋体"/>
                <w:sz w:val="24"/>
                <w:szCs w:val="24"/>
              </w:rPr>
            </w:pPr>
            <w:r>
              <w:rPr>
                <w:rFonts w:hint="eastAsia" w:ascii="宋体" w:hAnsi="宋体"/>
                <w:sz w:val="24"/>
                <w:szCs w:val="24"/>
              </w:rPr>
              <w:t>是否接受调价函</w:t>
            </w:r>
          </w:p>
        </w:tc>
        <w:tc>
          <w:tcPr>
            <w:tcW w:w="6379" w:type="dxa"/>
            <w:vAlign w:val="center"/>
          </w:tcPr>
          <w:p w14:paraId="6E8F08EC">
            <w:pPr>
              <w:spacing w:line="460" w:lineRule="exact"/>
              <w:jc w:val="left"/>
              <w:rPr>
                <w:rFonts w:ascii="宋体" w:hAnsi="宋体"/>
                <w:sz w:val="24"/>
                <w:szCs w:val="24"/>
              </w:rPr>
            </w:pPr>
            <w:r>
              <w:rPr>
                <w:rFonts w:hint="eastAsia" w:ascii="宋体" w:hAnsi="宋体"/>
                <w:sz w:val="24"/>
                <w:szCs w:val="24"/>
              </w:rPr>
              <w:t>否</w:t>
            </w:r>
          </w:p>
        </w:tc>
      </w:tr>
      <w:tr w14:paraId="470D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Align w:val="center"/>
          </w:tcPr>
          <w:p w14:paraId="1CBA39D0">
            <w:pPr>
              <w:spacing w:line="460" w:lineRule="exact"/>
              <w:jc w:val="center"/>
              <w:rPr>
                <w:rFonts w:ascii="宋体" w:hAnsi="宋体"/>
                <w:sz w:val="24"/>
                <w:szCs w:val="24"/>
              </w:rPr>
            </w:pPr>
            <w:r>
              <w:rPr>
                <w:rFonts w:hint="eastAsia" w:ascii="宋体" w:hAnsi="宋体"/>
                <w:sz w:val="24"/>
                <w:szCs w:val="24"/>
              </w:rPr>
              <w:t>3.2.8</w:t>
            </w:r>
          </w:p>
        </w:tc>
        <w:tc>
          <w:tcPr>
            <w:tcW w:w="2280" w:type="dxa"/>
            <w:gridSpan w:val="3"/>
            <w:vAlign w:val="center"/>
          </w:tcPr>
          <w:p w14:paraId="094C0566">
            <w:pPr>
              <w:spacing w:line="460" w:lineRule="exact"/>
              <w:jc w:val="center"/>
              <w:rPr>
                <w:rFonts w:ascii="宋体" w:hAnsi="宋体"/>
                <w:sz w:val="24"/>
                <w:szCs w:val="24"/>
              </w:rPr>
            </w:pPr>
            <w:r>
              <w:rPr>
                <w:rFonts w:hint="eastAsia" w:ascii="宋体" w:hAnsi="宋体"/>
                <w:sz w:val="24"/>
                <w:szCs w:val="24"/>
              </w:rPr>
              <w:t>最高投标限价（招标控制价）</w:t>
            </w:r>
          </w:p>
        </w:tc>
        <w:tc>
          <w:tcPr>
            <w:tcW w:w="6379" w:type="dxa"/>
            <w:vAlign w:val="center"/>
          </w:tcPr>
          <w:p w14:paraId="40BB5CD3">
            <w:pPr>
              <w:spacing w:line="460" w:lineRule="exact"/>
              <w:jc w:val="left"/>
              <w:rPr>
                <w:rFonts w:ascii="宋体" w:hAnsi="宋体"/>
                <w:sz w:val="24"/>
                <w:szCs w:val="24"/>
              </w:rPr>
            </w:pPr>
            <w:r>
              <w:rPr>
                <w:rFonts w:hint="eastAsia" w:ascii="宋体" w:hAnsi="宋体" w:cs="宋体"/>
                <w:snapToGrid w:val="0"/>
                <w:sz w:val="24"/>
                <w:szCs w:val="24"/>
              </w:rPr>
              <w:t>大写：肆佰壹拾壹万陆仟柒佰捌拾伍元捌角伍分（￥411.678585万元）；</w:t>
            </w:r>
            <w:r>
              <w:rPr>
                <w:rFonts w:hint="eastAsia" w:ascii="宋体" w:hAnsi="宋体"/>
                <w:sz w:val="24"/>
                <w:szCs w:val="24"/>
              </w:rPr>
              <w:t>投标人的投标总报价不得高于招标人的招标控制价，否则其投标将予否决。</w:t>
            </w:r>
          </w:p>
        </w:tc>
      </w:tr>
      <w:tr w14:paraId="46C9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EB74EA9">
            <w:pPr>
              <w:spacing w:line="460" w:lineRule="exact"/>
              <w:jc w:val="center"/>
              <w:rPr>
                <w:rFonts w:ascii="宋体" w:hAnsi="宋体"/>
                <w:sz w:val="24"/>
                <w:szCs w:val="24"/>
              </w:rPr>
            </w:pPr>
            <w:r>
              <w:rPr>
                <w:rFonts w:hint="eastAsia" w:ascii="宋体" w:hAnsi="宋体"/>
                <w:sz w:val="24"/>
                <w:szCs w:val="24"/>
              </w:rPr>
              <w:t>3.3.1</w:t>
            </w:r>
          </w:p>
        </w:tc>
        <w:tc>
          <w:tcPr>
            <w:tcW w:w="2280" w:type="dxa"/>
            <w:gridSpan w:val="3"/>
            <w:vAlign w:val="center"/>
          </w:tcPr>
          <w:p w14:paraId="3929B055">
            <w:pPr>
              <w:spacing w:line="460" w:lineRule="exact"/>
              <w:jc w:val="center"/>
              <w:rPr>
                <w:rFonts w:ascii="宋体" w:hAnsi="宋体"/>
                <w:sz w:val="24"/>
                <w:szCs w:val="24"/>
              </w:rPr>
            </w:pPr>
            <w:r>
              <w:rPr>
                <w:rFonts w:hint="eastAsia" w:ascii="宋体" w:hAnsi="宋体"/>
                <w:sz w:val="24"/>
                <w:szCs w:val="24"/>
              </w:rPr>
              <w:t>投标有效期</w:t>
            </w:r>
          </w:p>
        </w:tc>
        <w:tc>
          <w:tcPr>
            <w:tcW w:w="6379" w:type="dxa"/>
            <w:vAlign w:val="center"/>
          </w:tcPr>
          <w:p w14:paraId="31BD8E5D">
            <w:pPr>
              <w:spacing w:line="460" w:lineRule="exact"/>
              <w:jc w:val="left"/>
              <w:rPr>
                <w:rFonts w:ascii="宋体" w:hAnsi="宋体"/>
                <w:sz w:val="24"/>
                <w:szCs w:val="24"/>
              </w:rPr>
            </w:pPr>
            <w:r>
              <w:rPr>
                <w:rFonts w:hint="eastAsia" w:ascii="宋体" w:hAnsi="宋体"/>
                <w:sz w:val="24"/>
                <w:szCs w:val="24"/>
              </w:rPr>
              <w:t>投标截止之日起60日历天</w:t>
            </w:r>
          </w:p>
        </w:tc>
      </w:tr>
      <w:tr w14:paraId="3A3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vAlign w:val="center"/>
          </w:tcPr>
          <w:p w14:paraId="4F2B388C">
            <w:pPr>
              <w:spacing w:line="460" w:lineRule="exact"/>
              <w:jc w:val="center"/>
              <w:rPr>
                <w:rFonts w:ascii="宋体" w:hAnsi="宋体"/>
                <w:sz w:val="24"/>
                <w:szCs w:val="24"/>
              </w:rPr>
            </w:pPr>
            <w:r>
              <w:rPr>
                <w:rFonts w:hint="eastAsia" w:ascii="宋体" w:hAnsi="宋体"/>
                <w:sz w:val="24"/>
                <w:szCs w:val="24"/>
              </w:rPr>
              <w:t>3.4.1</w:t>
            </w:r>
          </w:p>
        </w:tc>
        <w:tc>
          <w:tcPr>
            <w:tcW w:w="2280" w:type="dxa"/>
            <w:gridSpan w:val="3"/>
            <w:vAlign w:val="center"/>
          </w:tcPr>
          <w:p w14:paraId="68CE92FC">
            <w:pPr>
              <w:spacing w:line="460" w:lineRule="exact"/>
              <w:jc w:val="center"/>
              <w:rPr>
                <w:rFonts w:ascii="宋体" w:hAnsi="宋体" w:cs="宋体"/>
                <w:bCs/>
                <w:kern w:val="0"/>
                <w:sz w:val="24"/>
                <w:szCs w:val="24"/>
              </w:rPr>
            </w:pPr>
            <w:r>
              <w:rPr>
                <w:rFonts w:hint="eastAsia" w:ascii="宋体" w:hAnsi="宋体" w:cs="宋体"/>
                <w:bCs/>
                <w:kern w:val="0"/>
                <w:sz w:val="24"/>
                <w:szCs w:val="24"/>
              </w:rPr>
              <w:t>投标保证金</w:t>
            </w:r>
          </w:p>
        </w:tc>
        <w:tc>
          <w:tcPr>
            <w:tcW w:w="6379" w:type="dxa"/>
            <w:vAlign w:val="center"/>
          </w:tcPr>
          <w:p w14:paraId="7CAFB02B">
            <w:pPr>
              <w:spacing w:line="48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1、投标保证金数额：捌万元整（￥80000.00元）。</w:t>
            </w:r>
          </w:p>
          <w:p w14:paraId="6F4576EF">
            <w:pPr>
              <w:spacing w:line="48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2、投标保证金递交的截止时间：</w:t>
            </w:r>
            <w:r>
              <w:rPr>
                <w:rFonts w:hint="eastAsia" w:ascii="宋体" w:hAnsi="宋体" w:cs="宋体"/>
                <w:bCs/>
                <w:kern w:val="0"/>
                <w:sz w:val="24"/>
                <w:szCs w:val="24"/>
                <w:lang w:eastAsia="zh-CN"/>
              </w:rPr>
              <w:t>2026年5月8日8时30分</w:t>
            </w:r>
            <w:r>
              <w:rPr>
                <w:rFonts w:hint="eastAsia" w:ascii="宋体" w:hAnsi="宋体" w:cs="宋体"/>
                <w:bCs/>
                <w:kern w:val="0"/>
                <w:sz w:val="24"/>
                <w:szCs w:val="24"/>
              </w:rPr>
              <w:t xml:space="preserve">。 </w:t>
            </w:r>
          </w:p>
          <w:p w14:paraId="2A2236B2">
            <w:pPr>
              <w:spacing w:line="48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3、根据《关于加快推进公共资源交易领域信用监管工作的通知》三公管办[2021]3号文要求：建筑类施工企业获得“优秀”、公路类施工企业获得 “AA”、水利类施工企业获得“AAA”等级且连续3年无不良行为记录的中小微企业，保证金缴纳金额为：￥72000.00元；</w:t>
            </w:r>
          </w:p>
          <w:p w14:paraId="0B82E4C8">
            <w:pPr>
              <w:spacing w:line="480" w:lineRule="exact"/>
              <w:ind w:firstLine="480" w:firstLineChars="200"/>
              <w:jc w:val="left"/>
              <w:rPr>
                <w:rFonts w:ascii="宋体" w:hAnsi="宋体" w:cs="宋体"/>
                <w:bCs/>
                <w:kern w:val="0"/>
                <w:sz w:val="24"/>
                <w:szCs w:val="24"/>
              </w:rPr>
            </w:pPr>
            <w:r>
              <w:rPr>
                <w:rFonts w:hint="eastAsia" w:ascii="宋体" w:hAnsi="宋体" w:cs="宋体"/>
                <w:bCs/>
                <w:kern w:val="0"/>
                <w:sz w:val="24"/>
                <w:szCs w:val="24"/>
              </w:rPr>
              <w:t>建筑类施工企业获得“良好”、公路类施工企业获得“A”、水利类施工企业获得“AA”等级且连续3年无不良行为记录的中小微企业，保证金缴纳金额：￥76000.00元；</w:t>
            </w:r>
          </w:p>
          <w:p w14:paraId="2BD9ECF6">
            <w:pPr>
              <w:spacing w:line="480" w:lineRule="exact"/>
              <w:ind w:firstLine="480" w:firstLineChars="200"/>
              <w:jc w:val="left"/>
              <w:rPr>
                <w:rFonts w:ascii="微软雅黑" w:hAnsi="微软雅黑" w:eastAsia="微软雅黑" w:cs="宋体"/>
                <w:kern w:val="0"/>
                <w:sz w:val="27"/>
                <w:szCs w:val="27"/>
              </w:rPr>
            </w:pPr>
            <w:r>
              <w:rPr>
                <w:rFonts w:hint="eastAsia" w:ascii="宋体" w:hAnsi="宋体" w:cs="宋体"/>
                <w:bCs/>
                <w:kern w:val="0"/>
                <w:sz w:val="24"/>
                <w:szCs w:val="24"/>
              </w:rPr>
              <w:t xml:space="preserve">4、（1）缴纳方式详见：投标人市场主体登录-系统菜单-工程业务-业务管理-保证金单笔入账查询即可查询保证金缴纳账号及到账情况。（2）本项目投标保证金可以使用电子保函。电子保函方便快捷，不占用资金，开具方式请登录“网站首页-电子保函平台”或者“登录系统首页右下角-三门峡金融服务平台”或者直接登陆：http://120.194.249.36:10094/smxbaohan/进行操作，如果有问题，可咨询：0398-3117871、400-1538889。本项目投标保证金办理保函缴纳金额按上述标准执行。     </w:t>
            </w:r>
          </w:p>
        </w:tc>
      </w:tr>
      <w:tr w14:paraId="0B1B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441A9E90">
            <w:pPr>
              <w:spacing w:line="460" w:lineRule="exact"/>
              <w:jc w:val="center"/>
              <w:rPr>
                <w:rFonts w:ascii="宋体" w:hAnsi="宋体"/>
                <w:sz w:val="24"/>
                <w:szCs w:val="24"/>
              </w:rPr>
            </w:pPr>
            <w:r>
              <w:rPr>
                <w:rFonts w:hint="eastAsia" w:ascii="宋体" w:hAnsi="宋体"/>
                <w:sz w:val="24"/>
                <w:szCs w:val="24"/>
              </w:rPr>
              <w:t>3.6</w:t>
            </w:r>
          </w:p>
        </w:tc>
        <w:tc>
          <w:tcPr>
            <w:tcW w:w="2280" w:type="dxa"/>
            <w:gridSpan w:val="3"/>
            <w:vAlign w:val="center"/>
          </w:tcPr>
          <w:p w14:paraId="626D7E8E">
            <w:pPr>
              <w:spacing w:line="460" w:lineRule="exact"/>
              <w:jc w:val="center"/>
              <w:rPr>
                <w:rFonts w:ascii="宋体" w:hAnsi="宋体"/>
                <w:sz w:val="24"/>
                <w:szCs w:val="24"/>
              </w:rPr>
            </w:pPr>
            <w:r>
              <w:rPr>
                <w:rFonts w:hint="eastAsia" w:ascii="宋体" w:hAnsi="宋体"/>
                <w:sz w:val="24"/>
                <w:szCs w:val="24"/>
              </w:rPr>
              <w:t>是否允许递交备选投标方案</w:t>
            </w:r>
          </w:p>
        </w:tc>
        <w:tc>
          <w:tcPr>
            <w:tcW w:w="6379" w:type="dxa"/>
            <w:vAlign w:val="center"/>
          </w:tcPr>
          <w:p w14:paraId="1020CD32">
            <w:pPr>
              <w:spacing w:line="460" w:lineRule="exact"/>
              <w:rPr>
                <w:rFonts w:ascii="宋体" w:hAnsi="宋体"/>
                <w:sz w:val="24"/>
                <w:szCs w:val="24"/>
              </w:rPr>
            </w:pPr>
            <w:r>
              <w:rPr>
                <w:rFonts w:hint="eastAsia" w:ascii="宋体" w:hAnsi="宋体"/>
                <w:sz w:val="24"/>
                <w:szCs w:val="24"/>
              </w:rPr>
              <w:t xml:space="preserve">不允许 </w:t>
            </w:r>
          </w:p>
        </w:tc>
      </w:tr>
      <w:tr w14:paraId="0848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80" w:type="dxa"/>
            <w:vAlign w:val="center"/>
          </w:tcPr>
          <w:p w14:paraId="0B207BD0">
            <w:pPr>
              <w:spacing w:line="460" w:lineRule="exact"/>
              <w:jc w:val="center"/>
              <w:rPr>
                <w:rFonts w:ascii="宋体" w:hAnsi="宋体"/>
                <w:sz w:val="24"/>
                <w:szCs w:val="24"/>
              </w:rPr>
            </w:pPr>
            <w:r>
              <w:rPr>
                <w:rFonts w:hint="eastAsia" w:ascii="宋体" w:hAnsi="宋体"/>
                <w:sz w:val="24"/>
                <w:szCs w:val="24"/>
              </w:rPr>
              <w:t>3.7.3</w:t>
            </w:r>
          </w:p>
        </w:tc>
        <w:tc>
          <w:tcPr>
            <w:tcW w:w="2280" w:type="dxa"/>
            <w:gridSpan w:val="3"/>
            <w:vAlign w:val="center"/>
          </w:tcPr>
          <w:p w14:paraId="21173345">
            <w:pPr>
              <w:spacing w:line="460" w:lineRule="exact"/>
              <w:jc w:val="center"/>
              <w:rPr>
                <w:rFonts w:ascii="宋体" w:hAnsi="宋体"/>
                <w:sz w:val="24"/>
                <w:szCs w:val="24"/>
              </w:rPr>
            </w:pPr>
            <w:r>
              <w:rPr>
                <w:rFonts w:hint="eastAsia" w:ascii="宋体" w:hAnsi="宋体"/>
                <w:sz w:val="24"/>
                <w:szCs w:val="24"/>
              </w:rPr>
              <w:t>签字和（或）盖章要求</w:t>
            </w:r>
          </w:p>
        </w:tc>
        <w:tc>
          <w:tcPr>
            <w:tcW w:w="6379" w:type="dxa"/>
            <w:vAlign w:val="center"/>
          </w:tcPr>
          <w:p w14:paraId="04C91721">
            <w:pPr>
              <w:widowControl/>
              <w:spacing w:line="460" w:lineRule="exact"/>
              <w:jc w:val="left"/>
              <w:rPr>
                <w:rFonts w:ascii="宋体" w:hAnsi="宋体"/>
                <w:sz w:val="24"/>
                <w:szCs w:val="24"/>
                <w:highlight w:val="none"/>
              </w:rPr>
            </w:pPr>
            <w:r>
              <w:rPr>
                <w:rFonts w:hint="eastAsia" w:ascii="宋体" w:hAnsi="宋体"/>
                <w:sz w:val="24"/>
                <w:szCs w:val="24"/>
                <w:highlight w:val="none"/>
              </w:rPr>
              <w:t>1、投标人在生成电子化投标文件后，应对电子化投标文件进行签章，未进行签章的视为无效投标。</w:t>
            </w:r>
          </w:p>
          <w:p w14:paraId="3816CAC4">
            <w:pPr>
              <w:widowControl/>
              <w:spacing w:line="460" w:lineRule="exact"/>
              <w:jc w:val="left"/>
              <w:rPr>
                <w:rFonts w:ascii="宋体" w:hAnsi="宋体"/>
                <w:sz w:val="24"/>
                <w:szCs w:val="24"/>
                <w:highlight w:val="none"/>
              </w:rPr>
            </w:pPr>
            <w:r>
              <w:rPr>
                <w:rFonts w:hint="eastAsia" w:ascii="宋体" w:hAnsi="宋体"/>
                <w:sz w:val="24"/>
                <w:szCs w:val="24"/>
                <w:highlight w:val="none"/>
              </w:rPr>
              <w:t>2、</w:t>
            </w:r>
            <w:bookmarkStart w:id="29" w:name="OLE_LINK3"/>
            <w:r>
              <w:rPr>
                <w:rFonts w:hint="eastAsia" w:ascii="宋体" w:hAnsi="宋体" w:cs="宋体"/>
                <w:sz w:val="24"/>
                <w:szCs w:val="24"/>
                <w:highlight w:val="none"/>
              </w:rPr>
              <w:t>招标文件中要求盖单位章的位置供应商应使用CA数字证书签盖供应商的单位电子印章；要求法定代表人签字或盖章的地方，投标人应使用CA数字证书签盖法定代表人的个人电子印章为准。</w:t>
            </w:r>
            <w:r>
              <w:rPr>
                <w:rFonts w:hint="eastAsia" w:ascii="宋体" w:hAnsi="宋体" w:cs="宋体"/>
                <w:sz w:val="24"/>
                <w:szCs w:val="24"/>
                <w:highlight w:val="yellow"/>
              </w:rPr>
              <w:t>要求委托代理人签字的，需委托代理人签字，并加盖法定代表人的个人电子签章；</w:t>
            </w:r>
            <w:r>
              <w:rPr>
                <w:rFonts w:hint="eastAsia" w:ascii="宋体" w:hAnsi="宋体" w:cs="宋体"/>
                <w:sz w:val="24"/>
                <w:szCs w:val="24"/>
                <w:highlight w:val="none"/>
              </w:rPr>
              <w:t>要求委托代理人盖章的，以CA数字证书的法定代表人的个人电子印章为准</w:t>
            </w:r>
            <w:bookmarkEnd w:id="29"/>
            <w:r>
              <w:rPr>
                <w:rFonts w:hint="eastAsia" w:ascii="宋体" w:hAnsi="宋体"/>
                <w:sz w:val="24"/>
                <w:szCs w:val="24"/>
                <w:highlight w:val="none"/>
              </w:rPr>
              <w:t>。</w:t>
            </w:r>
          </w:p>
        </w:tc>
      </w:tr>
      <w:tr w14:paraId="0680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080" w:type="dxa"/>
            <w:vAlign w:val="center"/>
          </w:tcPr>
          <w:p w14:paraId="28D4A625">
            <w:pPr>
              <w:spacing w:line="460" w:lineRule="exact"/>
              <w:jc w:val="center"/>
              <w:rPr>
                <w:rFonts w:ascii="宋体" w:hAnsi="宋体"/>
                <w:sz w:val="24"/>
                <w:szCs w:val="24"/>
              </w:rPr>
            </w:pPr>
            <w:r>
              <w:rPr>
                <w:rFonts w:hint="eastAsia" w:ascii="宋体" w:hAnsi="宋体"/>
                <w:sz w:val="24"/>
                <w:szCs w:val="24"/>
              </w:rPr>
              <w:t>3.7.4</w:t>
            </w:r>
          </w:p>
        </w:tc>
        <w:tc>
          <w:tcPr>
            <w:tcW w:w="2280" w:type="dxa"/>
            <w:gridSpan w:val="3"/>
            <w:vAlign w:val="center"/>
          </w:tcPr>
          <w:p w14:paraId="3AC1DAFB">
            <w:pPr>
              <w:spacing w:line="460" w:lineRule="exact"/>
              <w:jc w:val="center"/>
              <w:rPr>
                <w:rFonts w:ascii="宋体" w:hAnsi="宋体"/>
                <w:sz w:val="24"/>
                <w:szCs w:val="24"/>
              </w:rPr>
            </w:pPr>
            <w:r>
              <w:rPr>
                <w:rFonts w:hint="eastAsia" w:ascii="宋体" w:hAnsi="宋体"/>
                <w:sz w:val="24"/>
                <w:szCs w:val="24"/>
              </w:rPr>
              <w:t>电子化投标文件</w:t>
            </w:r>
          </w:p>
          <w:p w14:paraId="77AAF523">
            <w:pPr>
              <w:spacing w:line="460" w:lineRule="exact"/>
              <w:jc w:val="center"/>
              <w:rPr>
                <w:rFonts w:ascii="宋体" w:hAnsi="宋体"/>
                <w:sz w:val="24"/>
                <w:szCs w:val="24"/>
              </w:rPr>
            </w:pPr>
            <w:r>
              <w:rPr>
                <w:rFonts w:hint="eastAsia" w:ascii="宋体" w:hAnsi="宋体"/>
                <w:sz w:val="24"/>
                <w:szCs w:val="24"/>
              </w:rPr>
              <w:t>上传</w:t>
            </w:r>
          </w:p>
        </w:tc>
        <w:tc>
          <w:tcPr>
            <w:tcW w:w="6379" w:type="dxa"/>
            <w:vAlign w:val="center"/>
          </w:tcPr>
          <w:p w14:paraId="7A94DE0D">
            <w:pPr>
              <w:spacing w:line="460" w:lineRule="exact"/>
              <w:rPr>
                <w:rFonts w:ascii="宋体" w:hAnsi="宋体"/>
                <w:sz w:val="24"/>
                <w:szCs w:val="24"/>
              </w:rPr>
            </w:pPr>
            <w:r>
              <w:rPr>
                <w:rFonts w:hint="eastAsia" w:ascii="宋体" w:hAnsi="宋体"/>
                <w:sz w:val="24"/>
                <w:szCs w:val="24"/>
              </w:rPr>
              <w:t>1、投标人所上传的电子化投标文件，应是通过中心投标文件制作系统制作的（投标文件制作工具下载地址：</w:t>
            </w:r>
            <w:r>
              <w:rPr>
                <w:rFonts w:hint="eastAsia" w:ascii="宋体" w:hAnsi="宋体"/>
                <w:sz w:val="24"/>
              </w:rPr>
              <w:t>https://download.bqpoint.com/download/downloaddetail.html?SourceFrom=Ztb&amp;ZtbSoftXiaQuCode=1506&amp;ZtbSoftType=tballinclusive</w:t>
            </w:r>
            <w:r>
              <w:rPr>
                <w:rFonts w:hint="eastAsia" w:ascii="宋体" w:hAnsi="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w:t>
            </w:r>
          </w:p>
          <w:p w14:paraId="5FCEC7FA">
            <w:pPr>
              <w:spacing w:line="460" w:lineRule="exact"/>
              <w:rPr>
                <w:rFonts w:ascii="宋体" w:hAnsi="宋体"/>
                <w:sz w:val="24"/>
                <w:szCs w:val="24"/>
              </w:rPr>
            </w:pPr>
            <w:r>
              <w:rPr>
                <w:rFonts w:hint="eastAsia" w:ascii="宋体" w:hAnsi="宋体"/>
                <w:sz w:val="24"/>
                <w:szCs w:val="24"/>
              </w:rPr>
              <w:t>注：投标人投报多个标段的，每个标段均要生成独立的电子投标文件。</w:t>
            </w:r>
          </w:p>
          <w:p w14:paraId="2A676B5F">
            <w:pPr>
              <w:spacing w:line="460" w:lineRule="exact"/>
              <w:rPr>
                <w:rFonts w:ascii="宋体" w:hAnsi="宋体"/>
                <w:sz w:val="24"/>
                <w:szCs w:val="24"/>
              </w:rPr>
            </w:pPr>
            <w:r>
              <w:rPr>
                <w:rFonts w:hint="eastAsia" w:ascii="宋体" w:hAnsi="宋体"/>
                <w:sz w:val="24"/>
                <w:szCs w:val="24"/>
              </w:rPr>
              <w:t>2、电子化投标文件应在投标截止时间前成功上传至三门峡市公共资源电子化交易系统。至投标截止时间止，仍未上传成功的电子化投标文件将不予接收。</w:t>
            </w:r>
          </w:p>
          <w:p w14:paraId="267D8C0E">
            <w:pPr>
              <w:spacing w:line="460" w:lineRule="exact"/>
              <w:rPr>
                <w:rFonts w:ascii="宋体" w:hAnsi="宋体"/>
                <w:sz w:val="24"/>
                <w:szCs w:val="24"/>
              </w:rPr>
            </w:pPr>
            <w:r>
              <w:rPr>
                <w:rFonts w:hint="eastAsia" w:ascii="宋体" w:hAnsi="宋体"/>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技术联系电话：400-998-0000</w:t>
            </w:r>
          </w:p>
        </w:tc>
      </w:tr>
      <w:tr w14:paraId="7E23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0942ACBF">
            <w:pPr>
              <w:spacing w:line="460" w:lineRule="exact"/>
              <w:jc w:val="center"/>
              <w:rPr>
                <w:rFonts w:ascii="宋体" w:hAnsi="宋体"/>
                <w:sz w:val="24"/>
                <w:szCs w:val="24"/>
              </w:rPr>
            </w:pPr>
            <w:r>
              <w:rPr>
                <w:rFonts w:hint="eastAsia" w:ascii="宋体" w:hAnsi="宋体"/>
                <w:sz w:val="24"/>
                <w:szCs w:val="24"/>
              </w:rPr>
              <w:t>4.2.3</w:t>
            </w:r>
          </w:p>
        </w:tc>
        <w:tc>
          <w:tcPr>
            <w:tcW w:w="2280" w:type="dxa"/>
            <w:gridSpan w:val="3"/>
            <w:vAlign w:val="center"/>
          </w:tcPr>
          <w:p w14:paraId="480B8B36">
            <w:pPr>
              <w:spacing w:line="460" w:lineRule="exact"/>
              <w:rPr>
                <w:rFonts w:ascii="宋体" w:hAnsi="宋体"/>
                <w:sz w:val="24"/>
                <w:szCs w:val="24"/>
              </w:rPr>
            </w:pPr>
            <w:r>
              <w:rPr>
                <w:rFonts w:hint="eastAsia" w:ascii="宋体" w:hAnsi="宋体"/>
                <w:sz w:val="24"/>
                <w:szCs w:val="24"/>
              </w:rPr>
              <w:t>是否退还投标文件</w:t>
            </w:r>
          </w:p>
        </w:tc>
        <w:tc>
          <w:tcPr>
            <w:tcW w:w="6379" w:type="dxa"/>
            <w:vAlign w:val="center"/>
          </w:tcPr>
          <w:p w14:paraId="326E88DC">
            <w:pPr>
              <w:spacing w:line="460" w:lineRule="exact"/>
              <w:rPr>
                <w:rFonts w:ascii="宋体" w:hAnsi="宋体"/>
                <w:sz w:val="24"/>
                <w:szCs w:val="24"/>
              </w:rPr>
            </w:pPr>
            <w:r>
              <w:rPr>
                <w:rFonts w:hint="eastAsia" w:ascii="宋体" w:hAnsi="宋体"/>
                <w:sz w:val="24"/>
                <w:szCs w:val="24"/>
              </w:rPr>
              <w:t>否</w:t>
            </w:r>
          </w:p>
        </w:tc>
      </w:tr>
      <w:tr w14:paraId="76AB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80" w:type="dxa"/>
            <w:vAlign w:val="center"/>
          </w:tcPr>
          <w:p w14:paraId="33CA55C8">
            <w:pPr>
              <w:spacing w:line="460" w:lineRule="exact"/>
              <w:jc w:val="center"/>
              <w:rPr>
                <w:rFonts w:ascii="宋体" w:hAnsi="宋体"/>
                <w:sz w:val="24"/>
                <w:szCs w:val="24"/>
              </w:rPr>
            </w:pPr>
            <w:r>
              <w:rPr>
                <w:rFonts w:hint="eastAsia" w:ascii="宋体" w:hAnsi="宋体"/>
                <w:sz w:val="24"/>
                <w:szCs w:val="24"/>
              </w:rPr>
              <w:t>5.1</w:t>
            </w:r>
          </w:p>
        </w:tc>
        <w:tc>
          <w:tcPr>
            <w:tcW w:w="2280" w:type="dxa"/>
            <w:gridSpan w:val="3"/>
            <w:vAlign w:val="center"/>
          </w:tcPr>
          <w:p w14:paraId="33A07ACE">
            <w:pPr>
              <w:spacing w:line="460" w:lineRule="exact"/>
              <w:jc w:val="center"/>
              <w:rPr>
                <w:rFonts w:ascii="宋体" w:hAnsi="宋体"/>
                <w:sz w:val="24"/>
                <w:szCs w:val="24"/>
              </w:rPr>
            </w:pPr>
            <w:r>
              <w:rPr>
                <w:rFonts w:hint="eastAsia" w:ascii="宋体" w:hAnsi="宋体"/>
                <w:sz w:val="24"/>
                <w:szCs w:val="24"/>
              </w:rPr>
              <w:t>开标时间和地点</w:t>
            </w:r>
          </w:p>
        </w:tc>
        <w:tc>
          <w:tcPr>
            <w:tcW w:w="6379" w:type="dxa"/>
            <w:vAlign w:val="center"/>
          </w:tcPr>
          <w:p w14:paraId="574A2374">
            <w:pPr>
              <w:spacing w:line="460" w:lineRule="exact"/>
              <w:rPr>
                <w:rFonts w:ascii="宋体" w:hAnsi="宋体"/>
                <w:sz w:val="24"/>
                <w:szCs w:val="24"/>
              </w:rPr>
            </w:pPr>
            <w:r>
              <w:rPr>
                <w:rFonts w:hint="eastAsia" w:ascii="宋体" w:hAnsi="宋体"/>
                <w:sz w:val="24"/>
                <w:szCs w:val="24"/>
              </w:rPr>
              <w:t>投标文件第一个信封（商务及技术文件）开标时间：同投标截止时间</w:t>
            </w:r>
          </w:p>
          <w:p w14:paraId="00CEBAA0">
            <w:pPr>
              <w:spacing w:line="460" w:lineRule="exact"/>
              <w:rPr>
                <w:rFonts w:ascii="宋体" w:hAnsi="宋体"/>
                <w:sz w:val="24"/>
                <w:szCs w:val="24"/>
              </w:rPr>
            </w:pPr>
            <w:r>
              <w:rPr>
                <w:rFonts w:hint="eastAsia" w:ascii="宋体" w:hAnsi="宋体"/>
                <w:sz w:val="24"/>
                <w:szCs w:val="24"/>
              </w:rPr>
              <w:t>投标文件第一个信封（商务及技术文件）开标地点：同递交投标文件地点</w:t>
            </w:r>
          </w:p>
          <w:p w14:paraId="736DAD09">
            <w:pPr>
              <w:spacing w:line="460" w:lineRule="exact"/>
              <w:rPr>
                <w:rFonts w:ascii="宋体" w:hAnsi="宋体"/>
                <w:sz w:val="24"/>
                <w:szCs w:val="24"/>
              </w:rPr>
            </w:pPr>
            <w:r>
              <w:rPr>
                <w:rFonts w:hint="eastAsia" w:ascii="宋体" w:hAnsi="宋体"/>
                <w:sz w:val="24"/>
                <w:szCs w:val="24"/>
              </w:rPr>
              <w:t>投标文件第二个信封（报价文件）开标时间：投标文件第一个信封评审结束后（本项目为全电子交易不见面开标，投标人需随时关注开标大厅的开标信息，因超时未解密的投标文件将被视为放弃报价，后果由投标人承担）</w:t>
            </w:r>
          </w:p>
          <w:p w14:paraId="5BA2FF07">
            <w:pPr>
              <w:spacing w:line="460" w:lineRule="exact"/>
              <w:rPr>
                <w:rFonts w:ascii="宋体" w:hAnsi="宋体"/>
                <w:sz w:val="24"/>
                <w:szCs w:val="24"/>
              </w:rPr>
            </w:pPr>
            <w:r>
              <w:rPr>
                <w:rFonts w:hint="eastAsia" w:ascii="宋体" w:hAnsi="宋体"/>
                <w:sz w:val="24"/>
                <w:szCs w:val="24"/>
              </w:rPr>
              <w:t>投标文件第二个信封（报价文件）开标地点：同递交投标文件地点</w:t>
            </w:r>
          </w:p>
        </w:tc>
      </w:tr>
      <w:tr w14:paraId="6E7F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80" w:type="dxa"/>
            <w:vAlign w:val="center"/>
          </w:tcPr>
          <w:p w14:paraId="3E9E9EDD">
            <w:pPr>
              <w:spacing w:line="460" w:lineRule="exact"/>
              <w:jc w:val="center"/>
              <w:rPr>
                <w:rFonts w:ascii="宋体" w:hAnsi="宋体"/>
                <w:sz w:val="24"/>
                <w:szCs w:val="24"/>
              </w:rPr>
            </w:pPr>
            <w:r>
              <w:rPr>
                <w:rFonts w:hint="eastAsia" w:ascii="宋体" w:hAnsi="宋体"/>
                <w:sz w:val="24"/>
                <w:szCs w:val="24"/>
              </w:rPr>
              <w:t>5.1.2</w:t>
            </w:r>
          </w:p>
        </w:tc>
        <w:tc>
          <w:tcPr>
            <w:tcW w:w="2280" w:type="dxa"/>
            <w:gridSpan w:val="3"/>
            <w:vAlign w:val="center"/>
          </w:tcPr>
          <w:p w14:paraId="7FFADE6E">
            <w:pPr>
              <w:spacing w:line="400" w:lineRule="exact"/>
              <w:jc w:val="center"/>
              <w:rPr>
                <w:rFonts w:ascii="宋体" w:hAnsi="宋体"/>
                <w:sz w:val="24"/>
                <w:szCs w:val="24"/>
              </w:rPr>
            </w:pPr>
            <w:r>
              <w:rPr>
                <w:rFonts w:hint="eastAsia" w:ascii="宋体" w:hAnsi="宋体" w:cs="宋体"/>
                <w:sz w:val="24"/>
              </w:rPr>
              <w:t>评标、定标方式</w:t>
            </w:r>
          </w:p>
        </w:tc>
        <w:tc>
          <w:tcPr>
            <w:tcW w:w="6379" w:type="dxa"/>
            <w:vAlign w:val="center"/>
          </w:tcPr>
          <w:p w14:paraId="1BD5194E">
            <w:pPr>
              <w:spacing w:line="400" w:lineRule="exact"/>
              <w:rPr>
                <w:rFonts w:ascii="宋体" w:hAnsi="宋体"/>
                <w:sz w:val="24"/>
                <w:szCs w:val="24"/>
              </w:rPr>
            </w:pPr>
            <w:r>
              <w:rPr>
                <w:rFonts w:hint="eastAsia" w:ascii="宋体" w:hAnsi="宋体"/>
                <w:b/>
                <w:bCs/>
                <w:sz w:val="24"/>
                <w:szCs w:val="24"/>
              </w:rPr>
              <w:t>本项目采用“评定分离”方式，定标方法采用核查随机法。</w:t>
            </w:r>
          </w:p>
        </w:tc>
      </w:tr>
      <w:tr w14:paraId="1159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80" w:type="dxa"/>
            <w:vAlign w:val="center"/>
          </w:tcPr>
          <w:p w14:paraId="661C9A6F">
            <w:pPr>
              <w:spacing w:line="460" w:lineRule="exact"/>
              <w:jc w:val="center"/>
              <w:rPr>
                <w:rFonts w:ascii="宋体" w:hAnsi="宋体"/>
                <w:sz w:val="24"/>
                <w:szCs w:val="24"/>
              </w:rPr>
            </w:pPr>
            <w:r>
              <w:rPr>
                <w:rFonts w:hint="eastAsia" w:ascii="宋体" w:hAnsi="宋体"/>
                <w:sz w:val="24"/>
                <w:szCs w:val="24"/>
              </w:rPr>
              <w:t>5.2.1</w:t>
            </w:r>
          </w:p>
        </w:tc>
        <w:tc>
          <w:tcPr>
            <w:tcW w:w="2280" w:type="dxa"/>
            <w:gridSpan w:val="3"/>
            <w:vAlign w:val="center"/>
          </w:tcPr>
          <w:p w14:paraId="016D32FF">
            <w:pPr>
              <w:spacing w:line="460" w:lineRule="exact"/>
              <w:rPr>
                <w:rFonts w:ascii="宋体" w:hAnsi="宋体"/>
                <w:sz w:val="24"/>
                <w:szCs w:val="24"/>
              </w:rPr>
            </w:pPr>
            <w:r>
              <w:rPr>
                <w:rFonts w:hint="eastAsia" w:ascii="宋体" w:hAnsi="宋体"/>
                <w:sz w:val="24"/>
                <w:szCs w:val="24"/>
              </w:rPr>
              <w:t>第一个信封（商务及技术文件）开标程序</w:t>
            </w:r>
          </w:p>
        </w:tc>
        <w:tc>
          <w:tcPr>
            <w:tcW w:w="6379" w:type="dxa"/>
            <w:vAlign w:val="center"/>
          </w:tcPr>
          <w:p w14:paraId="2B38B0E6">
            <w:pPr>
              <w:spacing w:line="460" w:lineRule="exact"/>
              <w:rPr>
                <w:rFonts w:ascii="宋体" w:hAnsi="宋体"/>
                <w:sz w:val="24"/>
                <w:szCs w:val="24"/>
              </w:rPr>
            </w:pPr>
            <w:r>
              <w:rPr>
                <w:rFonts w:hint="eastAsia" w:ascii="宋体" w:hAnsi="宋体"/>
                <w:color w:val="000000"/>
                <w:kern w:val="0"/>
                <w:sz w:val="24"/>
                <w:szCs w:val="24"/>
              </w:rPr>
              <w:t>本项目为不见面开标项目，开标当日，投标人无需到开标现场参加开标会议，投标人应当在投标截止时间前，登陆不见面开标大厅选择登陆三门峡市公共资源电子招投标系统进行登录</w:t>
            </w:r>
            <w:r>
              <w:rPr>
                <w:rFonts w:hint="eastAsia"/>
                <w:color w:val="333333"/>
              </w:rPr>
              <w:t>（</w:t>
            </w:r>
            <w:r>
              <w:rPr>
                <w:rFonts w:hint="eastAsia" w:ascii="宋体" w:hAnsi="宋体"/>
                <w:sz w:val="24"/>
              </w:rPr>
              <w:t>网址为http://122.112.246.33/BidOpening/bidopeninghallaction/hall/login</w:t>
            </w:r>
            <w:r>
              <w:rPr>
                <w:rFonts w:hint="eastAsia"/>
                <w:color w:val="333333"/>
              </w:rPr>
              <w:t>）</w:t>
            </w:r>
            <w:r>
              <w:rPr>
                <w:rFonts w:hint="eastAsia" w:ascii="宋体" w:hAnsi="宋体"/>
                <w:color w:val="000000"/>
                <w:kern w:val="0"/>
                <w:sz w:val="24"/>
                <w:szCs w:val="24"/>
              </w:rPr>
              <w:t>,在线准时参加开标活动并进行投标文件解密等。每位投标人的解密时间为开标时间起30分钟内完成。因投标人原因未能解密、解密失败或解密超时的将被拒绝。</w:t>
            </w:r>
          </w:p>
        </w:tc>
      </w:tr>
      <w:tr w14:paraId="762D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Align w:val="center"/>
          </w:tcPr>
          <w:p w14:paraId="6B597FA6">
            <w:pPr>
              <w:spacing w:line="460" w:lineRule="exact"/>
              <w:jc w:val="center"/>
              <w:rPr>
                <w:rFonts w:ascii="宋体" w:hAnsi="宋体"/>
                <w:sz w:val="24"/>
                <w:szCs w:val="24"/>
              </w:rPr>
            </w:pPr>
            <w:r>
              <w:rPr>
                <w:rFonts w:hint="eastAsia" w:ascii="宋体" w:hAnsi="宋体"/>
                <w:sz w:val="24"/>
                <w:szCs w:val="24"/>
              </w:rPr>
              <w:t>5.2.3</w:t>
            </w:r>
          </w:p>
        </w:tc>
        <w:tc>
          <w:tcPr>
            <w:tcW w:w="2280" w:type="dxa"/>
            <w:gridSpan w:val="3"/>
            <w:vAlign w:val="center"/>
          </w:tcPr>
          <w:p w14:paraId="281EF10F">
            <w:pPr>
              <w:spacing w:line="460" w:lineRule="exact"/>
              <w:rPr>
                <w:rFonts w:ascii="宋体" w:hAnsi="宋体"/>
                <w:sz w:val="24"/>
                <w:szCs w:val="24"/>
              </w:rPr>
            </w:pPr>
            <w:r>
              <w:rPr>
                <w:rFonts w:hint="eastAsia" w:ascii="宋体" w:hAnsi="宋体"/>
                <w:sz w:val="24"/>
                <w:szCs w:val="24"/>
              </w:rPr>
              <w:t>第二个信封（报价文件）开标程序</w:t>
            </w:r>
          </w:p>
        </w:tc>
        <w:tc>
          <w:tcPr>
            <w:tcW w:w="6379" w:type="dxa"/>
            <w:vAlign w:val="center"/>
          </w:tcPr>
          <w:p w14:paraId="5ABC8EF3">
            <w:pPr>
              <w:spacing w:line="460" w:lineRule="exact"/>
              <w:rPr>
                <w:rFonts w:ascii="宋体" w:hAnsi="宋体"/>
                <w:sz w:val="24"/>
                <w:szCs w:val="24"/>
              </w:rPr>
            </w:pPr>
            <w:r>
              <w:rPr>
                <w:rFonts w:hint="eastAsia" w:ascii="宋体" w:hAnsi="宋体"/>
                <w:sz w:val="24"/>
                <w:szCs w:val="24"/>
              </w:rPr>
              <w:t>按照三门峡市公共资源交易中心系统的开标程序进行。每位投标人的解密时间为30分钟内，如在规定时间内未完成解密的，其投标文件不予开标、唱标。</w:t>
            </w:r>
          </w:p>
        </w:tc>
      </w:tr>
      <w:tr w14:paraId="5516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80" w:type="dxa"/>
            <w:vAlign w:val="center"/>
          </w:tcPr>
          <w:p w14:paraId="1A62E5FC">
            <w:pPr>
              <w:spacing w:line="460" w:lineRule="exact"/>
              <w:jc w:val="center"/>
              <w:rPr>
                <w:rFonts w:ascii="宋体" w:hAnsi="宋体"/>
                <w:sz w:val="24"/>
                <w:szCs w:val="24"/>
              </w:rPr>
            </w:pPr>
            <w:r>
              <w:rPr>
                <w:rFonts w:hint="eastAsia" w:ascii="宋体" w:hAnsi="宋体"/>
                <w:sz w:val="24"/>
                <w:szCs w:val="24"/>
              </w:rPr>
              <w:t>6.1.1</w:t>
            </w:r>
          </w:p>
        </w:tc>
        <w:tc>
          <w:tcPr>
            <w:tcW w:w="2280" w:type="dxa"/>
            <w:gridSpan w:val="3"/>
            <w:vAlign w:val="center"/>
          </w:tcPr>
          <w:p w14:paraId="28BAB634">
            <w:pPr>
              <w:spacing w:line="460" w:lineRule="exact"/>
              <w:jc w:val="center"/>
              <w:rPr>
                <w:rFonts w:ascii="宋体" w:hAnsi="宋体"/>
                <w:sz w:val="24"/>
                <w:szCs w:val="24"/>
              </w:rPr>
            </w:pPr>
            <w:r>
              <w:rPr>
                <w:rFonts w:hint="eastAsia" w:ascii="宋体" w:hAnsi="宋体"/>
                <w:sz w:val="24"/>
                <w:szCs w:val="24"/>
              </w:rPr>
              <w:t>评标委员会的组建</w:t>
            </w:r>
          </w:p>
        </w:tc>
        <w:tc>
          <w:tcPr>
            <w:tcW w:w="6379" w:type="dxa"/>
            <w:vAlign w:val="center"/>
          </w:tcPr>
          <w:p w14:paraId="5E0C3548">
            <w:pPr>
              <w:spacing w:line="460" w:lineRule="exact"/>
              <w:rPr>
                <w:rFonts w:ascii="宋体" w:hAnsi="宋体"/>
                <w:sz w:val="24"/>
                <w:szCs w:val="24"/>
              </w:rPr>
            </w:pPr>
            <w:r>
              <w:rPr>
                <w:rFonts w:ascii="宋体" w:hAnsi="宋体"/>
                <w:sz w:val="24"/>
                <w:szCs w:val="24"/>
              </w:rPr>
              <w:t>评标委员会</w:t>
            </w:r>
            <w:r>
              <w:rPr>
                <w:rFonts w:hint="eastAsia" w:ascii="宋体" w:hAnsi="宋体"/>
                <w:sz w:val="24"/>
                <w:szCs w:val="24"/>
              </w:rPr>
              <w:t>构成：</w:t>
            </w:r>
            <w:r>
              <w:rPr>
                <w:rFonts w:hint="eastAsia" w:ascii="宋体" w:hAnsi="宋体"/>
                <w:sz w:val="24"/>
                <w:szCs w:val="24"/>
                <w:u w:val="single"/>
              </w:rPr>
              <w:t>5</w:t>
            </w:r>
            <w:r>
              <w:rPr>
                <w:rFonts w:hint="eastAsia" w:ascii="宋体" w:hAnsi="宋体"/>
                <w:sz w:val="24"/>
                <w:szCs w:val="24"/>
              </w:rPr>
              <w:t>人，其中招标人代表</w:t>
            </w:r>
            <w:r>
              <w:rPr>
                <w:rFonts w:hint="eastAsia" w:ascii="宋体" w:hAnsi="宋体"/>
                <w:sz w:val="24"/>
                <w:szCs w:val="24"/>
                <w:u w:val="single"/>
              </w:rPr>
              <w:t xml:space="preserve"> 1</w:t>
            </w:r>
            <w:r>
              <w:rPr>
                <w:rFonts w:hint="eastAsia" w:ascii="宋体" w:hAnsi="宋体"/>
                <w:sz w:val="24"/>
                <w:szCs w:val="24"/>
              </w:rPr>
              <w:t>人，专家</w:t>
            </w:r>
            <w:r>
              <w:rPr>
                <w:rFonts w:hint="eastAsia" w:ascii="宋体" w:hAnsi="宋体"/>
                <w:sz w:val="24"/>
                <w:szCs w:val="24"/>
                <w:u w:val="single"/>
              </w:rPr>
              <w:t>4</w:t>
            </w:r>
            <w:r>
              <w:rPr>
                <w:rFonts w:hint="eastAsia" w:ascii="宋体" w:hAnsi="宋体"/>
                <w:sz w:val="24"/>
                <w:szCs w:val="24"/>
              </w:rPr>
              <w:t>人；</w:t>
            </w:r>
          </w:p>
          <w:p w14:paraId="2E85414B">
            <w:pPr>
              <w:spacing w:line="460" w:lineRule="exact"/>
              <w:rPr>
                <w:rFonts w:ascii="宋体" w:hAnsi="宋体"/>
                <w:sz w:val="24"/>
                <w:szCs w:val="24"/>
              </w:rPr>
            </w:pPr>
            <w:r>
              <w:rPr>
                <w:rFonts w:hint="eastAsia" w:ascii="宋体" w:hAnsi="宋体"/>
                <w:sz w:val="24"/>
                <w:szCs w:val="24"/>
              </w:rPr>
              <w:t>评标专家确定方式：依据相关规定依法组建评标委员会，相关技术、经济方面专于开标前在评标专家库中随机抽取</w:t>
            </w:r>
          </w:p>
          <w:p w14:paraId="56B70E7B">
            <w:pPr>
              <w:spacing w:line="460" w:lineRule="exact"/>
              <w:rPr>
                <w:rFonts w:ascii="宋体" w:hAnsi="宋体"/>
                <w:sz w:val="24"/>
                <w:szCs w:val="24"/>
              </w:rPr>
            </w:pPr>
            <w:r>
              <w:rPr>
                <w:rFonts w:hint="eastAsia" w:ascii="宋体" w:hAnsi="宋体"/>
                <w:b/>
                <w:bCs/>
                <w:sz w:val="24"/>
                <w:szCs w:val="24"/>
              </w:rPr>
              <w:t>备注：</w:t>
            </w:r>
            <w:r>
              <w:rPr>
                <w:rFonts w:hint="eastAsia" w:ascii="宋体" w:hAnsi="宋体" w:cs="宋体"/>
                <w:b/>
                <w:bCs/>
                <w:color w:val="000000"/>
                <w:kern w:val="0"/>
                <w:sz w:val="24"/>
                <w:szCs w:val="24"/>
              </w:rPr>
              <w:t>业主评委无评标劳务费用。</w:t>
            </w:r>
          </w:p>
        </w:tc>
      </w:tr>
      <w:tr w14:paraId="7431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80" w:type="dxa"/>
            <w:vAlign w:val="center"/>
          </w:tcPr>
          <w:p w14:paraId="0C9CB8E5">
            <w:pPr>
              <w:spacing w:line="460" w:lineRule="exact"/>
              <w:jc w:val="center"/>
              <w:rPr>
                <w:rFonts w:ascii="宋体" w:hAnsi="宋体"/>
                <w:sz w:val="24"/>
                <w:szCs w:val="24"/>
              </w:rPr>
            </w:pPr>
            <w:r>
              <w:rPr>
                <w:rFonts w:hint="eastAsia" w:ascii="宋体" w:hAnsi="宋体"/>
                <w:sz w:val="24"/>
                <w:szCs w:val="24"/>
              </w:rPr>
              <w:t>6.1.2</w:t>
            </w:r>
          </w:p>
        </w:tc>
        <w:tc>
          <w:tcPr>
            <w:tcW w:w="2280" w:type="dxa"/>
            <w:gridSpan w:val="3"/>
            <w:vAlign w:val="center"/>
          </w:tcPr>
          <w:p w14:paraId="22B960F1">
            <w:pPr>
              <w:spacing w:line="400" w:lineRule="exact"/>
              <w:jc w:val="center"/>
              <w:rPr>
                <w:rFonts w:ascii="宋体" w:hAnsi="宋体"/>
                <w:sz w:val="24"/>
                <w:szCs w:val="24"/>
              </w:rPr>
            </w:pPr>
            <w:r>
              <w:rPr>
                <w:rFonts w:hint="eastAsia" w:ascii="宋体" w:hAnsi="宋体" w:cs="宋体"/>
                <w:sz w:val="24"/>
              </w:rPr>
              <w:t>推荐中标候选人方法及规则</w:t>
            </w:r>
          </w:p>
        </w:tc>
        <w:tc>
          <w:tcPr>
            <w:tcW w:w="6379" w:type="dxa"/>
            <w:vAlign w:val="center"/>
          </w:tcPr>
          <w:p w14:paraId="392623F9">
            <w:pPr>
              <w:spacing w:line="400" w:lineRule="exact"/>
              <w:rPr>
                <w:b/>
                <w:bCs/>
                <w:sz w:val="24"/>
                <w:szCs w:val="36"/>
              </w:rPr>
            </w:pPr>
            <w:r>
              <w:rPr>
                <w:rFonts w:hint="eastAsia" w:ascii="宋体" w:hAnsi="宋体" w:cs="宋体"/>
                <w:b/>
                <w:bCs/>
                <w:sz w:val="24"/>
              </w:rPr>
              <w:t>推荐中标候选人的具体方法及规则：</w:t>
            </w:r>
          </w:p>
          <w:p w14:paraId="14236954">
            <w:pPr>
              <w:spacing w:line="500" w:lineRule="exact"/>
              <w:rPr>
                <w:rFonts w:ascii="宋体" w:hAnsi="宋体" w:cs="宋体"/>
                <w:sz w:val="24"/>
                <w:szCs w:val="24"/>
              </w:rPr>
            </w:pPr>
            <w:r>
              <w:rPr>
                <w:rFonts w:hint="eastAsia" w:ascii="宋体" w:hAnsi="宋体" w:cs="宋体"/>
                <w:sz w:val="24"/>
                <w:szCs w:val="24"/>
              </w:rPr>
              <w:t>（1）计算评标基准价C：</w:t>
            </w:r>
          </w:p>
          <w:p w14:paraId="0D5DA844">
            <w:pPr>
              <w:spacing w:line="500" w:lineRule="exact"/>
              <w:ind w:firstLine="480" w:firstLineChars="200"/>
              <w:rPr>
                <w:rFonts w:ascii="宋体" w:hAnsi="宋体" w:cs="宋体"/>
                <w:sz w:val="24"/>
                <w:szCs w:val="24"/>
              </w:rPr>
            </w:pPr>
            <w:r>
              <w:rPr>
                <w:rFonts w:hint="eastAsia" w:ascii="宋体" w:hAnsi="宋体" w:cs="宋体"/>
                <w:sz w:val="24"/>
                <w:szCs w:val="24"/>
              </w:rPr>
              <w:t>C=所有评审结论为合格投标人的投标报价，去掉一个最高值、去掉一个最低值的平均值（计算结果保留2位小数）</w:t>
            </w:r>
          </w:p>
          <w:p w14:paraId="120B5252">
            <w:pPr>
              <w:spacing w:line="500" w:lineRule="exact"/>
              <w:rPr>
                <w:rFonts w:ascii="宋体" w:hAnsi="宋体" w:cs="宋体"/>
                <w:sz w:val="24"/>
                <w:szCs w:val="24"/>
              </w:rPr>
            </w:pPr>
            <w:r>
              <w:rPr>
                <w:rFonts w:hint="eastAsia" w:ascii="宋体" w:hAnsi="宋体" w:cs="宋体"/>
                <w:sz w:val="24"/>
                <w:szCs w:val="24"/>
              </w:rPr>
              <w:t>（2）确定中标候选人：</w:t>
            </w:r>
          </w:p>
          <w:p w14:paraId="13B8E619">
            <w:pPr>
              <w:spacing w:line="500" w:lineRule="exact"/>
              <w:ind w:firstLine="480" w:firstLineChars="200"/>
              <w:rPr>
                <w:rFonts w:ascii="宋体" w:hAnsi="宋体" w:cs="宋体"/>
                <w:sz w:val="24"/>
                <w:szCs w:val="24"/>
              </w:rPr>
            </w:pPr>
            <w:r>
              <w:rPr>
                <w:rFonts w:hint="eastAsia" w:ascii="宋体" w:hAnsi="宋体" w:cs="宋体"/>
                <w:sz w:val="24"/>
                <w:szCs w:val="24"/>
              </w:rPr>
              <w:t>所有评审结论为合格投标人的数量为F，评标委员会对合格投标人的投标报价按由低到高的顺序进行排序，若报价相等，按投标人在开标记录表上的序号由小到大的次序进行排序。</w:t>
            </w:r>
          </w:p>
          <w:p w14:paraId="48C64D2A">
            <w:pPr>
              <w:spacing w:line="500" w:lineRule="exact"/>
              <w:ind w:firstLine="480" w:firstLineChars="200"/>
              <w:rPr>
                <w:rFonts w:ascii="宋体" w:hAnsi="宋体" w:cs="宋体"/>
                <w:sz w:val="24"/>
                <w:szCs w:val="24"/>
              </w:rPr>
            </w:pPr>
            <w:r>
              <w:rPr>
                <w:rFonts w:hint="eastAsia" w:ascii="宋体" w:hAnsi="宋体" w:cs="宋体"/>
                <w:sz w:val="24"/>
                <w:szCs w:val="24"/>
              </w:rPr>
              <w:t>①当F＜3时，招标人应当重新招标。</w:t>
            </w:r>
          </w:p>
          <w:p w14:paraId="51B7B8C4">
            <w:pPr>
              <w:spacing w:line="500" w:lineRule="exact"/>
              <w:ind w:firstLine="480" w:firstLineChars="200"/>
              <w:rPr>
                <w:rFonts w:ascii="宋体" w:hAnsi="宋体" w:cs="宋体"/>
                <w:sz w:val="24"/>
                <w:szCs w:val="24"/>
              </w:rPr>
            </w:pPr>
            <w:r>
              <w:rPr>
                <w:rFonts w:hint="eastAsia" w:ascii="宋体" w:hAnsi="宋体" w:cs="宋体"/>
                <w:sz w:val="24"/>
                <w:szCs w:val="24"/>
              </w:rPr>
              <w:t>②当3≤F≤10时，所有评审结论为合格的投标人全部推荐为中标候选人。</w:t>
            </w:r>
          </w:p>
          <w:p w14:paraId="50226815">
            <w:pPr>
              <w:spacing w:line="500" w:lineRule="exact"/>
              <w:ind w:firstLine="480" w:firstLineChars="200"/>
              <w:rPr>
                <w:rFonts w:ascii="宋体" w:hAnsi="宋体" w:cs="宋体"/>
                <w:sz w:val="24"/>
                <w:szCs w:val="24"/>
              </w:rPr>
            </w:pPr>
            <w:r>
              <w:rPr>
                <w:rFonts w:hint="eastAsia" w:ascii="宋体" w:hAnsi="宋体" w:cs="宋体"/>
                <w:sz w:val="24"/>
                <w:szCs w:val="24"/>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1B033FE3">
            <w:pPr>
              <w:spacing w:line="500" w:lineRule="exact"/>
              <w:rPr>
                <w:rFonts w:ascii="宋体" w:hAnsi="宋体" w:cs="宋体"/>
                <w:b/>
                <w:bCs/>
                <w:sz w:val="24"/>
                <w:szCs w:val="24"/>
              </w:rPr>
            </w:pPr>
            <w:r>
              <w:rPr>
                <w:rFonts w:hint="eastAsia" w:ascii="宋体" w:hAnsi="宋体" w:cs="宋体"/>
                <w:b/>
                <w:bCs/>
                <w:sz w:val="24"/>
                <w:szCs w:val="24"/>
              </w:rPr>
              <w:t>注：</w:t>
            </w:r>
          </w:p>
          <w:p w14:paraId="7CEE9A36">
            <w:pPr>
              <w:spacing w:line="500" w:lineRule="exact"/>
              <w:ind w:firstLine="480" w:firstLineChars="200"/>
              <w:rPr>
                <w:rFonts w:ascii="宋体" w:hAnsi="宋体" w:cs="宋体"/>
                <w:sz w:val="24"/>
                <w:szCs w:val="24"/>
              </w:rPr>
            </w:pPr>
            <w:r>
              <w:rPr>
                <w:rFonts w:hint="eastAsia" w:ascii="宋体" w:hAnsi="宋体" w:cs="宋体"/>
                <w:sz w:val="24"/>
                <w:szCs w:val="24"/>
              </w:rPr>
              <w:t>①高于或低于评标基准价C的投标人数量少于应当入围中标候选人数量时，按实际数量入围中标候选人。</w:t>
            </w:r>
          </w:p>
          <w:p w14:paraId="08E2765F">
            <w:pPr>
              <w:spacing w:line="500" w:lineRule="exact"/>
              <w:ind w:firstLine="480" w:firstLineChars="200"/>
              <w:rPr>
                <w:rFonts w:ascii="宋体" w:hAnsi="宋体" w:cs="宋体"/>
                <w:sz w:val="24"/>
                <w:szCs w:val="24"/>
              </w:rPr>
            </w:pPr>
            <w:r>
              <w:rPr>
                <w:rFonts w:hint="eastAsia" w:ascii="宋体" w:hAnsi="宋体" w:cs="宋体"/>
                <w:sz w:val="24"/>
                <w:szCs w:val="24"/>
              </w:rPr>
              <w:t>②若投标人报价出现并列则同时入围中标候选人。</w:t>
            </w:r>
          </w:p>
          <w:p w14:paraId="6CBA52BA">
            <w:pPr>
              <w:spacing w:line="500" w:lineRule="exact"/>
              <w:ind w:firstLine="480" w:firstLineChars="200"/>
              <w:rPr>
                <w:rFonts w:ascii="宋体" w:hAnsi="宋体"/>
                <w:b/>
                <w:bCs/>
                <w:sz w:val="24"/>
                <w:szCs w:val="24"/>
              </w:rPr>
            </w:pPr>
            <w:r>
              <w:rPr>
                <w:rFonts w:hint="eastAsia" w:ascii="宋体" w:hAnsi="宋体" w:cs="宋体"/>
                <w:sz w:val="24"/>
                <w:szCs w:val="24"/>
              </w:rPr>
              <w:t>③评标委员会以不标明排序方式向招标人推荐中标候选人。</w:t>
            </w:r>
          </w:p>
        </w:tc>
      </w:tr>
      <w:tr w14:paraId="0570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Align w:val="center"/>
          </w:tcPr>
          <w:p w14:paraId="59C4AA56">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7.1</w:t>
            </w:r>
          </w:p>
        </w:tc>
        <w:tc>
          <w:tcPr>
            <w:tcW w:w="2280" w:type="dxa"/>
            <w:gridSpan w:val="3"/>
            <w:vAlign w:val="center"/>
          </w:tcPr>
          <w:p w14:paraId="2C836149">
            <w:pPr>
              <w:spacing w:line="460" w:lineRule="exact"/>
              <w:rPr>
                <w:rFonts w:ascii="宋体" w:hAnsi="宋体"/>
                <w:sz w:val="24"/>
                <w:szCs w:val="24"/>
              </w:rPr>
            </w:pPr>
            <w:r>
              <w:rPr>
                <w:rFonts w:hint="eastAsia" w:ascii="宋体" w:hAnsi="宋体"/>
                <w:sz w:val="24"/>
                <w:szCs w:val="24"/>
              </w:rPr>
              <w:t>中标候选人公示媒介及期限</w:t>
            </w:r>
          </w:p>
        </w:tc>
        <w:tc>
          <w:tcPr>
            <w:tcW w:w="6379" w:type="dxa"/>
            <w:vAlign w:val="center"/>
          </w:tcPr>
          <w:p w14:paraId="2BA5AE18">
            <w:pPr>
              <w:spacing w:line="460" w:lineRule="exact"/>
              <w:rPr>
                <w:rFonts w:ascii="宋体" w:hAnsi="宋体"/>
                <w:sz w:val="24"/>
                <w:szCs w:val="24"/>
              </w:rPr>
            </w:pPr>
            <w:r>
              <w:rPr>
                <w:rFonts w:hint="eastAsia" w:ascii="宋体" w:hAnsi="宋体"/>
                <w:sz w:val="24"/>
                <w:szCs w:val="24"/>
              </w:rPr>
              <w:t>公布媒介：同招标公告发布媒介</w:t>
            </w:r>
          </w:p>
          <w:p w14:paraId="2897A897">
            <w:pPr>
              <w:spacing w:line="460" w:lineRule="exact"/>
              <w:rPr>
                <w:rFonts w:ascii="宋体" w:hAnsi="宋体"/>
                <w:sz w:val="24"/>
                <w:szCs w:val="24"/>
              </w:rPr>
            </w:pPr>
            <w:r>
              <w:rPr>
                <w:rFonts w:hint="eastAsia" w:ascii="宋体" w:hAnsi="宋体"/>
                <w:sz w:val="24"/>
                <w:szCs w:val="24"/>
              </w:rPr>
              <w:t>公示期限：3日</w:t>
            </w:r>
          </w:p>
          <w:p w14:paraId="4E6781BA">
            <w:pPr>
              <w:spacing w:line="460" w:lineRule="exact"/>
              <w:rPr>
                <w:rFonts w:ascii="宋体" w:hAnsi="宋体"/>
                <w:sz w:val="24"/>
                <w:szCs w:val="24"/>
              </w:rPr>
            </w:pPr>
            <w:r>
              <w:rPr>
                <w:rFonts w:hint="eastAsia" w:ascii="宋体" w:hAnsi="宋体"/>
                <w:sz w:val="24"/>
                <w:szCs w:val="24"/>
              </w:rPr>
              <w:t>公示的其他内容：详见投标人须知对应条款</w:t>
            </w:r>
          </w:p>
        </w:tc>
      </w:tr>
      <w:tr w14:paraId="7820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1080" w:type="dxa"/>
            <w:vAlign w:val="center"/>
          </w:tcPr>
          <w:p w14:paraId="0173A3DC">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7.2</w:t>
            </w:r>
          </w:p>
        </w:tc>
        <w:tc>
          <w:tcPr>
            <w:tcW w:w="2280" w:type="dxa"/>
            <w:gridSpan w:val="3"/>
            <w:vAlign w:val="center"/>
          </w:tcPr>
          <w:p w14:paraId="1E7C1357">
            <w:pPr>
              <w:rPr>
                <w:rFonts w:ascii="宋体" w:hAnsi="宋体" w:cs="宋体"/>
                <w:sz w:val="24"/>
                <w:szCs w:val="24"/>
              </w:rPr>
            </w:pPr>
            <w:r>
              <w:rPr>
                <w:rFonts w:hint="eastAsia" w:ascii="宋体" w:hAnsi="宋体" w:cs="宋体"/>
                <w:sz w:val="24"/>
                <w:szCs w:val="24"/>
              </w:rPr>
              <w:t>定标程序</w:t>
            </w:r>
          </w:p>
        </w:tc>
        <w:tc>
          <w:tcPr>
            <w:tcW w:w="6379" w:type="dxa"/>
            <w:vAlign w:val="center"/>
          </w:tcPr>
          <w:p w14:paraId="282CD535">
            <w:pPr>
              <w:rPr>
                <w:rFonts w:ascii="宋体" w:hAnsi="宋体" w:cs="宋体"/>
                <w:sz w:val="24"/>
                <w:szCs w:val="24"/>
              </w:rPr>
            </w:pPr>
            <w:r>
              <w:rPr>
                <w:rFonts w:hint="eastAsia" w:ascii="宋体" w:hAnsi="宋体" w:cs="宋体"/>
                <w:sz w:val="24"/>
                <w:szCs w:val="24"/>
              </w:rPr>
              <w:t>招标人应当在收到评标报告后10日内完成定标工作，定标过程包括核查、定标会议两个阶段。定标会议应当在公共资源交易中心按流程进行，不能按时完成定标工作的，应当通过公共资源交易平台发布延期原因和最终定标时间，最终定标时间不得超过投标有效期。公共资源交易中心应当对定标会议进行音视频记录，并存档备查。</w:t>
            </w:r>
          </w:p>
        </w:tc>
      </w:tr>
      <w:tr w14:paraId="6405D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080" w:type="dxa"/>
            <w:vAlign w:val="center"/>
          </w:tcPr>
          <w:p w14:paraId="611835D0">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7.3</w:t>
            </w:r>
          </w:p>
        </w:tc>
        <w:tc>
          <w:tcPr>
            <w:tcW w:w="2280" w:type="dxa"/>
            <w:gridSpan w:val="3"/>
            <w:vAlign w:val="center"/>
          </w:tcPr>
          <w:p w14:paraId="63792785">
            <w:pPr>
              <w:rPr>
                <w:sz w:val="24"/>
                <w:szCs w:val="24"/>
              </w:rPr>
            </w:pPr>
            <w:r>
              <w:rPr>
                <w:rFonts w:hint="eastAsia"/>
                <w:sz w:val="24"/>
                <w:szCs w:val="24"/>
              </w:rPr>
              <w:t>定标委员会的组建</w:t>
            </w:r>
          </w:p>
        </w:tc>
        <w:tc>
          <w:tcPr>
            <w:tcW w:w="6379" w:type="dxa"/>
            <w:vAlign w:val="center"/>
          </w:tcPr>
          <w:p w14:paraId="0CB18530">
            <w:pPr>
              <w:rPr>
                <w:sz w:val="24"/>
                <w:szCs w:val="24"/>
              </w:rPr>
            </w:pPr>
            <w:r>
              <w:rPr>
                <w:rFonts w:hint="eastAsia"/>
                <w:sz w:val="24"/>
                <w:szCs w:val="24"/>
              </w:rPr>
              <w:t>定标委员会构成：定标委员会共5人组成。</w:t>
            </w:r>
          </w:p>
          <w:p w14:paraId="4B21552D">
            <w:pPr>
              <w:rPr>
                <w:sz w:val="24"/>
                <w:szCs w:val="24"/>
              </w:rPr>
            </w:pPr>
            <w:r>
              <w:rPr>
                <w:rFonts w:hint="eastAsia"/>
                <w:sz w:val="24"/>
                <w:szCs w:val="24"/>
              </w:rPr>
              <w:t>备注：定标委员会成员数量为5人，招标人单位成员不得低于成员总数的三分之二。定标委员会组长由招标人的法定代表人、主要负责人或分管负责人担任，其他成员可由招标人自行选定。</w:t>
            </w:r>
          </w:p>
        </w:tc>
      </w:tr>
      <w:tr w14:paraId="7F59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080" w:type="dxa"/>
            <w:vAlign w:val="center"/>
          </w:tcPr>
          <w:p w14:paraId="63C91995">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7.4</w:t>
            </w:r>
          </w:p>
        </w:tc>
        <w:tc>
          <w:tcPr>
            <w:tcW w:w="2280" w:type="dxa"/>
            <w:gridSpan w:val="3"/>
            <w:vAlign w:val="center"/>
          </w:tcPr>
          <w:p w14:paraId="0376D646">
            <w:pPr>
              <w:spacing w:line="400" w:lineRule="exact"/>
              <w:jc w:val="center"/>
              <w:rPr>
                <w:rFonts w:ascii="宋体" w:hAnsi="宋体"/>
                <w:sz w:val="24"/>
                <w:szCs w:val="24"/>
              </w:rPr>
            </w:pPr>
            <w:r>
              <w:rPr>
                <w:rFonts w:hint="eastAsia" w:ascii="宋体" w:hAnsi="宋体" w:cs="宋体"/>
                <w:sz w:val="24"/>
              </w:rPr>
              <w:t>定标方式</w:t>
            </w:r>
          </w:p>
        </w:tc>
        <w:tc>
          <w:tcPr>
            <w:tcW w:w="6379" w:type="dxa"/>
            <w:vAlign w:val="center"/>
          </w:tcPr>
          <w:p w14:paraId="0EDC4AE4">
            <w:pPr>
              <w:rPr>
                <w:rFonts w:ascii="宋体" w:hAnsi="宋体"/>
                <w:sz w:val="24"/>
                <w:szCs w:val="24"/>
              </w:rPr>
            </w:pPr>
            <w:r>
              <w:rPr>
                <w:rFonts w:hint="eastAsia" w:ascii="宋体" w:hAnsi="宋体" w:cs="宋体"/>
                <w:b/>
                <w:bCs/>
                <w:sz w:val="24"/>
                <w:szCs w:val="24"/>
              </w:rPr>
              <w:t>本项目采用核查随机法确定中标人。</w:t>
            </w:r>
          </w:p>
        </w:tc>
      </w:tr>
      <w:tr w14:paraId="630D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080" w:type="dxa"/>
            <w:vAlign w:val="center"/>
          </w:tcPr>
          <w:p w14:paraId="6AE57229">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7.5</w:t>
            </w:r>
          </w:p>
        </w:tc>
        <w:tc>
          <w:tcPr>
            <w:tcW w:w="2280" w:type="dxa"/>
            <w:gridSpan w:val="3"/>
            <w:vAlign w:val="center"/>
          </w:tcPr>
          <w:p w14:paraId="601C16D8">
            <w:pPr>
              <w:spacing w:line="460" w:lineRule="exact"/>
              <w:rPr>
                <w:rFonts w:ascii="宋体" w:hAnsi="宋体"/>
                <w:sz w:val="24"/>
                <w:szCs w:val="24"/>
              </w:rPr>
            </w:pPr>
            <w:r>
              <w:rPr>
                <w:rFonts w:hint="eastAsia" w:ascii="宋体" w:hAnsi="宋体"/>
                <w:sz w:val="24"/>
                <w:szCs w:val="24"/>
              </w:rPr>
              <w:t>中标通知书和中标结果通知发出的形式</w:t>
            </w:r>
          </w:p>
        </w:tc>
        <w:tc>
          <w:tcPr>
            <w:tcW w:w="6379" w:type="dxa"/>
            <w:vAlign w:val="center"/>
          </w:tcPr>
          <w:p w14:paraId="0A5C2ADA">
            <w:pPr>
              <w:spacing w:line="460" w:lineRule="exact"/>
              <w:rPr>
                <w:rFonts w:ascii="宋体" w:hAnsi="宋体"/>
                <w:sz w:val="24"/>
                <w:szCs w:val="24"/>
              </w:rPr>
            </w:pPr>
            <w:r>
              <w:rPr>
                <w:rFonts w:hint="eastAsia" w:ascii="宋体" w:hAnsi="宋体"/>
                <w:sz w:val="24"/>
                <w:szCs w:val="24"/>
              </w:rPr>
              <w:t>书面形式</w:t>
            </w:r>
          </w:p>
        </w:tc>
      </w:tr>
      <w:tr w14:paraId="2E34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080" w:type="dxa"/>
            <w:vAlign w:val="center"/>
          </w:tcPr>
          <w:p w14:paraId="0E9E0709">
            <w:pPr>
              <w:spacing w:line="480" w:lineRule="auto"/>
              <w:jc w:val="center"/>
              <w:rPr>
                <w:rFonts w:ascii="宋体" w:hAnsi="宋体" w:cs="宋体"/>
                <w:sz w:val="24"/>
                <w:szCs w:val="24"/>
              </w:rPr>
            </w:pPr>
            <w:r>
              <w:rPr>
                <w:rFonts w:hint="eastAsia" w:ascii="宋体" w:hAnsi="宋体" w:cs="宋体"/>
                <w:sz w:val="24"/>
                <w:szCs w:val="24"/>
              </w:rPr>
              <w:t>7.6</w:t>
            </w:r>
          </w:p>
        </w:tc>
        <w:tc>
          <w:tcPr>
            <w:tcW w:w="2280" w:type="dxa"/>
            <w:gridSpan w:val="3"/>
            <w:vAlign w:val="center"/>
          </w:tcPr>
          <w:p w14:paraId="138BB77A">
            <w:pPr>
              <w:rPr>
                <w:rFonts w:ascii="宋体" w:hAnsi="宋体" w:cs="宋体"/>
                <w:sz w:val="24"/>
                <w:szCs w:val="24"/>
              </w:rPr>
            </w:pPr>
            <w:r>
              <w:rPr>
                <w:rFonts w:hint="eastAsia" w:ascii="宋体" w:hAnsi="宋体" w:cs="宋体"/>
                <w:sz w:val="24"/>
                <w:szCs w:val="24"/>
              </w:rPr>
              <w:t>中标结果公告媒介及期限</w:t>
            </w:r>
          </w:p>
        </w:tc>
        <w:tc>
          <w:tcPr>
            <w:tcW w:w="6379" w:type="dxa"/>
            <w:vAlign w:val="center"/>
          </w:tcPr>
          <w:p w14:paraId="556D5132">
            <w:pPr>
              <w:rPr>
                <w:rFonts w:ascii="宋体" w:hAnsi="宋体" w:cs="宋体"/>
                <w:sz w:val="24"/>
                <w:szCs w:val="24"/>
              </w:rPr>
            </w:pPr>
            <w:r>
              <w:rPr>
                <w:rFonts w:hint="eastAsia" w:ascii="宋体" w:hAnsi="宋体" w:cs="宋体"/>
                <w:sz w:val="24"/>
                <w:szCs w:val="24"/>
              </w:rPr>
              <w:t>公告媒介：</w:t>
            </w:r>
            <w:r>
              <w:rPr>
                <w:rFonts w:hint="eastAsia" w:ascii="宋体" w:hAnsi="宋体"/>
                <w:sz w:val="24"/>
                <w:szCs w:val="24"/>
              </w:rPr>
              <w:t>同招标公告发布媒介</w:t>
            </w:r>
          </w:p>
          <w:p w14:paraId="184BEB36">
            <w:pPr>
              <w:rPr>
                <w:rFonts w:ascii="宋体" w:hAnsi="宋体" w:cs="宋体"/>
                <w:sz w:val="24"/>
                <w:szCs w:val="24"/>
              </w:rPr>
            </w:pPr>
            <w:r>
              <w:rPr>
                <w:rFonts w:hint="eastAsia" w:ascii="宋体" w:hAnsi="宋体" w:cs="宋体"/>
                <w:sz w:val="24"/>
                <w:szCs w:val="24"/>
              </w:rPr>
              <w:t>公告期限：3日</w:t>
            </w:r>
          </w:p>
        </w:tc>
      </w:tr>
      <w:tr w14:paraId="5271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601711FA">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7.7.1</w:t>
            </w:r>
          </w:p>
        </w:tc>
        <w:tc>
          <w:tcPr>
            <w:tcW w:w="2280" w:type="dxa"/>
            <w:gridSpan w:val="3"/>
            <w:vAlign w:val="center"/>
          </w:tcPr>
          <w:p w14:paraId="217C29CC">
            <w:pPr>
              <w:spacing w:line="460" w:lineRule="exact"/>
              <w:rPr>
                <w:rFonts w:ascii="宋体" w:hAnsi="宋体"/>
                <w:sz w:val="24"/>
                <w:szCs w:val="24"/>
              </w:rPr>
            </w:pPr>
            <w:r>
              <w:rPr>
                <w:rFonts w:hint="eastAsia" w:ascii="宋体" w:hAnsi="宋体"/>
                <w:sz w:val="24"/>
                <w:szCs w:val="24"/>
              </w:rPr>
              <w:t>履约保证金</w:t>
            </w:r>
          </w:p>
        </w:tc>
        <w:tc>
          <w:tcPr>
            <w:tcW w:w="6379" w:type="dxa"/>
            <w:vAlign w:val="center"/>
          </w:tcPr>
          <w:p w14:paraId="13B8E0F2">
            <w:pPr>
              <w:spacing w:line="460" w:lineRule="exact"/>
              <w:rPr>
                <w:rFonts w:ascii="宋体" w:hAnsi="宋体"/>
                <w:sz w:val="24"/>
                <w:szCs w:val="24"/>
              </w:rPr>
            </w:pPr>
            <w:r>
              <w:rPr>
                <w:rFonts w:hint="eastAsia" w:ascii="宋体" w:hAnsi="宋体"/>
                <w:sz w:val="24"/>
                <w:szCs w:val="24"/>
              </w:rPr>
              <w:t>按规定执行</w:t>
            </w:r>
          </w:p>
        </w:tc>
      </w:tr>
      <w:tr w14:paraId="6A88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46BF0ABB">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8.5.1</w:t>
            </w:r>
          </w:p>
        </w:tc>
        <w:tc>
          <w:tcPr>
            <w:tcW w:w="2280" w:type="dxa"/>
            <w:gridSpan w:val="3"/>
            <w:vAlign w:val="center"/>
          </w:tcPr>
          <w:p w14:paraId="15346B92">
            <w:pPr>
              <w:spacing w:line="360" w:lineRule="auto"/>
              <w:rPr>
                <w:rFonts w:ascii="宋体" w:hAnsi="宋体"/>
                <w:sz w:val="24"/>
                <w:szCs w:val="24"/>
              </w:rPr>
            </w:pPr>
            <w:r>
              <w:rPr>
                <w:rFonts w:hint="eastAsia" w:ascii="宋体" w:hAnsi="宋体"/>
                <w:sz w:val="24"/>
                <w:szCs w:val="24"/>
              </w:rPr>
              <w:t>监督部门</w:t>
            </w:r>
          </w:p>
        </w:tc>
        <w:tc>
          <w:tcPr>
            <w:tcW w:w="6379" w:type="dxa"/>
            <w:vAlign w:val="center"/>
          </w:tcPr>
          <w:p w14:paraId="6202E3F2">
            <w:pPr>
              <w:spacing w:line="360" w:lineRule="auto"/>
              <w:rPr>
                <w:rFonts w:ascii="宋体" w:hAnsi="宋体"/>
                <w:sz w:val="24"/>
                <w:szCs w:val="24"/>
              </w:rPr>
            </w:pPr>
            <w:r>
              <w:rPr>
                <w:rFonts w:hint="eastAsia" w:ascii="宋体" w:hAnsi="宋体"/>
                <w:sz w:val="24"/>
                <w:szCs w:val="24"/>
              </w:rPr>
              <w:t>见第一章“招标公告”</w:t>
            </w:r>
          </w:p>
        </w:tc>
      </w:tr>
      <w:tr w14:paraId="1C0D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80" w:type="dxa"/>
            <w:vAlign w:val="center"/>
          </w:tcPr>
          <w:p w14:paraId="21C65DBA">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9</w:t>
            </w:r>
          </w:p>
        </w:tc>
        <w:tc>
          <w:tcPr>
            <w:tcW w:w="2280" w:type="dxa"/>
            <w:gridSpan w:val="3"/>
            <w:vAlign w:val="center"/>
          </w:tcPr>
          <w:p w14:paraId="194217CB">
            <w:pPr>
              <w:rPr>
                <w:rFonts w:ascii="宋体" w:hAnsi="宋体"/>
                <w:sz w:val="24"/>
                <w:szCs w:val="24"/>
              </w:rPr>
            </w:pPr>
            <w:r>
              <w:rPr>
                <w:rFonts w:hint="eastAsia" w:ascii="宋体" w:hAnsi="宋体"/>
                <w:sz w:val="24"/>
                <w:szCs w:val="24"/>
              </w:rPr>
              <w:t>是否采用电子招标投标</w:t>
            </w:r>
          </w:p>
        </w:tc>
        <w:tc>
          <w:tcPr>
            <w:tcW w:w="6379" w:type="dxa"/>
            <w:vAlign w:val="center"/>
          </w:tcPr>
          <w:p w14:paraId="7C68F964">
            <w:pPr>
              <w:spacing w:line="360" w:lineRule="auto"/>
              <w:rPr>
                <w:rFonts w:ascii="宋体" w:hAnsi="宋体"/>
                <w:sz w:val="24"/>
                <w:szCs w:val="24"/>
              </w:rPr>
            </w:pPr>
            <w:r>
              <w:rPr>
                <w:rFonts w:hint="eastAsia" w:ascii="宋体" w:hAnsi="宋体"/>
                <w:sz w:val="24"/>
                <w:szCs w:val="24"/>
              </w:rPr>
              <w:t>是</w:t>
            </w:r>
          </w:p>
        </w:tc>
      </w:tr>
      <w:tr w14:paraId="6D96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80" w:type="dxa"/>
            <w:vAlign w:val="center"/>
          </w:tcPr>
          <w:p w14:paraId="35791285">
            <w:pPr>
              <w:pStyle w:val="7"/>
              <w:tabs>
                <w:tab w:val="left" w:pos="1737"/>
                <w:tab w:val="left" w:pos="2217"/>
                <w:tab w:val="left" w:pos="3478"/>
                <w:tab w:val="left" w:pos="4535"/>
                <w:tab w:val="left" w:pos="4771"/>
                <w:tab w:val="left" w:pos="5990"/>
                <w:tab w:val="left" w:pos="6903"/>
              </w:tabs>
              <w:spacing w:line="360" w:lineRule="auto"/>
              <w:jc w:val="center"/>
              <w:rPr>
                <w:rFonts w:ascii="宋体" w:hAnsi="宋体"/>
                <w:kern w:val="2"/>
                <w:sz w:val="24"/>
                <w:szCs w:val="24"/>
              </w:rPr>
            </w:pPr>
            <w:r>
              <w:rPr>
                <w:rFonts w:hint="eastAsia" w:ascii="宋体" w:hAnsi="宋体"/>
                <w:kern w:val="2"/>
                <w:sz w:val="24"/>
                <w:szCs w:val="24"/>
              </w:rPr>
              <w:t>10</w:t>
            </w:r>
          </w:p>
        </w:tc>
        <w:tc>
          <w:tcPr>
            <w:tcW w:w="8659" w:type="dxa"/>
            <w:gridSpan w:val="4"/>
            <w:vAlign w:val="center"/>
          </w:tcPr>
          <w:p w14:paraId="56F17DD7">
            <w:pPr>
              <w:spacing w:line="360" w:lineRule="auto"/>
              <w:jc w:val="left"/>
              <w:rPr>
                <w:rFonts w:ascii="宋体" w:hAnsi="宋体"/>
                <w:sz w:val="24"/>
                <w:szCs w:val="24"/>
              </w:rPr>
            </w:pPr>
            <w:r>
              <w:rPr>
                <w:rFonts w:hint="eastAsia" w:ascii="宋体" w:hAnsi="宋体"/>
                <w:sz w:val="24"/>
                <w:szCs w:val="24"/>
              </w:rPr>
              <w:t>需要补充的其他内容</w:t>
            </w:r>
          </w:p>
        </w:tc>
      </w:tr>
      <w:tr w14:paraId="66AA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9" w:type="dxa"/>
            <w:gridSpan w:val="5"/>
            <w:vAlign w:val="center"/>
          </w:tcPr>
          <w:p w14:paraId="04028B96">
            <w:pPr>
              <w:spacing w:line="360" w:lineRule="auto"/>
              <w:rPr>
                <w:rFonts w:ascii="宋体" w:hAnsi="宋体"/>
                <w:sz w:val="24"/>
                <w:szCs w:val="24"/>
              </w:rPr>
            </w:pPr>
            <w:r>
              <w:rPr>
                <w:rFonts w:hint="eastAsia" w:ascii="宋体" w:hAnsi="宋体"/>
                <w:sz w:val="24"/>
                <w:szCs w:val="24"/>
              </w:rPr>
              <w:t>10.1</w:t>
            </w:r>
          </w:p>
        </w:tc>
      </w:tr>
      <w:tr w14:paraId="17B8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Align w:val="center"/>
          </w:tcPr>
          <w:p w14:paraId="2A04409A">
            <w:pPr>
              <w:spacing w:line="460" w:lineRule="exact"/>
              <w:jc w:val="center"/>
              <w:rPr>
                <w:rFonts w:ascii="宋体" w:hAnsi="宋体"/>
                <w:sz w:val="24"/>
                <w:szCs w:val="24"/>
              </w:rPr>
            </w:pPr>
            <w:r>
              <w:rPr>
                <w:rFonts w:hint="eastAsia" w:ascii="宋体" w:hAnsi="宋体"/>
                <w:sz w:val="24"/>
                <w:szCs w:val="24"/>
              </w:rPr>
              <w:t>10.1.1</w:t>
            </w:r>
          </w:p>
        </w:tc>
        <w:tc>
          <w:tcPr>
            <w:tcW w:w="2280" w:type="dxa"/>
            <w:gridSpan w:val="3"/>
            <w:vAlign w:val="center"/>
          </w:tcPr>
          <w:p w14:paraId="293AAA8B">
            <w:pPr>
              <w:spacing w:line="460" w:lineRule="exact"/>
              <w:jc w:val="center"/>
              <w:rPr>
                <w:rFonts w:ascii="宋体" w:hAnsi="宋体"/>
                <w:sz w:val="24"/>
                <w:szCs w:val="24"/>
              </w:rPr>
            </w:pPr>
            <w:r>
              <w:rPr>
                <w:rFonts w:hint="eastAsia" w:ascii="宋体" w:hAnsi="宋体"/>
                <w:sz w:val="24"/>
                <w:szCs w:val="24"/>
              </w:rPr>
              <w:t>近年完成的类似项目的年份要求</w:t>
            </w:r>
          </w:p>
        </w:tc>
        <w:tc>
          <w:tcPr>
            <w:tcW w:w="6379" w:type="dxa"/>
            <w:vAlign w:val="center"/>
          </w:tcPr>
          <w:p w14:paraId="24B0A7E1">
            <w:pPr>
              <w:spacing w:line="460" w:lineRule="exact"/>
              <w:rPr>
                <w:rFonts w:ascii="宋体" w:hAnsi="宋体"/>
                <w:sz w:val="24"/>
                <w:szCs w:val="24"/>
              </w:rPr>
            </w:pPr>
            <w:r>
              <w:rPr>
                <w:rFonts w:hint="eastAsia" w:ascii="宋体" w:hAnsi="宋体"/>
                <w:sz w:val="24"/>
                <w:szCs w:val="24"/>
              </w:rPr>
              <w:t>2023年1月1日至今</w:t>
            </w:r>
          </w:p>
        </w:tc>
      </w:tr>
      <w:tr w14:paraId="16D9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1080" w:type="dxa"/>
            <w:vAlign w:val="center"/>
          </w:tcPr>
          <w:p w14:paraId="36223ACA">
            <w:pPr>
              <w:spacing w:line="460" w:lineRule="exact"/>
              <w:jc w:val="center"/>
              <w:rPr>
                <w:rFonts w:ascii="宋体" w:hAnsi="宋体"/>
                <w:sz w:val="24"/>
                <w:szCs w:val="24"/>
              </w:rPr>
            </w:pPr>
            <w:r>
              <w:rPr>
                <w:rFonts w:hint="eastAsia" w:ascii="宋体" w:hAnsi="宋体"/>
                <w:sz w:val="24"/>
                <w:szCs w:val="24"/>
              </w:rPr>
              <w:t>10.1.2</w:t>
            </w:r>
          </w:p>
        </w:tc>
        <w:tc>
          <w:tcPr>
            <w:tcW w:w="2280" w:type="dxa"/>
            <w:gridSpan w:val="3"/>
            <w:vAlign w:val="center"/>
          </w:tcPr>
          <w:p w14:paraId="77A94A73">
            <w:pPr>
              <w:spacing w:line="360" w:lineRule="exact"/>
              <w:jc w:val="center"/>
              <w:rPr>
                <w:rFonts w:ascii="宋体" w:hAnsi="宋体"/>
                <w:sz w:val="24"/>
                <w:szCs w:val="24"/>
              </w:rPr>
            </w:pPr>
            <w:r>
              <w:rPr>
                <w:rFonts w:hint="eastAsia" w:ascii="宋体" w:hAnsi="宋体"/>
                <w:sz w:val="24"/>
                <w:szCs w:val="24"/>
              </w:rPr>
              <w:t>近年财务状况的年份要求</w:t>
            </w:r>
          </w:p>
        </w:tc>
        <w:tc>
          <w:tcPr>
            <w:tcW w:w="6379" w:type="dxa"/>
            <w:vAlign w:val="center"/>
          </w:tcPr>
          <w:p w14:paraId="10D6D195">
            <w:pPr>
              <w:spacing w:line="460" w:lineRule="exact"/>
              <w:rPr>
                <w:rFonts w:ascii="宋体" w:hAnsi="宋体"/>
                <w:color w:val="FF0000"/>
                <w:sz w:val="24"/>
                <w:szCs w:val="24"/>
              </w:rPr>
            </w:pPr>
            <w:r>
              <w:rPr>
                <w:rFonts w:hint="eastAsia" w:ascii="宋体" w:hAnsi="宋体"/>
                <w:sz w:val="24"/>
                <w:szCs w:val="24"/>
              </w:rPr>
              <w:t>需近三年以来任意一年的经审计的财务审计报告；成立时间不足一年的，需提供自成立以来的财务报表。</w:t>
            </w:r>
          </w:p>
        </w:tc>
      </w:tr>
      <w:tr w14:paraId="01D9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9" w:type="dxa"/>
            <w:gridSpan w:val="5"/>
            <w:tcBorders>
              <w:top w:val="single" w:color="auto" w:sz="4" w:space="0"/>
              <w:left w:val="single" w:color="auto" w:sz="4" w:space="0"/>
              <w:bottom w:val="single" w:color="auto" w:sz="4" w:space="0"/>
              <w:right w:val="single" w:color="auto" w:sz="4" w:space="0"/>
            </w:tcBorders>
            <w:vAlign w:val="center"/>
          </w:tcPr>
          <w:p w14:paraId="4AFDE3F3">
            <w:pPr>
              <w:spacing w:line="460" w:lineRule="exact"/>
              <w:rPr>
                <w:rFonts w:ascii="宋体" w:hAnsi="宋体"/>
                <w:sz w:val="24"/>
                <w:szCs w:val="24"/>
              </w:rPr>
            </w:pPr>
            <w:r>
              <w:rPr>
                <w:rFonts w:hint="eastAsia" w:ascii="宋体" w:hAnsi="宋体"/>
                <w:sz w:val="24"/>
                <w:szCs w:val="24"/>
              </w:rPr>
              <w:t>10.2</w:t>
            </w:r>
          </w:p>
        </w:tc>
      </w:tr>
      <w:tr w14:paraId="29B3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03612DA4">
            <w:pPr>
              <w:spacing w:line="460" w:lineRule="exact"/>
              <w:jc w:val="center"/>
              <w:rPr>
                <w:rFonts w:ascii="宋体" w:hAnsi="宋体"/>
                <w:sz w:val="24"/>
                <w:szCs w:val="24"/>
              </w:rPr>
            </w:pPr>
            <w:r>
              <w:rPr>
                <w:rFonts w:hint="eastAsia" w:ascii="宋体" w:hAnsi="宋体"/>
                <w:sz w:val="24"/>
                <w:szCs w:val="24"/>
              </w:rPr>
              <w:t>10.2.1</w:t>
            </w:r>
          </w:p>
        </w:tc>
        <w:tc>
          <w:tcPr>
            <w:tcW w:w="1472" w:type="dxa"/>
            <w:tcBorders>
              <w:top w:val="single" w:color="auto" w:sz="4" w:space="0"/>
              <w:left w:val="single" w:color="auto" w:sz="4" w:space="0"/>
              <w:bottom w:val="single" w:color="auto" w:sz="4" w:space="0"/>
              <w:right w:val="single" w:color="auto" w:sz="4" w:space="0"/>
            </w:tcBorders>
            <w:vAlign w:val="center"/>
          </w:tcPr>
          <w:p w14:paraId="555D06D0">
            <w:pPr>
              <w:spacing w:line="360" w:lineRule="exact"/>
              <w:jc w:val="center"/>
              <w:rPr>
                <w:rFonts w:ascii="宋体" w:hAnsi="宋体"/>
                <w:sz w:val="24"/>
                <w:szCs w:val="24"/>
                <w:highlight w:val="yellow"/>
              </w:rPr>
            </w:pPr>
            <w:r>
              <w:rPr>
                <w:rFonts w:hint="eastAsia" w:ascii="宋体" w:hAnsi="宋体"/>
                <w:sz w:val="24"/>
                <w:szCs w:val="24"/>
                <w:highlight w:val="yellow"/>
              </w:rPr>
              <w:t>农民工</w:t>
            </w:r>
          </w:p>
          <w:p w14:paraId="6C97F81E">
            <w:pPr>
              <w:spacing w:line="360" w:lineRule="exact"/>
              <w:jc w:val="center"/>
              <w:rPr>
                <w:rFonts w:ascii="宋体" w:hAnsi="宋体"/>
                <w:sz w:val="24"/>
                <w:szCs w:val="24"/>
                <w:highlight w:val="yellow"/>
              </w:rPr>
            </w:pPr>
            <w:r>
              <w:rPr>
                <w:rFonts w:hint="eastAsia" w:ascii="宋体" w:hAnsi="宋体"/>
                <w:sz w:val="24"/>
                <w:szCs w:val="24"/>
                <w:highlight w:val="yellow"/>
              </w:rPr>
              <w:t>工资保证金</w:t>
            </w:r>
          </w:p>
        </w:tc>
        <w:tc>
          <w:tcPr>
            <w:tcW w:w="7081" w:type="dxa"/>
            <w:gridSpan w:val="2"/>
            <w:tcBorders>
              <w:top w:val="single" w:color="auto" w:sz="4" w:space="0"/>
              <w:left w:val="single" w:color="auto" w:sz="4" w:space="0"/>
              <w:bottom w:val="single" w:color="auto" w:sz="4" w:space="0"/>
              <w:right w:val="single" w:color="auto" w:sz="4" w:space="0"/>
            </w:tcBorders>
            <w:vAlign w:val="center"/>
          </w:tcPr>
          <w:p w14:paraId="3F87D255">
            <w:pPr>
              <w:spacing w:line="460" w:lineRule="exact"/>
              <w:rPr>
                <w:rFonts w:ascii="宋体" w:hAnsi="宋体"/>
                <w:sz w:val="24"/>
                <w:szCs w:val="24"/>
                <w:highlight w:val="yellow"/>
              </w:rPr>
            </w:pPr>
            <w:r>
              <w:rPr>
                <w:rFonts w:hint="eastAsia" w:ascii="宋体" w:hAnsi="宋体" w:cs="宋体"/>
                <w:sz w:val="24"/>
                <w:szCs w:val="24"/>
                <w:highlight w:val="yellow"/>
              </w:rPr>
              <w:t>执行豫人社规｛2022｝4号文件，需提供承诺书</w:t>
            </w:r>
          </w:p>
        </w:tc>
      </w:tr>
      <w:tr w14:paraId="1AF0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9" w:type="dxa"/>
            <w:gridSpan w:val="5"/>
            <w:tcBorders>
              <w:top w:val="single" w:color="auto" w:sz="4" w:space="0"/>
              <w:left w:val="single" w:color="auto" w:sz="4" w:space="0"/>
              <w:bottom w:val="single" w:color="auto" w:sz="4" w:space="0"/>
              <w:right w:val="single" w:color="auto" w:sz="4" w:space="0"/>
            </w:tcBorders>
            <w:vAlign w:val="center"/>
          </w:tcPr>
          <w:p w14:paraId="21024CE0">
            <w:pPr>
              <w:spacing w:line="460" w:lineRule="exact"/>
              <w:rPr>
                <w:rFonts w:ascii="宋体" w:hAnsi="宋体"/>
                <w:sz w:val="24"/>
                <w:szCs w:val="24"/>
              </w:rPr>
            </w:pPr>
            <w:r>
              <w:rPr>
                <w:rFonts w:hint="eastAsia" w:ascii="宋体" w:hAnsi="宋体"/>
                <w:sz w:val="24"/>
                <w:szCs w:val="24"/>
              </w:rPr>
              <w:t>10.3知识产权</w:t>
            </w:r>
          </w:p>
        </w:tc>
      </w:tr>
      <w:tr w14:paraId="383F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057B32E5">
            <w:pPr>
              <w:spacing w:line="460" w:lineRule="exact"/>
              <w:jc w:val="center"/>
              <w:rPr>
                <w:rFonts w:ascii="宋体" w:hAnsi="宋体"/>
                <w:sz w:val="24"/>
                <w:szCs w:val="24"/>
              </w:rPr>
            </w:pP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11A518F2">
            <w:pPr>
              <w:spacing w:line="460" w:lineRule="exact"/>
              <w:rPr>
                <w:rFonts w:ascii="宋体" w:hAnsi="宋体"/>
                <w:sz w:val="24"/>
                <w:szCs w:val="24"/>
              </w:rPr>
            </w:pPr>
            <w:r>
              <w:rPr>
                <w:rFonts w:hint="eastAsia" w:ascii="宋体" w:hAnsi="宋体"/>
                <w:sz w:val="24"/>
                <w:szCs w:val="24"/>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1F6B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9" w:type="dxa"/>
            <w:gridSpan w:val="5"/>
            <w:tcBorders>
              <w:top w:val="single" w:color="auto" w:sz="4" w:space="0"/>
              <w:left w:val="single" w:color="auto" w:sz="4" w:space="0"/>
              <w:bottom w:val="single" w:color="auto" w:sz="4" w:space="0"/>
              <w:right w:val="single" w:color="auto" w:sz="4" w:space="0"/>
            </w:tcBorders>
            <w:vAlign w:val="center"/>
          </w:tcPr>
          <w:p w14:paraId="387BD1E5">
            <w:pPr>
              <w:spacing w:line="460" w:lineRule="exact"/>
              <w:rPr>
                <w:rFonts w:ascii="宋体" w:hAnsi="宋体"/>
                <w:sz w:val="24"/>
                <w:szCs w:val="24"/>
              </w:rPr>
            </w:pPr>
            <w:r>
              <w:rPr>
                <w:rFonts w:hint="eastAsia" w:ascii="宋体" w:hAnsi="宋体"/>
                <w:sz w:val="24"/>
                <w:szCs w:val="24"/>
              </w:rPr>
              <w:t>10.4同义词语</w:t>
            </w:r>
          </w:p>
        </w:tc>
      </w:tr>
      <w:tr w14:paraId="47BB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4D480C7B">
            <w:pPr>
              <w:spacing w:line="460" w:lineRule="exact"/>
              <w:jc w:val="center"/>
              <w:rPr>
                <w:rFonts w:ascii="宋体" w:hAnsi="宋体"/>
                <w:sz w:val="24"/>
                <w:szCs w:val="24"/>
              </w:rPr>
            </w:pP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4A9CA306">
            <w:pPr>
              <w:spacing w:line="460" w:lineRule="exact"/>
              <w:rPr>
                <w:rFonts w:ascii="宋体" w:hAnsi="宋体"/>
                <w:sz w:val="24"/>
                <w:szCs w:val="24"/>
              </w:rPr>
            </w:pPr>
            <w:r>
              <w:rPr>
                <w:rFonts w:hint="eastAsia" w:ascii="宋体" w:hAnsi="宋体"/>
                <w:sz w:val="24"/>
                <w:szCs w:val="24"/>
              </w:rPr>
              <w:t>构成招标文件组成部分的“通用合同条款”、“专用合同条款”、“技术标准和要求”等章节中出现的措辞“发包人”和“承包人”，在招标投标阶段应当分别按“招标人”和“投标人”进行理解。</w:t>
            </w:r>
          </w:p>
        </w:tc>
      </w:tr>
      <w:tr w14:paraId="69CC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9" w:type="dxa"/>
            <w:gridSpan w:val="5"/>
            <w:tcBorders>
              <w:top w:val="single" w:color="auto" w:sz="4" w:space="0"/>
              <w:left w:val="single" w:color="auto" w:sz="4" w:space="0"/>
              <w:bottom w:val="single" w:color="auto" w:sz="4" w:space="0"/>
              <w:right w:val="single" w:color="auto" w:sz="4" w:space="0"/>
            </w:tcBorders>
            <w:vAlign w:val="center"/>
          </w:tcPr>
          <w:p w14:paraId="12EAB3B4">
            <w:pPr>
              <w:spacing w:line="460" w:lineRule="exact"/>
              <w:rPr>
                <w:rFonts w:ascii="宋体" w:hAnsi="宋体"/>
                <w:sz w:val="24"/>
                <w:szCs w:val="24"/>
              </w:rPr>
            </w:pPr>
            <w:r>
              <w:rPr>
                <w:rFonts w:hint="eastAsia" w:ascii="宋体" w:hAnsi="宋体"/>
                <w:sz w:val="24"/>
                <w:szCs w:val="24"/>
              </w:rPr>
              <w:t>10.5解释权</w:t>
            </w:r>
          </w:p>
        </w:tc>
      </w:tr>
      <w:tr w14:paraId="472D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7B25D8C5">
            <w:pPr>
              <w:spacing w:line="460" w:lineRule="exact"/>
              <w:jc w:val="center"/>
              <w:rPr>
                <w:rFonts w:ascii="宋体" w:hAnsi="宋体"/>
                <w:sz w:val="24"/>
                <w:szCs w:val="24"/>
              </w:rPr>
            </w:pP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2E60A17C">
            <w:pPr>
              <w:tabs>
                <w:tab w:val="left" w:pos="4830"/>
              </w:tabs>
              <w:spacing w:line="460" w:lineRule="exact"/>
              <w:rPr>
                <w:rFonts w:ascii="宋体" w:hAnsi="宋体"/>
                <w:sz w:val="24"/>
                <w:szCs w:val="24"/>
              </w:rPr>
            </w:pPr>
            <w:r>
              <w:rPr>
                <w:rFonts w:hint="eastAsia" w:ascii="宋体" w:hAnsi="宋体"/>
                <w:sz w:val="24"/>
                <w:szCs w:val="24"/>
              </w:rPr>
              <w:t>构成本招标文件的各个组成文件应互为解释，互为说明；如有不明确或不一致，仅适用于招标投标阶段的规定，按招标公告（邀请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7702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368E3DE9">
            <w:pPr>
              <w:spacing w:line="460" w:lineRule="exact"/>
              <w:jc w:val="center"/>
              <w:rPr>
                <w:rFonts w:ascii="宋体" w:hAnsi="宋体"/>
                <w:sz w:val="24"/>
                <w:szCs w:val="24"/>
              </w:rPr>
            </w:pPr>
            <w:r>
              <w:rPr>
                <w:rFonts w:hint="eastAsia" w:ascii="宋体" w:hAnsi="宋体"/>
                <w:sz w:val="24"/>
                <w:szCs w:val="24"/>
              </w:rPr>
              <w:t>10.6</w:t>
            </w: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36246D4B">
            <w:pPr>
              <w:tabs>
                <w:tab w:val="left" w:pos="4830"/>
              </w:tabs>
              <w:spacing w:line="460" w:lineRule="exact"/>
              <w:rPr>
                <w:rFonts w:ascii="宋体" w:hAnsi="宋体"/>
                <w:sz w:val="24"/>
                <w:szCs w:val="24"/>
              </w:rPr>
            </w:pPr>
            <w:r>
              <w:rPr>
                <w:rFonts w:hint="eastAsia" w:ascii="宋体" w:hAnsi="宋体"/>
                <w:sz w:val="24"/>
                <w:szCs w:val="24"/>
              </w:rPr>
              <w:t>其他需要补充的资料</w:t>
            </w:r>
          </w:p>
        </w:tc>
      </w:tr>
      <w:tr w14:paraId="5BFB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4344F122">
            <w:pPr>
              <w:spacing w:line="460" w:lineRule="exact"/>
              <w:jc w:val="center"/>
              <w:rPr>
                <w:rFonts w:ascii="宋体" w:hAnsi="宋体"/>
                <w:sz w:val="24"/>
                <w:szCs w:val="24"/>
              </w:rPr>
            </w:pPr>
            <w:r>
              <w:rPr>
                <w:rFonts w:hint="eastAsia" w:ascii="宋体" w:hAnsi="宋体"/>
                <w:sz w:val="24"/>
                <w:szCs w:val="24"/>
              </w:rPr>
              <w:t>代理服务费</w:t>
            </w: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7F74D6C3">
            <w:pPr>
              <w:autoSpaceDE w:val="0"/>
              <w:autoSpaceDN w:val="0"/>
              <w:adjustRightInd w:val="0"/>
              <w:snapToGrid w:val="0"/>
              <w:spacing w:line="460" w:lineRule="exact"/>
              <w:jc w:val="left"/>
              <w:textAlignment w:val="baseline"/>
              <w:rPr>
                <w:rFonts w:ascii="宋体" w:hAnsi="宋体"/>
                <w:kern w:val="0"/>
                <w:sz w:val="24"/>
                <w:szCs w:val="24"/>
              </w:rPr>
            </w:pPr>
            <w:r>
              <w:rPr>
                <w:rFonts w:hint="eastAsia" w:ascii="宋体" w:hAnsi="宋体"/>
                <w:kern w:val="0"/>
                <w:sz w:val="24"/>
                <w:szCs w:val="24"/>
              </w:rPr>
              <w:t>本项目招标代理费由中标单位承担，收费标准参照豫招协【2023】002号文件所规定的收费标准收取，代理费和产生的其它费用由中标单位承担。此费由投标人综合考虑到投标报价中，不再单独列项。</w:t>
            </w:r>
          </w:p>
          <w:p w14:paraId="2016A5B0">
            <w:pPr>
              <w:autoSpaceDE w:val="0"/>
              <w:autoSpaceDN w:val="0"/>
              <w:adjustRightInd w:val="0"/>
              <w:snapToGrid w:val="0"/>
              <w:spacing w:line="460" w:lineRule="exact"/>
              <w:jc w:val="left"/>
              <w:textAlignment w:val="baseline"/>
              <w:rPr>
                <w:rFonts w:hint="eastAsia" w:ascii="宋体" w:hAnsi="宋体"/>
                <w:sz w:val="24"/>
                <w:szCs w:val="24"/>
                <w:lang w:val="en-US" w:eastAsia="zh-CN"/>
              </w:rPr>
            </w:pPr>
            <w:r>
              <w:rPr>
                <w:rFonts w:hint="eastAsia" w:ascii="宋体" w:hAnsi="宋体"/>
                <w:sz w:val="24"/>
                <w:szCs w:val="24"/>
                <w:lang w:val="en-US" w:eastAsia="zh-CN"/>
              </w:rPr>
              <w:t>代理费计算方法：100万元×1.2%=1.2万元；（中标金额-100）万元×1.0%=X万元；代理费总额=1.2+X万元。</w:t>
            </w:r>
          </w:p>
          <w:p w14:paraId="28029A67">
            <w:pPr>
              <w:autoSpaceDE w:val="0"/>
              <w:autoSpaceDN w:val="0"/>
              <w:adjustRightInd w:val="0"/>
              <w:snapToGrid w:val="0"/>
              <w:spacing w:line="460" w:lineRule="exact"/>
              <w:jc w:val="left"/>
              <w:textAlignment w:val="baseline"/>
              <w:rPr>
                <w:rFonts w:ascii="宋体" w:hAnsi="宋体"/>
                <w:kern w:val="0"/>
                <w:sz w:val="24"/>
                <w:szCs w:val="24"/>
              </w:rPr>
            </w:pPr>
            <w:r>
              <w:rPr>
                <w:rFonts w:ascii="宋体" w:hAnsi="宋体"/>
                <w:kern w:val="0"/>
                <w:sz w:val="24"/>
                <w:szCs w:val="24"/>
              </w:rPr>
              <w:t>由中标人在领取中标通知书前</w:t>
            </w:r>
            <w:r>
              <w:rPr>
                <w:rFonts w:hint="eastAsia" w:ascii="宋体" w:hAnsi="宋体"/>
                <w:kern w:val="0"/>
                <w:sz w:val="24"/>
                <w:szCs w:val="24"/>
              </w:rPr>
              <w:t>通过转账或现金的方式</w:t>
            </w:r>
            <w:r>
              <w:rPr>
                <w:rFonts w:ascii="宋体" w:hAnsi="宋体"/>
                <w:kern w:val="0"/>
                <w:sz w:val="24"/>
                <w:szCs w:val="24"/>
              </w:rPr>
              <w:t>一次性缴纳。</w:t>
            </w:r>
          </w:p>
          <w:p w14:paraId="7345BFDB">
            <w:pPr>
              <w:tabs>
                <w:tab w:val="left" w:pos="4830"/>
              </w:tabs>
              <w:spacing w:line="460" w:lineRule="exact"/>
              <w:rPr>
                <w:rFonts w:ascii="宋体" w:hAnsi="宋体"/>
                <w:sz w:val="24"/>
                <w:szCs w:val="24"/>
              </w:rPr>
            </w:pPr>
            <w:r>
              <w:rPr>
                <w:rFonts w:ascii="宋体" w:hAnsi="宋体"/>
                <w:sz w:val="24"/>
                <w:szCs w:val="24"/>
              </w:rPr>
              <w:t>收取方式：转账形式或现金</w:t>
            </w:r>
            <w:r>
              <w:rPr>
                <w:rFonts w:ascii="宋体" w:hAnsi="宋体"/>
                <w:sz w:val="24"/>
                <w:szCs w:val="24"/>
              </w:rPr>
              <w:br w:type="textWrapping"/>
            </w:r>
            <w:r>
              <w:rPr>
                <w:rFonts w:ascii="宋体" w:hAnsi="宋体"/>
                <w:sz w:val="24"/>
                <w:szCs w:val="24"/>
              </w:rPr>
              <w:t>收款单位：兴建建设管理有限公司灵宝分公司</w:t>
            </w:r>
          </w:p>
          <w:p w14:paraId="29215B25">
            <w:pPr>
              <w:tabs>
                <w:tab w:val="left" w:pos="4830"/>
              </w:tabs>
              <w:spacing w:line="460" w:lineRule="exact"/>
              <w:rPr>
                <w:rFonts w:ascii="宋体" w:hAnsi="宋体"/>
                <w:sz w:val="24"/>
                <w:szCs w:val="24"/>
              </w:rPr>
            </w:pPr>
            <w:r>
              <w:rPr>
                <w:rFonts w:ascii="宋体" w:hAnsi="宋体"/>
                <w:sz w:val="24"/>
                <w:szCs w:val="24"/>
              </w:rPr>
              <w:t>开 户 行：中国工商银行灵宝老城支行</w:t>
            </w:r>
          </w:p>
          <w:p w14:paraId="745F44DA">
            <w:pPr>
              <w:tabs>
                <w:tab w:val="left" w:pos="4830"/>
              </w:tabs>
              <w:spacing w:line="460" w:lineRule="exact"/>
              <w:rPr>
                <w:rFonts w:hint="default" w:ascii="宋体" w:hAnsi="宋体"/>
                <w:sz w:val="24"/>
                <w:szCs w:val="24"/>
                <w:lang w:val="en-US" w:eastAsia="zh-CN"/>
              </w:rPr>
            </w:pPr>
            <w:r>
              <w:rPr>
                <w:rFonts w:ascii="宋体" w:hAnsi="宋体"/>
                <w:sz w:val="24"/>
                <w:szCs w:val="24"/>
              </w:rPr>
              <w:t>账    号：1713 1210 0920 0023 695</w:t>
            </w:r>
            <w:r>
              <w:rPr>
                <w:rFonts w:hint="eastAsia" w:ascii="宋体" w:hAnsi="宋体"/>
                <w:sz w:val="24"/>
                <w:szCs w:val="24"/>
              </w:rPr>
              <w:t xml:space="preserve"> </w:t>
            </w:r>
          </w:p>
        </w:tc>
      </w:tr>
      <w:tr w14:paraId="0C6A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56E0FD1F">
            <w:pPr>
              <w:spacing w:line="360" w:lineRule="auto"/>
              <w:jc w:val="center"/>
              <w:rPr>
                <w:rFonts w:hint="eastAsia" w:ascii="宋体" w:hAnsi="宋体" w:cs="宋体"/>
                <w:color w:val="auto"/>
                <w:kern w:val="10"/>
                <w:sz w:val="24"/>
              </w:rPr>
            </w:pPr>
            <w:r>
              <w:rPr>
                <w:rFonts w:hint="eastAsia" w:ascii="宋体" w:hAnsi="宋体" w:cs="宋体"/>
                <w:color w:val="auto"/>
                <w:kern w:val="10"/>
                <w:sz w:val="24"/>
                <w:highlight w:val="none"/>
                <w:lang w:val="en-US" w:eastAsia="zh-CN"/>
              </w:rPr>
              <w:t>中标候选人的核查资料</w:t>
            </w: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18A426DC">
            <w:pPr>
              <w:autoSpaceDE w:val="0"/>
              <w:autoSpaceDN w:val="0"/>
              <w:adjustRightInd w:val="0"/>
              <w:snapToGrid w:val="0"/>
              <w:spacing w:line="460" w:lineRule="exact"/>
              <w:ind w:firstLine="0" w:firstLineChars="0"/>
              <w:jc w:val="left"/>
              <w:textAlignment w:val="baseline"/>
              <w:rPr>
                <w:rFonts w:hint="eastAsia" w:ascii="宋体" w:hAnsi="宋体" w:cs="宋体"/>
                <w:color w:val="auto"/>
                <w:kern w:val="10"/>
                <w:sz w:val="24"/>
              </w:rPr>
            </w:pPr>
            <w:r>
              <w:rPr>
                <w:rFonts w:hint="eastAsia" w:ascii="宋体" w:hAnsi="宋体" w:eastAsia="宋体"/>
                <w:b/>
                <w:bCs/>
                <w:color w:val="auto"/>
                <w:kern w:val="0"/>
                <w:sz w:val="24"/>
                <w:szCs w:val="24"/>
                <w:highlight w:val="none"/>
              </w:rPr>
              <w:t>经评标委员会评审，</w:t>
            </w:r>
            <w:r>
              <w:rPr>
                <w:rFonts w:hint="eastAsia" w:ascii="宋体" w:hAnsi="宋体" w:cs="黑体"/>
                <w:b/>
                <w:color w:val="auto"/>
                <w:sz w:val="24"/>
                <w:highlight w:val="none"/>
                <w:lang w:val="en-US" w:eastAsia="zh-CN"/>
              </w:rPr>
              <w:t>各中标候选人应当在中标候选人公告发出之日起三日内将投标文件纸质版1套及电子版（电子U盘，内容为纸质版扫描件及投标预算excel版）送达至灵宝市尹庄镇人民政府，联系人：李女士，联系方式：18639886663</w:t>
            </w:r>
            <w:r>
              <w:rPr>
                <w:rFonts w:hint="eastAsia" w:ascii="宋体" w:hAnsi="宋体" w:eastAsia="宋体"/>
                <w:b/>
                <w:bCs/>
                <w:color w:val="auto"/>
                <w:kern w:val="0"/>
                <w:sz w:val="24"/>
                <w:szCs w:val="24"/>
                <w:highlight w:val="none"/>
              </w:rPr>
              <w:t>。</w:t>
            </w:r>
          </w:p>
        </w:tc>
      </w:tr>
      <w:tr w14:paraId="484D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5E0B4047">
            <w:pPr>
              <w:spacing w:line="360" w:lineRule="auto"/>
              <w:jc w:val="center"/>
              <w:rPr>
                <w:rFonts w:ascii="宋体" w:hAnsi="宋体"/>
                <w:sz w:val="24"/>
                <w:szCs w:val="24"/>
              </w:rPr>
            </w:pPr>
            <w:r>
              <w:rPr>
                <w:rFonts w:hint="eastAsia" w:ascii="宋体" w:hAnsi="宋体" w:cs="宋体"/>
                <w:kern w:val="10"/>
                <w:sz w:val="24"/>
              </w:rPr>
              <w:t>中标人投标文件的提供</w:t>
            </w: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7806270A">
            <w:pPr>
              <w:spacing w:line="360" w:lineRule="auto"/>
              <w:rPr>
                <w:rFonts w:ascii="宋体" w:hAnsi="宋体"/>
                <w:kern w:val="0"/>
                <w:sz w:val="24"/>
                <w:szCs w:val="24"/>
              </w:rPr>
            </w:pPr>
            <w:r>
              <w:rPr>
                <w:rFonts w:hint="eastAsia" w:ascii="宋体" w:hAnsi="宋体" w:cs="宋体"/>
                <w:kern w:val="10"/>
                <w:sz w:val="24"/>
              </w:rPr>
              <w:t>中标人在签订合同前向招标人提供2套纸版投标文件，纸版投标文件应采用签章后的电子投标文件，并在封面加盖投标单位公章，投标文件应用不褪色的材料书写或打印并胶装成册。</w:t>
            </w:r>
          </w:p>
        </w:tc>
      </w:tr>
      <w:tr w14:paraId="0C26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gridSpan w:val="2"/>
            <w:tcBorders>
              <w:top w:val="single" w:color="auto" w:sz="4" w:space="0"/>
              <w:left w:val="single" w:color="auto" w:sz="4" w:space="0"/>
              <w:bottom w:val="single" w:color="auto" w:sz="4" w:space="0"/>
              <w:right w:val="single" w:color="auto" w:sz="4" w:space="0"/>
            </w:tcBorders>
            <w:vAlign w:val="center"/>
          </w:tcPr>
          <w:p w14:paraId="2CEA9377">
            <w:pPr>
              <w:spacing w:line="460" w:lineRule="exact"/>
              <w:jc w:val="center"/>
              <w:rPr>
                <w:rFonts w:ascii="宋体" w:hAnsi="宋体"/>
                <w:sz w:val="24"/>
                <w:szCs w:val="24"/>
              </w:rPr>
            </w:pPr>
            <w:r>
              <w:rPr>
                <w:rFonts w:hint="eastAsia" w:ascii="宋体" w:hAnsi="宋体"/>
                <w:sz w:val="24"/>
                <w:szCs w:val="24"/>
              </w:rPr>
              <w:t>电子化交易注意事项</w:t>
            </w:r>
          </w:p>
        </w:tc>
        <w:tc>
          <w:tcPr>
            <w:tcW w:w="8553" w:type="dxa"/>
            <w:gridSpan w:val="3"/>
            <w:tcBorders>
              <w:top w:val="single" w:color="auto" w:sz="4" w:space="0"/>
              <w:left w:val="single" w:color="auto" w:sz="4" w:space="0"/>
              <w:bottom w:val="single" w:color="auto" w:sz="4" w:space="0"/>
              <w:right w:val="single" w:color="auto" w:sz="4" w:space="0"/>
            </w:tcBorders>
            <w:vAlign w:val="center"/>
          </w:tcPr>
          <w:p w14:paraId="5CC391D5">
            <w:pPr>
              <w:spacing w:line="360" w:lineRule="auto"/>
              <w:ind w:firstLine="240" w:firstLineChars="100"/>
              <w:rPr>
                <w:rFonts w:ascii="宋体" w:hAnsi="宋体" w:cs="宋体"/>
                <w:sz w:val="24"/>
              </w:rPr>
            </w:pPr>
            <w:r>
              <w:rPr>
                <w:rFonts w:hint="eastAsia" w:ascii="宋体" w:hAnsi="宋体" w:cs="宋体"/>
                <w:sz w:val="24"/>
              </w:rPr>
              <w:t>具体要求：本项目为电子化、无纸化交易项目，投标文件是投标人、供应商（以下简称“投标人”）通过中心投标文件制作系统制作，并经过签章和加密后生成的电子版投标文件。</w:t>
            </w:r>
          </w:p>
          <w:p w14:paraId="14BB35E6">
            <w:pPr>
              <w:spacing w:line="360" w:lineRule="auto"/>
              <w:ind w:firstLine="240" w:firstLineChars="100"/>
              <w:rPr>
                <w:rFonts w:ascii="宋体" w:hAnsi="宋体" w:cs="宋体"/>
                <w:sz w:val="24"/>
              </w:rPr>
            </w:pPr>
            <w:r>
              <w:rPr>
                <w:rFonts w:hint="eastAsia" w:ascii="宋体" w:hAnsi="宋体" w:cs="宋体"/>
                <w:sz w:val="24"/>
              </w:rPr>
              <w:t>电子化投标文件具体制作文件请点击</w:t>
            </w:r>
            <w:r>
              <w:rPr>
                <w:rFonts w:hint="eastAsia" w:ascii="宋体" w:hAnsi="宋体"/>
                <w:sz w:val="24"/>
              </w:rPr>
              <w:t>https://download.bqpoint.com/download/downloaddetail.html?SourceFrom=Ztb&amp;ZtbSoftXiaQuCode=1506&amp;ZtbSoftType=tballinclusive</w:t>
            </w:r>
            <w:r>
              <w:rPr>
                <w:rFonts w:hint="eastAsia" w:ascii="宋体" w:hAnsi="宋体" w:cs="宋体"/>
                <w:sz w:val="24"/>
              </w:rPr>
              <w:t>进行下载。</w:t>
            </w:r>
          </w:p>
          <w:p w14:paraId="2D43B292">
            <w:pPr>
              <w:spacing w:line="360" w:lineRule="auto"/>
              <w:ind w:firstLine="241" w:firstLineChars="100"/>
              <w:rPr>
                <w:rFonts w:ascii="宋体" w:hAnsi="宋体" w:cs="宋体"/>
                <w:sz w:val="24"/>
              </w:rPr>
            </w:pPr>
            <w:r>
              <w:rPr>
                <w:rFonts w:hint="eastAsia" w:ascii="宋体" w:hAnsi="宋体" w:cs="宋体"/>
                <w:b/>
                <w:sz w:val="24"/>
              </w:rPr>
              <w:t>温馨提示：本项目为电子化、无纸化交易项目，为保证您能投标成功，请需仔细阅读以下条款。</w:t>
            </w:r>
          </w:p>
          <w:p w14:paraId="5ADAADDB">
            <w:pPr>
              <w:spacing w:line="360" w:lineRule="auto"/>
              <w:rPr>
                <w:rFonts w:ascii="宋体" w:hAnsi="宋体" w:cs="宋体"/>
                <w:b/>
                <w:sz w:val="24"/>
              </w:rPr>
            </w:pPr>
            <w:r>
              <w:rPr>
                <w:rFonts w:hint="eastAsia" w:ascii="宋体" w:hAnsi="宋体" w:cs="宋体"/>
                <w:b/>
                <w:sz w:val="24"/>
              </w:rPr>
              <w:t>一、电子化投标</w:t>
            </w:r>
          </w:p>
          <w:p w14:paraId="671AB98A">
            <w:pPr>
              <w:spacing w:line="360" w:lineRule="auto"/>
              <w:rPr>
                <w:rFonts w:ascii="宋体" w:hAnsi="宋体" w:cs="宋体"/>
                <w:sz w:val="24"/>
              </w:rPr>
            </w:pPr>
            <w:r>
              <w:rPr>
                <w:rFonts w:hint="eastAsia" w:ascii="宋体" w:hAnsi="宋体" w:cs="宋体"/>
                <w:sz w:val="24"/>
              </w:rPr>
              <w:t>（一）网上投标保证金的缴纳</w:t>
            </w:r>
          </w:p>
          <w:p w14:paraId="549F79BC">
            <w:pPr>
              <w:spacing w:line="460" w:lineRule="exact"/>
              <w:ind w:firstLine="237" w:firstLineChars="99"/>
              <w:rPr>
                <w:rFonts w:ascii="宋体" w:hAnsi="宋体"/>
                <w:sz w:val="24"/>
                <w:szCs w:val="24"/>
              </w:rPr>
            </w:pPr>
            <w:r>
              <w:rPr>
                <w:rFonts w:hint="eastAsia" w:ascii="宋体" w:hAnsi="宋体"/>
                <w:sz w:val="24"/>
                <w:szCs w:val="24"/>
              </w:rPr>
              <w:t>1、递交形式: 投标人的投标保证金必须通过投标人的基本账户转账的形式缴纳</w:t>
            </w:r>
            <w:r>
              <w:rPr>
                <w:rFonts w:hint="eastAsia" w:ascii="宋体" w:hAnsi="宋体" w:cs="宋体"/>
                <w:sz w:val="24"/>
              </w:rPr>
              <w:t>（账户必须是已加入三门峡市公共资源交易投标人或供应商主体库中的账户）</w:t>
            </w:r>
            <w:r>
              <w:rPr>
                <w:rFonts w:hint="eastAsia" w:ascii="宋体" w:hAnsi="宋体"/>
                <w:sz w:val="24"/>
                <w:szCs w:val="24"/>
              </w:rPr>
              <w:t xml:space="preserve">。      </w:t>
            </w:r>
          </w:p>
          <w:p w14:paraId="394C0D70">
            <w:pPr>
              <w:widowControl/>
              <w:shd w:val="clear" w:color="auto" w:fill="FFFFFF"/>
              <w:spacing w:line="460" w:lineRule="atLeast"/>
              <w:ind w:firstLine="240" w:firstLineChars="100"/>
              <w:jc w:val="left"/>
              <w:rPr>
                <w:rFonts w:ascii="宋体" w:hAnsi="宋体"/>
                <w:sz w:val="24"/>
                <w:szCs w:val="24"/>
              </w:rPr>
            </w:pPr>
            <w:r>
              <w:rPr>
                <w:rFonts w:hint="eastAsia" w:ascii="宋体" w:hAnsi="宋体"/>
                <w:sz w:val="24"/>
                <w:szCs w:val="24"/>
              </w:rPr>
              <w:t>2、投标人在成功缴纳后，可以将银行回单制作在投标文件中，作为缴纳保证金的依据。</w:t>
            </w:r>
          </w:p>
          <w:p w14:paraId="7C32041B">
            <w:pPr>
              <w:widowControl/>
              <w:shd w:val="clear" w:color="auto" w:fill="FFFFFF"/>
              <w:spacing w:line="460" w:lineRule="atLeast"/>
              <w:ind w:firstLine="240" w:firstLineChars="100"/>
              <w:jc w:val="left"/>
              <w:rPr>
                <w:rFonts w:ascii="宋体" w:hAnsi="宋体"/>
                <w:sz w:val="24"/>
                <w:szCs w:val="24"/>
              </w:rPr>
            </w:pPr>
            <w:r>
              <w:rPr>
                <w:rFonts w:hint="eastAsia" w:ascii="宋体" w:hAnsi="宋体"/>
                <w:sz w:val="24"/>
                <w:szCs w:val="24"/>
              </w:rPr>
              <w:t>3、投标人应仔细阅读操作手册并</w:t>
            </w:r>
            <w:r>
              <w:rPr>
                <w:rFonts w:hint="eastAsia" w:ascii="宋体" w:hAnsi="宋体"/>
                <w:b/>
                <w:sz w:val="24"/>
                <w:szCs w:val="24"/>
              </w:rPr>
              <w:t>充分考虑异地跨行转账到账时间等因素</w:t>
            </w:r>
            <w:r>
              <w:rPr>
                <w:rFonts w:hint="eastAsia" w:ascii="宋体" w:hAnsi="宋体"/>
                <w:sz w:val="24"/>
                <w:szCs w:val="24"/>
              </w:rPr>
              <w:t>，因投标人操作不当或银行到账时间等问题造成开标时间未到达指定账户影响投标的，由投标人自行承担后果。</w:t>
            </w:r>
          </w:p>
          <w:p w14:paraId="0C9D0E32">
            <w:pPr>
              <w:widowControl/>
              <w:shd w:val="clear" w:color="auto" w:fill="FFFFFF"/>
              <w:spacing w:line="460" w:lineRule="atLeast"/>
              <w:ind w:firstLine="240" w:firstLineChars="100"/>
              <w:jc w:val="left"/>
              <w:rPr>
                <w:rFonts w:ascii="宋体" w:hAnsi="宋体"/>
                <w:sz w:val="24"/>
                <w:szCs w:val="24"/>
              </w:rPr>
            </w:pPr>
            <w:r>
              <w:rPr>
                <w:rFonts w:hint="eastAsia" w:ascii="宋体" w:hAnsi="宋体"/>
                <w:sz w:val="24"/>
                <w:szCs w:val="24"/>
              </w:rPr>
              <w:t>4、未中标投标人的投标保证金在项目结束后，将通过中心交易平台退还。</w:t>
            </w:r>
          </w:p>
          <w:p w14:paraId="5D74D54F">
            <w:pPr>
              <w:spacing w:line="360" w:lineRule="auto"/>
              <w:rPr>
                <w:rFonts w:ascii="宋体" w:hAnsi="宋体" w:cs="宋体"/>
                <w:sz w:val="24"/>
              </w:rPr>
            </w:pPr>
            <w:r>
              <w:rPr>
                <w:rFonts w:hint="eastAsia" w:ascii="宋体" w:hAnsi="宋体" w:cs="宋体"/>
                <w:sz w:val="24"/>
              </w:rPr>
              <w:t>（二）电子化投标文件的签章</w:t>
            </w:r>
          </w:p>
          <w:p w14:paraId="779FB27D">
            <w:pPr>
              <w:spacing w:line="360" w:lineRule="auto"/>
              <w:ind w:firstLine="240" w:firstLineChars="100"/>
              <w:rPr>
                <w:rFonts w:ascii="宋体" w:hAnsi="宋体" w:cs="宋体"/>
                <w:sz w:val="24"/>
              </w:rPr>
            </w:pPr>
            <w:r>
              <w:rPr>
                <w:rFonts w:hint="eastAsia" w:ascii="宋体" w:hAnsi="宋体" w:cs="宋体"/>
                <w:sz w:val="24"/>
              </w:rPr>
              <w:t>1、投标人在生成电子化投标文件后，应对电子化投标文件进行签章，未进行签章的视为无效投标。</w:t>
            </w:r>
          </w:p>
          <w:p w14:paraId="4113F17D">
            <w:pPr>
              <w:spacing w:line="360" w:lineRule="auto"/>
              <w:ind w:firstLine="240" w:firstLineChars="100"/>
              <w:rPr>
                <w:rFonts w:ascii="宋体" w:hAnsi="宋体" w:cs="宋体"/>
                <w:sz w:val="24"/>
              </w:rPr>
            </w:pPr>
            <w:r>
              <w:rPr>
                <w:rFonts w:hint="eastAsia" w:ascii="宋体" w:hAnsi="宋体" w:cs="宋体"/>
                <w:sz w:val="24"/>
              </w:rPr>
              <w:t>2、</w:t>
            </w:r>
            <w:r>
              <w:rPr>
                <w:rFonts w:hint="eastAsia" w:ascii="宋体" w:hAnsi="宋体" w:cs="宋体"/>
                <w:sz w:val="24"/>
                <w:szCs w:val="24"/>
              </w:rPr>
              <w:t>招标文件中要求盖单位章的位置供应商应使用CA数字证书签盖供应商的单位电子印章；要求法定代表人签字或盖章的地方，投标人应使用CA数字证书签盖法定代表人的个人电子印章为准。要求委托代理人签字的，需委托代理人签字，并加盖法定代表人的个人电子签章；要求委托代理人盖章的，以CA数字证书的法定代表人的个人电子印章为准</w:t>
            </w:r>
            <w:r>
              <w:rPr>
                <w:rFonts w:hint="eastAsia" w:ascii="宋体" w:hAnsi="宋体"/>
                <w:sz w:val="24"/>
                <w:szCs w:val="24"/>
              </w:rPr>
              <w:t>。</w:t>
            </w:r>
          </w:p>
          <w:p w14:paraId="5960C64D">
            <w:pPr>
              <w:spacing w:line="360" w:lineRule="auto"/>
              <w:rPr>
                <w:rFonts w:ascii="宋体" w:hAnsi="宋体" w:cs="宋体"/>
                <w:b/>
                <w:sz w:val="24"/>
              </w:rPr>
            </w:pPr>
            <w:r>
              <w:rPr>
                <w:rFonts w:hint="eastAsia" w:ascii="宋体" w:hAnsi="宋体" w:cs="宋体"/>
                <w:sz w:val="24"/>
              </w:rPr>
              <w:t>（三）电子化投标文件的格式及上传投标</w:t>
            </w:r>
          </w:p>
          <w:p w14:paraId="22C0E497">
            <w:pPr>
              <w:spacing w:line="360" w:lineRule="auto"/>
              <w:ind w:firstLine="573"/>
              <w:rPr>
                <w:rFonts w:ascii="宋体" w:hAnsi="宋体" w:cs="宋体"/>
                <w:sz w:val="24"/>
              </w:rPr>
            </w:pPr>
            <w:r>
              <w:rPr>
                <w:rFonts w:hint="eastAsia" w:ascii="宋体" w:hAnsi="宋体" w:cs="宋体"/>
                <w:sz w:val="24"/>
              </w:rPr>
              <w:t>1、投标人所上传的电子化投标文件，应是通过中心投标文件制作系统制作的（投标文件制作工具下载地址：</w:t>
            </w:r>
            <w:r>
              <w:rPr>
                <w:rFonts w:hint="eastAsia" w:ascii="宋体" w:hAnsi="宋体"/>
                <w:sz w:val="24"/>
              </w:rPr>
              <w:t>https://download.bqpoint.com/download/downloaddetail.html?SourceFrom=Ztb&amp;ZtbSoftXiaQuCode=1506&amp;ZtbSoftType=tballinclusive</w:t>
            </w:r>
            <w:r>
              <w:rPr>
                <w:rFonts w:hint="eastAsia" w:ascii="宋体" w:hAnsi="宋体" w:cs="宋体"/>
                <w:sz w:val="24"/>
              </w:rPr>
              <w:t>），经过签章和加密后生成的电子版投标文件。其中包含用于投标文件上传的主文件（后缀为.smxtf）和用于应急补救的投标文件备份文件（后缀为.nsmxtf）。备份文件主要用于电子化开标出现技术问题后的补救。</w:t>
            </w:r>
          </w:p>
          <w:p w14:paraId="4009B915">
            <w:pPr>
              <w:spacing w:line="360" w:lineRule="auto"/>
              <w:ind w:firstLine="573"/>
              <w:rPr>
                <w:rFonts w:ascii="宋体" w:hAnsi="宋体" w:cs="宋体"/>
                <w:b/>
                <w:sz w:val="24"/>
              </w:rPr>
            </w:pPr>
            <w:r>
              <w:rPr>
                <w:rFonts w:hint="eastAsia" w:ascii="宋体" w:hAnsi="宋体" w:cs="宋体"/>
                <w:b/>
                <w:sz w:val="24"/>
              </w:rPr>
              <w:t>注：投标人投报多个标段的，需要每个标段单独制作电子投标文件。</w:t>
            </w:r>
          </w:p>
          <w:p w14:paraId="62D75E0F">
            <w:pPr>
              <w:spacing w:line="360" w:lineRule="auto"/>
              <w:ind w:firstLine="573"/>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193830A0">
            <w:pPr>
              <w:spacing w:line="360" w:lineRule="auto"/>
              <w:ind w:firstLine="573"/>
              <w:rPr>
                <w:rFonts w:ascii="宋体" w:hAnsi="宋体" w:cs="宋体"/>
                <w:sz w:val="24"/>
              </w:rPr>
            </w:pPr>
            <w:r>
              <w:rPr>
                <w:rFonts w:hint="eastAsia" w:ascii="宋体" w:hAnsi="宋体" w:cs="宋体"/>
                <w:b/>
                <w:sz w:val="24"/>
              </w:rPr>
              <w:t>注：</w:t>
            </w:r>
            <w:r>
              <w:rPr>
                <w:rFonts w:hint="eastAsia" w:ascii="宋体" w:hAnsi="宋体" w:cs="宋体"/>
                <w:sz w:val="24"/>
              </w:rPr>
              <w:t>如按照电子化投标操作教材制作完成的电子化投标文件无法上传的，投标人应在</w:t>
            </w:r>
            <w:r>
              <w:rPr>
                <w:rFonts w:hint="eastAsia" w:ascii="宋体" w:hAnsi="宋体" w:cs="宋体"/>
                <w:b/>
                <w:sz w:val="24"/>
              </w:rPr>
              <w:t>投标截止时间前尽早的</w:t>
            </w:r>
            <w:r>
              <w:rPr>
                <w:rFonts w:hint="eastAsia" w:ascii="宋体" w:hAnsi="宋体" w:cs="宋体"/>
                <w:sz w:val="24"/>
              </w:rPr>
              <w:t>联系中心技术人员，以便有充分的时间进行处理。</w:t>
            </w:r>
            <w:r>
              <w:rPr>
                <w:rFonts w:hint="eastAsia" w:ascii="宋体" w:hAnsi="宋体" w:cs="宋体"/>
                <w:b/>
                <w:sz w:val="24"/>
              </w:rPr>
              <w:t>投标人应充分考虑到处理技术问题和上传数据等工作所需的时间问题，投标文件未在投标截止时间前成功上传的，其投标文件不予接收。</w:t>
            </w:r>
          </w:p>
          <w:p w14:paraId="248A14ED">
            <w:pPr>
              <w:spacing w:line="360" w:lineRule="auto"/>
              <w:ind w:left="1680" w:hanging="1680" w:hangingChars="700"/>
              <w:rPr>
                <w:rFonts w:ascii="宋体" w:hAnsi="宋体" w:cs="宋体"/>
                <w:sz w:val="24"/>
              </w:rPr>
            </w:pPr>
            <w:r>
              <w:rPr>
                <w:rFonts w:hint="eastAsia" w:ascii="宋体" w:hAnsi="宋体" w:cs="宋体"/>
                <w:sz w:val="24"/>
              </w:rPr>
              <w:t>技术联系电话：400-998-0000</w:t>
            </w:r>
          </w:p>
          <w:p w14:paraId="206DF771">
            <w:pPr>
              <w:spacing w:line="360" w:lineRule="auto"/>
              <w:rPr>
                <w:rFonts w:ascii="宋体" w:hAnsi="宋体" w:cs="宋体"/>
                <w:sz w:val="24"/>
              </w:rPr>
            </w:pPr>
            <w:r>
              <w:rPr>
                <w:rFonts w:hint="eastAsia" w:ascii="宋体" w:hAnsi="宋体" w:cs="宋体"/>
                <w:sz w:val="24"/>
              </w:rPr>
              <w:t>（四）电子化项目开标、解密、唱标、评标</w:t>
            </w:r>
          </w:p>
          <w:p w14:paraId="27FDBCC8">
            <w:pPr>
              <w:spacing w:line="360" w:lineRule="auto"/>
              <w:ind w:firstLine="573"/>
              <w:rPr>
                <w:rFonts w:ascii="宋体" w:hAnsi="宋体" w:cs="宋体"/>
                <w:sz w:val="24"/>
              </w:rPr>
            </w:pPr>
            <w:r>
              <w:rPr>
                <w:rFonts w:hint="eastAsia" w:ascii="宋体" w:hAnsi="宋体" w:cs="宋体"/>
                <w:sz w:val="24"/>
              </w:rPr>
              <w:t>1、本项目采用</w:t>
            </w:r>
            <w:r>
              <w:rPr>
                <w:rFonts w:hint="eastAsia" w:ascii="宋体" w:hAnsi="宋体" w:cs="宋体"/>
                <w:b/>
                <w:sz w:val="24"/>
              </w:rPr>
              <w:t>电子化、无纸化</w:t>
            </w:r>
            <w:r>
              <w:rPr>
                <w:rFonts w:hint="eastAsia" w:ascii="宋体" w:hAnsi="宋体" w:cs="宋体"/>
                <w:sz w:val="24"/>
              </w:rPr>
              <w:t>进行招标，开标当日，投标人无需到开标现场参加开标会议，投标人应当在投标截止时间前，登陆不见面开标大厅选择登陆三门峡市公共资源电子招投标系统进行登陆（网址为http://t.cn/A6huPROa）,在线准时参加开标活动并进行投标文件解密等</w:t>
            </w:r>
          </w:p>
          <w:p w14:paraId="1C488AAF">
            <w:pPr>
              <w:spacing w:line="360" w:lineRule="auto"/>
              <w:ind w:firstLine="573"/>
              <w:rPr>
                <w:rFonts w:ascii="宋体" w:hAnsi="宋体" w:cs="宋体"/>
                <w:sz w:val="24"/>
              </w:rPr>
            </w:pPr>
            <w:r>
              <w:rPr>
                <w:rFonts w:hint="eastAsia" w:ascii="宋体" w:hAnsi="宋体" w:cs="宋体"/>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1F3D12B4">
            <w:pPr>
              <w:spacing w:line="360" w:lineRule="auto"/>
              <w:ind w:firstLine="573"/>
              <w:rPr>
                <w:rFonts w:ascii="宋体" w:hAnsi="宋体" w:cs="宋体"/>
                <w:b/>
                <w:sz w:val="24"/>
              </w:rPr>
            </w:pPr>
            <w:r>
              <w:rPr>
                <w:rFonts w:hint="eastAsia" w:ascii="宋体" w:hAnsi="宋体" w:cs="宋体"/>
                <w:sz w:val="24"/>
              </w:rPr>
              <w:t>3、电子化投标文件解密异常的处理</w:t>
            </w:r>
          </w:p>
          <w:p w14:paraId="4166D9F1">
            <w:pPr>
              <w:spacing w:line="360" w:lineRule="auto"/>
              <w:ind w:firstLine="480" w:firstLineChars="200"/>
              <w:rPr>
                <w:rFonts w:ascii="宋体" w:hAnsi="宋体" w:cs="宋体"/>
                <w:sz w:val="24"/>
              </w:rPr>
            </w:pPr>
            <w:r>
              <w:rPr>
                <w:rFonts w:hint="eastAsia" w:ascii="宋体" w:hAnsi="宋体" w:cs="宋体"/>
                <w:sz w:val="24"/>
              </w:rPr>
              <w:t>如出现投标人的电子投标文件无法解密等异常情况，投标人应及时致电中介服务机构说明。投标文件异常，按以下步骤进行处理：</w:t>
            </w:r>
          </w:p>
          <w:p w14:paraId="67838833">
            <w:pPr>
              <w:spacing w:line="360" w:lineRule="auto"/>
              <w:ind w:firstLine="573"/>
              <w:rPr>
                <w:rFonts w:ascii="宋体" w:hAnsi="宋体" w:cs="宋体"/>
                <w:sz w:val="24"/>
              </w:rPr>
            </w:pPr>
            <w:r>
              <w:rPr>
                <w:rFonts w:hint="eastAsia" w:ascii="宋体" w:hAnsi="宋体" w:cs="宋体"/>
                <w:sz w:val="24"/>
              </w:rPr>
              <w:t>（1）首先由技术人员进行问题排查。</w:t>
            </w:r>
          </w:p>
          <w:p w14:paraId="178A6747">
            <w:pPr>
              <w:spacing w:line="360" w:lineRule="auto"/>
              <w:ind w:firstLine="573"/>
              <w:rPr>
                <w:rFonts w:ascii="宋体" w:hAnsi="宋体" w:cs="宋体"/>
                <w:sz w:val="24"/>
              </w:rPr>
            </w:pPr>
            <w:r>
              <w:rPr>
                <w:rFonts w:hint="eastAsia" w:ascii="宋体" w:hAnsi="宋体" w:cs="宋体"/>
                <w:sz w:val="24"/>
              </w:rPr>
              <w:t>（2）经技术人员排查后，是投标人文件自身问题导致投标文件无法解密的，该投标文件将不予接收、解密和唱标。开标会议继续进行。</w:t>
            </w:r>
          </w:p>
          <w:p w14:paraId="5AEE5C85">
            <w:pPr>
              <w:spacing w:line="360" w:lineRule="auto"/>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C2A67FD">
            <w:pPr>
              <w:spacing w:line="360" w:lineRule="auto"/>
              <w:ind w:firstLine="573"/>
              <w:rPr>
                <w:rFonts w:ascii="宋体" w:hAnsi="宋体" w:cs="宋体"/>
                <w:sz w:val="24"/>
              </w:rPr>
            </w:pPr>
            <w:r>
              <w:rPr>
                <w:rFonts w:hint="eastAsia" w:ascii="宋体" w:hAnsi="宋体" w:cs="宋体"/>
                <w:sz w:val="24"/>
              </w:rPr>
              <w:t>4、待所有投标人投标文件解密完成后，由中介服务机构操作，对所有已解密投标文件进行唱标。</w:t>
            </w:r>
          </w:p>
          <w:p w14:paraId="33ABB9F7">
            <w:pPr>
              <w:spacing w:line="360" w:lineRule="auto"/>
              <w:ind w:firstLine="573"/>
              <w:rPr>
                <w:rFonts w:ascii="宋体" w:hAnsi="宋体" w:cs="宋体"/>
                <w:sz w:val="24"/>
              </w:rPr>
            </w:pPr>
            <w:r>
              <w:rPr>
                <w:rFonts w:hint="eastAsia" w:ascii="宋体" w:hAnsi="宋体" w:cs="宋体"/>
                <w:b/>
                <w:sz w:val="24"/>
              </w:rPr>
              <w:t>投标人应保证在开标期间电话、电脑、网络能够正常工作，投标人因停电、电脑病毒、网络堵塞等原因，未在规定的解密时间内对投标文件进行解密的，其投标文件不予接收、唱标。</w:t>
            </w:r>
          </w:p>
          <w:p w14:paraId="3C104B38">
            <w:pPr>
              <w:spacing w:line="360" w:lineRule="auto"/>
              <w:ind w:firstLine="573"/>
              <w:rPr>
                <w:rFonts w:ascii="宋体" w:hAnsi="宋体" w:cs="宋体"/>
                <w:sz w:val="24"/>
              </w:rPr>
            </w:pPr>
            <w:r>
              <w:rPr>
                <w:rFonts w:hint="eastAsia" w:ascii="宋体" w:hAnsi="宋体" w:cs="宋体"/>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562ECE28">
            <w:pPr>
              <w:spacing w:line="360" w:lineRule="auto"/>
              <w:ind w:firstLine="573"/>
              <w:rPr>
                <w:rFonts w:ascii="宋体" w:hAnsi="宋体" w:cs="宋体"/>
                <w:sz w:val="24"/>
              </w:rPr>
            </w:pPr>
            <w:r>
              <w:rPr>
                <w:rFonts w:hint="eastAsia" w:ascii="宋体" w:hAnsi="宋体" w:cs="宋体"/>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04076238">
            <w:pPr>
              <w:spacing w:line="360" w:lineRule="auto"/>
              <w:ind w:firstLine="573"/>
              <w:rPr>
                <w:rFonts w:ascii="宋体" w:hAnsi="宋体" w:cs="宋体"/>
                <w:sz w:val="24"/>
              </w:rPr>
            </w:pPr>
            <w:r>
              <w:rPr>
                <w:rFonts w:hint="eastAsia" w:ascii="宋体" w:hAnsi="宋体" w:cs="宋体"/>
                <w:sz w:val="24"/>
              </w:rPr>
              <w:t>7、如评标委员会对需要回复的投标人连续三次致电未接通的，视为投标人放弃回复，评标委员会将自行对需要回复的内容进行认定。</w:t>
            </w:r>
          </w:p>
          <w:p w14:paraId="0412891D">
            <w:pPr>
              <w:spacing w:line="360" w:lineRule="auto"/>
              <w:rPr>
                <w:rFonts w:ascii="宋体" w:hAnsi="宋体" w:cs="宋体"/>
                <w:b/>
                <w:bCs/>
                <w:sz w:val="24"/>
              </w:rPr>
            </w:pPr>
            <w:r>
              <w:rPr>
                <w:rFonts w:hint="eastAsia" w:ascii="宋体" w:hAnsi="宋体" w:cs="宋体"/>
                <w:b/>
                <w:bCs/>
                <w:sz w:val="24"/>
              </w:rPr>
              <w:t>二、相关证书原件的提交</w:t>
            </w:r>
          </w:p>
          <w:p w14:paraId="732C9B4C">
            <w:pPr>
              <w:spacing w:line="360" w:lineRule="auto"/>
              <w:ind w:firstLine="484" w:firstLineChars="202"/>
              <w:rPr>
                <w:rFonts w:ascii="宋体" w:hAnsi="宋体"/>
                <w:sz w:val="24"/>
                <w:szCs w:val="28"/>
              </w:rPr>
            </w:pPr>
            <w:r>
              <w:rPr>
                <w:rFonts w:hint="eastAsia" w:ascii="宋体" w:hAnsi="宋体"/>
                <w:sz w:val="24"/>
                <w:szCs w:val="28"/>
              </w:rPr>
              <w:t>1、</w:t>
            </w:r>
            <w:r>
              <w:rPr>
                <w:rFonts w:hint="eastAsia" w:ascii="宋体" w:hAnsi="宋体"/>
                <w:b/>
                <w:bCs/>
                <w:sz w:val="24"/>
                <w:szCs w:val="28"/>
              </w:rPr>
              <w:t>本项目实行资格后审，资格评审以投标文件为准，其资料真实性由投标人自行承担。</w:t>
            </w:r>
          </w:p>
          <w:p w14:paraId="7B03642A">
            <w:pPr>
              <w:wordWrap w:val="0"/>
              <w:spacing w:line="360" w:lineRule="auto"/>
              <w:ind w:firstLine="484" w:firstLineChars="201"/>
              <w:rPr>
                <w:rFonts w:ascii="宋体" w:hAnsi="宋体"/>
                <w:b/>
                <w:bCs/>
                <w:sz w:val="24"/>
                <w:szCs w:val="24"/>
              </w:rPr>
            </w:pPr>
            <w:r>
              <w:rPr>
                <w:rFonts w:hint="eastAsia" w:ascii="宋体" w:hAnsi="宋体"/>
                <w:b/>
                <w:bCs/>
                <w:sz w:val="24"/>
                <w:szCs w:val="24"/>
              </w:rPr>
              <w:t>2、评标打分部分：评标打分部分按照合格制原则进行，涉及到资格审查、企业荣誉、人员业绩、企业业绩等计分部分时，以投标人自行上传到投标文件中的相应内容为准。</w:t>
            </w:r>
          </w:p>
          <w:p w14:paraId="072A602B">
            <w:pPr>
              <w:wordWrap w:val="0"/>
              <w:spacing w:line="360" w:lineRule="auto"/>
              <w:ind w:firstLine="484" w:firstLineChars="201"/>
              <w:rPr>
                <w:b/>
                <w:bCs/>
              </w:rPr>
            </w:pPr>
            <w:r>
              <w:rPr>
                <w:rFonts w:hint="eastAsia" w:ascii="宋体" w:hAnsi="宋体"/>
                <w:b/>
                <w:bCs/>
                <w:sz w:val="24"/>
                <w:szCs w:val="24"/>
              </w:rPr>
              <w:t>3、 投标人按照投标文件格式进行投标文件编制，在投标文件编制时，应明确将投标人企业基本情况、资质情况、人员情况、财务情况、业绩情况等信息编入投标文件，便于进行资格审查及评标。</w:t>
            </w:r>
          </w:p>
          <w:p w14:paraId="068ECFB3">
            <w:pPr>
              <w:tabs>
                <w:tab w:val="left" w:pos="4830"/>
              </w:tabs>
              <w:spacing w:line="460" w:lineRule="exact"/>
              <w:rPr>
                <w:rFonts w:ascii="宋体" w:hAnsi="宋体"/>
                <w:sz w:val="24"/>
                <w:szCs w:val="24"/>
              </w:rPr>
            </w:pPr>
            <w:r>
              <w:rPr>
                <w:rFonts w:hint="eastAsia" w:ascii="宋体" w:hAnsi="宋体" w:cs="宋体"/>
                <w:b/>
                <w:sz w:val="24"/>
              </w:rPr>
              <w:t>提示：本项目为电子化、无纸化交易项目，为保证您能投标成功，请需仔细阅读以上条款。</w:t>
            </w:r>
          </w:p>
        </w:tc>
      </w:tr>
    </w:tbl>
    <w:p w14:paraId="01E75D3E">
      <w:pPr>
        <w:rPr>
          <w:rFonts w:ascii="宋体" w:hAnsi="宋体"/>
        </w:rPr>
      </w:pPr>
      <w:bookmarkStart w:id="30" w:name="_Toc247085689"/>
      <w:bookmarkStart w:id="31" w:name="_Toc152045529"/>
      <w:bookmarkStart w:id="32" w:name="_Toc246996918"/>
      <w:bookmarkStart w:id="33" w:name="_Toc296602420"/>
      <w:bookmarkStart w:id="34" w:name="_Toc179632546"/>
      <w:bookmarkStart w:id="35" w:name="_Toc152042305"/>
      <w:bookmarkStart w:id="36" w:name="_Toc14149"/>
      <w:bookmarkStart w:id="37" w:name="_Toc246996175"/>
      <w:bookmarkStart w:id="38" w:name="_Toc6659"/>
      <w:bookmarkStart w:id="39" w:name="_Toc144974497"/>
    </w:p>
    <w:p w14:paraId="34470EBD">
      <w:pPr>
        <w:rPr>
          <w:rFonts w:ascii="宋体" w:hAnsi="宋体"/>
        </w:rPr>
      </w:pPr>
    </w:p>
    <w:p w14:paraId="7FCC9F92">
      <w:pPr>
        <w:rPr>
          <w:rFonts w:ascii="宋体" w:hAnsi="宋体"/>
        </w:rPr>
      </w:pPr>
      <w:r>
        <w:rPr>
          <w:rFonts w:hint="eastAsia" w:ascii="宋体" w:hAnsi="宋体"/>
        </w:rPr>
        <w:br w:type="page"/>
      </w:r>
    </w:p>
    <w:p w14:paraId="66A0EECE">
      <w:pPr>
        <w:pStyle w:val="3"/>
        <w:spacing w:before="0" w:after="0" w:line="360" w:lineRule="auto"/>
        <w:rPr>
          <w:rFonts w:ascii="宋体" w:hAnsi="宋体"/>
        </w:rPr>
      </w:pPr>
      <w:r>
        <w:rPr>
          <w:rFonts w:hint="eastAsia" w:ascii="宋体" w:hAnsi="宋体"/>
        </w:rPr>
        <w:t>1. 总则</w:t>
      </w:r>
      <w:bookmarkEnd w:id="30"/>
      <w:bookmarkEnd w:id="31"/>
      <w:bookmarkEnd w:id="32"/>
      <w:bookmarkEnd w:id="33"/>
      <w:bookmarkEnd w:id="34"/>
      <w:bookmarkEnd w:id="35"/>
      <w:bookmarkEnd w:id="36"/>
      <w:bookmarkEnd w:id="37"/>
      <w:bookmarkEnd w:id="38"/>
      <w:bookmarkEnd w:id="39"/>
    </w:p>
    <w:p w14:paraId="02826C74">
      <w:pPr>
        <w:pStyle w:val="4"/>
        <w:spacing w:before="0" w:after="0" w:line="360" w:lineRule="auto"/>
        <w:rPr>
          <w:rFonts w:ascii="宋体" w:hAnsi="宋体"/>
        </w:rPr>
      </w:pPr>
      <w:bookmarkStart w:id="40" w:name="_Toc246996919"/>
      <w:bookmarkStart w:id="41" w:name="_Toc152045530"/>
      <w:bookmarkStart w:id="42" w:name="_Toc179632547"/>
      <w:bookmarkStart w:id="43" w:name="_Toc296602421"/>
      <w:bookmarkStart w:id="44" w:name="_Toc144974498"/>
      <w:bookmarkStart w:id="45" w:name="_Toc152042306"/>
      <w:bookmarkStart w:id="46" w:name="_Toc246996176"/>
      <w:bookmarkStart w:id="47" w:name="_Toc247085690"/>
      <w:r>
        <w:rPr>
          <w:rFonts w:hint="eastAsia" w:ascii="宋体" w:hAnsi="宋体"/>
        </w:rPr>
        <w:t>1.1 项目概况</w:t>
      </w:r>
      <w:bookmarkEnd w:id="40"/>
      <w:bookmarkEnd w:id="41"/>
      <w:bookmarkEnd w:id="42"/>
      <w:bookmarkEnd w:id="43"/>
      <w:bookmarkEnd w:id="44"/>
      <w:bookmarkEnd w:id="45"/>
      <w:bookmarkEnd w:id="46"/>
      <w:bookmarkEnd w:id="47"/>
    </w:p>
    <w:p w14:paraId="25636DDD">
      <w:pPr>
        <w:spacing w:line="360" w:lineRule="auto"/>
        <w:ind w:firstLine="480" w:firstLineChars="200"/>
        <w:rPr>
          <w:rFonts w:ascii="宋体" w:hAnsi="宋体"/>
          <w:sz w:val="24"/>
          <w:szCs w:val="28"/>
        </w:rPr>
      </w:pPr>
      <w:r>
        <w:rPr>
          <w:rFonts w:hint="eastAsia" w:ascii="宋体" w:hAnsi="宋体"/>
          <w:sz w:val="24"/>
          <w:szCs w:val="28"/>
        </w:rPr>
        <w:t>1.1.1根据《中华人民共和国招标投标法》、《中华人民共和国招标投标法实施条例》《公路工程建设项目招标投标管理办法》等有关法律、法规和规章的规定，本招标项目已具备招标条件，现对本项目进行公开招标。</w:t>
      </w:r>
    </w:p>
    <w:p w14:paraId="31867B3F">
      <w:pPr>
        <w:spacing w:line="360" w:lineRule="auto"/>
        <w:ind w:firstLine="480" w:firstLineChars="200"/>
        <w:rPr>
          <w:rFonts w:ascii="宋体" w:hAnsi="宋体"/>
          <w:sz w:val="24"/>
          <w:szCs w:val="28"/>
        </w:rPr>
      </w:pPr>
      <w:r>
        <w:rPr>
          <w:rFonts w:hint="eastAsia" w:ascii="宋体" w:hAnsi="宋体"/>
          <w:sz w:val="24"/>
          <w:szCs w:val="28"/>
        </w:rPr>
        <w:t>1.1.2 本招标项目招标人：见投标人须知前附表</w:t>
      </w:r>
    </w:p>
    <w:p w14:paraId="6FE391E8">
      <w:pPr>
        <w:spacing w:line="360" w:lineRule="auto"/>
        <w:ind w:firstLine="480" w:firstLineChars="200"/>
        <w:rPr>
          <w:rFonts w:ascii="宋体" w:hAnsi="宋体"/>
          <w:sz w:val="24"/>
          <w:szCs w:val="28"/>
        </w:rPr>
      </w:pPr>
      <w:r>
        <w:rPr>
          <w:rFonts w:hint="eastAsia" w:ascii="宋体" w:hAnsi="宋体"/>
          <w:sz w:val="24"/>
          <w:szCs w:val="28"/>
        </w:rPr>
        <w:t>1.1.3 本招标项目招标代理机构：见投标人须知前附表</w:t>
      </w:r>
    </w:p>
    <w:p w14:paraId="7577D3E4">
      <w:pPr>
        <w:spacing w:line="360" w:lineRule="auto"/>
        <w:ind w:firstLine="480" w:firstLineChars="200"/>
        <w:rPr>
          <w:rFonts w:ascii="宋体" w:hAnsi="宋体"/>
          <w:sz w:val="24"/>
          <w:szCs w:val="28"/>
        </w:rPr>
      </w:pPr>
      <w:r>
        <w:rPr>
          <w:rFonts w:hint="eastAsia" w:ascii="宋体" w:hAnsi="宋体"/>
          <w:sz w:val="24"/>
          <w:szCs w:val="28"/>
        </w:rPr>
        <w:t>1.1.4 本招标项目名称：见投标人须知前附表</w:t>
      </w:r>
    </w:p>
    <w:p w14:paraId="488CBB2C">
      <w:pPr>
        <w:spacing w:line="360" w:lineRule="auto"/>
        <w:ind w:firstLine="480" w:firstLineChars="200"/>
        <w:rPr>
          <w:rFonts w:ascii="宋体" w:hAnsi="宋体"/>
          <w:sz w:val="24"/>
          <w:szCs w:val="28"/>
          <w:highlight w:val="yellow"/>
        </w:rPr>
      </w:pPr>
      <w:r>
        <w:rPr>
          <w:rFonts w:hint="eastAsia" w:ascii="宋体" w:hAnsi="宋体"/>
          <w:sz w:val="24"/>
          <w:szCs w:val="28"/>
        </w:rPr>
        <w:t>1.1.5 本招标项目概况：</w:t>
      </w:r>
      <w:bookmarkStart w:id="48" w:name="_Toc152042307"/>
      <w:bookmarkStart w:id="49" w:name="_Toc296602422"/>
      <w:bookmarkStart w:id="50" w:name="_Toc144974499"/>
      <w:bookmarkStart w:id="51" w:name="_Toc152045531"/>
      <w:bookmarkStart w:id="52" w:name="_Toc179632548"/>
      <w:bookmarkStart w:id="53" w:name="_Toc246996920"/>
      <w:bookmarkStart w:id="54" w:name="_Toc246996177"/>
      <w:bookmarkStart w:id="55" w:name="_Toc247085691"/>
      <w:r>
        <w:rPr>
          <w:rFonts w:hint="eastAsia" w:ascii="宋体" w:hAnsi="宋体"/>
          <w:sz w:val="24"/>
          <w:szCs w:val="28"/>
        </w:rPr>
        <w:t>见投标人须知前附表</w:t>
      </w:r>
    </w:p>
    <w:p w14:paraId="76E52FEF">
      <w:pPr>
        <w:pStyle w:val="18"/>
        <w:spacing w:line="480" w:lineRule="exact"/>
        <w:rPr>
          <w:rFonts w:ascii="宋体" w:hAnsi="宋体" w:eastAsia="宋体" w:cs="宋体"/>
          <w:snapToGrid w:val="0"/>
          <w:color w:val="auto"/>
          <w:kern w:val="2"/>
          <w:sz w:val="24"/>
          <w:szCs w:val="22"/>
        </w:rPr>
      </w:pPr>
      <w:r>
        <w:rPr>
          <w:rFonts w:hint="eastAsia" w:ascii="宋体" w:hAnsi="宋体" w:eastAsia="宋体"/>
          <w:b/>
          <w:bCs/>
          <w:color w:val="auto"/>
          <w:sz w:val="32"/>
          <w:szCs w:val="32"/>
        </w:rPr>
        <w:t>1.2 资金来源和出资比例情况</w:t>
      </w:r>
      <w:bookmarkEnd w:id="48"/>
      <w:bookmarkEnd w:id="49"/>
      <w:bookmarkEnd w:id="50"/>
      <w:bookmarkEnd w:id="51"/>
      <w:bookmarkEnd w:id="52"/>
      <w:bookmarkEnd w:id="53"/>
      <w:bookmarkEnd w:id="54"/>
      <w:bookmarkEnd w:id="55"/>
    </w:p>
    <w:p w14:paraId="088175D0">
      <w:pPr>
        <w:spacing w:line="360" w:lineRule="auto"/>
        <w:ind w:firstLine="480" w:firstLineChars="200"/>
        <w:rPr>
          <w:rFonts w:ascii="宋体" w:hAnsi="宋体"/>
          <w:sz w:val="24"/>
          <w:szCs w:val="28"/>
        </w:rPr>
      </w:pPr>
      <w:r>
        <w:rPr>
          <w:rFonts w:hint="eastAsia" w:ascii="宋体" w:hAnsi="宋体"/>
          <w:sz w:val="24"/>
          <w:szCs w:val="28"/>
        </w:rPr>
        <w:t>1.2.1 本招标项目的资金来源：见投标人须知前附表</w:t>
      </w:r>
    </w:p>
    <w:p w14:paraId="03260360">
      <w:pPr>
        <w:spacing w:line="360" w:lineRule="auto"/>
        <w:ind w:firstLine="480" w:firstLineChars="200"/>
        <w:rPr>
          <w:rFonts w:ascii="宋体" w:hAnsi="宋体"/>
          <w:sz w:val="24"/>
          <w:szCs w:val="28"/>
        </w:rPr>
      </w:pPr>
      <w:r>
        <w:rPr>
          <w:rFonts w:hint="eastAsia" w:ascii="宋体" w:hAnsi="宋体"/>
          <w:sz w:val="24"/>
          <w:szCs w:val="28"/>
        </w:rPr>
        <w:t>1.2.2 本招标项目的出资比例情况：见投标人须知前附表</w:t>
      </w:r>
    </w:p>
    <w:p w14:paraId="702769B3">
      <w:pPr>
        <w:spacing w:line="360" w:lineRule="auto"/>
        <w:ind w:firstLine="321" w:firstLineChars="100"/>
        <w:jc w:val="left"/>
        <w:rPr>
          <w:rFonts w:ascii="宋体" w:hAnsi="宋体"/>
          <w:b/>
          <w:bCs/>
          <w:kern w:val="0"/>
          <w:sz w:val="32"/>
          <w:szCs w:val="32"/>
        </w:rPr>
      </w:pPr>
      <w:bookmarkStart w:id="56" w:name="_Toc246996921"/>
      <w:bookmarkStart w:id="57" w:name="_Toc179632549"/>
      <w:bookmarkStart w:id="58" w:name="_Toc246996178"/>
      <w:bookmarkStart w:id="59" w:name="_Toc247085692"/>
      <w:bookmarkStart w:id="60" w:name="_Toc144974500"/>
      <w:bookmarkStart w:id="61" w:name="_Toc152045532"/>
      <w:bookmarkStart w:id="62" w:name="_Toc152042308"/>
      <w:bookmarkStart w:id="63" w:name="_Toc296602423"/>
      <w:r>
        <w:rPr>
          <w:rFonts w:hint="eastAsia" w:ascii="宋体" w:hAnsi="宋体"/>
          <w:b/>
          <w:bCs/>
          <w:kern w:val="0"/>
          <w:sz w:val="32"/>
          <w:szCs w:val="32"/>
        </w:rPr>
        <w:t>1.3 招标范围、计划工期、质量要求</w:t>
      </w:r>
      <w:bookmarkEnd w:id="56"/>
      <w:bookmarkEnd w:id="57"/>
      <w:bookmarkEnd w:id="58"/>
      <w:bookmarkEnd w:id="59"/>
      <w:bookmarkEnd w:id="60"/>
      <w:bookmarkEnd w:id="61"/>
      <w:bookmarkEnd w:id="62"/>
      <w:bookmarkEnd w:id="63"/>
    </w:p>
    <w:p w14:paraId="088708CD">
      <w:pPr>
        <w:spacing w:line="360" w:lineRule="auto"/>
        <w:ind w:firstLine="480" w:firstLineChars="200"/>
        <w:rPr>
          <w:rFonts w:ascii="宋体" w:hAnsi="宋体"/>
          <w:sz w:val="24"/>
          <w:szCs w:val="28"/>
        </w:rPr>
      </w:pPr>
      <w:r>
        <w:rPr>
          <w:rFonts w:hint="eastAsia" w:ascii="宋体" w:hAnsi="宋体"/>
          <w:sz w:val="24"/>
          <w:szCs w:val="28"/>
        </w:rPr>
        <w:t>1.3.1 本次招标范围：见投标人须知前附表</w:t>
      </w:r>
    </w:p>
    <w:p w14:paraId="32A22C9D">
      <w:pPr>
        <w:spacing w:line="360" w:lineRule="auto"/>
        <w:ind w:firstLine="480" w:firstLineChars="200"/>
        <w:rPr>
          <w:rFonts w:ascii="宋体" w:hAnsi="宋体"/>
          <w:sz w:val="24"/>
          <w:szCs w:val="28"/>
        </w:rPr>
      </w:pPr>
      <w:r>
        <w:rPr>
          <w:rFonts w:hint="eastAsia" w:ascii="宋体" w:hAnsi="宋体"/>
          <w:sz w:val="24"/>
          <w:szCs w:val="28"/>
        </w:rPr>
        <w:t>1.3.2 本招标项目的计划工期：见投标人须知前附表</w:t>
      </w:r>
    </w:p>
    <w:p w14:paraId="6BF1AD9B">
      <w:pPr>
        <w:spacing w:line="360" w:lineRule="auto"/>
        <w:ind w:firstLine="480" w:firstLineChars="200"/>
        <w:rPr>
          <w:rFonts w:ascii="宋体" w:hAnsi="宋体"/>
          <w:sz w:val="24"/>
          <w:szCs w:val="28"/>
        </w:rPr>
      </w:pPr>
      <w:r>
        <w:rPr>
          <w:rFonts w:hint="eastAsia" w:ascii="宋体" w:hAnsi="宋体"/>
          <w:sz w:val="24"/>
          <w:szCs w:val="28"/>
        </w:rPr>
        <w:t>1.3.3 本招标项目的质量要求：见投标人须知前附表</w:t>
      </w:r>
    </w:p>
    <w:p w14:paraId="577B512A">
      <w:pPr>
        <w:spacing w:line="360" w:lineRule="auto"/>
        <w:ind w:firstLine="480" w:firstLineChars="200"/>
        <w:rPr>
          <w:rFonts w:ascii="宋体" w:hAnsi="宋体"/>
          <w:sz w:val="24"/>
          <w:szCs w:val="28"/>
        </w:rPr>
      </w:pPr>
      <w:r>
        <w:rPr>
          <w:rFonts w:hint="eastAsia" w:ascii="宋体" w:hAnsi="宋体"/>
          <w:sz w:val="24"/>
          <w:szCs w:val="28"/>
        </w:rPr>
        <w:t>1.3.4本招标项目的安全目标：见投标人须知前附表。</w:t>
      </w:r>
    </w:p>
    <w:p w14:paraId="6B8E26CF">
      <w:pPr>
        <w:pStyle w:val="4"/>
        <w:spacing w:before="0" w:after="0" w:line="360" w:lineRule="auto"/>
        <w:ind w:firstLine="321" w:firstLineChars="100"/>
        <w:rPr>
          <w:rFonts w:ascii="宋体" w:hAnsi="宋体"/>
        </w:rPr>
      </w:pPr>
      <w:bookmarkStart w:id="64" w:name="_Toc246996922"/>
      <w:bookmarkStart w:id="65" w:name="_Toc296602424"/>
      <w:bookmarkStart w:id="66" w:name="_Toc247085693"/>
      <w:bookmarkStart w:id="67" w:name="_Toc152045534"/>
      <w:bookmarkStart w:id="68" w:name="_Toc152042310"/>
      <w:bookmarkStart w:id="69" w:name="_Toc246996179"/>
      <w:bookmarkStart w:id="70" w:name="_Toc179632551"/>
      <w:bookmarkStart w:id="71" w:name="_Toc144974502"/>
      <w:r>
        <w:rPr>
          <w:rFonts w:hint="eastAsia" w:ascii="宋体" w:hAnsi="宋体"/>
        </w:rPr>
        <w:t>1.4 投标人资格要求</w:t>
      </w:r>
      <w:bookmarkEnd w:id="64"/>
      <w:bookmarkEnd w:id="65"/>
      <w:bookmarkEnd w:id="66"/>
      <w:bookmarkEnd w:id="67"/>
      <w:bookmarkEnd w:id="68"/>
      <w:bookmarkEnd w:id="69"/>
      <w:bookmarkEnd w:id="70"/>
      <w:bookmarkEnd w:id="71"/>
    </w:p>
    <w:p w14:paraId="50D8F23F">
      <w:pPr>
        <w:spacing w:line="360" w:lineRule="auto"/>
        <w:ind w:firstLine="410" w:firstLineChars="171"/>
        <w:rPr>
          <w:rFonts w:ascii="宋体" w:hAnsi="宋体"/>
          <w:sz w:val="24"/>
          <w:szCs w:val="28"/>
        </w:rPr>
      </w:pPr>
      <w:r>
        <w:rPr>
          <w:rFonts w:hint="eastAsia" w:ascii="宋体" w:hAnsi="宋体"/>
          <w:sz w:val="24"/>
          <w:szCs w:val="28"/>
        </w:rPr>
        <w:t>1.4.1 投标人应具备承担本项目施工的资质条件、能力和信誉等。</w:t>
      </w:r>
    </w:p>
    <w:p w14:paraId="208ADEA2">
      <w:pPr>
        <w:spacing w:line="360" w:lineRule="auto"/>
        <w:ind w:firstLine="410" w:firstLineChars="171"/>
        <w:rPr>
          <w:rFonts w:ascii="宋体" w:hAnsi="宋体"/>
          <w:sz w:val="24"/>
          <w:szCs w:val="28"/>
        </w:rPr>
      </w:pPr>
      <w:r>
        <w:rPr>
          <w:rFonts w:hint="eastAsia" w:ascii="宋体" w:hAnsi="宋体"/>
          <w:sz w:val="24"/>
          <w:szCs w:val="28"/>
        </w:rPr>
        <w:t>（1）资质要求：见投标人须知前附表；</w:t>
      </w:r>
    </w:p>
    <w:p w14:paraId="1BD23103">
      <w:pPr>
        <w:spacing w:line="360" w:lineRule="auto"/>
        <w:ind w:firstLine="410" w:firstLineChars="171"/>
        <w:rPr>
          <w:rFonts w:ascii="宋体" w:hAnsi="宋体"/>
          <w:sz w:val="24"/>
          <w:szCs w:val="28"/>
        </w:rPr>
      </w:pPr>
      <w:r>
        <w:rPr>
          <w:rFonts w:hint="eastAsia" w:ascii="宋体" w:hAnsi="宋体"/>
          <w:sz w:val="24"/>
          <w:szCs w:val="28"/>
        </w:rPr>
        <w:t>（2）信誉要求：见投标人须知前附表；</w:t>
      </w:r>
    </w:p>
    <w:p w14:paraId="29CBF82C">
      <w:pPr>
        <w:spacing w:line="360" w:lineRule="auto"/>
        <w:ind w:firstLine="410" w:firstLineChars="171"/>
        <w:rPr>
          <w:rFonts w:ascii="宋体" w:hAnsi="宋体"/>
          <w:sz w:val="24"/>
          <w:szCs w:val="28"/>
        </w:rPr>
      </w:pPr>
      <w:r>
        <w:rPr>
          <w:rFonts w:hint="eastAsia" w:ascii="宋体" w:hAnsi="宋体"/>
          <w:sz w:val="24"/>
          <w:szCs w:val="28"/>
        </w:rPr>
        <w:t>（3）项目经理和技术负责人的资格要求：具体要求见投标人须知前附表；</w:t>
      </w:r>
      <w:bookmarkStart w:id="72" w:name="page23"/>
      <w:bookmarkEnd w:id="72"/>
      <w:bookmarkStart w:id="73" w:name="_Toc179632552"/>
      <w:bookmarkStart w:id="74" w:name="_Toc144974503"/>
      <w:bookmarkStart w:id="75" w:name="_Toc152042311"/>
      <w:bookmarkStart w:id="76" w:name="_Toc152045535"/>
    </w:p>
    <w:p w14:paraId="64DE7B86">
      <w:pPr>
        <w:spacing w:line="360" w:lineRule="auto"/>
        <w:ind w:firstLine="410" w:firstLineChars="171"/>
        <w:rPr>
          <w:rFonts w:ascii="宋体" w:hAnsi="宋体"/>
          <w:sz w:val="24"/>
          <w:szCs w:val="28"/>
        </w:rPr>
      </w:pPr>
      <w:r>
        <w:rPr>
          <w:rFonts w:ascii="宋体" w:hAnsi="宋体"/>
          <w:kern w:val="0"/>
          <w:sz w:val="24"/>
          <w:szCs w:val="24"/>
        </w:rPr>
        <w:t>（4）其他要求：见投标人须知前附表。</w:t>
      </w:r>
    </w:p>
    <w:p w14:paraId="4FB24E33">
      <w:pPr>
        <w:spacing w:line="360" w:lineRule="auto"/>
        <w:ind w:firstLine="480" w:firstLineChars="200"/>
        <w:jc w:val="left"/>
        <w:rPr>
          <w:rFonts w:ascii="宋体" w:hAnsi="宋体" w:cs="宋体"/>
          <w:sz w:val="24"/>
        </w:rPr>
      </w:pPr>
      <w:r>
        <w:rPr>
          <w:rFonts w:hint="eastAsia" w:ascii="宋体" w:hAnsi="宋体" w:cs="宋体"/>
          <w:sz w:val="24"/>
        </w:rPr>
        <w:t>1.4.2</w:t>
      </w:r>
      <w:r>
        <w:rPr>
          <w:rFonts w:hint="eastAsia" w:ascii="宋体" w:hAnsi="宋体"/>
          <w:kern w:val="0"/>
          <w:sz w:val="24"/>
          <w:szCs w:val="24"/>
        </w:rPr>
        <w:t>本项目不接受联合体投标</w:t>
      </w:r>
      <w:r>
        <w:rPr>
          <w:rFonts w:hint="eastAsia" w:ascii="宋体" w:hAnsi="宋体" w:cs="宋体"/>
          <w:sz w:val="24"/>
        </w:rPr>
        <w:t>。</w:t>
      </w:r>
    </w:p>
    <w:p w14:paraId="466D90AF">
      <w:pPr>
        <w:widowControl/>
        <w:tabs>
          <w:tab w:val="left" w:pos="940"/>
        </w:tabs>
        <w:spacing w:line="360" w:lineRule="auto"/>
        <w:ind w:firstLine="480" w:firstLineChars="200"/>
        <w:jc w:val="left"/>
        <w:rPr>
          <w:rFonts w:ascii="宋体" w:hAnsi="宋体" w:cs="宋体"/>
          <w:sz w:val="24"/>
        </w:rPr>
      </w:pPr>
      <w:r>
        <w:rPr>
          <w:rFonts w:hint="eastAsia" w:ascii="宋体" w:hAnsi="宋体" w:cs="宋体"/>
          <w:sz w:val="24"/>
        </w:rPr>
        <w:t>1.4.3投标人不得存在下列情形之一：</w:t>
      </w:r>
    </w:p>
    <w:p w14:paraId="44CFDC88">
      <w:pPr>
        <w:spacing w:line="360" w:lineRule="auto"/>
        <w:ind w:right="-149" w:firstLine="480" w:firstLineChars="200"/>
        <w:jc w:val="left"/>
        <w:rPr>
          <w:rFonts w:ascii="宋体" w:hAnsi="宋体" w:cs="宋体"/>
          <w:sz w:val="24"/>
        </w:rPr>
      </w:pPr>
      <w:r>
        <w:rPr>
          <w:rFonts w:hint="eastAsia" w:ascii="宋体" w:hAnsi="宋体" w:cs="宋体"/>
          <w:sz w:val="24"/>
        </w:rPr>
        <w:t>（1）为招标人不具有独立法人资格的附属机构（单位）；</w:t>
      </w:r>
    </w:p>
    <w:p w14:paraId="0603857A">
      <w:pPr>
        <w:spacing w:line="360" w:lineRule="auto"/>
        <w:ind w:right="-149" w:firstLine="480" w:firstLineChars="200"/>
        <w:jc w:val="left"/>
        <w:rPr>
          <w:rFonts w:ascii="宋体" w:hAnsi="宋体" w:cs="宋体"/>
          <w:sz w:val="24"/>
        </w:rPr>
      </w:pPr>
      <w:r>
        <w:rPr>
          <w:rFonts w:hint="eastAsia" w:ascii="宋体" w:hAnsi="宋体" w:cs="宋体"/>
          <w:sz w:val="24"/>
        </w:rPr>
        <w:t>（2）与招标人存在利害关系且可能影响招标公正性；</w:t>
      </w:r>
    </w:p>
    <w:p w14:paraId="5C93081D">
      <w:pPr>
        <w:spacing w:line="360" w:lineRule="auto"/>
        <w:ind w:right="-149" w:firstLine="480" w:firstLineChars="200"/>
        <w:jc w:val="left"/>
        <w:rPr>
          <w:rFonts w:ascii="宋体" w:hAnsi="宋体" w:cs="宋体"/>
          <w:sz w:val="24"/>
        </w:rPr>
      </w:pPr>
      <w:r>
        <w:rPr>
          <w:rFonts w:hint="eastAsia" w:ascii="宋体" w:hAnsi="宋体" w:cs="宋体"/>
          <w:sz w:val="24"/>
        </w:rPr>
        <w:t>（3）与本招标项目的其他投标人为同一个单位负责人；</w:t>
      </w:r>
    </w:p>
    <w:p w14:paraId="1501934A">
      <w:pPr>
        <w:spacing w:line="360" w:lineRule="auto"/>
        <w:ind w:right="-149" w:firstLine="480" w:firstLineChars="200"/>
        <w:jc w:val="left"/>
        <w:rPr>
          <w:rFonts w:ascii="宋体" w:hAnsi="宋体" w:cs="宋体"/>
          <w:sz w:val="24"/>
        </w:rPr>
      </w:pPr>
      <w:r>
        <w:rPr>
          <w:rFonts w:hint="eastAsia" w:ascii="宋体" w:hAnsi="宋体" w:cs="宋体"/>
          <w:sz w:val="24"/>
        </w:rPr>
        <w:t>（4）与本招标项目的其他投标人存在控股、管理关系；</w:t>
      </w:r>
    </w:p>
    <w:p w14:paraId="70B299E0">
      <w:pPr>
        <w:spacing w:line="360" w:lineRule="auto"/>
        <w:ind w:right="-149" w:firstLine="480" w:firstLineChars="200"/>
        <w:jc w:val="left"/>
        <w:rPr>
          <w:rFonts w:ascii="宋体" w:hAnsi="宋体" w:cs="宋体"/>
          <w:sz w:val="24"/>
        </w:rPr>
      </w:pPr>
      <w:r>
        <w:rPr>
          <w:rFonts w:hint="eastAsia" w:ascii="宋体" w:hAnsi="宋体" w:cs="宋体"/>
          <w:sz w:val="24"/>
        </w:rPr>
        <w:t>（5）为本招标项目的代建人或监理人；</w:t>
      </w:r>
    </w:p>
    <w:p w14:paraId="50E2D277">
      <w:pPr>
        <w:spacing w:line="360" w:lineRule="auto"/>
        <w:ind w:right="2960" w:firstLine="480" w:firstLineChars="200"/>
        <w:jc w:val="left"/>
        <w:rPr>
          <w:rFonts w:ascii="宋体" w:hAnsi="宋体" w:cs="宋体"/>
          <w:sz w:val="24"/>
        </w:rPr>
      </w:pPr>
      <w:r>
        <w:rPr>
          <w:rFonts w:hint="eastAsia" w:ascii="宋体" w:hAnsi="宋体" w:cs="宋体"/>
          <w:sz w:val="24"/>
        </w:rPr>
        <w:t>（6）为本招标项目的招标代理机构；</w:t>
      </w:r>
    </w:p>
    <w:p w14:paraId="29ADAAA2">
      <w:pPr>
        <w:spacing w:line="360" w:lineRule="auto"/>
        <w:ind w:right="-7" w:firstLine="480" w:firstLineChars="200"/>
        <w:jc w:val="left"/>
        <w:rPr>
          <w:rFonts w:ascii="宋体" w:hAnsi="宋体" w:cs="宋体"/>
          <w:sz w:val="24"/>
        </w:rPr>
      </w:pPr>
      <w:r>
        <w:rPr>
          <w:rFonts w:hint="eastAsia" w:ascii="宋体" w:hAnsi="宋体" w:cs="宋体"/>
          <w:sz w:val="24"/>
        </w:rPr>
        <w:t>（7）与本招标项目的代建人或招标代理机构同为一个法定代表人；</w:t>
      </w:r>
    </w:p>
    <w:p w14:paraId="4D775010">
      <w:pPr>
        <w:spacing w:line="360" w:lineRule="auto"/>
        <w:ind w:right="-7" w:firstLine="480" w:firstLineChars="200"/>
        <w:jc w:val="left"/>
        <w:rPr>
          <w:rFonts w:ascii="宋体" w:hAnsi="宋体" w:cs="宋体"/>
          <w:sz w:val="24"/>
        </w:rPr>
      </w:pPr>
      <w:r>
        <w:rPr>
          <w:rFonts w:hint="eastAsia" w:ascii="宋体" w:hAnsi="宋体" w:cs="宋体"/>
          <w:sz w:val="24"/>
        </w:rPr>
        <w:t>（8）与本招标项目的代建人或招标代理机构存在控股或参股关系；</w:t>
      </w:r>
    </w:p>
    <w:p w14:paraId="2254BEB4">
      <w:pPr>
        <w:spacing w:line="360" w:lineRule="auto"/>
        <w:ind w:right="-7" w:firstLine="480" w:firstLineChars="200"/>
        <w:jc w:val="left"/>
        <w:rPr>
          <w:rFonts w:ascii="宋体" w:hAnsi="宋体" w:cs="宋体"/>
          <w:sz w:val="24"/>
        </w:rPr>
      </w:pPr>
      <w:r>
        <w:rPr>
          <w:rFonts w:hint="eastAsia" w:ascii="宋体" w:hAnsi="宋体" w:cs="宋体"/>
          <w:sz w:val="24"/>
        </w:rPr>
        <w:t>（9）被依法暂停或者取消投标资格；</w:t>
      </w:r>
    </w:p>
    <w:p w14:paraId="6D98435F">
      <w:pPr>
        <w:spacing w:line="360" w:lineRule="auto"/>
        <w:ind w:right="-7" w:firstLine="480" w:firstLineChars="200"/>
        <w:jc w:val="left"/>
        <w:rPr>
          <w:rFonts w:ascii="宋体" w:hAnsi="宋体" w:cs="宋体"/>
          <w:sz w:val="24"/>
        </w:rPr>
      </w:pPr>
      <w:r>
        <w:rPr>
          <w:rFonts w:hint="eastAsia" w:ascii="宋体" w:hAnsi="宋体" w:cs="宋体"/>
          <w:sz w:val="24"/>
        </w:rPr>
        <w:t>（10）被责令停产停业、暂扣或者吊销许可证、暂扣或者吊销执照；</w:t>
      </w:r>
    </w:p>
    <w:p w14:paraId="17868BAD">
      <w:pPr>
        <w:spacing w:line="360" w:lineRule="auto"/>
        <w:ind w:right="-7" w:firstLine="480" w:firstLineChars="200"/>
        <w:jc w:val="left"/>
        <w:rPr>
          <w:rFonts w:ascii="宋体" w:hAnsi="宋体" w:cs="宋体"/>
          <w:sz w:val="24"/>
        </w:rPr>
      </w:pPr>
      <w:r>
        <w:rPr>
          <w:rFonts w:hint="eastAsia" w:ascii="宋体" w:hAnsi="宋体" w:cs="宋体"/>
          <w:sz w:val="24"/>
        </w:rPr>
        <w:t>（11）进入清算程序，或被宣告破产，或其他丧失履约能力的情形；</w:t>
      </w:r>
    </w:p>
    <w:p w14:paraId="6023EFF9">
      <w:pPr>
        <w:pStyle w:val="4"/>
        <w:spacing w:before="0" w:after="0" w:line="360" w:lineRule="auto"/>
        <w:rPr>
          <w:rFonts w:ascii="宋体" w:hAnsi="宋体"/>
        </w:rPr>
      </w:pPr>
      <w:r>
        <w:rPr>
          <w:rFonts w:hint="eastAsia" w:ascii="宋体" w:hAnsi="宋体"/>
        </w:rPr>
        <w:t>1.5 费用承担</w:t>
      </w:r>
      <w:bookmarkEnd w:id="73"/>
      <w:bookmarkEnd w:id="74"/>
      <w:bookmarkEnd w:id="75"/>
      <w:bookmarkEnd w:id="76"/>
    </w:p>
    <w:p w14:paraId="02416FDF">
      <w:pPr>
        <w:spacing w:line="360" w:lineRule="auto"/>
        <w:ind w:firstLine="480" w:firstLineChars="200"/>
        <w:rPr>
          <w:rFonts w:ascii="宋体" w:hAnsi="宋体"/>
          <w:sz w:val="24"/>
          <w:szCs w:val="28"/>
        </w:rPr>
      </w:pPr>
      <w:r>
        <w:rPr>
          <w:rFonts w:hint="eastAsia" w:ascii="宋体" w:hAnsi="宋体"/>
          <w:sz w:val="24"/>
          <w:szCs w:val="28"/>
        </w:rPr>
        <w:t>投标人应承担其投标文件编制与递交所涉及的一切费用。在任何情况下招标人和招标代理机构对上述费用均不负担任何责任。</w:t>
      </w:r>
    </w:p>
    <w:p w14:paraId="581FC6A7">
      <w:pPr>
        <w:pStyle w:val="4"/>
        <w:spacing w:before="0" w:after="0" w:line="360" w:lineRule="auto"/>
        <w:rPr>
          <w:rFonts w:ascii="宋体" w:hAnsi="宋体"/>
        </w:rPr>
      </w:pPr>
      <w:bookmarkStart w:id="77" w:name="_Toc152042312"/>
      <w:bookmarkStart w:id="78" w:name="_Toc246996924"/>
      <w:bookmarkStart w:id="79" w:name="_Toc144974504"/>
      <w:bookmarkStart w:id="80" w:name="_Toc296602426"/>
      <w:bookmarkStart w:id="81" w:name="_Toc152045536"/>
      <w:bookmarkStart w:id="82" w:name="_Toc246996181"/>
      <w:bookmarkStart w:id="83" w:name="_Toc179632553"/>
      <w:bookmarkStart w:id="84" w:name="_Toc247085695"/>
      <w:r>
        <w:rPr>
          <w:rFonts w:hint="eastAsia" w:ascii="宋体" w:hAnsi="宋体"/>
        </w:rPr>
        <w:t>1.6 保密</w:t>
      </w:r>
      <w:bookmarkEnd w:id="77"/>
      <w:bookmarkEnd w:id="78"/>
      <w:bookmarkEnd w:id="79"/>
      <w:bookmarkEnd w:id="80"/>
      <w:bookmarkEnd w:id="81"/>
      <w:bookmarkEnd w:id="82"/>
      <w:bookmarkEnd w:id="83"/>
      <w:bookmarkEnd w:id="84"/>
    </w:p>
    <w:p w14:paraId="29D60C89">
      <w:pPr>
        <w:spacing w:line="360" w:lineRule="auto"/>
        <w:ind w:firstLine="480" w:firstLineChars="200"/>
        <w:rPr>
          <w:rFonts w:ascii="宋体" w:hAnsi="宋体"/>
        </w:rPr>
      </w:pPr>
      <w:r>
        <w:rPr>
          <w:rFonts w:hint="eastAsia" w:ascii="宋体" w:hAnsi="宋体"/>
          <w:sz w:val="24"/>
          <w:szCs w:val="28"/>
        </w:rPr>
        <w:t>参与招标投标活动的各方应对招标文件和投标文件中的商业和技术等秘密保密，违者应对由此造成的后果承担法律责任。</w:t>
      </w:r>
      <w:r>
        <w:rPr>
          <w:rFonts w:hint="eastAsia" w:ascii="宋体" w:hAnsi="宋体"/>
        </w:rPr>
        <w:t xml:space="preserve"> </w:t>
      </w:r>
    </w:p>
    <w:p w14:paraId="63D88BBF">
      <w:pPr>
        <w:pStyle w:val="4"/>
        <w:spacing w:before="0" w:after="0" w:line="360" w:lineRule="auto"/>
        <w:rPr>
          <w:rFonts w:ascii="宋体" w:hAnsi="宋体"/>
        </w:rPr>
      </w:pPr>
      <w:bookmarkStart w:id="85" w:name="_Toc144974505"/>
      <w:bookmarkStart w:id="86" w:name="_Toc152045537"/>
      <w:bookmarkStart w:id="87" w:name="_Toc246996182"/>
      <w:bookmarkStart w:id="88" w:name="_Toc296602427"/>
      <w:bookmarkStart w:id="89" w:name="_Toc246996925"/>
      <w:bookmarkStart w:id="90" w:name="_Toc179632554"/>
      <w:bookmarkStart w:id="91" w:name="_Toc247085696"/>
      <w:bookmarkStart w:id="92" w:name="_Toc152042313"/>
      <w:r>
        <w:rPr>
          <w:rFonts w:hint="eastAsia" w:ascii="宋体" w:hAnsi="宋体"/>
        </w:rPr>
        <w:t>1.7 语言</w:t>
      </w:r>
      <w:bookmarkEnd w:id="85"/>
      <w:r>
        <w:rPr>
          <w:rFonts w:hint="eastAsia" w:ascii="宋体" w:hAnsi="宋体"/>
        </w:rPr>
        <w:t>文字</w:t>
      </w:r>
      <w:bookmarkEnd w:id="86"/>
      <w:bookmarkEnd w:id="87"/>
      <w:bookmarkEnd w:id="88"/>
      <w:bookmarkEnd w:id="89"/>
      <w:bookmarkEnd w:id="90"/>
      <w:bookmarkEnd w:id="91"/>
      <w:bookmarkEnd w:id="92"/>
    </w:p>
    <w:p w14:paraId="2AC994AE">
      <w:pPr>
        <w:spacing w:line="360" w:lineRule="auto"/>
        <w:ind w:firstLine="480" w:firstLineChars="200"/>
        <w:rPr>
          <w:rFonts w:ascii="宋体" w:hAnsi="宋体"/>
        </w:rPr>
      </w:pPr>
      <w:bookmarkStart w:id="93" w:name="_Toc246996183"/>
      <w:bookmarkStart w:id="94" w:name="_Toc152045538"/>
      <w:bookmarkStart w:id="95" w:name="_Toc246996926"/>
      <w:bookmarkStart w:id="96" w:name="_Toc247085697"/>
      <w:bookmarkStart w:id="97" w:name="_Toc152042314"/>
      <w:bookmarkStart w:id="98" w:name="_Toc144974506"/>
      <w:bookmarkStart w:id="99" w:name="_Toc179632555"/>
      <w:r>
        <w:rPr>
          <w:rFonts w:hint="eastAsia" w:ascii="宋体" w:hAnsi="宋体"/>
          <w:sz w:val="24"/>
          <w:szCs w:val="28"/>
        </w:rPr>
        <w:t>招标投标文件使用的语言文字为中文。专用术语使用外文的，应附有中文注释。</w:t>
      </w:r>
    </w:p>
    <w:p w14:paraId="16FAD03A">
      <w:pPr>
        <w:pStyle w:val="4"/>
        <w:spacing w:before="0" w:after="0" w:line="360" w:lineRule="auto"/>
        <w:rPr>
          <w:rFonts w:ascii="宋体" w:hAnsi="宋体"/>
        </w:rPr>
      </w:pPr>
      <w:bookmarkStart w:id="100" w:name="_Toc296602428"/>
      <w:r>
        <w:rPr>
          <w:rFonts w:hint="eastAsia" w:ascii="宋体" w:hAnsi="宋体"/>
        </w:rPr>
        <w:t>1.8 计量单位</w:t>
      </w:r>
      <w:bookmarkEnd w:id="93"/>
      <w:bookmarkEnd w:id="94"/>
      <w:bookmarkEnd w:id="95"/>
      <w:bookmarkEnd w:id="96"/>
      <w:bookmarkEnd w:id="97"/>
      <w:bookmarkEnd w:id="98"/>
      <w:bookmarkEnd w:id="99"/>
      <w:bookmarkEnd w:id="100"/>
    </w:p>
    <w:p w14:paraId="51F6E39D">
      <w:pPr>
        <w:spacing w:line="360" w:lineRule="auto"/>
        <w:ind w:firstLine="480" w:firstLineChars="200"/>
        <w:rPr>
          <w:rFonts w:ascii="宋体" w:hAnsi="宋体"/>
        </w:rPr>
      </w:pPr>
      <w:r>
        <w:rPr>
          <w:rFonts w:hint="eastAsia" w:ascii="宋体" w:hAnsi="宋体"/>
          <w:sz w:val="24"/>
          <w:szCs w:val="28"/>
        </w:rPr>
        <w:t>所有计量均采用中华人民共和国法定计量单位。</w:t>
      </w:r>
    </w:p>
    <w:p w14:paraId="6F7441B4">
      <w:pPr>
        <w:pStyle w:val="4"/>
        <w:spacing w:before="0" w:after="0" w:line="360" w:lineRule="auto"/>
        <w:rPr>
          <w:rFonts w:ascii="宋体" w:hAnsi="宋体"/>
        </w:rPr>
      </w:pPr>
      <w:bookmarkStart w:id="101" w:name="_Toc296602429"/>
      <w:bookmarkStart w:id="102" w:name="_Toc152045539"/>
      <w:bookmarkStart w:id="103" w:name="_Toc247592876"/>
      <w:bookmarkStart w:id="104" w:name="_Toc152042315"/>
      <w:bookmarkStart w:id="105" w:name="_Toc247527563"/>
      <w:bookmarkStart w:id="106" w:name="_Toc144974507"/>
      <w:bookmarkStart w:id="107" w:name="_Toc247513962"/>
      <w:r>
        <w:rPr>
          <w:rFonts w:hint="eastAsia" w:ascii="宋体" w:hAnsi="宋体"/>
        </w:rPr>
        <w:t>1.9 踏勘现场</w:t>
      </w:r>
      <w:bookmarkEnd w:id="101"/>
      <w:bookmarkEnd w:id="102"/>
      <w:bookmarkEnd w:id="103"/>
      <w:bookmarkEnd w:id="104"/>
      <w:bookmarkEnd w:id="105"/>
      <w:bookmarkEnd w:id="106"/>
      <w:bookmarkEnd w:id="107"/>
    </w:p>
    <w:p w14:paraId="26658199">
      <w:pPr>
        <w:spacing w:line="360" w:lineRule="auto"/>
        <w:ind w:firstLine="480" w:firstLineChars="200"/>
        <w:rPr>
          <w:rFonts w:ascii="宋体" w:hAnsi="宋体"/>
          <w:sz w:val="24"/>
          <w:szCs w:val="28"/>
        </w:rPr>
      </w:pPr>
      <w:r>
        <w:rPr>
          <w:rFonts w:hint="eastAsia" w:ascii="宋体" w:hAnsi="宋体"/>
          <w:sz w:val="24"/>
          <w:szCs w:val="28"/>
        </w:rPr>
        <w:t xml:space="preserve">1.9.1 招标人不组织现场踏勘，由投标人自行踏勘。 </w:t>
      </w:r>
    </w:p>
    <w:p w14:paraId="3C440123">
      <w:pPr>
        <w:spacing w:line="360" w:lineRule="auto"/>
        <w:ind w:firstLine="480" w:firstLineChars="200"/>
        <w:rPr>
          <w:rFonts w:ascii="宋体" w:hAnsi="宋体"/>
          <w:sz w:val="24"/>
          <w:szCs w:val="28"/>
        </w:rPr>
      </w:pPr>
      <w:r>
        <w:rPr>
          <w:rFonts w:hint="eastAsia" w:ascii="宋体" w:hAnsi="宋体"/>
          <w:sz w:val="24"/>
          <w:szCs w:val="28"/>
        </w:rPr>
        <w:t>1.9.2 投标人踏勘现场发生的费用自理。</w:t>
      </w:r>
    </w:p>
    <w:p w14:paraId="70DDA0F9">
      <w:pPr>
        <w:spacing w:line="360" w:lineRule="auto"/>
        <w:ind w:firstLine="480" w:firstLineChars="200"/>
        <w:rPr>
          <w:rFonts w:ascii="宋体" w:hAnsi="宋体"/>
          <w:sz w:val="24"/>
          <w:szCs w:val="28"/>
        </w:rPr>
      </w:pPr>
      <w:r>
        <w:rPr>
          <w:rFonts w:hint="eastAsia" w:ascii="宋体" w:hAnsi="宋体"/>
          <w:sz w:val="24"/>
          <w:szCs w:val="28"/>
        </w:rPr>
        <w:t>1.9.3 投标人自行负责在踏勘现场中所发生的人员伤亡和财产损失。</w:t>
      </w:r>
    </w:p>
    <w:p w14:paraId="09B98DB2">
      <w:pPr>
        <w:spacing w:line="360" w:lineRule="auto"/>
        <w:ind w:firstLine="480" w:firstLineChars="200"/>
        <w:rPr>
          <w:rFonts w:ascii="宋体" w:hAnsi="宋体"/>
          <w:sz w:val="24"/>
          <w:szCs w:val="28"/>
        </w:rPr>
      </w:pPr>
      <w:r>
        <w:rPr>
          <w:rFonts w:hint="eastAsia" w:ascii="宋体" w:hAnsi="宋体"/>
          <w:sz w:val="24"/>
          <w:szCs w:val="28"/>
        </w:rPr>
        <w:t>1.9.4 投标人在踏勘现场中看到的工程场地和相关的周边环境情况，供投标人在编制投标文件时参考，招标人不对投标人据此作出的判断和决策负责。</w:t>
      </w:r>
    </w:p>
    <w:p w14:paraId="7667CF81">
      <w:pPr>
        <w:pStyle w:val="4"/>
        <w:spacing w:before="0" w:after="0" w:line="360" w:lineRule="auto"/>
        <w:rPr>
          <w:rFonts w:ascii="宋体" w:hAnsi="宋体"/>
        </w:rPr>
      </w:pPr>
      <w:bookmarkStart w:id="108" w:name="_Toc152042316"/>
      <w:bookmarkStart w:id="109" w:name="_Toc247592877"/>
      <w:bookmarkStart w:id="110" w:name="_Toc247527564"/>
      <w:bookmarkStart w:id="111" w:name="_Toc247513963"/>
      <w:bookmarkStart w:id="112" w:name="_Toc152045540"/>
      <w:bookmarkStart w:id="113" w:name="_Toc144974508"/>
      <w:bookmarkStart w:id="114" w:name="_Toc296602430"/>
      <w:r>
        <w:rPr>
          <w:rFonts w:hint="eastAsia" w:ascii="宋体" w:hAnsi="宋体"/>
        </w:rPr>
        <w:t>1.10 投标预备会</w:t>
      </w:r>
      <w:bookmarkEnd w:id="108"/>
      <w:bookmarkEnd w:id="109"/>
      <w:bookmarkEnd w:id="110"/>
      <w:bookmarkEnd w:id="111"/>
      <w:bookmarkEnd w:id="112"/>
      <w:bookmarkEnd w:id="113"/>
      <w:bookmarkEnd w:id="114"/>
      <w:bookmarkStart w:id="115" w:name="_Toc296602431"/>
    </w:p>
    <w:bookmarkEnd w:id="115"/>
    <w:p w14:paraId="1AE7D86E">
      <w:pPr>
        <w:pStyle w:val="4"/>
        <w:spacing w:before="0" w:after="0" w:line="500" w:lineRule="exact"/>
        <w:ind w:firstLine="480" w:firstLineChars="200"/>
        <w:rPr>
          <w:rFonts w:ascii="宋体" w:hAnsi="宋体"/>
          <w:b w:val="0"/>
          <w:bCs w:val="0"/>
          <w:kern w:val="2"/>
          <w:sz w:val="24"/>
          <w:szCs w:val="28"/>
        </w:rPr>
      </w:pPr>
      <w:bookmarkStart w:id="116" w:name="_Toc27294"/>
      <w:bookmarkStart w:id="117" w:name="_Toc12605"/>
      <w:bookmarkStart w:id="118" w:name="_Toc20548"/>
      <w:bookmarkStart w:id="119" w:name="_Toc22620"/>
      <w:bookmarkStart w:id="120" w:name="_Toc243"/>
      <w:bookmarkStart w:id="121" w:name="_Toc8646"/>
      <w:bookmarkStart w:id="122" w:name="_Toc11321"/>
      <w:bookmarkStart w:id="123" w:name="_Toc152045542"/>
      <w:bookmarkStart w:id="124" w:name="_Toc26742"/>
      <w:bookmarkStart w:id="125" w:name="_Toc152042318"/>
      <w:bookmarkStart w:id="126" w:name="_Toc246996930"/>
      <w:bookmarkStart w:id="127" w:name="_Toc144974510"/>
      <w:bookmarkStart w:id="128" w:name="_Toc296602432"/>
      <w:bookmarkStart w:id="129" w:name="_Toc246996187"/>
      <w:bookmarkStart w:id="130" w:name="_Toc179632560"/>
      <w:bookmarkStart w:id="131" w:name="_Toc247085701"/>
      <w:r>
        <w:rPr>
          <w:rFonts w:hint="eastAsia" w:ascii="宋体" w:hAnsi="宋体"/>
          <w:b w:val="0"/>
          <w:bCs w:val="0"/>
          <w:kern w:val="2"/>
          <w:sz w:val="24"/>
          <w:szCs w:val="28"/>
        </w:rPr>
        <w:t>不召开投标预备会。</w:t>
      </w:r>
    </w:p>
    <w:p w14:paraId="591D1D7A">
      <w:pPr>
        <w:pStyle w:val="4"/>
        <w:spacing w:before="0" w:after="0" w:line="500" w:lineRule="exact"/>
        <w:rPr>
          <w:rFonts w:ascii="宋体" w:hAnsi="宋体"/>
        </w:rPr>
      </w:pPr>
      <w:r>
        <w:rPr>
          <w:rFonts w:hint="eastAsia" w:ascii="宋体" w:hAnsi="宋体"/>
        </w:rPr>
        <w:t>1.11 分包</w:t>
      </w:r>
      <w:bookmarkEnd w:id="116"/>
      <w:bookmarkEnd w:id="117"/>
      <w:bookmarkEnd w:id="118"/>
      <w:bookmarkEnd w:id="119"/>
      <w:bookmarkEnd w:id="120"/>
      <w:bookmarkEnd w:id="121"/>
      <w:bookmarkEnd w:id="122"/>
    </w:p>
    <w:p w14:paraId="3625027B">
      <w:pPr>
        <w:spacing w:line="500" w:lineRule="exact"/>
        <w:ind w:firstLine="480" w:firstLineChars="200"/>
        <w:rPr>
          <w:rFonts w:ascii="宋体" w:hAnsi="宋体"/>
          <w:sz w:val="24"/>
          <w:szCs w:val="28"/>
        </w:rPr>
      </w:pPr>
      <w:r>
        <w:rPr>
          <w:rFonts w:hint="eastAsia" w:ascii="宋体" w:hAnsi="宋体"/>
          <w:sz w:val="24"/>
          <w:szCs w:val="28"/>
        </w:rPr>
        <w:t>不允许</w:t>
      </w:r>
    </w:p>
    <w:p w14:paraId="25DE72C5">
      <w:pPr>
        <w:pStyle w:val="4"/>
        <w:spacing w:before="0" w:after="0" w:line="500" w:lineRule="exact"/>
        <w:rPr>
          <w:rFonts w:ascii="宋体" w:hAnsi="宋体"/>
        </w:rPr>
      </w:pPr>
      <w:bookmarkStart w:id="132" w:name="_Toc11412"/>
      <w:bookmarkStart w:id="133" w:name="_Toc25020"/>
      <w:bookmarkStart w:id="134" w:name="_Toc13669"/>
      <w:bookmarkStart w:id="135" w:name="_Toc20871"/>
      <w:bookmarkStart w:id="136" w:name="_Toc16821"/>
      <w:bookmarkStart w:id="137" w:name="_Toc16297"/>
      <w:bookmarkStart w:id="138" w:name="_Toc12545"/>
      <w:r>
        <w:rPr>
          <w:rFonts w:hint="eastAsia" w:ascii="宋体" w:hAnsi="宋体"/>
        </w:rPr>
        <w:t>1.12 响应和偏差</w:t>
      </w:r>
      <w:bookmarkEnd w:id="132"/>
      <w:bookmarkEnd w:id="133"/>
      <w:bookmarkEnd w:id="134"/>
      <w:bookmarkEnd w:id="135"/>
      <w:bookmarkEnd w:id="136"/>
      <w:bookmarkEnd w:id="137"/>
      <w:bookmarkEnd w:id="138"/>
    </w:p>
    <w:p w14:paraId="6231BBA4">
      <w:pPr>
        <w:spacing w:line="500" w:lineRule="exact"/>
        <w:ind w:firstLine="480" w:firstLineChars="200"/>
        <w:rPr>
          <w:rFonts w:ascii="宋体" w:hAnsi="宋体"/>
          <w:sz w:val="24"/>
          <w:szCs w:val="28"/>
        </w:rPr>
      </w:pPr>
      <w:r>
        <w:rPr>
          <w:rFonts w:hint="eastAsia" w:ascii="宋体" w:hAnsi="宋体"/>
          <w:sz w:val="24"/>
          <w:szCs w:val="28"/>
        </w:rPr>
        <w:t>1.12.1 投标文件偏离招标文件某些要求，视为投标文件存在偏差。偏差包括重大偏差和细微偏差。</w:t>
      </w:r>
    </w:p>
    <w:p w14:paraId="697FC63D">
      <w:pPr>
        <w:spacing w:line="500" w:lineRule="exact"/>
        <w:ind w:firstLine="480" w:firstLineChars="200"/>
        <w:rPr>
          <w:rFonts w:ascii="宋体" w:hAnsi="宋体"/>
          <w:sz w:val="24"/>
          <w:szCs w:val="28"/>
        </w:rPr>
      </w:pPr>
      <w:r>
        <w:rPr>
          <w:rFonts w:hint="eastAsia" w:ascii="宋体" w:hAnsi="宋体"/>
          <w:sz w:val="24"/>
          <w:szCs w:val="28"/>
        </w:rPr>
        <w:t>1.12.2 投标文件应对招标文件的实质性要求和条件作出满足性或更有利于招标人的响应，否则，视为投标文件存在重大偏差，投标人的投标将被否决。</w:t>
      </w:r>
    </w:p>
    <w:p w14:paraId="636E8EDE">
      <w:pPr>
        <w:spacing w:line="500" w:lineRule="exact"/>
        <w:ind w:firstLine="480" w:firstLineChars="200"/>
        <w:rPr>
          <w:rFonts w:ascii="宋体" w:hAnsi="宋体"/>
          <w:sz w:val="24"/>
          <w:szCs w:val="28"/>
        </w:rPr>
      </w:pPr>
      <w:r>
        <w:rPr>
          <w:rFonts w:hint="eastAsia" w:ascii="宋体" w:hAnsi="宋体"/>
          <w:sz w:val="24"/>
          <w:szCs w:val="28"/>
        </w:rPr>
        <w:t>投标文件存在第三章“评标办法”中所列任一否决投标情形的，均属于存在重大偏差。</w:t>
      </w:r>
    </w:p>
    <w:p w14:paraId="52777C0B">
      <w:pPr>
        <w:spacing w:line="500" w:lineRule="exact"/>
        <w:ind w:firstLine="480" w:firstLineChars="200"/>
        <w:rPr>
          <w:rFonts w:ascii="宋体" w:hAnsi="宋体"/>
          <w:sz w:val="24"/>
          <w:szCs w:val="28"/>
        </w:rPr>
      </w:pPr>
      <w:r>
        <w:rPr>
          <w:rFonts w:hint="eastAsia" w:ascii="宋体" w:hAnsi="宋体"/>
          <w:sz w:val="24"/>
          <w:szCs w:val="28"/>
        </w:rPr>
        <w:t>1.12.3 投标文件中的下列偏差为细微偏差：</w:t>
      </w:r>
    </w:p>
    <w:p w14:paraId="30971393">
      <w:pPr>
        <w:spacing w:line="500" w:lineRule="exact"/>
        <w:ind w:firstLine="480" w:firstLineChars="200"/>
        <w:rPr>
          <w:rFonts w:ascii="宋体" w:hAnsi="宋体"/>
          <w:sz w:val="24"/>
          <w:szCs w:val="28"/>
        </w:rPr>
      </w:pPr>
      <w:r>
        <w:rPr>
          <w:rFonts w:hint="eastAsia" w:ascii="宋体" w:hAnsi="宋体"/>
          <w:sz w:val="24"/>
          <w:szCs w:val="28"/>
        </w:rPr>
        <w:t>(1）在按照第三章“评标办法”的规定对投标价进行算术性错误修正及其他错误修正后，最终投标报价未超过最高投标限价（如有）的情况下，出现第三章“评标办法”规定的算术性错误和投标报价的其他错误；</w:t>
      </w:r>
    </w:p>
    <w:p w14:paraId="6888926C">
      <w:pPr>
        <w:spacing w:line="500" w:lineRule="exact"/>
        <w:ind w:firstLine="480" w:firstLineChars="200"/>
        <w:rPr>
          <w:rFonts w:ascii="宋体" w:hAnsi="宋体"/>
          <w:sz w:val="24"/>
          <w:szCs w:val="28"/>
        </w:rPr>
      </w:pPr>
      <w:r>
        <w:rPr>
          <w:rFonts w:hint="eastAsia" w:ascii="宋体" w:hAnsi="宋体"/>
          <w:sz w:val="24"/>
          <w:szCs w:val="28"/>
        </w:rPr>
        <w:t>(2）投标文件页码不连续、个别文字有遗漏错误等不影响投标文件实质性内容的偏差。</w:t>
      </w:r>
    </w:p>
    <w:p w14:paraId="208E1DFF">
      <w:pPr>
        <w:spacing w:line="500" w:lineRule="exact"/>
        <w:ind w:firstLine="480" w:firstLineChars="200"/>
        <w:rPr>
          <w:rFonts w:ascii="宋体" w:hAnsi="宋体"/>
          <w:sz w:val="24"/>
          <w:szCs w:val="28"/>
        </w:rPr>
      </w:pPr>
      <w:r>
        <w:rPr>
          <w:rFonts w:hint="eastAsia" w:ascii="宋体" w:hAnsi="宋体"/>
          <w:sz w:val="24"/>
          <w:szCs w:val="28"/>
        </w:rPr>
        <w:t>1.12.4 评标委员会对投标文件中的细微偏差按如下规定处理：</w:t>
      </w:r>
    </w:p>
    <w:p w14:paraId="0011A619">
      <w:pPr>
        <w:spacing w:line="500" w:lineRule="exact"/>
        <w:ind w:firstLine="480" w:firstLineChars="200"/>
        <w:rPr>
          <w:rFonts w:ascii="宋体" w:hAnsi="宋体"/>
          <w:sz w:val="24"/>
          <w:szCs w:val="28"/>
        </w:rPr>
      </w:pPr>
      <w:r>
        <w:rPr>
          <w:rFonts w:hint="eastAsia" w:ascii="宋体" w:hAnsi="宋体"/>
          <w:sz w:val="24"/>
          <w:szCs w:val="28"/>
        </w:rPr>
        <w:t>(1）对于本章第 1.12.3 项(1）目所述的细微偏差，按照第三章“评标办法”的规定予以修正并要求投标人进行澄清；</w:t>
      </w:r>
    </w:p>
    <w:p w14:paraId="1E784495">
      <w:pPr>
        <w:spacing w:line="500" w:lineRule="exact"/>
        <w:ind w:firstLine="480" w:firstLineChars="200"/>
        <w:rPr>
          <w:rFonts w:ascii="宋体" w:hAnsi="宋体"/>
          <w:sz w:val="24"/>
          <w:szCs w:val="28"/>
        </w:rPr>
      </w:pPr>
      <w:r>
        <w:rPr>
          <w:rFonts w:hint="eastAsia" w:ascii="宋体" w:hAnsi="宋体"/>
          <w:sz w:val="24"/>
          <w:szCs w:val="28"/>
        </w:rPr>
        <w:t>(2）对于本章第 1.12.3 项（2）目所述的细微偏差，可要求投标人对细微偏差进行澄清。</w:t>
      </w:r>
    </w:p>
    <w:p w14:paraId="4E811A40">
      <w:pPr>
        <w:spacing w:line="500" w:lineRule="exact"/>
        <w:ind w:firstLine="480" w:firstLineChars="200"/>
        <w:rPr>
          <w:rFonts w:ascii="宋体" w:hAnsi="宋体"/>
          <w:sz w:val="24"/>
          <w:szCs w:val="28"/>
        </w:rPr>
      </w:pPr>
      <w:r>
        <w:rPr>
          <w:rFonts w:hint="eastAsia" w:ascii="宋体" w:hAnsi="宋体"/>
          <w:sz w:val="24"/>
          <w:szCs w:val="28"/>
        </w:rPr>
        <w:t>1.12.5 投标人应根据招标文件的要求提供施工组织设计等内容以对招标文件作出响应。</w:t>
      </w:r>
    </w:p>
    <w:p w14:paraId="33CA4890">
      <w:pPr>
        <w:pStyle w:val="3"/>
        <w:spacing w:before="0" w:after="0" w:line="500" w:lineRule="exact"/>
        <w:rPr>
          <w:rFonts w:ascii="宋体" w:hAnsi="宋体"/>
        </w:rPr>
      </w:pPr>
      <w:bookmarkStart w:id="139" w:name="_Toc3627"/>
      <w:r>
        <w:rPr>
          <w:rFonts w:hint="eastAsia" w:ascii="宋体" w:hAnsi="宋体"/>
        </w:rPr>
        <w:t>2. 招标文件</w:t>
      </w:r>
      <w:bookmarkEnd w:id="123"/>
      <w:bookmarkEnd w:id="124"/>
      <w:bookmarkEnd w:id="125"/>
      <w:bookmarkEnd w:id="126"/>
      <w:bookmarkEnd w:id="127"/>
      <w:bookmarkEnd w:id="128"/>
      <w:bookmarkEnd w:id="129"/>
      <w:bookmarkEnd w:id="130"/>
      <w:bookmarkEnd w:id="131"/>
      <w:bookmarkEnd w:id="139"/>
    </w:p>
    <w:p w14:paraId="66D7B082">
      <w:pPr>
        <w:pStyle w:val="4"/>
        <w:spacing w:before="0" w:after="0" w:line="500" w:lineRule="exact"/>
        <w:rPr>
          <w:rFonts w:ascii="宋体" w:hAnsi="宋体"/>
        </w:rPr>
      </w:pPr>
      <w:bookmarkStart w:id="140" w:name="_Toc152042319"/>
      <w:bookmarkStart w:id="141" w:name="_Toc152045543"/>
      <w:bookmarkStart w:id="142" w:name="_Toc246996188"/>
      <w:bookmarkStart w:id="143" w:name="_Toc247085702"/>
      <w:bookmarkStart w:id="144" w:name="_Toc144974511"/>
      <w:bookmarkStart w:id="145" w:name="_Toc246996931"/>
      <w:bookmarkStart w:id="146" w:name="_Toc179632561"/>
      <w:bookmarkStart w:id="147" w:name="_Toc296602433"/>
      <w:r>
        <w:rPr>
          <w:rFonts w:hint="eastAsia" w:ascii="宋体" w:hAnsi="宋体"/>
        </w:rPr>
        <w:t>2.1 招标文件的组成</w:t>
      </w:r>
      <w:bookmarkEnd w:id="140"/>
      <w:bookmarkEnd w:id="141"/>
      <w:bookmarkEnd w:id="142"/>
      <w:bookmarkEnd w:id="143"/>
      <w:bookmarkEnd w:id="144"/>
      <w:bookmarkEnd w:id="145"/>
      <w:bookmarkEnd w:id="146"/>
      <w:bookmarkEnd w:id="147"/>
    </w:p>
    <w:p w14:paraId="215BF8D6">
      <w:pPr>
        <w:tabs>
          <w:tab w:val="left" w:pos="4900"/>
          <w:tab w:val="left" w:pos="6527"/>
        </w:tabs>
        <w:spacing w:line="500" w:lineRule="exact"/>
        <w:ind w:firstLine="480" w:firstLineChars="200"/>
        <w:rPr>
          <w:rFonts w:ascii="宋体" w:hAnsi="宋体"/>
          <w:sz w:val="24"/>
          <w:szCs w:val="24"/>
        </w:rPr>
      </w:pPr>
      <w:bookmarkStart w:id="148" w:name="_Toc296602434"/>
      <w:bookmarkStart w:id="149" w:name="_Toc247085703"/>
      <w:bookmarkStart w:id="150" w:name="_Toc179632562"/>
      <w:bookmarkStart w:id="151" w:name="_Toc246996189"/>
      <w:bookmarkStart w:id="152" w:name="_Toc152045544"/>
      <w:bookmarkStart w:id="153" w:name="_Toc144974512"/>
      <w:bookmarkStart w:id="154" w:name="_Toc246996932"/>
      <w:bookmarkStart w:id="155" w:name="_Toc152042320"/>
      <w:r>
        <w:rPr>
          <w:rFonts w:hint="eastAsia" w:ascii="宋体" w:hAnsi="宋体"/>
          <w:sz w:val="24"/>
          <w:szCs w:val="24"/>
        </w:rPr>
        <w:t>本招标文件包括：</w:t>
      </w:r>
    </w:p>
    <w:p w14:paraId="0E76E90E">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(1）招标公告；</w:t>
      </w:r>
    </w:p>
    <w:p w14:paraId="5595D266">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(2）投标人须知；</w:t>
      </w:r>
    </w:p>
    <w:p w14:paraId="3D3519EF">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(3）评标办法；</w:t>
      </w:r>
    </w:p>
    <w:p w14:paraId="73B555A5">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（4）定标方法；</w:t>
      </w:r>
    </w:p>
    <w:p w14:paraId="23222927">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(5）合同条款及格式；</w:t>
      </w:r>
    </w:p>
    <w:p w14:paraId="4EE55FE0">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(6）工程量清单和招标控制价；</w:t>
      </w:r>
    </w:p>
    <w:p w14:paraId="4C7C25D2">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(7）图纸；</w:t>
      </w:r>
    </w:p>
    <w:p w14:paraId="0BA2ACD9">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(8）技术规范；</w:t>
      </w:r>
    </w:p>
    <w:p w14:paraId="38AC8538">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(9）工程量清单计量规则；</w:t>
      </w:r>
    </w:p>
    <w:p w14:paraId="6D5A9ACD">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(10）投标文件格式。</w:t>
      </w:r>
    </w:p>
    <w:p w14:paraId="59455F9B">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根据本章第 2.2 款和第 2.3 款对招标文件所作的澄清、修改，构成招标文件的组成部分。</w:t>
      </w:r>
    </w:p>
    <w:p w14:paraId="23B96A4E">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当招标文件、招标文件的澄清或修改等在同一内容的表述上不一致时，以最后发出的书面文件为准。</w:t>
      </w:r>
    </w:p>
    <w:bookmarkEnd w:id="148"/>
    <w:bookmarkEnd w:id="149"/>
    <w:bookmarkEnd w:id="150"/>
    <w:bookmarkEnd w:id="151"/>
    <w:bookmarkEnd w:id="152"/>
    <w:bookmarkEnd w:id="153"/>
    <w:bookmarkEnd w:id="154"/>
    <w:bookmarkEnd w:id="155"/>
    <w:p w14:paraId="077E591C">
      <w:pPr>
        <w:pStyle w:val="4"/>
        <w:spacing w:before="0" w:after="0" w:line="500" w:lineRule="exact"/>
        <w:rPr>
          <w:rFonts w:ascii="宋体" w:hAnsi="宋体"/>
        </w:rPr>
      </w:pPr>
      <w:bookmarkStart w:id="156" w:name="_Toc14554"/>
      <w:bookmarkStart w:id="157" w:name="_Toc887"/>
      <w:bookmarkStart w:id="158" w:name="_Toc10988"/>
      <w:bookmarkStart w:id="159" w:name="_Toc19380"/>
      <w:bookmarkStart w:id="160" w:name="_Toc16954"/>
      <w:bookmarkStart w:id="161" w:name="_Toc28112"/>
      <w:bookmarkStart w:id="162" w:name="_Toc10045"/>
      <w:bookmarkStart w:id="163" w:name="_Toc27080"/>
      <w:bookmarkStart w:id="164" w:name="_Toc15172"/>
      <w:bookmarkStart w:id="165" w:name="_Toc19841"/>
      <w:bookmarkStart w:id="166" w:name="_Toc22707"/>
      <w:bookmarkStart w:id="167" w:name="_Toc7325"/>
      <w:bookmarkStart w:id="168" w:name="_Toc27643"/>
      <w:bookmarkStart w:id="169" w:name="_Toc18694"/>
      <w:bookmarkStart w:id="170" w:name="_Toc16123"/>
      <w:bookmarkStart w:id="171" w:name="_Toc25737"/>
      <w:bookmarkStart w:id="172" w:name="_Toc5681"/>
      <w:bookmarkStart w:id="173" w:name="_Toc10058"/>
      <w:r>
        <w:rPr>
          <w:rFonts w:hint="eastAsia" w:ascii="宋体" w:hAnsi="宋体"/>
        </w:rPr>
        <w:t>2.2 招标文件的澄清</w:t>
      </w:r>
      <w:bookmarkEnd w:id="156"/>
      <w:bookmarkEnd w:id="157"/>
      <w:bookmarkEnd w:id="158"/>
      <w:bookmarkEnd w:id="159"/>
      <w:bookmarkEnd w:id="160"/>
      <w:bookmarkEnd w:id="161"/>
      <w:bookmarkEnd w:id="162"/>
      <w:bookmarkEnd w:id="163"/>
      <w:bookmarkEnd w:id="164"/>
    </w:p>
    <w:p w14:paraId="79DCCF27">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8278FF6">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 xml:space="preserve">2.2.2 </w:t>
      </w:r>
      <w:r>
        <w:rPr>
          <w:rFonts w:ascii="宋体" w:hAnsi="宋体"/>
          <w:sz w:val="24"/>
          <w:szCs w:val="24"/>
        </w:rPr>
        <w:t>招标文件的澄清以澄清回复或澄清公告的方式在三门峡市公共资源交易系统中回复所有报名完成投标人，</w:t>
      </w:r>
      <w:r>
        <w:rPr>
          <w:rFonts w:hint="eastAsia" w:ascii="宋体" w:hAnsi="宋体"/>
          <w:sz w:val="24"/>
          <w:szCs w:val="24"/>
        </w:rPr>
        <w:t>但不指明澄清问题的来源。澄清发出的时间距本章第 4.2.1 项规定的投标截止时间不足 15 日，且澄清内容可能影响投标文件编制的，将相应延长投标截止时间。</w:t>
      </w:r>
    </w:p>
    <w:p w14:paraId="41A78190">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2.2.3 投标人应自行查看澄清信息。</w:t>
      </w:r>
    </w:p>
    <w:p w14:paraId="75EB9A2A">
      <w:pPr>
        <w:tabs>
          <w:tab w:val="left" w:pos="4900"/>
          <w:tab w:val="left" w:pos="6527"/>
        </w:tabs>
        <w:spacing w:line="500" w:lineRule="exact"/>
        <w:ind w:firstLine="480" w:firstLineChars="200"/>
        <w:rPr>
          <w:rFonts w:ascii="宋体" w:hAnsi="宋体"/>
          <w:sz w:val="24"/>
          <w:szCs w:val="24"/>
        </w:rPr>
      </w:pPr>
      <w:r>
        <w:rPr>
          <w:rFonts w:hint="eastAsia" w:ascii="宋体" w:hAnsi="宋体"/>
          <w:sz w:val="24"/>
          <w:szCs w:val="24"/>
        </w:rPr>
        <w:t>2.2.4 除非招标人认为确有必要答复，否则，招标人有权拒绝回复投标人在本章第2.2.1项规定的时间后提出的任何澄清要求。</w:t>
      </w:r>
    </w:p>
    <w:p w14:paraId="6208638F">
      <w:pPr>
        <w:pStyle w:val="4"/>
        <w:spacing w:before="0" w:after="0" w:line="500" w:lineRule="exact"/>
        <w:rPr>
          <w:rFonts w:ascii="宋体" w:hAnsi="宋体"/>
        </w:rPr>
      </w:pPr>
      <w:bookmarkStart w:id="174" w:name="_Toc7246"/>
      <w:bookmarkStart w:id="175" w:name="_Toc10625"/>
      <w:bookmarkStart w:id="176" w:name="_Toc7930"/>
      <w:bookmarkStart w:id="177" w:name="_Toc4765"/>
      <w:bookmarkStart w:id="178" w:name="_Toc3614"/>
      <w:bookmarkStart w:id="179" w:name="_Toc7814"/>
      <w:bookmarkStart w:id="180" w:name="_Toc18738"/>
      <w:bookmarkStart w:id="181" w:name="_Toc25390"/>
      <w:bookmarkStart w:id="182" w:name="_Toc32515"/>
      <w:r>
        <w:rPr>
          <w:rFonts w:hint="eastAsia" w:ascii="宋体" w:hAnsi="宋体"/>
        </w:rPr>
        <w:t>2.3 招标文件的修改</w:t>
      </w:r>
      <w:bookmarkEnd w:id="174"/>
      <w:bookmarkEnd w:id="175"/>
      <w:bookmarkEnd w:id="176"/>
      <w:bookmarkEnd w:id="177"/>
      <w:bookmarkEnd w:id="178"/>
      <w:bookmarkEnd w:id="179"/>
      <w:bookmarkEnd w:id="180"/>
      <w:bookmarkEnd w:id="181"/>
      <w:bookmarkEnd w:id="182"/>
    </w:p>
    <w:p w14:paraId="347956F5">
      <w:pPr>
        <w:spacing w:line="500" w:lineRule="exact"/>
        <w:ind w:firstLine="480" w:firstLineChars="200"/>
        <w:rPr>
          <w:rFonts w:ascii="宋体" w:hAnsi="宋体"/>
          <w:sz w:val="24"/>
          <w:szCs w:val="28"/>
        </w:rPr>
      </w:pPr>
      <w:r>
        <w:rPr>
          <w:rFonts w:hint="eastAsia" w:ascii="宋体" w:hAnsi="宋体"/>
          <w:sz w:val="24"/>
          <w:szCs w:val="28"/>
        </w:rPr>
        <w:t>2.3.1 招标人以投标人须知前附表规定的形式修改招标文件，</w:t>
      </w:r>
      <w:r>
        <w:rPr>
          <w:rFonts w:hint="eastAsia" w:ascii="宋体" w:hAnsi="宋体"/>
          <w:sz w:val="24"/>
          <w:szCs w:val="24"/>
        </w:rPr>
        <w:t>并以变更公告形式通知所有已购买招标文件的投标人</w:t>
      </w:r>
      <w:r>
        <w:rPr>
          <w:rFonts w:hint="eastAsia" w:ascii="宋体" w:hAnsi="宋体"/>
          <w:sz w:val="24"/>
          <w:szCs w:val="28"/>
        </w:rPr>
        <w:t>。修改招标文件的时间距本章第 4.2.1 项规定的投标截止时间不足 15 日，且修改内容可能影响投标文件编制的，将相应延长投标截止时间。</w:t>
      </w:r>
    </w:p>
    <w:p w14:paraId="6EC50225">
      <w:pPr>
        <w:spacing w:line="500" w:lineRule="exact"/>
        <w:ind w:firstLine="480" w:firstLineChars="200"/>
        <w:rPr>
          <w:rFonts w:ascii="宋体" w:hAnsi="宋体"/>
          <w:sz w:val="24"/>
          <w:szCs w:val="28"/>
        </w:rPr>
      </w:pPr>
      <w:r>
        <w:rPr>
          <w:rFonts w:hint="eastAsia" w:ascii="宋体" w:hAnsi="宋体"/>
          <w:sz w:val="24"/>
          <w:szCs w:val="28"/>
        </w:rPr>
        <w:t>2.3.2如果修改招标文件，会在招标公告发布的同一媒介发布变更公告，不再发纸质的变更信息。提醒投标人随时注意网上发布的信息。如因投标人自身原因未看到信息，因此造成的一切后果由投标人自行承担。</w:t>
      </w:r>
    </w:p>
    <w:p w14:paraId="009C770C">
      <w:pPr>
        <w:spacing w:line="500" w:lineRule="exact"/>
        <w:ind w:firstLine="480" w:firstLineChars="200"/>
        <w:rPr>
          <w:rFonts w:ascii="宋体" w:hAnsi="宋体"/>
          <w:sz w:val="24"/>
          <w:szCs w:val="28"/>
        </w:rPr>
      </w:pPr>
      <w:r>
        <w:rPr>
          <w:rFonts w:hint="eastAsia" w:ascii="宋体" w:hAnsi="宋体"/>
          <w:sz w:val="24"/>
          <w:szCs w:val="28"/>
        </w:rPr>
        <w:t>2.3.3为使投标人在准备投标文件时有合理的时间考虑招标文件的修改，招标代理机构可酌情推迟投标截止时间和开标时间，但应当至少在投标截止时间三个日历日前将变更时间以发布变更公告的形式通知所有投标人。该修改内容为招标文件的组成部分。在此情况下，招标人和投标人受投标截止期制约的所有权利和义务均应延长至新的截止日期。</w:t>
      </w:r>
    </w:p>
    <w:p w14:paraId="55FC1CE6">
      <w:pPr>
        <w:pStyle w:val="4"/>
        <w:spacing w:before="0" w:after="0" w:line="500" w:lineRule="exact"/>
        <w:rPr>
          <w:rFonts w:ascii="宋体" w:hAnsi="宋体"/>
        </w:rPr>
      </w:pPr>
      <w:r>
        <w:rPr>
          <w:rFonts w:hint="eastAsia" w:ascii="宋体" w:hAnsi="宋体"/>
        </w:rPr>
        <w:t>2.4 对招标文件的异议</w:t>
      </w:r>
      <w:bookmarkEnd w:id="165"/>
      <w:bookmarkEnd w:id="166"/>
      <w:bookmarkEnd w:id="167"/>
      <w:bookmarkEnd w:id="168"/>
      <w:bookmarkEnd w:id="169"/>
      <w:bookmarkEnd w:id="170"/>
      <w:bookmarkEnd w:id="171"/>
      <w:bookmarkEnd w:id="172"/>
      <w:bookmarkEnd w:id="173"/>
    </w:p>
    <w:p w14:paraId="2903B536">
      <w:pPr>
        <w:spacing w:line="500" w:lineRule="exact"/>
        <w:ind w:firstLine="480" w:firstLineChars="200"/>
        <w:rPr>
          <w:rFonts w:ascii="宋体" w:hAnsi="宋体"/>
          <w:sz w:val="24"/>
          <w:szCs w:val="28"/>
        </w:rPr>
      </w:pPr>
      <w:r>
        <w:rPr>
          <w:rFonts w:hint="eastAsia" w:ascii="宋体" w:hAnsi="宋体"/>
          <w:sz w:val="24"/>
          <w:szCs w:val="28"/>
        </w:rPr>
        <w:t>投标人或其他利害关系人对招标文件有异议的，应在投标截止时间 10 日前以书面形式提出。招标人将在收到异议之日起 3 日内作出答复；作出答复前，将暂停招标投标活动。</w:t>
      </w:r>
    </w:p>
    <w:p w14:paraId="4A7739CD">
      <w:pPr>
        <w:spacing w:line="500" w:lineRule="exact"/>
        <w:rPr>
          <w:rFonts w:ascii="宋体" w:hAnsi="宋体"/>
          <w:b/>
          <w:bCs/>
          <w:kern w:val="0"/>
          <w:sz w:val="32"/>
          <w:szCs w:val="32"/>
        </w:rPr>
      </w:pPr>
      <w:r>
        <w:rPr>
          <w:rFonts w:hint="eastAsia" w:ascii="宋体" w:hAnsi="宋体"/>
          <w:b/>
          <w:bCs/>
          <w:kern w:val="0"/>
          <w:sz w:val="32"/>
          <w:szCs w:val="32"/>
        </w:rPr>
        <w:t>2.5招标文件的解释</w:t>
      </w:r>
    </w:p>
    <w:p w14:paraId="2ED8B2A2">
      <w:pPr>
        <w:spacing w:line="500" w:lineRule="exact"/>
        <w:ind w:firstLine="480" w:firstLineChars="200"/>
        <w:rPr>
          <w:rFonts w:ascii="宋体" w:hAnsi="宋体"/>
          <w:sz w:val="24"/>
          <w:szCs w:val="28"/>
        </w:rPr>
      </w:pPr>
      <w:r>
        <w:rPr>
          <w:rFonts w:hint="eastAsia" w:ascii="宋体" w:hAnsi="宋体"/>
          <w:sz w:val="24"/>
          <w:szCs w:val="28"/>
        </w:rPr>
        <w:t>招标文件最终解释权归招标人，所有解释均依据本招标文件及有关的法律、法规；在评标时，若出现招标文件无明确说明和处理的情况时，由评标委员会讨论确定处理方案；评标委员会成员之间对处理方案有争议时，采取少数服从多数的投票方式确定。</w:t>
      </w:r>
    </w:p>
    <w:p w14:paraId="44A371FF">
      <w:pPr>
        <w:pStyle w:val="3"/>
        <w:spacing w:before="0" w:after="0" w:line="500" w:lineRule="exact"/>
        <w:rPr>
          <w:rFonts w:ascii="宋体" w:hAnsi="宋体"/>
        </w:rPr>
      </w:pPr>
      <w:bookmarkStart w:id="183" w:name="_Toc296602436"/>
      <w:bookmarkStart w:id="184" w:name="_Toc246996934"/>
      <w:bookmarkStart w:id="185" w:name="_Toc179632564"/>
      <w:bookmarkStart w:id="186" w:name="_Toc152042322"/>
      <w:bookmarkStart w:id="187" w:name="_Toc247085705"/>
      <w:bookmarkStart w:id="188" w:name="_Toc144974514"/>
      <w:bookmarkStart w:id="189" w:name="_Toc5737"/>
      <w:bookmarkStart w:id="190" w:name="_Toc246996191"/>
      <w:bookmarkStart w:id="191" w:name="_Toc5434"/>
      <w:bookmarkStart w:id="192" w:name="_Toc152045546"/>
      <w:r>
        <w:rPr>
          <w:rFonts w:hint="eastAsia" w:ascii="宋体" w:hAnsi="宋体"/>
        </w:rPr>
        <w:t>3. 投标文件</w:t>
      </w:r>
      <w:bookmarkEnd w:id="183"/>
      <w:bookmarkEnd w:id="184"/>
      <w:bookmarkEnd w:id="185"/>
      <w:bookmarkEnd w:id="186"/>
      <w:bookmarkEnd w:id="187"/>
      <w:bookmarkEnd w:id="188"/>
      <w:bookmarkEnd w:id="189"/>
      <w:bookmarkEnd w:id="190"/>
      <w:bookmarkEnd w:id="191"/>
      <w:bookmarkEnd w:id="192"/>
    </w:p>
    <w:p w14:paraId="1C8825D3">
      <w:pPr>
        <w:pStyle w:val="4"/>
        <w:spacing w:before="0" w:after="0" w:line="500" w:lineRule="exact"/>
        <w:rPr>
          <w:rFonts w:ascii="宋体" w:hAnsi="宋体"/>
        </w:rPr>
      </w:pPr>
      <w:bookmarkStart w:id="193" w:name="_Toc296602437"/>
      <w:bookmarkStart w:id="194" w:name="_Toc152042323"/>
      <w:bookmarkStart w:id="195" w:name="_Toc152045547"/>
      <w:bookmarkStart w:id="196" w:name="_Toc144974515"/>
      <w:bookmarkStart w:id="197" w:name="_Toc247085706"/>
      <w:bookmarkStart w:id="198" w:name="_Toc246996192"/>
      <w:bookmarkStart w:id="199" w:name="_Toc246996935"/>
      <w:bookmarkStart w:id="200" w:name="_Toc179632565"/>
      <w:r>
        <w:rPr>
          <w:rFonts w:hint="eastAsia" w:ascii="宋体" w:hAnsi="宋体"/>
        </w:rPr>
        <w:t>3.1 投标文件的组成</w:t>
      </w:r>
      <w:bookmarkEnd w:id="193"/>
      <w:bookmarkEnd w:id="194"/>
      <w:bookmarkEnd w:id="195"/>
      <w:bookmarkEnd w:id="196"/>
      <w:bookmarkEnd w:id="197"/>
      <w:bookmarkEnd w:id="198"/>
      <w:bookmarkEnd w:id="199"/>
      <w:bookmarkEnd w:id="200"/>
    </w:p>
    <w:p w14:paraId="38D722B3">
      <w:pPr>
        <w:spacing w:line="500" w:lineRule="exact"/>
        <w:ind w:firstLine="480" w:firstLineChars="200"/>
        <w:rPr>
          <w:rFonts w:ascii="宋体" w:hAnsi="宋体"/>
          <w:sz w:val="24"/>
          <w:szCs w:val="24"/>
        </w:rPr>
      </w:pPr>
      <w:r>
        <w:rPr>
          <w:rFonts w:hint="eastAsia" w:ascii="宋体" w:hAnsi="宋体"/>
          <w:sz w:val="24"/>
          <w:szCs w:val="24"/>
        </w:rPr>
        <w:t>3.1.1投标文件应包括下列内容：</w:t>
      </w:r>
    </w:p>
    <w:p w14:paraId="0AE6FA7C">
      <w:pPr>
        <w:spacing w:line="500" w:lineRule="exact"/>
        <w:ind w:firstLine="410" w:firstLineChars="171"/>
        <w:rPr>
          <w:rFonts w:hint="default" w:ascii="宋体" w:hAnsi="宋体" w:eastAsia="宋体"/>
          <w:sz w:val="24"/>
          <w:szCs w:val="24"/>
          <w:lang w:val="en-US" w:eastAsia="zh-CN"/>
        </w:rPr>
      </w:pPr>
      <w:bookmarkStart w:id="201" w:name="_Toc179632566"/>
      <w:bookmarkStart w:id="202" w:name="_Toc144974516"/>
      <w:bookmarkStart w:id="203" w:name="_Toc247085707"/>
      <w:bookmarkStart w:id="204" w:name="_Toc152042324"/>
      <w:bookmarkStart w:id="205" w:name="_Toc246996936"/>
      <w:bookmarkStart w:id="206" w:name="_Toc246996193"/>
      <w:bookmarkStart w:id="207" w:name="_Toc296602438"/>
      <w:bookmarkStart w:id="208" w:name="_Toc152045548"/>
      <w:r>
        <w:rPr>
          <w:rFonts w:hint="eastAsia" w:ascii="宋体" w:hAnsi="宋体"/>
          <w:sz w:val="24"/>
          <w:szCs w:val="24"/>
          <w:lang w:val="en-US" w:eastAsia="zh-CN"/>
        </w:rPr>
        <w:t>详见第十章</w:t>
      </w:r>
    </w:p>
    <w:p w14:paraId="3AE1267E">
      <w:pPr>
        <w:pStyle w:val="4"/>
        <w:spacing w:before="0" w:after="0" w:line="500" w:lineRule="exact"/>
        <w:rPr>
          <w:rFonts w:ascii="宋体" w:hAnsi="宋体"/>
          <w:sz w:val="21"/>
          <w:szCs w:val="21"/>
        </w:rPr>
      </w:pPr>
      <w:r>
        <w:rPr>
          <w:rFonts w:hint="eastAsia" w:ascii="宋体" w:hAnsi="宋体"/>
        </w:rPr>
        <w:t>3.2 投标报价</w:t>
      </w:r>
      <w:bookmarkEnd w:id="201"/>
      <w:bookmarkEnd w:id="202"/>
      <w:bookmarkEnd w:id="203"/>
      <w:bookmarkEnd w:id="204"/>
      <w:bookmarkEnd w:id="205"/>
      <w:bookmarkEnd w:id="206"/>
      <w:bookmarkEnd w:id="207"/>
      <w:bookmarkEnd w:id="208"/>
      <w:bookmarkStart w:id="209" w:name="_Toc152045549"/>
      <w:bookmarkStart w:id="210" w:name="_Toc144974517"/>
      <w:bookmarkStart w:id="211" w:name="_Toc152042325"/>
      <w:bookmarkStart w:id="212" w:name="_Toc179632567"/>
    </w:p>
    <w:p w14:paraId="7AA2B909">
      <w:pPr>
        <w:spacing w:line="520" w:lineRule="exact"/>
        <w:ind w:firstLine="480" w:firstLineChars="200"/>
        <w:rPr>
          <w:rFonts w:ascii="宋体" w:hAnsi="宋体"/>
          <w:sz w:val="24"/>
          <w:szCs w:val="24"/>
        </w:rPr>
      </w:pPr>
      <w:bookmarkStart w:id="213" w:name="_Toc246996194"/>
      <w:bookmarkStart w:id="214" w:name="_Toc247085708"/>
      <w:bookmarkStart w:id="215" w:name="_Toc246996937"/>
      <w:bookmarkStart w:id="216" w:name="_Toc296602439"/>
      <w:r>
        <w:rPr>
          <w:rFonts w:hint="eastAsia" w:ascii="宋体" w:hAnsi="宋体"/>
          <w:sz w:val="24"/>
          <w:szCs w:val="24"/>
        </w:rPr>
        <w:t>3.2.1投标人应依据工程量清单进行投标报价,对工程量清单不符有核实的义务,但不具有修改和调整的权力。</w:t>
      </w:r>
    </w:p>
    <w:p w14:paraId="713EC984">
      <w:pPr>
        <w:spacing w:line="520" w:lineRule="exact"/>
        <w:ind w:firstLine="480" w:firstLineChars="200"/>
        <w:rPr>
          <w:rFonts w:ascii="宋体" w:hAnsi="宋体"/>
          <w:sz w:val="24"/>
          <w:szCs w:val="24"/>
        </w:rPr>
      </w:pPr>
      <w:r>
        <w:rPr>
          <w:rFonts w:hint="eastAsia" w:ascii="宋体" w:hAnsi="宋体"/>
          <w:sz w:val="24"/>
          <w:szCs w:val="24"/>
        </w:rPr>
        <w:t>3.2.2 投标人应按招标人提供的工程量清单填报价格，填写的项目编码、项目名称、项目特征、计量单位、工程量必须与招标人提供的一致。</w:t>
      </w:r>
    </w:p>
    <w:p w14:paraId="434BDB91">
      <w:pPr>
        <w:spacing w:line="520" w:lineRule="exact"/>
        <w:ind w:firstLine="480" w:firstLineChars="200"/>
        <w:rPr>
          <w:rFonts w:ascii="宋体" w:hAnsi="宋体"/>
          <w:sz w:val="24"/>
          <w:szCs w:val="24"/>
        </w:rPr>
      </w:pPr>
      <w:r>
        <w:rPr>
          <w:rFonts w:hint="eastAsia" w:ascii="宋体" w:hAnsi="宋体"/>
          <w:sz w:val="24"/>
          <w:szCs w:val="24"/>
        </w:rPr>
        <w:t>3.2.3分部分项工程费应按招标文件中分部分项工程量清单项目的特征描述确定综合单价。综合单价中应考虑招标文件中要求投标人承担的风险费用。</w:t>
      </w:r>
    </w:p>
    <w:p w14:paraId="721E03AD">
      <w:pPr>
        <w:spacing w:line="520" w:lineRule="exact"/>
        <w:ind w:firstLine="480" w:firstLineChars="200"/>
        <w:rPr>
          <w:rFonts w:ascii="宋体" w:hAnsi="宋体"/>
          <w:sz w:val="24"/>
          <w:szCs w:val="24"/>
        </w:rPr>
      </w:pPr>
      <w:r>
        <w:rPr>
          <w:rFonts w:hint="eastAsia" w:ascii="宋体" w:hAnsi="宋体"/>
          <w:sz w:val="24"/>
          <w:szCs w:val="24"/>
        </w:rPr>
        <w:t>3.2.4投标报价不得低于成本。</w:t>
      </w:r>
    </w:p>
    <w:p w14:paraId="6914E579">
      <w:pPr>
        <w:pStyle w:val="4"/>
        <w:spacing w:before="0" w:after="0" w:line="520" w:lineRule="exact"/>
        <w:rPr>
          <w:rFonts w:ascii="宋体" w:hAnsi="宋体"/>
        </w:rPr>
      </w:pPr>
      <w:r>
        <w:rPr>
          <w:rFonts w:hint="eastAsia" w:ascii="宋体" w:hAnsi="宋体"/>
        </w:rPr>
        <w:t>3.3 投标有效期</w:t>
      </w:r>
      <w:bookmarkEnd w:id="209"/>
      <w:bookmarkEnd w:id="210"/>
      <w:bookmarkEnd w:id="211"/>
      <w:bookmarkEnd w:id="212"/>
      <w:bookmarkEnd w:id="213"/>
      <w:bookmarkEnd w:id="214"/>
      <w:bookmarkEnd w:id="215"/>
      <w:bookmarkEnd w:id="216"/>
    </w:p>
    <w:p w14:paraId="6B236823">
      <w:pPr>
        <w:spacing w:line="520" w:lineRule="exact"/>
        <w:ind w:firstLine="480" w:firstLineChars="200"/>
        <w:rPr>
          <w:rFonts w:ascii="宋体" w:hAnsi="宋体"/>
          <w:sz w:val="24"/>
          <w:szCs w:val="24"/>
        </w:rPr>
      </w:pPr>
      <w:r>
        <w:rPr>
          <w:rFonts w:hint="eastAsia" w:ascii="宋体" w:hAnsi="宋体"/>
          <w:sz w:val="24"/>
          <w:szCs w:val="24"/>
        </w:rPr>
        <w:t>3.3.1 投标有效期为投标截止之日起60日历天。</w:t>
      </w:r>
    </w:p>
    <w:p w14:paraId="0F617F51">
      <w:pPr>
        <w:spacing w:line="520" w:lineRule="exact"/>
        <w:ind w:firstLine="480" w:firstLineChars="200"/>
        <w:rPr>
          <w:rFonts w:ascii="宋体" w:hAnsi="宋体"/>
          <w:sz w:val="24"/>
          <w:szCs w:val="24"/>
        </w:rPr>
      </w:pPr>
      <w:r>
        <w:rPr>
          <w:rFonts w:hint="eastAsia" w:ascii="宋体" w:hAnsi="宋体"/>
          <w:sz w:val="24"/>
          <w:szCs w:val="24"/>
        </w:rPr>
        <w:t>3.3.2在投标有效期内，投标人撤销或修改其投标文件的，应承担招标文件和法律规定的责任。</w:t>
      </w:r>
    </w:p>
    <w:p w14:paraId="563693F0">
      <w:pPr>
        <w:spacing w:line="520" w:lineRule="exact"/>
        <w:ind w:firstLine="480" w:firstLineChars="200"/>
        <w:rPr>
          <w:rFonts w:ascii="宋体" w:hAnsi="宋体"/>
          <w:sz w:val="24"/>
          <w:szCs w:val="24"/>
        </w:rPr>
      </w:pPr>
      <w:r>
        <w:rPr>
          <w:rFonts w:hint="eastAsia" w:ascii="宋体" w:hAnsi="宋体"/>
          <w:sz w:val="24"/>
          <w:szCs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7FC26FF">
      <w:pPr>
        <w:pStyle w:val="4"/>
        <w:spacing w:before="0" w:after="0" w:line="520" w:lineRule="exact"/>
        <w:rPr>
          <w:rFonts w:ascii="宋体" w:hAnsi="宋体"/>
        </w:rPr>
      </w:pPr>
      <w:bookmarkStart w:id="217" w:name="_Toc246996195"/>
      <w:bookmarkStart w:id="218" w:name="_Toc296602440"/>
      <w:bookmarkStart w:id="219" w:name="_Toc152045550"/>
      <w:bookmarkStart w:id="220" w:name="_Toc152042326"/>
      <w:bookmarkStart w:id="221" w:name="_Toc179632568"/>
      <w:bookmarkStart w:id="222" w:name="_Toc246996938"/>
      <w:bookmarkStart w:id="223" w:name="_Toc247085709"/>
      <w:bookmarkStart w:id="224" w:name="_Toc144974518"/>
      <w:r>
        <w:rPr>
          <w:rFonts w:hint="eastAsia" w:ascii="宋体" w:hAnsi="宋体"/>
        </w:rPr>
        <w:t>3.4 投标保证金</w:t>
      </w:r>
      <w:bookmarkEnd w:id="217"/>
      <w:bookmarkEnd w:id="218"/>
      <w:bookmarkEnd w:id="219"/>
      <w:bookmarkEnd w:id="220"/>
      <w:bookmarkEnd w:id="221"/>
      <w:bookmarkEnd w:id="222"/>
      <w:bookmarkEnd w:id="223"/>
      <w:bookmarkEnd w:id="224"/>
    </w:p>
    <w:p w14:paraId="38FD642D">
      <w:pPr>
        <w:spacing w:line="520" w:lineRule="exact"/>
        <w:ind w:firstLine="480" w:firstLineChars="200"/>
        <w:rPr>
          <w:rFonts w:ascii="宋体" w:hAnsi="宋体"/>
          <w:sz w:val="24"/>
        </w:rPr>
      </w:pPr>
      <w:bookmarkStart w:id="225" w:name="_Toc144974520"/>
      <w:bookmarkStart w:id="226" w:name="_Toc179632570"/>
      <w:bookmarkStart w:id="227" w:name="_Toc152042328"/>
      <w:bookmarkStart w:id="228" w:name="_Toc152045552"/>
      <w:bookmarkStart w:id="229" w:name="_Toc296602442"/>
      <w:bookmarkStart w:id="230" w:name="_Toc152045553"/>
      <w:bookmarkStart w:id="231" w:name="_Toc247085711"/>
      <w:bookmarkStart w:id="232" w:name="_Toc246996197"/>
      <w:bookmarkStart w:id="233" w:name="_Toc246996940"/>
      <w:bookmarkStart w:id="234" w:name="_Toc144974521"/>
      <w:bookmarkStart w:id="235" w:name="_Toc179632571"/>
      <w:bookmarkStart w:id="236" w:name="_Toc152042329"/>
      <w:r>
        <w:rPr>
          <w:rFonts w:hint="eastAsia" w:ascii="宋体" w:hAnsi="宋体"/>
          <w:sz w:val="24"/>
        </w:rPr>
        <w:t>3.4.1投标保证金的提交：详见投标人须知前附表</w:t>
      </w:r>
    </w:p>
    <w:p w14:paraId="7E70934C">
      <w:pPr>
        <w:spacing w:line="520" w:lineRule="exact"/>
        <w:ind w:firstLine="480" w:firstLineChars="200"/>
        <w:rPr>
          <w:rFonts w:ascii="宋体" w:hAnsi="宋体"/>
          <w:sz w:val="24"/>
        </w:rPr>
      </w:pPr>
      <w:r>
        <w:rPr>
          <w:rFonts w:hint="eastAsia" w:ascii="宋体" w:hAnsi="宋体"/>
          <w:sz w:val="24"/>
        </w:rPr>
        <w:t>投标保证金应由投标人自行提交，其它单位、个人代为提交或投标单位的分支机构代为提交的，将被视为无效，保证金代管单位有权拒收。</w:t>
      </w:r>
    </w:p>
    <w:p w14:paraId="48DB1453">
      <w:pPr>
        <w:spacing w:line="520" w:lineRule="exact"/>
        <w:ind w:firstLine="480" w:firstLineChars="200"/>
        <w:rPr>
          <w:rFonts w:ascii="宋体" w:hAnsi="宋体"/>
          <w:sz w:val="24"/>
        </w:rPr>
      </w:pPr>
      <w:r>
        <w:rPr>
          <w:rFonts w:hint="eastAsia" w:ascii="宋体" w:hAnsi="宋体"/>
          <w:sz w:val="24"/>
        </w:rPr>
        <w:t>投标人未在规定时间前将投标保证金转入投标保证金代管单位银行账户的，银行将不予受理转账业务。</w:t>
      </w:r>
    </w:p>
    <w:p w14:paraId="74B1A3E8">
      <w:pPr>
        <w:spacing w:line="520" w:lineRule="exact"/>
        <w:ind w:firstLine="480" w:firstLineChars="200"/>
        <w:rPr>
          <w:rFonts w:ascii="宋体" w:hAnsi="宋体"/>
          <w:sz w:val="24"/>
        </w:rPr>
      </w:pPr>
      <w:r>
        <w:rPr>
          <w:rFonts w:hint="eastAsia" w:ascii="宋体" w:hAnsi="宋体"/>
          <w:sz w:val="24"/>
        </w:rPr>
        <w:t>对于未能按要求提交投标保证金的，该投标人将视为不响应招标文件而被拒绝投标。</w:t>
      </w:r>
    </w:p>
    <w:p w14:paraId="19F8ACC3">
      <w:pPr>
        <w:spacing w:line="520" w:lineRule="exact"/>
        <w:ind w:firstLine="480" w:firstLineChars="200"/>
        <w:rPr>
          <w:rFonts w:ascii="宋体" w:hAnsi="宋体"/>
          <w:sz w:val="24"/>
        </w:rPr>
      </w:pPr>
      <w:r>
        <w:rPr>
          <w:rFonts w:hint="eastAsia" w:ascii="宋体" w:hAnsi="宋体"/>
          <w:sz w:val="24"/>
        </w:rPr>
        <w:t>3.4.2投标保证金的退还</w:t>
      </w:r>
    </w:p>
    <w:p w14:paraId="6F0A2AFE">
      <w:pPr>
        <w:spacing w:line="520" w:lineRule="exact"/>
        <w:ind w:firstLine="480" w:firstLineChars="200"/>
        <w:rPr>
          <w:rFonts w:ascii="宋体" w:hAnsi="宋体"/>
          <w:sz w:val="24"/>
        </w:rPr>
      </w:pPr>
      <w:r>
        <w:rPr>
          <w:rFonts w:hint="eastAsia" w:ascii="宋体" w:hAnsi="宋体"/>
          <w:sz w:val="24"/>
        </w:rPr>
        <w:t>（1）未中标单位保证金：结果公示发出后，直接退还未中标单位保证金；</w:t>
      </w:r>
    </w:p>
    <w:p w14:paraId="76C6E549">
      <w:pPr>
        <w:spacing w:line="520" w:lineRule="exact"/>
        <w:ind w:firstLine="480" w:firstLineChars="200"/>
        <w:rPr>
          <w:rFonts w:ascii="宋体" w:hAnsi="宋体"/>
          <w:sz w:val="24"/>
        </w:rPr>
      </w:pPr>
      <w:r>
        <w:rPr>
          <w:rFonts w:hint="eastAsia" w:ascii="宋体" w:hAnsi="宋体"/>
          <w:sz w:val="24"/>
        </w:rPr>
        <w:t>（2）中标单位保证金：中标单位签定合同后交代理公司上传后，经交易中心确认后，退还中标单位保证金；</w:t>
      </w:r>
    </w:p>
    <w:p w14:paraId="21AF1C6D">
      <w:pPr>
        <w:spacing w:line="520" w:lineRule="exact"/>
        <w:ind w:firstLine="480" w:firstLineChars="200"/>
        <w:rPr>
          <w:rFonts w:ascii="宋体" w:hAnsi="宋体"/>
          <w:sz w:val="24"/>
        </w:rPr>
      </w:pPr>
      <w:r>
        <w:rPr>
          <w:rFonts w:hint="eastAsia" w:ascii="宋体" w:hAnsi="宋体"/>
          <w:sz w:val="24"/>
        </w:rPr>
        <w:t>3.4.3投标人在投标过程中违反有关法律法规及招标文件规定，有下列情形之一的，其投标保证金不予退还，情节较重的由建设主管部门调查处理，记入不良行为记录：</w:t>
      </w:r>
    </w:p>
    <w:p w14:paraId="27B6060D">
      <w:pPr>
        <w:spacing w:line="520" w:lineRule="exact"/>
        <w:ind w:firstLine="480" w:firstLineChars="200"/>
        <w:rPr>
          <w:rFonts w:ascii="宋体" w:hAnsi="宋体"/>
          <w:sz w:val="24"/>
        </w:rPr>
      </w:pPr>
      <w:r>
        <w:rPr>
          <w:rFonts w:hint="eastAsia" w:ascii="宋体" w:hAnsi="宋体"/>
          <w:sz w:val="24"/>
        </w:rPr>
        <w:t>（一）投标人在投标有效期内撤销投标文件的；</w:t>
      </w:r>
    </w:p>
    <w:p w14:paraId="559604CD">
      <w:pPr>
        <w:spacing w:line="520" w:lineRule="exact"/>
        <w:ind w:firstLine="480" w:firstLineChars="200"/>
        <w:rPr>
          <w:rFonts w:ascii="宋体" w:hAnsi="宋体"/>
          <w:sz w:val="24"/>
        </w:rPr>
      </w:pPr>
      <w:r>
        <w:rPr>
          <w:rFonts w:hint="eastAsia" w:ascii="宋体" w:hAnsi="宋体"/>
          <w:sz w:val="24"/>
        </w:rPr>
        <w:t>（二）投标人在投标文件中提供虚假材料的；</w:t>
      </w:r>
    </w:p>
    <w:p w14:paraId="0A411508">
      <w:pPr>
        <w:spacing w:line="520" w:lineRule="exact"/>
        <w:ind w:firstLine="480" w:firstLineChars="200"/>
        <w:rPr>
          <w:rFonts w:ascii="宋体" w:hAnsi="宋体"/>
          <w:sz w:val="24"/>
        </w:rPr>
      </w:pPr>
      <w:r>
        <w:rPr>
          <w:rFonts w:hint="eastAsia" w:ascii="宋体" w:hAnsi="宋体"/>
          <w:sz w:val="24"/>
        </w:rPr>
        <w:t>（三）除因不可抗力或招标文件认可的情形以外，不与招标人签订合同的；</w:t>
      </w:r>
    </w:p>
    <w:p w14:paraId="0EEADB9C">
      <w:pPr>
        <w:spacing w:line="520" w:lineRule="exact"/>
        <w:ind w:firstLine="480" w:firstLineChars="200"/>
        <w:rPr>
          <w:rFonts w:ascii="宋体" w:hAnsi="宋体"/>
          <w:sz w:val="24"/>
        </w:rPr>
      </w:pPr>
      <w:r>
        <w:rPr>
          <w:rFonts w:hint="eastAsia" w:ascii="宋体" w:hAnsi="宋体"/>
          <w:sz w:val="24"/>
        </w:rPr>
        <w:t>（四）投标人与招标人、其他投标人或者代理机构恶意串通的；</w:t>
      </w:r>
    </w:p>
    <w:p w14:paraId="3C2572F1">
      <w:pPr>
        <w:spacing w:line="520" w:lineRule="exact"/>
        <w:ind w:firstLine="480" w:firstLineChars="200"/>
        <w:rPr>
          <w:rFonts w:ascii="宋体" w:hAnsi="宋体"/>
          <w:sz w:val="24"/>
        </w:rPr>
      </w:pPr>
      <w:r>
        <w:rPr>
          <w:rFonts w:hint="eastAsia" w:ascii="宋体" w:hAnsi="宋体"/>
          <w:sz w:val="24"/>
        </w:rPr>
        <w:t>（五）法律法规及招标文件规定的其他不予退还的情形。</w:t>
      </w:r>
    </w:p>
    <w:p w14:paraId="3D67B94F">
      <w:pPr>
        <w:spacing w:line="520" w:lineRule="exact"/>
        <w:ind w:firstLine="480" w:firstLineChars="200"/>
        <w:rPr>
          <w:rFonts w:ascii="宋体" w:hAnsi="宋体"/>
          <w:sz w:val="24"/>
        </w:rPr>
      </w:pPr>
      <w:r>
        <w:rPr>
          <w:rFonts w:hint="eastAsia" w:ascii="宋体" w:hAnsi="宋体"/>
          <w:sz w:val="24"/>
        </w:rPr>
        <w:t>投标人出现以上情况经有关部门调查核实后，保证金不予退还，按规定上缴国库。不予退还投标保证金的，由投标保证金代管单位依据委托人的书面通知和招投标行政监督部门的书面处理意见，将投标保证金转至委托人的基本帐户。</w:t>
      </w:r>
    </w:p>
    <w:p w14:paraId="68F10929">
      <w:pPr>
        <w:pStyle w:val="4"/>
        <w:spacing w:before="0" w:after="0" w:line="520" w:lineRule="exact"/>
        <w:rPr>
          <w:rFonts w:ascii="宋体" w:hAnsi="宋体"/>
        </w:rPr>
      </w:pPr>
      <w:r>
        <w:rPr>
          <w:rFonts w:hint="eastAsia" w:ascii="宋体" w:hAnsi="宋体"/>
        </w:rPr>
        <w:t xml:space="preserve">3.5 </w:t>
      </w:r>
      <w:bookmarkEnd w:id="225"/>
      <w:bookmarkEnd w:id="226"/>
      <w:bookmarkEnd w:id="227"/>
      <w:bookmarkEnd w:id="228"/>
      <w:r>
        <w:rPr>
          <w:rFonts w:hint="eastAsia" w:ascii="宋体" w:hAnsi="宋体"/>
        </w:rPr>
        <w:t>资格审查资料</w:t>
      </w:r>
    </w:p>
    <w:p w14:paraId="58462346">
      <w:pPr>
        <w:spacing w:line="520" w:lineRule="exact"/>
        <w:ind w:firstLine="480" w:firstLineChars="200"/>
        <w:jc w:val="left"/>
        <w:rPr>
          <w:rFonts w:ascii="宋体" w:hAnsi="宋体" w:cs="宋体"/>
          <w:sz w:val="24"/>
        </w:rPr>
      </w:pPr>
      <w:r>
        <w:rPr>
          <w:rFonts w:hint="eastAsia" w:ascii="宋体" w:hAnsi="宋体" w:cs="宋体"/>
          <w:sz w:val="24"/>
        </w:rPr>
        <w:t>除投标人须知前附表另有规定外，投标人应按规定提供资格审查资料，以证明其满足本章第 1.4 .1款规定的资质、信誉、项目经理及技术负责人等要求。</w:t>
      </w:r>
    </w:p>
    <w:p w14:paraId="6F095B2A">
      <w:pPr>
        <w:pStyle w:val="4"/>
        <w:spacing w:before="0" w:after="0" w:line="520" w:lineRule="exact"/>
        <w:rPr>
          <w:rFonts w:ascii="宋体" w:hAnsi="宋体"/>
        </w:rPr>
      </w:pPr>
      <w:r>
        <w:rPr>
          <w:rFonts w:hint="eastAsia" w:ascii="宋体" w:hAnsi="宋体"/>
        </w:rPr>
        <w:t>3.6备选投标方案</w:t>
      </w:r>
    </w:p>
    <w:p w14:paraId="7D944000">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3.6.1 除投标人须知前附表规定允许外，投标人不得递交备选投标方案，否则其投标将被否决。</w:t>
      </w:r>
    </w:p>
    <w:p w14:paraId="5033BAD7">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85C54C4">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3.6.3 投标人提供两个或两个以上投标报价，或在投标文件中提供一个报价，但同时提供两个或两个以上施工组织设计的，视为提供备选方案。</w:t>
      </w:r>
    </w:p>
    <w:p w14:paraId="65C754D7">
      <w:pPr>
        <w:pStyle w:val="4"/>
        <w:spacing w:before="0" w:after="0" w:line="520" w:lineRule="exact"/>
        <w:rPr>
          <w:rFonts w:ascii="宋体" w:hAnsi="宋体"/>
        </w:rPr>
      </w:pPr>
      <w:r>
        <w:rPr>
          <w:rFonts w:hint="eastAsia" w:ascii="宋体" w:hAnsi="宋体"/>
        </w:rPr>
        <w:t>3.7投标文件的</w:t>
      </w:r>
      <w:bookmarkEnd w:id="229"/>
      <w:r>
        <w:rPr>
          <w:rFonts w:hint="eastAsia" w:ascii="宋体" w:hAnsi="宋体"/>
        </w:rPr>
        <w:t>编制</w:t>
      </w:r>
    </w:p>
    <w:bookmarkEnd w:id="230"/>
    <w:bookmarkEnd w:id="231"/>
    <w:bookmarkEnd w:id="232"/>
    <w:bookmarkEnd w:id="233"/>
    <w:bookmarkEnd w:id="234"/>
    <w:bookmarkEnd w:id="235"/>
    <w:bookmarkEnd w:id="236"/>
    <w:p w14:paraId="0FBA7CBD">
      <w:pPr>
        <w:widowControl/>
        <w:tabs>
          <w:tab w:val="left" w:pos="946"/>
        </w:tabs>
        <w:spacing w:line="520" w:lineRule="exact"/>
        <w:ind w:right="100" w:firstLine="480" w:firstLineChars="200"/>
        <w:jc w:val="left"/>
        <w:rPr>
          <w:rFonts w:ascii="宋体" w:hAnsi="宋体" w:cs="宋体"/>
          <w:sz w:val="24"/>
        </w:rPr>
      </w:pPr>
      <w:bookmarkStart w:id="237" w:name="_Toc246996942"/>
      <w:bookmarkStart w:id="238" w:name="_Toc152042331"/>
      <w:bookmarkStart w:id="239" w:name="_Toc179632573"/>
      <w:bookmarkStart w:id="240" w:name="_Toc296602443"/>
      <w:bookmarkStart w:id="241" w:name="_Toc247085713"/>
      <w:bookmarkStart w:id="242" w:name="_Toc152045555"/>
      <w:bookmarkStart w:id="243" w:name="_Toc246996199"/>
      <w:bookmarkStart w:id="244" w:name="_Toc144974523"/>
      <w:r>
        <w:rPr>
          <w:rFonts w:hint="eastAsia" w:ascii="宋体" w:hAnsi="宋体" w:cs="宋体"/>
          <w:sz w:val="24"/>
        </w:rPr>
        <w:t>3.7.1 投标文件应按第九章“投标文件格式”进行编写，如有必要，可以增加附页，作为投标文件的组成部分。其中，投标函附录在满足招标文件实质性要求的基础上，可以提出比招标文件要求更有利于投标人的承诺。</w:t>
      </w:r>
    </w:p>
    <w:p w14:paraId="4D0C7386">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3.7.2 投标文件应当对招标文件有关计划工期、投标有效期、质量要求、招标范围等实质性内容作出响应。</w:t>
      </w:r>
    </w:p>
    <w:p w14:paraId="2CD11373">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3.7.3 电子化投标文件的签章：</w:t>
      </w:r>
    </w:p>
    <w:p w14:paraId="413E3984">
      <w:pPr>
        <w:widowControl/>
        <w:tabs>
          <w:tab w:val="left" w:pos="946"/>
        </w:tabs>
        <w:spacing w:line="520" w:lineRule="exact"/>
        <w:ind w:right="100" w:firstLine="480" w:firstLineChars="200"/>
        <w:jc w:val="left"/>
        <w:rPr>
          <w:rFonts w:ascii="宋体" w:hAnsi="宋体" w:cs="宋体"/>
          <w:sz w:val="24"/>
        </w:rPr>
      </w:pPr>
      <w:r>
        <w:rPr>
          <w:rFonts w:hint="eastAsia" w:ascii="宋体" w:hAnsi="宋体" w:cs="宋体"/>
          <w:sz w:val="24"/>
        </w:rPr>
        <w:t>1、投标人在生成电子化投标文件后，应对电子化投标文件进行签章，未进行签章的视为无效投标。</w:t>
      </w:r>
    </w:p>
    <w:p w14:paraId="689C609C">
      <w:pPr>
        <w:widowControl/>
        <w:tabs>
          <w:tab w:val="left" w:pos="946"/>
        </w:tabs>
        <w:spacing w:line="520" w:lineRule="exact"/>
        <w:ind w:right="100" w:firstLine="480" w:firstLineChars="200"/>
        <w:jc w:val="left"/>
      </w:pPr>
      <w:r>
        <w:rPr>
          <w:rFonts w:hint="eastAsia" w:ascii="宋体" w:hAnsi="宋体" w:cs="宋体"/>
          <w:sz w:val="24"/>
        </w:rPr>
        <w:t>2、招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组建下载”中查看。</w:t>
      </w:r>
    </w:p>
    <w:bookmarkEnd w:id="237"/>
    <w:bookmarkEnd w:id="238"/>
    <w:bookmarkEnd w:id="239"/>
    <w:bookmarkEnd w:id="240"/>
    <w:bookmarkEnd w:id="241"/>
    <w:bookmarkEnd w:id="242"/>
    <w:bookmarkEnd w:id="243"/>
    <w:bookmarkEnd w:id="244"/>
    <w:p w14:paraId="61FA5B6B">
      <w:pPr>
        <w:pStyle w:val="3"/>
        <w:spacing w:before="0" w:after="0" w:line="360" w:lineRule="auto"/>
        <w:rPr>
          <w:rFonts w:ascii="宋体" w:hAnsi="宋体"/>
        </w:rPr>
      </w:pPr>
      <w:bookmarkStart w:id="245" w:name="_Toc24748"/>
      <w:bookmarkStart w:id="246" w:name="_Toc12817"/>
      <w:bookmarkStart w:id="247" w:name="_Toc2512"/>
      <w:bookmarkStart w:id="248" w:name="_Toc152045562"/>
      <w:bookmarkStart w:id="249" w:name="_Toc247085720"/>
      <w:bookmarkStart w:id="250" w:name="_Toc21085"/>
      <w:bookmarkStart w:id="251" w:name="_Toc246996206"/>
      <w:bookmarkStart w:id="252" w:name="_Toc144974530"/>
      <w:bookmarkStart w:id="253" w:name="_Toc152042338"/>
      <w:bookmarkStart w:id="254" w:name="_Toc179632580"/>
      <w:bookmarkStart w:id="255" w:name="_Toc296602451"/>
      <w:bookmarkStart w:id="256" w:name="_Toc246996949"/>
      <w:r>
        <w:rPr>
          <w:rFonts w:hint="eastAsia" w:ascii="宋体" w:hAnsi="宋体"/>
        </w:rPr>
        <w:t>4.投标（电子平台投标文件上传）</w:t>
      </w:r>
      <w:bookmarkEnd w:id="245"/>
      <w:bookmarkEnd w:id="246"/>
      <w:bookmarkEnd w:id="247"/>
    </w:p>
    <w:p w14:paraId="3105621A">
      <w:pPr>
        <w:pStyle w:val="4"/>
        <w:spacing w:line="500" w:lineRule="exact"/>
        <w:rPr>
          <w:rFonts w:ascii="宋体" w:hAnsi="宋体" w:cs="宋体"/>
          <w:sz w:val="24"/>
          <w:szCs w:val="24"/>
        </w:rPr>
      </w:pPr>
      <w:bookmarkStart w:id="257" w:name="_Toc64882984"/>
      <w:bookmarkStart w:id="258" w:name="_Toc81406506"/>
      <w:bookmarkStart w:id="259" w:name="_Toc30254"/>
      <w:bookmarkStart w:id="260" w:name="_Toc1848"/>
      <w:bookmarkStart w:id="261" w:name="_Toc27752"/>
      <w:bookmarkStart w:id="262" w:name="_Toc4241"/>
      <w:bookmarkStart w:id="263" w:name="_Toc4308"/>
      <w:r>
        <w:rPr>
          <w:rFonts w:hint="eastAsia" w:ascii="宋体" w:hAnsi="宋体" w:cs="宋体"/>
          <w:sz w:val="24"/>
          <w:szCs w:val="24"/>
        </w:rPr>
        <w:t>4.1投标文件的加密</w:t>
      </w:r>
      <w:bookmarkEnd w:id="257"/>
      <w:bookmarkEnd w:id="258"/>
      <w:bookmarkEnd w:id="259"/>
    </w:p>
    <w:p w14:paraId="3BC09939">
      <w:pPr>
        <w:spacing w:line="500" w:lineRule="exact"/>
        <w:ind w:firstLine="480" w:firstLineChars="200"/>
        <w:rPr>
          <w:rFonts w:ascii="宋体" w:hAnsi="宋体" w:cs="宋体"/>
          <w:sz w:val="24"/>
        </w:rPr>
      </w:pPr>
      <w:r>
        <w:rPr>
          <w:rFonts w:hint="eastAsia" w:ascii="宋体" w:hAnsi="宋体" w:cs="宋体"/>
          <w:sz w:val="24"/>
        </w:rPr>
        <w:t>投标文件应采用双信封形式，投标文件应按照本章第3.7项要求制作并加密，未按要求加密的投标文件，招标人（“电子交易平台”）将拒绝接收并提示。</w:t>
      </w:r>
    </w:p>
    <w:p w14:paraId="7B388B99">
      <w:pPr>
        <w:pStyle w:val="4"/>
        <w:spacing w:line="500" w:lineRule="exact"/>
        <w:rPr>
          <w:rFonts w:ascii="宋体" w:hAnsi="宋体" w:cs="宋体"/>
          <w:sz w:val="24"/>
          <w:szCs w:val="24"/>
        </w:rPr>
      </w:pPr>
      <w:bookmarkStart w:id="264" w:name="_Toc81406507"/>
      <w:bookmarkStart w:id="265" w:name="_Toc2554"/>
      <w:bookmarkStart w:id="266" w:name="_Toc64882985"/>
      <w:r>
        <w:rPr>
          <w:rFonts w:hint="eastAsia" w:ascii="宋体" w:hAnsi="宋体" w:cs="宋体"/>
          <w:sz w:val="24"/>
          <w:szCs w:val="24"/>
        </w:rPr>
        <w:t>4.2投标文件的递交</w:t>
      </w:r>
      <w:bookmarkEnd w:id="264"/>
      <w:bookmarkEnd w:id="265"/>
      <w:bookmarkEnd w:id="266"/>
    </w:p>
    <w:p w14:paraId="66949162">
      <w:pPr>
        <w:spacing w:line="500" w:lineRule="exact"/>
        <w:ind w:firstLine="480" w:firstLineChars="200"/>
        <w:rPr>
          <w:rFonts w:ascii="宋体" w:hAnsi="宋体" w:cs="宋体"/>
          <w:sz w:val="24"/>
        </w:rPr>
      </w:pPr>
      <w:r>
        <w:rPr>
          <w:rFonts w:hint="eastAsia" w:ascii="宋体" w:hAnsi="宋体" w:cs="宋体"/>
          <w:sz w:val="24"/>
        </w:rPr>
        <w:t>4.2.1投标人应在第一章“招标公告”规定的投标截止时间前，通过互联网使用CA数字证书登录“电子交易平台”，将加密的投标文件上传，并保存上传成功后系统自动生成的电子签收凭证，递交时间即为电子签收凭证时间。投标人应充分考虑上传文件时的不可预见因素，未在投标截止时间前完成上传的，视为逾期送达，招标人（“电子交易平台”）将拒绝接收。</w:t>
      </w:r>
    </w:p>
    <w:p w14:paraId="46B5E1CB">
      <w:pPr>
        <w:spacing w:line="500" w:lineRule="exact"/>
        <w:ind w:firstLine="480" w:firstLineChars="200"/>
        <w:rPr>
          <w:rFonts w:ascii="宋体" w:hAnsi="宋体" w:cs="宋体"/>
          <w:sz w:val="24"/>
        </w:rPr>
      </w:pPr>
      <w:r>
        <w:rPr>
          <w:rFonts w:hint="eastAsia" w:ascii="宋体" w:hAnsi="宋体" w:cs="宋体"/>
          <w:sz w:val="24"/>
        </w:rPr>
        <w:t>4.2.2投标人递交投标文件的地点：见第一章“招标公告”。</w:t>
      </w:r>
    </w:p>
    <w:p w14:paraId="779C9A29">
      <w:pPr>
        <w:spacing w:line="500" w:lineRule="exact"/>
        <w:ind w:firstLine="480" w:firstLineChars="200"/>
        <w:rPr>
          <w:rFonts w:ascii="宋体" w:hAnsi="宋体" w:cs="宋体"/>
          <w:sz w:val="24"/>
        </w:rPr>
      </w:pPr>
      <w:r>
        <w:rPr>
          <w:rFonts w:hint="eastAsia" w:ascii="宋体" w:hAnsi="宋体" w:cs="宋体"/>
          <w:sz w:val="24"/>
        </w:rPr>
        <w:t>4.2.3除投标人须知前附表另有规定外，投标人所递交的投标文件不予退还。投标人少于3个的，将不予开标。</w:t>
      </w:r>
    </w:p>
    <w:p w14:paraId="73C18BA2">
      <w:pPr>
        <w:pStyle w:val="4"/>
        <w:spacing w:line="500" w:lineRule="exact"/>
        <w:rPr>
          <w:rFonts w:ascii="宋体" w:hAnsi="宋体" w:cs="宋体"/>
          <w:sz w:val="24"/>
          <w:szCs w:val="24"/>
        </w:rPr>
      </w:pPr>
      <w:bookmarkStart w:id="267" w:name="_Toc64882986"/>
      <w:bookmarkStart w:id="268" w:name="_Toc19931"/>
      <w:bookmarkStart w:id="269" w:name="_Toc81406508"/>
      <w:r>
        <w:rPr>
          <w:rFonts w:hint="eastAsia" w:ascii="宋体" w:hAnsi="宋体" w:cs="宋体"/>
          <w:sz w:val="24"/>
          <w:szCs w:val="24"/>
        </w:rPr>
        <w:t>4.3投标文件的修改与撤回</w:t>
      </w:r>
      <w:bookmarkEnd w:id="267"/>
      <w:bookmarkEnd w:id="268"/>
      <w:bookmarkEnd w:id="269"/>
    </w:p>
    <w:p w14:paraId="287C5C9D">
      <w:pPr>
        <w:spacing w:line="500" w:lineRule="exact"/>
        <w:ind w:firstLine="480" w:firstLineChars="200"/>
        <w:rPr>
          <w:rFonts w:ascii="宋体" w:hAnsi="宋体" w:cs="宋体"/>
          <w:sz w:val="24"/>
        </w:rPr>
      </w:pPr>
      <w:r>
        <w:rPr>
          <w:rFonts w:hint="eastAsia" w:ascii="宋体" w:hAnsi="宋体" w:cs="宋体"/>
          <w:sz w:val="24"/>
        </w:rPr>
        <w:t>4.3.1在本章第4.2.1项规定的投标截止时间前，投标人可以修改或撤回已递交的投标文件。投标人对加密的投标文件进行撤回的，应在“电子交易平台”直接进行撤回操作：投标人对加密的投标文件进行修改的，应在投标截止时间前完成上传。</w:t>
      </w:r>
    </w:p>
    <w:p w14:paraId="02140AAC">
      <w:pPr>
        <w:spacing w:line="500" w:lineRule="exact"/>
        <w:ind w:firstLine="480" w:firstLineChars="200"/>
        <w:rPr>
          <w:rFonts w:ascii="宋体" w:hAnsi="宋体" w:cs="宋体"/>
          <w:sz w:val="24"/>
        </w:rPr>
      </w:pPr>
      <w:r>
        <w:rPr>
          <w:rFonts w:hint="eastAsia" w:ascii="宋体" w:hAnsi="宋体" w:cs="宋体"/>
          <w:sz w:val="24"/>
        </w:rPr>
        <w:t>4.3.2投标人修改投标文件的，应使用“投标文件制作工具”制作成完整的投标文件，并按照本章第3条、第4条规定进行编制、加密和递交。对采用网上递交的加密的投标文件，以投标截止时间前最后完成上传的文件为准。</w:t>
      </w:r>
    </w:p>
    <w:p w14:paraId="355CF8C6">
      <w:pPr>
        <w:spacing w:line="500" w:lineRule="exact"/>
        <w:ind w:firstLine="480" w:firstLineChars="200"/>
        <w:rPr>
          <w:rFonts w:ascii="宋体" w:hAnsi="宋体" w:cs="宋体"/>
          <w:sz w:val="24"/>
        </w:rPr>
      </w:pPr>
      <w:r>
        <w:rPr>
          <w:rFonts w:hint="eastAsia" w:ascii="宋体" w:hAnsi="宋体" w:cs="宋体"/>
          <w:sz w:val="24"/>
        </w:rPr>
        <w:t>4.3.3投标人撤回投标文件的，招标人自收到投标人书面撤回通知之日起5日内退还已收取的投标保证金。</w:t>
      </w:r>
    </w:p>
    <w:p w14:paraId="2C4B3993">
      <w:pPr>
        <w:pStyle w:val="3"/>
        <w:spacing w:before="0" w:after="0" w:line="360" w:lineRule="auto"/>
        <w:rPr>
          <w:rFonts w:ascii="宋体" w:hAnsi="宋体"/>
        </w:rPr>
      </w:pPr>
      <w:bookmarkStart w:id="270" w:name="_Toc25950"/>
      <w:bookmarkStart w:id="271" w:name="_Toc12906"/>
      <w:r>
        <w:rPr>
          <w:rFonts w:hint="eastAsia" w:ascii="宋体" w:hAnsi="宋体"/>
        </w:rPr>
        <w:t>5．开标</w:t>
      </w:r>
      <w:bookmarkEnd w:id="260"/>
      <w:r>
        <w:rPr>
          <w:rFonts w:hint="eastAsia" w:ascii="宋体" w:hAnsi="宋体"/>
        </w:rPr>
        <w:t>（本项目为电子开标）</w:t>
      </w:r>
      <w:bookmarkEnd w:id="261"/>
      <w:bookmarkEnd w:id="262"/>
      <w:bookmarkEnd w:id="263"/>
      <w:bookmarkEnd w:id="270"/>
      <w:bookmarkEnd w:id="271"/>
    </w:p>
    <w:p w14:paraId="1BCA5128">
      <w:pPr>
        <w:spacing w:line="500" w:lineRule="exact"/>
        <w:ind w:firstLine="482" w:firstLineChars="200"/>
        <w:rPr>
          <w:rFonts w:ascii="宋体" w:hAnsi="宋体" w:cs="宋体"/>
          <w:b/>
          <w:bCs/>
          <w:sz w:val="24"/>
        </w:rPr>
      </w:pPr>
      <w:bookmarkStart w:id="272" w:name="_Toc81406510"/>
      <w:r>
        <w:rPr>
          <w:rFonts w:hint="eastAsia" w:ascii="宋体" w:hAnsi="宋体" w:cs="宋体"/>
          <w:b/>
          <w:bCs/>
          <w:sz w:val="24"/>
        </w:rPr>
        <w:t>5.1开标时间和地点</w:t>
      </w:r>
      <w:bookmarkEnd w:id="272"/>
    </w:p>
    <w:p w14:paraId="13C37EA6">
      <w:pPr>
        <w:spacing w:line="500" w:lineRule="exact"/>
        <w:ind w:firstLine="480" w:firstLineChars="200"/>
        <w:rPr>
          <w:rFonts w:ascii="宋体" w:hAnsi="宋体" w:cs="宋体"/>
          <w:sz w:val="24"/>
        </w:rPr>
      </w:pPr>
      <w:r>
        <w:rPr>
          <w:rFonts w:hint="eastAsia" w:ascii="宋体" w:hAnsi="宋体" w:cs="宋体"/>
          <w:sz w:val="24"/>
        </w:rPr>
        <w:t>5.1.1招标人在本章第4.2.1项规定的投标截止时间（开标时间）和投标人须知前附表规定的地点对收到的投标文件第一个信封（商务及技术文件）公开开标，请所有投标人的法定代表人或其委托代理人准时登录不见面交易平台，在线参加。</w:t>
      </w:r>
    </w:p>
    <w:p w14:paraId="1D5A682B">
      <w:pPr>
        <w:spacing w:line="500" w:lineRule="exact"/>
        <w:ind w:firstLine="480" w:firstLineChars="200"/>
        <w:rPr>
          <w:rFonts w:ascii="宋体" w:hAnsi="宋体" w:cs="宋体"/>
          <w:sz w:val="24"/>
        </w:rPr>
      </w:pPr>
      <w:r>
        <w:rPr>
          <w:rFonts w:hint="eastAsia" w:ascii="宋体" w:hAnsi="宋体" w:cs="宋体"/>
          <w:sz w:val="24"/>
        </w:rPr>
        <w:t>招标人在投标人须知前附表规定的时间和地点对投标文件第二个信封（报价文件）公开开标，并邀请所有投标人的法定代表人或其委托代理人准时登录不见面交易平台，在线参加。</w:t>
      </w:r>
    </w:p>
    <w:p w14:paraId="69DC1EF0">
      <w:pPr>
        <w:spacing w:line="500" w:lineRule="exact"/>
        <w:ind w:firstLine="480" w:firstLineChars="200"/>
        <w:rPr>
          <w:rFonts w:ascii="宋体" w:hAnsi="宋体" w:cs="宋体"/>
          <w:sz w:val="24"/>
        </w:rPr>
      </w:pPr>
      <w:r>
        <w:rPr>
          <w:rFonts w:hint="eastAsia" w:ascii="宋体" w:hAnsi="宋体" w:cs="宋体"/>
          <w:sz w:val="24"/>
        </w:rPr>
        <w:t>投标人若未派法定代表人或委托代理人按时登录不见面交易平台，视为该投标人默认开标结果。</w:t>
      </w:r>
    </w:p>
    <w:p w14:paraId="16BDEEDA">
      <w:pPr>
        <w:spacing w:line="500" w:lineRule="exact"/>
        <w:ind w:firstLine="482" w:firstLineChars="200"/>
        <w:rPr>
          <w:rFonts w:ascii="宋体" w:hAnsi="宋体" w:cs="宋体"/>
          <w:b/>
          <w:bCs/>
          <w:sz w:val="24"/>
        </w:rPr>
      </w:pPr>
      <w:bookmarkStart w:id="273" w:name="_Toc81406511"/>
      <w:r>
        <w:rPr>
          <w:rFonts w:hint="eastAsia" w:ascii="宋体" w:hAnsi="宋体" w:cs="宋体"/>
          <w:b/>
          <w:bCs/>
          <w:sz w:val="24"/>
        </w:rPr>
        <w:t>5.2开标程序</w:t>
      </w:r>
      <w:bookmarkEnd w:id="273"/>
    </w:p>
    <w:p w14:paraId="7D49A70D">
      <w:pPr>
        <w:spacing w:line="500" w:lineRule="exact"/>
        <w:ind w:firstLine="480" w:firstLineChars="200"/>
        <w:rPr>
          <w:rFonts w:ascii="宋体" w:hAnsi="宋体" w:cs="宋体"/>
          <w:sz w:val="24"/>
        </w:rPr>
      </w:pPr>
      <w:r>
        <w:rPr>
          <w:rFonts w:hint="eastAsia" w:ascii="宋体" w:hAnsi="宋体" w:cs="宋体"/>
          <w:sz w:val="24"/>
        </w:rPr>
        <w:t>5.2.1主持人按下列程序对投标文件第一个信封（商务及技术文件）进行开标：</w:t>
      </w:r>
    </w:p>
    <w:p w14:paraId="003DCE6F">
      <w:pPr>
        <w:spacing w:line="500" w:lineRule="exact"/>
        <w:ind w:firstLine="480" w:firstLineChars="200"/>
        <w:rPr>
          <w:rFonts w:ascii="宋体" w:hAnsi="宋体" w:cs="宋体"/>
          <w:sz w:val="24"/>
        </w:rPr>
      </w:pPr>
      <w:r>
        <w:rPr>
          <w:rFonts w:hint="eastAsia" w:ascii="宋体" w:hAnsi="宋体" w:cs="宋体"/>
          <w:sz w:val="24"/>
        </w:rPr>
        <w:t>（1）宣布开标纪律；</w:t>
      </w:r>
    </w:p>
    <w:p w14:paraId="5A3610FA">
      <w:pPr>
        <w:spacing w:line="500" w:lineRule="exact"/>
        <w:ind w:firstLine="480" w:firstLineChars="200"/>
        <w:rPr>
          <w:rFonts w:ascii="宋体" w:hAnsi="宋体" w:cs="宋体"/>
          <w:sz w:val="24"/>
        </w:rPr>
      </w:pPr>
      <w:r>
        <w:rPr>
          <w:rFonts w:hint="eastAsia" w:ascii="宋体" w:hAnsi="宋体" w:cs="宋体"/>
          <w:sz w:val="24"/>
        </w:rPr>
        <w:t>（2）公布在投标截止时间前递交投标文件的投标人数量；</w:t>
      </w:r>
    </w:p>
    <w:p w14:paraId="17EAB3D4">
      <w:pPr>
        <w:spacing w:line="500" w:lineRule="exact"/>
        <w:ind w:firstLine="480" w:firstLineChars="200"/>
        <w:rPr>
          <w:rFonts w:ascii="宋体" w:hAnsi="宋体" w:cs="宋体"/>
          <w:sz w:val="24"/>
        </w:rPr>
      </w:pPr>
      <w:r>
        <w:rPr>
          <w:rFonts w:hint="eastAsia" w:ascii="宋体" w:hAnsi="宋体" w:cs="宋体"/>
          <w:sz w:val="24"/>
        </w:rPr>
        <w:t>（3）宣布开标人、唱标人、记录人等有关人员姓名；</w:t>
      </w:r>
    </w:p>
    <w:p w14:paraId="16193EF5">
      <w:pPr>
        <w:spacing w:line="500" w:lineRule="exact"/>
        <w:ind w:firstLine="480" w:firstLineChars="200"/>
        <w:rPr>
          <w:rFonts w:ascii="宋体" w:hAnsi="宋体" w:cs="宋体"/>
          <w:sz w:val="24"/>
        </w:rPr>
      </w:pPr>
      <w:r>
        <w:rPr>
          <w:rFonts w:hint="eastAsia" w:ascii="宋体" w:hAnsi="宋体" w:cs="宋体"/>
          <w:sz w:val="24"/>
        </w:rPr>
        <w:t>（4）投标人代表解密加密的投标文件；</w:t>
      </w:r>
    </w:p>
    <w:p w14:paraId="620E45CF">
      <w:pPr>
        <w:spacing w:line="500" w:lineRule="exact"/>
        <w:ind w:firstLine="480" w:firstLineChars="200"/>
        <w:rPr>
          <w:rFonts w:ascii="宋体" w:hAnsi="宋体" w:cs="宋体"/>
          <w:sz w:val="24"/>
        </w:rPr>
      </w:pPr>
      <w:r>
        <w:rPr>
          <w:rFonts w:hint="eastAsia" w:ascii="宋体" w:hAnsi="宋体" w:cs="宋体"/>
          <w:sz w:val="24"/>
        </w:rPr>
        <w:t>（5）招标人对未成功解密的投标文件进行退回并按本章第5.3进行补救处理；</w:t>
      </w:r>
    </w:p>
    <w:p w14:paraId="35735EB2">
      <w:pPr>
        <w:spacing w:line="500" w:lineRule="exact"/>
        <w:ind w:firstLine="480" w:firstLineChars="200"/>
        <w:rPr>
          <w:rFonts w:ascii="宋体" w:hAnsi="宋体" w:cs="宋体"/>
          <w:sz w:val="24"/>
        </w:rPr>
      </w:pPr>
      <w:r>
        <w:rPr>
          <w:rFonts w:hint="eastAsia" w:ascii="宋体" w:hAnsi="宋体" w:cs="宋体"/>
          <w:sz w:val="24"/>
        </w:rPr>
        <w:t>（6）导入并读取所有解密成功的投标文件的内容；</w:t>
      </w:r>
    </w:p>
    <w:p w14:paraId="09C8F41C">
      <w:pPr>
        <w:spacing w:line="500" w:lineRule="exact"/>
        <w:ind w:firstLine="480" w:firstLineChars="200"/>
        <w:rPr>
          <w:rFonts w:ascii="宋体" w:hAnsi="宋体" w:cs="宋体"/>
          <w:sz w:val="24"/>
        </w:rPr>
      </w:pPr>
      <w:r>
        <w:rPr>
          <w:rFonts w:hint="eastAsia" w:ascii="宋体" w:hAnsi="宋体" w:cs="宋体"/>
          <w:sz w:val="24"/>
        </w:rPr>
        <w:t>（7）公布投标人名称、投标保证金的递交情况、工期及其他内容，并记录在案；</w:t>
      </w:r>
    </w:p>
    <w:p w14:paraId="2C21A5D5">
      <w:pPr>
        <w:spacing w:line="500" w:lineRule="exact"/>
        <w:ind w:firstLine="480" w:firstLineChars="200"/>
        <w:rPr>
          <w:rFonts w:ascii="宋体" w:hAnsi="宋体" w:cs="宋体"/>
          <w:sz w:val="24"/>
        </w:rPr>
      </w:pPr>
      <w:r>
        <w:rPr>
          <w:rFonts w:hint="eastAsia" w:ascii="宋体" w:hAnsi="宋体" w:cs="宋体"/>
          <w:sz w:val="24"/>
        </w:rPr>
        <w:t>（8）开标结束。</w:t>
      </w:r>
    </w:p>
    <w:p w14:paraId="77261DDA">
      <w:pPr>
        <w:spacing w:line="500" w:lineRule="exact"/>
        <w:ind w:firstLine="480" w:firstLineChars="200"/>
        <w:rPr>
          <w:rFonts w:ascii="宋体" w:hAnsi="宋体" w:cs="宋体"/>
          <w:sz w:val="24"/>
        </w:rPr>
      </w:pPr>
      <w:r>
        <w:rPr>
          <w:rFonts w:hint="eastAsia" w:ascii="宋体" w:hAnsi="宋体" w:cs="宋体"/>
          <w:sz w:val="24"/>
        </w:rPr>
        <w:t>在投标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5B26989B">
      <w:pPr>
        <w:spacing w:line="500" w:lineRule="exact"/>
        <w:ind w:firstLine="480" w:firstLineChars="200"/>
        <w:rPr>
          <w:rFonts w:ascii="宋体" w:hAnsi="宋体" w:cs="宋体"/>
          <w:sz w:val="24"/>
        </w:rPr>
      </w:pPr>
      <w:r>
        <w:rPr>
          <w:rFonts w:hint="eastAsia" w:ascii="宋体" w:hAnsi="宋体" w:cs="宋体"/>
          <w:sz w:val="24"/>
        </w:rPr>
        <w:t>5.2.2投标文件第二个信封（报价文件）暂时不予开启。</w:t>
      </w:r>
    </w:p>
    <w:p w14:paraId="491AB06C">
      <w:pPr>
        <w:spacing w:line="500" w:lineRule="exact"/>
        <w:ind w:firstLine="480" w:firstLineChars="200"/>
        <w:rPr>
          <w:rFonts w:ascii="宋体" w:hAnsi="宋体" w:cs="宋体"/>
          <w:sz w:val="24"/>
        </w:rPr>
      </w:pPr>
      <w:r>
        <w:rPr>
          <w:rFonts w:hint="eastAsia" w:ascii="宋体" w:hAnsi="宋体" w:cs="宋体"/>
          <w:sz w:val="24"/>
        </w:rPr>
        <w:t>5.2.3招标人将按照本章第5.1款规定的时间和地点对投标文件第二个信封（报价文件）进行开标。主持人按下列程序进行开标：</w:t>
      </w:r>
    </w:p>
    <w:p w14:paraId="5F5810D6">
      <w:pPr>
        <w:spacing w:line="500" w:lineRule="exact"/>
        <w:ind w:firstLine="480" w:firstLineChars="200"/>
        <w:rPr>
          <w:rFonts w:ascii="宋体" w:hAnsi="宋体" w:cs="宋体"/>
          <w:sz w:val="24"/>
        </w:rPr>
      </w:pPr>
      <w:r>
        <w:rPr>
          <w:rFonts w:hint="eastAsia" w:ascii="宋体" w:hAnsi="宋体" w:cs="宋体"/>
          <w:sz w:val="24"/>
        </w:rPr>
        <w:t>（1）宣布开标纪律；</w:t>
      </w:r>
    </w:p>
    <w:p w14:paraId="30D902E1">
      <w:pPr>
        <w:spacing w:line="500" w:lineRule="exact"/>
        <w:ind w:firstLine="480" w:firstLineChars="200"/>
        <w:rPr>
          <w:rFonts w:ascii="宋体" w:hAnsi="宋体" w:cs="宋体"/>
          <w:sz w:val="24"/>
        </w:rPr>
      </w:pPr>
      <w:r>
        <w:rPr>
          <w:rFonts w:hint="eastAsia" w:ascii="宋体" w:hAnsi="宋体" w:cs="宋体"/>
          <w:sz w:val="24"/>
        </w:rPr>
        <w:t>（2）公布参与第二个信封（报价文件）的投标人数量；</w:t>
      </w:r>
    </w:p>
    <w:p w14:paraId="14A2F9D6">
      <w:pPr>
        <w:spacing w:line="520" w:lineRule="exact"/>
        <w:ind w:firstLine="480" w:firstLineChars="200"/>
        <w:rPr>
          <w:rFonts w:ascii="宋体" w:hAnsi="宋体" w:cs="宋体"/>
          <w:sz w:val="24"/>
        </w:rPr>
      </w:pPr>
      <w:r>
        <w:rPr>
          <w:rFonts w:hint="eastAsia" w:ascii="宋体" w:hAnsi="宋体" w:cs="宋体"/>
          <w:sz w:val="24"/>
        </w:rPr>
        <w:t>（3）宣布开标人、唱标人、记录人等有关人员姓名；</w:t>
      </w:r>
    </w:p>
    <w:p w14:paraId="28744D45">
      <w:pPr>
        <w:spacing w:line="520" w:lineRule="exact"/>
        <w:ind w:firstLine="480" w:firstLineChars="200"/>
        <w:rPr>
          <w:rFonts w:ascii="宋体" w:hAnsi="宋体" w:cs="宋体"/>
          <w:sz w:val="24"/>
        </w:rPr>
      </w:pPr>
      <w:r>
        <w:rPr>
          <w:rFonts w:hint="eastAsia" w:ascii="宋体" w:hAnsi="宋体" w:cs="宋体"/>
          <w:sz w:val="24"/>
        </w:rPr>
        <w:t>（4）投标人代表在线解密加密的投标文件；</w:t>
      </w:r>
    </w:p>
    <w:p w14:paraId="2D3906F6">
      <w:pPr>
        <w:spacing w:line="520" w:lineRule="exact"/>
        <w:ind w:firstLine="480" w:firstLineChars="200"/>
        <w:rPr>
          <w:rFonts w:ascii="宋体" w:hAnsi="宋体" w:cs="宋体"/>
          <w:sz w:val="24"/>
        </w:rPr>
      </w:pPr>
      <w:r>
        <w:rPr>
          <w:rFonts w:hint="eastAsia" w:ascii="宋体" w:hAnsi="宋体" w:cs="宋体"/>
          <w:sz w:val="24"/>
        </w:rPr>
        <w:t>（5）招标人对未成功解密的投标文件进行退回并按本章第5.4进行补救处理；；</w:t>
      </w:r>
    </w:p>
    <w:p w14:paraId="27FDDC2F">
      <w:pPr>
        <w:spacing w:line="520" w:lineRule="exact"/>
        <w:ind w:firstLine="480" w:firstLineChars="200"/>
        <w:rPr>
          <w:rFonts w:ascii="宋体" w:hAnsi="宋体" w:cs="宋体"/>
          <w:sz w:val="24"/>
        </w:rPr>
      </w:pPr>
      <w:r>
        <w:rPr>
          <w:rFonts w:hint="eastAsia" w:ascii="宋体" w:hAnsi="宋体" w:cs="宋体"/>
          <w:sz w:val="24"/>
        </w:rPr>
        <w:t>（6）导入并读取所有解密成功的投标文件的内容；</w:t>
      </w:r>
    </w:p>
    <w:p w14:paraId="5F9140CB">
      <w:pPr>
        <w:spacing w:line="520" w:lineRule="exact"/>
        <w:ind w:firstLine="480" w:firstLineChars="200"/>
        <w:rPr>
          <w:rFonts w:ascii="宋体" w:hAnsi="宋体" w:cs="宋体"/>
          <w:sz w:val="24"/>
        </w:rPr>
      </w:pPr>
      <w:r>
        <w:rPr>
          <w:rFonts w:hint="eastAsia" w:ascii="宋体" w:hAnsi="宋体" w:cs="宋体"/>
          <w:sz w:val="24"/>
        </w:rPr>
        <w:t>（7）公布投标人名称、投标报价，并记录在案；</w:t>
      </w:r>
    </w:p>
    <w:p w14:paraId="64F74E4B">
      <w:pPr>
        <w:spacing w:line="520" w:lineRule="exact"/>
        <w:ind w:firstLine="480" w:firstLineChars="200"/>
        <w:rPr>
          <w:rFonts w:ascii="宋体" w:hAnsi="宋体" w:cs="宋体"/>
          <w:sz w:val="24"/>
        </w:rPr>
      </w:pPr>
      <w:r>
        <w:rPr>
          <w:rFonts w:hint="eastAsia" w:ascii="宋体" w:hAnsi="宋体" w:cs="宋体"/>
          <w:sz w:val="24"/>
        </w:rPr>
        <w:t>（8）计算并宣布评标基准价；</w:t>
      </w:r>
    </w:p>
    <w:p w14:paraId="56886C2E">
      <w:pPr>
        <w:spacing w:line="520" w:lineRule="exact"/>
        <w:ind w:firstLine="480" w:firstLineChars="200"/>
        <w:rPr>
          <w:rFonts w:ascii="宋体" w:hAnsi="宋体" w:cs="宋体"/>
          <w:sz w:val="24"/>
        </w:rPr>
      </w:pPr>
      <w:r>
        <w:rPr>
          <w:rFonts w:hint="eastAsia" w:ascii="宋体" w:hAnsi="宋体" w:cs="宋体"/>
          <w:sz w:val="24"/>
        </w:rPr>
        <w:t>（9）开标结束。</w:t>
      </w:r>
    </w:p>
    <w:p w14:paraId="3C69CEBD">
      <w:pPr>
        <w:spacing w:line="520" w:lineRule="exact"/>
        <w:ind w:firstLine="480" w:firstLineChars="200"/>
        <w:rPr>
          <w:rFonts w:ascii="宋体" w:hAnsi="宋体" w:cs="宋体"/>
          <w:sz w:val="24"/>
        </w:rPr>
      </w:pPr>
      <w:r>
        <w:rPr>
          <w:rFonts w:hint="eastAsia" w:ascii="宋体" w:hAnsi="宋体" w:cs="宋体"/>
          <w:sz w:val="24"/>
        </w:rPr>
        <w:t>5.2.4在投标文件第二个信封(报价文件)开标现场，招标人将按第三章“评标办法”规定的原则计算并宣布评标基准价。若招标人发现投标文件出现以下任一情况，其投标报价将不再参加评标基准价的计算：</w:t>
      </w:r>
    </w:p>
    <w:p w14:paraId="61A0A4C6">
      <w:pPr>
        <w:spacing w:line="520" w:lineRule="exact"/>
        <w:ind w:firstLine="480" w:firstLineChars="200"/>
        <w:rPr>
          <w:rFonts w:ascii="宋体" w:hAnsi="宋体" w:cs="宋体"/>
          <w:sz w:val="24"/>
        </w:rPr>
      </w:pPr>
      <w:r>
        <w:rPr>
          <w:rFonts w:hint="eastAsia" w:ascii="宋体" w:hAnsi="宋体" w:cs="宋体"/>
          <w:sz w:val="24"/>
        </w:rPr>
        <w:t>（1）未在投标函上填写投标总价；</w:t>
      </w:r>
    </w:p>
    <w:p w14:paraId="0D62C4D4">
      <w:pPr>
        <w:spacing w:line="520" w:lineRule="exact"/>
        <w:ind w:firstLine="480" w:firstLineChars="200"/>
        <w:rPr>
          <w:rFonts w:ascii="宋体" w:hAnsi="宋体" w:cs="宋体"/>
          <w:sz w:val="24"/>
        </w:rPr>
      </w:pPr>
      <w:r>
        <w:rPr>
          <w:rFonts w:hint="eastAsia" w:ascii="宋体" w:hAnsi="宋体" w:cs="宋体"/>
          <w:sz w:val="24"/>
        </w:rPr>
        <w:t>（2）投标报价超出招标人公布的最高投标限价（如有）；</w:t>
      </w:r>
    </w:p>
    <w:p w14:paraId="420448C3">
      <w:pPr>
        <w:spacing w:line="520" w:lineRule="exact"/>
        <w:ind w:firstLine="480" w:firstLineChars="200"/>
        <w:rPr>
          <w:rFonts w:ascii="宋体" w:hAnsi="宋体" w:cs="宋体"/>
          <w:sz w:val="24"/>
        </w:rPr>
      </w:pPr>
      <w:r>
        <w:rPr>
          <w:rFonts w:hint="eastAsia" w:ascii="宋体" w:hAnsi="宋体" w:cs="宋体"/>
          <w:sz w:val="24"/>
        </w:rPr>
        <w:t>（3）投标报价的大写金额无法确定具体数值；</w:t>
      </w:r>
    </w:p>
    <w:p w14:paraId="5B86F7C2">
      <w:pPr>
        <w:spacing w:line="520" w:lineRule="exact"/>
        <w:ind w:firstLine="480" w:firstLineChars="200"/>
        <w:rPr>
          <w:rFonts w:ascii="宋体" w:hAnsi="宋体" w:cs="宋体"/>
          <w:sz w:val="24"/>
        </w:rPr>
      </w:pPr>
      <w:r>
        <w:rPr>
          <w:rFonts w:hint="eastAsia" w:ascii="宋体" w:hAnsi="宋体" w:cs="宋体"/>
          <w:sz w:val="24"/>
        </w:rPr>
        <w:t>如果投标人</w:t>
      </w:r>
      <w:r>
        <w:rPr>
          <w:rFonts w:ascii="宋体" w:hAnsi="宋体"/>
          <w:sz w:val="24"/>
          <w:szCs w:val="24"/>
        </w:rPr>
        <w:t>认为</w:t>
      </w:r>
      <w:r>
        <w:rPr>
          <w:rFonts w:hint="eastAsia" w:ascii="宋体" w:hAnsi="宋体"/>
          <w:sz w:val="24"/>
          <w:szCs w:val="24"/>
        </w:rPr>
        <w:t>项目</w:t>
      </w:r>
      <w:r>
        <w:rPr>
          <w:rFonts w:ascii="宋体" w:hAnsi="宋体"/>
          <w:sz w:val="24"/>
          <w:szCs w:val="24"/>
        </w:rPr>
        <w:t>的</w:t>
      </w:r>
      <w:r>
        <w:rPr>
          <w:rFonts w:hint="eastAsia" w:ascii="宋体" w:hAnsi="宋体" w:cs="宋体"/>
          <w:sz w:val="24"/>
        </w:rPr>
        <w:t>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13D6D2AF">
      <w:pPr>
        <w:spacing w:line="520" w:lineRule="exact"/>
        <w:ind w:firstLine="480" w:firstLineChars="200"/>
        <w:rPr>
          <w:rFonts w:ascii="宋体" w:hAnsi="宋体" w:cs="宋体"/>
          <w:sz w:val="24"/>
        </w:rPr>
      </w:pPr>
      <w:r>
        <w:rPr>
          <w:rFonts w:hint="eastAsia" w:ascii="宋体" w:hAnsi="宋体" w:cs="宋体"/>
          <w:sz w:val="24"/>
        </w:rPr>
        <w:t>5.2.5在投标文件第一个信封(商务及技术文件)或第二个信封(报价文件)开标过程中，若招标人宣读的内容与投标文件不符，投标人有权在开标线上提出疑问，经招标人当场核查确认之后，可重新宣读其投标文件。若投标人在线上未提出疑问，则认为投标人已确认招标人宣读的内容。</w:t>
      </w:r>
    </w:p>
    <w:p w14:paraId="12FD4589">
      <w:pPr>
        <w:spacing w:line="520" w:lineRule="exact"/>
        <w:ind w:firstLine="480" w:firstLineChars="200"/>
        <w:rPr>
          <w:rFonts w:ascii="宋体" w:hAnsi="宋体" w:cs="宋体"/>
          <w:color w:val="auto"/>
          <w:sz w:val="24"/>
        </w:rPr>
      </w:pPr>
      <w:r>
        <w:rPr>
          <w:rFonts w:hint="eastAsia" w:ascii="宋体" w:hAnsi="宋体" w:cs="宋体"/>
          <w:color w:val="auto"/>
          <w:sz w:val="24"/>
        </w:rPr>
        <w:t>5.2.6电子化投标文件异常情况的处理</w:t>
      </w:r>
    </w:p>
    <w:p w14:paraId="165E2BC5">
      <w:pPr>
        <w:spacing w:line="520" w:lineRule="exact"/>
        <w:ind w:firstLine="480" w:firstLineChars="200"/>
        <w:rPr>
          <w:rFonts w:ascii="宋体" w:hAnsi="宋体" w:cs="宋体"/>
          <w:color w:val="auto"/>
          <w:sz w:val="24"/>
        </w:rPr>
      </w:pPr>
      <w:r>
        <w:rPr>
          <w:rFonts w:hint="eastAsia" w:ascii="宋体" w:hAnsi="宋体" w:cs="宋体"/>
          <w:color w:val="auto"/>
          <w:sz w:val="24"/>
        </w:rPr>
        <w:t>如出现投标人的电子投标文件无法解密等异常情况，投标人应及时致电中介服务机构说明。投标文件异常，按以下步骤进行处理：</w:t>
      </w:r>
    </w:p>
    <w:p w14:paraId="2CEDBA80">
      <w:pPr>
        <w:spacing w:line="520" w:lineRule="exact"/>
        <w:ind w:firstLine="480" w:firstLineChars="200"/>
        <w:rPr>
          <w:rFonts w:ascii="宋体" w:hAnsi="宋体" w:cs="宋体"/>
          <w:color w:val="auto"/>
          <w:sz w:val="24"/>
        </w:rPr>
      </w:pPr>
      <w:r>
        <w:rPr>
          <w:rFonts w:hint="eastAsia" w:ascii="宋体" w:hAnsi="宋体" w:cs="宋体"/>
          <w:color w:val="auto"/>
          <w:sz w:val="24"/>
        </w:rPr>
        <w:t>（1）首先由技术人员进行问题排查。</w:t>
      </w:r>
    </w:p>
    <w:p w14:paraId="1C8FC376">
      <w:pPr>
        <w:spacing w:line="520" w:lineRule="exact"/>
        <w:ind w:firstLine="480" w:firstLineChars="200"/>
        <w:rPr>
          <w:rFonts w:ascii="宋体" w:hAnsi="宋体" w:cs="宋体"/>
          <w:color w:val="auto"/>
          <w:sz w:val="24"/>
        </w:rPr>
      </w:pPr>
      <w:r>
        <w:rPr>
          <w:rFonts w:hint="eastAsia" w:ascii="宋体" w:hAnsi="宋体" w:cs="宋体"/>
          <w:color w:val="auto"/>
          <w:sz w:val="24"/>
        </w:rPr>
        <w:t>（2）经技术人员排查后，是投标人文件自身问题导致投标文件无法解密的，该投标文件将不予接收、解密和唱标。开标会议继续进行。</w:t>
      </w:r>
    </w:p>
    <w:p w14:paraId="1528A6A0">
      <w:pPr>
        <w:spacing w:line="520" w:lineRule="exact"/>
        <w:ind w:firstLine="480" w:firstLineChars="200"/>
        <w:rPr>
          <w:rFonts w:ascii="宋体" w:hAnsi="宋体" w:cs="宋体"/>
          <w:color w:val="auto"/>
          <w:sz w:val="24"/>
        </w:rPr>
      </w:pPr>
      <w:r>
        <w:rPr>
          <w:rFonts w:hint="eastAsia" w:ascii="宋体" w:hAnsi="宋体" w:cs="宋体"/>
          <w:color w:val="auto"/>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4A11545">
      <w:pPr>
        <w:spacing w:line="520" w:lineRule="exact"/>
        <w:ind w:firstLine="480" w:firstLineChars="200"/>
        <w:rPr>
          <w:rFonts w:ascii="宋体" w:hAnsi="宋体" w:cs="宋体"/>
          <w:color w:val="auto"/>
          <w:sz w:val="24"/>
        </w:rPr>
      </w:pPr>
      <w:r>
        <w:rPr>
          <w:rFonts w:hint="eastAsia" w:ascii="宋体" w:hAnsi="宋体" w:cs="宋体"/>
          <w:color w:val="auto"/>
          <w:sz w:val="24"/>
        </w:rPr>
        <w:t>5.2.7待所有投标人投标文件解密完成后，由代理机构操作，对所有已解密投标文件进行唱标。</w:t>
      </w:r>
    </w:p>
    <w:p w14:paraId="76F56C89">
      <w:pPr>
        <w:spacing w:line="520" w:lineRule="exact"/>
        <w:ind w:firstLine="480" w:firstLineChars="200"/>
        <w:rPr>
          <w:rFonts w:ascii="宋体" w:hAnsi="宋体" w:cs="宋体"/>
          <w:sz w:val="24"/>
        </w:rPr>
      </w:pPr>
      <w:r>
        <w:rPr>
          <w:rFonts w:hint="eastAsia" w:ascii="宋体" w:hAnsi="宋体" w:cs="宋体"/>
          <w:color w:val="auto"/>
          <w:sz w:val="24"/>
        </w:rPr>
        <w:t>投标人应保证在开标期间电话、电脑、网络能够正常工作，投标人因停电、电脑病毒、网络堵塞等原因，未在规定的解密时间内对投标文件进行解密的，其投标文件不予接收、唱标。</w:t>
      </w:r>
    </w:p>
    <w:p w14:paraId="02F9FAF7">
      <w:pPr>
        <w:spacing w:line="520" w:lineRule="exact"/>
        <w:ind w:firstLine="482" w:firstLineChars="200"/>
        <w:rPr>
          <w:rFonts w:ascii="宋体" w:hAnsi="宋体" w:cs="宋体"/>
          <w:b/>
          <w:bCs/>
          <w:sz w:val="24"/>
        </w:rPr>
      </w:pPr>
      <w:bookmarkStart w:id="274" w:name="_Toc32463"/>
      <w:bookmarkStart w:id="275" w:name="_Toc514414230"/>
      <w:bookmarkStart w:id="276" w:name="_Toc17434"/>
      <w:bookmarkStart w:id="277" w:name="_Toc81406512"/>
      <w:bookmarkStart w:id="278" w:name="_Toc64882990"/>
      <w:r>
        <w:rPr>
          <w:rFonts w:hint="eastAsia" w:ascii="宋体" w:hAnsi="宋体" w:cs="宋体"/>
          <w:b/>
          <w:bCs/>
          <w:sz w:val="24"/>
        </w:rPr>
        <w:t>5.3．开标异议</w:t>
      </w:r>
      <w:bookmarkEnd w:id="274"/>
      <w:bookmarkEnd w:id="275"/>
      <w:bookmarkEnd w:id="276"/>
    </w:p>
    <w:p w14:paraId="6B6321C3">
      <w:pPr>
        <w:spacing w:line="360" w:lineRule="auto"/>
        <w:rPr>
          <w:rFonts w:ascii="宋体" w:hAnsi="宋体" w:cs="宋体"/>
          <w:sz w:val="24"/>
          <w:szCs w:val="24"/>
        </w:rPr>
      </w:pPr>
      <w:r>
        <w:rPr>
          <w:rFonts w:hint="eastAsia" w:ascii="宋体" w:hAnsi="宋体" w:cs="宋体"/>
          <w:sz w:val="24"/>
          <w:szCs w:val="24"/>
        </w:rPr>
        <w:t>　</w:t>
      </w:r>
      <w:r>
        <w:rPr>
          <w:rFonts w:hint="eastAsia" w:ascii="宋体" w:hAnsi="宋体" w:cs="宋体"/>
          <w:sz w:val="24"/>
        </w:rPr>
        <w:t>　投标人对开标有异议的，应当在开标现场提出，招标人当场作出答复，并制作记录，有异议的投标人、招标人代表、记录人等有关人员在记录上签字确认。</w:t>
      </w:r>
    </w:p>
    <w:p w14:paraId="3B2BC832">
      <w:pPr>
        <w:spacing w:line="520" w:lineRule="exact"/>
        <w:ind w:firstLine="482" w:firstLineChars="200"/>
        <w:rPr>
          <w:rFonts w:ascii="宋体" w:hAnsi="宋体" w:cs="宋体"/>
          <w:b/>
          <w:bCs/>
          <w:sz w:val="24"/>
        </w:rPr>
      </w:pPr>
      <w:r>
        <w:rPr>
          <w:rFonts w:hint="eastAsia" w:ascii="宋体" w:hAnsi="宋体" w:cs="宋体"/>
          <w:b/>
          <w:bCs/>
          <w:sz w:val="24"/>
        </w:rPr>
        <w:t>5.4开标补救措施</w:t>
      </w:r>
      <w:bookmarkEnd w:id="277"/>
      <w:bookmarkEnd w:id="278"/>
    </w:p>
    <w:p w14:paraId="51C14015">
      <w:pPr>
        <w:spacing w:line="520" w:lineRule="exact"/>
        <w:ind w:firstLine="480" w:firstLineChars="200"/>
        <w:rPr>
          <w:rFonts w:ascii="宋体" w:hAnsi="宋体" w:cs="宋体"/>
          <w:sz w:val="24"/>
        </w:rPr>
      </w:pPr>
      <w:r>
        <w:rPr>
          <w:rFonts w:hint="eastAsia" w:ascii="宋体" w:hAnsi="宋体" w:cs="宋体"/>
          <w:sz w:val="24"/>
        </w:rPr>
        <w:t>5.4.1开标过程中因本章第5.4.2项、第5.4.3项所列原因，导致系统无法正常运行，将按投标人须知前附表的规定采取补救措施。</w:t>
      </w:r>
    </w:p>
    <w:p w14:paraId="1A27132E">
      <w:pPr>
        <w:spacing w:line="520" w:lineRule="exact"/>
        <w:ind w:firstLine="480" w:firstLineChars="200"/>
        <w:rPr>
          <w:rFonts w:ascii="宋体" w:hAnsi="宋体" w:cs="宋体"/>
          <w:sz w:val="24"/>
        </w:rPr>
      </w:pPr>
      <w:r>
        <w:rPr>
          <w:rFonts w:hint="eastAsia" w:ascii="宋体" w:hAnsi="宋体" w:cs="宋体"/>
          <w:sz w:val="24"/>
        </w:rPr>
        <w:t>5.4.2因“电子交易平台”系统故障导致投标人无法正常上传加密的投标文件投标人应打印并递交电子交易平台自动生成的上传失败的异常记录单。</w:t>
      </w:r>
    </w:p>
    <w:p w14:paraId="6BE5907A">
      <w:pPr>
        <w:spacing w:line="520" w:lineRule="exact"/>
        <w:ind w:firstLine="480" w:firstLineChars="200"/>
        <w:rPr>
          <w:rFonts w:ascii="宋体" w:hAnsi="宋体" w:cs="宋体"/>
          <w:sz w:val="24"/>
        </w:rPr>
      </w:pPr>
      <w:r>
        <w:rPr>
          <w:rFonts w:hint="eastAsia" w:ascii="宋体" w:hAnsi="宋体" w:cs="宋体"/>
          <w:sz w:val="24"/>
        </w:rPr>
        <w:t>5.4.3当出现以下情况时，应对未开标的中止电子开标，并在恢复正常后及时安排时间开标：</w:t>
      </w:r>
    </w:p>
    <w:p w14:paraId="1C31AF95">
      <w:pPr>
        <w:spacing w:line="500" w:lineRule="exact"/>
        <w:ind w:firstLine="480" w:firstLineChars="200"/>
        <w:rPr>
          <w:rFonts w:ascii="宋体" w:hAnsi="宋体" w:cs="宋体"/>
          <w:sz w:val="24"/>
        </w:rPr>
      </w:pPr>
      <w:r>
        <w:rPr>
          <w:rFonts w:hint="eastAsia" w:ascii="宋体" w:hAnsi="宋体" w:cs="宋体"/>
          <w:sz w:val="24"/>
        </w:rPr>
        <w:t>（1）系统服务器发生故障，无法访问或无法使用系统；</w:t>
      </w:r>
    </w:p>
    <w:p w14:paraId="64CF2642">
      <w:pPr>
        <w:spacing w:line="500" w:lineRule="exact"/>
        <w:ind w:firstLine="480" w:firstLineChars="200"/>
        <w:rPr>
          <w:rFonts w:ascii="宋体" w:hAnsi="宋体" w:cs="宋体"/>
          <w:sz w:val="24"/>
        </w:rPr>
      </w:pPr>
      <w:r>
        <w:rPr>
          <w:rFonts w:hint="eastAsia" w:ascii="宋体" w:hAnsi="宋体" w:cs="宋体"/>
          <w:sz w:val="24"/>
        </w:rPr>
        <w:t>（2）系统的软件或数据库出现错误，不能进行正常操作；</w:t>
      </w:r>
    </w:p>
    <w:p w14:paraId="32B50645">
      <w:pPr>
        <w:spacing w:line="500" w:lineRule="exact"/>
        <w:ind w:firstLine="480" w:firstLineChars="200"/>
        <w:rPr>
          <w:rFonts w:ascii="宋体" w:hAnsi="宋体" w:cs="宋体"/>
          <w:sz w:val="24"/>
        </w:rPr>
      </w:pPr>
      <w:r>
        <w:rPr>
          <w:rFonts w:hint="eastAsia" w:ascii="宋体" w:hAnsi="宋体" w:cs="宋体"/>
          <w:sz w:val="24"/>
        </w:rPr>
        <w:t>（3）系统发现有安全漏洞，有潜在的泄密危险；</w:t>
      </w:r>
    </w:p>
    <w:p w14:paraId="2A194D71">
      <w:pPr>
        <w:spacing w:line="500" w:lineRule="exact"/>
        <w:ind w:firstLine="480" w:firstLineChars="200"/>
        <w:rPr>
          <w:rFonts w:ascii="宋体" w:hAnsi="宋体" w:cs="宋体"/>
          <w:sz w:val="24"/>
        </w:rPr>
      </w:pPr>
      <w:r>
        <w:rPr>
          <w:rFonts w:hint="eastAsia" w:ascii="宋体" w:hAnsi="宋体" w:cs="宋体"/>
          <w:sz w:val="24"/>
        </w:rPr>
        <w:t>（4）出现断电事故且短时间内无法恢复供电；</w:t>
      </w:r>
    </w:p>
    <w:p w14:paraId="3584BB47">
      <w:pPr>
        <w:spacing w:line="500" w:lineRule="exact"/>
        <w:ind w:firstLine="480" w:firstLineChars="200"/>
        <w:rPr>
          <w:rFonts w:ascii="宋体" w:hAnsi="宋体" w:cs="宋体"/>
          <w:sz w:val="24"/>
        </w:rPr>
      </w:pPr>
      <w:r>
        <w:rPr>
          <w:rFonts w:hint="eastAsia" w:ascii="宋体" w:hAnsi="宋体" w:cs="宋体"/>
          <w:sz w:val="24"/>
        </w:rPr>
        <w:t>（5）其他无法保证招投标过程正常进行的情形。</w:t>
      </w:r>
    </w:p>
    <w:p w14:paraId="56888747">
      <w:pPr>
        <w:spacing w:line="500" w:lineRule="exact"/>
        <w:ind w:firstLine="480" w:firstLineChars="200"/>
        <w:rPr>
          <w:rFonts w:ascii="宋体" w:hAnsi="宋体" w:cs="宋体"/>
          <w:sz w:val="24"/>
        </w:rPr>
      </w:pPr>
      <w:r>
        <w:rPr>
          <w:rFonts w:hint="eastAsia" w:ascii="宋体" w:hAnsi="宋体" w:cs="宋体"/>
          <w:sz w:val="24"/>
        </w:rPr>
        <w:t>5.4.4采取补救措施时，必须对原有资料及信息作出妥善保密处理。</w:t>
      </w:r>
    </w:p>
    <w:p w14:paraId="151883E5">
      <w:pPr>
        <w:pStyle w:val="3"/>
        <w:keepNext w:val="0"/>
        <w:keepLines w:val="0"/>
        <w:tabs>
          <w:tab w:val="left" w:pos="5744"/>
        </w:tabs>
        <w:spacing w:before="0" w:after="0" w:line="360" w:lineRule="auto"/>
        <w:rPr>
          <w:rFonts w:ascii="宋体" w:hAnsi="宋体"/>
        </w:rPr>
      </w:pPr>
      <w:bookmarkStart w:id="279" w:name="_Toc31389"/>
      <w:r>
        <w:rPr>
          <w:rFonts w:hint="eastAsia" w:ascii="宋体" w:hAnsi="宋体"/>
        </w:rPr>
        <w:t>6. 评标</w:t>
      </w:r>
      <w:bookmarkEnd w:id="248"/>
      <w:bookmarkEnd w:id="249"/>
      <w:bookmarkEnd w:id="250"/>
      <w:bookmarkEnd w:id="251"/>
      <w:bookmarkEnd w:id="252"/>
      <w:bookmarkEnd w:id="253"/>
      <w:bookmarkEnd w:id="254"/>
      <w:bookmarkEnd w:id="255"/>
      <w:bookmarkEnd w:id="256"/>
      <w:bookmarkEnd w:id="279"/>
      <w:r>
        <w:rPr>
          <w:rFonts w:hint="eastAsia" w:ascii="宋体" w:hAnsi="宋体" w:cs="宋体"/>
          <w:sz w:val="24"/>
        </w:rPr>
        <w:t>（本项目为电子评标）</w:t>
      </w:r>
      <w:r>
        <w:rPr>
          <w:rFonts w:hint="eastAsia" w:ascii="宋体" w:hAnsi="宋体"/>
        </w:rPr>
        <w:tab/>
      </w:r>
    </w:p>
    <w:p w14:paraId="7BC53FF5">
      <w:pPr>
        <w:pStyle w:val="5"/>
        <w:spacing w:line="360" w:lineRule="auto"/>
        <w:rPr>
          <w:rFonts w:ascii="宋体" w:hAnsi="宋体" w:cs="宋体"/>
          <w:sz w:val="24"/>
          <w:szCs w:val="24"/>
        </w:rPr>
      </w:pPr>
      <w:bookmarkStart w:id="280" w:name="_Toc296602488"/>
      <w:bookmarkStart w:id="281" w:name="_Toc144974567"/>
      <w:bookmarkStart w:id="282" w:name="_Toc246996986"/>
      <w:bookmarkStart w:id="283" w:name="_Toc246996243"/>
      <w:bookmarkStart w:id="284" w:name="_Toc179632618"/>
      <w:bookmarkStart w:id="285" w:name="_Toc152045600"/>
      <w:bookmarkStart w:id="286" w:name="_Toc152042377"/>
      <w:bookmarkStart w:id="287" w:name="_Toc247085758"/>
      <w:r>
        <w:rPr>
          <w:rFonts w:hint="eastAsia" w:ascii="宋体" w:hAnsi="宋体" w:cs="宋体"/>
          <w:sz w:val="24"/>
          <w:szCs w:val="24"/>
        </w:rPr>
        <w:t>6.1 评标委员会</w:t>
      </w:r>
    </w:p>
    <w:p w14:paraId="439B0499">
      <w:pPr>
        <w:spacing w:line="360" w:lineRule="auto"/>
        <w:ind w:firstLine="480" w:firstLineChars="200"/>
        <w:rPr>
          <w:rFonts w:ascii="宋体" w:hAnsi="宋体" w:cs="宋体"/>
          <w:sz w:val="24"/>
        </w:rPr>
      </w:pPr>
      <w:r>
        <w:rPr>
          <w:rFonts w:hint="eastAsia" w:ascii="宋体" w:hAnsi="宋体" w:cs="宋体"/>
          <w:sz w:val="24"/>
        </w:rPr>
        <w:t>6.1.1</w:t>
      </w:r>
      <w:r>
        <w:rPr>
          <w:rFonts w:hint="eastAsia" w:ascii="宋体" w:hAnsi="宋体" w:cs="宋体"/>
          <w:kern w:val="0"/>
          <w:sz w:val="24"/>
        </w:rPr>
        <w:t>评标由招标人依法组建的评标委员会负责。评标委员会的组建详见投标人须知前附表</w:t>
      </w:r>
      <w:r>
        <w:rPr>
          <w:rFonts w:hint="eastAsia" w:ascii="宋体" w:hAnsi="宋体" w:cs="宋体"/>
          <w:sz w:val="24"/>
        </w:rPr>
        <w:t>。</w:t>
      </w:r>
    </w:p>
    <w:p w14:paraId="092FE864">
      <w:pPr>
        <w:spacing w:line="360" w:lineRule="auto"/>
        <w:ind w:firstLine="480" w:firstLineChars="200"/>
        <w:rPr>
          <w:rFonts w:ascii="宋体" w:hAnsi="宋体" w:cs="宋体"/>
          <w:sz w:val="24"/>
        </w:rPr>
      </w:pPr>
      <w:r>
        <w:rPr>
          <w:rFonts w:hint="eastAsia" w:ascii="宋体" w:hAnsi="宋体" w:cs="宋体"/>
          <w:sz w:val="24"/>
        </w:rPr>
        <w:t>6.1.2 评标委员会成员有下列情形之一的，应当回避：</w:t>
      </w:r>
    </w:p>
    <w:p w14:paraId="4B245C9B">
      <w:pPr>
        <w:spacing w:line="360" w:lineRule="auto"/>
        <w:ind w:firstLine="480" w:firstLineChars="200"/>
        <w:rPr>
          <w:rFonts w:ascii="宋体" w:hAnsi="宋体" w:cs="宋体"/>
          <w:kern w:val="0"/>
          <w:sz w:val="24"/>
        </w:rPr>
      </w:pPr>
      <w:r>
        <w:rPr>
          <w:rFonts w:hint="eastAsia" w:ascii="宋体" w:hAnsi="宋体" w:cs="宋体"/>
          <w:kern w:val="0"/>
          <w:sz w:val="24"/>
        </w:rPr>
        <w:t>（1）投标人或投标人主要负责人的近亲属；</w:t>
      </w:r>
    </w:p>
    <w:p w14:paraId="51614BA2">
      <w:pPr>
        <w:spacing w:line="360" w:lineRule="auto"/>
        <w:ind w:firstLine="480" w:firstLineChars="200"/>
        <w:rPr>
          <w:rFonts w:ascii="宋体" w:hAnsi="宋体" w:cs="宋体"/>
          <w:kern w:val="0"/>
          <w:sz w:val="24"/>
        </w:rPr>
      </w:pPr>
      <w:r>
        <w:rPr>
          <w:rFonts w:hint="eastAsia" w:ascii="宋体" w:hAnsi="宋体" w:cs="宋体"/>
          <w:kern w:val="0"/>
          <w:sz w:val="24"/>
        </w:rPr>
        <w:t>（2）项目主管部门或者行政监督部门的人员；</w:t>
      </w:r>
    </w:p>
    <w:p w14:paraId="399E42EC">
      <w:pPr>
        <w:spacing w:line="360" w:lineRule="auto"/>
        <w:ind w:firstLine="480" w:firstLineChars="200"/>
        <w:rPr>
          <w:rFonts w:ascii="宋体" w:hAnsi="宋体" w:cs="宋体"/>
          <w:kern w:val="0"/>
          <w:sz w:val="24"/>
        </w:rPr>
      </w:pPr>
      <w:r>
        <w:rPr>
          <w:rFonts w:hint="eastAsia" w:ascii="宋体" w:hAnsi="宋体" w:cs="宋体"/>
          <w:kern w:val="0"/>
          <w:sz w:val="24"/>
        </w:rPr>
        <w:t>（3）与投标人有经济利益关系，可能影响对投标公正评审的；</w:t>
      </w:r>
    </w:p>
    <w:p w14:paraId="3A88815B">
      <w:pPr>
        <w:spacing w:line="360" w:lineRule="auto"/>
        <w:ind w:firstLine="480" w:firstLineChars="200"/>
        <w:rPr>
          <w:rFonts w:ascii="宋体" w:hAnsi="宋体" w:cs="宋体"/>
          <w:kern w:val="0"/>
          <w:sz w:val="24"/>
        </w:rPr>
      </w:pPr>
      <w:r>
        <w:rPr>
          <w:rFonts w:hint="eastAsia" w:ascii="宋体" w:hAnsi="宋体" w:cs="宋体"/>
          <w:kern w:val="0"/>
          <w:sz w:val="24"/>
        </w:rPr>
        <w:t>（4）曾因在招标、评标以及其他与招标投标有关活动中从事违法行为而受过行政处罚或刑事处罚的；</w:t>
      </w:r>
    </w:p>
    <w:p w14:paraId="124B9589">
      <w:pPr>
        <w:spacing w:line="360" w:lineRule="auto"/>
        <w:ind w:firstLine="480" w:firstLineChars="200"/>
        <w:rPr>
          <w:rFonts w:ascii="宋体" w:hAnsi="宋体" w:cs="宋体"/>
          <w:kern w:val="0"/>
          <w:sz w:val="24"/>
        </w:rPr>
      </w:pPr>
      <w:r>
        <w:rPr>
          <w:rFonts w:hint="eastAsia" w:ascii="宋体" w:hAnsi="宋体" w:cs="宋体"/>
          <w:kern w:val="0"/>
          <w:sz w:val="24"/>
        </w:rPr>
        <w:t>（5）与投标人有其他利害关系。</w:t>
      </w:r>
    </w:p>
    <w:p w14:paraId="5A46FE79">
      <w:pPr>
        <w:pStyle w:val="5"/>
        <w:rPr>
          <w:rFonts w:ascii="宋体" w:hAnsi="宋体" w:cs="宋体"/>
          <w:sz w:val="24"/>
          <w:szCs w:val="24"/>
        </w:rPr>
      </w:pPr>
      <w:r>
        <w:rPr>
          <w:rFonts w:hint="eastAsia" w:ascii="宋体" w:hAnsi="宋体" w:cs="宋体"/>
          <w:sz w:val="24"/>
          <w:szCs w:val="24"/>
        </w:rPr>
        <w:t xml:space="preserve"> 6.2 评标原则</w:t>
      </w:r>
    </w:p>
    <w:p w14:paraId="2772F29B">
      <w:pPr>
        <w:spacing w:line="360" w:lineRule="auto"/>
        <w:ind w:firstLine="480" w:firstLineChars="200"/>
        <w:rPr>
          <w:rFonts w:ascii="宋体" w:hAnsi="宋体" w:cs="宋体"/>
          <w:sz w:val="24"/>
        </w:rPr>
      </w:pPr>
      <w:r>
        <w:rPr>
          <w:rFonts w:hint="eastAsia" w:ascii="宋体" w:hAnsi="宋体" w:cs="宋体"/>
          <w:sz w:val="24"/>
        </w:rPr>
        <w:t>评标活动遵循公平、公正、科学和择优的原则。</w:t>
      </w:r>
    </w:p>
    <w:p w14:paraId="30A217CE">
      <w:pPr>
        <w:spacing w:line="360" w:lineRule="auto"/>
        <w:rPr>
          <w:rFonts w:ascii="宋体" w:hAnsi="宋体" w:cs="宋体"/>
          <w:b/>
          <w:bCs/>
          <w:sz w:val="24"/>
          <w:szCs w:val="24"/>
        </w:rPr>
      </w:pPr>
      <w:bookmarkStart w:id="288" w:name="_Toc15113"/>
      <w:bookmarkStart w:id="289" w:name="_Toc362359952"/>
      <w:r>
        <w:rPr>
          <w:rFonts w:hint="eastAsia" w:ascii="宋体" w:hAnsi="宋体" w:cs="宋体"/>
          <w:b/>
          <w:bCs/>
          <w:sz w:val="24"/>
          <w:szCs w:val="24"/>
        </w:rPr>
        <w:t>6.3评标</w:t>
      </w:r>
      <w:bookmarkEnd w:id="288"/>
      <w:bookmarkEnd w:id="289"/>
    </w:p>
    <w:p w14:paraId="752F75C9">
      <w:pPr>
        <w:spacing w:line="360" w:lineRule="auto"/>
        <w:ind w:firstLine="480" w:firstLineChars="200"/>
        <w:rPr>
          <w:rFonts w:ascii="宋体" w:hAnsi="宋体"/>
          <w:sz w:val="24"/>
          <w:szCs w:val="24"/>
        </w:rPr>
      </w:pPr>
      <w:r>
        <w:rPr>
          <w:rFonts w:hint="eastAsia" w:ascii="宋体" w:hAnsi="宋体"/>
          <w:sz w:val="24"/>
          <w:szCs w:val="24"/>
        </w:rPr>
        <w:t>6.3.1评标委员会按照第三章“评标办法</w:t>
      </w:r>
      <w:r>
        <w:rPr>
          <w:rFonts w:hint="eastAsia" w:ascii="宋体" w:hAnsi="宋体" w:cs="宋体"/>
          <w:sz w:val="24"/>
        </w:rPr>
        <w:t>（合格制）</w:t>
      </w:r>
      <w:r>
        <w:rPr>
          <w:rFonts w:hint="eastAsia" w:ascii="宋体" w:hAnsi="宋体"/>
          <w:sz w:val="24"/>
          <w:szCs w:val="24"/>
        </w:rPr>
        <w:t>”规定的方法、评审因素、标准和程序对投标文件进行评审。第三章“评标办法</w:t>
      </w:r>
      <w:r>
        <w:rPr>
          <w:rFonts w:hint="eastAsia" w:ascii="宋体" w:hAnsi="宋体" w:cs="宋体"/>
          <w:sz w:val="24"/>
        </w:rPr>
        <w:t>（合格制）</w:t>
      </w:r>
      <w:r>
        <w:rPr>
          <w:rFonts w:hint="eastAsia" w:ascii="宋体" w:hAnsi="宋体"/>
          <w:sz w:val="24"/>
          <w:szCs w:val="24"/>
        </w:rPr>
        <w:t>”没有规定的方法、评审因素和标准，不作为评标依据。</w:t>
      </w:r>
    </w:p>
    <w:p w14:paraId="025E83C4">
      <w:pPr>
        <w:spacing w:line="360" w:lineRule="auto"/>
        <w:ind w:firstLine="480" w:firstLineChars="200"/>
        <w:rPr>
          <w:rFonts w:ascii="宋体" w:hAnsi="宋体" w:cs="宋体"/>
          <w:sz w:val="24"/>
          <w:szCs w:val="40"/>
        </w:rPr>
      </w:pPr>
      <w:r>
        <w:rPr>
          <w:rFonts w:hint="eastAsia" w:ascii="宋体" w:hAnsi="宋体"/>
          <w:sz w:val="24"/>
          <w:szCs w:val="24"/>
        </w:rPr>
        <w:t>6.3.2 评标完成后，评标委员会应当向招标人提交书面评标报告和中标候选人名单。评标报告应当载明每个中标候选人的特点、优势、缺点、风险等评审情况和推荐理由，并对技术、质量、安全、工期的控制能力等提供技术咨询建议，供定标委员会参考。</w:t>
      </w:r>
      <w:bookmarkStart w:id="290" w:name="_Toc863735720"/>
      <w:bookmarkStart w:id="291" w:name="_Toc1409094879"/>
      <w:bookmarkStart w:id="292" w:name="_Toc466566698"/>
      <w:bookmarkStart w:id="293" w:name="_Toc184635077"/>
      <w:bookmarkStart w:id="294" w:name="_Toc466566787"/>
    </w:p>
    <w:bookmarkEnd w:id="290"/>
    <w:p w14:paraId="22047029">
      <w:pPr>
        <w:pStyle w:val="4"/>
        <w:rPr>
          <w:rFonts w:ascii="宋体" w:hAnsi="宋体" w:cs="宋体"/>
          <w:sz w:val="24"/>
          <w:szCs w:val="24"/>
        </w:rPr>
      </w:pPr>
      <w:r>
        <w:rPr>
          <w:rFonts w:hint="eastAsia" w:ascii="宋体" w:hAnsi="宋体" w:cs="宋体"/>
          <w:sz w:val="24"/>
          <w:szCs w:val="24"/>
        </w:rPr>
        <w:t>6.4 中标候选人公示</w:t>
      </w:r>
      <w:bookmarkEnd w:id="291"/>
    </w:p>
    <w:p w14:paraId="544FBB13">
      <w:pPr>
        <w:spacing w:line="360" w:lineRule="auto"/>
        <w:ind w:firstLine="480" w:firstLineChars="200"/>
        <w:rPr>
          <w:rFonts w:ascii="宋体" w:hAnsi="宋体"/>
          <w:sz w:val="24"/>
          <w:szCs w:val="24"/>
        </w:rPr>
      </w:pPr>
      <w:r>
        <w:rPr>
          <w:rFonts w:hint="eastAsia" w:ascii="宋体" w:hAnsi="宋体"/>
          <w:sz w:val="24"/>
          <w:szCs w:val="24"/>
        </w:rPr>
        <w:t>招标人在收到评标报告之日起3日内，在与发布招标公告一致的媒体上发布中标候选人公示，公示期不得少于3日，公示应当载明所有投标人情况、推荐的中标候选人情况（包括项目投标信息、管理人员信息、业绩信息等）、否决投标情况及原因、异议方式、监督电话及投诉方式等内容。</w:t>
      </w:r>
    </w:p>
    <w:p w14:paraId="2E059DBE">
      <w:pPr>
        <w:pStyle w:val="3"/>
      </w:pPr>
      <w:r>
        <w:rPr>
          <w:rFonts w:hint="eastAsia"/>
        </w:rPr>
        <w:t>7.定标</w:t>
      </w:r>
    </w:p>
    <w:p w14:paraId="556B6A51">
      <w:pPr>
        <w:spacing w:line="360" w:lineRule="auto"/>
        <w:ind w:firstLine="482" w:firstLineChars="200"/>
        <w:rPr>
          <w:rFonts w:ascii="宋体" w:hAnsi="宋体" w:cs="宋体"/>
          <w:kern w:val="0"/>
          <w:sz w:val="24"/>
          <w:szCs w:val="24"/>
        </w:rPr>
      </w:pPr>
      <w:r>
        <w:rPr>
          <w:rFonts w:hint="eastAsia" w:ascii="宋体" w:hAnsi="宋体" w:cs="宋体"/>
          <w:b/>
          <w:bCs/>
          <w:kern w:val="0"/>
          <w:sz w:val="24"/>
          <w:szCs w:val="24"/>
        </w:rPr>
        <w:t>7.1</w:t>
      </w:r>
      <w:r>
        <w:rPr>
          <w:rFonts w:hint="eastAsia" w:ascii="宋体" w:hAnsi="宋体" w:cs="宋体"/>
          <w:kern w:val="0"/>
          <w:sz w:val="24"/>
          <w:szCs w:val="24"/>
        </w:rPr>
        <w:t>招标人应当在收到评标报告10日内完成定标工作，定标过程包括核查和定标会议两个阶段。定标会议应当在</w:t>
      </w:r>
      <w:r>
        <w:rPr>
          <w:rFonts w:hint="eastAsia" w:ascii="宋体" w:hAnsi="宋体" w:cs="宋体"/>
          <w:kern w:val="0"/>
          <w:sz w:val="24"/>
          <w:szCs w:val="24"/>
          <w:lang w:val="en-US" w:eastAsia="zh-CN"/>
        </w:rPr>
        <w:t>灵宝</w:t>
      </w:r>
      <w:r>
        <w:rPr>
          <w:rFonts w:hint="eastAsia" w:ascii="宋体" w:hAnsi="宋体" w:cs="宋体"/>
          <w:kern w:val="0"/>
          <w:sz w:val="24"/>
          <w:szCs w:val="24"/>
        </w:rPr>
        <w:t>市公共资源交易中心按流程进行，不能按时完成定标工作的，应当通过三门峡市公共资源交易平台发布延期原因和最终定标时间，最终定标时间不得超过投标有效期。</w:t>
      </w:r>
    </w:p>
    <w:p w14:paraId="27A66277">
      <w:pPr>
        <w:pStyle w:val="4"/>
        <w:rPr>
          <w:rFonts w:ascii="宋体" w:hAnsi="宋体" w:cs="宋体"/>
          <w:sz w:val="24"/>
          <w:szCs w:val="24"/>
        </w:rPr>
      </w:pPr>
      <w:bookmarkStart w:id="295" w:name="_Toc1960677989"/>
      <w:r>
        <w:rPr>
          <w:rFonts w:hint="eastAsia" w:ascii="宋体" w:hAnsi="宋体" w:cs="宋体"/>
          <w:sz w:val="24"/>
          <w:szCs w:val="24"/>
        </w:rPr>
        <w:t>7.2 定标委员会</w:t>
      </w:r>
      <w:bookmarkEnd w:id="295"/>
    </w:p>
    <w:p w14:paraId="778F71E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7.2.1 详见投标人须知前附表</w:t>
      </w:r>
    </w:p>
    <w:p w14:paraId="31BD0FAD">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7.2.2 定标委员会成员有下列情形之一的，应当回避：</w:t>
      </w:r>
    </w:p>
    <w:p w14:paraId="3D795274">
      <w:pPr>
        <w:spacing w:line="360" w:lineRule="auto"/>
        <w:ind w:firstLine="480" w:firstLineChars="200"/>
        <w:rPr>
          <w:rFonts w:ascii="宋体"/>
          <w:sz w:val="24"/>
          <w:szCs w:val="24"/>
        </w:rPr>
      </w:pPr>
      <w:r>
        <w:rPr>
          <w:rFonts w:hint="eastAsia" w:ascii="宋体" w:hAnsi="宋体"/>
          <w:sz w:val="24"/>
          <w:szCs w:val="24"/>
        </w:rPr>
        <w:t>（1）与投标单位有直接利益关系的。</w:t>
      </w:r>
    </w:p>
    <w:p w14:paraId="0AFBB5DA">
      <w:pPr>
        <w:spacing w:line="360" w:lineRule="auto"/>
        <w:ind w:firstLine="480" w:firstLineChars="200"/>
        <w:rPr>
          <w:rFonts w:ascii="宋体"/>
          <w:sz w:val="24"/>
          <w:szCs w:val="24"/>
        </w:rPr>
      </w:pPr>
      <w:r>
        <w:rPr>
          <w:rFonts w:hint="eastAsia" w:ascii="宋体" w:hAnsi="宋体"/>
          <w:sz w:val="24"/>
          <w:szCs w:val="24"/>
        </w:rPr>
        <w:t>（2）作为招标人代表参与本项目评标委员会的。</w:t>
      </w:r>
    </w:p>
    <w:p w14:paraId="610A07A1">
      <w:pPr>
        <w:spacing w:line="360" w:lineRule="auto"/>
        <w:ind w:firstLine="480" w:firstLineChars="200"/>
        <w:rPr>
          <w:rFonts w:ascii="宋体"/>
          <w:sz w:val="24"/>
          <w:szCs w:val="24"/>
        </w:rPr>
      </w:pPr>
      <w:r>
        <w:rPr>
          <w:rFonts w:hint="eastAsia" w:ascii="宋体" w:hAnsi="宋体"/>
          <w:sz w:val="24"/>
          <w:szCs w:val="24"/>
        </w:rPr>
        <w:t>（3）与投标人有经济利益关系，可能影响对投标公正评审的。</w:t>
      </w:r>
    </w:p>
    <w:p w14:paraId="1FD5261A">
      <w:pPr>
        <w:spacing w:line="360" w:lineRule="auto"/>
        <w:ind w:firstLine="480" w:firstLineChars="200"/>
        <w:rPr>
          <w:rFonts w:ascii="宋体" w:hAnsi="宋体"/>
          <w:sz w:val="24"/>
          <w:szCs w:val="24"/>
        </w:rPr>
      </w:pPr>
      <w:r>
        <w:rPr>
          <w:rFonts w:hint="eastAsia" w:ascii="宋体" w:hAnsi="宋体"/>
          <w:sz w:val="24"/>
          <w:szCs w:val="24"/>
        </w:rPr>
        <w:t>（4）本项目</w:t>
      </w:r>
      <w:r>
        <w:rPr>
          <w:rFonts w:hint="eastAsia" w:hAnsi="宋体"/>
          <w:sz w:val="24"/>
          <w:szCs w:val="24"/>
        </w:rPr>
        <w:t>资格审查工作小组成员或清标工作小</w:t>
      </w:r>
      <w:r>
        <w:rPr>
          <w:rFonts w:hint="eastAsia" w:ascii="宋体" w:hAnsi="宋体"/>
          <w:sz w:val="24"/>
          <w:szCs w:val="24"/>
        </w:rPr>
        <w:t>组成员。</w:t>
      </w:r>
    </w:p>
    <w:p w14:paraId="6C5DD542">
      <w:pPr>
        <w:spacing w:line="360" w:lineRule="auto"/>
        <w:ind w:firstLine="480" w:firstLineChars="200"/>
        <w:rPr>
          <w:rFonts w:ascii="宋体" w:hAnsi="宋体"/>
          <w:sz w:val="24"/>
          <w:szCs w:val="24"/>
        </w:rPr>
      </w:pPr>
      <w:r>
        <w:rPr>
          <w:rFonts w:hint="eastAsia" w:ascii="宋体" w:hAnsi="宋体"/>
          <w:sz w:val="24"/>
          <w:szCs w:val="24"/>
        </w:rPr>
        <w:t>（5）其它影响招标、投标公正评审情形。</w:t>
      </w:r>
    </w:p>
    <w:p w14:paraId="3BE4B5FA">
      <w:pPr>
        <w:pStyle w:val="4"/>
        <w:rPr>
          <w:rFonts w:ascii="宋体" w:hAnsi="宋体" w:cs="宋体"/>
          <w:sz w:val="24"/>
          <w:szCs w:val="24"/>
        </w:rPr>
      </w:pPr>
      <w:bookmarkStart w:id="296" w:name="_Toc761118850"/>
      <w:r>
        <w:rPr>
          <w:rFonts w:hint="eastAsia" w:ascii="宋体" w:hAnsi="宋体" w:cs="宋体"/>
          <w:sz w:val="24"/>
          <w:szCs w:val="24"/>
        </w:rPr>
        <w:t>7.3 定标原则</w:t>
      </w:r>
      <w:bookmarkEnd w:id="296"/>
    </w:p>
    <w:p w14:paraId="0EF131CE">
      <w:pPr>
        <w:adjustRightInd w:val="0"/>
        <w:snapToGrid w:val="0"/>
        <w:spacing w:line="360" w:lineRule="auto"/>
        <w:ind w:firstLine="420"/>
        <w:jc w:val="left"/>
        <w:rPr>
          <w:rFonts w:ascii="宋体" w:hAnsi="宋体" w:cs="宋体"/>
          <w:kern w:val="0"/>
          <w:sz w:val="24"/>
          <w:szCs w:val="24"/>
        </w:rPr>
      </w:pPr>
      <w:r>
        <w:rPr>
          <w:rFonts w:hint="eastAsia" w:ascii="宋体" w:hAnsi="宋体" w:cs="Courier New"/>
          <w:sz w:val="24"/>
          <w:szCs w:val="24"/>
        </w:rPr>
        <w:t>定标应当遵循公开透明、择优竞争、科学规范、廉洁高效的原则。</w:t>
      </w:r>
    </w:p>
    <w:p w14:paraId="62FD159E">
      <w:pPr>
        <w:pStyle w:val="4"/>
        <w:rPr>
          <w:rFonts w:ascii="宋体" w:hAnsi="宋体" w:cs="宋体"/>
          <w:sz w:val="24"/>
          <w:szCs w:val="24"/>
        </w:rPr>
      </w:pPr>
      <w:bookmarkStart w:id="297" w:name="_Toc1243929273"/>
      <w:r>
        <w:rPr>
          <w:rFonts w:hint="eastAsia" w:ascii="宋体" w:hAnsi="宋体" w:cs="宋体"/>
          <w:sz w:val="24"/>
          <w:szCs w:val="24"/>
        </w:rPr>
        <w:t>7.4 定标</w:t>
      </w:r>
      <w:bookmarkEnd w:id="297"/>
      <w:r>
        <w:rPr>
          <w:rFonts w:hint="eastAsia" w:ascii="宋体" w:hAnsi="宋体" w:cs="宋体"/>
          <w:sz w:val="24"/>
          <w:szCs w:val="24"/>
        </w:rPr>
        <w:t>程序</w:t>
      </w:r>
    </w:p>
    <w:p w14:paraId="040ED98F">
      <w:pPr>
        <w:spacing w:line="360" w:lineRule="auto"/>
        <w:rPr>
          <w:rFonts w:ascii="宋体" w:hAnsi="宋体" w:cs="Courier New"/>
          <w:sz w:val="24"/>
          <w:szCs w:val="24"/>
        </w:rPr>
      </w:pPr>
      <w:r>
        <w:rPr>
          <w:rFonts w:hint="eastAsia" w:ascii="宋体" w:hAnsi="宋体" w:cs="Courier New"/>
          <w:sz w:val="24"/>
          <w:szCs w:val="24"/>
        </w:rPr>
        <w:t>7.4.1核查</w:t>
      </w:r>
    </w:p>
    <w:p w14:paraId="545C2B48">
      <w:pPr>
        <w:spacing w:line="360" w:lineRule="auto"/>
        <w:ind w:firstLine="480" w:firstLineChars="200"/>
        <w:rPr>
          <w:rFonts w:ascii="宋体" w:hAnsi="宋体" w:cs="Courier New"/>
          <w:sz w:val="24"/>
          <w:szCs w:val="24"/>
        </w:rPr>
      </w:pPr>
      <w:r>
        <w:rPr>
          <w:rFonts w:hint="eastAsia" w:ascii="宋体" w:hAnsi="宋体" w:cs="Courier New"/>
          <w:sz w:val="24"/>
          <w:szCs w:val="24"/>
        </w:rPr>
        <w:t>定标委员会应当在收到评标报告后首先对中标候选人进行核查，形成核查报告，核查报告在定标会议召开前应当保密。核查内容应包括中标候选人的信用信息、履约能力、以及招标人认为其他需要核查的内容。核查内容不得设置不合理限制和隐性壁垒。招标文件中没有规定的核查标准和方法不得作为定标核查的依据，不得在定标过程中新增定标条件和要求。定标委员会经核查发现中标候选人确有弄虚作假、围标串标等情形的，应当否决相应中标候选人的中标资格，并及时向行政监督部门报告。</w:t>
      </w:r>
    </w:p>
    <w:p w14:paraId="208F185C">
      <w:pPr>
        <w:spacing w:line="360" w:lineRule="auto"/>
        <w:ind w:firstLine="480" w:firstLineChars="200"/>
        <w:rPr>
          <w:rFonts w:ascii="宋体" w:hAnsi="宋体" w:cs="Courier New"/>
          <w:sz w:val="24"/>
          <w:szCs w:val="24"/>
        </w:rPr>
      </w:pPr>
      <w:r>
        <w:rPr>
          <w:rFonts w:hint="eastAsia" w:ascii="宋体" w:hAnsi="宋体" w:cs="Courier New"/>
          <w:sz w:val="24"/>
          <w:szCs w:val="24"/>
        </w:rPr>
        <w:t>具体核查要求详见定标办法。</w:t>
      </w:r>
    </w:p>
    <w:p w14:paraId="793537B5">
      <w:pPr>
        <w:spacing w:line="360" w:lineRule="auto"/>
        <w:rPr>
          <w:rFonts w:ascii="宋体" w:hAnsi="宋体" w:cs="Courier New"/>
          <w:sz w:val="24"/>
          <w:szCs w:val="24"/>
        </w:rPr>
      </w:pPr>
      <w:r>
        <w:rPr>
          <w:rFonts w:hint="eastAsia" w:ascii="宋体" w:hAnsi="宋体" w:cs="Courier New"/>
          <w:sz w:val="24"/>
          <w:szCs w:val="24"/>
        </w:rPr>
        <w:t>7.4.2定标会议</w:t>
      </w:r>
    </w:p>
    <w:p w14:paraId="69E3F94F">
      <w:pPr>
        <w:spacing w:line="360" w:lineRule="auto"/>
        <w:ind w:firstLine="480" w:firstLineChars="200"/>
        <w:rPr>
          <w:rFonts w:ascii="宋体" w:hAnsi="宋体" w:cs="Courier New"/>
          <w:b/>
          <w:bCs/>
          <w:sz w:val="24"/>
          <w:szCs w:val="24"/>
        </w:rPr>
      </w:pPr>
      <w:r>
        <w:rPr>
          <w:rFonts w:hint="eastAsia" w:ascii="宋体" w:hAnsi="宋体" w:cs="Courier New"/>
          <w:sz w:val="24"/>
          <w:szCs w:val="24"/>
        </w:rPr>
        <w:t>招标人组织对中标候选人进行核查后，召开定标会议。定标会议</w:t>
      </w:r>
      <w:r>
        <w:rPr>
          <w:rFonts w:hint="eastAsia" w:ascii="宋体" w:hAnsi="宋体" w:cs="Courier New"/>
          <w:b/>
          <w:bCs/>
          <w:sz w:val="24"/>
          <w:szCs w:val="24"/>
        </w:rPr>
        <w:t>采用核查随机法确定中标人。</w:t>
      </w:r>
    </w:p>
    <w:p w14:paraId="69232405">
      <w:pPr>
        <w:pStyle w:val="4"/>
        <w:spacing w:line="360" w:lineRule="auto"/>
        <w:rPr>
          <w:rFonts w:ascii="宋体" w:hAnsi="宋体" w:cs="宋体"/>
          <w:sz w:val="24"/>
          <w:szCs w:val="24"/>
        </w:rPr>
      </w:pPr>
      <w:bookmarkStart w:id="298" w:name="_Toc1319964594"/>
      <w:r>
        <w:rPr>
          <w:rFonts w:hint="eastAsia" w:ascii="宋体" w:hAnsi="宋体" w:cs="宋体"/>
          <w:sz w:val="24"/>
          <w:szCs w:val="24"/>
        </w:rPr>
        <w:t>7.5 中标结果公示</w:t>
      </w:r>
      <w:bookmarkEnd w:id="298"/>
    </w:p>
    <w:p w14:paraId="5B265800">
      <w:pPr>
        <w:spacing w:line="360" w:lineRule="auto"/>
        <w:ind w:firstLine="480" w:firstLineChars="200"/>
        <w:rPr>
          <w:rFonts w:ascii="宋体" w:hAnsi="宋体" w:cs="宋体"/>
          <w:b/>
          <w:sz w:val="24"/>
          <w:szCs w:val="24"/>
        </w:rPr>
      </w:pPr>
      <w:r>
        <w:rPr>
          <w:rFonts w:ascii="宋体" w:hAnsi="宋体" w:cs="宋体"/>
          <w:kern w:val="0"/>
          <w:sz w:val="24"/>
          <w:szCs w:val="24"/>
        </w:rPr>
        <w:t>招标人应当在定标工作完成后3日内</w:t>
      </w:r>
      <w:r>
        <w:rPr>
          <w:rFonts w:hint="eastAsia" w:ascii="宋体" w:hAnsi="宋体" w:cs="宋体"/>
          <w:kern w:val="0"/>
          <w:sz w:val="24"/>
          <w:szCs w:val="24"/>
        </w:rPr>
        <w:t>在发布招标公告的同一网站</w:t>
      </w:r>
      <w:r>
        <w:rPr>
          <w:rFonts w:ascii="宋体" w:hAnsi="宋体" w:cs="宋体"/>
          <w:kern w:val="0"/>
          <w:sz w:val="24"/>
          <w:szCs w:val="24"/>
        </w:rPr>
        <w:t>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0BBC70BD">
      <w:pPr>
        <w:spacing w:line="360" w:lineRule="auto"/>
        <w:rPr>
          <w:rFonts w:ascii="宋体" w:hAnsi="宋体" w:cs="宋体"/>
          <w:b/>
          <w:sz w:val="30"/>
          <w:szCs w:val="30"/>
        </w:rPr>
      </w:pPr>
      <w:r>
        <w:rPr>
          <w:rFonts w:hint="eastAsia" w:ascii="宋体" w:hAnsi="宋体" w:cs="宋体"/>
          <w:b/>
          <w:sz w:val="30"/>
          <w:szCs w:val="30"/>
        </w:rPr>
        <w:t>8．合同授予</w:t>
      </w:r>
      <w:bookmarkEnd w:id="292"/>
      <w:bookmarkEnd w:id="293"/>
      <w:bookmarkEnd w:id="294"/>
    </w:p>
    <w:p w14:paraId="1BDB3C3C">
      <w:pPr>
        <w:pStyle w:val="5"/>
        <w:spacing w:line="360" w:lineRule="auto"/>
        <w:rPr>
          <w:rFonts w:ascii="宋体" w:hAnsi="宋体" w:cs="宋体"/>
          <w:sz w:val="24"/>
        </w:rPr>
      </w:pPr>
      <w:r>
        <w:rPr>
          <w:rFonts w:hint="eastAsia" w:ascii="宋体" w:hAnsi="宋体" w:cs="宋体"/>
          <w:sz w:val="24"/>
          <w:szCs w:val="24"/>
        </w:rPr>
        <w:t>8.1 定标方式：</w:t>
      </w:r>
      <w:r>
        <w:rPr>
          <w:rFonts w:hint="eastAsia" w:ascii="宋体" w:hAnsi="宋体" w:cs="宋体"/>
          <w:sz w:val="24"/>
        </w:rPr>
        <w:t>详见招标文件要求。</w:t>
      </w:r>
    </w:p>
    <w:p w14:paraId="17293173">
      <w:pPr>
        <w:pStyle w:val="5"/>
        <w:rPr>
          <w:rFonts w:ascii="宋体" w:hAnsi="宋体" w:cs="宋体"/>
          <w:sz w:val="24"/>
          <w:szCs w:val="24"/>
        </w:rPr>
      </w:pPr>
      <w:r>
        <w:rPr>
          <w:rFonts w:hint="eastAsia" w:ascii="宋体" w:hAnsi="宋体" w:cs="宋体"/>
          <w:sz w:val="24"/>
          <w:szCs w:val="24"/>
        </w:rPr>
        <w:t>8.2 中标通知</w:t>
      </w:r>
    </w:p>
    <w:p w14:paraId="0536EF00">
      <w:pPr>
        <w:spacing w:line="360" w:lineRule="auto"/>
        <w:ind w:firstLine="480" w:firstLineChars="200"/>
        <w:rPr>
          <w:rFonts w:ascii="宋体" w:hAnsi="宋体" w:cs="宋体"/>
          <w:sz w:val="24"/>
        </w:rPr>
      </w:pPr>
      <w:r>
        <w:rPr>
          <w:rFonts w:hint="eastAsia" w:ascii="宋体" w:hAnsi="宋体" w:cs="宋体"/>
          <w:sz w:val="24"/>
        </w:rPr>
        <w:t>在投标人须知前附表规定的投标有效期内，招标代理机构以书面形式向中标人发出中标通知书，同时将中标结果在网上公布。</w:t>
      </w:r>
    </w:p>
    <w:p w14:paraId="5EEBB0AE">
      <w:pPr>
        <w:pStyle w:val="5"/>
        <w:rPr>
          <w:rFonts w:ascii="宋体" w:hAnsi="宋体" w:cs="宋体"/>
          <w:sz w:val="24"/>
          <w:szCs w:val="24"/>
        </w:rPr>
      </w:pPr>
      <w:r>
        <w:rPr>
          <w:rFonts w:hint="eastAsia" w:ascii="宋体" w:hAnsi="宋体" w:cs="宋体"/>
          <w:sz w:val="24"/>
          <w:szCs w:val="24"/>
        </w:rPr>
        <w:t>8.3 签订合同</w:t>
      </w:r>
    </w:p>
    <w:p w14:paraId="01FEFC57">
      <w:pPr>
        <w:spacing w:line="360" w:lineRule="auto"/>
        <w:ind w:firstLine="480" w:firstLineChars="200"/>
        <w:rPr>
          <w:rFonts w:ascii="宋体" w:hAnsi="宋体" w:cs="宋体"/>
          <w:sz w:val="24"/>
        </w:rPr>
      </w:pPr>
      <w:r>
        <w:rPr>
          <w:rFonts w:hint="eastAsia" w:ascii="宋体" w:hAnsi="宋体" w:cs="宋体"/>
          <w:sz w:val="24"/>
        </w:rPr>
        <w:t>8.3.1 招标人和中标人应当在投标有效期内并且在自中标通知书发出之日起30天内，根据招标文件和中标人的投标文件订立书面合同。招标人发出中标结果通知，中标人无正当理由在7日内不领取中标通知书或者在30日内不签合同的，招标人取消其中标资格，其投标保证金不予退还；给招标人造成的损失超过投标保证金数额的，中标人还应当对超过部分予以赔偿。</w:t>
      </w:r>
    </w:p>
    <w:p w14:paraId="71075534">
      <w:pPr>
        <w:spacing w:line="360" w:lineRule="auto"/>
        <w:ind w:firstLine="480" w:firstLineChars="200"/>
        <w:rPr>
          <w:rFonts w:ascii="宋体" w:hAnsi="宋体" w:cs="宋体"/>
          <w:sz w:val="24"/>
        </w:rPr>
      </w:pPr>
      <w:r>
        <w:rPr>
          <w:rFonts w:hint="eastAsia" w:ascii="宋体" w:hAnsi="宋体" w:cs="宋体"/>
          <w:sz w:val="24"/>
        </w:rPr>
        <w:t>8.3.2 发出中标通知书后，招标人无正当理由拒签合同的，招标人向中标人退还投标保证金；给中标人造成损失的，还应当赔偿损失。</w:t>
      </w:r>
    </w:p>
    <w:p w14:paraId="656AB84D">
      <w:pPr>
        <w:spacing w:line="360" w:lineRule="auto"/>
        <w:rPr>
          <w:rFonts w:ascii="宋体" w:hAnsi="宋体" w:cs="宋体"/>
          <w:b/>
          <w:sz w:val="30"/>
          <w:szCs w:val="30"/>
        </w:rPr>
      </w:pPr>
      <w:bookmarkStart w:id="299" w:name="_Toc466566788"/>
      <w:bookmarkStart w:id="300" w:name="_Toc466566699"/>
      <w:r>
        <w:rPr>
          <w:rFonts w:hint="eastAsia" w:ascii="宋体" w:hAnsi="宋体" w:cs="宋体"/>
          <w:b/>
          <w:sz w:val="30"/>
          <w:szCs w:val="30"/>
        </w:rPr>
        <w:t>9.履约担保</w:t>
      </w:r>
      <w:bookmarkEnd w:id="299"/>
      <w:bookmarkEnd w:id="300"/>
    </w:p>
    <w:p w14:paraId="7014789D">
      <w:pPr>
        <w:spacing w:line="360" w:lineRule="auto"/>
        <w:ind w:firstLine="480" w:firstLineChars="200"/>
        <w:rPr>
          <w:rFonts w:ascii="宋体" w:hAnsi="宋体" w:cs="宋体"/>
          <w:sz w:val="24"/>
        </w:rPr>
      </w:pPr>
      <w:bookmarkStart w:id="301" w:name="_Toc184635078"/>
      <w:r>
        <w:rPr>
          <w:rFonts w:hint="eastAsia" w:ascii="宋体" w:hAnsi="宋体" w:cs="宋体"/>
          <w:sz w:val="24"/>
        </w:rPr>
        <w:t>9.1在签订合同前，中标人应按投标人须知前附表规定的金额、担保形式向招标人提交履约担保。</w:t>
      </w:r>
    </w:p>
    <w:p w14:paraId="49761205">
      <w:pPr>
        <w:spacing w:line="360" w:lineRule="auto"/>
        <w:ind w:firstLine="480" w:firstLineChars="200"/>
        <w:rPr>
          <w:rFonts w:ascii="宋体" w:hAnsi="宋体" w:cs="宋体"/>
          <w:sz w:val="24"/>
        </w:rPr>
      </w:pPr>
      <w:r>
        <w:rPr>
          <w:rFonts w:hint="eastAsia" w:ascii="宋体" w:hAnsi="宋体" w:cs="宋体"/>
          <w:sz w:val="24"/>
        </w:rPr>
        <w:t>9.2中标人不能按投标人须知前附表要求提交履约担保的，视为放弃中标，其投标保证金不予退还，给招标人造成的损失超过投标保证金数额的，中标人还应当对超过部分予以赔偿。</w:t>
      </w:r>
    </w:p>
    <w:p w14:paraId="6FA0EBB1">
      <w:pPr>
        <w:spacing w:line="360" w:lineRule="auto"/>
        <w:ind w:firstLine="480" w:firstLineChars="200"/>
        <w:rPr>
          <w:rFonts w:ascii="宋体" w:hAnsi="宋体" w:cs="宋体"/>
          <w:sz w:val="24"/>
        </w:rPr>
      </w:pPr>
      <w:r>
        <w:rPr>
          <w:rFonts w:hint="eastAsia" w:ascii="宋体" w:hAnsi="宋体" w:cs="宋体"/>
          <w:sz w:val="24"/>
        </w:rPr>
        <w:t>9.3收到中标通知书后5日内，中标人应按本须知前附表规定的金额向招标人提交履约担保。</w:t>
      </w:r>
    </w:p>
    <w:p w14:paraId="6CBE4F82">
      <w:pPr>
        <w:spacing w:line="360" w:lineRule="auto"/>
        <w:rPr>
          <w:rFonts w:ascii="宋体" w:hAnsi="宋体" w:cs="宋体"/>
          <w:b/>
          <w:sz w:val="30"/>
          <w:szCs w:val="30"/>
        </w:rPr>
      </w:pPr>
      <w:bookmarkStart w:id="302" w:name="_Toc466566789"/>
      <w:bookmarkStart w:id="303" w:name="_Toc466566700"/>
      <w:r>
        <w:rPr>
          <w:rFonts w:hint="eastAsia" w:ascii="宋体" w:hAnsi="宋体" w:cs="宋体"/>
          <w:b/>
          <w:sz w:val="30"/>
          <w:szCs w:val="30"/>
        </w:rPr>
        <w:t>10．重新招标和不再招标</w:t>
      </w:r>
      <w:bookmarkEnd w:id="301"/>
      <w:bookmarkEnd w:id="302"/>
      <w:bookmarkEnd w:id="303"/>
    </w:p>
    <w:p w14:paraId="106660E0">
      <w:pPr>
        <w:pStyle w:val="5"/>
        <w:spacing w:line="360" w:lineRule="auto"/>
        <w:rPr>
          <w:rFonts w:ascii="宋体" w:hAnsi="宋体" w:cs="宋体"/>
          <w:sz w:val="24"/>
          <w:szCs w:val="24"/>
        </w:rPr>
      </w:pPr>
      <w:r>
        <w:rPr>
          <w:rFonts w:hint="eastAsia" w:ascii="宋体" w:hAnsi="宋体" w:cs="宋体"/>
          <w:sz w:val="24"/>
          <w:szCs w:val="24"/>
        </w:rPr>
        <w:t>10.1 重新招标</w:t>
      </w:r>
    </w:p>
    <w:p w14:paraId="67D0AB45">
      <w:pPr>
        <w:spacing w:line="360" w:lineRule="auto"/>
        <w:ind w:firstLine="600" w:firstLineChars="250"/>
        <w:rPr>
          <w:rFonts w:ascii="宋体" w:hAnsi="宋体" w:cs="宋体"/>
          <w:sz w:val="24"/>
        </w:rPr>
      </w:pPr>
      <w:r>
        <w:rPr>
          <w:rFonts w:hint="eastAsia" w:ascii="宋体" w:hAnsi="宋体" w:cs="宋体"/>
          <w:sz w:val="24"/>
        </w:rPr>
        <w:t>有下列情形之一的，招标人将重新招标：</w:t>
      </w:r>
    </w:p>
    <w:p w14:paraId="24A0E992">
      <w:pPr>
        <w:spacing w:line="360" w:lineRule="auto"/>
        <w:ind w:firstLine="480" w:firstLineChars="200"/>
        <w:rPr>
          <w:rFonts w:ascii="宋体" w:hAnsi="宋体" w:cs="宋体"/>
          <w:sz w:val="24"/>
        </w:rPr>
      </w:pPr>
      <w:r>
        <w:rPr>
          <w:rFonts w:hint="eastAsia" w:ascii="宋体" w:hAnsi="宋体" w:cs="宋体"/>
          <w:sz w:val="24"/>
        </w:rPr>
        <w:t>（l）投标截止时间止，投标人少于3个的；</w:t>
      </w:r>
    </w:p>
    <w:p w14:paraId="56CFC204">
      <w:pPr>
        <w:spacing w:line="360" w:lineRule="auto"/>
        <w:ind w:firstLine="480" w:firstLineChars="200"/>
        <w:rPr>
          <w:rFonts w:ascii="宋体" w:hAnsi="宋体" w:cs="宋体"/>
          <w:sz w:val="24"/>
        </w:rPr>
      </w:pPr>
      <w:r>
        <w:rPr>
          <w:rFonts w:hint="eastAsia" w:ascii="宋体" w:hAnsi="宋体" w:cs="宋体"/>
          <w:sz w:val="24"/>
        </w:rPr>
        <w:t>（2）经评标委员会评审后否决所有投标的。</w:t>
      </w:r>
    </w:p>
    <w:p w14:paraId="5BDD6C42">
      <w:pPr>
        <w:spacing w:line="360" w:lineRule="auto"/>
        <w:ind w:firstLine="480" w:firstLineChars="200"/>
        <w:rPr>
          <w:rFonts w:ascii="宋体" w:hAnsi="宋体" w:cs="宋体"/>
          <w:sz w:val="24"/>
        </w:rPr>
      </w:pPr>
      <w:r>
        <w:rPr>
          <w:rFonts w:hint="eastAsia" w:ascii="宋体" w:hAnsi="宋体" w:cs="宋体"/>
          <w:sz w:val="24"/>
        </w:rPr>
        <w:t>（3）经评标委员会评审后有效投标人不足3个的。</w:t>
      </w:r>
    </w:p>
    <w:p w14:paraId="347A04E4">
      <w:pPr>
        <w:pStyle w:val="5"/>
        <w:rPr>
          <w:rFonts w:ascii="宋体" w:hAnsi="宋体" w:cs="宋体"/>
          <w:sz w:val="24"/>
          <w:szCs w:val="24"/>
        </w:rPr>
      </w:pPr>
      <w:r>
        <w:rPr>
          <w:rFonts w:hint="eastAsia" w:ascii="宋体" w:hAnsi="宋体" w:cs="宋体"/>
          <w:sz w:val="24"/>
          <w:szCs w:val="24"/>
        </w:rPr>
        <w:t>10.2 不再招标</w:t>
      </w:r>
    </w:p>
    <w:p w14:paraId="495D53D7">
      <w:pPr>
        <w:spacing w:line="360" w:lineRule="auto"/>
        <w:ind w:firstLine="480" w:firstLineChars="200"/>
        <w:rPr>
          <w:rFonts w:ascii="宋体" w:hAnsi="宋体" w:cs="宋体"/>
          <w:sz w:val="24"/>
        </w:rPr>
      </w:pPr>
      <w:r>
        <w:rPr>
          <w:rFonts w:hint="eastAsia" w:ascii="宋体" w:hAnsi="宋体" w:cs="宋体"/>
          <w:sz w:val="24"/>
        </w:rPr>
        <w:t>重新招标后投标人仍少于3个或者所有投标被否决的，属于必须审批或核准的工程建设项目，经原审批或核准部门批准后不再进行招标。</w:t>
      </w:r>
    </w:p>
    <w:p w14:paraId="2F2CDDCC">
      <w:pPr>
        <w:spacing w:line="360" w:lineRule="auto"/>
        <w:rPr>
          <w:rFonts w:ascii="宋体" w:hAnsi="宋体" w:cs="宋体"/>
          <w:b/>
          <w:sz w:val="30"/>
          <w:szCs w:val="30"/>
        </w:rPr>
      </w:pPr>
      <w:bookmarkStart w:id="304" w:name="_Toc466566701"/>
      <w:bookmarkStart w:id="305" w:name="_Toc184635079"/>
      <w:bookmarkStart w:id="306" w:name="_Toc466566790"/>
      <w:r>
        <w:rPr>
          <w:rFonts w:hint="eastAsia" w:ascii="宋体" w:hAnsi="宋体" w:cs="宋体"/>
          <w:b/>
          <w:sz w:val="30"/>
          <w:szCs w:val="30"/>
        </w:rPr>
        <w:t>11．纪律和监督</w:t>
      </w:r>
      <w:bookmarkEnd w:id="304"/>
      <w:bookmarkEnd w:id="305"/>
      <w:bookmarkEnd w:id="306"/>
    </w:p>
    <w:p w14:paraId="6E5B0D9E">
      <w:pPr>
        <w:pStyle w:val="5"/>
        <w:spacing w:line="360" w:lineRule="auto"/>
        <w:rPr>
          <w:rFonts w:ascii="宋体" w:hAnsi="宋体" w:cs="宋体"/>
          <w:sz w:val="24"/>
          <w:szCs w:val="24"/>
        </w:rPr>
      </w:pPr>
      <w:r>
        <w:rPr>
          <w:rFonts w:hint="eastAsia" w:ascii="宋体" w:hAnsi="宋体" w:cs="宋体"/>
          <w:sz w:val="24"/>
          <w:szCs w:val="24"/>
        </w:rPr>
        <w:t>11.1 对招标人的纪律要求</w:t>
      </w:r>
    </w:p>
    <w:p w14:paraId="5B54099B">
      <w:pPr>
        <w:spacing w:line="360" w:lineRule="auto"/>
        <w:ind w:firstLine="480" w:firstLineChars="200"/>
        <w:rPr>
          <w:rFonts w:ascii="宋体" w:hAnsi="宋体" w:cs="宋体"/>
          <w:sz w:val="24"/>
        </w:rPr>
      </w:pPr>
      <w:r>
        <w:rPr>
          <w:rFonts w:hint="eastAsia" w:ascii="宋体" w:hAnsi="宋体" w:cs="宋体"/>
          <w:sz w:val="24"/>
        </w:rPr>
        <w:t>招标人不得泄露招标投标活动中应当保密的情况和资料，不得与投标人串通损害国家利益、社会公共利益或者他人合法权益。</w:t>
      </w:r>
    </w:p>
    <w:p w14:paraId="76691639">
      <w:pPr>
        <w:pStyle w:val="5"/>
        <w:spacing w:line="360" w:lineRule="auto"/>
        <w:rPr>
          <w:rFonts w:ascii="宋体" w:hAnsi="宋体" w:cs="宋体"/>
          <w:sz w:val="24"/>
          <w:szCs w:val="24"/>
        </w:rPr>
      </w:pPr>
      <w:r>
        <w:rPr>
          <w:rFonts w:hint="eastAsia" w:ascii="宋体" w:hAnsi="宋体" w:cs="宋体"/>
          <w:sz w:val="24"/>
          <w:szCs w:val="24"/>
        </w:rPr>
        <w:t>11.2 对投标人的纪律要求</w:t>
      </w:r>
    </w:p>
    <w:p w14:paraId="36403759">
      <w:pPr>
        <w:spacing w:line="360" w:lineRule="auto"/>
        <w:ind w:firstLine="480" w:firstLineChars="200"/>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ED245A1">
      <w:pPr>
        <w:pStyle w:val="5"/>
        <w:spacing w:line="360" w:lineRule="auto"/>
        <w:rPr>
          <w:rFonts w:ascii="宋体" w:hAnsi="宋体" w:cs="宋体"/>
          <w:sz w:val="24"/>
          <w:szCs w:val="24"/>
        </w:rPr>
      </w:pPr>
      <w:r>
        <w:rPr>
          <w:rFonts w:hint="eastAsia" w:ascii="宋体" w:hAnsi="宋体" w:cs="宋体"/>
          <w:sz w:val="24"/>
          <w:szCs w:val="24"/>
        </w:rPr>
        <w:t>11.3 对评标委员会成员的纪律要求</w:t>
      </w:r>
    </w:p>
    <w:p w14:paraId="1D284E91">
      <w:pPr>
        <w:spacing w:line="360" w:lineRule="auto"/>
        <w:ind w:firstLine="480" w:firstLineChars="200"/>
        <w:rPr>
          <w:rFonts w:ascii="宋体" w:hAnsi="宋体" w:cs="宋体"/>
          <w:sz w:val="24"/>
        </w:rPr>
      </w:pPr>
      <w:r>
        <w:rPr>
          <w:rFonts w:hint="eastAsia" w:ascii="宋体" w:hAnsi="宋体" w:cs="宋体"/>
          <w:sz w:val="24"/>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合格制）”没有规定的评审因素和标准进行评标。</w:t>
      </w:r>
    </w:p>
    <w:p w14:paraId="1096C44F">
      <w:pPr>
        <w:pStyle w:val="5"/>
        <w:spacing w:line="360" w:lineRule="auto"/>
        <w:rPr>
          <w:rFonts w:ascii="宋体" w:hAnsi="宋体" w:cs="宋体"/>
          <w:sz w:val="24"/>
          <w:szCs w:val="24"/>
        </w:rPr>
      </w:pPr>
      <w:r>
        <w:rPr>
          <w:rFonts w:hint="eastAsia" w:ascii="宋体" w:hAnsi="宋体" w:cs="宋体"/>
          <w:sz w:val="24"/>
          <w:szCs w:val="24"/>
        </w:rPr>
        <w:t>11.4 对与评标活动有关的工作人员的纪律要求</w:t>
      </w:r>
    </w:p>
    <w:p w14:paraId="102BC422">
      <w:pPr>
        <w:spacing w:line="360" w:lineRule="auto"/>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F6194A2">
      <w:pPr>
        <w:pStyle w:val="5"/>
        <w:spacing w:line="360" w:lineRule="auto"/>
        <w:rPr>
          <w:rFonts w:ascii="宋体" w:hAnsi="宋体" w:cs="宋体"/>
          <w:sz w:val="24"/>
          <w:szCs w:val="24"/>
        </w:rPr>
      </w:pPr>
      <w:r>
        <w:rPr>
          <w:rFonts w:hint="eastAsia" w:ascii="宋体" w:hAnsi="宋体" w:cs="宋体"/>
          <w:sz w:val="24"/>
          <w:szCs w:val="24"/>
        </w:rPr>
        <w:t>11.5 投诉</w:t>
      </w:r>
    </w:p>
    <w:p w14:paraId="77F3CCA3">
      <w:pPr>
        <w:spacing w:line="360" w:lineRule="auto"/>
        <w:ind w:firstLine="480" w:firstLineChars="200"/>
        <w:rPr>
          <w:rFonts w:ascii="宋体" w:hAnsi="宋体" w:cs="宋体"/>
          <w:sz w:val="24"/>
        </w:rPr>
      </w:pPr>
      <w:r>
        <w:rPr>
          <w:rFonts w:hint="eastAsia" w:ascii="宋体" w:hAnsi="宋体" w:cs="宋体"/>
          <w:sz w:val="24"/>
        </w:rPr>
        <w:t>投标人和其他利害关系人认为本次招标活动违反法律、法规和规章规定的，有权向有关行政监督部门投诉。</w:t>
      </w:r>
    </w:p>
    <w:p w14:paraId="6210EEA8">
      <w:pPr>
        <w:spacing w:line="360" w:lineRule="auto"/>
        <w:rPr>
          <w:rFonts w:ascii="宋体" w:hAnsi="宋体" w:cs="宋体"/>
          <w:b/>
          <w:sz w:val="30"/>
          <w:szCs w:val="30"/>
        </w:rPr>
      </w:pPr>
      <w:bookmarkStart w:id="307" w:name="_Toc466566702"/>
      <w:bookmarkStart w:id="308" w:name="_Toc184635080"/>
      <w:bookmarkStart w:id="309" w:name="_Toc466566791"/>
      <w:r>
        <w:rPr>
          <w:rFonts w:hint="eastAsia" w:ascii="宋体" w:hAnsi="宋体" w:cs="宋体"/>
          <w:b/>
          <w:sz w:val="30"/>
          <w:szCs w:val="30"/>
        </w:rPr>
        <w:t>12、需要补充的其他内容</w:t>
      </w:r>
      <w:bookmarkEnd w:id="307"/>
      <w:bookmarkEnd w:id="308"/>
      <w:bookmarkEnd w:id="309"/>
    </w:p>
    <w:p w14:paraId="43274842">
      <w:pPr>
        <w:tabs>
          <w:tab w:val="left" w:pos="4900"/>
          <w:tab w:val="left" w:pos="6527"/>
        </w:tabs>
        <w:spacing w:line="360" w:lineRule="auto"/>
        <w:ind w:firstLine="480" w:firstLineChars="200"/>
        <w:rPr>
          <w:rFonts w:ascii="宋体" w:hAnsi="宋体"/>
          <w:sz w:val="24"/>
          <w:szCs w:val="24"/>
        </w:rPr>
      </w:pPr>
      <w:r>
        <w:rPr>
          <w:rFonts w:hint="eastAsia" w:ascii="宋体" w:hAnsi="宋体" w:cs="宋体"/>
          <w:sz w:val="24"/>
          <w:szCs w:val="24"/>
        </w:rPr>
        <w:t xml:space="preserve"> 需要补充的其他内容：见投标人须知前附表。</w:t>
      </w:r>
    </w:p>
    <w:p w14:paraId="27C04A28">
      <w:pPr>
        <w:spacing w:line="360" w:lineRule="auto"/>
        <w:ind w:firstLine="643" w:firstLineChars="200"/>
        <w:rPr>
          <w:rFonts w:ascii="宋体" w:hAnsi="宋体"/>
          <w:b/>
          <w:sz w:val="32"/>
          <w:szCs w:val="32"/>
        </w:rPr>
      </w:pPr>
    </w:p>
    <w:p w14:paraId="13E79737">
      <w:r>
        <w:rPr>
          <w:rFonts w:ascii="宋体" w:hAnsi="宋体"/>
          <w:b/>
          <w:sz w:val="32"/>
          <w:szCs w:val="32"/>
        </w:rPr>
        <w:br w:type="page"/>
      </w:r>
      <w:bookmarkStart w:id="310" w:name="_Toc476670113"/>
      <w:bookmarkStart w:id="311" w:name="_Toc457201652"/>
      <w:bookmarkStart w:id="312" w:name="_Toc476670290"/>
    </w:p>
    <w:p w14:paraId="47C02F3A">
      <w:pPr>
        <w:rPr>
          <w:rFonts w:ascii="宋体" w:hAnsi="宋体"/>
          <w:sz w:val="24"/>
          <w:szCs w:val="24"/>
        </w:rPr>
      </w:pPr>
      <w:r>
        <w:rPr>
          <w:rFonts w:ascii="宋体" w:hAnsi="宋体"/>
          <w:sz w:val="24"/>
          <w:szCs w:val="24"/>
        </w:rPr>
        <w:t>附表</w:t>
      </w:r>
      <w:r>
        <w:rPr>
          <w:rFonts w:hint="eastAsia" w:ascii="宋体" w:hAnsi="宋体"/>
          <w:sz w:val="24"/>
          <w:szCs w:val="24"/>
        </w:rPr>
        <w:t>一</w:t>
      </w:r>
      <w:r>
        <w:rPr>
          <w:rFonts w:ascii="宋体" w:hAnsi="宋体"/>
          <w:sz w:val="24"/>
          <w:szCs w:val="24"/>
        </w:rPr>
        <w:t>：问题澄清通知</w:t>
      </w:r>
      <w:bookmarkEnd w:id="310"/>
      <w:bookmarkEnd w:id="311"/>
      <w:bookmarkEnd w:id="312"/>
    </w:p>
    <w:p w14:paraId="4C2F47ED">
      <w:pPr>
        <w:spacing w:line="360" w:lineRule="auto"/>
        <w:rPr>
          <w:rFonts w:ascii="宋体" w:hAnsi="宋体"/>
          <w:sz w:val="24"/>
          <w:szCs w:val="24"/>
        </w:rPr>
      </w:pPr>
    </w:p>
    <w:p w14:paraId="67204EB0">
      <w:pPr>
        <w:jc w:val="center"/>
        <w:rPr>
          <w:rFonts w:ascii="宋体" w:hAnsi="宋体"/>
          <w:b/>
          <w:bCs/>
          <w:kern w:val="44"/>
          <w:sz w:val="24"/>
          <w:szCs w:val="24"/>
        </w:rPr>
      </w:pPr>
      <w:r>
        <w:rPr>
          <w:rFonts w:hint="eastAsia" w:ascii="宋体" w:hAnsi="宋体"/>
          <w:b/>
          <w:bCs/>
          <w:kern w:val="44"/>
          <w:sz w:val="24"/>
          <w:szCs w:val="24"/>
        </w:rPr>
        <w:t>问题澄清通知</w:t>
      </w:r>
    </w:p>
    <w:p w14:paraId="3F0DF241">
      <w:pPr>
        <w:rPr>
          <w:rFonts w:ascii="宋体" w:hAnsi="宋体"/>
          <w:sz w:val="24"/>
          <w:szCs w:val="24"/>
        </w:rPr>
      </w:pPr>
    </w:p>
    <w:p w14:paraId="264DD98A">
      <w:pPr>
        <w:jc w:val="center"/>
        <w:rPr>
          <w:rFonts w:ascii="宋体" w:hAnsi="宋体"/>
          <w:sz w:val="24"/>
          <w:szCs w:val="24"/>
        </w:rPr>
      </w:pPr>
      <w:r>
        <w:rPr>
          <w:rFonts w:ascii="宋体" w:hAnsi="宋体"/>
          <w:sz w:val="24"/>
          <w:szCs w:val="24"/>
        </w:rPr>
        <w:t>编号：</w:t>
      </w:r>
    </w:p>
    <w:p w14:paraId="6B1E927D">
      <w:pPr>
        <w:rPr>
          <w:rFonts w:ascii="宋体" w:hAnsi="宋体"/>
          <w:sz w:val="24"/>
          <w:szCs w:val="24"/>
        </w:rPr>
      </w:pPr>
    </w:p>
    <w:p w14:paraId="50C81048">
      <w:pPr>
        <w:rPr>
          <w:rFonts w:ascii="宋体" w:hAnsi="宋体"/>
          <w:sz w:val="24"/>
          <w:szCs w:val="24"/>
        </w:rPr>
      </w:pPr>
      <w:r>
        <w:rPr>
          <w:rFonts w:ascii="宋体" w:hAnsi="宋体"/>
          <w:sz w:val="24"/>
          <w:szCs w:val="24"/>
          <w:u w:val="single"/>
        </w:rPr>
        <w:tab/>
      </w:r>
      <w:r>
        <w:rPr>
          <w:rFonts w:ascii="宋体" w:hAnsi="宋体"/>
          <w:sz w:val="24"/>
          <w:szCs w:val="24"/>
          <w:u w:val="single"/>
        </w:rPr>
        <w:t>（投标人名称）</w:t>
      </w:r>
      <w:r>
        <w:rPr>
          <w:rFonts w:ascii="宋体" w:hAnsi="宋体"/>
          <w:sz w:val="24"/>
          <w:szCs w:val="24"/>
        </w:rPr>
        <w:t>：</w:t>
      </w:r>
    </w:p>
    <w:p w14:paraId="477A48A8">
      <w:pPr>
        <w:rPr>
          <w:rFonts w:ascii="宋体" w:hAnsi="宋体"/>
          <w:sz w:val="24"/>
          <w:szCs w:val="24"/>
        </w:rPr>
      </w:pPr>
    </w:p>
    <w:p w14:paraId="293DF620">
      <w:pPr>
        <w:spacing w:line="400" w:lineRule="exact"/>
        <w:ind w:firstLine="480" w:firstLineChars="200"/>
        <w:rPr>
          <w:rFonts w:ascii="宋体" w:hAnsi="宋体"/>
          <w:sz w:val="24"/>
          <w:szCs w:val="24"/>
        </w:rPr>
      </w:pPr>
      <w:r>
        <w:rPr>
          <w:rFonts w:ascii="宋体" w:hAnsi="宋体"/>
          <w:sz w:val="24"/>
          <w:szCs w:val="24"/>
        </w:rPr>
        <w:t>（项目名称）施工招标的评标委员会，对你方的投标文件进行了仔细的审查，现需你方对下列问题以书面形式予以澄清：</w:t>
      </w:r>
    </w:p>
    <w:p w14:paraId="7EE0C906">
      <w:pPr>
        <w:rPr>
          <w:rFonts w:ascii="宋体" w:hAnsi="宋体"/>
          <w:sz w:val="24"/>
          <w:szCs w:val="24"/>
        </w:rPr>
      </w:pPr>
    </w:p>
    <w:p w14:paraId="2A2B987E">
      <w:pPr>
        <w:spacing w:line="400" w:lineRule="exact"/>
        <w:ind w:firstLine="480" w:firstLineChars="200"/>
        <w:rPr>
          <w:rFonts w:ascii="宋体" w:hAnsi="宋体"/>
          <w:sz w:val="24"/>
          <w:szCs w:val="24"/>
        </w:rPr>
      </w:pPr>
      <w:r>
        <w:rPr>
          <w:rFonts w:ascii="宋体" w:hAnsi="宋体"/>
          <w:sz w:val="24"/>
          <w:szCs w:val="24"/>
        </w:rPr>
        <w:t xml:space="preserve">1. </w:t>
      </w:r>
    </w:p>
    <w:p w14:paraId="33E2CD16">
      <w:pPr>
        <w:spacing w:line="400" w:lineRule="exact"/>
        <w:ind w:firstLine="480" w:firstLineChars="200"/>
        <w:rPr>
          <w:rFonts w:ascii="宋体" w:hAnsi="宋体"/>
          <w:sz w:val="24"/>
          <w:szCs w:val="24"/>
        </w:rPr>
      </w:pPr>
    </w:p>
    <w:p w14:paraId="183D212E">
      <w:pPr>
        <w:spacing w:line="400" w:lineRule="exact"/>
        <w:ind w:firstLine="480" w:firstLineChars="200"/>
        <w:rPr>
          <w:rFonts w:ascii="宋体" w:hAnsi="宋体"/>
          <w:sz w:val="24"/>
          <w:szCs w:val="24"/>
        </w:rPr>
      </w:pPr>
      <w:r>
        <w:rPr>
          <w:rFonts w:ascii="宋体" w:hAnsi="宋体"/>
          <w:sz w:val="24"/>
          <w:szCs w:val="24"/>
        </w:rPr>
        <w:t xml:space="preserve">2. </w:t>
      </w:r>
    </w:p>
    <w:p w14:paraId="78E507BB">
      <w:pPr>
        <w:rPr>
          <w:rFonts w:ascii="宋体" w:hAnsi="宋体"/>
          <w:sz w:val="24"/>
          <w:szCs w:val="24"/>
        </w:rPr>
      </w:pPr>
    </w:p>
    <w:p w14:paraId="114FF39C">
      <w:pPr>
        <w:rPr>
          <w:rFonts w:ascii="宋体" w:hAnsi="宋体"/>
          <w:sz w:val="24"/>
          <w:szCs w:val="24"/>
        </w:rPr>
      </w:pPr>
      <w:r>
        <w:rPr>
          <w:rFonts w:ascii="宋体" w:hAnsi="宋体"/>
          <w:sz w:val="24"/>
          <w:szCs w:val="24"/>
        </w:rPr>
        <w:t>......</w:t>
      </w:r>
    </w:p>
    <w:p w14:paraId="60E30B1C">
      <w:pPr>
        <w:rPr>
          <w:rFonts w:ascii="宋体" w:hAnsi="宋体"/>
          <w:sz w:val="24"/>
          <w:szCs w:val="24"/>
        </w:rPr>
      </w:pPr>
    </w:p>
    <w:p w14:paraId="3270766F">
      <w:pPr>
        <w:spacing w:line="400" w:lineRule="exact"/>
        <w:ind w:firstLine="480" w:firstLineChars="200"/>
        <w:rPr>
          <w:rFonts w:ascii="宋体" w:hAnsi="宋体"/>
          <w:sz w:val="24"/>
          <w:szCs w:val="24"/>
        </w:rPr>
      </w:pPr>
      <w:r>
        <w:rPr>
          <w:rFonts w:ascii="宋体" w:hAnsi="宋体"/>
          <w:sz w:val="24"/>
          <w:szCs w:val="24"/>
        </w:rPr>
        <w:t>请将上述问题的澄清于年月日时前递交至（详细地址）或传真至（传真号码）。采用传真方式的，应在年月日时前将原件递交至（详细地址）。</w:t>
      </w:r>
    </w:p>
    <w:p w14:paraId="7611BA48">
      <w:pPr>
        <w:rPr>
          <w:rFonts w:ascii="宋体" w:hAnsi="宋体"/>
          <w:sz w:val="24"/>
          <w:szCs w:val="24"/>
        </w:rPr>
      </w:pPr>
    </w:p>
    <w:p w14:paraId="1DCEA10E">
      <w:pPr>
        <w:rPr>
          <w:rFonts w:ascii="宋体" w:hAnsi="宋体"/>
          <w:sz w:val="24"/>
          <w:szCs w:val="24"/>
        </w:rPr>
      </w:pPr>
    </w:p>
    <w:p w14:paraId="619FFE08">
      <w:pPr>
        <w:rPr>
          <w:rFonts w:ascii="宋体" w:hAnsi="宋体"/>
          <w:sz w:val="24"/>
          <w:szCs w:val="24"/>
        </w:rPr>
      </w:pPr>
    </w:p>
    <w:p w14:paraId="1F84A98B">
      <w:pPr>
        <w:rPr>
          <w:rFonts w:ascii="宋体" w:hAnsi="宋体"/>
          <w:sz w:val="24"/>
          <w:szCs w:val="24"/>
        </w:rPr>
      </w:pPr>
    </w:p>
    <w:p w14:paraId="7071CD7A">
      <w:pPr>
        <w:jc w:val="right"/>
        <w:rPr>
          <w:rFonts w:ascii="宋体" w:hAnsi="宋体"/>
          <w:sz w:val="24"/>
          <w:szCs w:val="24"/>
          <w:u w:val="single"/>
        </w:rPr>
      </w:pPr>
      <w:r>
        <w:rPr>
          <w:rFonts w:hint="eastAsia" w:ascii="宋体" w:hAnsi="宋体"/>
          <w:sz w:val="24"/>
          <w:szCs w:val="24"/>
        </w:rPr>
        <w:t>评标委员会授权的招标人或招标代理机构：</w:t>
      </w:r>
      <w:r>
        <w:rPr>
          <w:rFonts w:hint="eastAsia" w:ascii="宋体" w:hAnsi="宋体"/>
          <w:sz w:val="24"/>
          <w:szCs w:val="24"/>
          <w:u w:val="single"/>
        </w:rPr>
        <w:tab/>
      </w:r>
      <w:r>
        <w:rPr>
          <w:rFonts w:hint="eastAsia" w:ascii="宋体" w:hAnsi="宋体"/>
          <w:sz w:val="24"/>
          <w:szCs w:val="24"/>
        </w:rPr>
        <w:t>（签字或盖单位章）</w:t>
      </w:r>
    </w:p>
    <w:p w14:paraId="4CBE9697">
      <w:pPr>
        <w:rPr>
          <w:rFonts w:ascii="宋体" w:hAnsi="宋体"/>
          <w:sz w:val="24"/>
          <w:szCs w:val="24"/>
        </w:rPr>
      </w:pPr>
    </w:p>
    <w:p w14:paraId="6FB783BE">
      <w:pPr>
        <w:rPr>
          <w:rFonts w:ascii="宋体" w:hAnsi="宋体"/>
          <w:sz w:val="24"/>
          <w:szCs w:val="24"/>
        </w:rPr>
      </w:pPr>
    </w:p>
    <w:p w14:paraId="71076CF6">
      <w:pPr>
        <w:spacing w:line="360" w:lineRule="auto"/>
        <w:jc w:val="right"/>
        <w:rPr>
          <w:rFonts w:ascii="宋体" w:hAnsi="宋体"/>
          <w:sz w:val="24"/>
          <w:szCs w:val="24"/>
        </w:rPr>
      </w:pP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5EB03C29">
      <w:pPr>
        <w:widowControl/>
        <w:jc w:val="left"/>
        <w:rPr>
          <w:rFonts w:ascii="宋体" w:hAnsi="宋体"/>
          <w:szCs w:val="21"/>
        </w:rPr>
      </w:pPr>
      <w:bookmarkStart w:id="313" w:name="_Toc476670114"/>
      <w:bookmarkStart w:id="314" w:name="_Toc457201653"/>
      <w:bookmarkStart w:id="315" w:name="_Toc476670291"/>
      <w:r>
        <w:rPr>
          <w:rFonts w:ascii="宋体" w:hAnsi="宋体"/>
          <w:sz w:val="24"/>
          <w:szCs w:val="24"/>
        </w:rPr>
        <w:br w:type="page"/>
      </w:r>
    </w:p>
    <w:p w14:paraId="7F91D763">
      <w:pPr>
        <w:rPr>
          <w:rFonts w:ascii="宋体" w:hAnsi="宋体"/>
          <w:sz w:val="24"/>
          <w:szCs w:val="24"/>
        </w:rPr>
      </w:pPr>
      <w:r>
        <w:rPr>
          <w:rFonts w:ascii="宋体" w:hAnsi="宋体"/>
          <w:sz w:val="24"/>
          <w:szCs w:val="24"/>
        </w:rPr>
        <w:t>附表</w:t>
      </w:r>
      <w:r>
        <w:rPr>
          <w:rFonts w:hint="eastAsia" w:ascii="宋体" w:hAnsi="宋体"/>
          <w:sz w:val="24"/>
          <w:szCs w:val="24"/>
        </w:rPr>
        <w:t>二</w:t>
      </w:r>
      <w:r>
        <w:rPr>
          <w:rFonts w:ascii="宋体" w:hAnsi="宋体"/>
          <w:sz w:val="24"/>
          <w:szCs w:val="24"/>
        </w:rPr>
        <w:t>：问题的澄清</w:t>
      </w:r>
      <w:bookmarkEnd w:id="313"/>
      <w:bookmarkEnd w:id="314"/>
      <w:bookmarkEnd w:id="315"/>
    </w:p>
    <w:p w14:paraId="5B0B07BA">
      <w:pPr>
        <w:spacing w:line="360" w:lineRule="auto"/>
        <w:rPr>
          <w:rFonts w:ascii="宋体" w:hAnsi="宋体"/>
          <w:sz w:val="24"/>
          <w:szCs w:val="24"/>
        </w:rPr>
      </w:pPr>
    </w:p>
    <w:p w14:paraId="153146AE">
      <w:pPr>
        <w:jc w:val="center"/>
        <w:rPr>
          <w:rFonts w:ascii="宋体" w:hAnsi="宋体"/>
          <w:b/>
          <w:bCs/>
          <w:kern w:val="44"/>
          <w:sz w:val="24"/>
          <w:szCs w:val="24"/>
        </w:rPr>
      </w:pPr>
      <w:r>
        <w:rPr>
          <w:rFonts w:ascii="宋体" w:hAnsi="宋体"/>
          <w:b/>
          <w:bCs/>
          <w:kern w:val="44"/>
          <w:sz w:val="24"/>
          <w:szCs w:val="24"/>
        </w:rPr>
        <w:t>问题的澄清</w:t>
      </w:r>
    </w:p>
    <w:p w14:paraId="13FCF190">
      <w:pPr>
        <w:rPr>
          <w:rFonts w:ascii="宋体" w:hAnsi="宋体"/>
          <w:sz w:val="24"/>
          <w:szCs w:val="24"/>
        </w:rPr>
      </w:pPr>
    </w:p>
    <w:p w14:paraId="4B90DE96">
      <w:pPr>
        <w:jc w:val="center"/>
        <w:rPr>
          <w:rFonts w:ascii="宋体" w:hAnsi="宋体"/>
          <w:sz w:val="24"/>
          <w:szCs w:val="24"/>
        </w:rPr>
      </w:pPr>
      <w:r>
        <w:rPr>
          <w:rFonts w:ascii="宋体" w:hAnsi="宋体"/>
          <w:sz w:val="24"/>
          <w:szCs w:val="24"/>
        </w:rPr>
        <w:t>编号：</w:t>
      </w:r>
    </w:p>
    <w:p w14:paraId="33EEB029">
      <w:pPr>
        <w:spacing w:line="400" w:lineRule="exact"/>
        <w:ind w:firstLine="480" w:firstLineChars="200"/>
        <w:rPr>
          <w:rFonts w:ascii="宋体" w:hAnsi="宋体"/>
          <w:sz w:val="24"/>
          <w:szCs w:val="24"/>
        </w:rPr>
      </w:pPr>
      <w:r>
        <w:rPr>
          <w:rFonts w:ascii="宋体" w:hAnsi="宋体"/>
          <w:sz w:val="24"/>
          <w:szCs w:val="24"/>
        </w:rPr>
        <w:t xml:space="preserve">（项目名称）施工招标评标委员会： </w:t>
      </w:r>
    </w:p>
    <w:p w14:paraId="21D13E0E">
      <w:pPr>
        <w:spacing w:line="400" w:lineRule="exact"/>
        <w:ind w:firstLine="480" w:firstLineChars="200"/>
        <w:rPr>
          <w:rFonts w:ascii="宋体" w:hAnsi="宋体"/>
          <w:sz w:val="24"/>
          <w:szCs w:val="24"/>
        </w:rPr>
      </w:pPr>
    </w:p>
    <w:p w14:paraId="608F5A93">
      <w:pPr>
        <w:spacing w:line="400" w:lineRule="exact"/>
        <w:ind w:firstLine="480" w:firstLineChars="200"/>
        <w:rPr>
          <w:rFonts w:ascii="宋体" w:hAnsi="宋体"/>
          <w:sz w:val="24"/>
          <w:szCs w:val="24"/>
        </w:rPr>
      </w:pPr>
      <w:r>
        <w:rPr>
          <w:rFonts w:ascii="宋体" w:hAnsi="宋体"/>
          <w:sz w:val="24"/>
          <w:szCs w:val="24"/>
        </w:rPr>
        <w:t>问题澄清通知（编号：）已收悉，现澄清、说明如下：</w:t>
      </w:r>
    </w:p>
    <w:p w14:paraId="1A0DB586">
      <w:pPr>
        <w:spacing w:line="400" w:lineRule="exact"/>
        <w:ind w:firstLine="480" w:firstLineChars="200"/>
        <w:rPr>
          <w:rFonts w:ascii="宋体" w:hAnsi="宋体"/>
          <w:sz w:val="24"/>
          <w:szCs w:val="24"/>
        </w:rPr>
      </w:pPr>
    </w:p>
    <w:p w14:paraId="2EF1B5D6">
      <w:pPr>
        <w:spacing w:line="400" w:lineRule="exact"/>
        <w:ind w:firstLine="480" w:firstLineChars="200"/>
        <w:rPr>
          <w:rFonts w:ascii="宋体" w:hAnsi="宋体"/>
          <w:sz w:val="24"/>
          <w:szCs w:val="24"/>
        </w:rPr>
      </w:pPr>
      <w:r>
        <w:rPr>
          <w:rFonts w:ascii="宋体" w:hAnsi="宋体"/>
          <w:sz w:val="24"/>
          <w:szCs w:val="24"/>
        </w:rPr>
        <w:t xml:space="preserve">1. </w:t>
      </w:r>
    </w:p>
    <w:p w14:paraId="541C1420">
      <w:pPr>
        <w:spacing w:line="400" w:lineRule="exact"/>
        <w:ind w:firstLine="480" w:firstLineChars="200"/>
        <w:rPr>
          <w:rFonts w:ascii="宋体" w:hAnsi="宋体"/>
          <w:sz w:val="24"/>
          <w:szCs w:val="24"/>
        </w:rPr>
      </w:pPr>
    </w:p>
    <w:p w14:paraId="113206A1">
      <w:pPr>
        <w:spacing w:line="400" w:lineRule="exact"/>
        <w:ind w:firstLine="480" w:firstLineChars="200"/>
        <w:rPr>
          <w:rFonts w:ascii="宋体" w:hAnsi="宋体"/>
          <w:sz w:val="24"/>
          <w:szCs w:val="24"/>
        </w:rPr>
      </w:pPr>
      <w:r>
        <w:rPr>
          <w:rFonts w:ascii="宋体" w:hAnsi="宋体"/>
          <w:sz w:val="24"/>
          <w:szCs w:val="24"/>
        </w:rPr>
        <w:t xml:space="preserve">2. </w:t>
      </w:r>
    </w:p>
    <w:p w14:paraId="1704490B">
      <w:pPr>
        <w:rPr>
          <w:rFonts w:ascii="宋体" w:hAnsi="宋体"/>
          <w:sz w:val="24"/>
          <w:szCs w:val="24"/>
        </w:rPr>
      </w:pPr>
    </w:p>
    <w:p w14:paraId="56CA3B2C">
      <w:pPr>
        <w:rPr>
          <w:rFonts w:ascii="宋体" w:hAnsi="宋体"/>
          <w:sz w:val="24"/>
          <w:szCs w:val="24"/>
        </w:rPr>
      </w:pPr>
      <w:r>
        <w:rPr>
          <w:rFonts w:ascii="宋体" w:hAnsi="宋体"/>
          <w:sz w:val="24"/>
          <w:szCs w:val="24"/>
        </w:rPr>
        <w:t>.....</w:t>
      </w:r>
    </w:p>
    <w:p w14:paraId="4A39A277">
      <w:pPr>
        <w:rPr>
          <w:rFonts w:ascii="宋体" w:hAnsi="宋体"/>
          <w:sz w:val="24"/>
          <w:szCs w:val="24"/>
        </w:rPr>
      </w:pPr>
    </w:p>
    <w:p w14:paraId="5089E4B8">
      <w:pPr>
        <w:rPr>
          <w:rFonts w:ascii="宋体" w:hAnsi="宋体"/>
          <w:sz w:val="24"/>
          <w:szCs w:val="24"/>
        </w:rPr>
      </w:pPr>
    </w:p>
    <w:p w14:paraId="7C836886">
      <w:pPr>
        <w:ind w:firstLine="480" w:firstLineChars="200"/>
        <w:rPr>
          <w:rFonts w:ascii="宋体" w:hAnsi="宋体"/>
          <w:sz w:val="24"/>
          <w:szCs w:val="24"/>
        </w:rPr>
      </w:pPr>
      <w:r>
        <w:rPr>
          <w:rFonts w:ascii="宋体" w:hAnsi="宋体"/>
          <w:sz w:val="24"/>
          <w:szCs w:val="24"/>
        </w:rPr>
        <w:t>上述问题澄清或说明，不改变我方投标文件的实质性内容，构成我方投标文件的组成部分。</w:t>
      </w:r>
    </w:p>
    <w:p w14:paraId="75696055">
      <w:pPr>
        <w:rPr>
          <w:rFonts w:ascii="宋体" w:hAnsi="宋体"/>
          <w:sz w:val="24"/>
          <w:szCs w:val="24"/>
        </w:rPr>
      </w:pPr>
    </w:p>
    <w:p w14:paraId="7488B233">
      <w:pPr>
        <w:rPr>
          <w:rFonts w:ascii="宋体" w:hAnsi="宋体"/>
          <w:sz w:val="24"/>
          <w:szCs w:val="24"/>
        </w:rPr>
      </w:pPr>
    </w:p>
    <w:p w14:paraId="1258283B">
      <w:pPr>
        <w:rPr>
          <w:rFonts w:ascii="宋体" w:hAnsi="宋体"/>
          <w:sz w:val="24"/>
          <w:szCs w:val="24"/>
        </w:rPr>
      </w:pPr>
    </w:p>
    <w:p w14:paraId="658000F7">
      <w:pPr>
        <w:spacing w:line="440" w:lineRule="exact"/>
        <w:rPr>
          <w:rFonts w:ascii="宋体" w:hAnsi="宋体"/>
          <w:sz w:val="24"/>
          <w:szCs w:val="24"/>
        </w:rPr>
      </w:pPr>
      <w:r>
        <w:rPr>
          <w:rFonts w:ascii="宋体" w:hAnsi="宋体"/>
          <w:sz w:val="24"/>
          <w:szCs w:val="24"/>
        </w:rPr>
        <w:t xml:space="preserve">投标人：（盖单位章） </w:t>
      </w:r>
    </w:p>
    <w:p w14:paraId="0CE9D753">
      <w:pPr>
        <w:spacing w:line="440" w:lineRule="exact"/>
        <w:rPr>
          <w:rFonts w:ascii="宋体" w:hAnsi="宋体"/>
          <w:sz w:val="24"/>
          <w:szCs w:val="24"/>
        </w:rPr>
      </w:pPr>
      <w:r>
        <w:rPr>
          <w:rFonts w:ascii="宋体" w:hAnsi="宋体"/>
          <w:sz w:val="24"/>
          <w:szCs w:val="24"/>
        </w:rPr>
        <w:t>法定代表人或其委托代理人：（签字）</w:t>
      </w:r>
    </w:p>
    <w:p w14:paraId="26092294">
      <w:pPr>
        <w:rPr>
          <w:rFonts w:ascii="宋体" w:hAnsi="宋体"/>
          <w:sz w:val="24"/>
          <w:szCs w:val="24"/>
        </w:rPr>
      </w:pPr>
    </w:p>
    <w:p w14:paraId="5ED1B34D">
      <w:pPr>
        <w:spacing w:line="360" w:lineRule="auto"/>
        <w:ind w:firstLine="240" w:firstLineChars="100"/>
        <w:rPr>
          <w:rFonts w:ascii="宋体" w:hAnsi="宋体"/>
          <w:sz w:val="24"/>
          <w:szCs w:val="24"/>
        </w:rPr>
      </w:pPr>
      <w:r>
        <w:rPr>
          <w:rFonts w:ascii="宋体" w:hAnsi="宋体"/>
          <w:sz w:val="24"/>
          <w:szCs w:val="24"/>
        </w:rPr>
        <w:t>年</w:t>
      </w:r>
      <w:r>
        <w:rPr>
          <w:rFonts w:hint="eastAsia" w:ascii="宋体" w:hAnsi="宋体"/>
          <w:sz w:val="24"/>
          <w:szCs w:val="24"/>
        </w:rPr>
        <w:t xml:space="preserve"> </w:t>
      </w:r>
      <w:r>
        <w:rPr>
          <w:rFonts w:ascii="宋体" w:hAnsi="宋体"/>
          <w:sz w:val="24"/>
          <w:szCs w:val="24"/>
        </w:rPr>
        <w:t>月</w:t>
      </w:r>
      <w:r>
        <w:rPr>
          <w:rFonts w:hint="eastAsia" w:ascii="宋体" w:hAnsi="宋体"/>
          <w:sz w:val="24"/>
          <w:szCs w:val="24"/>
        </w:rPr>
        <w:t xml:space="preserve"> </w:t>
      </w:r>
      <w:r>
        <w:rPr>
          <w:rFonts w:ascii="宋体" w:hAnsi="宋体"/>
          <w:sz w:val="24"/>
          <w:szCs w:val="24"/>
        </w:rPr>
        <w:t>日</w:t>
      </w:r>
    </w:p>
    <w:p w14:paraId="29D244E4">
      <w:pPr>
        <w:widowControl/>
        <w:jc w:val="left"/>
        <w:rPr>
          <w:rFonts w:ascii="宋体" w:hAnsi="宋体"/>
          <w:szCs w:val="21"/>
        </w:rPr>
      </w:pPr>
      <w:bookmarkStart w:id="316" w:name="_Toc476670292"/>
      <w:bookmarkStart w:id="317" w:name="_Toc476670115"/>
      <w:bookmarkStart w:id="318" w:name="_Toc457201654"/>
    </w:p>
    <w:p w14:paraId="5DF8E29B">
      <w:pPr>
        <w:pStyle w:val="19"/>
        <w:rPr>
          <w:rFonts w:ascii="宋体" w:hAnsi="宋体"/>
          <w:szCs w:val="21"/>
        </w:rPr>
      </w:pPr>
    </w:p>
    <w:p w14:paraId="2197864B">
      <w:pPr>
        <w:rPr>
          <w:rFonts w:ascii="宋体" w:hAnsi="宋体"/>
          <w:szCs w:val="21"/>
        </w:rPr>
      </w:pPr>
    </w:p>
    <w:p w14:paraId="73AD6B01">
      <w:pPr>
        <w:pStyle w:val="19"/>
        <w:rPr>
          <w:rFonts w:ascii="宋体" w:hAnsi="宋体"/>
          <w:szCs w:val="21"/>
        </w:rPr>
      </w:pPr>
    </w:p>
    <w:p w14:paraId="0EEF3895">
      <w:pPr>
        <w:rPr>
          <w:rFonts w:ascii="宋体" w:hAnsi="宋体"/>
          <w:szCs w:val="21"/>
        </w:rPr>
      </w:pPr>
    </w:p>
    <w:p w14:paraId="1DB006F1">
      <w:pPr>
        <w:pStyle w:val="19"/>
        <w:rPr>
          <w:rFonts w:ascii="宋体" w:hAnsi="宋体"/>
          <w:szCs w:val="21"/>
        </w:rPr>
      </w:pPr>
    </w:p>
    <w:p w14:paraId="51E600B6"/>
    <w:bookmarkEnd w:id="316"/>
    <w:bookmarkEnd w:id="317"/>
    <w:bookmarkEnd w:id="318"/>
    <w:p w14:paraId="1EDA779A">
      <w:pPr>
        <w:pStyle w:val="2"/>
        <w:spacing w:line="500" w:lineRule="exact"/>
        <w:rPr>
          <w:rFonts w:ascii="宋体" w:hAnsi="宋体"/>
          <w:sz w:val="24"/>
        </w:rPr>
      </w:pPr>
      <w:bookmarkStart w:id="319" w:name="_Toc20068"/>
      <w:bookmarkStart w:id="320" w:name="_Toc11233"/>
      <w:r>
        <w:rPr>
          <w:rFonts w:hint="eastAsia" w:ascii="宋体" w:hAnsi="宋体"/>
          <w:b/>
          <w:sz w:val="32"/>
          <w:szCs w:val="32"/>
        </w:rPr>
        <w:t>第三章  评标办法</w:t>
      </w:r>
      <w:bookmarkEnd w:id="319"/>
      <w:bookmarkEnd w:id="320"/>
      <w:r>
        <w:rPr>
          <w:rFonts w:hint="eastAsia" w:ascii="宋体" w:hAnsi="宋体" w:cs="宋体"/>
          <w:b/>
          <w:sz w:val="32"/>
          <w:szCs w:val="32"/>
        </w:rPr>
        <w:t>（合格制）</w:t>
      </w:r>
    </w:p>
    <w:bookmarkEnd w:id="280"/>
    <w:bookmarkEnd w:id="281"/>
    <w:bookmarkEnd w:id="282"/>
    <w:bookmarkEnd w:id="283"/>
    <w:bookmarkEnd w:id="284"/>
    <w:bookmarkEnd w:id="285"/>
    <w:bookmarkEnd w:id="286"/>
    <w:bookmarkEnd w:id="287"/>
    <w:p w14:paraId="4D99B637">
      <w:pPr>
        <w:pStyle w:val="3"/>
        <w:jc w:val="center"/>
        <w:rPr>
          <w:kern w:val="2"/>
          <w:szCs w:val="22"/>
        </w:rPr>
      </w:pPr>
      <w:bookmarkStart w:id="321" w:name="_Toc32066"/>
      <w:bookmarkStart w:id="322" w:name="_Toc3360"/>
      <w:bookmarkStart w:id="323" w:name="_Toc25614"/>
      <w:bookmarkStart w:id="324" w:name="_Toc4923"/>
      <w:bookmarkStart w:id="325" w:name="_Toc17004"/>
      <w:bookmarkStart w:id="326" w:name="_Toc6083"/>
      <w:bookmarkStart w:id="327" w:name="_Toc22233"/>
      <w:bookmarkStart w:id="328" w:name="_Toc8471"/>
      <w:bookmarkStart w:id="329" w:name="_Toc31289"/>
      <w:bookmarkStart w:id="330" w:name="_Toc8671"/>
      <w:bookmarkStart w:id="331" w:name="_Toc19236"/>
      <w:bookmarkStart w:id="332" w:name="_Toc485395248"/>
      <w:bookmarkStart w:id="333" w:name="_Toc234382663"/>
      <w:bookmarkStart w:id="334" w:name="_Toc152045609"/>
      <w:bookmarkStart w:id="335" w:name="_Toc152042387"/>
      <w:bookmarkStart w:id="336" w:name="_Toc179632627"/>
      <w:bookmarkStart w:id="337" w:name="_Toc144974577"/>
      <w:bookmarkStart w:id="338" w:name="_Toc246996252"/>
      <w:bookmarkStart w:id="339" w:name="_Toc246996995"/>
      <w:bookmarkStart w:id="340" w:name="_Toc296602497"/>
      <w:bookmarkStart w:id="341" w:name="_Toc247085767"/>
      <w:r>
        <w:rPr>
          <w:rFonts w:hint="eastAsia"/>
          <w:kern w:val="2"/>
          <w:szCs w:val="22"/>
        </w:rPr>
        <w:t>（一）初步评审标准</w:t>
      </w:r>
      <w:bookmarkEnd w:id="321"/>
      <w:bookmarkEnd w:id="322"/>
      <w:bookmarkEnd w:id="323"/>
      <w:bookmarkEnd w:id="324"/>
      <w:bookmarkEnd w:id="325"/>
      <w:bookmarkEnd w:id="326"/>
      <w:bookmarkEnd w:id="327"/>
      <w:bookmarkEnd w:id="328"/>
      <w:bookmarkEnd w:id="329"/>
      <w:bookmarkEnd w:id="330"/>
      <w:bookmarkEnd w:id="331"/>
    </w:p>
    <w:tbl>
      <w:tblPr>
        <w:tblStyle w:val="20"/>
        <w:tblpPr w:leftFromText="180" w:rightFromText="180" w:vertAnchor="text" w:horzAnchor="page" w:tblpXSpec="center" w:tblpY="1"/>
        <w:tblOverlap w:val="never"/>
        <w:tblW w:w="9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31"/>
        <w:gridCol w:w="2225"/>
        <w:gridCol w:w="5433"/>
      </w:tblGrid>
      <w:tr w14:paraId="388CE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4439" w:type="dxa"/>
            <w:gridSpan w:val="3"/>
            <w:vAlign w:val="center"/>
          </w:tcPr>
          <w:p w14:paraId="6274A940">
            <w:pPr>
              <w:widowControl/>
              <w:wordWrap w:val="0"/>
              <w:jc w:val="center"/>
              <w:rPr>
                <w:rFonts w:ascii="宋体" w:hAnsi="宋体" w:cs="宋体"/>
                <w:color w:val="000000"/>
                <w:kern w:val="0"/>
                <w:sz w:val="24"/>
                <w:szCs w:val="24"/>
              </w:rPr>
            </w:pPr>
            <w:r>
              <w:rPr>
                <w:rFonts w:hint="eastAsia" w:ascii="宋体" w:hAnsi="宋体" w:cs="宋体"/>
                <w:b/>
                <w:bCs/>
                <w:color w:val="000000"/>
                <w:kern w:val="0"/>
                <w:sz w:val="24"/>
                <w:szCs w:val="24"/>
              </w:rPr>
              <w:t>条款号</w:t>
            </w:r>
          </w:p>
        </w:tc>
        <w:tc>
          <w:tcPr>
            <w:tcW w:w="5433" w:type="dxa"/>
            <w:vAlign w:val="center"/>
          </w:tcPr>
          <w:p w14:paraId="493F995E">
            <w:pPr>
              <w:widowControl/>
              <w:wordWrap w:val="0"/>
              <w:jc w:val="center"/>
              <w:rPr>
                <w:rFonts w:ascii="宋体" w:hAnsi="宋体" w:cs="宋体"/>
                <w:color w:val="000000"/>
                <w:kern w:val="0"/>
                <w:sz w:val="24"/>
                <w:szCs w:val="24"/>
              </w:rPr>
            </w:pPr>
            <w:r>
              <w:rPr>
                <w:rFonts w:hint="eastAsia" w:ascii="宋体" w:hAnsi="宋体"/>
                <w:b/>
                <w:bCs/>
                <w:sz w:val="24"/>
                <w:szCs w:val="24"/>
              </w:rPr>
              <w:t>评审因素与标准</w:t>
            </w:r>
          </w:p>
        </w:tc>
      </w:tr>
      <w:tr w14:paraId="291AC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Align w:val="center"/>
          </w:tcPr>
          <w:p w14:paraId="00D36FD0">
            <w:pPr>
              <w:wordWrap w:val="0"/>
              <w:jc w:val="center"/>
              <w:rPr>
                <w:rFonts w:ascii="宋体" w:hAnsi="宋体" w:cs="宋体"/>
                <w:sz w:val="24"/>
                <w:szCs w:val="24"/>
              </w:rPr>
            </w:pPr>
            <w:r>
              <w:rPr>
                <w:rFonts w:hint="eastAsia" w:ascii="宋体" w:hAnsi="宋体"/>
                <w:sz w:val="24"/>
                <w:szCs w:val="24"/>
              </w:rPr>
              <w:t>1</w:t>
            </w:r>
          </w:p>
        </w:tc>
        <w:tc>
          <w:tcPr>
            <w:tcW w:w="3456" w:type="dxa"/>
            <w:gridSpan w:val="2"/>
            <w:vAlign w:val="center"/>
          </w:tcPr>
          <w:p w14:paraId="4F7A41F9">
            <w:pPr>
              <w:wordWrap w:val="0"/>
              <w:spacing w:line="440" w:lineRule="exact"/>
              <w:ind w:firstLine="480" w:firstLineChars="200"/>
              <w:rPr>
                <w:rFonts w:ascii="宋体" w:hAnsi="宋体"/>
                <w:bCs/>
                <w:sz w:val="24"/>
                <w:szCs w:val="24"/>
              </w:rPr>
            </w:pPr>
            <w:r>
              <w:rPr>
                <w:rFonts w:hint="eastAsia" w:ascii="宋体" w:hAnsi="宋体"/>
                <w:bCs/>
                <w:sz w:val="24"/>
                <w:szCs w:val="24"/>
              </w:rPr>
              <w:t>评标方法</w:t>
            </w:r>
          </w:p>
        </w:tc>
        <w:tc>
          <w:tcPr>
            <w:tcW w:w="5433" w:type="dxa"/>
          </w:tcPr>
          <w:p w14:paraId="40B7B9BF">
            <w:pPr>
              <w:wordWrap w:val="0"/>
              <w:spacing w:line="440" w:lineRule="exact"/>
              <w:ind w:firstLine="480" w:firstLineChars="200"/>
              <w:jc w:val="left"/>
              <w:rPr>
                <w:rFonts w:ascii="宋体" w:hAnsi="宋体"/>
                <w:bCs/>
                <w:sz w:val="24"/>
                <w:szCs w:val="24"/>
              </w:rPr>
            </w:pPr>
            <w:r>
              <w:rPr>
                <w:rFonts w:hint="eastAsia" w:ascii="宋体" w:hAnsi="宋体"/>
                <w:bCs/>
                <w:sz w:val="24"/>
                <w:szCs w:val="24"/>
              </w:rPr>
              <w:t>合格制</w:t>
            </w:r>
          </w:p>
        </w:tc>
      </w:tr>
      <w:tr w14:paraId="5927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restart"/>
            <w:vAlign w:val="center"/>
          </w:tcPr>
          <w:p w14:paraId="357EE13F">
            <w:pPr>
              <w:wordWrap w:val="0"/>
              <w:spacing w:line="360" w:lineRule="auto"/>
              <w:jc w:val="center"/>
              <w:rPr>
                <w:rFonts w:ascii="宋体" w:hAnsi="宋体" w:cs="宋体"/>
                <w:sz w:val="24"/>
                <w:szCs w:val="24"/>
              </w:rPr>
            </w:pPr>
            <w:r>
              <w:rPr>
                <w:rFonts w:hint="eastAsia" w:ascii="宋体" w:hAnsi="宋体" w:cs="宋体"/>
                <w:sz w:val="24"/>
                <w:szCs w:val="24"/>
              </w:rPr>
              <w:t>2.1.1</w:t>
            </w:r>
          </w:p>
          <w:p w14:paraId="7CCA1DCB">
            <w:pPr>
              <w:wordWrap w:val="0"/>
              <w:spacing w:line="360" w:lineRule="auto"/>
              <w:jc w:val="center"/>
              <w:rPr>
                <w:rFonts w:ascii="宋体" w:hAnsi="宋体" w:cs="宋体"/>
                <w:sz w:val="24"/>
                <w:szCs w:val="24"/>
              </w:rPr>
            </w:pPr>
          </w:p>
        </w:tc>
        <w:tc>
          <w:tcPr>
            <w:tcW w:w="1231" w:type="dxa"/>
            <w:vMerge w:val="restart"/>
            <w:vAlign w:val="center"/>
          </w:tcPr>
          <w:p w14:paraId="149BAF46">
            <w:pPr>
              <w:wordWrap w:val="0"/>
              <w:spacing w:line="440" w:lineRule="exact"/>
              <w:rPr>
                <w:rFonts w:ascii="宋体" w:hAnsi="宋体"/>
                <w:bCs/>
                <w:sz w:val="24"/>
                <w:szCs w:val="24"/>
              </w:rPr>
            </w:pPr>
            <w:r>
              <w:rPr>
                <w:rFonts w:hint="eastAsia" w:ascii="宋体" w:hAnsi="宋体"/>
                <w:bCs/>
                <w:sz w:val="24"/>
                <w:szCs w:val="24"/>
              </w:rPr>
              <w:t>形式评审</w:t>
            </w:r>
          </w:p>
          <w:p w14:paraId="29E37943">
            <w:pPr>
              <w:wordWrap w:val="0"/>
              <w:spacing w:line="440" w:lineRule="exact"/>
              <w:rPr>
                <w:rFonts w:ascii="宋体" w:hAnsi="宋体"/>
                <w:bCs/>
                <w:sz w:val="24"/>
                <w:szCs w:val="24"/>
              </w:rPr>
            </w:pPr>
            <w:r>
              <w:rPr>
                <w:rFonts w:hint="eastAsia" w:ascii="宋体" w:hAnsi="宋体"/>
                <w:bCs/>
                <w:sz w:val="24"/>
                <w:szCs w:val="24"/>
              </w:rPr>
              <w:t>与响应性评审标准（第</w:t>
            </w:r>
            <w:r>
              <w:rPr>
                <w:rFonts w:hint="eastAsia" w:ascii="宋体" w:hAnsi="宋体"/>
                <w:bCs/>
                <w:sz w:val="24"/>
                <w:szCs w:val="24"/>
                <w:lang w:val="en-US" w:eastAsia="zh-CN"/>
              </w:rPr>
              <w:t>一</w:t>
            </w:r>
            <w:r>
              <w:rPr>
                <w:rFonts w:hint="eastAsia" w:ascii="宋体" w:hAnsi="宋体"/>
                <w:bCs/>
                <w:sz w:val="24"/>
                <w:szCs w:val="24"/>
              </w:rPr>
              <w:t>信封）</w:t>
            </w:r>
          </w:p>
          <w:p w14:paraId="51C47824">
            <w:pPr>
              <w:wordWrap w:val="0"/>
              <w:spacing w:line="440" w:lineRule="exact"/>
              <w:ind w:firstLine="480" w:firstLineChars="200"/>
              <w:rPr>
                <w:rFonts w:ascii="宋体" w:hAnsi="宋体"/>
                <w:bCs/>
                <w:sz w:val="24"/>
                <w:szCs w:val="24"/>
              </w:rPr>
            </w:pPr>
          </w:p>
        </w:tc>
        <w:tc>
          <w:tcPr>
            <w:tcW w:w="2225" w:type="dxa"/>
            <w:vAlign w:val="center"/>
          </w:tcPr>
          <w:p w14:paraId="258BF580">
            <w:pPr>
              <w:wordWrap w:val="0"/>
              <w:spacing w:line="440" w:lineRule="exact"/>
              <w:jc w:val="center"/>
              <w:rPr>
                <w:rFonts w:ascii="宋体" w:hAnsi="宋体"/>
                <w:bCs/>
                <w:sz w:val="24"/>
                <w:szCs w:val="24"/>
              </w:rPr>
            </w:pPr>
            <w:r>
              <w:rPr>
                <w:rFonts w:hint="eastAsia" w:ascii="宋体" w:hAnsi="宋体"/>
                <w:bCs/>
                <w:sz w:val="24"/>
                <w:szCs w:val="24"/>
              </w:rPr>
              <w:t>投标人名称</w:t>
            </w:r>
          </w:p>
        </w:tc>
        <w:tc>
          <w:tcPr>
            <w:tcW w:w="5433" w:type="dxa"/>
            <w:vAlign w:val="center"/>
          </w:tcPr>
          <w:p w14:paraId="2AF70B95">
            <w:pPr>
              <w:wordWrap w:val="0"/>
              <w:spacing w:line="440" w:lineRule="exact"/>
              <w:jc w:val="left"/>
              <w:rPr>
                <w:rFonts w:ascii="宋体" w:hAnsi="宋体"/>
                <w:bCs/>
                <w:sz w:val="24"/>
                <w:szCs w:val="24"/>
              </w:rPr>
            </w:pPr>
            <w:r>
              <w:rPr>
                <w:rFonts w:hint="eastAsia" w:ascii="宋体" w:hAnsi="宋体"/>
                <w:bCs/>
                <w:sz w:val="24"/>
                <w:szCs w:val="24"/>
              </w:rPr>
              <w:t>与营业执照、资质证书等一致；</w:t>
            </w:r>
          </w:p>
        </w:tc>
      </w:tr>
      <w:tr w14:paraId="0BEEE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5CFE0F53">
            <w:pPr>
              <w:wordWrap w:val="0"/>
              <w:spacing w:line="360" w:lineRule="auto"/>
              <w:jc w:val="left"/>
              <w:rPr>
                <w:sz w:val="24"/>
                <w:szCs w:val="24"/>
              </w:rPr>
            </w:pPr>
          </w:p>
        </w:tc>
        <w:tc>
          <w:tcPr>
            <w:tcW w:w="1231" w:type="dxa"/>
            <w:vMerge w:val="continue"/>
            <w:vAlign w:val="center"/>
          </w:tcPr>
          <w:p w14:paraId="0DCE8EE5">
            <w:pPr>
              <w:wordWrap w:val="0"/>
              <w:spacing w:line="440" w:lineRule="exact"/>
              <w:ind w:firstLine="480" w:firstLineChars="200"/>
              <w:rPr>
                <w:rFonts w:ascii="宋体" w:hAnsi="宋体"/>
                <w:bCs/>
                <w:sz w:val="24"/>
                <w:szCs w:val="24"/>
              </w:rPr>
            </w:pPr>
          </w:p>
        </w:tc>
        <w:tc>
          <w:tcPr>
            <w:tcW w:w="2225" w:type="dxa"/>
            <w:vAlign w:val="center"/>
          </w:tcPr>
          <w:p w14:paraId="04E835EC">
            <w:pPr>
              <w:wordWrap w:val="0"/>
              <w:spacing w:line="440" w:lineRule="exact"/>
              <w:jc w:val="center"/>
              <w:rPr>
                <w:rFonts w:ascii="宋体" w:hAnsi="宋体"/>
                <w:bCs/>
                <w:sz w:val="24"/>
                <w:szCs w:val="24"/>
              </w:rPr>
            </w:pPr>
            <w:r>
              <w:rPr>
                <w:rFonts w:hint="eastAsia" w:ascii="宋体" w:hAnsi="宋体"/>
                <w:bCs/>
                <w:sz w:val="24"/>
                <w:szCs w:val="24"/>
              </w:rPr>
              <w:t>投标函签字盖章</w:t>
            </w:r>
          </w:p>
        </w:tc>
        <w:tc>
          <w:tcPr>
            <w:tcW w:w="5433" w:type="dxa"/>
            <w:vAlign w:val="center"/>
          </w:tcPr>
          <w:p w14:paraId="7980D472">
            <w:pPr>
              <w:wordWrap w:val="0"/>
              <w:spacing w:line="440" w:lineRule="exact"/>
              <w:jc w:val="left"/>
              <w:rPr>
                <w:rFonts w:ascii="宋体" w:hAnsi="宋体"/>
                <w:bCs/>
                <w:sz w:val="24"/>
                <w:szCs w:val="24"/>
              </w:rPr>
            </w:pPr>
            <w:r>
              <w:rPr>
                <w:rFonts w:hint="eastAsia" w:ascii="宋体" w:hAnsi="宋体"/>
                <w:bCs/>
                <w:sz w:val="24"/>
                <w:szCs w:val="24"/>
              </w:rPr>
              <w:t>符合第二章“投标人须知前附表”要求；</w:t>
            </w:r>
          </w:p>
        </w:tc>
      </w:tr>
      <w:tr w14:paraId="63D4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7DA70B0E">
            <w:pPr>
              <w:wordWrap w:val="0"/>
              <w:spacing w:line="360" w:lineRule="auto"/>
              <w:jc w:val="left"/>
              <w:rPr>
                <w:sz w:val="24"/>
                <w:szCs w:val="24"/>
              </w:rPr>
            </w:pPr>
          </w:p>
        </w:tc>
        <w:tc>
          <w:tcPr>
            <w:tcW w:w="1231" w:type="dxa"/>
            <w:vMerge w:val="continue"/>
            <w:vAlign w:val="center"/>
          </w:tcPr>
          <w:p w14:paraId="762A4190">
            <w:pPr>
              <w:wordWrap w:val="0"/>
              <w:spacing w:line="440" w:lineRule="exact"/>
              <w:ind w:firstLine="480" w:firstLineChars="200"/>
              <w:rPr>
                <w:rFonts w:ascii="宋体" w:hAnsi="宋体"/>
                <w:bCs/>
                <w:sz w:val="24"/>
                <w:szCs w:val="24"/>
              </w:rPr>
            </w:pPr>
          </w:p>
        </w:tc>
        <w:tc>
          <w:tcPr>
            <w:tcW w:w="2225" w:type="dxa"/>
            <w:vAlign w:val="center"/>
          </w:tcPr>
          <w:p w14:paraId="0D910E21">
            <w:pPr>
              <w:wordWrap w:val="0"/>
              <w:spacing w:line="440" w:lineRule="exact"/>
              <w:jc w:val="center"/>
              <w:rPr>
                <w:rFonts w:ascii="宋体" w:hAnsi="宋体"/>
                <w:bCs/>
                <w:sz w:val="24"/>
                <w:szCs w:val="24"/>
              </w:rPr>
            </w:pPr>
            <w:r>
              <w:rPr>
                <w:rFonts w:hint="eastAsia" w:ascii="宋体" w:hAnsi="宋体"/>
                <w:bCs/>
                <w:sz w:val="24"/>
                <w:szCs w:val="24"/>
              </w:rPr>
              <w:t>投标文件格式</w:t>
            </w:r>
          </w:p>
        </w:tc>
        <w:tc>
          <w:tcPr>
            <w:tcW w:w="5433" w:type="dxa"/>
            <w:vAlign w:val="center"/>
          </w:tcPr>
          <w:p w14:paraId="23EDDBF5">
            <w:pPr>
              <w:wordWrap w:val="0"/>
              <w:spacing w:line="440" w:lineRule="exact"/>
              <w:jc w:val="left"/>
              <w:rPr>
                <w:rFonts w:ascii="宋体" w:hAnsi="宋体"/>
                <w:bCs/>
                <w:sz w:val="24"/>
                <w:szCs w:val="24"/>
              </w:rPr>
            </w:pPr>
            <w:r>
              <w:rPr>
                <w:rFonts w:hint="eastAsia" w:ascii="宋体" w:hAnsi="宋体"/>
                <w:bCs/>
                <w:sz w:val="24"/>
                <w:szCs w:val="24"/>
              </w:rPr>
              <w:t>符合第十章“投标文件格式（第一信封）”的要求；</w:t>
            </w:r>
          </w:p>
        </w:tc>
      </w:tr>
      <w:tr w14:paraId="060A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3" w:type="dxa"/>
            <w:vMerge w:val="continue"/>
            <w:vAlign w:val="center"/>
          </w:tcPr>
          <w:p w14:paraId="1B7EACD2">
            <w:pPr>
              <w:wordWrap w:val="0"/>
              <w:spacing w:line="360" w:lineRule="auto"/>
              <w:jc w:val="left"/>
              <w:rPr>
                <w:sz w:val="24"/>
                <w:szCs w:val="24"/>
              </w:rPr>
            </w:pPr>
          </w:p>
        </w:tc>
        <w:tc>
          <w:tcPr>
            <w:tcW w:w="1231" w:type="dxa"/>
            <w:vMerge w:val="continue"/>
            <w:vAlign w:val="center"/>
          </w:tcPr>
          <w:p w14:paraId="54C201CE">
            <w:pPr>
              <w:wordWrap w:val="0"/>
              <w:spacing w:line="440" w:lineRule="exact"/>
              <w:ind w:firstLine="480" w:firstLineChars="200"/>
              <w:rPr>
                <w:rFonts w:ascii="宋体" w:hAnsi="宋体"/>
                <w:bCs/>
                <w:sz w:val="24"/>
                <w:szCs w:val="24"/>
              </w:rPr>
            </w:pPr>
          </w:p>
        </w:tc>
        <w:tc>
          <w:tcPr>
            <w:tcW w:w="2225" w:type="dxa"/>
            <w:vAlign w:val="center"/>
          </w:tcPr>
          <w:p w14:paraId="27C0FC20">
            <w:pPr>
              <w:wordWrap w:val="0"/>
              <w:spacing w:line="440" w:lineRule="exact"/>
              <w:jc w:val="center"/>
              <w:rPr>
                <w:rFonts w:ascii="宋体" w:hAnsi="宋体"/>
                <w:bCs/>
                <w:sz w:val="24"/>
                <w:szCs w:val="24"/>
              </w:rPr>
            </w:pPr>
            <w:r>
              <w:rPr>
                <w:rFonts w:hint="eastAsia" w:ascii="宋体" w:hAnsi="宋体"/>
                <w:bCs/>
                <w:sz w:val="24"/>
                <w:szCs w:val="24"/>
              </w:rPr>
              <w:t>工期</w:t>
            </w:r>
          </w:p>
        </w:tc>
        <w:tc>
          <w:tcPr>
            <w:tcW w:w="5433" w:type="dxa"/>
            <w:vAlign w:val="center"/>
          </w:tcPr>
          <w:p w14:paraId="6AB2E835">
            <w:pPr>
              <w:wordWrap w:val="0"/>
              <w:spacing w:line="440" w:lineRule="exact"/>
              <w:jc w:val="left"/>
              <w:rPr>
                <w:rFonts w:ascii="宋体" w:hAnsi="宋体"/>
                <w:bCs/>
                <w:sz w:val="24"/>
                <w:szCs w:val="24"/>
              </w:rPr>
            </w:pPr>
            <w:r>
              <w:rPr>
                <w:rFonts w:hint="eastAsia" w:ascii="宋体" w:hAnsi="宋体"/>
                <w:bCs/>
                <w:sz w:val="24"/>
                <w:szCs w:val="24"/>
              </w:rPr>
              <w:t>符合第二章“投标人须知前附表”规定；</w:t>
            </w:r>
          </w:p>
        </w:tc>
      </w:tr>
      <w:tr w14:paraId="1042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0CC7A417">
            <w:pPr>
              <w:wordWrap w:val="0"/>
              <w:spacing w:line="360" w:lineRule="auto"/>
              <w:jc w:val="left"/>
              <w:rPr>
                <w:sz w:val="24"/>
                <w:szCs w:val="24"/>
              </w:rPr>
            </w:pPr>
          </w:p>
        </w:tc>
        <w:tc>
          <w:tcPr>
            <w:tcW w:w="1231" w:type="dxa"/>
            <w:vMerge w:val="continue"/>
            <w:vAlign w:val="center"/>
          </w:tcPr>
          <w:p w14:paraId="4A0CF7F9">
            <w:pPr>
              <w:wordWrap w:val="0"/>
              <w:spacing w:line="440" w:lineRule="exact"/>
              <w:ind w:firstLine="480" w:firstLineChars="200"/>
              <w:rPr>
                <w:rFonts w:ascii="宋体" w:hAnsi="宋体"/>
                <w:bCs/>
                <w:sz w:val="24"/>
                <w:szCs w:val="24"/>
              </w:rPr>
            </w:pPr>
          </w:p>
        </w:tc>
        <w:tc>
          <w:tcPr>
            <w:tcW w:w="2225" w:type="dxa"/>
            <w:vAlign w:val="center"/>
          </w:tcPr>
          <w:p w14:paraId="7E64B5B9">
            <w:pPr>
              <w:wordWrap w:val="0"/>
              <w:spacing w:line="440" w:lineRule="exact"/>
              <w:jc w:val="center"/>
              <w:rPr>
                <w:rFonts w:ascii="宋体" w:hAnsi="宋体"/>
                <w:bCs/>
                <w:sz w:val="24"/>
                <w:szCs w:val="24"/>
              </w:rPr>
            </w:pPr>
            <w:r>
              <w:rPr>
                <w:rFonts w:hint="eastAsia" w:ascii="宋体" w:hAnsi="宋体"/>
                <w:bCs/>
                <w:sz w:val="24"/>
                <w:szCs w:val="24"/>
              </w:rPr>
              <w:t>质量要求</w:t>
            </w:r>
          </w:p>
        </w:tc>
        <w:tc>
          <w:tcPr>
            <w:tcW w:w="5433" w:type="dxa"/>
            <w:vAlign w:val="center"/>
          </w:tcPr>
          <w:p w14:paraId="63803EE5">
            <w:pPr>
              <w:wordWrap w:val="0"/>
              <w:spacing w:line="440" w:lineRule="exact"/>
              <w:jc w:val="left"/>
              <w:rPr>
                <w:rFonts w:ascii="宋体" w:hAnsi="宋体"/>
                <w:bCs/>
                <w:sz w:val="24"/>
                <w:szCs w:val="24"/>
              </w:rPr>
            </w:pPr>
            <w:r>
              <w:rPr>
                <w:rFonts w:hint="eastAsia" w:ascii="宋体" w:hAnsi="宋体"/>
                <w:bCs/>
                <w:sz w:val="24"/>
                <w:szCs w:val="24"/>
              </w:rPr>
              <w:t>符合第二章“投标人须知前附表”规定；</w:t>
            </w:r>
          </w:p>
        </w:tc>
      </w:tr>
      <w:tr w14:paraId="5639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4764CA74">
            <w:pPr>
              <w:wordWrap w:val="0"/>
              <w:spacing w:line="360" w:lineRule="auto"/>
              <w:jc w:val="left"/>
              <w:rPr>
                <w:sz w:val="24"/>
                <w:szCs w:val="24"/>
              </w:rPr>
            </w:pPr>
          </w:p>
        </w:tc>
        <w:tc>
          <w:tcPr>
            <w:tcW w:w="1231" w:type="dxa"/>
            <w:vMerge w:val="continue"/>
            <w:vAlign w:val="center"/>
          </w:tcPr>
          <w:p w14:paraId="226A28C0">
            <w:pPr>
              <w:wordWrap w:val="0"/>
              <w:spacing w:line="440" w:lineRule="exact"/>
              <w:ind w:firstLine="480" w:firstLineChars="200"/>
              <w:rPr>
                <w:rFonts w:ascii="宋体" w:hAnsi="宋体"/>
                <w:bCs/>
                <w:sz w:val="24"/>
                <w:szCs w:val="24"/>
              </w:rPr>
            </w:pPr>
          </w:p>
        </w:tc>
        <w:tc>
          <w:tcPr>
            <w:tcW w:w="2225" w:type="dxa"/>
            <w:vAlign w:val="center"/>
          </w:tcPr>
          <w:p w14:paraId="56943BD3">
            <w:pPr>
              <w:wordWrap w:val="0"/>
              <w:spacing w:line="440" w:lineRule="exact"/>
              <w:jc w:val="center"/>
              <w:rPr>
                <w:rFonts w:hint="eastAsia" w:ascii="宋体" w:hAnsi="宋体"/>
                <w:bCs/>
                <w:sz w:val="24"/>
                <w:szCs w:val="24"/>
              </w:rPr>
            </w:pPr>
            <w:r>
              <w:rPr>
                <w:rFonts w:hint="eastAsia" w:ascii="宋体" w:hAnsi="宋体"/>
                <w:bCs/>
                <w:sz w:val="24"/>
                <w:szCs w:val="24"/>
              </w:rPr>
              <w:t>招标范围</w:t>
            </w:r>
          </w:p>
        </w:tc>
        <w:tc>
          <w:tcPr>
            <w:tcW w:w="5433" w:type="dxa"/>
            <w:vAlign w:val="center"/>
          </w:tcPr>
          <w:p w14:paraId="5F5E4E29">
            <w:pPr>
              <w:wordWrap w:val="0"/>
              <w:spacing w:line="440" w:lineRule="exact"/>
              <w:jc w:val="left"/>
              <w:rPr>
                <w:rFonts w:hint="eastAsia" w:ascii="宋体" w:hAnsi="宋体"/>
                <w:bCs/>
                <w:sz w:val="24"/>
                <w:szCs w:val="24"/>
              </w:rPr>
            </w:pPr>
            <w:r>
              <w:rPr>
                <w:rFonts w:hint="eastAsia" w:ascii="宋体" w:hAnsi="宋体"/>
                <w:bCs/>
                <w:sz w:val="24"/>
                <w:szCs w:val="24"/>
              </w:rPr>
              <w:t>符合第二章“投标人须知前附表”规定；</w:t>
            </w:r>
          </w:p>
        </w:tc>
      </w:tr>
      <w:tr w14:paraId="37C0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4B5B6221">
            <w:pPr>
              <w:wordWrap w:val="0"/>
              <w:spacing w:line="360" w:lineRule="auto"/>
              <w:jc w:val="left"/>
              <w:rPr>
                <w:sz w:val="24"/>
                <w:szCs w:val="24"/>
              </w:rPr>
            </w:pPr>
          </w:p>
        </w:tc>
        <w:tc>
          <w:tcPr>
            <w:tcW w:w="1231" w:type="dxa"/>
            <w:vMerge w:val="continue"/>
            <w:vAlign w:val="center"/>
          </w:tcPr>
          <w:p w14:paraId="14C20DF4">
            <w:pPr>
              <w:wordWrap w:val="0"/>
              <w:spacing w:line="440" w:lineRule="exact"/>
              <w:ind w:firstLine="480" w:firstLineChars="200"/>
              <w:rPr>
                <w:rFonts w:ascii="宋体" w:hAnsi="宋体"/>
                <w:bCs/>
                <w:sz w:val="24"/>
                <w:szCs w:val="24"/>
              </w:rPr>
            </w:pPr>
          </w:p>
        </w:tc>
        <w:tc>
          <w:tcPr>
            <w:tcW w:w="2225" w:type="dxa"/>
            <w:vAlign w:val="center"/>
          </w:tcPr>
          <w:p w14:paraId="4D5793F1">
            <w:pPr>
              <w:wordWrap w:val="0"/>
              <w:spacing w:line="440" w:lineRule="exact"/>
              <w:jc w:val="center"/>
              <w:rPr>
                <w:rFonts w:ascii="宋体" w:hAnsi="宋体"/>
                <w:bCs/>
                <w:sz w:val="24"/>
                <w:szCs w:val="24"/>
              </w:rPr>
            </w:pPr>
            <w:r>
              <w:rPr>
                <w:rFonts w:hint="eastAsia" w:ascii="宋体" w:hAnsi="宋体"/>
                <w:bCs/>
                <w:sz w:val="24"/>
                <w:szCs w:val="24"/>
              </w:rPr>
              <w:t>安全目标</w:t>
            </w:r>
          </w:p>
        </w:tc>
        <w:tc>
          <w:tcPr>
            <w:tcW w:w="5433" w:type="dxa"/>
            <w:vAlign w:val="center"/>
          </w:tcPr>
          <w:p w14:paraId="1542DEAD">
            <w:pPr>
              <w:wordWrap w:val="0"/>
              <w:spacing w:line="440" w:lineRule="exact"/>
              <w:jc w:val="left"/>
              <w:rPr>
                <w:rFonts w:ascii="宋体" w:hAnsi="宋体"/>
                <w:bCs/>
                <w:sz w:val="24"/>
                <w:szCs w:val="24"/>
              </w:rPr>
            </w:pPr>
            <w:r>
              <w:rPr>
                <w:rFonts w:hint="eastAsia" w:ascii="宋体" w:hAnsi="宋体"/>
                <w:bCs/>
                <w:sz w:val="24"/>
                <w:szCs w:val="24"/>
              </w:rPr>
              <w:t>符合第二章“投标人须知前附表”规定；</w:t>
            </w:r>
          </w:p>
        </w:tc>
      </w:tr>
      <w:tr w14:paraId="4489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7CDC8368">
            <w:pPr>
              <w:wordWrap w:val="0"/>
              <w:spacing w:line="360" w:lineRule="auto"/>
              <w:jc w:val="left"/>
              <w:rPr>
                <w:sz w:val="24"/>
                <w:szCs w:val="24"/>
              </w:rPr>
            </w:pPr>
          </w:p>
        </w:tc>
        <w:tc>
          <w:tcPr>
            <w:tcW w:w="1231" w:type="dxa"/>
            <w:vMerge w:val="continue"/>
            <w:vAlign w:val="center"/>
          </w:tcPr>
          <w:p w14:paraId="7ED7A5FC">
            <w:pPr>
              <w:wordWrap w:val="0"/>
              <w:spacing w:line="440" w:lineRule="exact"/>
              <w:ind w:firstLine="480" w:firstLineChars="200"/>
              <w:rPr>
                <w:rFonts w:ascii="宋体" w:hAnsi="宋体"/>
                <w:bCs/>
                <w:sz w:val="24"/>
                <w:szCs w:val="24"/>
              </w:rPr>
            </w:pPr>
          </w:p>
        </w:tc>
        <w:tc>
          <w:tcPr>
            <w:tcW w:w="2225" w:type="dxa"/>
            <w:vAlign w:val="center"/>
          </w:tcPr>
          <w:p w14:paraId="57D3F97A">
            <w:pPr>
              <w:wordWrap w:val="0"/>
              <w:spacing w:line="440" w:lineRule="exact"/>
              <w:jc w:val="center"/>
              <w:rPr>
                <w:rFonts w:ascii="宋体" w:hAnsi="宋体"/>
                <w:bCs/>
                <w:sz w:val="24"/>
                <w:szCs w:val="24"/>
              </w:rPr>
            </w:pPr>
            <w:r>
              <w:rPr>
                <w:rFonts w:hint="eastAsia" w:ascii="宋体" w:hAnsi="宋体"/>
                <w:bCs/>
                <w:sz w:val="24"/>
                <w:szCs w:val="24"/>
              </w:rPr>
              <w:t>投标有效期</w:t>
            </w:r>
          </w:p>
        </w:tc>
        <w:tc>
          <w:tcPr>
            <w:tcW w:w="5433" w:type="dxa"/>
            <w:vAlign w:val="center"/>
          </w:tcPr>
          <w:p w14:paraId="48F8025E">
            <w:pPr>
              <w:wordWrap w:val="0"/>
              <w:spacing w:line="440" w:lineRule="exact"/>
              <w:jc w:val="left"/>
              <w:rPr>
                <w:rFonts w:ascii="宋体" w:hAnsi="宋体"/>
                <w:bCs/>
                <w:sz w:val="24"/>
                <w:szCs w:val="24"/>
              </w:rPr>
            </w:pPr>
            <w:r>
              <w:rPr>
                <w:rFonts w:hint="eastAsia" w:ascii="宋体" w:hAnsi="宋体"/>
                <w:bCs/>
                <w:sz w:val="24"/>
                <w:szCs w:val="24"/>
              </w:rPr>
              <w:t>符合第二章“投标人须知前附表”规定；</w:t>
            </w:r>
          </w:p>
        </w:tc>
      </w:tr>
      <w:tr w14:paraId="3F9C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4BD6140E">
            <w:pPr>
              <w:wordWrap w:val="0"/>
              <w:spacing w:line="360" w:lineRule="auto"/>
              <w:jc w:val="left"/>
              <w:rPr>
                <w:sz w:val="24"/>
                <w:szCs w:val="24"/>
              </w:rPr>
            </w:pPr>
          </w:p>
        </w:tc>
        <w:tc>
          <w:tcPr>
            <w:tcW w:w="1231" w:type="dxa"/>
            <w:vMerge w:val="continue"/>
            <w:vAlign w:val="center"/>
          </w:tcPr>
          <w:p w14:paraId="7FC8B292">
            <w:pPr>
              <w:wordWrap w:val="0"/>
              <w:spacing w:line="440" w:lineRule="exact"/>
              <w:ind w:firstLine="480" w:firstLineChars="200"/>
              <w:rPr>
                <w:rFonts w:ascii="宋体" w:hAnsi="宋体"/>
                <w:bCs/>
                <w:sz w:val="24"/>
                <w:szCs w:val="24"/>
              </w:rPr>
            </w:pPr>
          </w:p>
        </w:tc>
        <w:tc>
          <w:tcPr>
            <w:tcW w:w="2225" w:type="dxa"/>
            <w:vAlign w:val="center"/>
          </w:tcPr>
          <w:p w14:paraId="31601DDF">
            <w:pPr>
              <w:wordWrap w:val="0"/>
              <w:spacing w:line="440" w:lineRule="exact"/>
              <w:jc w:val="center"/>
              <w:rPr>
                <w:rFonts w:ascii="宋体" w:hAnsi="宋体"/>
                <w:bCs/>
                <w:sz w:val="24"/>
                <w:szCs w:val="24"/>
              </w:rPr>
            </w:pPr>
            <w:r>
              <w:rPr>
                <w:rFonts w:hint="eastAsia" w:ascii="宋体" w:hAnsi="宋体"/>
                <w:bCs/>
                <w:sz w:val="24"/>
                <w:szCs w:val="24"/>
              </w:rPr>
              <w:t>投标保证金</w:t>
            </w:r>
          </w:p>
        </w:tc>
        <w:tc>
          <w:tcPr>
            <w:tcW w:w="5433" w:type="dxa"/>
            <w:vAlign w:val="center"/>
          </w:tcPr>
          <w:p w14:paraId="65B239A1">
            <w:pPr>
              <w:wordWrap w:val="0"/>
              <w:spacing w:line="440" w:lineRule="exact"/>
              <w:jc w:val="left"/>
              <w:rPr>
                <w:rFonts w:ascii="宋体" w:hAnsi="宋体"/>
                <w:bCs/>
                <w:sz w:val="24"/>
                <w:szCs w:val="24"/>
              </w:rPr>
            </w:pPr>
            <w:r>
              <w:rPr>
                <w:rFonts w:hint="eastAsia" w:ascii="宋体" w:hAnsi="宋体"/>
                <w:bCs/>
                <w:sz w:val="24"/>
                <w:szCs w:val="24"/>
              </w:rPr>
              <w:t>符合第二章“投标人须知前附表”规定；</w:t>
            </w:r>
          </w:p>
        </w:tc>
      </w:tr>
      <w:tr w14:paraId="137B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3" w:type="dxa"/>
            <w:vMerge w:val="continue"/>
            <w:vAlign w:val="center"/>
          </w:tcPr>
          <w:p w14:paraId="5304F0E7">
            <w:pPr>
              <w:wordWrap w:val="0"/>
              <w:spacing w:line="360" w:lineRule="auto"/>
              <w:jc w:val="left"/>
              <w:rPr>
                <w:sz w:val="24"/>
                <w:szCs w:val="24"/>
              </w:rPr>
            </w:pPr>
          </w:p>
        </w:tc>
        <w:tc>
          <w:tcPr>
            <w:tcW w:w="1231" w:type="dxa"/>
            <w:vMerge w:val="continue"/>
            <w:vAlign w:val="center"/>
          </w:tcPr>
          <w:p w14:paraId="2D99316D">
            <w:pPr>
              <w:wordWrap w:val="0"/>
              <w:spacing w:line="440" w:lineRule="exact"/>
              <w:ind w:firstLine="480" w:firstLineChars="200"/>
              <w:rPr>
                <w:rFonts w:ascii="宋体" w:hAnsi="宋体"/>
                <w:bCs/>
                <w:sz w:val="24"/>
                <w:szCs w:val="24"/>
              </w:rPr>
            </w:pPr>
          </w:p>
        </w:tc>
        <w:tc>
          <w:tcPr>
            <w:tcW w:w="2225" w:type="dxa"/>
            <w:vAlign w:val="center"/>
          </w:tcPr>
          <w:p w14:paraId="56BD41DD">
            <w:pPr>
              <w:wordWrap w:val="0"/>
              <w:spacing w:line="440" w:lineRule="exact"/>
              <w:jc w:val="center"/>
              <w:rPr>
                <w:rFonts w:ascii="宋体" w:hAnsi="宋体"/>
                <w:bCs/>
                <w:sz w:val="24"/>
                <w:szCs w:val="24"/>
                <w:highlight w:val="none"/>
              </w:rPr>
            </w:pPr>
            <w:r>
              <w:rPr>
                <w:rFonts w:ascii="宋体" w:hAnsi="宋体"/>
                <w:bCs/>
                <w:sz w:val="24"/>
                <w:szCs w:val="24"/>
                <w:highlight w:val="none"/>
              </w:rPr>
              <w:t>其他内容</w:t>
            </w:r>
          </w:p>
        </w:tc>
        <w:tc>
          <w:tcPr>
            <w:tcW w:w="5433" w:type="dxa"/>
            <w:vAlign w:val="center"/>
          </w:tcPr>
          <w:p w14:paraId="50743776">
            <w:pPr>
              <w:wordWrap w:val="0"/>
              <w:spacing w:line="440" w:lineRule="exact"/>
              <w:jc w:val="left"/>
              <w:rPr>
                <w:rFonts w:ascii="宋体" w:hAnsi="宋体"/>
                <w:bCs/>
                <w:sz w:val="24"/>
                <w:szCs w:val="24"/>
                <w:highlight w:val="none"/>
              </w:rPr>
            </w:pPr>
            <w:r>
              <w:rPr>
                <w:rFonts w:ascii="宋体" w:hAnsi="宋体"/>
                <w:bCs/>
                <w:sz w:val="24"/>
                <w:szCs w:val="24"/>
                <w:highlight w:val="none"/>
              </w:rPr>
              <w:t>招标文件规定的其他内容</w:t>
            </w:r>
          </w:p>
        </w:tc>
      </w:tr>
      <w:tr w14:paraId="5016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restart"/>
            <w:vAlign w:val="center"/>
          </w:tcPr>
          <w:p w14:paraId="4E045412">
            <w:pPr>
              <w:wordWrap w:val="0"/>
              <w:spacing w:line="360" w:lineRule="auto"/>
              <w:jc w:val="center"/>
              <w:rPr>
                <w:rFonts w:ascii="宋体" w:hAnsi="宋体" w:cs="宋体"/>
                <w:sz w:val="24"/>
                <w:szCs w:val="24"/>
              </w:rPr>
            </w:pPr>
            <w:r>
              <w:rPr>
                <w:rFonts w:hint="eastAsia" w:ascii="宋体" w:hAnsi="宋体" w:cs="宋体"/>
                <w:sz w:val="24"/>
                <w:szCs w:val="24"/>
              </w:rPr>
              <w:t>2.1.2</w:t>
            </w:r>
          </w:p>
        </w:tc>
        <w:tc>
          <w:tcPr>
            <w:tcW w:w="1231" w:type="dxa"/>
            <w:vMerge w:val="restart"/>
            <w:vAlign w:val="center"/>
          </w:tcPr>
          <w:p w14:paraId="5957FAA4">
            <w:pPr>
              <w:wordWrap w:val="0"/>
              <w:spacing w:line="360" w:lineRule="auto"/>
              <w:jc w:val="center"/>
              <w:rPr>
                <w:rFonts w:ascii="宋体" w:hAnsi="宋体" w:cs="宋体"/>
                <w:sz w:val="24"/>
                <w:szCs w:val="24"/>
              </w:rPr>
            </w:pPr>
            <w:r>
              <w:rPr>
                <w:rFonts w:hint="eastAsia" w:ascii="宋体" w:hAnsi="宋体" w:cs="宋体"/>
                <w:sz w:val="24"/>
                <w:szCs w:val="24"/>
              </w:rPr>
              <w:t>资格评审</w:t>
            </w:r>
          </w:p>
          <w:p w14:paraId="5E1837CF">
            <w:pPr>
              <w:wordWrap w:val="0"/>
              <w:spacing w:line="360" w:lineRule="auto"/>
              <w:jc w:val="center"/>
              <w:rPr>
                <w:rFonts w:ascii="宋体" w:hAnsi="宋体" w:cs="宋体"/>
                <w:sz w:val="24"/>
                <w:szCs w:val="24"/>
              </w:rPr>
            </w:pPr>
            <w:r>
              <w:rPr>
                <w:rFonts w:hint="eastAsia" w:ascii="宋体" w:hAnsi="宋体" w:cs="宋体"/>
                <w:sz w:val="24"/>
                <w:szCs w:val="24"/>
              </w:rPr>
              <w:t>标准</w:t>
            </w:r>
          </w:p>
        </w:tc>
        <w:tc>
          <w:tcPr>
            <w:tcW w:w="2225" w:type="dxa"/>
            <w:vAlign w:val="center"/>
          </w:tcPr>
          <w:p w14:paraId="7FEB8AEA">
            <w:pPr>
              <w:wordWrap w:val="0"/>
              <w:spacing w:line="440" w:lineRule="exact"/>
              <w:jc w:val="center"/>
              <w:rPr>
                <w:sz w:val="24"/>
                <w:szCs w:val="24"/>
              </w:rPr>
            </w:pPr>
            <w:r>
              <w:rPr>
                <w:rFonts w:hint="eastAsia"/>
                <w:sz w:val="24"/>
                <w:szCs w:val="24"/>
              </w:rPr>
              <w:t>营业执照</w:t>
            </w:r>
          </w:p>
        </w:tc>
        <w:tc>
          <w:tcPr>
            <w:tcW w:w="5433" w:type="dxa"/>
            <w:vAlign w:val="center"/>
          </w:tcPr>
          <w:p w14:paraId="1ED97F20">
            <w:pPr>
              <w:wordWrap w:val="0"/>
              <w:spacing w:line="440" w:lineRule="exact"/>
              <w:jc w:val="left"/>
              <w:rPr>
                <w:sz w:val="24"/>
                <w:szCs w:val="24"/>
              </w:rPr>
            </w:pPr>
            <w:r>
              <w:rPr>
                <w:rFonts w:hint="eastAsia" w:ascii="宋体" w:hAnsi="宋体" w:cs="宋体"/>
                <w:kern w:val="0"/>
                <w:sz w:val="24"/>
                <w:szCs w:val="24"/>
              </w:rPr>
              <w:t>投标人须具有独立承担民事责任的能力，提供有效的营业执照；</w:t>
            </w:r>
          </w:p>
        </w:tc>
      </w:tr>
      <w:tr w14:paraId="71AE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6BD2488D">
            <w:pPr>
              <w:wordWrap w:val="0"/>
              <w:spacing w:line="440" w:lineRule="exact"/>
              <w:ind w:firstLine="480" w:firstLineChars="200"/>
              <w:rPr>
                <w:sz w:val="24"/>
                <w:szCs w:val="24"/>
              </w:rPr>
            </w:pPr>
          </w:p>
        </w:tc>
        <w:tc>
          <w:tcPr>
            <w:tcW w:w="1231" w:type="dxa"/>
            <w:vMerge w:val="continue"/>
            <w:vAlign w:val="center"/>
          </w:tcPr>
          <w:p w14:paraId="3E251B21">
            <w:pPr>
              <w:wordWrap w:val="0"/>
              <w:spacing w:line="440" w:lineRule="exact"/>
              <w:ind w:firstLine="480" w:firstLineChars="200"/>
              <w:rPr>
                <w:sz w:val="24"/>
                <w:szCs w:val="24"/>
              </w:rPr>
            </w:pPr>
          </w:p>
        </w:tc>
        <w:tc>
          <w:tcPr>
            <w:tcW w:w="2225" w:type="dxa"/>
            <w:vAlign w:val="center"/>
          </w:tcPr>
          <w:p w14:paraId="1A024280">
            <w:pPr>
              <w:wordWrap w:val="0"/>
              <w:spacing w:line="440" w:lineRule="exact"/>
              <w:jc w:val="center"/>
              <w:rPr>
                <w:sz w:val="24"/>
                <w:szCs w:val="24"/>
              </w:rPr>
            </w:pPr>
            <w:r>
              <w:rPr>
                <w:rFonts w:hint="eastAsia" w:ascii="宋体" w:hAnsi="宋体" w:cs="宋体"/>
                <w:kern w:val="0"/>
                <w:sz w:val="24"/>
                <w:szCs w:val="24"/>
              </w:rPr>
              <w:t>企业资质</w:t>
            </w:r>
          </w:p>
        </w:tc>
        <w:tc>
          <w:tcPr>
            <w:tcW w:w="5433" w:type="dxa"/>
            <w:vAlign w:val="center"/>
          </w:tcPr>
          <w:p w14:paraId="356CE243">
            <w:pPr>
              <w:wordWrap w:val="0"/>
              <w:spacing w:line="440" w:lineRule="exact"/>
              <w:jc w:val="left"/>
              <w:rPr>
                <w:rFonts w:ascii="宋体" w:hAnsi="宋体" w:cs="宋体"/>
                <w:kern w:val="0"/>
                <w:sz w:val="24"/>
                <w:szCs w:val="24"/>
              </w:rPr>
            </w:pPr>
            <w:r>
              <w:rPr>
                <w:rFonts w:hint="eastAsia" w:ascii="宋体" w:hAnsi="宋体"/>
                <w:bCs/>
                <w:sz w:val="24"/>
                <w:szCs w:val="24"/>
              </w:rPr>
              <w:t>投标人应具备公路工程施工总承包三级及以上资质，有效的安全生产许可证，并在人员、设备、资金等方面具有相应的施工能力；</w:t>
            </w:r>
          </w:p>
        </w:tc>
      </w:tr>
      <w:tr w14:paraId="5451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jc w:val="center"/>
        </w:trPr>
        <w:tc>
          <w:tcPr>
            <w:tcW w:w="983" w:type="dxa"/>
            <w:vMerge w:val="continue"/>
            <w:vAlign w:val="center"/>
          </w:tcPr>
          <w:p w14:paraId="7325850A">
            <w:pPr>
              <w:wordWrap w:val="0"/>
              <w:spacing w:line="440" w:lineRule="exact"/>
              <w:ind w:firstLine="480" w:firstLineChars="200"/>
              <w:rPr>
                <w:sz w:val="24"/>
                <w:szCs w:val="24"/>
              </w:rPr>
            </w:pPr>
          </w:p>
        </w:tc>
        <w:tc>
          <w:tcPr>
            <w:tcW w:w="1231" w:type="dxa"/>
            <w:vMerge w:val="continue"/>
            <w:vAlign w:val="center"/>
          </w:tcPr>
          <w:p w14:paraId="40A7E0DC">
            <w:pPr>
              <w:wordWrap w:val="0"/>
              <w:spacing w:line="440" w:lineRule="exact"/>
              <w:ind w:firstLine="480" w:firstLineChars="200"/>
              <w:rPr>
                <w:sz w:val="24"/>
                <w:szCs w:val="24"/>
              </w:rPr>
            </w:pPr>
          </w:p>
        </w:tc>
        <w:tc>
          <w:tcPr>
            <w:tcW w:w="2225" w:type="dxa"/>
            <w:vAlign w:val="center"/>
          </w:tcPr>
          <w:p w14:paraId="5213C496">
            <w:pPr>
              <w:wordWrap w:val="0"/>
              <w:autoSpaceDE w:val="0"/>
              <w:autoSpaceDN w:val="0"/>
              <w:adjustRightInd w:val="0"/>
              <w:spacing w:line="240" w:lineRule="atLeast"/>
              <w:jc w:val="center"/>
              <w:rPr>
                <w:sz w:val="24"/>
                <w:szCs w:val="24"/>
              </w:rPr>
            </w:pPr>
            <w:r>
              <w:rPr>
                <w:rFonts w:hint="eastAsia" w:ascii="宋体" w:hAnsi="宋体" w:cs="宋体"/>
                <w:kern w:val="0"/>
                <w:sz w:val="24"/>
                <w:szCs w:val="24"/>
              </w:rPr>
              <w:t>项目经理及技术负责人</w:t>
            </w:r>
          </w:p>
        </w:tc>
        <w:tc>
          <w:tcPr>
            <w:tcW w:w="5433" w:type="dxa"/>
            <w:vAlign w:val="center"/>
          </w:tcPr>
          <w:p w14:paraId="2CD4E1B2">
            <w:pPr>
              <w:wordWrap w:val="0"/>
              <w:spacing w:line="440" w:lineRule="exact"/>
              <w:jc w:val="left"/>
              <w:rPr>
                <w:rFonts w:ascii="宋体" w:hAnsi="宋体" w:cs="宋体"/>
                <w:kern w:val="0"/>
                <w:sz w:val="24"/>
                <w:szCs w:val="24"/>
              </w:rPr>
            </w:pPr>
            <w:r>
              <w:rPr>
                <w:rFonts w:hint="eastAsia" w:ascii="宋体" w:hAnsi="宋体"/>
                <w:bCs/>
                <w:sz w:val="24"/>
                <w:szCs w:val="24"/>
              </w:rPr>
              <w:t>拟派项目经理须具备公路工程专业贰级及以上注册建造师资格、安全生产考核合格证（交安B证），并出具项目经理无在建工程承诺书，技术负责人应具备相关专业的中级及以上技术职称（提供项目经理和技术负责人本企业缴纳社会养老保险的缴费证明）；</w:t>
            </w:r>
          </w:p>
        </w:tc>
      </w:tr>
      <w:tr w14:paraId="68A1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46DB69D5">
            <w:pPr>
              <w:wordWrap w:val="0"/>
              <w:spacing w:line="440" w:lineRule="exact"/>
              <w:ind w:firstLine="480" w:firstLineChars="200"/>
              <w:rPr>
                <w:sz w:val="24"/>
                <w:szCs w:val="24"/>
              </w:rPr>
            </w:pPr>
          </w:p>
        </w:tc>
        <w:tc>
          <w:tcPr>
            <w:tcW w:w="1231" w:type="dxa"/>
            <w:vMerge w:val="continue"/>
            <w:vAlign w:val="center"/>
          </w:tcPr>
          <w:p w14:paraId="67F6278E">
            <w:pPr>
              <w:wordWrap w:val="0"/>
              <w:spacing w:line="440" w:lineRule="exact"/>
              <w:ind w:firstLine="480" w:firstLineChars="200"/>
              <w:rPr>
                <w:sz w:val="24"/>
                <w:szCs w:val="24"/>
              </w:rPr>
            </w:pPr>
          </w:p>
        </w:tc>
        <w:tc>
          <w:tcPr>
            <w:tcW w:w="2225" w:type="dxa"/>
            <w:vAlign w:val="center"/>
          </w:tcPr>
          <w:p w14:paraId="63CC6DC3">
            <w:pPr>
              <w:wordWrap w:val="0"/>
              <w:spacing w:line="240" w:lineRule="atLeast"/>
              <w:jc w:val="center"/>
              <w:rPr>
                <w:sz w:val="24"/>
                <w:szCs w:val="24"/>
              </w:rPr>
            </w:pPr>
            <w:r>
              <w:rPr>
                <w:rFonts w:hint="eastAsia"/>
                <w:sz w:val="24"/>
                <w:szCs w:val="24"/>
              </w:rPr>
              <w:t>承诺书</w:t>
            </w:r>
          </w:p>
        </w:tc>
        <w:tc>
          <w:tcPr>
            <w:tcW w:w="5433" w:type="dxa"/>
            <w:vAlign w:val="center"/>
          </w:tcPr>
          <w:p w14:paraId="47589EB5">
            <w:pPr>
              <w:wordWrap w:val="0"/>
              <w:spacing w:line="440" w:lineRule="exact"/>
              <w:jc w:val="left"/>
              <w:rPr>
                <w:sz w:val="24"/>
                <w:szCs w:val="24"/>
              </w:rPr>
            </w:pPr>
            <w:r>
              <w:rPr>
                <w:rFonts w:hint="eastAsia"/>
                <w:sz w:val="24"/>
                <w:szCs w:val="24"/>
              </w:rPr>
              <w:t>投标人自行出具本单位无商业贿赂及无不正当竞争行为的承诺书；</w:t>
            </w:r>
          </w:p>
        </w:tc>
      </w:tr>
      <w:tr w14:paraId="2A83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609176D0">
            <w:pPr>
              <w:wordWrap w:val="0"/>
              <w:spacing w:line="440" w:lineRule="exact"/>
              <w:ind w:firstLine="480" w:firstLineChars="200"/>
              <w:rPr>
                <w:sz w:val="24"/>
                <w:szCs w:val="24"/>
              </w:rPr>
            </w:pPr>
          </w:p>
        </w:tc>
        <w:tc>
          <w:tcPr>
            <w:tcW w:w="1231" w:type="dxa"/>
            <w:vMerge w:val="continue"/>
            <w:vAlign w:val="center"/>
          </w:tcPr>
          <w:p w14:paraId="1853968C">
            <w:pPr>
              <w:wordWrap w:val="0"/>
              <w:spacing w:line="440" w:lineRule="exact"/>
              <w:ind w:firstLine="480" w:firstLineChars="200"/>
              <w:rPr>
                <w:sz w:val="24"/>
                <w:szCs w:val="24"/>
              </w:rPr>
            </w:pPr>
          </w:p>
        </w:tc>
        <w:tc>
          <w:tcPr>
            <w:tcW w:w="2225" w:type="dxa"/>
            <w:vAlign w:val="center"/>
          </w:tcPr>
          <w:p w14:paraId="2516AF4D">
            <w:pPr>
              <w:wordWrap w:val="0"/>
              <w:spacing w:line="440" w:lineRule="exact"/>
              <w:jc w:val="center"/>
              <w:rPr>
                <w:sz w:val="24"/>
                <w:szCs w:val="24"/>
              </w:rPr>
            </w:pPr>
            <w:r>
              <w:rPr>
                <w:rFonts w:hint="eastAsia"/>
                <w:sz w:val="24"/>
                <w:szCs w:val="24"/>
              </w:rPr>
              <w:t>无行贿犯罪记录</w:t>
            </w:r>
          </w:p>
        </w:tc>
        <w:tc>
          <w:tcPr>
            <w:tcW w:w="5433" w:type="dxa"/>
            <w:vAlign w:val="center"/>
          </w:tcPr>
          <w:p w14:paraId="1406F1D7">
            <w:pPr>
              <w:wordWrap w:val="0"/>
              <w:spacing w:line="440" w:lineRule="exact"/>
              <w:jc w:val="left"/>
              <w:rPr>
                <w:sz w:val="24"/>
                <w:szCs w:val="24"/>
              </w:rPr>
            </w:pPr>
            <w:r>
              <w:rPr>
                <w:rFonts w:hint="eastAsia"/>
                <w:sz w:val="24"/>
                <w:szCs w:val="24"/>
              </w:rPr>
              <w:t>投标人出具无行贿犯罪记录在中国裁判文书网自行查询或自行承诺（查询对象：企业、法定代表人、拟派项目经理）；</w:t>
            </w:r>
          </w:p>
        </w:tc>
      </w:tr>
      <w:tr w14:paraId="0A0E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21C219D5">
            <w:pPr>
              <w:wordWrap w:val="0"/>
              <w:spacing w:line="440" w:lineRule="exact"/>
              <w:ind w:firstLine="480" w:firstLineChars="200"/>
              <w:rPr>
                <w:sz w:val="24"/>
                <w:szCs w:val="24"/>
              </w:rPr>
            </w:pPr>
          </w:p>
        </w:tc>
        <w:tc>
          <w:tcPr>
            <w:tcW w:w="1231" w:type="dxa"/>
            <w:vMerge w:val="continue"/>
            <w:vAlign w:val="center"/>
          </w:tcPr>
          <w:p w14:paraId="7A99DC42">
            <w:pPr>
              <w:wordWrap w:val="0"/>
              <w:spacing w:line="440" w:lineRule="exact"/>
              <w:ind w:firstLine="480" w:firstLineChars="200"/>
              <w:rPr>
                <w:sz w:val="24"/>
                <w:szCs w:val="24"/>
              </w:rPr>
            </w:pPr>
          </w:p>
        </w:tc>
        <w:tc>
          <w:tcPr>
            <w:tcW w:w="2225" w:type="dxa"/>
            <w:vAlign w:val="center"/>
          </w:tcPr>
          <w:p w14:paraId="7B3AD0F4">
            <w:pPr>
              <w:wordWrap w:val="0"/>
              <w:spacing w:line="440" w:lineRule="exact"/>
              <w:jc w:val="center"/>
              <w:rPr>
                <w:sz w:val="24"/>
                <w:szCs w:val="24"/>
              </w:rPr>
            </w:pPr>
            <w:r>
              <w:rPr>
                <w:rFonts w:hint="eastAsia"/>
                <w:sz w:val="24"/>
                <w:szCs w:val="24"/>
              </w:rPr>
              <w:t>信用查询</w:t>
            </w:r>
          </w:p>
        </w:tc>
        <w:tc>
          <w:tcPr>
            <w:tcW w:w="5433" w:type="dxa"/>
            <w:vAlign w:val="center"/>
          </w:tcPr>
          <w:p w14:paraId="2E8D04AB">
            <w:pPr>
              <w:wordWrap w:val="0"/>
              <w:spacing w:line="440" w:lineRule="exact"/>
              <w:jc w:val="left"/>
              <w:rPr>
                <w:sz w:val="24"/>
                <w:szCs w:val="24"/>
              </w:rPr>
            </w:pPr>
            <w:r>
              <w:rPr>
                <w:rFonts w:hint="eastAsia"/>
                <w:sz w:val="24"/>
                <w:szCs w:val="24"/>
              </w:rPr>
              <w:t>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信用中国”网站（www.creditchina.gov.cn），查询内容：重大税收违法失信主体、政府采购严重违法失信行为；“中国执行信息公开网”（http://zxgk.court.gov.cn），查询内容：失信被执行人；中国政府采购网（www.ccgp.gov.cn），查询内容：政府采购严重违法失信行为记录名单】；投标人须提供查询结果截图，查询日期为本公告发布之日起；</w:t>
            </w:r>
          </w:p>
        </w:tc>
      </w:tr>
      <w:tr w14:paraId="67C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58EA0DD0">
            <w:pPr>
              <w:wordWrap w:val="0"/>
              <w:spacing w:line="440" w:lineRule="exact"/>
              <w:ind w:firstLine="480" w:firstLineChars="200"/>
              <w:rPr>
                <w:sz w:val="24"/>
                <w:szCs w:val="24"/>
              </w:rPr>
            </w:pPr>
          </w:p>
        </w:tc>
        <w:tc>
          <w:tcPr>
            <w:tcW w:w="1231" w:type="dxa"/>
            <w:vMerge w:val="continue"/>
            <w:vAlign w:val="center"/>
          </w:tcPr>
          <w:p w14:paraId="1D8BCC4F">
            <w:pPr>
              <w:wordWrap w:val="0"/>
              <w:spacing w:line="440" w:lineRule="exact"/>
              <w:ind w:firstLine="480" w:firstLineChars="200"/>
              <w:rPr>
                <w:sz w:val="24"/>
                <w:szCs w:val="24"/>
              </w:rPr>
            </w:pPr>
          </w:p>
        </w:tc>
        <w:tc>
          <w:tcPr>
            <w:tcW w:w="2225" w:type="dxa"/>
            <w:vAlign w:val="center"/>
          </w:tcPr>
          <w:p w14:paraId="06A8443C">
            <w:pPr>
              <w:wordWrap w:val="0"/>
              <w:spacing w:line="440" w:lineRule="exact"/>
              <w:jc w:val="center"/>
              <w:rPr>
                <w:sz w:val="24"/>
                <w:szCs w:val="24"/>
              </w:rPr>
            </w:pPr>
            <w:r>
              <w:rPr>
                <w:rFonts w:hint="eastAsia"/>
                <w:sz w:val="24"/>
                <w:szCs w:val="24"/>
              </w:rPr>
              <w:t>国家企业信用信息公示系统查询</w:t>
            </w:r>
          </w:p>
        </w:tc>
        <w:tc>
          <w:tcPr>
            <w:tcW w:w="5433" w:type="dxa"/>
            <w:vAlign w:val="center"/>
          </w:tcPr>
          <w:p w14:paraId="4CAA69A0">
            <w:pPr>
              <w:wordWrap w:val="0"/>
              <w:spacing w:line="440" w:lineRule="exact"/>
              <w:jc w:val="left"/>
              <w:rPr>
                <w:sz w:val="24"/>
                <w:szCs w:val="24"/>
              </w:rPr>
            </w:pPr>
            <w:r>
              <w:rPr>
                <w:rFonts w:hint="eastAsia"/>
                <w:sz w:val="24"/>
                <w:szCs w:val="24"/>
              </w:rPr>
              <w:t>单位负责人为同一人或者存在控股、管理关系的不同投标人，不得同时参加本项目招标活动（提供“国家企业信用信息公示系统” http://www.gsxt.gov.cn/index.html网页查询，需包含公司基本信息、股东信息及股权变更信息内容）；</w:t>
            </w:r>
          </w:p>
        </w:tc>
      </w:tr>
      <w:tr w14:paraId="1B17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83" w:type="dxa"/>
            <w:vMerge w:val="continue"/>
            <w:vAlign w:val="center"/>
          </w:tcPr>
          <w:p w14:paraId="427D9D8C">
            <w:pPr>
              <w:wordWrap w:val="0"/>
              <w:spacing w:line="440" w:lineRule="exact"/>
              <w:ind w:firstLine="480" w:firstLineChars="200"/>
              <w:rPr>
                <w:sz w:val="24"/>
                <w:szCs w:val="24"/>
              </w:rPr>
            </w:pPr>
          </w:p>
        </w:tc>
        <w:tc>
          <w:tcPr>
            <w:tcW w:w="1231" w:type="dxa"/>
            <w:vMerge w:val="continue"/>
            <w:vAlign w:val="center"/>
          </w:tcPr>
          <w:p w14:paraId="7D861FC4">
            <w:pPr>
              <w:wordWrap w:val="0"/>
              <w:spacing w:line="440" w:lineRule="exact"/>
              <w:ind w:firstLine="480" w:firstLineChars="200"/>
              <w:rPr>
                <w:sz w:val="24"/>
                <w:szCs w:val="24"/>
              </w:rPr>
            </w:pPr>
          </w:p>
        </w:tc>
        <w:tc>
          <w:tcPr>
            <w:tcW w:w="2225" w:type="dxa"/>
            <w:vAlign w:val="center"/>
          </w:tcPr>
          <w:p w14:paraId="2BCD986B">
            <w:pPr>
              <w:wordWrap w:val="0"/>
              <w:spacing w:line="440" w:lineRule="exact"/>
              <w:jc w:val="center"/>
              <w:rPr>
                <w:sz w:val="24"/>
                <w:szCs w:val="24"/>
              </w:rPr>
            </w:pPr>
            <w:r>
              <w:rPr>
                <w:rFonts w:hint="eastAsia" w:ascii="宋体" w:hAnsi="宋体"/>
                <w:bCs/>
                <w:sz w:val="24"/>
                <w:szCs w:val="24"/>
              </w:rPr>
              <w:t>本项目不接受联合体投标；</w:t>
            </w:r>
          </w:p>
        </w:tc>
        <w:tc>
          <w:tcPr>
            <w:tcW w:w="5433" w:type="dxa"/>
            <w:vAlign w:val="center"/>
          </w:tcPr>
          <w:p w14:paraId="4E3CF88E">
            <w:pPr>
              <w:wordWrap w:val="0"/>
              <w:spacing w:line="440" w:lineRule="exact"/>
              <w:jc w:val="left"/>
              <w:rPr>
                <w:sz w:val="24"/>
                <w:szCs w:val="24"/>
              </w:rPr>
            </w:pPr>
            <w:r>
              <w:rPr>
                <w:rFonts w:hint="eastAsia" w:ascii="宋体" w:hAnsi="宋体"/>
                <w:bCs/>
                <w:sz w:val="24"/>
                <w:szCs w:val="24"/>
              </w:rPr>
              <w:t>提供非联合体承诺书（格式自拟）</w:t>
            </w:r>
          </w:p>
        </w:tc>
      </w:tr>
      <w:tr w14:paraId="492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restart"/>
            <w:vAlign w:val="center"/>
          </w:tcPr>
          <w:p w14:paraId="04E48838">
            <w:pPr>
              <w:wordWrap w:val="0"/>
              <w:spacing w:line="440" w:lineRule="exact"/>
              <w:rPr>
                <w:rFonts w:ascii="宋体" w:hAnsi="宋体"/>
                <w:bCs/>
                <w:sz w:val="24"/>
                <w:szCs w:val="24"/>
              </w:rPr>
            </w:pPr>
            <w:r>
              <w:rPr>
                <w:rFonts w:hint="eastAsia" w:ascii="宋体" w:hAnsi="宋体"/>
                <w:bCs/>
                <w:sz w:val="24"/>
                <w:szCs w:val="24"/>
              </w:rPr>
              <w:t>2.1.3</w:t>
            </w:r>
          </w:p>
        </w:tc>
        <w:tc>
          <w:tcPr>
            <w:tcW w:w="1231" w:type="dxa"/>
            <w:vMerge w:val="restart"/>
            <w:vAlign w:val="center"/>
          </w:tcPr>
          <w:p w14:paraId="0F0153DB">
            <w:pPr>
              <w:wordWrap w:val="0"/>
              <w:spacing w:line="440" w:lineRule="exact"/>
              <w:rPr>
                <w:rFonts w:ascii="宋体" w:hAnsi="宋体"/>
                <w:bCs/>
                <w:sz w:val="24"/>
                <w:szCs w:val="24"/>
              </w:rPr>
            </w:pPr>
            <w:r>
              <w:rPr>
                <w:rFonts w:hint="eastAsia" w:ascii="宋体" w:hAnsi="宋体"/>
                <w:bCs/>
                <w:sz w:val="24"/>
                <w:szCs w:val="24"/>
              </w:rPr>
              <w:t>形式评审与响应性评审标准</w:t>
            </w:r>
          </w:p>
          <w:p w14:paraId="7D561CD4">
            <w:pPr>
              <w:wordWrap w:val="0"/>
              <w:spacing w:line="440" w:lineRule="exact"/>
              <w:rPr>
                <w:rFonts w:ascii="宋体" w:hAnsi="宋体"/>
                <w:bCs/>
                <w:sz w:val="24"/>
                <w:szCs w:val="24"/>
              </w:rPr>
            </w:pPr>
            <w:r>
              <w:rPr>
                <w:rFonts w:hint="eastAsia" w:ascii="宋体" w:hAnsi="宋体"/>
                <w:bCs/>
                <w:sz w:val="24"/>
                <w:szCs w:val="24"/>
              </w:rPr>
              <w:t>（第二信封）</w:t>
            </w:r>
          </w:p>
        </w:tc>
        <w:tc>
          <w:tcPr>
            <w:tcW w:w="2225" w:type="dxa"/>
            <w:vAlign w:val="center"/>
          </w:tcPr>
          <w:p w14:paraId="4F1B7DB1">
            <w:pPr>
              <w:wordWrap w:val="0"/>
              <w:spacing w:line="440" w:lineRule="exact"/>
              <w:jc w:val="center"/>
              <w:rPr>
                <w:rFonts w:ascii="宋体" w:hAnsi="宋体"/>
                <w:bCs/>
                <w:sz w:val="24"/>
                <w:szCs w:val="24"/>
              </w:rPr>
            </w:pPr>
            <w:r>
              <w:rPr>
                <w:rFonts w:hint="eastAsia" w:ascii="宋体" w:hAnsi="宋体"/>
                <w:bCs/>
                <w:sz w:val="24"/>
                <w:szCs w:val="24"/>
              </w:rPr>
              <w:t>投标人名称</w:t>
            </w:r>
          </w:p>
        </w:tc>
        <w:tc>
          <w:tcPr>
            <w:tcW w:w="5433" w:type="dxa"/>
            <w:vAlign w:val="center"/>
          </w:tcPr>
          <w:p w14:paraId="69317EAC">
            <w:pPr>
              <w:wordWrap w:val="0"/>
              <w:spacing w:line="440" w:lineRule="exact"/>
              <w:jc w:val="left"/>
              <w:rPr>
                <w:rFonts w:ascii="宋体" w:hAnsi="宋体"/>
                <w:bCs/>
                <w:sz w:val="24"/>
                <w:szCs w:val="24"/>
              </w:rPr>
            </w:pPr>
            <w:r>
              <w:rPr>
                <w:rFonts w:hint="eastAsia" w:ascii="宋体" w:hAnsi="宋体"/>
                <w:bCs/>
                <w:sz w:val="24"/>
                <w:szCs w:val="24"/>
              </w:rPr>
              <w:t>与营业执照、资质证书等一致；</w:t>
            </w:r>
          </w:p>
        </w:tc>
      </w:tr>
      <w:tr w14:paraId="23A0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vAlign w:val="center"/>
          </w:tcPr>
          <w:p w14:paraId="47E0A762">
            <w:pPr>
              <w:wordWrap w:val="0"/>
              <w:spacing w:line="440" w:lineRule="exact"/>
              <w:ind w:firstLine="480" w:firstLineChars="200"/>
              <w:rPr>
                <w:rFonts w:ascii="宋体" w:hAnsi="宋体"/>
                <w:bCs/>
                <w:sz w:val="24"/>
                <w:szCs w:val="24"/>
              </w:rPr>
            </w:pPr>
          </w:p>
        </w:tc>
        <w:tc>
          <w:tcPr>
            <w:tcW w:w="1231" w:type="dxa"/>
            <w:vMerge w:val="continue"/>
          </w:tcPr>
          <w:p w14:paraId="146AB63B">
            <w:pPr>
              <w:wordWrap w:val="0"/>
              <w:spacing w:line="440" w:lineRule="exact"/>
              <w:ind w:firstLine="480" w:firstLineChars="200"/>
              <w:rPr>
                <w:rFonts w:ascii="宋体" w:hAnsi="宋体"/>
                <w:bCs/>
                <w:sz w:val="24"/>
                <w:szCs w:val="24"/>
              </w:rPr>
            </w:pPr>
          </w:p>
        </w:tc>
        <w:tc>
          <w:tcPr>
            <w:tcW w:w="2225" w:type="dxa"/>
            <w:vAlign w:val="center"/>
          </w:tcPr>
          <w:p w14:paraId="4CAA009B">
            <w:pPr>
              <w:wordWrap w:val="0"/>
              <w:spacing w:line="440" w:lineRule="exact"/>
              <w:jc w:val="center"/>
              <w:rPr>
                <w:rFonts w:ascii="宋体" w:hAnsi="宋体"/>
                <w:bCs/>
                <w:sz w:val="24"/>
                <w:szCs w:val="24"/>
              </w:rPr>
            </w:pPr>
            <w:r>
              <w:rPr>
                <w:rFonts w:hint="eastAsia" w:ascii="宋体" w:hAnsi="宋体"/>
                <w:bCs/>
                <w:sz w:val="24"/>
                <w:szCs w:val="24"/>
              </w:rPr>
              <w:t>投标函签字盖章</w:t>
            </w:r>
          </w:p>
        </w:tc>
        <w:tc>
          <w:tcPr>
            <w:tcW w:w="5433" w:type="dxa"/>
            <w:vAlign w:val="center"/>
          </w:tcPr>
          <w:p w14:paraId="42CF2894">
            <w:pPr>
              <w:wordWrap w:val="0"/>
              <w:spacing w:line="440" w:lineRule="exact"/>
              <w:jc w:val="left"/>
              <w:rPr>
                <w:rFonts w:ascii="宋体" w:hAnsi="宋体"/>
                <w:bCs/>
                <w:sz w:val="24"/>
                <w:szCs w:val="24"/>
              </w:rPr>
            </w:pPr>
            <w:r>
              <w:rPr>
                <w:rFonts w:hint="eastAsia" w:ascii="宋体" w:hAnsi="宋体"/>
                <w:bCs/>
                <w:sz w:val="24"/>
                <w:szCs w:val="24"/>
              </w:rPr>
              <w:t>符合第二章“投标人须知前附表”要求；</w:t>
            </w:r>
          </w:p>
        </w:tc>
      </w:tr>
      <w:tr w14:paraId="4C1A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vAlign w:val="center"/>
          </w:tcPr>
          <w:p w14:paraId="713E5157">
            <w:pPr>
              <w:wordWrap w:val="0"/>
              <w:spacing w:line="440" w:lineRule="exact"/>
              <w:ind w:firstLine="480" w:firstLineChars="200"/>
              <w:rPr>
                <w:rFonts w:ascii="宋体" w:hAnsi="宋体"/>
                <w:bCs/>
                <w:sz w:val="24"/>
                <w:szCs w:val="24"/>
              </w:rPr>
            </w:pPr>
          </w:p>
        </w:tc>
        <w:tc>
          <w:tcPr>
            <w:tcW w:w="1231" w:type="dxa"/>
            <w:vMerge w:val="continue"/>
          </w:tcPr>
          <w:p w14:paraId="4D020D10">
            <w:pPr>
              <w:wordWrap w:val="0"/>
              <w:spacing w:line="440" w:lineRule="exact"/>
              <w:ind w:firstLine="480" w:firstLineChars="200"/>
              <w:rPr>
                <w:rFonts w:ascii="宋体" w:hAnsi="宋体"/>
                <w:bCs/>
                <w:sz w:val="24"/>
                <w:szCs w:val="24"/>
              </w:rPr>
            </w:pPr>
          </w:p>
        </w:tc>
        <w:tc>
          <w:tcPr>
            <w:tcW w:w="2225" w:type="dxa"/>
            <w:vAlign w:val="center"/>
          </w:tcPr>
          <w:p w14:paraId="74D99476">
            <w:pPr>
              <w:wordWrap w:val="0"/>
              <w:spacing w:line="440" w:lineRule="exact"/>
              <w:jc w:val="center"/>
              <w:rPr>
                <w:rFonts w:ascii="宋体" w:hAnsi="宋体"/>
                <w:bCs/>
                <w:sz w:val="24"/>
                <w:szCs w:val="24"/>
              </w:rPr>
            </w:pPr>
            <w:r>
              <w:rPr>
                <w:rFonts w:hint="eastAsia" w:ascii="宋体" w:hAnsi="宋体"/>
                <w:bCs/>
                <w:sz w:val="24"/>
                <w:szCs w:val="24"/>
              </w:rPr>
              <w:t>投标文件格式</w:t>
            </w:r>
          </w:p>
        </w:tc>
        <w:tc>
          <w:tcPr>
            <w:tcW w:w="5433" w:type="dxa"/>
            <w:vAlign w:val="center"/>
          </w:tcPr>
          <w:p w14:paraId="3EF21FEB">
            <w:pPr>
              <w:wordWrap w:val="0"/>
              <w:spacing w:line="440" w:lineRule="exact"/>
              <w:jc w:val="left"/>
              <w:rPr>
                <w:rFonts w:ascii="宋体" w:hAnsi="宋体"/>
                <w:bCs/>
                <w:sz w:val="24"/>
                <w:szCs w:val="24"/>
              </w:rPr>
            </w:pPr>
            <w:r>
              <w:rPr>
                <w:rFonts w:hint="eastAsia" w:ascii="宋体" w:hAnsi="宋体"/>
                <w:bCs/>
                <w:sz w:val="24"/>
                <w:szCs w:val="24"/>
              </w:rPr>
              <w:t>符合第十章“投标文件格式（第二信封）”的要求；</w:t>
            </w:r>
          </w:p>
        </w:tc>
      </w:tr>
      <w:tr w14:paraId="44CD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vAlign w:val="center"/>
          </w:tcPr>
          <w:p w14:paraId="18D27081">
            <w:pPr>
              <w:wordWrap w:val="0"/>
              <w:spacing w:line="440" w:lineRule="exact"/>
              <w:ind w:firstLine="480" w:firstLineChars="200"/>
              <w:rPr>
                <w:rFonts w:ascii="宋体" w:hAnsi="宋体"/>
                <w:bCs/>
                <w:sz w:val="24"/>
                <w:szCs w:val="24"/>
              </w:rPr>
            </w:pPr>
          </w:p>
        </w:tc>
        <w:tc>
          <w:tcPr>
            <w:tcW w:w="1231" w:type="dxa"/>
            <w:vMerge w:val="continue"/>
          </w:tcPr>
          <w:p w14:paraId="194B3543">
            <w:pPr>
              <w:wordWrap w:val="0"/>
              <w:spacing w:line="440" w:lineRule="exact"/>
              <w:ind w:firstLine="480" w:firstLineChars="200"/>
              <w:rPr>
                <w:rFonts w:ascii="宋体" w:hAnsi="宋体"/>
                <w:bCs/>
                <w:sz w:val="24"/>
                <w:szCs w:val="24"/>
              </w:rPr>
            </w:pPr>
          </w:p>
        </w:tc>
        <w:tc>
          <w:tcPr>
            <w:tcW w:w="2225" w:type="dxa"/>
            <w:vAlign w:val="center"/>
          </w:tcPr>
          <w:p w14:paraId="7AD11308">
            <w:pPr>
              <w:wordWrap w:val="0"/>
              <w:spacing w:line="440" w:lineRule="exact"/>
              <w:jc w:val="center"/>
              <w:rPr>
                <w:rFonts w:ascii="宋体" w:hAnsi="宋体"/>
                <w:bCs/>
                <w:sz w:val="24"/>
                <w:szCs w:val="24"/>
              </w:rPr>
            </w:pPr>
            <w:r>
              <w:rPr>
                <w:rFonts w:hint="eastAsia" w:ascii="宋体" w:hAnsi="宋体"/>
                <w:bCs/>
                <w:sz w:val="24"/>
                <w:szCs w:val="24"/>
              </w:rPr>
              <w:t>报价唯一</w:t>
            </w:r>
          </w:p>
        </w:tc>
        <w:tc>
          <w:tcPr>
            <w:tcW w:w="5433" w:type="dxa"/>
            <w:vAlign w:val="center"/>
          </w:tcPr>
          <w:p w14:paraId="44734651">
            <w:pPr>
              <w:wordWrap w:val="0"/>
              <w:spacing w:line="440" w:lineRule="exact"/>
              <w:jc w:val="left"/>
              <w:rPr>
                <w:rFonts w:ascii="宋体" w:hAnsi="宋体"/>
                <w:bCs/>
                <w:sz w:val="24"/>
                <w:szCs w:val="24"/>
              </w:rPr>
            </w:pPr>
            <w:r>
              <w:rPr>
                <w:rFonts w:hint="eastAsia" w:ascii="宋体" w:hAnsi="宋体"/>
                <w:bCs/>
                <w:sz w:val="24"/>
                <w:szCs w:val="24"/>
              </w:rPr>
              <w:t>只能有一个有效报价；</w:t>
            </w:r>
          </w:p>
        </w:tc>
      </w:tr>
      <w:tr w14:paraId="3CD1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vAlign w:val="center"/>
          </w:tcPr>
          <w:p w14:paraId="1D588E1D">
            <w:pPr>
              <w:wordWrap w:val="0"/>
              <w:spacing w:line="440" w:lineRule="exact"/>
              <w:ind w:firstLine="480" w:firstLineChars="200"/>
              <w:rPr>
                <w:rFonts w:ascii="宋体" w:hAnsi="宋体"/>
                <w:bCs/>
                <w:sz w:val="24"/>
                <w:szCs w:val="24"/>
              </w:rPr>
            </w:pPr>
          </w:p>
        </w:tc>
        <w:tc>
          <w:tcPr>
            <w:tcW w:w="1231" w:type="dxa"/>
            <w:vMerge w:val="continue"/>
            <w:vAlign w:val="center"/>
          </w:tcPr>
          <w:p w14:paraId="70FA17A2">
            <w:pPr>
              <w:wordWrap w:val="0"/>
              <w:spacing w:line="440" w:lineRule="exact"/>
              <w:ind w:firstLine="480" w:firstLineChars="200"/>
              <w:rPr>
                <w:rFonts w:ascii="宋体" w:hAnsi="宋体"/>
                <w:bCs/>
                <w:sz w:val="24"/>
                <w:szCs w:val="24"/>
              </w:rPr>
            </w:pPr>
          </w:p>
        </w:tc>
        <w:tc>
          <w:tcPr>
            <w:tcW w:w="2225" w:type="dxa"/>
            <w:vAlign w:val="center"/>
          </w:tcPr>
          <w:p w14:paraId="14303F21">
            <w:pPr>
              <w:wordWrap w:val="0"/>
              <w:spacing w:line="440" w:lineRule="exact"/>
              <w:jc w:val="center"/>
              <w:rPr>
                <w:rFonts w:ascii="宋体" w:hAnsi="宋体"/>
                <w:bCs/>
                <w:sz w:val="24"/>
                <w:szCs w:val="24"/>
              </w:rPr>
            </w:pPr>
            <w:r>
              <w:rPr>
                <w:rFonts w:hint="eastAsia" w:ascii="宋体" w:hAnsi="宋体"/>
                <w:bCs/>
                <w:sz w:val="24"/>
                <w:szCs w:val="24"/>
              </w:rPr>
              <w:t>投标报价</w:t>
            </w:r>
          </w:p>
        </w:tc>
        <w:tc>
          <w:tcPr>
            <w:tcW w:w="5433" w:type="dxa"/>
            <w:vAlign w:val="center"/>
          </w:tcPr>
          <w:p w14:paraId="25A30850">
            <w:pPr>
              <w:wordWrap w:val="0"/>
              <w:spacing w:line="440" w:lineRule="exact"/>
              <w:jc w:val="left"/>
              <w:rPr>
                <w:rFonts w:ascii="宋体" w:hAnsi="宋体"/>
                <w:bCs/>
                <w:sz w:val="24"/>
                <w:szCs w:val="24"/>
              </w:rPr>
            </w:pPr>
            <w:r>
              <w:rPr>
                <w:rFonts w:hint="eastAsia" w:ascii="宋体" w:hAnsi="宋体"/>
                <w:bCs/>
                <w:sz w:val="24"/>
                <w:szCs w:val="24"/>
              </w:rPr>
              <w:t>投标人的投标报价不能超出招标控制价；</w:t>
            </w:r>
          </w:p>
        </w:tc>
      </w:tr>
      <w:tr w14:paraId="1330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983" w:type="dxa"/>
            <w:vMerge w:val="continue"/>
            <w:vAlign w:val="center"/>
          </w:tcPr>
          <w:p w14:paraId="1CFB6AE4">
            <w:pPr>
              <w:wordWrap w:val="0"/>
              <w:spacing w:line="440" w:lineRule="exact"/>
              <w:ind w:firstLine="480" w:firstLineChars="200"/>
              <w:rPr>
                <w:rFonts w:ascii="宋体" w:hAnsi="宋体"/>
                <w:bCs/>
                <w:sz w:val="24"/>
                <w:szCs w:val="24"/>
              </w:rPr>
            </w:pPr>
          </w:p>
        </w:tc>
        <w:tc>
          <w:tcPr>
            <w:tcW w:w="1231" w:type="dxa"/>
            <w:vMerge w:val="continue"/>
          </w:tcPr>
          <w:p w14:paraId="4CB0E467">
            <w:pPr>
              <w:wordWrap w:val="0"/>
              <w:spacing w:line="440" w:lineRule="exact"/>
              <w:ind w:firstLine="480" w:firstLineChars="200"/>
              <w:rPr>
                <w:rFonts w:ascii="宋体" w:hAnsi="宋体"/>
                <w:bCs/>
                <w:sz w:val="24"/>
                <w:szCs w:val="24"/>
              </w:rPr>
            </w:pPr>
          </w:p>
        </w:tc>
        <w:tc>
          <w:tcPr>
            <w:tcW w:w="2225" w:type="dxa"/>
            <w:vAlign w:val="center"/>
          </w:tcPr>
          <w:p w14:paraId="1B5A292D">
            <w:pPr>
              <w:wordWrap w:val="0"/>
              <w:spacing w:line="440" w:lineRule="exact"/>
              <w:jc w:val="center"/>
              <w:rPr>
                <w:rFonts w:ascii="宋体" w:hAnsi="宋体"/>
                <w:bCs/>
                <w:sz w:val="24"/>
                <w:szCs w:val="24"/>
              </w:rPr>
            </w:pPr>
            <w:r>
              <w:rPr>
                <w:rFonts w:hint="eastAsia" w:ascii="宋体" w:hAnsi="宋体"/>
                <w:bCs/>
                <w:sz w:val="24"/>
                <w:szCs w:val="24"/>
              </w:rPr>
              <w:t>已标价工程量清单</w:t>
            </w:r>
          </w:p>
        </w:tc>
        <w:tc>
          <w:tcPr>
            <w:tcW w:w="5433" w:type="dxa"/>
            <w:vAlign w:val="center"/>
          </w:tcPr>
          <w:p w14:paraId="525D0E90">
            <w:pPr>
              <w:wordWrap w:val="0"/>
              <w:spacing w:line="440" w:lineRule="exact"/>
              <w:jc w:val="left"/>
              <w:rPr>
                <w:rFonts w:ascii="宋体" w:hAnsi="宋体"/>
                <w:bCs/>
                <w:sz w:val="24"/>
                <w:szCs w:val="24"/>
              </w:rPr>
            </w:pPr>
            <w:r>
              <w:rPr>
                <w:rFonts w:hint="eastAsia" w:ascii="宋体" w:hAnsi="宋体"/>
                <w:bCs/>
                <w:sz w:val="24"/>
                <w:szCs w:val="24"/>
              </w:rPr>
              <w:t>符合第六章“工程量清单”给出的范围及数量，投标人不得擅自修改工程量清单的工程项目和数量。</w:t>
            </w:r>
          </w:p>
        </w:tc>
      </w:tr>
    </w:tbl>
    <w:p w14:paraId="51B322F2"/>
    <w:p w14:paraId="2E257EE5"/>
    <w:p w14:paraId="5BC715E0"/>
    <w:p w14:paraId="6FA6E06C">
      <w:r>
        <w:rPr>
          <w:rFonts w:hint="eastAsia"/>
        </w:rPr>
        <w:br w:type="page"/>
      </w:r>
    </w:p>
    <w:bookmarkEnd w:id="332"/>
    <w:bookmarkEnd w:id="333"/>
    <w:p w14:paraId="7832E041">
      <w:pPr>
        <w:pStyle w:val="6"/>
        <w:jc w:val="center"/>
      </w:pPr>
      <w:r>
        <w:rPr>
          <w:rFonts w:hint="eastAsia" w:ascii="Verdana" w:hAnsi="Verdana"/>
          <w:b/>
          <w:bCs/>
          <w:color w:val="auto"/>
          <w:sz w:val="28"/>
          <w:szCs w:val="28"/>
        </w:rPr>
        <w:t>（二）技术标详细评审标准</w:t>
      </w:r>
    </w:p>
    <w:p w14:paraId="1EF038CA">
      <w:pPr>
        <w:pStyle w:val="7"/>
        <w:rPr>
          <w:b/>
          <w:bCs/>
          <w:sz w:val="28"/>
          <w:szCs w:val="28"/>
        </w:rPr>
      </w:pPr>
    </w:p>
    <w:tbl>
      <w:tblPr>
        <w:tblStyle w:val="20"/>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890"/>
        <w:gridCol w:w="5213"/>
        <w:gridCol w:w="1945"/>
      </w:tblGrid>
      <w:tr w14:paraId="505D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3" w:type="dxa"/>
            <w:vAlign w:val="center"/>
          </w:tcPr>
          <w:p w14:paraId="2990984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890" w:type="dxa"/>
            <w:vAlign w:val="center"/>
          </w:tcPr>
          <w:p w14:paraId="23CD44E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评审项目</w:t>
            </w:r>
          </w:p>
        </w:tc>
        <w:tc>
          <w:tcPr>
            <w:tcW w:w="5213" w:type="dxa"/>
            <w:vAlign w:val="center"/>
          </w:tcPr>
          <w:p w14:paraId="2806DD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评审内容</w:t>
            </w:r>
          </w:p>
        </w:tc>
        <w:tc>
          <w:tcPr>
            <w:tcW w:w="1945" w:type="dxa"/>
            <w:vAlign w:val="center"/>
          </w:tcPr>
          <w:p w14:paraId="27B9CAD3">
            <w:pPr>
              <w:spacing w:line="360" w:lineRule="auto"/>
              <w:jc w:val="center"/>
              <w:rPr>
                <w:rFonts w:hint="eastAsia" w:ascii="宋体" w:hAnsi="宋体" w:eastAsia="宋体" w:cs="宋体"/>
                <w:b/>
                <w:strike/>
                <w:sz w:val="24"/>
                <w:szCs w:val="24"/>
              </w:rPr>
            </w:pPr>
            <w:r>
              <w:rPr>
                <w:rFonts w:hint="eastAsia" w:ascii="宋体" w:hAnsi="宋体" w:eastAsia="宋体" w:cs="宋体"/>
                <w:b/>
                <w:sz w:val="24"/>
                <w:szCs w:val="24"/>
              </w:rPr>
              <w:t>综合评价等级（合格/不合格）</w:t>
            </w:r>
          </w:p>
        </w:tc>
      </w:tr>
      <w:tr w14:paraId="06F9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53" w:type="dxa"/>
            <w:vAlign w:val="center"/>
          </w:tcPr>
          <w:p w14:paraId="22A27F13">
            <w:pPr>
              <w:rPr>
                <w:rFonts w:hint="eastAsia" w:ascii="宋体" w:hAnsi="宋体" w:eastAsia="宋体" w:cs="宋体"/>
                <w:sz w:val="24"/>
                <w:szCs w:val="24"/>
              </w:rPr>
            </w:pPr>
            <w:r>
              <w:rPr>
                <w:rFonts w:hint="eastAsia" w:ascii="宋体" w:hAnsi="宋体" w:eastAsia="宋体" w:cs="宋体"/>
                <w:sz w:val="24"/>
                <w:szCs w:val="24"/>
              </w:rPr>
              <w:t>1</w:t>
            </w:r>
          </w:p>
        </w:tc>
        <w:tc>
          <w:tcPr>
            <w:tcW w:w="1890" w:type="dxa"/>
            <w:shd w:val="clear" w:color="auto" w:fill="auto"/>
            <w:vAlign w:val="center"/>
          </w:tcPr>
          <w:p w14:paraId="075D11F4">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总体施工组织布置及规划</w:t>
            </w:r>
          </w:p>
        </w:tc>
        <w:tc>
          <w:tcPr>
            <w:tcW w:w="5213" w:type="dxa"/>
            <w:shd w:val="clear" w:color="auto" w:fill="auto"/>
            <w:vAlign w:val="center"/>
          </w:tcPr>
          <w:p w14:paraId="202EA1A1">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施工方案（含工程特点、施工重点与难点及绿色施工）总体安排合理，合理运用先进的施工工艺、施工机械；对施工难点有科学合理的建议。</w:t>
            </w:r>
          </w:p>
        </w:tc>
        <w:tc>
          <w:tcPr>
            <w:tcW w:w="1945" w:type="dxa"/>
            <w:vAlign w:val="center"/>
          </w:tcPr>
          <w:p w14:paraId="07A5C1E6">
            <w:pPr>
              <w:spacing w:line="360" w:lineRule="auto"/>
              <w:jc w:val="center"/>
              <w:rPr>
                <w:rFonts w:hint="eastAsia" w:ascii="宋体" w:hAnsi="宋体" w:eastAsia="宋体" w:cs="宋体"/>
                <w:b/>
                <w:sz w:val="24"/>
                <w:szCs w:val="24"/>
              </w:rPr>
            </w:pPr>
          </w:p>
        </w:tc>
      </w:tr>
      <w:tr w14:paraId="35F8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3" w:type="dxa"/>
            <w:vAlign w:val="center"/>
          </w:tcPr>
          <w:p w14:paraId="5388C456">
            <w:pPr>
              <w:rPr>
                <w:rFonts w:hint="eastAsia" w:ascii="宋体" w:hAnsi="宋体" w:eastAsia="宋体" w:cs="宋体"/>
                <w:sz w:val="24"/>
                <w:szCs w:val="24"/>
              </w:rPr>
            </w:pPr>
            <w:r>
              <w:rPr>
                <w:rFonts w:hint="eastAsia" w:ascii="宋体" w:hAnsi="宋体" w:eastAsia="宋体" w:cs="宋体"/>
                <w:sz w:val="24"/>
                <w:szCs w:val="24"/>
              </w:rPr>
              <w:t>2</w:t>
            </w:r>
          </w:p>
        </w:tc>
        <w:tc>
          <w:tcPr>
            <w:tcW w:w="1890" w:type="dxa"/>
            <w:shd w:val="clear" w:color="auto" w:fill="auto"/>
            <w:vAlign w:val="center"/>
          </w:tcPr>
          <w:p w14:paraId="4224847D">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工程项目的施工方案</w:t>
            </w:r>
          </w:p>
        </w:tc>
        <w:tc>
          <w:tcPr>
            <w:tcW w:w="5213" w:type="dxa"/>
            <w:shd w:val="clear" w:color="auto" w:fill="auto"/>
            <w:vAlign w:val="center"/>
          </w:tcPr>
          <w:p w14:paraId="5076FDFD">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有工程项目的施工方案</w:t>
            </w:r>
          </w:p>
          <w:p w14:paraId="48BA3962">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否则不合格。</w:t>
            </w:r>
          </w:p>
        </w:tc>
        <w:tc>
          <w:tcPr>
            <w:tcW w:w="1945" w:type="dxa"/>
            <w:vAlign w:val="center"/>
          </w:tcPr>
          <w:p w14:paraId="09F6FA7A">
            <w:pPr>
              <w:spacing w:line="360" w:lineRule="auto"/>
              <w:jc w:val="center"/>
              <w:rPr>
                <w:rFonts w:hint="eastAsia" w:ascii="宋体" w:hAnsi="宋体" w:eastAsia="宋体" w:cs="宋体"/>
                <w:b/>
                <w:sz w:val="24"/>
                <w:szCs w:val="24"/>
              </w:rPr>
            </w:pPr>
          </w:p>
        </w:tc>
      </w:tr>
      <w:tr w14:paraId="5C03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753" w:type="dxa"/>
            <w:vAlign w:val="center"/>
          </w:tcPr>
          <w:p w14:paraId="2DC5DC93">
            <w:pPr>
              <w:rPr>
                <w:rFonts w:hint="eastAsia" w:ascii="宋体" w:hAnsi="宋体" w:eastAsia="宋体" w:cs="宋体"/>
                <w:sz w:val="24"/>
                <w:szCs w:val="24"/>
              </w:rPr>
            </w:pPr>
            <w:r>
              <w:rPr>
                <w:rFonts w:hint="eastAsia" w:ascii="宋体" w:hAnsi="宋体" w:eastAsia="宋体" w:cs="宋体"/>
                <w:sz w:val="24"/>
                <w:szCs w:val="24"/>
              </w:rPr>
              <w:t>3</w:t>
            </w:r>
          </w:p>
        </w:tc>
        <w:tc>
          <w:tcPr>
            <w:tcW w:w="1890" w:type="dxa"/>
            <w:shd w:val="clear" w:color="auto" w:fill="auto"/>
            <w:vAlign w:val="center"/>
          </w:tcPr>
          <w:p w14:paraId="3DF0F713">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应急施工方案</w:t>
            </w:r>
          </w:p>
        </w:tc>
        <w:tc>
          <w:tcPr>
            <w:tcW w:w="5213" w:type="dxa"/>
            <w:shd w:val="clear" w:color="auto" w:fill="auto"/>
            <w:vAlign w:val="center"/>
          </w:tcPr>
          <w:p w14:paraId="68C533FA">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1、有应急施工的方案</w:t>
            </w:r>
          </w:p>
          <w:p w14:paraId="3432E575">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2、有应急施工的措施</w:t>
            </w:r>
          </w:p>
          <w:p w14:paraId="620B010F">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否则不合格。</w:t>
            </w:r>
          </w:p>
        </w:tc>
        <w:tc>
          <w:tcPr>
            <w:tcW w:w="1945" w:type="dxa"/>
            <w:vAlign w:val="center"/>
          </w:tcPr>
          <w:p w14:paraId="7E484D70">
            <w:pPr>
              <w:rPr>
                <w:rFonts w:hint="eastAsia" w:ascii="宋体" w:hAnsi="宋体" w:eastAsia="宋体" w:cs="宋体"/>
                <w:sz w:val="24"/>
                <w:szCs w:val="24"/>
              </w:rPr>
            </w:pPr>
          </w:p>
        </w:tc>
      </w:tr>
      <w:tr w14:paraId="0570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53" w:type="dxa"/>
            <w:vAlign w:val="center"/>
          </w:tcPr>
          <w:p w14:paraId="4A248EEC">
            <w:pPr>
              <w:rPr>
                <w:rFonts w:hint="eastAsia" w:ascii="宋体" w:hAnsi="宋体" w:eastAsia="宋体" w:cs="宋体"/>
                <w:sz w:val="24"/>
                <w:szCs w:val="24"/>
              </w:rPr>
            </w:pPr>
            <w:r>
              <w:rPr>
                <w:rFonts w:hint="eastAsia" w:ascii="宋体" w:hAnsi="宋体" w:eastAsia="宋体" w:cs="宋体"/>
                <w:sz w:val="24"/>
                <w:szCs w:val="24"/>
              </w:rPr>
              <w:t>4</w:t>
            </w:r>
          </w:p>
        </w:tc>
        <w:tc>
          <w:tcPr>
            <w:tcW w:w="1890" w:type="dxa"/>
            <w:shd w:val="clear" w:color="auto" w:fill="auto"/>
            <w:vAlign w:val="center"/>
          </w:tcPr>
          <w:p w14:paraId="1FD83F82">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质量管理</w:t>
            </w:r>
          </w:p>
        </w:tc>
        <w:tc>
          <w:tcPr>
            <w:tcW w:w="5213" w:type="dxa"/>
            <w:shd w:val="clear" w:color="auto" w:fill="auto"/>
            <w:vAlign w:val="center"/>
          </w:tcPr>
          <w:p w14:paraId="58D43DB9">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组织机构形式合理，有完善的指挥系统、质量监控系统、联络协调系统，有健全的质量管理体系、相应的施工技术标准、施工质量检验制度和综合施工质量水平评定考核制度。施工措施符合国家及我省现行工程建设标准，满足通用规范、项目规范及质量验收规范的要求，质量保证措施内容完整、经济安全、合理先进、切实可行。</w:t>
            </w:r>
          </w:p>
        </w:tc>
        <w:tc>
          <w:tcPr>
            <w:tcW w:w="1945" w:type="dxa"/>
            <w:vAlign w:val="center"/>
          </w:tcPr>
          <w:p w14:paraId="444CA6AE">
            <w:pPr>
              <w:rPr>
                <w:rFonts w:hint="eastAsia" w:ascii="宋体" w:hAnsi="宋体" w:eastAsia="宋体" w:cs="宋体"/>
                <w:sz w:val="24"/>
                <w:szCs w:val="24"/>
              </w:rPr>
            </w:pPr>
          </w:p>
        </w:tc>
      </w:tr>
      <w:tr w14:paraId="245F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753" w:type="dxa"/>
            <w:vAlign w:val="center"/>
          </w:tcPr>
          <w:p w14:paraId="67EB5C17">
            <w:pPr>
              <w:rPr>
                <w:rFonts w:hint="eastAsia" w:ascii="宋体" w:hAnsi="宋体" w:eastAsia="宋体" w:cs="宋体"/>
                <w:sz w:val="24"/>
                <w:szCs w:val="24"/>
              </w:rPr>
            </w:pPr>
            <w:r>
              <w:rPr>
                <w:rFonts w:hint="eastAsia" w:ascii="宋体" w:hAnsi="宋体" w:eastAsia="宋体" w:cs="宋体"/>
                <w:sz w:val="24"/>
                <w:szCs w:val="24"/>
              </w:rPr>
              <w:t>5</w:t>
            </w:r>
          </w:p>
        </w:tc>
        <w:tc>
          <w:tcPr>
            <w:tcW w:w="1890" w:type="dxa"/>
            <w:shd w:val="clear" w:color="auto" w:fill="auto"/>
            <w:vAlign w:val="center"/>
          </w:tcPr>
          <w:p w14:paraId="7AF5926A">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安全管理</w:t>
            </w:r>
          </w:p>
        </w:tc>
        <w:tc>
          <w:tcPr>
            <w:tcW w:w="5213" w:type="dxa"/>
            <w:shd w:val="clear" w:color="auto" w:fill="auto"/>
            <w:vAlign w:val="center"/>
          </w:tcPr>
          <w:p w14:paraId="617D1346">
            <w:pPr>
              <w:wordWrap w:val="0"/>
              <w:spacing w:line="276"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1.施工安全生产保障体系健全，安全管理制度完善，安全管理目标具体，全员安全责任制明确，现场安全管理组织机构、人员配备满足国家规定要求。</w:t>
            </w:r>
          </w:p>
          <w:p w14:paraId="358D575F">
            <w:pPr>
              <w:wordWrap w:val="0"/>
              <w:spacing w:line="276"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2.安全技术方案根据工程特点、周边环境和施工工艺，制定措施科学合理、可行。</w:t>
            </w:r>
          </w:p>
          <w:p w14:paraId="5BC910CE">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3.现场重大危险源辨识全面，有项目危险性较大的分部分项工程清单并明确有相应的安全管理措施。</w:t>
            </w:r>
          </w:p>
        </w:tc>
        <w:tc>
          <w:tcPr>
            <w:tcW w:w="1945" w:type="dxa"/>
            <w:vAlign w:val="center"/>
          </w:tcPr>
          <w:p w14:paraId="75E3206A">
            <w:pPr>
              <w:rPr>
                <w:rFonts w:hint="eastAsia" w:ascii="宋体" w:hAnsi="宋体" w:eastAsia="宋体" w:cs="宋体"/>
                <w:sz w:val="24"/>
                <w:szCs w:val="24"/>
              </w:rPr>
            </w:pPr>
          </w:p>
        </w:tc>
      </w:tr>
      <w:tr w14:paraId="16B1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53" w:type="dxa"/>
            <w:vAlign w:val="center"/>
          </w:tcPr>
          <w:p w14:paraId="2A6019D5">
            <w:pPr>
              <w:rPr>
                <w:rFonts w:hint="eastAsia" w:ascii="宋体" w:hAnsi="宋体" w:eastAsia="宋体" w:cs="宋体"/>
                <w:sz w:val="24"/>
                <w:szCs w:val="24"/>
              </w:rPr>
            </w:pPr>
            <w:r>
              <w:rPr>
                <w:rFonts w:hint="eastAsia" w:ascii="宋体" w:hAnsi="宋体" w:eastAsia="宋体" w:cs="宋体"/>
                <w:sz w:val="24"/>
                <w:szCs w:val="24"/>
              </w:rPr>
              <w:t>6</w:t>
            </w:r>
          </w:p>
        </w:tc>
        <w:tc>
          <w:tcPr>
            <w:tcW w:w="1890" w:type="dxa"/>
            <w:shd w:val="clear" w:color="auto" w:fill="auto"/>
            <w:vAlign w:val="center"/>
          </w:tcPr>
          <w:p w14:paraId="190C24B0">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文明施工</w:t>
            </w:r>
          </w:p>
        </w:tc>
        <w:tc>
          <w:tcPr>
            <w:tcW w:w="5213" w:type="dxa"/>
            <w:shd w:val="clear" w:color="auto" w:fill="auto"/>
            <w:vAlign w:val="center"/>
          </w:tcPr>
          <w:p w14:paraId="4EB31694">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1、有文明施工的方案</w:t>
            </w:r>
          </w:p>
          <w:p w14:paraId="35302912">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2、有文明施工的措施</w:t>
            </w:r>
          </w:p>
          <w:p w14:paraId="43CBDED6">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否则不合格。</w:t>
            </w:r>
          </w:p>
        </w:tc>
        <w:tc>
          <w:tcPr>
            <w:tcW w:w="1945" w:type="dxa"/>
            <w:vAlign w:val="center"/>
          </w:tcPr>
          <w:p w14:paraId="16D4B6E6">
            <w:pPr>
              <w:rPr>
                <w:rFonts w:hint="eastAsia" w:ascii="宋体" w:hAnsi="宋体" w:eastAsia="宋体" w:cs="宋体"/>
                <w:sz w:val="24"/>
                <w:szCs w:val="24"/>
              </w:rPr>
            </w:pPr>
          </w:p>
        </w:tc>
      </w:tr>
      <w:tr w14:paraId="7ABA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3" w:type="dxa"/>
            <w:vAlign w:val="center"/>
          </w:tcPr>
          <w:p w14:paraId="51629AE5">
            <w:pPr>
              <w:rPr>
                <w:rFonts w:hint="eastAsia" w:ascii="宋体" w:hAnsi="宋体" w:eastAsia="宋体" w:cs="宋体"/>
                <w:sz w:val="24"/>
                <w:szCs w:val="24"/>
              </w:rPr>
            </w:pPr>
            <w:r>
              <w:rPr>
                <w:rFonts w:hint="eastAsia" w:ascii="宋体" w:hAnsi="宋体" w:eastAsia="宋体" w:cs="宋体"/>
                <w:sz w:val="24"/>
                <w:szCs w:val="24"/>
              </w:rPr>
              <w:t>7</w:t>
            </w:r>
          </w:p>
        </w:tc>
        <w:tc>
          <w:tcPr>
            <w:tcW w:w="1890" w:type="dxa"/>
            <w:shd w:val="clear" w:color="auto" w:fill="auto"/>
            <w:vAlign w:val="center"/>
          </w:tcPr>
          <w:p w14:paraId="6427FB00">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环境保护</w:t>
            </w:r>
          </w:p>
        </w:tc>
        <w:tc>
          <w:tcPr>
            <w:tcW w:w="5213" w:type="dxa"/>
            <w:shd w:val="clear" w:color="auto" w:fill="auto"/>
            <w:vAlign w:val="center"/>
          </w:tcPr>
          <w:p w14:paraId="746A8F80">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1、有环境保护的方案</w:t>
            </w:r>
          </w:p>
          <w:p w14:paraId="19FF2103">
            <w:pPr>
              <w:spacing w:line="400" w:lineRule="exact"/>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2、有环境保护的措施</w:t>
            </w:r>
          </w:p>
          <w:p w14:paraId="304C3259">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否则不合格。</w:t>
            </w:r>
          </w:p>
        </w:tc>
        <w:tc>
          <w:tcPr>
            <w:tcW w:w="1945" w:type="dxa"/>
            <w:vAlign w:val="center"/>
          </w:tcPr>
          <w:p w14:paraId="49C4937C">
            <w:pPr>
              <w:rPr>
                <w:rFonts w:hint="eastAsia" w:ascii="宋体" w:hAnsi="宋体" w:eastAsia="宋体" w:cs="宋体"/>
                <w:sz w:val="24"/>
                <w:szCs w:val="24"/>
              </w:rPr>
            </w:pPr>
          </w:p>
        </w:tc>
      </w:tr>
      <w:tr w14:paraId="46E2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53" w:type="dxa"/>
            <w:vAlign w:val="center"/>
          </w:tcPr>
          <w:p w14:paraId="7AB5468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890" w:type="dxa"/>
            <w:shd w:val="clear" w:color="auto" w:fill="auto"/>
            <w:vAlign w:val="center"/>
          </w:tcPr>
          <w:p w14:paraId="7A0EF85C">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工期保证</w:t>
            </w:r>
          </w:p>
        </w:tc>
        <w:tc>
          <w:tcPr>
            <w:tcW w:w="5213" w:type="dxa"/>
            <w:shd w:val="clear" w:color="auto" w:fill="auto"/>
            <w:vAlign w:val="center"/>
          </w:tcPr>
          <w:p w14:paraId="7490EFED">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工期承诺满足招标文件要求，工期保证措施合理且有针对性，有具体的违约责任承诺。</w:t>
            </w:r>
          </w:p>
        </w:tc>
        <w:tc>
          <w:tcPr>
            <w:tcW w:w="1945" w:type="dxa"/>
            <w:vAlign w:val="center"/>
          </w:tcPr>
          <w:p w14:paraId="3D2D7F1C">
            <w:pPr>
              <w:rPr>
                <w:rFonts w:hint="eastAsia" w:ascii="宋体" w:hAnsi="宋体" w:eastAsia="宋体" w:cs="宋体"/>
                <w:sz w:val="24"/>
                <w:szCs w:val="24"/>
              </w:rPr>
            </w:pPr>
          </w:p>
        </w:tc>
      </w:tr>
      <w:tr w14:paraId="74C2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753" w:type="dxa"/>
            <w:vAlign w:val="center"/>
          </w:tcPr>
          <w:p w14:paraId="52EE205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890" w:type="dxa"/>
            <w:shd w:val="clear" w:color="auto" w:fill="auto"/>
            <w:vAlign w:val="center"/>
          </w:tcPr>
          <w:p w14:paraId="56B1FDA5">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拟投入资源配备计划</w:t>
            </w:r>
          </w:p>
        </w:tc>
        <w:tc>
          <w:tcPr>
            <w:tcW w:w="5213" w:type="dxa"/>
            <w:shd w:val="clear" w:color="auto" w:fill="auto"/>
            <w:vAlign w:val="center"/>
          </w:tcPr>
          <w:p w14:paraId="3361A12E">
            <w:pPr>
              <w:wordWrap w:val="0"/>
              <w:spacing w:line="276"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1.机械：投入计划与进度计划呼应，采用先进机械设备且配置合理，满足安全技术规范和施工进度需要；PC构件运输、安装设备满足施工要求；</w:t>
            </w:r>
          </w:p>
          <w:p w14:paraId="4B967E5B">
            <w:pPr>
              <w:wordWrap w:val="0"/>
              <w:spacing w:line="276"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2.劳动力：投入计划与进度计划呼应，满足施工需要，调配投入计划合理、准确；</w:t>
            </w:r>
          </w:p>
          <w:p w14:paraId="1EE17D7A">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3.主要物资计划：主要物资（含PC构件的供应需求）投入计划与进度计划呼应，满足施工需要，调配投入计划合理、准确。</w:t>
            </w:r>
          </w:p>
        </w:tc>
        <w:tc>
          <w:tcPr>
            <w:tcW w:w="1945" w:type="dxa"/>
            <w:vAlign w:val="center"/>
          </w:tcPr>
          <w:p w14:paraId="1FA02B17">
            <w:pPr>
              <w:rPr>
                <w:rFonts w:hint="eastAsia" w:ascii="宋体" w:hAnsi="宋体" w:eastAsia="宋体" w:cs="宋体"/>
                <w:sz w:val="24"/>
                <w:szCs w:val="24"/>
              </w:rPr>
            </w:pPr>
          </w:p>
        </w:tc>
      </w:tr>
      <w:tr w14:paraId="7AAA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753" w:type="dxa"/>
            <w:vAlign w:val="center"/>
          </w:tcPr>
          <w:p w14:paraId="6E4832D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890" w:type="dxa"/>
            <w:shd w:val="clear" w:color="auto" w:fill="auto"/>
            <w:vAlign w:val="center"/>
          </w:tcPr>
          <w:p w14:paraId="4B3BD7CC">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施工进度表或施工网络图</w:t>
            </w:r>
          </w:p>
        </w:tc>
        <w:tc>
          <w:tcPr>
            <w:tcW w:w="5213" w:type="dxa"/>
            <w:shd w:val="clear" w:color="auto" w:fill="auto"/>
            <w:vAlign w:val="center"/>
          </w:tcPr>
          <w:p w14:paraId="31550871">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关键线路清晰、准确、完整，计划编制合理、可行，满足招标文件对工期的要求。</w:t>
            </w:r>
          </w:p>
        </w:tc>
        <w:tc>
          <w:tcPr>
            <w:tcW w:w="1945" w:type="dxa"/>
            <w:vAlign w:val="center"/>
          </w:tcPr>
          <w:p w14:paraId="28D97E62">
            <w:pPr>
              <w:rPr>
                <w:rFonts w:hint="eastAsia" w:ascii="宋体" w:hAnsi="宋体" w:eastAsia="宋体" w:cs="宋体"/>
                <w:sz w:val="24"/>
                <w:szCs w:val="24"/>
              </w:rPr>
            </w:pPr>
          </w:p>
        </w:tc>
      </w:tr>
      <w:tr w14:paraId="62C5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53" w:type="dxa"/>
            <w:vAlign w:val="center"/>
          </w:tcPr>
          <w:p w14:paraId="15AB0B4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890" w:type="dxa"/>
            <w:shd w:val="clear" w:color="auto" w:fill="auto"/>
            <w:vAlign w:val="center"/>
          </w:tcPr>
          <w:p w14:paraId="69E422F9">
            <w:pPr>
              <w:spacing w:line="400" w:lineRule="exact"/>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施工总平面布置图</w:t>
            </w:r>
          </w:p>
        </w:tc>
        <w:tc>
          <w:tcPr>
            <w:tcW w:w="5213" w:type="dxa"/>
            <w:shd w:val="clear" w:color="auto" w:fill="auto"/>
            <w:vAlign w:val="center"/>
          </w:tcPr>
          <w:p w14:paraId="57CF4DF2">
            <w:pPr>
              <w:spacing w:line="400" w:lineRule="exact"/>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总体布置有针对性、合理，能满足施工需要，符合安全、文明施工要求，材料堆放有序。</w:t>
            </w:r>
          </w:p>
        </w:tc>
        <w:tc>
          <w:tcPr>
            <w:tcW w:w="1945" w:type="dxa"/>
            <w:vAlign w:val="center"/>
          </w:tcPr>
          <w:p w14:paraId="73480237">
            <w:pPr>
              <w:rPr>
                <w:rFonts w:hint="eastAsia" w:ascii="宋体" w:hAnsi="宋体" w:eastAsia="宋体" w:cs="宋体"/>
                <w:sz w:val="24"/>
                <w:szCs w:val="24"/>
              </w:rPr>
            </w:pPr>
          </w:p>
        </w:tc>
      </w:tr>
      <w:tr w14:paraId="7531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753" w:type="dxa"/>
            <w:vAlign w:val="center"/>
          </w:tcPr>
          <w:p w14:paraId="231344D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890" w:type="dxa"/>
            <w:shd w:val="clear" w:color="auto" w:fill="auto"/>
            <w:vAlign w:val="center"/>
          </w:tcPr>
          <w:p w14:paraId="3001B5CA">
            <w:pPr>
              <w:spacing w:line="276" w:lineRule="auto"/>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创新应用实施方案</w:t>
            </w:r>
          </w:p>
        </w:tc>
        <w:tc>
          <w:tcPr>
            <w:tcW w:w="5213" w:type="dxa"/>
            <w:shd w:val="clear" w:color="auto" w:fill="auto"/>
            <w:vAlign w:val="center"/>
          </w:tcPr>
          <w:p w14:paraId="37FBBF56">
            <w:pPr>
              <w:spacing w:line="276" w:lineRule="auto"/>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节能减排、绿色施工等建造方式的创新应用实施方案符合工程情况，具有针对性、可行性、经济适用性。</w:t>
            </w:r>
          </w:p>
        </w:tc>
        <w:tc>
          <w:tcPr>
            <w:tcW w:w="1945" w:type="dxa"/>
            <w:vAlign w:val="center"/>
          </w:tcPr>
          <w:p w14:paraId="3A1175EB">
            <w:pPr>
              <w:rPr>
                <w:rFonts w:hint="eastAsia" w:ascii="宋体" w:hAnsi="宋体" w:eastAsia="宋体" w:cs="宋体"/>
                <w:sz w:val="24"/>
                <w:szCs w:val="24"/>
              </w:rPr>
            </w:pPr>
          </w:p>
        </w:tc>
      </w:tr>
      <w:tr w14:paraId="36FC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53" w:type="dxa"/>
            <w:vAlign w:val="center"/>
          </w:tcPr>
          <w:p w14:paraId="6E56882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890" w:type="dxa"/>
            <w:shd w:val="clear" w:color="auto" w:fill="auto"/>
            <w:vAlign w:val="center"/>
          </w:tcPr>
          <w:p w14:paraId="2024B7B0">
            <w:pPr>
              <w:spacing w:line="276" w:lineRule="auto"/>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施工现场实施信息化监控和数据处理</w:t>
            </w:r>
          </w:p>
        </w:tc>
        <w:tc>
          <w:tcPr>
            <w:tcW w:w="5213" w:type="dxa"/>
            <w:shd w:val="clear" w:color="auto" w:fill="auto"/>
            <w:vAlign w:val="center"/>
          </w:tcPr>
          <w:p w14:paraId="43912402">
            <w:pPr>
              <w:spacing w:line="276" w:lineRule="auto"/>
              <w:jc w:val="left"/>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bidi="ar"/>
              </w:rPr>
              <w:t>施工现场实施信息化监控和数据处理系统布置合理，满足管理需要。</w:t>
            </w:r>
          </w:p>
        </w:tc>
        <w:tc>
          <w:tcPr>
            <w:tcW w:w="1945" w:type="dxa"/>
            <w:vAlign w:val="center"/>
          </w:tcPr>
          <w:p w14:paraId="7AC566C3">
            <w:pPr>
              <w:rPr>
                <w:rFonts w:hint="eastAsia" w:ascii="宋体" w:hAnsi="宋体" w:eastAsia="宋体" w:cs="宋体"/>
                <w:sz w:val="24"/>
                <w:szCs w:val="24"/>
              </w:rPr>
            </w:pPr>
          </w:p>
        </w:tc>
      </w:tr>
      <w:tr w14:paraId="6D93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01" w:type="dxa"/>
            <w:gridSpan w:val="4"/>
            <w:vAlign w:val="center"/>
          </w:tcPr>
          <w:p w14:paraId="73CDE02F">
            <w:pPr>
              <w:spacing w:line="360" w:lineRule="auto"/>
              <w:rPr>
                <w:rFonts w:hint="eastAsia" w:ascii="宋体" w:hAnsi="宋体" w:eastAsia="宋体" w:cs="宋体"/>
                <w:sz w:val="24"/>
                <w:szCs w:val="24"/>
              </w:rPr>
            </w:pPr>
            <w:r>
              <w:rPr>
                <w:rFonts w:hint="eastAsia" w:ascii="宋体" w:hAnsi="宋体" w:eastAsia="宋体" w:cs="宋体"/>
                <w:sz w:val="24"/>
                <w:szCs w:val="24"/>
              </w:rPr>
              <w:t>备注：需按要求提供相应的方案、措施。</w:t>
            </w:r>
          </w:p>
          <w:p w14:paraId="6BBEE62B">
            <w:pPr>
              <w:spacing w:line="360" w:lineRule="auto"/>
              <w:rPr>
                <w:rFonts w:hint="eastAsia" w:ascii="宋体" w:hAnsi="宋体" w:eastAsia="宋体" w:cs="宋体"/>
                <w:b/>
                <w:bCs/>
                <w:sz w:val="24"/>
                <w:szCs w:val="24"/>
              </w:rPr>
            </w:pPr>
            <w:r>
              <w:rPr>
                <w:rFonts w:hint="eastAsia" w:ascii="宋体" w:hAnsi="宋体" w:eastAsia="宋体" w:cs="宋体"/>
                <w:sz w:val="24"/>
                <w:szCs w:val="24"/>
              </w:rPr>
              <w:t>以上评审标准有一项不合格视为整个技术标不合格。</w:t>
            </w:r>
          </w:p>
        </w:tc>
      </w:tr>
    </w:tbl>
    <w:p w14:paraId="1979A867">
      <w:pPr>
        <w:kinsoku w:val="0"/>
        <w:wordWrap w:val="0"/>
        <w:spacing w:line="360" w:lineRule="auto"/>
        <w:textAlignment w:val="baseline"/>
        <w:rPr>
          <w:rFonts w:ascii="宋体" w:hAnsi="宋体" w:cs="宋体"/>
          <w:b/>
          <w:bCs/>
          <w:sz w:val="24"/>
          <w:szCs w:val="24"/>
        </w:rPr>
      </w:pPr>
    </w:p>
    <w:p w14:paraId="00E9303E">
      <w:pPr>
        <w:kinsoku w:val="0"/>
        <w:wordWrap w:val="0"/>
        <w:spacing w:line="360" w:lineRule="auto"/>
        <w:textAlignment w:val="baseline"/>
        <w:rPr>
          <w:rFonts w:ascii="宋体" w:hAnsi="宋体" w:cs="宋体"/>
          <w:sz w:val="24"/>
          <w:szCs w:val="24"/>
        </w:rPr>
      </w:pPr>
      <w:r>
        <w:rPr>
          <w:rFonts w:hint="eastAsia" w:ascii="宋体" w:hAnsi="宋体" w:cs="宋体"/>
          <w:sz w:val="24"/>
          <w:szCs w:val="24"/>
        </w:rPr>
        <w:t>备注：</w:t>
      </w:r>
    </w:p>
    <w:p w14:paraId="4DF965BD">
      <w:pPr>
        <w:kinsoku w:val="0"/>
        <w:wordWrap w:val="0"/>
        <w:spacing w:line="360" w:lineRule="auto"/>
        <w:textAlignment w:val="baseline"/>
        <w:rPr>
          <w:rFonts w:ascii="宋体" w:hAnsi="宋体" w:cs="宋体"/>
          <w:sz w:val="24"/>
          <w:szCs w:val="24"/>
        </w:rPr>
      </w:pPr>
      <w:r>
        <w:rPr>
          <w:rFonts w:hint="eastAsia" w:ascii="宋体" w:hAnsi="宋体" w:cs="宋体"/>
          <w:sz w:val="24"/>
          <w:szCs w:val="24"/>
        </w:rPr>
        <w:t>（1）本表适用于专家独立评审使用；</w:t>
      </w:r>
    </w:p>
    <w:p w14:paraId="62C8C8BC">
      <w:pPr>
        <w:kinsoku w:val="0"/>
        <w:wordWrap w:val="0"/>
        <w:spacing w:line="360" w:lineRule="auto"/>
        <w:textAlignment w:val="baseline"/>
        <w:rPr>
          <w:rFonts w:ascii="宋体" w:hAnsi="宋体" w:cs="宋体"/>
          <w:sz w:val="24"/>
          <w:szCs w:val="24"/>
        </w:rPr>
      </w:pPr>
      <w:r>
        <w:rPr>
          <w:rFonts w:hint="eastAsia" w:ascii="宋体" w:hAnsi="宋体" w:cs="宋体"/>
          <w:sz w:val="24"/>
          <w:szCs w:val="24"/>
        </w:rPr>
        <w:t>（2）专家可指出各评审项的优点、存在缺陷或签订合同前应注意和澄清事项；</w:t>
      </w:r>
    </w:p>
    <w:p w14:paraId="5F24B6CB">
      <w:pPr>
        <w:kinsoku w:val="0"/>
        <w:wordWrap w:val="0"/>
        <w:spacing w:line="360" w:lineRule="auto"/>
        <w:textAlignment w:val="baseline"/>
        <w:rPr>
          <w:rFonts w:ascii="宋体" w:hAnsi="宋体" w:cs="宋体"/>
          <w:b/>
          <w:bCs/>
          <w:sz w:val="24"/>
          <w:szCs w:val="24"/>
        </w:rPr>
      </w:pPr>
      <w:r>
        <w:rPr>
          <w:rFonts w:hint="eastAsia" w:ascii="宋体" w:hAnsi="宋体" w:cs="宋体"/>
          <w:sz w:val="24"/>
          <w:szCs w:val="24"/>
        </w:rPr>
        <w:t>（3）技术标仅分为合格或不合格两个等级。</w:t>
      </w:r>
      <w:r>
        <w:rPr>
          <w:rFonts w:hint="eastAsia" w:ascii="宋体" w:hAnsi="宋体" w:cs="宋体"/>
          <w:b/>
          <w:bCs/>
          <w:sz w:val="24"/>
          <w:szCs w:val="24"/>
        </w:rPr>
        <w:t>因交易中心系统设置原因，技术标需要打分，统一设置5分为合格，0分为不合格。</w:t>
      </w:r>
    </w:p>
    <w:p w14:paraId="30110459">
      <w:pPr>
        <w:kinsoku w:val="0"/>
        <w:wordWrap w:val="0"/>
        <w:spacing w:line="360" w:lineRule="auto"/>
        <w:textAlignment w:val="baseline"/>
        <w:rPr>
          <w:rFonts w:ascii="Verdana" w:hAnsi="Verdana"/>
          <w:b/>
          <w:bCs/>
          <w:kern w:val="0"/>
          <w:sz w:val="28"/>
          <w:szCs w:val="28"/>
        </w:rPr>
      </w:pPr>
      <w:r>
        <w:rPr>
          <w:rFonts w:hint="eastAsia" w:ascii="宋体" w:hAnsi="宋体" w:cs="宋体"/>
          <w:sz w:val="24"/>
          <w:szCs w:val="24"/>
        </w:rPr>
        <w:t>（4）技术标施工组织设计的“合格”与“不合格”评标专家主要依据其是否满足工程施工需求、符合规范要求、具备可操作性，以及能否保障工程质量、安全、进度和成本控制。</w:t>
      </w:r>
    </w:p>
    <w:p w14:paraId="60459819">
      <w:pPr>
        <w:jc w:val="center"/>
        <w:rPr>
          <w:rFonts w:ascii="Verdana" w:hAnsi="Verdana"/>
          <w:b/>
          <w:bCs/>
          <w:kern w:val="0"/>
          <w:sz w:val="28"/>
          <w:szCs w:val="28"/>
        </w:rPr>
      </w:pPr>
    </w:p>
    <w:p w14:paraId="43F68296">
      <w:pPr>
        <w:jc w:val="center"/>
        <w:rPr>
          <w:rFonts w:ascii="Verdana" w:hAnsi="Verdana"/>
          <w:b/>
          <w:bCs/>
          <w:kern w:val="0"/>
          <w:sz w:val="28"/>
          <w:szCs w:val="28"/>
        </w:rPr>
      </w:pPr>
    </w:p>
    <w:p w14:paraId="37E9CEBB">
      <w:pPr>
        <w:rPr>
          <w:rFonts w:ascii="Verdana" w:hAnsi="Verdana"/>
          <w:b/>
          <w:bCs/>
          <w:kern w:val="0"/>
          <w:sz w:val="28"/>
          <w:szCs w:val="28"/>
        </w:rPr>
      </w:pPr>
      <w:r>
        <w:rPr>
          <w:rFonts w:hint="eastAsia" w:ascii="Verdana" w:hAnsi="Verdana"/>
          <w:b/>
          <w:bCs/>
          <w:kern w:val="0"/>
          <w:sz w:val="28"/>
          <w:szCs w:val="28"/>
        </w:rPr>
        <w:br w:type="page"/>
      </w:r>
    </w:p>
    <w:p w14:paraId="1FE78AF7">
      <w:pPr>
        <w:jc w:val="center"/>
        <w:rPr>
          <w:rFonts w:ascii="Verdana" w:hAnsi="Verdana"/>
          <w:b/>
          <w:bCs/>
          <w:kern w:val="0"/>
          <w:sz w:val="28"/>
          <w:szCs w:val="28"/>
        </w:rPr>
      </w:pPr>
      <w:r>
        <w:rPr>
          <w:rFonts w:hint="eastAsia" w:ascii="Verdana" w:hAnsi="Verdana"/>
          <w:b/>
          <w:bCs/>
          <w:kern w:val="0"/>
          <w:sz w:val="28"/>
          <w:szCs w:val="28"/>
        </w:rPr>
        <w:t>（三）综合标详细评审标准</w:t>
      </w:r>
    </w:p>
    <w:p w14:paraId="1EDBFE46">
      <w:pPr>
        <w:pStyle w:val="7"/>
        <w:rPr>
          <w:b/>
          <w:bCs/>
          <w:sz w:val="24"/>
          <w:szCs w:val="24"/>
        </w:rPr>
      </w:pPr>
    </w:p>
    <w:tbl>
      <w:tblPr>
        <w:tblStyle w:val="20"/>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474"/>
        <w:gridCol w:w="5033"/>
        <w:gridCol w:w="1936"/>
      </w:tblGrid>
      <w:tr w14:paraId="4BEA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Align w:val="center"/>
          </w:tcPr>
          <w:p w14:paraId="6DDC2B89">
            <w:pPr>
              <w:spacing w:line="360" w:lineRule="auto"/>
              <w:jc w:val="center"/>
              <w:rPr>
                <w:rFonts w:ascii="宋体" w:hAnsi="宋体" w:cs="宋体"/>
                <w:b/>
                <w:sz w:val="24"/>
                <w:szCs w:val="24"/>
              </w:rPr>
            </w:pPr>
            <w:r>
              <w:rPr>
                <w:rFonts w:hint="eastAsia" w:ascii="宋体" w:hAnsi="宋体" w:cs="宋体"/>
                <w:b/>
                <w:sz w:val="24"/>
                <w:szCs w:val="24"/>
              </w:rPr>
              <w:t>序号</w:t>
            </w:r>
          </w:p>
        </w:tc>
        <w:tc>
          <w:tcPr>
            <w:tcW w:w="1474" w:type="dxa"/>
            <w:vAlign w:val="center"/>
          </w:tcPr>
          <w:p w14:paraId="5D567914">
            <w:pPr>
              <w:spacing w:line="360" w:lineRule="auto"/>
              <w:jc w:val="center"/>
              <w:rPr>
                <w:rFonts w:ascii="宋体" w:hAnsi="宋体" w:cs="宋体"/>
                <w:b/>
                <w:sz w:val="24"/>
                <w:szCs w:val="24"/>
              </w:rPr>
            </w:pPr>
            <w:r>
              <w:rPr>
                <w:rFonts w:hint="eastAsia" w:ascii="宋体" w:hAnsi="宋体" w:cs="宋体"/>
                <w:b/>
                <w:sz w:val="24"/>
                <w:szCs w:val="24"/>
              </w:rPr>
              <w:t>评审项目</w:t>
            </w:r>
          </w:p>
        </w:tc>
        <w:tc>
          <w:tcPr>
            <w:tcW w:w="5033" w:type="dxa"/>
            <w:vAlign w:val="center"/>
          </w:tcPr>
          <w:p w14:paraId="73161D89">
            <w:pPr>
              <w:spacing w:line="360" w:lineRule="auto"/>
              <w:jc w:val="center"/>
              <w:rPr>
                <w:rFonts w:ascii="宋体" w:hAnsi="宋体" w:cs="宋体"/>
                <w:b/>
                <w:sz w:val="24"/>
                <w:szCs w:val="24"/>
              </w:rPr>
            </w:pPr>
            <w:r>
              <w:rPr>
                <w:rFonts w:hint="eastAsia" w:ascii="宋体" w:hAnsi="宋体" w:cs="宋体"/>
                <w:b/>
                <w:sz w:val="24"/>
                <w:szCs w:val="24"/>
              </w:rPr>
              <w:t>评审内容</w:t>
            </w:r>
          </w:p>
        </w:tc>
        <w:tc>
          <w:tcPr>
            <w:tcW w:w="1936" w:type="dxa"/>
            <w:vAlign w:val="center"/>
          </w:tcPr>
          <w:p w14:paraId="5DFDCC23">
            <w:pPr>
              <w:spacing w:line="360" w:lineRule="auto"/>
              <w:jc w:val="center"/>
              <w:rPr>
                <w:rFonts w:ascii="宋体" w:hAnsi="宋体" w:cs="宋体"/>
                <w:b/>
                <w:sz w:val="24"/>
                <w:szCs w:val="24"/>
              </w:rPr>
            </w:pPr>
            <w:r>
              <w:rPr>
                <w:rFonts w:hint="eastAsia" w:ascii="宋体" w:hAnsi="宋体" w:cs="宋体"/>
                <w:b/>
                <w:sz w:val="24"/>
                <w:szCs w:val="24"/>
              </w:rPr>
              <w:t>综合评价等级（合格/不合格）</w:t>
            </w:r>
          </w:p>
        </w:tc>
      </w:tr>
      <w:tr w14:paraId="063D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749" w:type="dxa"/>
            <w:vAlign w:val="center"/>
          </w:tcPr>
          <w:p w14:paraId="6DE4A388">
            <w:pPr>
              <w:rPr>
                <w:sz w:val="24"/>
                <w:szCs w:val="24"/>
              </w:rPr>
            </w:pPr>
            <w:r>
              <w:rPr>
                <w:rFonts w:hint="eastAsia"/>
                <w:sz w:val="24"/>
                <w:szCs w:val="24"/>
              </w:rPr>
              <w:t>1</w:t>
            </w:r>
          </w:p>
        </w:tc>
        <w:tc>
          <w:tcPr>
            <w:tcW w:w="1474" w:type="dxa"/>
            <w:shd w:val="clear" w:color="auto" w:fill="auto"/>
            <w:vAlign w:val="center"/>
          </w:tcPr>
          <w:p w14:paraId="20901198">
            <w:pPr>
              <w:rPr>
                <w:sz w:val="24"/>
                <w:szCs w:val="24"/>
              </w:rPr>
            </w:pPr>
            <w:r>
              <w:rPr>
                <w:rFonts w:hint="eastAsia"/>
                <w:sz w:val="24"/>
                <w:szCs w:val="24"/>
              </w:rPr>
              <w:t>企业业绩</w:t>
            </w:r>
          </w:p>
        </w:tc>
        <w:tc>
          <w:tcPr>
            <w:tcW w:w="5033" w:type="dxa"/>
            <w:shd w:val="clear" w:color="auto" w:fill="auto"/>
            <w:vAlign w:val="center"/>
          </w:tcPr>
          <w:p w14:paraId="784B4421">
            <w:pPr>
              <w:pStyle w:val="9"/>
              <w:adjustRightInd/>
              <w:spacing w:line="320" w:lineRule="exact"/>
              <w:rPr>
                <w:rFonts w:hAnsi="宋体"/>
              </w:rPr>
            </w:pPr>
            <w:r>
              <w:rPr>
                <w:rFonts w:hint="eastAsia" w:hAnsi="宋体" w:cs="Times New Roman"/>
                <w:color w:val="auto"/>
                <w:kern w:val="2"/>
              </w:rPr>
              <w:t>投标人提供企业自2023年1月1日起完成过类似工程业绩。（至少提供2个）（时间以合同签订日期为准，需提供中标通知书、合同协议书原件扫描件）。</w:t>
            </w:r>
          </w:p>
          <w:p w14:paraId="5A907D27">
            <w:pPr>
              <w:rPr>
                <w:sz w:val="24"/>
                <w:szCs w:val="24"/>
              </w:rPr>
            </w:pPr>
            <w:r>
              <w:rPr>
                <w:rFonts w:hint="eastAsia" w:ascii="宋体" w:hAnsi="宋体" w:cs="宋体"/>
                <w:b/>
                <w:bCs/>
                <w:sz w:val="24"/>
              </w:rPr>
              <w:t>不提供、证明资料不齐全的视为不合格。</w:t>
            </w:r>
          </w:p>
        </w:tc>
        <w:tc>
          <w:tcPr>
            <w:tcW w:w="1936" w:type="dxa"/>
            <w:vAlign w:val="center"/>
          </w:tcPr>
          <w:p w14:paraId="6BD9B960">
            <w:pPr>
              <w:spacing w:line="360" w:lineRule="auto"/>
              <w:jc w:val="center"/>
              <w:rPr>
                <w:rFonts w:asciiTheme="minorEastAsia" w:hAnsiTheme="minorEastAsia" w:eastAsiaTheme="minorEastAsia" w:cstheme="minorEastAsia"/>
                <w:sz w:val="24"/>
                <w:szCs w:val="24"/>
              </w:rPr>
            </w:pPr>
          </w:p>
        </w:tc>
      </w:tr>
      <w:tr w14:paraId="2AA1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9" w:type="dxa"/>
            <w:vAlign w:val="center"/>
          </w:tcPr>
          <w:p w14:paraId="2ED6382A">
            <w:pPr>
              <w:rPr>
                <w:sz w:val="24"/>
                <w:szCs w:val="24"/>
              </w:rPr>
            </w:pPr>
            <w:r>
              <w:rPr>
                <w:rFonts w:hint="eastAsia"/>
                <w:sz w:val="24"/>
                <w:szCs w:val="24"/>
              </w:rPr>
              <w:t>2</w:t>
            </w:r>
          </w:p>
        </w:tc>
        <w:tc>
          <w:tcPr>
            <w:tcW w:w="1474" w:type="dxa"/>
            <w:shd w:val="clear" w:color="auto" w:fill="auto"/>
            <w:vAlign w:val="center"/>
          </w:tcPr>
          <w:p w14:paraId="505D2B7A">
            <w:pPr>
              <w:rPr>
                <w:sz w:val="24"/>
                <w:szCs w:val="24"/>
              </w:rPr>
            </w:pPr>
            <w:r>
              <w:rPr>
                <w:rFonts w:hint="eastAsia"/>
                <w:sz w:val="24"/>
                <w:szCs w:val="24"/>
              </w:rPr>
              <w:t>项目经理业绩</w:t>
            </w:r>
          </w:p>
        </w:tc>
        <w:tc>
          <w:tcPr>
            <w:tcW w:w="5033" w:type="dxa"/>
            <w:shd w:val="clear" w:color="auto" w:fill="auto"/>
            <w:vAlign w:val="center"/>
          </w:tcPr>
          <w:p w14:paraId="7FE71333">
            <w:pPr>
              <w:spacing w:line="320" w:lineRule="exact"/>
              <w:rPr>
                <w:rFonts w:ascii="宋体" w:hAnsi="宋体" w:cs="宋体"/>
                <w:sz w:val="24"/>
                <w:szCs w:val="24"/>
              </w:rPr>
            </w:pPr>
            <w:r>
              <w:rPr>
                <w:rFonts w:hint="eastAsia" w:ascii="宋体" w:hAnsi="宋体"/>
                <w:sz w:val="24"/>
                <w:szCs w:val="24"/>
              </w:rPr>
              <w:t>投标人提供项目经理自2023年1月1日起完成过类似工程业绩。</w:t>
            </w:r>
            <w:r>
              <w:rPr>
                <w:rFonts w:hint="eastAsia" w:ascii="宋体" w:hAnsi="宋体"/>
                <w:sz w:val="24"/>
                <w:szCs w:val="24"/>
                <w:highlight w:val="none"/>
              </w:rPr>
              <w:t>（至少提供</w:t>
            </w:r>
            <w:r>
              <w:rPr>
                <w:rFonts w:hint="eastAsia" w:ascii="宋体" w:hAnsi="宋体"/>
                <w:sz w:val="24"/>
                <w:szCs w:val="24"/>
                <w:highlight w:val="none"/>
                <w:lang w:val="en-US" w:eastAsia="zh-CN"/>
              </w:rPr>
              <w:t>1</w:t>
            </w:r>
            <w:r>
              <w:rPr>
                <w:rFonts w:hint="eastAsia" w:ascii="宋体" w:hAnsi="宋体"/>
                <w:sz w:val="24"/>
                <w:szCs w:val="24"/>
                <w:highlight w:val="none"/>
              </w:rPr>
              <w:t>个）</w:t>
            </w:r>
            <w:r>
              <w:rPr>
                <w:rFonts w:hint="eastAsia" w:ascii="宋体" w:hAnsi="宋体"/>
                <w:sz w:val="24"/>
                <w:szCs w:val="24"/>
              </w:rPr>
              <w:t>（</w:t>
            </w:r>
            <w:r>
              <w:rPr>
                <w:rFonts w:hint="eastAsia"/>
                <w:sz w:val="24"/>
                <w:szCs w:val="24"/>
              </w:rPr>
              <w:t>时间以合同签订日期为准，</w:t>
            </w:r>
            <w:r>
              <w:rPr>
                <w:rFonts w:hint="eastAsia" w:ascii="宋体" w:hAnsi="宋体" w:cs="宋体"/>
                <w:sz w:val="24"/>
                <w:szCs w:val="24"/>
              </w:rPr>
              <w:t>需提供中标通知书、合同协议书原件扫描件）。</w:t>
            </w:r>
          </w:p>
          <w:p w14:paraId="4BA1D5EB">
            <w:pPr>
              <w:spacing w:line="320" w:lineRule="exact"/>
              <w:rPr>
                <w:rFonts w:ascii="宋体" w:hAnsi="宋体" w:cs="宋体"/>
                <w:sz w:val="24"/>
                <w:szCs w:val="24"/>
              </w:rPr>
            </w:pPr>
            <w:r>
              <w:rPr>
                <w:rFonts w:hint="eastAsia" w:ascii="宋体" w:hAnsi="宋体" w:cs="宋体"/>
                <w:sz w:val="24"/>
                <w:szCs w:val="24"/>
              </w:rPr>
              <w:t>注：企业与项目经理同一业绩不可重复计算。</w:t>
            </w:r>
          </w:p>
          <w:p w14:paraId="2865C57B">
            <w:pPr>
              <w:rPr>
                <w:sz w:val="24"/>
                <w:szCs w:val="24"/>
              </w:rPr>
            </w:pPr>
            <w:r>
              <w:rPr>
                <w:rFonts w:hint="eastAsia" w:ascii="宋体" w:hAnsi="宋体" w:cs="宋体"/>
                <w:b/>
                <w:bCs/>
                <w:sz w:val="24"/>
              </w:rPr>
              <w:t>不提供、证明资料不齐全的视为不合格。</w:t>
            </w:r>
          </w:p>
        </w:tc>
        <w:tc>
          <w:tcPr>
            <w:tcW w:w="1936" w:type="dxa"/>
            <w:vAlign w:val="center"/>
          </w:tcPr>
          <w:p w14:paraId="54927541">
            <w:pPr>
              <w:spacing w:line="360" w:lineRule="auto"/>
              <w:jc w:val="center"/>
              <w:rPr>
                <w:rFonts w:asciiTheme="minorEastAsia" w:hAnsiTheme="minorEastAsia" w:eastAsiaTheme="minorEastAsia" w:cstheme="minorEastAsia"/>
                <w:sz w:val="24"/>
                <w:szCs w:val="24"/>
              </w:rPr>
            </w:pPr>
          </w:p>
        </w:tc>
      </w:tr>
      <w:tr w14:paraId="6105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49" w:type="dxa"/>
            <w:vAlign w:val="center"/>
          </w:tcPr>
          <w:p w14:paraId="56F208B2">
            <w:pPr>
              <w:rPr>
                <w:sz w:val="24"/>
                <w:szCs w:val="24"/>
              </w:rPr>
            </w:pPr>
            <w:r>
              <w:rPr>
                <w:rFonts w:hint="eastAsia"/>
                <w:sz w:val="24"/>
                <w:szCs w:val="24"/>
              </w:rPr>
              <w:t>3</w:t>
            </w:r>
          </w:p>
        </w:tc>
        <w:tc>
          <w:tcPr>
            <w:tcW w:w="1474" w:type="dxa"/>
            <w:shd w:val="clear" w:color="auto" w:fill="auto"/>
            <w:vAlign w:val="center"/>
          </w:tcPr>
          <w:p w14:paraId="2115DFB5">
            <w:pPr>
              <w:rPr>
                <w:sz w:val="24"/>
                <w:szCs w:val="24"/>
              </w:rPr>
            </w:pPr>
            <w:r>
              <w:rPr>
                <w:rFonts w:hint="eastAsia"/>
                <w:sz w:val="24"/>
                <w:szCs w:val="24"/>
              </w:rPr>
              <w:t>履职尽责承诺</w:t>
            </w:r>
          </w:p>
        </w:tc>
        <w:tc>
          <w:tcPr>
            <w:tcW w:w="5033" w:type="dxa"/>
            <w:shd w:val="clear" w:color="auto" w:fill="auto"/>
            <w:vAlign w:val="center"/>
          </w:tcPr>
          <w:p w14:paraId="5C0657B3">
            <w:pPr>
              <w:spacing w:line="320" w:lineRule="exact"/>
              <w:rPr>
                <w:sz w:val="24"/>
                <w:szCs w:val="24"/>
              </w:rPr>
            </w:pPr>
            <w:r>
              <w:rPr>
                <w:rFonts w:hint="eastAsia"/>
                <w:sz w:val="24"/>
                <w:szCs w:val="24"/>
              </w:rPr>
              <w:t>具有全面、详实、可行、合法有效的书面保证技术措施落实到位的承诺和落实不到位的处理承诺，及在岗、更换等履职尽责承诺（投标文件需附相关承诺书）</w:t>
            </w:r>
          </w:p>
          <w:p w14:paraId="10BF3326">
            <w:pPr>
              <w:rPr>
                <w:sz w:val="24"/>
                <w:szCs w:val="24"/>
              </w:rPr>
            </w:pPr>
            <w:r>
              <w:rPr>
                <w:rFonts w:hint="eastAsia" w:ascii="宋体" w:hAnsi="宋体" w:cs="宋体"/>
                <w:b/>
                <w:bCs/>
                <w:sz w:val="24"/>
              </w:rPr>
              <w:t>未提供承诺或承诺无实质响应内容的视为不合格。</w:t>
            </w:r>
          </w:p>
        </w:tc>
        <w:tc>
          <w:tcPr>
            <w:tcW w:w="1936" w:type="dxa"/>
            <w:vAlign w:val="center"/>
          </w:tcPr>
          <w:p w14:paraId="5A231FF9">
            <w:pPr>
              <w:spacing w:line="360" w:lineRule="auto"/>
              <w:jc w:val="center"/>
              <w:rPr>
                <w:rFonts w:asciiTheme="minorEastAsia" w:hAnsiTheme="minorEastAsia" w:eastAsiaTheme="minorEastAsia" w:cstheme="minorEastAsia"/>
                <w:sz w:val="24"/>
                <w:szCs w:val="24"/>
              </w:rPr>
            </w:pPr>
          </w:p>
        </w:tc>
      </w:tr>
      <w:tr w14:paraId="05ED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749" w:type="dxa"/>
            <w:vAlign w:val="center"/>
          </w:tcPr>
          <w:p w14:paraId="0D4C133D">
            <w:pPr>
              <w:rPr>
                <w:sz w:val="24"/>
                <w:szCs w:val="24"/>
              </w:rPr>
            </w:pPr>
            <w:r>
              <w:rPr>
                <w:rFonts w:hint="eastAsia"/>
                <w:sz w:val="24"/>
                <w:szCs w:val="24"/>
              </w:rPr>
              <w:t>4</w:t>
            </w:r>
          </w:p>
        </w:tc>
        <w:tc>
          <w:tcPr>
            <w:tcW w:w="1474" w:type="dxa"/>
            <w:shd w:val="clear" w:color="auto" w:fill="auto"/>
            <w:vAlign w:val="center"/>
          </w:tcPr>
          <w:p w14:paraId="14A76C80">
            <w:pPr>
              <w:rPr>
                <w:sz w:val="24"/>
                <w:szCs w:val="24"/>
              </w:rPr>
            </w:pPr>
            <w:r>
              <w:rPr>
                <w:rFonts w:hint="eastAsia" w:ascii="宋体" w:hAnsi="宋体"/>
                <w:sz w:val="24"/>
                <w:szCs w:val="24"/>
              </w:rPr>
              <w:t>工程保修服务承诺</w:t>
            </w:r>
          </w:p>
        </w:tc>
        <w:tc>
          <w:tcPr>
            <w:tcW w:w="5033" w:type="dxa"/>
            <w:shd w:val="clear" w:color="auto" w:fill="auto"/>
            <w:vAlign w:val="center"/>
          </w:tcPr>
          <w:p w14:paraId="735FCF9E">
            <w:pPr>
              <w:spacing w:line="320" w:lineRule="exact"/>
              <w:rPr>
                <w:sz w:val="24"/>
                <w:szCs w:val="24"/>
              </w:rPr>
            </w:pPr>
            <w:r>
              <w:rPr>
                <w:rFonts w:hint="eastAsia" w:ascii="宋体" w:hAnsi="宋体"/>
                <w:sz w:val="24"/>
                <w:szCs w:val="24"/>
              </w:rPr>
              <w:t>保修流程及措施、维修响应时间、联系人、联系方式及其他相关保修承诺。</w:t>
            </w:r>
            <w:r>
              <w:rPr>
                <w:rFonts w:hint="eastAsia"/>
                <w:sz w:val="24"/>
                <w:szCs w:val="24"/>
              </w:rPr>
              <w:t>（投标文件需附相关承诺书）</w:t>
            </w:r>
          </w:p>
          <w:p w14:paraId="5B1FA00A">
            <w:r>
              <w:rPr>
                <w:rFonts w:hint="eastAsia" w:ascii="宋体" w:hAnsi="宋体" w:cs="宋体"/>
                <w:b/>
                <w:bCs/>
                <w:sz w:val="24"/>
              </w:rPr>
              <w:t xml:space="preserve">未提供承诺或承诺无实质响应内容的视为不合格。 </w:t>
            </w:r>
          </w:p>
        </w:tc>
        <w:tc>
          <w:tcPr>
            <w:tcW w:w="1936" w:type="dxa"/>
            <w:vAlign w:val="center"/>
          </w:tcPr>
          <w:p w14:paraId="672BAF93">
            <w:pPr>
              <w:spacing w:line="360" w:lineRule="auto"/>
              <w:jc w:val="center"/>
              <w:rPr>
                <w:rFonts w:asciiTheme="minorEastAsia" w:hAnsiTheme="minorEastAsia" w:eastAsiaTheme="minorEastAsia" w:cstheme="minorEastAsia"/>
                <w:sz w:val="24"/>
                <w:szCs w:val="24"/>
              </w:rPr>
            </w:pPr>
          </w:p>
        </w:tc>
      </w:tr>
      <w:tr w14:paraId="567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jc w:val="center"/>
        </w:trPr>
        <w:tc>
          <w:tcPr>
            <w:tcW w:w="749" w:type="dxa"/>
            <w:vAlign w:val="center"/>
          </w:tcPr>
          <w:p w14:paraId="1E69F88B">
            <w:pPr>
              <w:rPr>
                <w:sz w:val="24"/>
                <w:szCs w:val="24"/>
              </w:rPr>
            </w:pPr>
            <w:r>
              <w:rPr>
                <w:rFonts w:hint="eastAsia"/>
                <w:sz w:val="24"/>
                <w:szCs w:val="24"/>
              </w:rPr>
              <w:t>5</w:t>
            </w:r>
          </w:p>
        </w:tc>
        <w:tc>
          <w:tcPr>
            <w:tcW w:w="1474" w:type="dxa"/>
            <w:shd w:val="clear" w:color="auto" w:fill="auto"/>
            <w:vAlign w:val="center"/>
          </w:tcPr>
          <w:p w14:paraId="6F705BEF">
            <w:pPr>
              <w:rPr>
                <w:sz w:val="24"/>
                <w:szCs w:val="24"/>
              </w:rPr>
            </w:pPr>
            <w:r>
              <w:rPr>
                <w:rFonts w:hint="eastAsia"/>
                <w:sz w:val="24"/>
                <w:szCs w:val="24"/>
              </w:rPr>
              <w:t>服务承诺</w:t>
            </w:r>
          </w:p>
        </w:tc>
        <w:tc>
          <w:tcPr>
            <w:tcW w:w="5033" w:type="dxa"/>
            <w:shd w:val="clear" w:color="auto" w:fill="auto"/>
            <w:vAlign w:val="center"/>
          </w:tcPr>
          <w:p w14:paraId="73520F72">
            <w:pPr>
              <w:pStyle w:val="9"/>
              <w:adjustRightInd/>
              <w:spacing w:line="320" w:lineRule="exact"/>
              <w:rPr>
                <w:rFonts w:hAnsi="宋体"/>
                <w:color w:val="auto"/>
              </w:rPr>
            </w:pPr>
            <w:r>
              <w:rPr>
                <w:rFonts w:hint="eastAsia" w:hAnsi="宋体"/>
                <w:color w:val="auto"/>
              </w:rPr>
              <w:t>(1)有按时完工，连续施工承诺；</w:t>
            </w:r>
          </w:p>
          <w:p w14:paraId="38EB2790">
            <w:pPr>
              <w:pStyle w:val="9"/>
              <w:adjustRightInd/>
              <w:spacing w:line="320" w:lineRule="exact"/>
              <w:rPr>
                <w:rFonts w:hAnsi="宋体"/>
                <w:color w:val="auto"/>
              </w:rPr>
            </w:pPr>
            <w:r>
              <w:rPr>
                <w:rFonts w:hint="eastAsia" w:hAnsi="宋体"/>
                <w:color w:val="auto"/>
              </w:rPr>
              <w:t>(2)有施工期间不更换项目经理承诺；</w:t>
            </w:r>
          </w:p>
          <w:p w14:paraId="3415EF65">
            <w:pPr>
              <w:spacing w:line="320" w:lineRule="exact"/>
              <w:rPr>
                <w:rFonts w:ascii="宋体" w:hAnsi="宋体" w:cs="宋体"/>
                <w:sz w:val="24"/>
                <w:szCs w:val="24"/>
              </w:rPr>
            </w:pPr>
            <w:r>
              <w:rPr>
                <w:rFonts w:hint="eastAsia" w:ascii="宋体" w:hAnsi="宋体" w:cs="宋体"/>
                <w:sz w:val="24"/>
                <w:szCs w:val="24"/>
              </w:rPr>
              <w:t>(3)有协调周边关系、资金、技术、机械设备投入等方面的服务承诺；</w:t>
            </w:r>
          </w:p>
          <w:p w14:paraId="0F5F2F75">
            <w:pPr>
              <w:spacing w:line="320" w:lineRule="exact"/>
              <w:rPr>
                <w:rFonts w:ascii="宋体" w:hAnsi="宋体" w:cs="宋体"/>
                <w:sz w:val="24"/>
                <w:szCs w:val="24"/>
              </w:rPr>
            </w:pPr>
            <w:r>
              <w:rPr>
                <w:rFonts w:hint="eastAsia" w:ascii="宋体" w:hAnsi="宋体" w:cs="宋体"/>
                <w:sz w:val="24"/>
                <w:szCs w:val="24"/>
              </w:rPr>
              <w:t>(4)有针对施工期间加强安全防护、保证不发生各种安全事故并承担由此发生的费用的承诺；</w:t>
            </w:r>
          </w:p>
          <w:p w14:paraId="0E57AD67">
            <w:pPr>
              <w:spacing w:line="320" w:lineRule="exact"/>
              <w:rPr>
                <w:rFonts w:ascii="宋体" w:hAnsi="宋体" w:cs="宋体"/>
                <w:sz w:val="24"/>
                <w:szCs w:val="24"/>
              </w:rPr>
            </w:pPr>
            <w:r>
              <w:rPr>
                <w:rFonts w:hint="eastAsia" w:ascii="宋体" w:hAnsi="宋体" w:cs="宋体"/>
                <w:sz w:val="24"/>
                <w:szCs w:val="24"/>
              </w:rPr>
              <w:t>(5)有项目经理每周在施工现场的时间承诺；</w:t>
            </w:r>
          </w:p>
          <w:p w14:paraId="39B915BC">
            <w:pPr>
              <w:spacing w:line="320" w:lineRule="exact"/>
              <w:rPr>
                <w:rFonts w:ascii="宋体" w:hAnsi="宋体" w:cs="宋体"/>
                <w:sz w:val="24"/>
                <w:szCs w:val="24"/>
              </w:rPr>
            </w:pPr>
            <w:r>
              <w:rPr>
                <w:rFonts w:hint="eastAsia" w:ascii="宋体" w:hAnsi="宋体" w:cs="宋体"/>
                <w:sz w:val="24"/>
                <w:szCs w:val="24"/>
              </w:rPr>
              <w:t>(6)有工程质量保修期内、保修期外等方面具有详细的服务承诺及技术措施。</w:t>
            </w:r>
          </w:p>
          <w:p w14:paraId="33019596">
            <w:pPr>
              <w:rPr>
                <w:sz w:val="24"/>
                <w:szCs w:val="24"/>
              </w:rPr>
            </w:pPr>
            <w:r>
              <w:rPr>
                <w:rFonts w:hint="eastAsia" w:ascii="宋体" w:hAnsi="宋体" w:cs="宋体"/>
                <w:b/>
                <w:bCs/>
                <w:sz w:val="24"/>
              </w:rPr>
              <w:t>注：以上承诺未做出响应的视为不合格。</w:t>
            </w:r>
          </w:p>
        </w:tc>
        <w:tc>
          <w:tcPr>
            <w:tcW w:w="1936" w:type="dxa"/>
            <w:vAlign w:val="center"/>
          </w:tcPr>
          <w:p w14:paraId="28FCAC43">
            <w:pPr>
              <w:spacing w:line="360" w:lineRule="auto"/>
              <w:jc w:val="center"/>
              <w:rPr>
                <w:rFonts w:asciiTheme="minorEastAsia" w:hAnsiTheme="minorEastAsia" w:eastAsiaTheme="minorEastAsia" w:cstheme="minorEastAsia"/>
                <w:sz w:val="24"/>
                <w:szCs w:val="24"/>
              </w:rPr>
            </w:pPr>
          </w:p>
        </w:tc>
      </w:tr>
      <w:tr w14:paraId="4A61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192" w:type="dxa"/>
            <w:gridSpan w:val="4"/>
            <w:shd w:val="clear" w:color="auto" w:fill="auto"/>
            <w:vAlign w:val="center"/>
          </w:tcPr>
          <w:p w14:paraId="5392567B">
            <w:pPr>
              <w:spacing w:line="360" w:lineRule="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备注：需按要求提供相应资料。</w:t>
            </w:r>
          </w:p>
          <w:p w14:paraId="53BA3487">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以上评审标准有一项不合格视为整个综合标不合格。</w:t>
            </w:r>
          </w:p>
        </w:tc>
      </w:tr>
    </w:tbl>
    <w:p w14:paraId="6F8F4F0A">
      <w:pPr>
        <w:kinsoku w:val="0"/>
        <w:wordWrap w:val="0"/>
        <w:spacing w:line="360" w:lineRule="auto"/>
        <w:jc w:val="center"/>
        <w:textAlignment w:val="baseline"/>
        <w:rPr>
          <w:rFonts w:asciiTheme="minorEastAsia" w:hAnsiTheme="minorEastAsia" w:eastAsiaTheme="minorEastAsia" w:cstheme="minorEastAsia"/>
          <w:sz w:val="24"/>
          <w:szCs w:val="24"/>
        </w:rPr>
      </w:pPr>
    </w:p>
    <w:p w14:paraId="0F205292">
      <w:pPr>
        <w:kinsoku w:val="0"/>
        <w:wordWrap w:val="0"/>
        <w:spacing w:line="360" w:lineRule="auto"/>
        <w:jc w:val="left"/>
        <w:textAlignment w:val="baseline"/>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p w14:paraId="5EA96809">
      <w:pPr>
        <w:kinsoku w:val="0"/>
        <w:wordWrap w:val="0"/>
        <w:spacing w:line="360" w:lineRule="auto"/>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（1）本表适用于专家独立评审使用；</w:t>
      </w:r>
    </w:p>
    <w:p w14:paraId="7A34B602">
      <w:pPr>
        <w:kinsoku w:val="0"/>
        <w:wordWrap w:val="0"/>
        <w:spacing w:line="360" w:lineRule="auto"/>
        <w:jc w:val="left"/>
        <w:textAlignment w:val="baseline"/>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（2）专家可指出各评审项的优点、存在缺陷或签订合同前应注意和澄清事项；</w:t>
      </w:r>
    </w:p>
    <w:p w14:paraId="12613DC5">
      <w:pPr>
        <w:kinsoku w:val="0"/>
        <w:wordWrap w:val="0"/>
        <w:spacing w:line="360" w:lineRule="auto"/>
        <w:jc w:val="left"/>
        <w:textAlignment w:val="baseline"/>
      </w:pPr>
      <w:r>
        <w:rPr>
          <w:rFonts w:hint="eastAsia" w:asciiTheme="minorEastAsia" w:hAnsiTheme="minorEastAsia" w:eastAsiaTheme="minorEastAsia" w:cstheme="minorEastAsia"/>
          <w:sz w:val="24"/>
          <w:szCs w:val="24"/>
        </w:rPr>
        <w:t>（3）综合标仅分为合格或不合格两个等级。</w:t>
      </w:r>
      <w:r>
        <w:rPr>
          <w:rFonts w:hint="eastAsia" w:ascii="宋体" w:hAnsi="宋体" w:cs="宋体"/>
          <w:b/>
          <w:bCs/>
          <w:sz w:val="24"/>
          <w:szCs w:val="24"/>
        </w:rPr>
        <w:t>因交易中心系统设置原因，技术标需要打分，统一设置5分为合格，0分为不合格。</w:t>
      </w:r>
    </w:p>
    <w:p w14:paraId="179F9E85">
      <w:pPr>
        <w:rPr>
          <w:rFonts w:ascii="Verdana" w:hAnsi="Verdana"/>
          <w:b/>
          <w:bCs/>
          <w:kern w:val="0"/>
          <w:sz w:val="28"/>
          <w:szCs w:val="28"/>
        </w:rPr>
      </w:pPr>
      <w:r>
        <w:rPr>
          <w:rFonts w:hint="eastAsia" w:ascii="Verdana" w:hAnsi="Verdana"/>
          <w:b/>
          <w:bCs/>
          <w:kern w:val="0"/>
          <w:sz w:val="28"/>
          <w:szCs w:val="28"/>
        </w:rPr>
        <w:br w:type="page"/>
      </w:r>
    </w:p>
    <w:p w14:paraId="2DC5EE1B">
      <w:pPr>
        <w:pStyle w:val="3"/>
        <w:wordWrap w:val="0"/>
        <w:jc w:val="center"/>
        <w:rPr>
          <w:kern w:val="2"/>
          <w:szCs w:val="22"/>
        </w:rPr>
      </w:pPr>
      <w:r>
        <w:rPr>
          <w:rFonts w:hint="eastAsia" w:ascii="Verdana" w:hAnsi="Verdana"/>
          <w:sz w:val="28"/>
          <w:szCs w:val="28"/>
        </w:rPr>
        <w:t>（四）商务标（投标报价）评审标准</w:t>
      </w:r>
    </w:p>
    <w:tbl>
      <w:tblPr>
        <w:tblStyle w:val="20"/>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569"/>
        <w:gridCol w:w="5221"/>
        <w:gridCol w:w="1748"/>
      </w:tblGrid>
      <w:tr w14:paraId="72EA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vAlign w:val="center"/>
          </w:tcPr>
          <w:p w14:paraId="3801E9DA">
            <w:pPr>
              <w:wordWrap w:val="0"/>
              <w:spacing w:line="360" w:lineRule="auto"/>
              <w:jc w:val="center"/>
              <w:rPr>
                <w:rFonts w:ascii="宋体" w:hAnsi="宋体" w:cs="宋体"/>
                <w:b/>
                <w:szCs w:val="21"/>
              </w:rPr>
            </w:pPr>
            <w:r>
              <w:rPr>
                <w:rFonts w:hint="eastAsia" w:ascii="宋体" w:hAnsi="宋体" w:cs="宋体"/>
                <w:b/>
                <w:szCs w:val="21"/>
              </w:rPr>
              <w:t>序号</w:t>
            </w:r>
          </w:p>
        </w:tc>
        <w:tc>
          <w:tcPr>
            <w:tcW w:w="1569" w:type="dxa"/>
            <w:vAlign w:val="center"/>
          </w:tcPr>
          <w:p w14:paraId="146B48E9">
            <w:pPr>
              <w:wordWrap w:val="0"/>
              <w:spacing w:line="360" w:lineRule="auto"/>
              <w:jc w:val="center"/>
              <w:rPr>
                <w:rFonts w:ascii="宋体" w:hAnsi="宋体" w:cs="宋体"/>
                <w:b/>
                <w:szCs w:val="21"/>
              </w:rPr>
            </w:pPr>
            <w:r>
              <w:rPr>
                <w:rFonts w:hint="eastAsia" w:ascii="宋体" w:hAnsi="宋体" w:cs="宋体"/>
                <w:b/>
                <w:szCs w:val="21"/>
              </w:rPr>
              <w:t>评审项目</w:t>
            </w:r>
          </w:p>
        </w:tc>
        <w:tc>
          <w:tcPr>
            <w:tcW w:w="5221" w:type="dxa"/>
            <w:vAlign w:val="center"/>
          </w:tcPr>
          <w:p w14:paraId="245CD731">
            <w:pPr>
              <w:wordWrap w:val="0"/>
              <w:spacing w:line="360" w:lineRule="auto"/>
              <w:jc w:val="center"/>
              <w:rPr>
                <w:rFonts w:ascii="宋体" w:hAnsi="宋体" w:cs="宋体"/>
                <w:b/>
                <w:szCs w:val="21"/>
              </w:rPr>
            </w:pPr>
            <w:r>
              <w:rPr>
                <w:rFonts w:hint="eastAsia" w:ascii="宋体" w:hAnsi="宋体" w:cs="宋体"/>
                <w:b/>
                <w:szCs w:val="21"/>
              </w:rPr>
              <w:t>评审内容</w:t>
            </w:r>
          </w:p>
        </w:tc>
        <w:tc>
          <w:tcPr>
            <w:tcW w:w="1748" w:type="dxa"/>
            <w:vAlign w:val="center"/>
          </w:tcPr>
          <w:p w14:paraId="3A11AC55">
            <w:pPr>
              <w:wordWrap w:val="0"/>
              <w:spacing w:line="360" w:lineRule="auto"/>
              <w:jc w:val="center"/>
              <w:rPr>
                <w:rFonts w:ascii="宋体" w:hAnsi="宋体" w:cs="宋体"/>
                <w:b/>
                <w:szCs w:val="21"/>
              </w:rPr>
            </w:pPr>
            <w:r>
              <w:rPr>
                <w:rFonts w:hint="eastAsia" w:ascii="宋体" w:hAnsi="宋体" w:cs="宋体"/>
                <w:b/>
                <w:szCs w:val="21"/>
              </w:rPr>
              <w:t>综合评价等级</w:t>
            </w:r>
          </w:p>
          <w:p w14:paraId="44EDEB3B">
            <w:pPr>
              <w:wordWrap w:val="0"/>
              <w:spacing w:line="360" w:lineRule="auto"/>
              <w:jc w:val="center"/>
              <w:rPr>
                <w:rFonts w:ascii="宋体" w:hAnsi="宋体" w:cs="宋体"/>
                <w:b/>
                <w:szCs w:val="21"/>
              </w:rPr>
            </w:pPr>
            <w:r>
              <w:rPr>
                <w:rFonts w:hint="eastAsia" w:ascii="宋体" w:hAnsi="宋体" w:cs="宋体"/>
                <w:b/>
                <w:szCs w:val="21"/>
              </w:rPr>
              <w:t>（合格/不合格）</w:t>
            </w:r>
          </w:p>
        </w:tc>
      </w:tr>
      <w:tr w14:paraId="1D73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vAlign w:val="center"/>
          </w:tcPr>
          <w:p w14:paraId="48B9B1D1">
            <w:pPr>
              <w:wordWrap w:val="0"/>
              <w:spacing w:line="460" w:lineRule="exact"/>
              <w:ind w:firstLine="480" w:firstLineChars="200"/>
              <w:rPr>
                <w:rFonts w:ascii="宋体" w:hAnsi="宋体" w:cs="宋体"/>
                <w:sz w:val="24"/>
              </w:rPr>
            </w:pPr>
            <w:r>
              <w:rPr>
                <w:rFonts w:hint="eastAsia" w:ascii="宋体" w:hAnsi="宋体" w:cs="宋体"/>
                <w:sz w:val="24"/>
              </w:rPr>
              <w:t>1</w:t>
            </w:r>
          </w:p>
        </w:tc>
        <w:tc>
          <w:tcPr>
            <w:tcW w:w="1569" w:type="dxa"/>
            <w:vAlign w:val="center"/>
          </w:tcPr>
          <w:p w14:paraId="2F691ABB">
            <w:pPr>
              <w:wordWrap w:val="0"/>
              <w:spacing w:line="460" w:lineRule="exact"/>
              <w:rPr>
                <w:rFonts w:ascii="宋体" w:hAnsi="宋体" w:cs="宋体"/>
                <w:sz w:val="24"/>
              </w:rPr>
            </w:pPr>
            <w:r>
              <w:rPr>
                <w:rFonts w:hint="eastAsia" w:ascii="宋体" w:hAnsi="宋体" w:cs="宋体"/>
                <w:sz w:val="24"/>
              </w:rPr>
              <w:t>投标报价</w:t>
            </w:r>
          </w:p>
        </w:tc>
        <w:tc>
          <w:tcPr>
            <w:tcW w:w="5221" w:type="dxa"/>
            <w:vAlign w:val="center"/>
          </w:tcPr>
          <w:p w14:paraId="4FDEC75D">
            <w:pPr>
              <w:wordWrap w:val="0"/>
              <w:spacing w:line="460" w:lineRule="exact"/>
              <w:rPr>
                <w:rFonts w:ascii="宋体" w:hAnsi="宋体" w:cs="宋体"/>
                <w:sz w:val="24"/>
              </w:rPr>
            </w:pPr>
            <w:r>
              <w:rPr>
                <w:rFonts w:hint="eastAsia" w:ascii="宋体" w:hAnsi="宋体" w:cs="宋体"/>
                <w:sz w:val="24"/>
              </w:rPr>
              <w:t>投标人的投标报价不能超出招标控制价；符合第六章“工程量清单”给出的范围及数量，投标人不得擅自修改工程量清单的工程项目和数量。</w:t>
            </w:r>
          </w:p>
          <w:p w14:paraId="297D2325">
            <w:pPr>
              <w:wordWrap w:val="0"/>
              <w:spacing w:line="460" w:lineRule="exact"/>
              <w:rPr>
                <w:rFonts w:ascii="宋体" w:hAnsi="宋体" w:cs="宋体"/>
                <w:sz w:val="24"/>
              </w:rPr>
            </w:pPr>
            <w:r>
              <w:rPr>
                <w:rFonts w:hint="eastAsia" w:ascii="宋体" w:hAnsi="宋体" w:cs="宋体"/>
                <w:sz w:val="24"/>
              </w:rPr>
              <w:t>否则不合格。</w:t>
            </w:r>
          </w:p>
        </w:tc>
        <w:tc>
          <w:tcPr>
            <w:tcW w:w="1748" w:type="dxa"/>
            <w:vAlign w:val="center"/>
          </w:tcPr>
          <w:p w14:paraId="6650A1B7">
            <w:pPr>
              <w:wordWrap w:val="0"/>
              <w:spacing w:line="460" w:lineRule="exact"/>
              <w:ind w:firstLine="480" w:firstLineChars="200"/>
              <w:rPr>
                <w:rFonts w:ascii="宋体" w:hAnsi="宋体" w:cs="宋体"/>
                <w:sz w:val="24"/>
              </w:rPr>
            </w:pPr>
          </w:p>
        </w:tc>
      </w:tr>
      <w:tr w14:paraId="41CD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429" w:type="dxa"/>
            <w:gridSpan w:val="4"/>
            <w:vAlign w:val="center"/>
          </w:tcPr>
          <w:p w14:paraId="2D705779">
            <w:pPr>
              <w:wordWrap w:val="0"/>
              <w:spacing w:line="360" w:lineRule="auto"/>
              <w:rPr>
                <w:rFonts w:ascii="宋体" w:hAnsi="宋体" w:cs="宋体"/>
                <w:b/>
                <w:bCs/>
                <w:szCs w:val="21"/>
              </w:rPr>
            </w:pPr>
            <w:r>
              <w:rPr>
                <w:rFonts w:hint="eastAsia" w:ascii="宋体" w:hAnsi="宋体" w:cs="宋体"/>
                <w:b/>
                <w:bCs/>
                <w:szCs w:val="21"/>
              </w:rPr>
              <w:t>备注：</w:t>
            </w:r>
          </w:p>
          <w:p w14:paraId="27999748">
            <w:pPr>
              <w:wordWrap w:val="0"/>
              <w:spacing w:line="360" w:lineRule="auto"/>
              <w:rPr>
                <w:rFonts w:ascii="宋体" w:hAnsi="宋体" w:cs="宋体"/>
                <w:szCs w:val="21"/>
              </w:rPr>
            </w:pPr>
            <w:r>
              <w:rPr>
                <w:rFonts w:hint="eastAsia" w:ascii="宋体" w:hAnsi="宋体" w:cs="宋体"/>
                <w:b/>
                <w:bCs/>
                <w:szCs w:val="21"/>
              </w:rPr>
              <w:t>以上评审标准有一项不合格视为整个综合标不合格。</w:t>
            </w:r>
          </w:p>
        </w:tc>
      </w:tr>
    </w:tbl>
    <w:p w14:paraId="0B73F47C">
      <w:pPr>
        <w:wordWrap w:val="0"/>
        <w:rPr>
          <w:vanish/>
        </w:rPr>
      </w:pPr>
    </w:p>
    <w:p w14:paraId="278F7514">
      <w:pPr>
        <w:pStyle w:val="9"/>
        <w:wordWrap w:val="0"/>
        <w:rPr>
          <w:rFonts w:hAnsi="宋体"/>
          <w:b/>
          <w:bCs/>
        </w:rPr>
      </w:pPr>
      <w:r>
        <w:rPr>
          <w:rFonts w:hint="eastAsia" w:hAnsi="宋体"/>
          <w:b/>
          <w:bCs/>
        </w:rPr>
        <w:t>备注：</w:t>
      </w:r>
    </w:p>
    <w:p w14:paraId="3A6B40ED">
      <w:pPr>
        <w:wordWrap w:val="0"/>
        <w:spacing w:line="360" w:lineRule="auto"/>
        <w:ind w:firstLine="720" w:firstLineChars="3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（1）本表适用于专家独立评审使用；</w:t>
      </w:r>
    </w:p>
    <w:p w14:paraId="6993230B">
      <w:pPr>
        <w:wordWrap w:val="0"/>
        <w:spacing w:line="360" w:lineRule="auto"/>
        <w:ind w:firstLine="720" w:firstLineChars="300"/>
        <w:jc w:val="left"/>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（2）专家应指出各评审项的优点、存在缺陷或签订合同前应注意和澄清事项；</w:t>
      </w:r>
    </w:p>
    <w:p w14:paraId="48FCDE13">
      <w:pPr>
        <w:wordWrap w:val="0"/>
        <w:spacing w:line="360" w:lineRule="auto"/>
        <w:ind w:firstLine="720" w:firstLineChars="300"/>
        <w:jc w:val="left"/>
        <w:textAlignment w:val="baseline"/>
      </w:pPr>
      <w:r>
        <w:rPr>
          <w:rFonts w:hint="eastAsia" w:ascii="宋体" w:hAnsi="宋体" w:cs="宋体"/>
          <w:color w:val="000000" w:themeColor="text1"/>
          <w:sz w:val="24"/>
          <w:szCs w:val="24"/>
          <w14:textFill>
            <w14:solidFill>
              <w14:schemeClr w14:val="tx1"/>
            </w14:solidFill>
          </w14:textFill>
        </w:rPr>
        <w:t>（3）综合评价等级仅分为合格或不合格两个等级。</w:t>
      </w:r>
      <w:r>
        <w:rPr>
          <w:rFonts w:hint="eastAsia" w:ascii="宋体" w:hAnsi="宋体" w:cs="宋体"/>
          <w:b/>
          <w:bCs/>
          <w:color w:val="000000" w:themeColor="text1"/>
          <w:sz w:val="24"/>
          <w:szCs w:val="24"/>
          <w14:textFill>
            <w14:solidFill>
              <w14:schemeClr w14:val="tx1"/>
            </w14:solidFill>
          </w14:textFill>
        </w:rPr>
        <w:t>因交易中心系统设置原因，商务标（投标报价）需要打分，统一设置5分为合格，0分为不合格。</w:t>
      </w:r>
    </w:p>
    <w:p w14:paraId="261FED01">
      <w:r>
        <w:rPr>
          <w:rFonts w:hint="eastAsia"/>
        </w:rPr>
        <w:br w:type="page"/>
      </w:r>
    </w:p>
    <w:p w14:paraId="711F78D6">
      <w:pPr>
        <w:pStyle w:val="4"/>
        <w:spacing w:line="460" w:lineRule="exact"/>
        <w:rPr>
          <w:sz w:val="24"/>
          <w:szCs w:val="24"/>
        </w:rPr>
      </w:pPr>
      <w:r>
        <w:rPr>
          <w:rFonts w:hint="eastAsia"/>
          <w:sz w:val="24"/>
          <w:szCs w:val="24"/>
        </w:rPr>
        <w:t>1. 评标方法</w:t>
      </w:r>
    </w:p>
    <w:p w14:paraId="5205D3C3">
      <w:pPr>
        <w:spacing w:line="500" w:lineRule="exact"/>
        <w:rPr>
          <w:rFonts w:ascii="宋体" w:hAnsi="宋体" w:cs="宋体"/>
          <w:sz w:val="24"/>
          <w:szCs w:val="24"/>
        </w:rPr>
      </w:pPr>
      <w:bookmarkStart w:id="342" w:name="_Toc234382665"/>
      <w:r>
        <w:rPr>
          <w:rFonts w:hint="eastAsia" w:ascii="宋体" w:hAnsi="宋体" w:cs="宋体"/>
          <w:sz w:val="24"/>
          <w:szCs w:val="24"/>
        </w:rPr>
        <w:t>1.1 合格制评审</w:t>
      </w:r>
    </w:p>
    <w:p w14:paraId="324CC654">
      <w:pPr>
        <w:spacing w:line="500" w:lineRule="exact"/>
        <w:ind w:firstLine="480" w:firstLineChars="200"/>
        <w:rPr>
          <w:rFonts w:ascii="宋体" w:hAnsi="宋体" w:cs="宋体"/>
          <w:sz w:val="24"/>
        </w:rPr>
      </w:pPr>
      <w:r>
        <w:rPr>
          <w:rFonts w:hint="eastAsia" w:ascii="宋体" w:hAnsi="宋体" w:cs="宋体"/>
          <w:sz w:val="24"/>
          <w:szCs w:val="24"/>
        </w:rPr>
        <w:t>评标委员会按照招标文件确定的评标标准和方法，客观、公正地对投标文件（技术标及综合标）进行评审和比较，评标方法使用合格制评审，并指出各投标文件中的优点和存在的缺陷等，不对投标文件进行打分，不直接确定中标人，仅向招标人推送一定数量且不排序的合格中标候选人名单。</w:t>
      </w:r>
    </w:p>
    <w:p w14:paraId="6728488C">
      <w:pPr>
        <w:pStyle w:val="4"/>
        <w:spacing w:line="460" w:lineRule="exact"/>
        <w:rPr>
          <w:sz w:val="24"/>
          <w:szCs w:val="24"/>
        </w:rPr>
      </w:pPr>
      <w:r>
        <w:rPr>
          <w:rFonts w:hint="eastAsia"/>
          <w:sz w:val="24"/>
          <w:szCs w:val="24"/>
        </w:rPr>
        <w:t>2. 评审标准</w:t>
      </w:r>
      <w:bookmarkEnd w:id="342"/>
    </w:p>
    <w:p w14:paraId="49BC6452">
      <w:pPr>
        <w:spacing w:line="460" w:lineRule="exact"/>
        <w:ind w:firstLine="480" w:firstLineChars="200"/>
        <w:rPr>
          <w:rFonts w:ascii="宋体" w:hAnsi="宋体"/>
          <w:sz w:val="24"/>
          <w:szCs w:val="24"/>
        </w:rPr>
      </w:pPr>
      <w:bookmarkStart w:id="343" w:name="_Toc234382666"/>
      <w:r>
        <w:rPr>
          <w:rFonts w:hint="eastAsia" w:ascii="宋体" w:hAnsi="宋体"/>
          <w:sz w:val="24"/>
          <w:szCs w:val="24"/>
        </w:rPr>
        <w:t>2.1 初步评审标准</w:t>
      </w:r>
      <w:bookmarkEnd w:id="343"/>
    </w:p>
    <w:p w14:paraId="3E1790ED">
      <w:pPr>
        <w:spacing w:line="460" w:lineRule="exact"/>
        <w:ind w:firstLine="480" w:firstLineChars="200"/>
        <w:rPr>
          <w:rFonts w:ascii="宋体" w:hAnsi="宋体"/>
          <w:sz w:val="24"/>
          <w:szCs w:val="24"/>
        </w:rPr>
      </w:pPr>
      <w:r>
        <w:rPr>
          <w:rFonts w:hint="eastAsia" w:ascii="宋体" w:hAnsi="宋体"/>
          <w:sz w:val="24"/>
          <w:szCs w:val="24"/>
        </w:rPr>
        <w:t>2.1.1 形式评审标准：见评标办法前附表。</w:t>
      </w:r>
    </w:p>
    <w:p w14:paraId="36FDB756">
      <w:pPr>
        <w:spacing w:line="460" w:lineRule="exact"/>
        <w:ind w:firstLine="480" w:firstLineChars="200"/>
        <w:rPr>
          <w:rFonts w:ascii="宋体" w:hAnsi="宋体"/>
          <w:sz w:val="24"/>
          <w:szCs w:val="24"/>
        </w:rPr>
      </w:pPr>
      <w:r>
        <w:rPr>
          <w:rFonts w:hint="eastAsia" w:ascii="宋体" w:hAnsi="宋体"/>
          <w:sz w:val="24"/>
          <w:szCs w:val="24"/>
        </w:rPr>
        <w:t>2.1.2 资格评审标准：见评标办法前附表。</w:t>
      </w:r>
    </w:p>
    <w:p w14:paraId="159D8301">
      <w:pPr>
        <w:spacing w:line="460" w:lineRule="exact"/>
        <w:ind w:firstLine="480" w:firstLineChars="200"/>
        <w:rPr>
          <w:rFonts w:ascii="宋体" w:hAnsi="宋体"/>
          <w:sz w:val="24"/>
          <w:szCs w:val="24"/>
        </w:rPr>
      </w:pPr>
      <w:r>
        <w:rPr>
          <w:rFonts w:hint="eastAsia" w:ascii="宋体" w:hAnsi="宋体"/>
          <w:sz w:val="24"/>
          <w:szCs w:val="24"/>
        </w:rPr>
        <w:t>2.1.3 响应性评审标准：见评标办法前附表。</w:t>
      </w:r>
    </w:p>
    <w:p w14:paraId="512612F1">
      <w:pPr>
        <w:spacing w:line="500" w:lineRule="exact"/>
        <w:ind w:firstLine="480" w:firstLineChars="200"/>
        <w:rPr>
          <w:rFonts w:ascii="宋体" w:hAnsi="宋体" w:cs="宋体"/>
          <w:sz w:val="24"/>
          <w:szCs w:val="24"/>
        </w:rPr>
      </w:pPr>
      <w:bookmarkStart w:id="344" w:name="_Toc234382668"/>
      <w:r>
        <w:rPr>
          <w:rFonts w:hint="eastAsia" w:ascii="宋体" w:hAnsi="宋体" w:cs="宋体"/>
          <w:sz w:val="24"/>
          <w:szCs w:val="24"/>
        </w:rPr>
        <w:t>2.2 定性评审标准</w:t>
      </w:r>
    </w:p>
    <w:p w14:paraId="78DF6C7E">
      <w:pPr>
        <w:spacing w:line="500" w:lineRule="exact"/>
        <w:ind w:firstLine="480" w:firstLineChars="200"/>
        <w:rPr>
          <w:rFonts w:ascii="宋体" w:hAnsi="宋体" w:cs="宋体"/>
          <w:sz w:val="24"/>
          <w:szCs w:val="24"/>
        </w:rPr>
      </w:pPr>
      <w:r>
        <w:rPr>
          <w:rFonts w:hint="eastAsia" w:ascii="宋体" w:hAnsi="宋体" w:cs="宋体"/>
          <w:sz w:val="24"/>
          <w:szCs w:val="24"/>
        </w:rPr>
        <w:t>2.2.1 技术标：见评标办法（二）；</w:t>
      </w:r>
    </w:p>
    <w:p w14:paraId="7B9CECCE">
      <w:pPr>
        <w:spacing w:line="500" w:lineRule="exact"/>
        <w:ind w:firstLine="480" w:firstLineChars="200"/>
        <w:rPr>
          <w:rFonts w:ascii="宋体" w:hAnsi="宋体" w:cs="宋体"/>
          <w:sz w:val="24"/>
          <w:szCs w:val="24"/>
        </w:rPr>
      </w:pPr>
      <w:r>
        <w:rPr>
          <w:rFonts w:hint="eastAsia" w:ascii="宋体" w:hAnsi="宋体" w:cs="宋体"/>
          <w:sz w:val="24"/>
          <w:szCs w:val="24"/>
        </w:rPr>
        <w:t>2.2.2 综合标：见评标办法（三）；</w:t>
      </w:r>
    </w:p>
    <w:p w14:paraId="30366B3A">
      <w:pPr>
        <w:spacing w:line="500" w:lineRule="exact"/>
        <w:ind w:firstLine="480" w:firstLineChars="200"/>
        <w:rPr>
          <w:rFonts w:ascii="宋体" w:hAnsi="宋体" w:cs="宋体"/>
          <w:sz w:val="24"/>
          <w:szCs w:val="24"/>
        </w:rPr>
      </w:pPr>
      <w:r>
        <w:rPr>
          <w:rFonts w:hint="eastAsia" w:ascii="宋体" w:hAnsi="宋体" w:cs="宋体"/>
          <w:sz w:val="24"/>
          <w:szCs w:val="24"/>
        </w:rPr>
        <w:t>2.2.3 商务标：见评标办法（四）；</w:t>
      </w:r>
    </w:p>
    <w:p w14:paraId="203C0A0B">
      <w:pPr>
        <w:pStyle w:val="4"/>
        <w:spacing w:line="460" w:lineRule="exact"/>
        <w:rPr>
          <w:sz w:val="24"/>
          <w:szCs w:val="24"/>
        </w:rPr>
      </w:pPr>
      <w:r>
        <w:rPr>
          <w:rFonts w:hint="eastAsia"/>
          <w:sz w:val="24"/>
          <w:szCs w:val="24"/>
        </w:rPr>
        <w:t>3. 评标程序</w:t>
      </w:r>
      <w:bookmarkEnd w:id="344"/>
    </w:p>
    <w:p w14:paraId="1A080AF2">
      <w:pPr>
        <w:pStyle w:val="4"/>
        <w:spacing w:line="460" w:lineRule="exact"/>
        <w:rPr>
          <w:sz w:val="24"/>
          <w:szCs w:val="24"/>
        </w:rPr>
      </w:pPr>
      <w:bookmarkStart w:id="345" w:name="_Toc26883"/>
      <w:bookmarkStart w:id="346" w:name="_Toc8457"/>
      <w:bookmarkStart w:id="347" w:name="_Toc22519"/>
      <w:bookmarkStart w:id="348" w:name="_Toc8475"/>
      <w:bookmarkStart w:id="349" w:name="_Toc5154"/>
      <w:bookmarkStart w:id="350" w:name="_Toc19247"/>
      <w:bookmarkStart w:id="351" w:name="_Toc3153"/>
      <w:bookmarkStart w:id="352" w:name="_Toc6913"/>
      <w:bookmarkStart w:id="353" w:name="_Toc27875"/>
      <w:r>
        <w:rPr>
          <w:rFonts w:hint="eastAsia"/>
          <w:sz w:val="24"/>
          <w:szCs w:val="24"/>
        </w:rPr>
        <w:t>3.1 第一个信封初步评审</w:t>
      </w:r>
      <w:bookmarkEnd w:id="345"/>
      <w:bookmarkEnd w:id="346"/>
      <w:bookmarkEnd w:id="347"/>
      <w:bookmarkEnd w:id="348"/>
      <w:bookmarkEnd w:id="349"/>
      <w:bookmarkEnd w:id="350"/>
      <w:bookmarkEnd w:id="351"/>
      <w:bookmarkEnd w:id="352"/>
      <w:bookmarkEnd w:id="353"/>
    </w:p>
    <w:p w14:paraId="43895FE1">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3.1.1 评标委员会依据本章第 2.1款项规定的评审标准对投标文件第一个信封（商务及技术文件）进行初步评审。有一项不符合评审标准的，评标委员会应否决其投标。</w:t>
      </w:r>
    </w:p>
    <w:p w14:paraId="749D0F2A">
      <w:pPr>
        <w:pStyle w:val="4"/>
        <w:spacing w:line="460" w:lineRule="exact"/>
        <w:rPr>
          <w:sz w:val="24"/>
          <w:szCs w:val="24"/>
        </w:rPr>
      </w:pPr>
      <w:bookmarkStart w:id="354" w:name="_Toc11707"/>
      <w:bookmarkStart w:id="355" w:name="_Toc12330"/>
      <w:bookmarkStart w:id="356" w:name="_Toc15252"/>
      <w:bookmarkStart w:id="357" w:name="_Toc14905"/>
      <w:bookmarkStart w:id="358" w:name="_Toc22614"/>
      <w:bookmarkStart w:id="359" w:name="_Toc13001"/>
      <w:bookmarkStart w:id="360" w:name="_Toc27121"/>
      <w:bookmarkStart w:id="361" w:name="_Toc19849"/>
      <w:bookmarkStart w:id="362" w:name="_Toc4697"/>
      <w:r>
        <w:rPr>
          <w:rFonts w:hint="eastAsia"/>
          <w:sz w:val="24"/>
          <w:szCs w:val="24"/>
        </w:rPr>
        <w:t>3.2 第一个信封详细评审</w:t>
      </w:r>
      <w:bookmarkEnd w:id="354"/>
      <w:bookmarkEnd w:id="355"/>
      <w:bookmarkEnd w:id="356"/>
      <w:bookmarkEnd w:id="357"/>
      <w:bookmarkEnd w:id="358"/>
      <w:bookmarkEnd w:id="359"/>
      <w:bookmarkEnd w:id="360"/>
      <w:bookmarkEnd w:id="361"/>
      <w:bookmarkEnd w:id="362"/>
    </w:p>
    <w:p w14:paraId="600B6A6D">
      <w:pPr>
        <w:spacing w:line="500" w:lineRule="exact"/>
        <w:ind w:firstLine="240" w:firstLineChars="100"/>
        <w:rPr>
          <w:rFonts w:ascii="宋体" w:hAnsi="宋体" w:cs="宋体"/>
          <w:sz w:val="24"/>
          <w:szCs w:val="24"/>
        </w:rPr>
      </w:pPr>
      <w:r>
        <w:rPr>
          <w:rFonts w:hint="eastAsia" w:ascii="宋体" w:hAnsi="宋体" w:cs="宋体"/>
          <w:sz w:val="24"/>
          <w:szCs w:val="24"/>
        </w:rPr>
        <w:t>3.2.1 评标委员会按本章规定的量化因素进行评审。</w:t>
      </w:r>
    </w:p>
    <w:p w14:paraId="4ADD458F">
      <w:pPr>
        <w:spacing w:line="500" w:lineRule="exact"/>
        <w:ind w:firstLine="240" w:firstLineChars="100"/>
        <w:rPr>
          <w:rFonts w:ascii="宋体" w:hAnsi="宋体" w:cs="宋体"/>
          <w:sz w:val="24"/>
          <w:szCs w:val="24"/>
        </w:rPr>
      </w:pPr>
      <w:r>
        <w:rPr>
          <w:rFonts w:hint="eastAsia" w:ascii="宋体" w:hAnsi="宋体" w:cs="宋体"/>
          <w:sz w:val="24"/>
          <w:szCs w:val="24"/>
        </w:rPr>
        <w:t>(1）按本章评标办法（二）规定的评审因素进行评审；</w:t>
      </w:r>
    </w:p>
    <w:p w14:paraId="4269E5B9">
      <w:pPr>
        <w:spacing w:line="500" w:lineRule="exact"/>
        <w:ind w:firstLine="240" w:firstLineChars="100"/>
        <w:rPr>
          <w:rFonts w:ascii="宋体" w:hAnsi="宋体" w:cs="宋体"/>
          <w:sz w:val="24"/>
          <w:szCs w:val="24"/>
        </w:rPr>
      </w:pPr>
      <w:r>
        <w:rPr>
          <w:rFonts w:hint="eastAsia" w:ascii="宋体" w:hAnsi="宋体" w:cs="宋体"/>
          <w:sz w:val="24"/>
          <w:szCs w:val="24"/>
        </w:rPr>
        <w:t>(2）按本章评标办法（三）规定的评审因素进行评审；</w:t>
      </w:r>
    </w:p>
    <w:p w14:paraId="29C24D4D">
      <w:pPr>
        <w:spacing w:line="500" w:lineRule="exact"/>
        <w:rPr>
          <w:rFonts w:ascii="宋体" w:hAnsi="宋体" w:cs="宋体"/>
          <w:sz w:val="24"/>
          <w:szCs w:val="24"/>
        </w:rPr>
      </w:pPr>
    </w:p>
    <w:p w14:paraId="0F95B852">
      <w:pPr>
        <w:tabs>
          <w:tab w:val="left" w:pos="4900"/>
          <w:tab w:val="left" w:pos="6527"/>
          <w:tab w:val="left" w:pos="9020"/>
        </w:tabs>
        <w:spacing w:line="460" w:lineRule="exact"/>
        <w:ind w:firstLine="480" w:firstLineChars="200"/>
        <w:rPr>
          <w:rFonts w:ascii="宋体" w:hAnsi="宋体"/>
          <w:sz w:val="24"/>
          <w:szCs w:val="24"/>
        </w:rPr>
      </w:pPr>
    </w:p>
    <w:p w14:paraId="5792398E">
      <w:pPr>
        <w:pStyle w:val="4"/>
        <w:spacing w:line="460" w:lineRule="exact"/>
        <w:rPr>
          <w:sz w:val="24"/>
          <w:szCs w:val="24"/>
        </w:rPr>
      </w:pPr>
      <w:bookmarkStart w:id="363" w:name="_Toc19336"/>
      <w:bookmarkStart w:id="364" w:name="_Toc27565"/>
      <w:bookmarkStart w:id="365" w:name="_Toc13577"/>
      <w:bookmarkStart w:id="366" w:name="_Toc28522"/>
      <w:bookmarkStart w:id="367" w:name="_Toc11709"/>
      <w:bookmarkStart w:id="368" w:name="_Toc30568"/>
      <w:bookmarkStart w:id="369" w:name="_Toc27795"/>
      <w:bookmarkStart w:id="370" w:name="_Toc27956"/>
      <w:bookmarkStart w:id="371" w:name="_Toc29715"/>
      <w:r>
        <w:rPr>
          <w:rFonts w:hint="eastAsia"/>
          <w:sz w:val="24"/>
          <w:szCs w:val="24"/>
        </w:rPr>
        <w:t>3.3 第二个信封开标</w:t>
      </w:r>
      <w:bookmarkEnd w:id="363"/>
      <w:bookmarkEnd w:id="364"/>
      <w:bookmarkEnd w:id="365"/>
      <w:bookmarkEnd w:id="366"/>
      <w:bookmarkEnd w:id="367"/>
      <w:bookmarkEnd w:id="368"/>
      <w:bookmarkEnd w:id="369"/>
      <w:bookmarkEnd w:id="370"/>
      <w:bookmarkEnd w:id="371"/>
    </w:p>
    <w:p w14:paraId="28F4CCBE">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第一个信封（商务及技术文件）评审结束后，招标人将按照第二章“投标人须知”第 5.1 款规定的时间和地点对通过投标文件第一个信封（商务及技术文件）评审的投标文件第二个信封（报价文件）进行开标。</w:t>
      </w:r>
    </w:p>
    <w:p w14:paraId="3295D287">
      <w:pPr>
        <w:pStyle w:val="4"/>
        <w:spacing w:line="460" w:lineRule="exact"/>
        <w:rPr>
          <w:sz w:val="24"/>
          <w:szCs w:val="24"/>
        </w:rPr>
      </w:pPr>
      <w:bookmarkStart w:id="372" w:name="_Toc24219"/>
      <w:bookmarkStart w:id="373" w:name="_Toc11221"/>
      <w:bookmarkStart w:id="374" w:name="_Toc18029"/>
      <w:bookmarkStart w:id="375" w:name="_Toc20953"/>
      <w:bookmarkStart w:id="376" w:name="_Toc28047"/>
      <w:bookmarkStart w:id="377" w:name="_Toc5634"/>
      <w:bookmarkStart w:id="378" w:name="_Toc25195"/>
      <w:bookmarkStart w:id="379" w:name="_Toc25169"/>
      <w:bookmarkStart w:id="380" w:name="_Toc23818"/>
      <w:r>
        <w:rPr>
          <w:rFonts w:hint="eastAsia"/>
          <w:sz w:val="24"/>
          <w:szCs w:val="24"/>
        </w:rPr>
        <w:t>3.4 第二个信封初步评审</w:t>
      </w:r>
      <w:bookmarkEnd w:id="372"/>
      <w:bookmarkEnd w:id="373"/>
      <w:bookmarkEnd w:id="374"/>
      <w:bookmarkEnd w:id="375"/>
      <w:bookmarkEnd w:id="376"/>
      <w:bookmarkEnd w:id="377"/>
      <w:bookmarkEnd w:id="378"/>
      <w:bookmarkEnd w:id="379"/>
      <w:bookmarkEnd w:id="380"/>
    </w:p>
    <w:p w14:paraId="2CD08B26">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3.4.1 评标委员会依据本章第 2.1.1 项、第 2.1.3 项规定的评审标准对投标文件第二个信封（报价文件）进行初步评审。有一项不符合评审标准的，评标委员会应否决其投标。</w:t>
      </w:r>
    </w:p>
    <w:p w14:paraId="4974E595">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3.4.2 投标报价有算术错误的，评标委员会按以下原则对投标报价进行修正，修正的价格经投标人书面确认后具有约束力。投标人不接受修正价格的，评标委员会应否决其投标。</w:t>
      </w:r>
    </w:p>
    <w:p w14:paraId="63E4CB6A">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(l）投标文件中的大写金额与小写金额不一致的，以大写金额为准；</w:t>
      </w:r>
    </w:p>
    <w:p w14:paraId="3A34607B">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(2）总价金额与依据单价计算出的结果不一致的，以单价金额为准修正总价，但单价金额小数点有明显错误的除外；</w:t>
      </w:r>
    </w:p>
    <w:p w14:paraId="02133A63">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(3）当单价与数量相乘不等于合价时，以单价计算为准，如果单价有明显的小数点位置差错，应以标出的合价为准，同时对单价予以修正；</w:t>
      </w:r>
    </w:p>
    <w:p w14:paraId="214CDB2D">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(4）当各子目的合价累计不等于总价时，应以各子目合价累计数为准，修正总价。</w:t>
      </w:r>
    </w:p>
    <w:p w14:paraId="2F10CC1A">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3.4.3 工程量清单中的投标报价有其他错误的，评标委员会按以下原则对投标报价进行修正，修正的价格经投标人书面确认后具有约束力。投标人不接受修正价格的，评标委员会应否决其投标。</w:t>
      </w:r>
    </w:p>
    <w:p w14:paraId="18B194C5">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l）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276C5DCF">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6152D59E">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(3）当单价与数量的乘积与合价（金额）虽然一致，但投标人修改了该子目的工程数量，则其合价按招标人给定的工程数量乘以投标人所报单价予以修正。</w:t>
      </w:r>
    </w:p>
    <w:p w14:paraId="6BFF8F68">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3.4.4 修正后的最终投标报价若超过最高投标限价（如有），评标委员会应否决其投标。</w:t>
      </w:r>
    </w:p>
    <w:p w14:paraId="4EA1BEA2">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sz w:val="24"/>
          <w:szCs w:val="24"/>
        </w:rPr>
        <w:t>3.4.5 修正后的最终投标报价仅作为签订合同的一个依据，不参与评标价得分的计算。</w:t>
      </w:r>
    </w:p>
    <w:p w14:paraId="0025B7C9">
      <w:pPr>
        <w:pStyle w:val="4"/>
        <w:spacing w:line="460" w:lineRule="exact"/>
        <w:rPr>
          <w:sz w:val="24"/>
          <w:szCs w:val="24"/>
        </w:rPr>
      </w:pPr>
      <w:bookmarkStart w:id="381" w:name="_Toc32157"/>
      <w:bookmarkStart w:id="382" w:name="_Toc146"/>
      <w:bookmarkStart w:id="383" w:name="_Toc26157"/>
      <w:bookmarkStart w:id="384" w:name="_Toc6964"/>
      <w:bookmarkStart w:id="385" w:name="_Toc1763"/>
      <w:bookmarkStart w:id="386" w:name="_Toc21251"/>
      <w:bookmarkStart w:id="387" w:name="_Toc14880"/>
      <w:bookmarkStart w:id="388" w:name="_Toc32171"/>
      <w:bookmarkStart w:id="389" w:name="_Toc30514"/>
      <w:r>
        <w:rPr>
          <w:rFonts w:hint="eastAsia"/>
          <w:sz w:val="24"/>
          <w:szCs w:val="24"/>
        </w:rPr>
        <w:t>3.5 第二个信封详细评审</w:t>
      </w:r>
      <w:bookmarkEnd w:id="381"/>
      <w:bookmarkEnd w:id="382"/>
      <w:bookmarkEnd w:id="383"/>
      <w:bookmarkEnd w:id="384"/>
      <w:bookmarkEnd w:id="385"/>
      <w:bookmarkEnd w:id="386"/>
      <w:bookmarkEnd w:id="387"/>
      <w:bookmarkEnd w:id="388"/>
      <w:bookmarkEnd w:id="389"/>
    </w:p>
    <w:p w14:paraId="6FB157F7">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cs="宋体"/>
          <w:sz w:val="24"/>
          <w:szCs w:val="24"/>
        </w:rPr>
        <w:t>3.5.1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认定该投标人以低于成本报价竞标，否决其投标。</w:t>
      </w:r>
    </w:p>
    <w:p w14:paraId="76D57976">
      <w:pPr>
        <w:pStyle w:val="4"/>
        <w:spacing w:line="460" w:lineRule="exact"/>
        <w:rPr>
          <w:sz w:val="24"/>
          <w:szCs w:val="24"/>
        </w:rPr>
      </w:pPr>
      <w:r>
        <w:rPr>
          <w:rFonts w:hint="eastAsia"/>
          <w:sz w:val="24"/>
          <w:szCs w:val="24"/>
        </w:rPr>
        <w:t>3.6投标文件的澄清和补正</w:t>
      </w:r>
    </w:p>
    <w:p w14:paraId="7C8ED246">
      <w:pPr>
        <w:spacing w:line="500" w:lineRule="exact"/>
        <w:rPr>
          <w:rFonts w:ascii="宋体" w:hAnsi="宋体" w:cs="宋体"/>
          <w:sz w:val="24"/>
        </w:rPr>
      </w:pPr>
      <w:r>
        <w:rPr>
          <w:rFonts w:hint="eastAsia" w:ascii="宋体" w:hAnsi="宋体" w:cs="宋体"/>
          <w:b/>
          <w:sz w:val="24"/>
        </w:rPr>
        <w:t xml:space="preserve">   </w:t>
      </w:r>
      <w:r>
        <w:rPr>
          <w:rFonts w:hint="eastAsia" w:ascii="宋体" w:hAnsi="宋体" w:cs="宋体"/>
          <w:sz w:val="24"/>
        </w:rPr>
        <w:t>3.3.1 在评标过程中，评标委员会可以要求投标人对所提交投标文件中不明确的内容进行澄清或说明，或者对细微偏差进行补正。评标委员会不接受投标人主动提出的澄清、说明或补正。</w:t>
      </w:r>
    </w:p>
    <w:p w14:paraId="26B3D728">
      <w:pPr>
        <w:spacing w:line="500" w:lineRule="exact"/>
        <w:rPr>
          <w:rFonts w:ascii="宋体" w:hAnsi="宋体" w:cs="宋体"/>
          <w:sz w:val="24"/>
        </w:rPr>
      </w:pPr>
      <w:r>
        <w:rPr>
          <w:rFonts w:hint="eastAsia" w:ascii="宋体" w:hAnsi="宋体" w:cs="宋体"/>
          <w:sz w:val="24"/>
        </w:rPr>
        <w:t xml:space="preserve">   3.3.2 澄清、说明和补正不得改变投标文件的实质性内容（算术性错误修正的除外）。投标人的澄清、说明和补正属于投标文件的组成部分。</w:t>
      </w:r>
    </w:p>
    <w:p w14:paraId="3AF33BD4">
      <w:pPr>
        <w:spacing w:line="500" w:lineRule="exact"/>
        <w:rPr>
          <w:rFonts w:ascii="宋体" w:hAnsi="宋体" w:cs="宋体"/>
          <w:sz w:val="24"/>
        </w:rPr>
      </w:pPr>
      <w:r>
        <w:rPr>
          <w:rFonts w:hint="eastAsia" w:ascii="宋体" w:hAnsi="宋体" w:cs="宋体"/>
          <w:sz w:val="24"/>
        </w:rPr>
        <w:t xml:space="preserve">   3.3.3 评标委员会对投标人提交的澄清、说明或补正有疑问的，可以要求投标人进一步澄清、说明或补正，直至满足评标委员会的要求。</w:t>
      </w:r>
    </w:p>
    <w:p w14:paraId="25BF0C62">
      <w:pPr>
        <w:pStyle w:val="4"/>
        <w:spacing w:line="460" w:lineRule="exact"/>
        <w:rPr>
          <w:sz w:val="24"/>
          <w:szCs w:val="24"/>
        </w:rPr>
      </w:pPr>
      <w:r>
        <w:rPr>
          <w:rFonts w:hint="eastAsia"/>
          <w:sz w:val="24"/>
          <w:szCs w:val="24"/>
        </w:rPr>
        <w:t>3.7推荐中标候选人</w:t>
      </w:r>
    </w:p>
    <w:p w14:paraId="5A25DBE5">
      <w:pPr>
        <w:spacing w:line="400" w:lineRule="exact"/>
        <w:rPr>
          <w:b/>
          <w:bCs/>
          <w:sz w:val="24"/>
          <w:szCs w:val="36"/>
        </w:rPr>
      </w:pPr>
      <w:r>
        <w:rPr>
          <w:rFonts w:hint="eastAsia" w:ascii="宋体" w:hAnsi="宋体" w:cs="宋体"/>
          <w:b/>
          <w:bCs/>
          <w:sz w:val="24"/>
        </w:rPr>
        <w:t>推荐中标候选人的具体方法及规则：</w:t>
      </w:r>
    </w:p>
    <w:p w14:paraId="176D76FE">
      <w:pPr>
        <w:spacing w:line="500" w:lineRule="exact"/>
        <w:rPr>
          <w:rFonts w:ascii="宋体" w:hAnsi="宋体" w:cs="宋体"/>
          <w:sz w:val="24"/>
          <w:szCs w:val="24"/>
        </w:rPr>
      </w:pPr>
      <w:r>
        <w:rPr>
          <w:rFonts w:hint="eastAsia" w:ascii="宋体" w:hAnsi="宋体" w:cs="宋体"/>
          <w:sz w:val="24"/>
          <w:szCs w:val="24"/>
        </w:rPr>
        <w:t>（1）计算评标基准价C：</w:t>
      </w:r>
    </w:p>
    <w:p w14:paraId="2435629B">
      <w:pPr>
        <w:spacing w:line="500" w:lineRule="exact"/>
        <w:ind w:firstLine="480" w:firstLineChars="200"/>
        <w:rPr>
          <w:rFonts w:ascii="宋体" w:hAnsi="宋体" w:cs="宋体"/>
          <w:sz w:val="24"/>
          <w:szCs w:val="24"/>
        </w:rPr>
      </w:pPr>
      <w:r>
        <w:rPr>
          <w:rFonts w:hint="eastAsia" w:ascii="宋体" w:hAnsi="宋体" w:cs="宋体"/>
          <w:sz w:val="24"/>
          <w:szCs w:val="24"/>
        </w:rPr>
        <w:t>C=所有评审结论为合格投标人的投标报价的算术平均值（当合格投标人数量＞5时，去掉一个最高报价和一个最低报价后的算术平均值）即为评标基准价（计算结果保留2位小数）</w:t>
      </w:r>
    </w:p>
    <w:p w14:paraId="22955DA8">
      <w:pPr>
        <w:spacing w:line="500" w:lineRule="exact"/>
        <w:rPr>
          <w:rFonts w:ascii="宋体" w:hAnsi="宋体" w:cs="宋体"/>
          <w:sz w:val="24"/>
          <w:szCs w:val="24"/>
        </w:rPr>
      </w:pPr>
      <w:r>
        <w:rPr>
          <w:rFonts w:hint="eastAsia" w:ascii="宋体" w:hAnsi="宋体" w:cs="宋体"/>
          <w:sz w:val="24"/>
          <w:szCs w:val="24"/>
        </w:rPr>
        <w:t>（2）确定中标候选人：</w:t>
      </w:r>
    </w:p>
    <w:p w14:paraId="162EDA91">
      <w:pPr>
        <w:spacing w:line="500" w:lineRule="exact"/>
        <w:ind w:firstLine="480" w:firstLineChars="200"/>
        <w:rPr>
          <w:rFonts w:ascii="宋体" w:hAnsi="宋体" w:cs="宋体"/>
          <w:sz w:val="24"/>
          <w:szCs w:val="24"/>
        </w:rPr>
      </w:pPr>
      <w:r>
        <w:rPr>
          <w:rFonts w:hint="eastAsia" w:ascii="宋体" w:hAnsi="宋体" w:cs="宋体"/>
          <w:sz w:val="24"/>
          <w:szCs w:val="24"/>
        </w:rPr>
        <w:t>所有评审结论为合格投标人的数量为F，评标委员会对合格投标人的投标报价按由低到高的顺序进行排序，若报价相等，按投标人在开标记录表上的序号由小到大的次序进行排序。</w:t>
      </w:r>
    </w:p>
    <w:p w14:paraId="4E20228E">
      <w:pPr>
        <w:spacing w:line="500" w:lineRule="exact"/>
        <w:ind w:firstLine="480" w:firstLineChars="200"/>
        <w:rPr>
          <w:rFonts w:ascii="宋体" w:hAnsi="宋体" w:cs="宋体"/>
          <w:sz w:val="24"/>
          <w:szCs w:val="24"/>
        </w:rPr>
      </w:pPr>
      <w:r>
        <w:rPr>
          <w:rFonts w:hint="eastAsia" w:ascii="宋体" w:hAnsi="宋体" w:cs="宋体"/>
          <w:sz w:val="24"/>
          <w:szCs w:val="24"/>
        </w:rPr>
        <w:t>①当F＜3时，招标人应当重新招标。</w:t>
      </w:r>
    </w:p>
    <w:p w14:paraId="1081B908">
      <w:pPr>
        <w:spacing w:line="500" w:lineRule="exact"/>
        <w:ind w:firstLine="480" w:firstLineChars="200"/>
        <w:rPr>
          <w:rFonts w:ascii="宋体" w:hAnsi="宋体" w:cs="宋体"/>
          <w:sz w:val="24"/>
          <w:szCs w:val="24"/>
        </w:rPr>
      </w:pPr>
      <w:r>
        <w:rPr>
          <w:rFonts w:hint="eastAsia" w:ascii="宋体" w:hAnsi="宋体" w:cs="宋体"/>
          <w:sz w:val="24"/>
          <w:szCs w:val="24"/>
        </w:rPr>
        <w:t>②当3≤F≤10时，所有评审结论为合格的投标人全部推荐为中标候选人。</w:t>
      </w:r>
    </w:p>
    <w:p w14:paraId="6B4B80AB">
      <w:pPr>
        <w:spacing w:line="500" w:lineRule="exact"/>
        <w:ind w:firstLine="480" w:firstLineChars="200"/>
        <w:rPr>
          <w:rFonts w:ascii="宋体" w:hAnsi="宋体" w:cs="宋体"/>
          <w:sz w:val="24"/>
          <w:szCs w:val="24"/>
        </w:rPr>
      </w:pPr>
      <w:r>
        <w:rPr>
          <w:rFonts w:hint="eastAsia" w:ascii="宋体" w:hAnsi="宋体" w:cs="宋体"/>
          <w:sz w:val="24"/>
          <w:szCs w:val="24"/>
        </w:rPr>
        <w:t>③当F＞10时，按所有评审结论为合格投标人的投标报价与评标基准价C的差值进行计算，高于评标基准价C差值的绝对值最小的3名投标人和低于（或等于）评标基准价C差值的绝对值最小的7名投标人推荐为中标候选人。</w:t>
      </w:r>
    </w:p>
    <w:p w14:paraId="6BF9B07E">
      <w:pPr>
        <w:spacing w:line="500" w:lineRule="exact"/>
        <w:rPr>
          <w:rFonts w:ascii="宋体" w:hAnsi="宋体" w:cs="宋体"/>
          <w:b/>
          <w:bCs/>
          <w:sz w:val="24"/>
          <w:szCs w:val="24"/>
        </w:rPr>
      </w:pPr>
      <w:r>
        <w:rPr>
          <w:rFonts w:hint="eastAsia" w:ascii="宋体" w:hAnsi="宋体" w:cs="宋体"/>
          <w:b/>
          <w:bCs/>
          <w:sz w:val="24"/>
          <w:szCs w:val="24"/>
        </w:rPr>
        <w:t>注：</w:t>
      </w:r>
    </w:p>
    <w:p w14:paraId="42675744">
      <w:pPr>
        <w:spacing w:line="500" w:lineRule="exact"/>
        <w:ind w:firstLine="480" w:firstLineChars="200"/>
        <w:rPr>
          <w:rFonts w:ascii="宋体" w:hAnsi="宋体" w:cs="宋体"/>
          <w:sz w:val="24"/>
          <w:szCs w:val="24"/>
        </w:rPr>
      </w:pPr>
      <w:r>
        <w:rPr>
          <w:rFonts w:hint="eastAsia" w:ascii="宋体" w:hAnsi="宋体" w:cs="宋体"/>
          <w:sz w:val="24"/>
          <w:szCs w:val="24"/>
        </w:rPr>
        <w:t>①高于或低于评标基准价C的投标人数量少于应当入围中标候选人数量时，按实际数量入围中标候选人。</w:t>
      </w:r>
    </w:p>
    <w:p w14:paraId="78F42A79">
      <w:pPr>
        <w:spacing w:line="500" w:lineRule="exact"/>
        <w:ind w:firstLine="480" w:firstLineChars="200"/>
        <w:rPr>
          <w:rFonts w:ascii="宋体" w:hAnsi="宋体" w:cs="宋体"/>
          <w:sz w:val="24"/>
          <w:szCs w:val="24"/>
        </w:rPr>
      </w:pPr>
      <w:r>
        <w:rPr>
          <w:rFonts w:hint="eastAsia" w:ascii="宋体" w:hAnsi="宋体" w:cs="宋体"/>
          <w:sz w:val="24"/>
          <w:szCs w:val="24"/>
        </w:rPr>
        <w:t>②若投标人报价出现并列则同时入围中标候选人。</w:t>
      </w:r>
    </w:p>
    <w:p w14:paraId="43792F61">
      <w:pPr>
        <w:spacing w:line="500" w:lineRule="exact"/>
        <w:ind w:firstLine="480" w:firstLineChars="200"/>
        <w:rPr>
          <w:rFonts w:ascii="宋体" w:hAnsi="宋体" w:cs="宋体"/>
          <w:sz w:val="24"/>
          <w:szCs w:val="24"/>
        </w:rPr>
      </w:pPr>
      <w:r>
        <w:rPr>
          <w:rFonts w:hint="eastAsia" w:ascii="宋体" w:hAnsi="宋体" w:cs="宋体"/>
          <w:sz w:val="24"/>
          <w:szCs w:val="24"/>
        </w:rPr>
        <w:t>③评标委员会以不标明排序方式向招标人推荐中标候选人。</w:t>
      </w:r>
    </w:p>
    <w:p w14:paraId="6C4D5F92">
      <w:pPr>
        <w:pStyle w:val="4"/>
        <w:spacing w:line="460" w:lineRule="exact"/>
        <w:rPr>
          <w:sz w:val="24"/>
          <w:szCs w:val="24"/>
        </w:rPr>
      </w:pPr>
      <w:r>
        <w:rPr>
          <w:rFonts w:hint="eastAsia"/>
          <w:sz w:val="24"/>
          <w:szCs w:val="24"/>
        </w:rPr>
        <w:t>3.8 评标结果</w:t>
      </w:r>
    </w:p>
    <w:p w14:paraId="33DDD3C1">
      <w:pPr>
        <w:spacing w:line="500" w:lineRule="exact"/>
        <w:ind w:firstLine="480" w:firstLineChars="200"/>
        <w:rPr>
          <w:rFonts w:ascii="宋体" w:hAnsi="宋体" w:cs="宋体"/>
          <w:sz w:val="24"/>
          <w:szCs w:val="24"/>
        </w:rPr>
      </w:pPr>
      <w:r>
        <w:rPr>
          <w:rFonts w:hint="eastAsia" w:ascii="宋体" w:hAnsi="宋体" w:cs="宋体"/>
          <w:sz w:val="24"/>
          <w:szCs w:val="24"/>
        </w:rPr>
        <w:t>3.8.1 在各评标专家独立对所有投标人评审完成之后，由评标委员会主任组织各成员对各投标人的投标文件进行集体讨论并出具评报报告，评标报告应当载明每个中标候选人的特点、优势、缺点、风险等评审情况和推荐理由，并对技术、质量、安全、工期的控制能力等提供技术咨询建议，供定标委员会参考。</w:t>
      </w:r>
    </w:p>
    <w:p w14:paraId="30561F65">
      <w:pPr>
        <w:spacing w:line="500" w:lineRule="exact"/>
        <w:ind w:firstLine="480" w:firstLineChars="200"/>
        <w:rPr>
          <w:rFonts w:ascii="宋体" w:hAnsi="宋体" w:cs="宋体"/>
          <w:sz w:val="24"/>
          <w:szCs w:val="24"/>
        </w:rPr>
      </w:pPr>
      <w:r>
        <w:rPr>
          <w:rFonts w:hint="eastAsia" w:ascii="宋体" w:hAnsi="宋体" w:cs="宋体"/>
          <w:sz w:val="24"/>
          <w:szCs w:val="24"/>
        </w:rPr>
        <w:t>3.8.2 评标委员会在汇总各评标专家意见时，如果有评标专家对汇总意见持保留意见的，则应在评标报告中注明。</w:t>
      </w:r>
    </w:p>
    <w:p w14:paraId="7F9FAE66">
      <w:pPr>
        <w:tabs>
          <w:tab w:val="left" w:pos="4900"/>
          <w:tab w:val="left" w:pos="6527"/>
          <w:tab w:val="left" w:pos="9020"/>
        </w:tabs>
        <w:spacing w:line="460" w:lineRule="exact"/>
        <w:ind w:firstLine="480" w:firstLineChars="200"/>
        <w:rPr>
          <w:rFonts w:ascii="宋体" w:hAnsi="宋体"/>
          <w:sz w:val="24"/>
          <w:szCs w:val="24"/>
        </w:rPr>
      </w:pPr>
      <w:r>
        <w:rPr>
          <w:rFonts w:hint="eastAsia" w:ascii="宋体" w:hAnsi="宋体" w:cs="宋体"/>
          <w:sz w:val="24"/>
          <w:szCs w:val="24"/>
        </w:rPr>
        <w:t>3.8.3 投标人综合评价等级为不合格的，仅需指出不合格的具体原因，不必再指出投标文件优点和存在缺陷或签订合同前应注意和澄清的事项</w:t>
      </w:r>
      <w:r>
        <w:rPr>
          <w:rFonts w:hint="eastAsia" w:ascii="宋体" w:hAnsi="宋体"/>
          <w:sz w:val="24"/>
          <w:szCs w:val="24"/>
        </w:rPr>
        <w:t>。</w:t>
      </w:r>
    </w:p>
    <w:p w14:paraId="055BE3B4">
      <w:pPr>
        <w:pStyle w:val="7"/>
        <w:rPr>
          <w:rFonts w:ascii="宋体" w:hAnsi="宋体"/>
          <w:sz w:val="24"/>
          <w:szCs w:val="24"/>
        </w:rPr>
      </w:pPr>
    </w:p>
    <w:p w14:paraId="4900EF9A">
      <w:pPr>
        <w:pStyle w:val="7"/>
        <w:rPr>
          <w:rFonts w:ascii="宋体" w:hAnsi="宋体"/>
          <w:sz w:val="24"/>
          <w:szCs w:val="24"/>
        </w:rPr>
      </w:pPr>
    </w:p>
    <w:p w14:paraId="47862DCC">
      <w:pPr>
        <w:rPr>
          <w:rFonts w:ascii="宋体" w:hAnsi="宋体" w:cs="宋体"/>
          <w:b/>
          <w:sz w:val="32"/>
          <w:szCs w:val="32"/>
        </w:rPr>
      </w:pPr>
      <w:r>
        <w:rPr>
          <w:rFonts w:hint="eastAsia" w:ascii="宋体" w:hAnsi="宋体" w:cs="宋体"/>
          <w:b/>
          <w:sz w:val="32"/>
          <w:szCs w:val="32"/>
        </w:rPr>
        <w:br w:type="page"/>
      </w:r>
    </w:p>
    <w:p w14:paraId="147331BF">
      <w:pPr>
        <w:pStyle w:val="2"/>
        <w:spacing w:line="500" w:lineRule="exact"/>
        <w:rPr>
          <w:rFonts w:ascii="宋体" w:hAnsi="宋体"/>
          <w:b/>
          <w:sz w:val="32"/>
          <w:szCs w:val="32"/>
        </w:rPr>
      </w:pPr>
      <w:r>
        <w:rPr>
          <w:rFonts w:hint="eastAsia" w:ascii="宋体" w:hAnsi="宋体"/>
          <w:b/>
          <w:sz w:val="32"/>
          <w:szCs w:val="32"/>
        </w:rPr>
        <w:t>第四章 定标方法</w:t>
      </w:r>
    </w:p>
    <w:p w14:paraId="12B011C7">
      <w:pPr>
        <w:spacing w:line="360" w:lineRule="auto"/>
        <w:jc w:val="left"/>
        <w:rPr>
          <w:rFonts w:ascii="宋体" w:hAnsi="宋体" w:cs="黑体"/>
          <w:b/>
          <w:sz w:val="24"/>
        </w:rPr>
      </w:pPr>
      <w:r>
        <w:rPr>
          <w:rFonts w:hint="eastAsia" w:ascii="宋体" w:hAnsi="宋体" w:cs="黑体"/>
          <w:b/>
          <w:sz w:val="24"/>
        </w:rPr>
        <w:t>1、定标依据</w:t>
      </w:r>
    </w:p>
    <w:p w14:paraId="385B632C">
      <w:pPr>
        <w:spacing w:line="360" w:lineRule="auto"/>
        <w:ind w:firstLine="480" w:firstLineChars="200"/>
        <w:rPr>
          <w:rFonts w:ascii="宋体" w:hAnsi="宋体" w:cs="宋体"/>
          <w:sz w:val="24"/>
        </w:rPr>
      </w:pPr>
      <w:r>
        <w:rPr>
          <w:rFonts w:hint="eastAsia" w:ascii="宋体" w:hAnsi="宋体" w:cs="宋体"/>
          <w:sz w:val="24"/>
        </w:rPr>
        <w:t>本次定标办法的制定依据下列文件进行：</w:t>
      </w:r>
    </w:p>
    <w:p w14:paraId="5EBFF789">
      <w:pPr>
        <w:spacing w:line="360" w:lineRule="auto"/>
        <w:ind w:firstLine="480" w:firstLineChars="200"/>
        <w:rPr>
          <w:rFonts w:ascii="宋体" w:hAnsi="宋体" w:cs="宋体"/>
          <w:sz w:val="24"/>
        </w:rPr>
      </w:pPr>
      <w:r>
        <w:rPr>
          <w:rFonts w:hint="eastAsia" w:ascii="宋体" w:hAnsi="宋体" w:cs="宋体"/>
          <w:sz w:val="24"/>
        </w:rPr>
        <w:t>（1）《中华人民共和国招标投标法》；</w:t>
      </w:r>
    </w:p>
    <w:p w14:paraId="7F9A6EC2">
      <w:pPr>
        <w:spacing w:line="360" w:lineRule="auto"/>
        <w:ind w:firstLine="480" w:firstLineChars="200"/>
        <w:rPr>
          <w:rFonts w:ascii="宋体" w:hAnsi="宋体" w:cs="宋体"/>
          <w:sz w:val="24"/>
        </w:rPr>
      </w:pPr>
      <w:r>
        <w:rPr>
          <w:rFonts w:hint="eastAsia" w:ascii="宋体" w:hAnsi="宋体" w:cs="宋体"/>
          <w:sz w:val="24"/>
        </w:rPr>
        <w:t>（2）《国务院办公厅关于创新完善体制机制推动招标投标市场规范健康发展的意见》（国办发〔2024〕21号）</w:t>
      </w:r>
    </w:p>
    <w:p w14:paraId="03153F9A">
      <w:pPr>
        <w:spacing w:line="360" w:lineRule="auto"/>
        <w:ind w:firstLine="480" w:firstLineChars="200"/>
        <w:rPr>
          <w:rFonts w:ascii="宋体" w:hAnsi="宋体" w:cs="宋体"/>
          <w:sz w:val="24"/>
        </w:rPr>
      </w:pPr>
      <w:r>
        <w:rPr>
          <w:rFonts w:hint="eastAsia" w:ascii="宋体" w:hAnsi="宋体" w:cs="宋体"/>
          <w:sz w:val="24"/>
        </w:rPr>
        <w:t>（3）本项目招标文件及招标投标全过程资料；</w:t>
      </w:r>
    </w:p>
    <w:p w14:paraId="2849755C">
      <w:pPr>
        <w:spacing w:line="360" w:lineRule="auto"/>
        <w:ind w:firstLine="480" w:firstLineChars="200"/>
        <w:rPr>
          <w:rFonts w:ascii="宋体" w:hAnsi="宋体" w:cs="宋体"/>
          <w:sz w:val="24"/>
        </w:rPr>
      </w:pPr>
      <w:r>
        <w:rPr>
          <w:rFonts w:hint="eastAsia" w:ascii="宋体" w:hAnsi="宋体" w:cs="宋体"/>
          <w:sz w:val="24"/>
        </w:rPr>
        <w:t>（4）评标委员会推荐的合格中标候选人名单；</w:t>
      </w:r>
    </w:p>
    <w:p w14:paraId="136F6E53">
      <w:pPr>
        <w:spacing w:line="360" w:lineRule="auto"/>
        <w:ind w:firstLine="480" w:firstLineChars="200"/>
        <w:rPr>
          <w:rFonts w:ascii="宋体" w:hAnsi="宋体" w:cs="宋体"/>
          <w:sz w:val="24"/>
        </w:rPr>
      </w:pPr>
      <w:r>
        <w:rPr>
          <w:rFonts w:hint="eastAsia" w:ascii="宋体" w:hAnsi="宋体" w:cs="宋体"/>
          <w:sz w:val="24"/>
        </w:rPr>
        <w:t>（5）其他有关法律法规和相关制度。</w:t>
      </w:r>
    </w:p>
    <w:p w14:paraId="1EE4F686">
      <w:pPr>
        <w:spacing w:line="360" w:lineRule="auto"/>
        <w:jc w:val="left"/>
        <w:rPr>
          <w:rFonts w:ascii="宋体" w:hAnsi="宋体" w:cs="黑体"/>
          <w:b/>
          <w:sz w:val="24"/>
        </w:rPr>
      </w:pPr>
      <w:r>
        <w:rPr>
          <w:rFonts w:hint="eastAsia" w:ascii="宋体" w:hAnsi="宋体" w:cs="黑体"/>
          <w:b/>
          <w:sz w:val="24"/>
        </w:rPr>
        <w:t>2、定标原则</w:t>
      </w:r>
    </w:p>
    <w:p w14:paraId="30D488BE">
      <w:pPr>
        <w:spacing w:line="360" w:lineRule="auto"/>
        <w:ind w:firstLine="480" w:firstLineChars="200"/>
        <w:rPr>
          <w:rFonts w:ascii="宋体" w:hAnsi="宋体" w:cs="宋体"/>
          <w:sz w:val="24"/>
        </w:rPr>
      </w:pPr>
      <w:r>
        <w:rPr>
          <w:rFonts w:hint="eastAsia" w:ascii="宋体" w:hAnsi="宋体" w:cs="宋体"/>
          <w:sz w:val="24"/>
        </w:rPr>
        <w:t>定标应当公开透明、择优竞争、科学规范、廉洁高效的原则。</w:t>
      </w:r>
    </w:p>
    <w:p w14:paraId="336AC92D">
      <w:pPr>
        <w:spacing w:line="360" w:lineRule="auto"/>
        <w:jc w:val="left"/>
        <w:rPr>
          <w:rFonts w:ascii="宋体" w:hAnsi="宋体" w:cs="黑体"/>
          <w:b/>
          <w:sz w:val="24"/>
        </w:rPr>
      </w:pPr>
      <w:r>
        <w:rPr>
          <w:rFonts w:hint="eastAsia" w:ascii="宋体" w:hAnsi="宋体" w:cs="黑体"/>
          <w:b/>
          <w:sz w:val="24"/>
        </w:rPr>
        <w:t>3、定标方法</w:t>
      </w:r>
    </w:p>
    <w:p w14:paraId="43A62325">
      <w:pPr>
        <w:spacing w:line="360" w:lineRule="auto"/>
        <w:ind w:firstLine="480" w:firstLineChars="200"/>
        <w:jc w:val="left"/>
        <w:rPr>
          <w:rFonts w:ascii="宋体" w:hAnsi="宋体" w:cs="宋体"/>
          <w:sz w:val="24"/>
        </w:rPr>
      </w:pPr>
      <w:r>
        <w:rPr>
          <w:rFonts w:hint="eastAsia" w:ascii="宋体" w:hAnsi="宋体" w:cs="宋体"/>
          <w:sz w:val="24"/>
        </w:rPr>
        <w:t>本项目采用</w:t>
      </w:r>
      <w:r>
        <w:rPr>
          <w:rFonts w:hint="eastAsia" w:ascii="宋体" w:hAnsi="宋体" w:cs="宋体"/>
          <w:b/>
          <w:sz w:val="24"/>
        </w:rPr>
        <w:t>核查随机法</w:t>
      </w:r>
      <w:r>
        <w:rPr>
          <w:rFonts w:hint="eastAsia" w:ascii="宋体" w:hAnsi="宋体" w:cs="宋体"/>
          <w:sz w:val="24"/>
        </w:rPr>
        <w:t>进行定标。</w:t>
      </w:r>
    </w:p>
    <w:p w14:paraId="61E25545">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定标地点为灵宝市公共资源交易中心，定标时间及具体地点由招标代理机构以电话、</w:t>
      </w:r>
      <w:r>
        <w:rPr>
          <w:rFonts w:ascii="宋体" w:hAnsi="宋体" w:cs="宋体"/>
          <w:b/>
          <w:bCs/>
          <w:sz w:val="24"/>
          <w:szCs w:val="24"/>
        </w:rPr>
        <w:t>邮件</w:t>
      </w:r>
      <w:r>
        <w:rPr>
          <w:rFonts w:hint="eastAsia" w:ascii="宋体" w:hAnsi="宋体" w:cs="宋体"/>
          <w:b/>
          <w:bCs/>
          <w:sz w:val="24"/>
          <w:szCs w:val="24"/>
        </w:rPr>
        <w:t>方式通知所有通过核查的中标候选人，中标候选人需要通过电话、</w:t>
      </w:r>
      <w:r>
        <w:rPr>
          <w:rFonts w:ascii="宋体" w:hAnsi="宋体" w:cs="宋体"/>
          <w:b/>
          <w:bCs/>
          <w:sz w:val="24"/>
          <w:szCs w:val="24"/>
        </w:rPr>
        <w:t>邮件</w:t>
      </w:r>
      <w:r>
        <w:rPr>
          <w:rFonts w:hint="eastAsia" w:ascii="宋体" w:hAnsi="宋体" w:cs="宋体"/>
          <w:b/>
          <w:bCs/>
          <w:sz w:val="24"/>
          <w:szCs w:val="24"/>
        </w:rPr>
        <w:t>的方式确定是否参与定标会议；中标候选人不得扰乱会场秩序或做出影响定标会议正常进行的其他行为。逾期未回复电话、短信、</w:t>
      </w:r>
      <w:r>
        <w:rPr>
          <w:rFonts w:ascii="宋体" w:hAnsi="宋体" w:cs="宋体"/>
          <w:b/>
          <w:bCs/>
          <w:sz w:val="24"/>
          <w:szCs w:val="24"/>
        </w:rPr>
        <w:t>邮件</w:t>
      </w:r>
      <w:r>
        <w:rPr>
          <w:rFonts w:hint="eastAsia" w:ascii="宋体" w:hAnsi="宋体" w:cs="宋体"/>
          <w:b/>
          <w:bCs/>
          <w:sz w:val="24"/>
          <w:szCs w:val="24"/>
        </w:rPr>
        <w:t>、且未到现场参与定标会议的中标候选人默认认可所有定标过程，招标人不接受未到现场参会的中标候选人对抽取过程提出的异议。</w:t>
      </w:r>
    </w:p>
    <w:p w14:paraId="521FD9B7">
      <w:pPr>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鼓励中标候选人的法定代表人或其委托代理人现场参加定标会议。通过核查的中标候选人(法定代表人或委托代理人)在规定的时间、地点到达现场参与定标会议(法定代表人需提供法定代表人身份证明，委托代理人需提供授权委托书及身份证原件)</w:t>
      </w:r>
      <w:r>
        <w:rPr>
          <w:rFonts w:ascii="宋体" w:hAnsi="宋体" w:cs="宋体"/>
          <w:b/>
          <w:bCs/>
          <w:sz w:val="24"/>
          <w:szCs w:val="24"/>
        </w:rPr>
        <w:t>，</w:t>
      </w:r>
      <w:r>
        <w:rPr>
          <w:rFonts w:hint="eastAsia" w:ascii="宋体" w:hAnsi="宋体" w:cs="宋体"/>
          <w:b/>
          <w:bCs/>
          <w:sz w:val="24"/>
          <w:szCs w:val="24"/>
        </w:rPr>
        <w:t>未到场的中标候选人需出具委托定标委员会成员代为抽取代码球的授权委托书。中标候选人根据自身情况按需参会。</w:t>
      </w:r>
    </w:p>
    <w:p w14:paraId="6A2368B8">
      <w:pPr>
        <w:spacing w:line="360" w:lineRule="auto"/>
        <w:jc w:val="left"/>
        <w:rPr>
          <w:rFonts w:ascii="宋体" w:hAnsi="宋体" w:cs="黑体"/>
          <w:b/>
          <w:sz w:val="24"/>
        </w:rPr>
      </w:pPr>
      <w:r>
        <w:rPr>
          <w:rFonts w:hint="eastAsia" w:ascii="宋体" w:hAnsi="宋体" w:cs="黑体"/>
          <w:b/>
          <w:sz w:val="24"/>
        </w:rPr>
        <w:t>4、定标委员会的组建</w:t>
      </w:r>
    </w:p>
    <w:p w14:paraId="0F29B5F6">
      <w:pPr>
        <w:spacing w:line="360" w:lineRule="auto"/>
        <w:ind w:firstLine="480" w:firstLineChars="200"/>
        <w:jc w:val="left"/>
        <w:rPr>
          <w:rFonts w:ascii="宋体" w:hAnsi="宋体" w:cs="宋体"/>
          <w:sz w:val="24"/>
        </w:rPr>
      </w:pPr>
      <w:r>
        <w:rPr>
          <w:rFonts w:hint="eastAsia" w:ascii="宋体" w:hAnsi="宋体" w:cs="宋体"/>
          <w:sz w:val="24"/>
        </w:rPr>
        <w:t>招标人应当组建定标委员会，负责对中标候选人进行核查和组织召开定标会议等内容。定标工作应当由定标委员会独立完成。</w:t>
      </w:r>
    </w:p>
    <w:p w14:paraId="2927913F">
      <w:pPr>
        <w:spacing w:line="360" w:lineRule="auto"/>
        <w:ind w:firstLine="480" w:firstLineChars="200"/>
        <w:jc w:val="left"/>
        <w:rPr>
          <w:rFonts w:ascii="宋体" w:hAnsi="宋体" w:cs="宋体"/>
          <w:sz w:val="24"/>
        </w:rPr>
      </w:pPr>
      <w:r>
        <w:rPr>
          <w:rFonts w:hint="eastAsia" w:ascii="宋体" w:hAnsi="宋体" w:cs="宋体"/>
          <w:sz w:val="24"/>
        </w:rPr>
        <w:t>定标委员会成员数量为5人及以上单数，本单位成员不得低于成员总数的三分之二。定标委员会组长由招标人确定，原则上由招标人的法定代表人、主要负责人或分管负责人担任，其他成员由招标人自行选定。</w:t>
      </w:r>
    </w:p>
    <w:p w14:paraId="275BF13C">
      <w:pPr>
        <w:spacing w:line="360" w:lineRule="auto"/>
        <w:ind w:firstLine="480" w:firstLineChars="200"/>
        <w:jc w:val="left"/>
        <w:rPr>
          <w:rFonts w:ascii="宋体" w:hAnsi="宋体" w:cs="宋体"/>
          <w:sz w:val="24"/>
        </w:rPr>
      </w:pPr>
      <w:r>
        <w:rPr>
          <w:rFonts w:hint="eastAsia" w:ascii="宋体" w:hAnsi="宋体" w:cs="宋体"/>
          <w:sz w:val="24"/>
        </w:rPr>
        <w:t>定标委员会成员与中标候选人有利害关系的应当主动申请回避。</w:t>
      </w:r>
    </w:p>
    <w:p w14:paraId="37E261E7">
      <w:pPr>
        <w:spacing w:line="360" w:lineRule="auto"/>
        <w:jc w:val="left"/>
        <w:rPr>
          <w:rFonts w:ascii="宋体" w:hAnsi="宋体" w:cs="黑体"/>
          <w:b/>
          <w:sz w:val="24"/>
        </w:rPr>
      </w:pPr>
      <w:r>
        <w:rPr>
          <w:rFonts w:hint="eastAsia" w:ascii="宋体" w:hAnsi="宋体" w:cs="黑体"/>
          <w:b/>
          <w:sz w:val="24"/>
        </w:rPr>
        <w:t>5、定标核查内容</w:t>
      </w:r>
    </w:p>
    <w:p w14:paraId="31B0E43E">
      <w:pPr>
        <w:spacing w:line="360" w:lineRule="auto"/>
        <w:ind w:firstLine="480" w:firstLineChars="200"/>
        <w:jc w:val="left"/>
        <w:rPr>
          <w:rFonts w:ascii="宋体" w:hAnsi="宋体" w:cs="宋体"/>
          <w:b/>
          <w:bCs/>
          <w:sz w:val="24"/>
        </w:rPr>
      </w:pPr>
      <w:r>
        <w:rPr>
          <w:rFonts w:hint="eastAsia" w:ascii="宋体" w:hAnsi="宋体" w:cs="宋体"/>
          <w:sz w:val="24"/>
        </w:rPr>
        <w:t>在定标会议前，由定标委员会对定标候选人进行定标核查。</w:t>
      </w:r>
    </w:p>
    <w:p w14:paraId="3710373B">
      <w:pPr>
        <w:spacing w:line="360" w:lineRule="auto"/>
        <w:jc w:val="left"/>
        <w:rPr>
          <w:rFonts w:ascii="宋体" w:hAnsi="宋体" w:cs="宋体"/>
          <w:b/>
          <w:bCs/>
          <w:sz w:val="24"/>
        </w:rPr>
      </w:pPr>
      <w:r>
        <w:rPr>
          <w:rFonts w:hint="eastAsia" w:ascii="宋体" w:hAnsi="宋体" w:cs="宋体"/>
          <w:b/>
          <w:bCs/>
          <w:sz w:val="24"/>
        </w:rPr>
        <w:t>6、核查内容包括：</w:t>
      </w:r>
    </w:p>
    <w:p w14:paraId="64A9F081">
      <w:pPr>
        <w:spacing w:line="440" w:lineRule="exact"/>
        <w:ind w:firstLine="480" w:firstLineChars="200"/>
        <w:jc w:val="left"/>
        <w:rPr>
          <w:rFonts w:ascii="宋体" w:hAnsi="宋体" w:cs="宋体"/>
          <w:sz w:val="24"/>
        </w:rPr>
      </w:pPr>
      <w:r>
        <w:rPr>
          <w:rFonts w:hint="eastAsia" w:ascii="宋体" w:hAnsi="宋体" w:cs="宋体"/>
          <w:sz w:val="24"/>
        </w:rPr>
        <w:t>在定标会召开前,定标委员会应当首先对中标候选人按照招标文件中载明的核查内容和方式进行核查，形成核查报告，核查报告在定标会议召开前应当保密。定标委员会经核查发现中标候选人确有问题的，应当主动向行政监督部门报告，并依规否决相应中标候选人的中标资格。</w:t>
      </w:r>
    </w:p>
    <w:p w14:paraId="17F890B4">
      <w:pPr>
        <w:spacing w:line="420" w:lineRule="exact"/>
        <w:ind w:firstLine="480" w:firstLineChars="200"/>
        <w:jc w:val="left"/>
        <w:rPr>
          <w:rFonts w:ascii="宋体" w:hAnsi="宋体"/>
          <w:sz w:val="24"/>
          <w:szCs w:val="24"/>
        </w:rPr>
      </w:pPr>
      <w:r>
        <w:rPr>
          <w:rFonts w:hint="eastAsia" w:ascii="宋体" w:hAnsi="宋体" w:cs="宋体"/>
          <w:sz w:val="24"/>
        </w:rPr>
        <w:t>核查内容包括信用信息、履约能力、是否采取考察或质询方式（本项目</w:t>
      </w:r>
      <w:bookmarkStart w:id="390" w:name="OLE_LINK47"/>
      <w:r>
        <w:rPr>
          <w:rFonts w:hint="eastAsia" w:ascii="宋体" w:hAnsi="宋体" w:cs="宋体"/>
          <w:sz w:val="24"/>
        </w:rPr>
        <w:t>不进行</w:t>
      </w:r>
      <w:bookmarkEnd w:id="390"/>
      <w:r>
        <w:rPr>
          <w:rFonts w:hint="eastAsia" w:ascii="宋体" w:hAnsi="宋体" w:cs="宋体"/>
          <w:sz w:val="24"/>
        </w:rPr>
        <w:t>考察，不进行质询），以及招标人认为其他需要核查的其他内容。核查内容不得设置不合理限制和隐形壁垒。招标文件中没有规定的核查标准和方法不得作为定标核查的依据，不得在定标过程中随意新增定标资格条件和要求。核查详细内容包括：</w:t>
      </w:r>
    </w:p>
    <w:p w14:paraId="551F85C4">
      <w:pPr>
        <w:spacing w:line="420" w:lineRule="exact"/>
        <w:ind w:firstLine="480" w:firstLineChars="200"/>
        <w:jc w:val="left"/>
        <w:rPr>
          <w:rFonts w:ascii="宋体" w:hAnsi="宋体"/>
          <w:sz w:val="24"/>
          <w:szCs w:val="24"/>
        </w:rPr>
      </w:pPr>
      <w:r>
        <w:rPr>
          <w:rFonts w:hint="eastAsia" w:ascii="宋体" w:hAnsi="宋体"/>
          <w:sz w:val="24"/>
          <w:szCs w:val="24"/>
        </w:rPr>
        <w:t>（1）投标人须具有独立承担民事责任的能力，提供有效的营业执照；</w:t>
      </w:r>
    </w:p>
    <w:p w14:paraId="23497E68">
      <w:pPr>
        <w:spacing w:line="420" w:lineRule="exact"/>
        <w:ind w:firstLine="480" w:firstLineChars="200"/>
        <w:jc w:val="left"/>
        <w:rPr>
          <w:rFonts w:ascii="宋体" w:hAnsi="宋体"/>
          <w:sz w:val="24"/>
          <w:szCs w:val="24"/>
        </w:rPr>
      </w:pPr>
      <w:r>
        <w:rPr>
          <w:rFonts w:hint="eastAsia" w:ascii="宋体" w:hAnsi="宋体"/>
          <w:sz w:val="24"/>
          <w:szCs w:val="24"/>
        </w:rPr>
        <w:t>（2）投标人应具备公路工程施工总承包三级及以上资质，有效的安全生产许可证，并在人员、设备、资金等方面具有相应的施工能力；</w:t>
      </w:r>
    </w:p>
    <w:p w14:paraId="10E23FEE">
      <w:pPr>
        <w:spacing w:line="420" w:lineRule="exact"/>
        <w:ind w:firstLine="480" w:firstLineChars="200"/>
        <w:jc w:val="left"/>
        <w:rPr>
          <w:rFonts w:ascii="宋体" w:hAnsi="宋体"/>
          <w:sz w:val="24"/>
          <w:szCs w:val="24"/>
        </w:rPr>
      </w:pPr>
      <w:r>
        <w:rPr>
          <w:rFonts w:hint="eastAsia" w:ascii="宋体" w:hAnsi="宋体"/>
          <w:sz w:val="24"/>
          <w:szCs w:val="24"/>
        </w:rPr>
        <w:t>（3）拟派项目经理须具备公路工程专业贰级及以上注册建造师资格、安全生产考核合格证（交安B证），并出具项目经理无在建工程承诺书，技术负责人应具备相关专业的中级及以上技术职称（提供项目经理和技术负责人本企业缴纳社会养老保险的缴费证明）；</w:t>
      </w:r>
    </w:p>
    <w:p w14:paraId="204700F5">
      <w:pPr>
        <w:spacing w:line="420" w:lineRule="exact"/>
        <w:ind w:firstLine="480" w:firstLineChars="200"/>
        <w:jc w:val="left"/>
        <w:rPr>
          <w:rFonts w:ascii="宋体" w:hAnsi="宋体"/>
          <w:sz w:val="24"/>
          <w:szCs w:val="24"/>
        </w:rPr>
      </w:pPr>
      <w:r>
        <w:rPr>
          <w:rFonts w:hint="eastAsia" w:ascii="宋体" w:hAnsi="宋体"/>
          <w:sz w:val="24"/>
          <w:szCs w:val="24"/>
        </w:rPr>
        <w:t>（4）投标人自行出具本单位无商业贿赂及无不正当竞争行为的承诺书；</w:t>
      </w:r>
    </w:p>
    <w:p w14:paraId="4F605FC8">
      <w:pPr>
        <w:spacing w:line="420" w:lineRule="exact"/>
        <w:ind w:firstLine="480" w:firstLineChars="200"/>
        <w:jc w:val="left"/>
        <w:rPr>
          <w:rFonts w:ascii="宋体" w:hAnsi="宋体"/>
          <w:sz w:val="24"/>
          <w:szCs w:val="24"/>
        </w:rPr>
      </w:pPr>
      <w:r>
        <w:rPr>
          <w:rFonts w:hint="eastAsia" w:ascii="宋体" w:hAnsi="宋体"/>
          <w:sz w:val="24"/>
          <w:szCs w:val="24"/>
        </w:rPr>
        <w:t>（5）投标人出具无行贿犯罪记录在中国裁判文书网自行查询或自行承诺（查询对象：企业、法定代表人、拟派项目经理）；</w:t>
      </w:r>
    </w:p>
    <w:p w14:paraId="15C590F6">
      <w:pPr>
        <w:spacing w:line="420" w:lineRule="exact"/>
        <w:ind w:firstLine="480" w:firstLineChars="200"/>
        <w:jc w:val="left"/>
        <w:rPr>
          <w:rFonts w:ascii="宋体" w:hAnsi="宋体"/>
          <w:sz w:val="24"/>
          <w:szCs w:val="24"/>
        </w:rPr>
      </w:pPr>
      <w:r>
        <w:rPr>
          <w:rFonts w:hint="eastAsia" w:ascii="宋体" w:hAnsi="宋体"/>
          <w:sz w:val="24"/>
          <w:szCs w:val="24"/>
        </w:rPr>
        <w:t>（6）根据《关于在政府采购活动中查询及使用信用记录有关问题的通知》(财库[2016]125号)和豫财购【2016】15号的规定，对列入失信被执行人、重大税收违法失信主体、政府采购严重违法失信行为记录名单的投标人，拒绝参与本项目采购活动；【“信用中国”网站（www.creditchina.gov.cn），查询内容：重大税收违法失信主体、政府采购严重违法失信行为；“中国执行信息公开网”（http://zxgk.court.gov.cn），查询内容：失信被执行人；中国政府采购网（www.ccgp.gov.cn），查询内容：政府采购严重违法失信行为记录名单】；投标人须提供查询结果截图，查询日期为本公告发布之日起；</w:t>
      </w:r>
    </w:p>
    <w:p w14:paraId="5C02CB39">
      <w:pPr>
        <w:spacing w:line="420" w:lineRule="exact"/>
        <w:ind w:firstLine="480" w:firstLineChars="200"/>
        <w:jc w:val="left"/>
        <w:rPr>
          <w:rFonts w:ascii="宋体" w:hAnsi="宋体"/>
          <w:sz w:val="24"/>
          <w:szCs w:val="24"/>
        </w:rPr>
      </w:pPr>
      <w:r>
        <w:rPr>
          <w:rFonts w:hint="eastAsia" w:ascii="宋体" w:hAnsi="宋体"/>
          <w:sz w:val="24"/>
          <w:szCs w:val="24"/>
        </w:rPr>
        <w:t>（7）单位负责人为同一人或者存在控股、管理关系的不同投标人，不得同时参加本项目招标活动（提供“国家企业信用信息公示系统” http://www.gsxt.gov.cn/index.html网页查询，需包含公司基本信息、股东信息及股权变更信息内容）；</w:t>
      </w:r>
    </w:p>
    <w:p w14:paraId="0CC393DA">
      <w:pPr>
        <w:spacing w:line="420" w:lineRule="exact"/>
        <w:ind w:firstLine="480" w:firstLineChars="200"/>
        <w:jc w:val="left"/>
        <w:rPr>
          <w:rFonts w:ascii="宋体" w:hAnsi="宋体"/>
          <w:sz w:val="24"/>
          <w:szCs w:val="24"/>
        </w:rPr>
      </w:pPr>
      <w:r>
        <w:rPr>
          <w:rFonts w:hint="eastAsia" w:ascii="宋体" w:hAnsi="宋体"/>
          <w:sz w:val="24"/>
          <w:szCs w:val="24"/>
        </w:rPr>
        <w:t>（8）本项目不接受联合体投标；</w:t>
      </w:r>
    </w:p>
    <w:p w14:paraId="25166446">
      <w:pPr>
        <w:spacing w:line="420" w:lineRule="exact"/>
        <w:ind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）投标方案：施工组织设计的完整性、合理性、针对性及服务承诺等。</w:t>
      </w:r>
    </w:p>
    <w:p w14:paraId="57D66381">
      <w:pPr>
        <w:spacing w:line="440" w:lineRule="exact"/>
        <w:ind w:firstLine="480" w:firstLineChars="200"/>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）投标报价：核查中发现报价明显过低、可能影响质量或履约时，核查委员会可要求投标人书面说明并提供证明；不能证明合理性的，可否决投标。</w:t>
      </w:r>
    </w:p>
    <w:p w14:paraId="1A5C0FA4">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11</w:t>
      </w:r>
      <w:r>
        <w:rPr>
          <w:rFonts w:hint="eastAsia" w:ascii="宋体" w:hAnsi="宋体"/>
          <w:sz w:val="24"/>
          <w:szCs w:val="24"/>
          <w:highlight w:val="none"/>
          <w:lang w:eastAsia="zh-CN"/>
        </w:rPr>
        <w:t>）招标文件规定的其它内容。</w:t>
      </w:r>
    </w:p>
    <w:p w14:paraId="556F5C17">
      <w:pPr>
        <w:spacing w:line="440" w:lineRule="exact"/>
        <w:ind w:firstLine="480" w:firstLineChars="200"/>
        <w:rPr>
          <w:rFonts w:ascii="宋体" w:hAnsi="宋体"/>
          <w:sz w:val="24"/>
          <w:szCs w:val="24"/>
        </w:rPr>
      </w:pPr>
      <w:r>
        <w:rPr>
          <w:rFonts w:hint="eastAsia" w:ascii="宋体" w:hAnsi="宋体" w:cs="宋体"/>
          <w:sz w:val="24"/>
          <w:lang w:bidi="ar"/>
        </w:rPr>
        <w:t>注：以上核查内容应按照招标文件要求在投标文件中附相应证明材料的扫描件。不提供、证明资料不齐全或部分无效的视为核查不通过。</w:t>
      </w:r>
    </w:p>
    <w:p w14:paraId="523B97E3">
      <w:pPr>
        <w:spacing w:line="420" w:lineRule="exact"/>
        <w:ind w:firstLine="480" w:firstLineChars="200"/>
        <w:jc w:val="left"/>
        <w:rPr>
          <w:rFonts w:ascii="宋体" w:hAnsi="宋体" w:cs="宋体"/>
          <w:sz w:val="24"/>
        </w:rPr>
      </w:pPr>
      <w:r>
        <w:rPr>
          <w:rFonts w:hint="eastAsia" w:ascii="宋体" w:hAnsi="宋体"/>
          <w:sz w:val="24"/>
          <w:szCs w:val="24"/>
        </w:rPr>
        <w:t>定标委员会查实有中标候选人存在虚假投标、资质造假等影响中标结</w:t>
      </w:r>
      <w:r>
        <w:rPr>
          <w:rFonts w:hint="eastAsia" w:ascii="宋体" w:hAnsi="宋体" w:cs="宋体"/>
          <w:sz w:val="24"/>
        </w:rPr>
        <w:t>果的，以及违反法律、法规及招标文件相关规定的中标候选人核查结果为不合格，不得进入定标程序，并在核查报告中载明。</w:t>
      </w:r>
    </w:p>
    <w:p w14:paraId="4623C188">
      <w:pPr>
        <w:spacing w:line="360" w:lineRule="auto"/>
        <w:ind w:firstLine="480" w:firstLineChars="200"/>
        <w:jc w:val="left"/>
        <w:rPr>
          <w:rFonts w:ascii="宋体" w:hAnsi="宋体" w:cs="宋体"/>
          <w:sz w:val="24"/>
        </w:rPr>
      </w:pPr>
      <w:r>
        <w:rPr>
          <w:rFonts w:hint="eastAsia" w:ascii="宋体" w:hAnsi="宋体" w:cs="宋体"/>
          <w:sz w:val="24"/>
        </w:rPr>
        <w:t>经核查合格的中标候选人即可进入定标会议程序，如经核查合格的中标候选人数量为两家，招标人继续定标会议程序；如经核查合格的中标候选人数量为一家或全部不合格，招标人应重新招标。</w:t>
      </w:r>
    </w:p>
    <w:p w14:paraId="162AEC9F">
      <w:pPr>
        <w:spacing w:line="360" w:lineRule="auto"/>
        <w:ind w:firstLine="480" w:firstLineChars="200"/>
        <w:jc w:val="left"/>
        <w:rPr>
          <w:rFonts w:ascii="宋体" w:hAnsi="宋体" w:cs="宋体"/>
          <w:sz w:val="24"/>
        </w:rPr>
      </w:pPr>
      <w:r>
        <w:rPr>
          <w:rFonts w:hint="eastAsia" w:ascii="宋体" w:hAnsi="宋体" w:cs="宋体"/>
          <w:sz w:val="24"/>
        </w:rPr>
        <w:t>定标委员会应当严格履行定标环节核查责任，经核查发现中标候选人确有问题的，应当主动向监督部门报告，并依规否决相应中标候选人资格。</w:t>
      </w:r>
    </w:p>
    <w:p w14:paraId="145FA93B">
      <w:pPr>
        <w:numPr>
          <w:ilvl w:val="0"/>
          <w:numId w:val="0"/>
        </w:numPr>
        <w:spacing w:line="360" w:lineRule="auto"/>
        <w:ind w:firstLine="482" w:firstLineChars="200"/>
        <w:jc w:val="left"/>
        <w:rPr>
          <w:rFonts w:hint="eastAsia" w:ascii="宋体" w:hAnsi="宋体" w:cs="黑体"/>
          <w:b/>
          <w:color w:val="auto"/>
          <w:sz w:val="24"/>
          <w:highlight w:val="none"/>
          <w:lang w:val="en-US" w:eastAsia="zh-CN"/>
        </w:rPr>
      </w:pPr>
      <w:r>
        <w:rPr>
          <w:rFonts w:hint="eastAsia" w:ascii="宋体" w:hAnsi="宋体" w:cs="黑体"/>
          <w:b/>
          <w:color w:val="auto"/>
          <w:sz w:val="24"/>
          <w:highlight w:val="none"/>
          <w:lang w:val="en-US" w:eastAsia="zh-CN"/>
        </w:rPr>
        <w:t>核查方式：各中标候选人应当在中标候选人公告发出之日起三日内将投标文件纸质版1套及电子版（电子U盘，内容为纸质版扫描件及投标预算excel版）送达至灵宝市尹庄镇人民政府办公室，联系人：李女士，联系方式：18639886663。</w:t>
      </w:r>
    </w:p>
    <w:p w14:paraId="42C89BEE">
      <w:pPr>
        <w:spacing w:line="360" w:lineRule="auto"/>
        <w:ind w:firstLine="482" w:firstLineChars="200"/>
        <w:jc w:val="left"/>
        <w:rPr>
          <w:rFonts w:ascii="宋体" w:hAnsi="宋体" w:cs="黑体"/>
          <w:b/>
          <w:sz w:val="24"/>
        </w:rPr>
      </w:pPr>
      <w:r>
        <w:rPr>
          <w:rFonts w:hint="eastAsia" w:ascii="宋体" w:hAnsi="宋体" w:cs="黑体"/>
          <w:b/>
          <w:sz w:val="24"/>
        </w:rPr>
        <w:t>7、定标程序</w:t>
      </w:r>
    </w:p>
    <w:p w14:paraId="372DCFB8">
      <w:pPr>
        <w:spacing w:line="360" w:lineRule="auto"/>
        <w:ind w:firstLine="480" w:firstLineChars="200"/>
        <w:jc w:val="left"/>
        <w:rPr>
          <w:rFonts w:ascii="宋体" w:hAnsi="宋体" w:cs="宋体"/>
          <w:sz w:val="24"/>
        </w:rPr>
      </w:pPr>
      <w:r>
        <w:rPr>
          <w:rFonts w:hint="eastAsia" w:ascii="宋体" w:hAnsi="宋体" w:cs="宋体"/>
          <w:sz w:val="24"/>
        </w:rPr>
        <w:t>7.1定标会议在灵宝市公共资源交易中心按流程进行，由招标代理机构主持人介绍参会人员及定标委员会成员，具体程序分为以下几方面：</w:t>
      </w:r>
    </w:p>
    <w:p w14:paraId="00E5F7A1">
      <w:pPr>
        <w:spacing w:line="360" w:lineRule="auto"/>
        <w:ind w:firstLine="480" w:firstLineChars="200"/>
        <w:jc w:val="left"/>
        <w:rPr>
          <w:rFonts w:ascii="宋体" w:hAnsi="宋体" w:cs="宋体"/>
          <w:sz w:val="24"/>
        </w:rPr>
      </w:pPr>
      <w:r>
        <w:rPr>
          <w:rFonts w:ascii="宋体" w:hAnsi="宋体" w:cs="宋体"/>
          <w:sz w:val="24"/>
        </w:rPr>
        <w:t>1.宣读定标会议纪律；</w:t>
      </w:r>
    </w:p>
    <w:p w14:paraId="10E947A1">
      <w:pPr>
        <w:spacing w:line="360" w:lineRule="auto"/>
        <w:ind w:firstLine="480" w:firstLineChars="200"/>
        <w:jc w:val="left"/>
        <w:rPr>
          <w:rFonts w:ascii="宋体" w:hAnsi="宋体" w:cs="宋体"/>
          <w:sz w:val="24"/>
        </w:rPr>
      </w:pPr>
      <w:r>
        <w:rPr>
          <w:rFonts w:ascii="宋体" w:hAnsi="宋体" w:cs="宋体"/>
          <w:sz w:val="24"/>
        </w:rPr>
        <w:t>2.介绍项目关联单位；</w:t>
      </w:r>
    </w:p>
    <w:p w14:paraId="0273A964">
      <w:pPr>
        <w:spacing w:line="360" w:lineRule="auto"/>
        <w:ind w:firstLine="480" w:firstLineChars="200"/>
        <w:jc w:val="left"/>
        <w:rPr>
          <w:rFonts w:ascii="宋体" w:hAnsi="宋体" w:cs="宋体"/>
          <w:sz w:val="24"/>
        </w:rPr>
      </w:pPr>
      <w:r>
        <w:rPr>
          <w:rFonts w:ascii="宋体" w:hAnsi="宋体" w:cs="宋体"/>
          <w:sz w:val="24"/>
        </w:rPr>
        <w:t>3.定标委员会签署承诺书；</w:t>
      </w:r>
    </w:p>
    <w:p w14:paraId="6D231D3A">
      <w:pPr>
        <w:spacing w:line="360" w:lineRule="auto"/>
        <w:ind w:firstLine="480" w:firstLineChars="200"/>
        <w:jc w:val="left"/>
        <w:rPr>
          <w:rFonts w:ascii="宋体" w:hAnsi="宋体" w:cs="宋体"/>
          <w:sz w:val="24"/>
        </w:rPr>
      </w:pPr>
      <w:r>
        <w:rPr>
          <w:rFonts w:ascii="宋体" w:hAnsi="宋体" w:cs="宋体"/>
          <w:sz w:val="24"/>
        </w:rPr>
        <w:t>4.介绍开评标过程及评标委员会推荐中标候选人情况；</w:t>
      </w:r>
    </w:p>
    <w:p w14:paraId="2033DADB">
      <w:pPr>
        <w:spacing w:line="360" w:lineRule="auto"/>
        <w:ind w:firstLine="480" w:firstLineChars="200"/>
        <w:jc w:val="left"/>
        <w:rPr>
          <w:rFonts w:ascii="宋体" w:hAnsi="宋体" w:cs="宋体"/>
          <w:sz w:val="24"/>
        </w:rPr>
      </w:pPr>
      <w:r>
        <w:rPr>
          <w:rFonts w:ascii="宋体" w:hAnsi="宋体" w:cs="宋体"/>
          <w:sz w:val="24"/>
        </w:rPr>
        <w:t>5.定标委员会代表宣读核查内容及结果；</w:t>
      </w:r>
    </w:p>
    <w:p w14:paraId="2AE7DFE0">
      <w:pPr>
        <w:spacing w:line="360" w:lineRule="auto"/>
        <w:ind w:firstLine="480" w:firstLineChars="200"/>
        <w:jc w:val="left"/>
        <w:rPr>
          <w:rFonts w:ascii="宋体" w:hAnsi="宋体" w:cs="宋体"/>
          <w:sz w:val="24"/>
        </w:rPr>
      </w:pPr>
      <w:r>
        <w:rPr>
          <w:rFonts w:ascii="宋体" w:hAnsi="宋体" w:cs="宋体"/>
          <w:sz w:val="24"/>
        </w:rPr>
        <w:t>6.进入定标程序。</w:t>
      </w:r>
    </w:p>
    <w:p w14:paraId="734F890C">
      <w:pPr>
        <w:spacing w:line="440" w:lineRule="exact"/>
        <w:ind w:firstLine="480" w:firstLineChars="200"/>
        <w:jc w:val="left"/>
        <w:rPr>
          <w:rFonts w:ascii="宋体" w:hAnsi="宋体" w:cs="黑体"/>
          <w:bCs/>
          <w:sz w:val="24"/>
        </w:rPr>
      </w:pPr>
      <w:r>
        <w:rPr>
          <w:rFonts w:hint="eastAsia" w:ascii="宋体" w:hAnsi="宋体" w:cs="黑体"/>
          <w:bCs/>
          <w:sz w:val="24"/>
        </w:rPr>
        <w:t>（1）检查、投放号码球。公证处人员检查抽取箱和号码球，面对摄像头展示号码球，并将等于中标候选人数量的号码球投入抽取箱。双手抱起抽取箱摇动号码球后，面对摄像头和参会人员展示抽取箱透明面。</w:t>
      </w:r>
    </w:p>
    <w:p w14:paraId="610DADEE">
      <w:pPr>
        <w:spacing w:line="440" w:lineRule="exact"/>
        <w:ind w:firstLine="480" w:firstLineChars="200"/>
        <w:jc w:val="left"/>
        <w:rPr>
          <w:rFonts w:ascii="宋体" w:hAnsi="宋体" w:cs="黑体"/>
          <w:bCs/>
          <w:sz w:val="24"/>
        </w:rPr>
      </w:pPr>
      <w:r>
        <w:rPr>
          <w:rFonts w:hint="eastAsia" w:ascii="宋体" w:hAnsi="宋体" w:cs="黑体"/>
          <w:bCs/>
          <w:sz w:val="24"/>
        </w:rPr>
        <w:t>（2）抽取中标候选人代码球。先由到场的中标候选人法定代表人或其授权委托代理人（按签到顺序）抽取代码球，再由未到场的中标候选人委托定标委员会成员抽取代码球。代码球抽取过程应无遮挡行为。招标代理机构人员应及时将中标候选人抽取的代码球号记录准确，并在大屏幕展示。</w:t>
      </w:r>
    </w:p>
    <w:p w14:paraId="746FFFC7">
      <w:pPr>
        <w:spacing w:line="440" w:lineRule="exact"/>
        <w:ind w:firstLine="480" w:firstLineChars="200"/>
        <w:jc w:val="left"/>
        <w:rPr>
          <w:rFonts w:ascii="宋体" w:hAnsi="宋体" w:cs="黑体"/>
          <w:bCs/>
          <w:sz w:val="24"/>
        </w:rPr>
      </w:pPr>
      <w:r>
        <w:rPr>
          <w:rFonts w:hint="eastAsia" w:ascii="宋体" w:hAnsi="宋体" w:cs="黑体"/>
          <w:bCs/>
          <w:sz w:val="24"/>
        </w:rPr>
        <w:t>抽取时，抽取人站在抽取箱背面（抽取箱透明面为正面），待公正处人员随机摇晃抽取箱后，抽取人应扭头侧身快速抽取代码球，面对摄像机向参会人员展示抽取的代码球后，交给公证处人员。公证处人员现场宣读抽取的代码球号，并将代码球放置在指定位置上。直至所有中标候选人抽取完毕。</w:t>
      </w:r>
    </w:p>
    <w:p w14:paraId="3157D0CE">
      <w:pPr>
        <w:spacing w:line="440" w:lineRule="exact"/>
        <w:ind w:firstLine="480" w:firstLineChars="200"/>
        <w:jc w:val="left"/>
        <w:rPr>
          <w:rFonts w:ascii="宋体" w:hAnsi="宋体" w:cs="黑体"/>
          <w:bCs/>
          <w:sz w:val="24"/>
        </w:rPr>
      </w:pPr>
      <w:r>
        <w:rPr>
          <w:rFonts w:hint="eastAsia" w:ascii="宋体" w:hAnsi="宋体" w:cs="黑体"/>
          <w:bCs/>
          <w:sz w:val="24"/>
        </w:rPr>
        <w:t>(3)所有中标候选人抽取完毕后，招标代理机构现场打印《中标候选人抽取代码球号记录表》，定标委员会成员签字存档。</w:t>
      </w:r>
    </w:p>
    <w:p w14:paraId="2BABB85D">
      <w:pPr>
        <w:spacing w:line="440" w:lineRule="exact"/>
        <w:ind w:firstLine="480" w:firstLineChars="200"/>
        <w:jc w:val="left"/>
        <w:rPr>
          <w:rFonts w:ascii="宋体" w:hAnsi="宋体" w:cs="黑体"/>
          <w:bCs/>
          <w:sz w:val="24"/>
        </w:rPr>
      </w:pPr>
      <w:r>
        <w:rPr>
          <w:rFonts w:hint="eastAsia" w:ascii="宋体" w:hAnsi="宋体" w:cs="黑体"/>
          <w:bCs/>
          <w:sz w:val="24"/>
        </w:rPr>
        <w:t>(4)抽取中标人号码球。公证处人员再次检查抽取箱和中标候选人代码球，并将代码球投入抽取箱并随机摇晃抽取箱。定标委员会组长随机抽取代码球，抽中的号码所对应的中标候选人确定为中标人。</w:t>
      </w:r>
    </w:p>
    <w:p w14:paraId="4BDD7639">
      <w:pPr>
        <w:spacing w:line="440" w:lineRule="exact"/>
        <w:ind w:firstLine="480" w:firstLineChars="200"/>
        <w:jc w:val="left"/>
        <w:rPr>
          <w:rFonts w:ascii="宋体" w:hAnsi="宋体" w:cs="黑体"/>
          <w:bCs/>
          <w:sz w:val="24"/>
        </w:rPr>
      </w:pPr>
      <w:r>
        <w:rPr>
          <w:rFonts w:hint="eastAsia" w:ascii="宋体" w:hAnsi="宋体" w:cs="黑体"/>
          <w:bCs/>
          <w:sz w:val="24"/>
        </w:rPr>
        <w:t>抽取时，定标委员会组长站在抽取箱背面，扭头侧身快速抽取代码球，面对摄像机向参会人员展示抽取的代码球后，交给公证处人员。代码球抽取过程应无遮挡行为。公证处人员现场宣读抽取的代码球号，并把代码球放置在中标人放置架上。</w:t>
      </w:r>
    </w:p>
    <w:p w14:paraId="782E0A34">
      <w:pPr>
        <w:spacing w:line="440" w:lineRule="exact"/>
        <w:ind w:firstLine="480" w:firstLineChars="200"/>
        <w:jc w:val="left"/>
        <w:rPr>
          <w:rFonts w:ascii="宋体" w:hAnsi="宋体" w:cs="黑体"/>
          <w:bCs/>
          <w:sz w:val="24"/>
        </w:rPr>
      </w:pPr>
      <w:r>
        <w:rPr>
          <w:rFonts w:hint="eastAsia" w:ascii="宋体" w:hAnsi="宋体" w:cs="黑体"/>
          <w:bCs/>
          <w:sz w:val="24"/>
        </w:rPr>
        <w:t>(5)宣读中标人。定标委员会组长宣布中标人，招标代理机构人员现场填写中标人信息和出具《定标报告》。</w:t>
      </w:r>
    </w:p>
    <w:p w14:paraId="0AC8F832">
      <w:pPr>
        <w:spacing w:line="440" w:lineRule="exact"/>
        <w:ind w:firstLine="480" w:firstLineChars="200"/>
        <w:jc w:val="left"/>
        <w:rPr>
          <w:rFonts w:ascii="宋体" w:hAnsi="宋体" w:cs="黑体"/>
          <w:bCs/>
          <w:sz w:val="24"/>
        </w:rPr>
      </w:pPr>
      <w:r>
        <w:rPr>
          <w:rFonts w:hint="eastAsia" w:ascii="宋体" w:hAnsi="宋体" w:cs="黑体"/>
          <w:bCs/>
          <w:sz w:val="24"/>
        </w:rPr>
        <w:t>(6)签字确认。定标委员会成员、行政监督部门人员在《定标报告》《抽取结果表》《定标见证记录表》上签字。</w:t>
      </w:r>
    </w:p>
    <w:p w14:paraId="4A1AC070">
      <w:pPr>
        <w:spacing w:line="440" w:lineRule="exact"/>
        <w:ind w:firstLine="480" w:firstLineChars="200"/>
        <w:jc w:val="left"/>
        <w:rPr>
          <w:rFonts w:ascii="宋体" w:hAnsi="宋体" w:cs="黑体"/>
          <w:bCs/>
          <w:sz w:val="24"/>
        </w:rPr>
      </w:pPr>
      <w:r>
        <w:rPr>
          <w:rFonts w:hint="eastAsia" w:ascii="宋体" w:hAnsi="宋体" w:cs="黑体"/>
          <w:bCs/>
          <w:sz w:val="24"/>
        </w:rPr>
        <w:t>(7)公证处人员宣读公证词。</w:t>
      </w:r>
    </w:p>
    <w:p w14:paraId="6B42D781">
      <w:pPr>
        <w:spacing w:line="440" w:lineRule="exact"/>
        <w:ind w:firstLine="480" w:firstLineChars="200"/>
        <w:jc w:val="left"/>
        <w:rPr>
          <w:rFonts w:ascii="宋体" w:hAnsi="宋体" w:cs="黑体"/>
          <w:bCs/>
          <w:sz w:val="24"/>
        </w:rPr>
      </w:pPr>
      <w:r>
        <w:rPr>
          <w:rFonts w:hint="eastAsia" w:ascii="宋体" w:hAnsi="宋体" w:cs="黑体"/>
          <w:bCs/>
          <w:sz w:val="24"/>
        </w:rPr>
        <w:t>(8)招标代理机构主持人宣布定标会议结束。</w:t>
      </w:r>
    </w:p>
    <w:p w14:paraId="64FCCCC3">
      <w:pPr>
        <w:spacing w:line="440" w:lineRule="exact"/>
        <w:ind w:firstLine="240" w:firstLineChars="100"/>
        <w:jc w:val="left"/>
        <w:rPr>
          <w:rFonts w:ascii="宋体" w:hAnsi="宋体" w:cs="宋体"/>
          <w:bCs/>
          <w:sz w:val="24"/>
        </w:rPr>
      </w:pPr>
      <w:r>
        <w:rPr>
          <w:rFonts w:hint="eastAsia" w:ascii="宋体" w:hAnsi="宋体" w:cs="宋体"/>
          <w:bCs/>
          <w:sz w:val="24"/>
        </w:rPr>
        <w:t>7.2 监督与确认</w:t>
      </w:r>
    </w:p>
    <w:p w14:paraId="610CABAB">
      <w:pPr>
        <w:spacing w:line="440" w:lineRule="exact"/>
        <w:ind w:firstLine="360" w:firstLineChars="150"/>
        <w:jc w:val="left"/>
        <w:rPr>
          <w:rFonts w:ascii="宋体" w:hAnsi="宋体" w:cs="宋体"/>
          <w:bCs/>
          <w:sz w:val="24"/>
        </w:rPr>
      </w:pPr>
      <w:r>
        <w:rPr>
          <w:rFonts w:hint="eastAsia" w:ascii="宋体" w:hAnsi="宋体" w:cs="宋体"/>
          <w:bCs/>
          <w:sz w:val="24"/>
        </w:rPr>
        <w:t>（1）随机抽取全过程在招标投标监督管理部门及公证机构监督下进行，抽取结果当场公布，由招标人、投标人代表、监督部门及公证机构共同签字确认 。</w:t>
      </w:r>
    </w:p>
    <w:p w14:paraId="500F998D">
      <w:pPr>
        <w:spacing w:line="360" w:lineRule="auto"/>
        <w:ind w:firstLine="480" w:firstLineChars="200"/>
        <w:jc w:val="left"/>
        <w:rPr>
          <w:rFonts w:ascii="宋体" w:hAnsi="宋体" w:cs="宋体"/>
          <w:sz w:val="24"/>
        </w:rPr>
      </w:pPr>
      <w:r>
        <w:rPr>
          <w:rFonts w:hint="eastAsia" w:ascii="宋体" w:hAnsi="宋体" w:cs="宋体"/>
          <w:bCs/>
          <w:sz w:val="24"/>
        </w:rPr>
        <w:t>（2）投标人对抽取结果有异议的，应在结果公布后当场提出，招标人当场答复并记录在案；无异议的，抽取结果即时生效。</w:t>
      </w:r>
    </w:p>
    <w:p w14:paraId="61B0B56E">
      <w:pPr>
        <w:spacing w:line="360" w:lineRule="auto"/>
        <w:ind w:firstLine="482" w:firstLineChars="200"/>
        <w:jc w:val="left"/>
        <w:rPr>
          <w:rFonts w:ascii="宋体" w:hAnsi="宋体" w:cs="黑体"/>
          <w:b/>
          <w:sz w:val="24"/>
        </w:rPr>
      </w:pPr>
      <w:r>
        <w:rPr>
          <w:rFonts w:hint="eastAsia" w:ascii="宋体" w:hAnsi="宋体" w:cs="黑体"/>
          <w:b/>
          <w:sz w:val="24"/>
        </w:rPr>
        <w:t>8、定标报告</w:t>
      </w:r>
    </w:p>
    <w:p w14:paraId="3259F66F">
      <w:pPr>
        <w:spacing w:line="440" w:lineRule="exact"/>
        <w:ind w:firstLine="480" w:firstLineChars="200"/>
        <w:jc w:val="left"/>
        <w:rPr>
          <w:rFonts w:ascii="宋体" w:hAnsi="宋体" w:cs="宋体"/>
          <w:b/>
          <w:sz w:val="24"/>
        </w:rPr>
      </w:pPr>
      <w:r>
        <w:rPr>
          <w:rFonts w:hint="eastAsia" w:ascii="宋体" w:hAnsi="宋体" w:cs="宋体"/>
          <w:sz w:val="24"/>
        </w:rPr>
        <w:t>定标委员会应当按照招标文件中明确的定标原则、方法和程序，在中标候选人中确定中标人，并形成书面定标报告。</w:t>
      </w:r>
    </w:p>
    <w:p w14:paraId="488E773D">
      <w:pPr>
        <w:spacing w:line="440" w:lineRule="exact"/>
        <w:ind w:firstLine="482" w:firstLineChars="200"/>
        <w:jc w:val="left"/>
        <w:rPr>
          <w:rFonts w:ascii="宋体" w:hAnsi="宋体" w:cs="宋体"/>
          <w:sz w:val="24"/>
        </w:rPr>
      </w:pPr>
      <w:r>
        <w:rPr>
          <w:rFonts w:hint="eastAsia" w:ascii="宋体" w:hAnsi="宋体" w:cs="宋体"/>
          <w:b/>
          <w:sz w:val="24"/>
        </w:rPr>
        <w:t>定标报告应当包括定标时间、定标地点、定标委员会成员名单、定标原则、定标方法、择优因素、定标程序及定标结果等内容。</w:t>
      </w:r>
    </w:p>
    <w:p w14:paraId="2FBB15C3">
      <w:pPr>
        <w:spacing w:line="360" w:lineRule="auto"/>
        <w:ind w:firstLine="480" w:firstLineChars="200"/>
        <w:jc w:val="left"/>
        <w:rPr>
          <w:rFonts w:ascii="宋体" w:hAnsi="宋体" w:cs="宋体"/>
          <w:sz w:val="24"/>
        </w:rPr>
      </w:pPr>
      <w:r>
        <w:rPr>
          <w:rFonts w:hint="eastAsia" w:ascii="宋体" w:hAnsi="宋体" w:cs="宋体"/>
          <w:sz w:val="24"/>
        </w:rPr>
        <w:t>招标人应当在完成定标工作3日内发布中标结果公示，公示期不少于3日。中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02D6ED06">
      <w:pPr>
        <w:spacing w:line="360" w:lineRule="auto"/>
        <w:ind w:firstLine="482" w:firstLineChars="200"/>
        <w:jc w:val="left"/>
        <w:rPr>
          <w:rFonts w:ascii="宋体" w:hAnsi="宋体" w:cs="黑体"/>
          <w:b/>
          <w:sz w:val="24"/>
        </w:rPr>
      </w:pPr>
      <w:r>
        <w:rPr>
          <w:rFonts w:hint="eastAsia" w:ascii="宋体" w:hAnsi="宋体" w:cs="黑体"/>
          <w:b/>
          <w:sz w:val="24"/>
        </w:rPr>
        <w:t>9、定标后结果处置</w:t>
      </w:r>
    </w:p>
    <w:p w14:paraId="3947D1C3">
      <w:pPr>
        <w:spacing w:line="360" w:lineRule="auto"/>
        <w:ind w:firstLine="480" w:firstLineChars="200"/>
        <w:jc w:val="left"/>
        <w:rPr>
          <w:rFonts w:ascii="宋体" w:hAnsi="宋体" w:cs="宋体"/>
          <w:sz w:val="24"/>
        </w:rPr>
      </w:pPr>
      <w:r>
        <w:rPr>
          <w:rFonts w:hint="eastAsia" w:ascii="宋体" w:hAnsi="宋体" w:cs="宋体"/>
          <w:sz w:val="24"/>
        </w:rPr>
        <w:t>（1）确定的中标人经公示后无其他问题，可以发放《中标通知书》。</w:t>
      </w:r>
    </w:p>
    <w:p w14:paraId="44EC716B">
      <w:pPr>
        <w:spacing w:line="360" w:lineRule="auto"/>
        <w:ind w:firstLine="480" w:firstLineChars="200"/>
        <w:jc w:val="left"/>
        <w:rPr>
          <w:rFonts w:ascii="宋体" w:hAnsi="宋体" w:cs="宋体"/>
          <w:sz w:val="24"/>
        </w:rPr>
      </w:pPr>
      <w:r>
        <w:rPr>
          <w:rFonts w:hint="eastAsia" w:ascii="宋体" w:hAnsi="宋体" w:cs="宋体"/>
          <w:sz w:val="24"/>
        </w:rPr>
        <w:t>（2）对因中标人放弃中标、不可抗力不能履行合同、不按照招标文件要求缴纳履约保证金、不符合投标或中标条件或被查实存在影响中标结果的违法行为等情形，招标人可以在中标候选人中重新选取确定中标人，也可以重新招标。</w:t>
      </w:r>
    </w:p>
    <w:p w14:paraId="7EB94F49">
      <w:pPr>
        <w:spacing w:line="360" w:lineRule="auto"/>
        <w:ind w:firstLine="480" w:firstLineChars="200"/>
        <w:jc w:val="left"/>
        <w:rPr>
          <w:rFonts w:ascii="宋体" w:hAnsi="宋体" w:cs="宋体"/>
          <w:sz w:val="24"/>
        </w:rPr>
      </w:pPr>
      <w:r>
        <w:rPr>
          <w:rFonts w:hint="eastAsia" w:ascii="宋体" w:hAnsi="宋体" w:cs="宋体"/>
          <w:sz w:val="24"/>
        </w:rPr>
        <w:t>（3）对中标人以资金、技术等非正当理由放弃中标或被依法依规取消中标的，招标人应当移交有关行政监督部门依法规进行处理。</w:t>
      </w:r>
    </w:p>
    <w:p w14:paraId="2940C847">
      <w:pPr>
        <w:spacing w:line="360" w:lineRule="auto"/>
        <w:ind w:firstLine="482" w:firstLineChars="200"/>
        <w:jc w:val="left"/>
        <w:rPr>
          <w:rFonts w:ascii="宋体" w:hAnsi="宋体"/>
          <w:b/>
          <w:bCs/>
          <w:sz w:val="24"/>
          <w:szCs w:val="24"/>
        </w:rPr>
      </w:pPr>
      <w:r>
        <w:rPr>
          <w:rFonts w:hint="eastAsia" w:ascii="宋体" w:hAnsi="宋体"/>
          <w:b/>
          <w:bCs/>
          <w:sz w:val="24"/>
          <w:szCs w:val="24"/>
        </w:rPr>
        <w:t>10、定标后有下列情形之一的，应当重新定标</w:t>
      </w:r>
    </w:p>
    <w:p w14:paraId="4472B16D">
      <w:pPr>
        <w:spacing w:line="360" w:lineRule="auto"/>
        <w:ind w:firstLine="480" w:firstLineChars="200"/>
        <w:jc w:val="left"/>
        <w:rPr>
          <w:rFonts w:ascii="宋体" w:hAnsi="宋体"/>
          <w:sz w:val="24"/>
          <w:szCs w:val="24"/>
        </w:rPr>
      </w:pPr>
      <w:r>
        <w:rPr>
          <w:rFonts w:hint="eastAsia" w:ascii="宋体" w:hAnsi="宋体"/>
          <w:sz w:val="24"/>
          <w:szCs w:val="24"/>
        </w:rPr>
        <w:t>(1)定标委员会未按定标办法公正履职的；</w:t>
      </w:r>
    </w:p>
    <w:p w14:paraId="01846E81">
      <w:pPr>
        <w:spacing w:line="360" w:lineRule="auto"/>
        <w:ind w:firstLine="480" w:firstLineChars="200"/>
        <w:jc w:val="left"/>
        <w:rPr>
          <w:rFonts w:ascii="宋体" w:hAnsi="宋体"/>
          <w:sz w:val="24"/>
          <w:szCs w:val="24"/>
        </w:rPr>
      </w:pPr>
      <w:r>
        <w:rPr>
          <w:rFonts w:hint="eastAsia" w:ascii="宋体" w:hAnsi="宋体"/>
          <w:sz w:val="24"/>
          <w:szCs w:val="24"/>
        </w:rPr>
        <w:t>(2)定标委员会成员与中标候选人有利害关系且未回避；</w:t>
      </w:r>
    </w:p>
    <w:p w14:paraId="34F7FEED">
      <w:pPr>
        <w:spacing w:line="360" w:lineRule="auto"/>
        <w:ind w:firstLine="480" w:firstLineChars="200"/>
        <w:jc w:val="left"/>
        <w:rPr>
          <w:rFonts w:ascii="宋体" w:hAnsi="宋体"/>
          <w:sz w:val="24"/>
          <w:szCs w:val="24"/>
        </w:rPr>
      </w:pPr>
      <w:r>
        <w:rPr>
          <w:rFonts w:hint="eastAsia" w:ascii="宋体" w:hAnsi="宋体"/>
          <w:sz w:val="24"/>
          <w:szCs w:val="24"/>
        </w:rPr>
        <w:t>(3)招标文件规定的其他情形。</w:t>
      </w:r>
    </w:p>
    <w:p w14:paraId="1297F78C">
      <w:pPr>
        <w:spacing w:line="360" w:lineRule="auto"/>
        <w:ind w:firstLine="480" w:firstLineChars="200"/>
        <w:jc w:val="left"/>
        <w:rPr>
          <w:rFonts w:ascii="宋体" w:hAnsi="宋体"/>
          <w:sz w:val="24"/>
          <w:szCs w:val="24"/>
        </w:rPr>
      </w:pPr>
      <w:r>
        <w:rPr>
          <w:rFonts w:hint="eastAsia" w:ascii="宋体" w:hAnsi="宋体"/>
          <w:sz w:val="24"/>
          <w:szCs w:val="24"/>
        </w:rPr>
        <w:br w:type="page"/>
      </w:r>
    </w:p>
    <w:p w14:paraId="7C3ADEB3">
      <w:pPr>
        <w:rPr>
          <w:rFonts w:ascii="宋体" w:hAnsi="宋体"/>
          <w:sz w:val="24"/>
          <w:szCs w:val="24"/>
        </w:rPr>
        <w:sectPr>
          <w:pgSz w:w="11911" w:h="16838"/>
          <w:pgMar w:top="1440" w:right="1253" w:bottom="1440" w:left="1253" w:header="777" w:footer="964" w:gutter="0"/>
          <w:cols w:space="720" w:num="1"/>
        </w:sectPr>
      </w:pPr>
    </w:p>
    <w:p w14:paraId="1D6F947D">
      <w:pPr>
        <w:pStyle w:val="2"/>
        <w:rPr>
          <w:rFonts w:ascii="宋体" w:hAnsi="宋体"/>
          <w:b/>
          <w:sz w:val="32"/>
          <w:szCs w:val="32"/>
        </w:rPr>
      </w:pPr>
      <w:bookmarkStart w:id="391" w:name="_Toc8750"/>
      <w:bookmarkStart w:id="392" w:name="_Toc30268"/>
      <w:r>
        <w:rPr>
          <w:rFonts w:hint="eastAsia" w:ascii="宋体" w:hAnsi="宋体"/>
          <w:b/>
          <w:sz w:val="32"/>
          <w:szCs w:val="32"/>
        </w:rPr>
        <w:t>第五章 合同条款及格式</w:t>
      </w:r>
      <w:bookmarkEnd w:id="334"/>
      <w:bookmarkEnd w:id="335"/>
      <w:bookmarkEnd w:id="336"/>
      <w:bookmarkEnd w:id="337"/>
      <w:bookmarkEnd w:id="338"/>
      <w:bookmarkEnd w:id="339"/>
      <w:bookmarkEnd w:id="340"/>
      <w:bookmarkEnd w:id="341"/>
      <w:bookmarkEnd w:id="391"/>
      <w:bookmarkEnd w:id="392"/>
    </w:p>
    <w:p w14:paraId="166408D1">
      <w:pPr>
        <w:jc w:val="center"/>
        <w:rPr>
          <w:rFonts w:ascii="宋体" w:hAnsi="宋体" w:cs="宋体"/>
          <w:b/>
          <w:sz w:val="28"/>
          <w:szCs w:val="28"/>
        </w:rPr>
      </w:pPr>
      <w:r>
        <w:rPr>
          <w:rFonts w:hint="eastAsia" w:ascii="宋体" w:hAnsi="宋体" w:cs="宋体"/>
          <w:b/>
          <w:sz w:val="28"/>
          <w:szCs w:val="28"/>
        </w:rPr>
        <w:t xml:space="preserve">   （本合同格式仅供参考，具体条款以签订合同为准）</w:t>
      </w:r>
    </w:p>
    <w:p w14:paraId="6207C076">
      <w:pPr>
        <w:pStyle w:val="4"/>
        <w:spacing w:line="360" w:lineRule="auto"/>
        <w:jc w:val="center"/>
        <w:rPr>
          <w:rFonts w:ascii="宋体" w:hAnsi="宋体"/>
          <w:sz w:val="24"/>
          <w:szCs w:val="24"/>
        </w:rPr>
      </w:pPr>
      <w:bookmarkStart w:id="393" w:name="_Toc485395250"/>
      <w:bookmarkStart w:id="394" w:name="_Toc247085855"/>
      <w:bookmarkStart w:id="395" w:name="_Toc144974834"/>
      <w:bookmarkStart w:id="396" w:name="_Toc152042554"/>
      <w:bookmarkStart w:id="397" w:name="_Toc246997083"/>
      <w:bookmarkStart w:id="398" w:name="_Toc296602587"/>
      <w:bookmarkStart w:id="399" w:name="_Toc179632789"/>
      <w:bookmarkStart w:id="400" w:name="_Toc152045772"/>
      <w:bookmarkStart w:id="401" w:name="_Toc246996340"/>
      <w:r>
        <w:rPr>
          <w:rFonts w:hint="eastAsia" w:ascii="宋体" w:hAnsi="宋体"/>
          <w:sz w:val="24"/>
          <w:szCs w:val="24"/>
        </w:rPr>
        <w:t>第一节  通用合同条款</w:t>
      </w:r>
      <w:bookmarkEnd w:id="393"/>
    </w:p>
    <w:p w14:paraId="083D1616">
      <w:pPr>
        <w:jc w:val="center"/>
      </w:pPr>
      <w:r>
        <w:rPr>
          <w:rFonts w:hint="eastAsia" w:ascii="宋体" w:hAnsi="宋体"/>
          <w:szCs w:val="23"/>
        </w:rPr>
        <w:t>“通用合同条款”采用《标准施工招标文件》的“通用合同条款”。</w:t>
      </w:r>
    </w:p>
    <w:p w14:paraId="5569330D"/>
    <w:p w14:paraId="13F23D33"/>
    <w:p w14:paraId="3E000217"/>
    <w:p w14:paraId="5E4A7B3F"/>
    <w:p w14:paraId="4915C7F4"/>
    <w:p w14:paraId="25C0FC6B"/>
    <w:p w14:paraId="4F94D8B8">
      <w:pPr>
        <w:pStyle w:val="19"/>
      </w:pPr>
    </w:p>
    <w:p w14:paraId="69D9B0BE">
      <w:pPr>
        <w:pStyle w:val="19"/>
      </w:pPr>
    </w:p>
    <w:p w14:paraId="73A4AF04">
      <w:pPr>
        <w:pStyle w:val="19"/>
      </w:pPr>
    </w:p>
    <w:p w14:paraId="0191D3E5">
      <w:pPr>
        <w:pStyle w:val="19"/>
      </w:pPr>
    </w:p>
    <w:p w14:paraId="1F0819FE">
      <w:pPr>
        <w:pStyle w:val="19"/>
      </w:pPr>
    </w:p>
    <w:p w14:paraId="40F47F16">
      <w:pPr>
        <w:pStyle w:val="19"/>
      </w:pPr>
    </w:p>
    <w:p w14:paraId="02E39D1C">
      <w:pPr>
        <w:pStyle w:val="19"/>
      </w:pPr>
    </w:p>
    <w:p w14:paraId="71E0E2E6">
      <w:pPr>
        <w:pStyle w:val="19"/>
      </w:pPr>
    </w:p>
    <w:p w14:paraId="2018FC61">
      <w:pPr>
        <w:pStyle w:val="19"/>
      </w:pPr>
    </w:p>
    <w:p w14:paraId="67F09F23">
      <w:pPr>
        <w:pStyle w:val="19"/>
      </w:pPr>
    </w:p>
    <w:p w14:paraId="3AB30D60">
      <w:pPr>
        <w:pStyle w:val="19"/>
      </w:pPr>
    </w:p>
    <w:p w14:paraId="6C0AED63">
      <w:pPr>
        <w:pStyle w:val="19"/>
      </w:pPr>
    </w:p>
    <w:p w14:paraId="3D21EB13">
      <w:pPr>
        <w:pStyle w:val="4"/>
        <w:spacing w:line="360" w:lineRule="auto"/>
        <w:ind w:firstLine="482" w:firstLineChars="200"/>
        <w:jc w:val="center"/>
        <w:rPr>
          <w:rFonts w:ascii="宋体" w:hAnsi="宋体"/>
          <w:sz w:val="24"/>
          <w:szCs w:val="24"/>
        </w:rPr>
      </w:pPr>
      <w:bookmarkStart w:id="402" w:name="_Toc485395251"/>
      <w:bookmarkStart w:id="403" w:name="_Toc234382840"/>
      <w:r>
        <w:rPr>
          <w:rFonts w:hint="eastAsia" w:ascii="宋体" w:hAnsi="宋体"/>
          <w:sz w:val="24"/>
          <w:szCs w:val="24"/>
        </w:rPr>
        <w:t xml:space="preserve">第二节  </w:t>
      </w:r>
      <w:r>
        <w:rPr>
          <w:rFonts w:hint="eastAsia" w:ascii="宋体" w:hAnsi="宋体"/>
          <w:sz w:val="24"/>
          <w:szCs w:val="24"/>
        </w:rPr>
        <w:tab/>
      </w:r>
      <w:r>
        <w:rPr>
          <w:rFonts w:hint="eastAsia" w:ascii="宋体" w:hAnsi="宋体"/>
          <w:sz w:val="24"/>
          <w:szCs w:val="24"/>
        </w:rPr>
        <w:t>专用合同条款</w:t>
      </w:r>
      <w:bookmarkEnd w:id="402"/>
      <w:bookmarkEnd w:id="403"/>
    </w:p>
    <w:p w14:paraId="50EE296A">
      <w:pPr>
        <w:pStyle w:val="5"/>
        <w:spacing w:line="360" w:lineRule="auto"/>
        <w:ind w:firstLine="482" w:firstLineChars="200"/>
        <w:jc w:val="center"/>
        <w:rPr>
          <w:rFonts w:ascii="宋体" w:hAnsi="宋体"/>
          <w:sz w:val="24"/>
          <w:szCs w:val="24"/>
        </w:rPr>
      </w:pPr>
      <w:r>
        <w:rPr>
          <w:rFonts w:hint="eastAsia" w:ascii="宋体" w:hAnsi="宋体"/>
          <w:sz w:val="24"/>
          <w:szCs w:val="24"/>
        </w:rPr>
        <w:t>公路行业标准专用合同条款</w:t>
      </w:r>
    </w:p>
    <w:p w14:paraId="351CF7C6">
      <w:pPr>
        <w:spacing w:line="360" w:lineRule="auto"/>
        <w:ind w:firstLine="480" w:firstLineChars="200"/>
        <w:rPr>
          <w:rFonts w:ascii="宋体" w:hAnsi="宋体"/>
          <w:sz w:val="24"/>
          <w:szCs w:val="24"/>
        </w:rPr>
      </w:pPr>
      <w:bookmarkStart w:id="404" w:name="_Toc234382841"/>
      <w:r>
        <w:rPr>
          <w:rFonts w:hint="eastAsia" w:ascii="宋体" w:hAnsi="宋体"/>
          <w:sz w:val="24"/>
          <w:szCs w:val="24"/>
        </w:rPr>
        <w:t>1．一般约定</w:t>
      </w:r>
      <w:bookmarkEnd w:id="404"/>
    </w:p>
    <w:p w14:paraId="788B008C">
      <w:pPr>
        <w:spacing w:line="360" w:lineRule="auto"/>
        <w:ind w:firstLine="480" w:firstLineChars="200"/>
        <w:rPr>
          <w:rFonts w:ascii="宋体" w:hAnsi="宋体"/>
          <w:sz w:val="24"/>
          <w:szCs w:val="24"/>
        </w:rPr>
      </w:pPr>
      <w:bookmarkStart w:id="405" w:name="_Toc234382842"/>
      <w:r>
        <w:rPr>
          <w:rFonts w:hint="eastAsia" w:ascii="宋体" w:hAnsi="宋体"/>
          <w:sz w:val="24"/>
          <w:szCs w:val="24"/>
        </w:rPr>
        <w:t>1.1词语定义</w:t>
      </w:r>
      <w:bookmarkEnd w:id="405"/>
    </w:p>
    <w:p w14:paraId="7FB0A087">
      <w:pPr>
        <w:spacing w:line="360" w:lineRule="auto"/>
        <w:ind w:firstLine="480" w:firstLineChars="200"/>
        <w:rPr>
          <w:rFonts w:ascii="宋体" w:hAnsi="宋体"/>
          <w:sz w:val="24"/>
          <w:szCs w:val="24"/>
        </w:rPr>
      </w:pPr>
      <w:r>
        <w:rPr>
          <w:rFonts w:hint="eastAsia" w:ascii="宋体" w:hAnsi="宋体"/>
          <w:sz w:val="24"/>
          <w:szCs w:val="24"/>
        </w:rPr>
        <w:t>1.1.1合同</w:t>
      </w:r>
    </w:p>
    <w:p w14:paraId="5AF3CFF1">
      <w:pPr>
        <w:spacing w:line="360" w:lineRule="auto"/>
        <w:ind w:firstLine="480" w:firstLineChars="200"/>
        <w:rPr>
          <w:rFonts w:ascii="宋体" w:hAnsi="宋体"/>
          <w:sz w:val="24"/>
          <w:szCs w:val="24"/>
        </w:rPr>
      </w:pPr>
      <w:r>
        <w:rPr>
          <w:rFonts w:hint="eastAsia" w:ascii="宋体" w:hAnsi="宋体"/>
          <w:sz w:val="24"/>
          <w:szCs w:val="24"/>
        </w:rPr>
        <w:t>第1.1.1.6目细化为：</w:t>
      </w:r>
    </w:p>
    <w:p w14:paraId="7B60C7D4">
      <w:pPr>
        <w:spacing w:line="360" w:lineRule="auto"/>
        <w:ind w:firstLine="480" w:firstLineChars="200"/>
        <w:rPr>
          <w:rFonts w:ascii="宋体" w:hAnsi="宋体"/>
          <w:sz w:val="24"/>
          <w:szCs w:val="24"/>
        </w:rPr>
      </w:pPr>
      <w:r>
        <w:rPr>
          <w:rFonts w:hint="eastAsia" w:ascii="宋体" w:hAnsi="宋体"/>
          <w:sz w:val="24"/>
          <w:szCs w:val="24"/>
        </w:rPr>
        <w:t>技术规范：为本合同所约定的技术标准和要求，是合同文件的组成部分。通用合同条款中“技术标准和要求”一词具有相同含义。</w:t>
      </w:r>
    </w:p>
    <w:p w14:paraId="115777E6">
      <w:pPr>
        <w:spacing w:line="360" w:lineRule="auto"/>
        <w:ind w:firstLine="480" w:firstLineChars="200"/>
        <w:rPr>
          <w:rFonts w:ascii="宋体" w:hAnsi="宋体"/>
          <w:sz w:val="24"/>
          <w:szCs w:val="24"/>
        </w:rPr>
      </w:pPr>
      <w:r>
        <w:rPr>
          <w:rFonts w:hint="eastAsia" w:ascii="宋体" w:hAnsi="宋体"/>
          <w:sz w:val="24"/>
          <w:szCs w:val="24"/>
        </w:rPr>
        <w:t>第1.1.1.8目细化为：</w:t>
      </w:r>
    </w:p>
    <w:p w14:paraId="59DCE0F3">
      <w:pPr>
        <w:spacing w:line="360" w:lineRule="auto"/>
        <w:ind w:firstLine="480" w:firstLineChars="200"/>
        <w:rPr>
          <w:rFonts w:ascii="宋体" w:hAnsi="宋体"/>
          <w:sz w:val="24"/>
          <w:szCs w:val="24"/>
        </w:rPr>
      </w:pPr>
      <w:r>
        <w:rPr>
          <w:rFonts w:hint="eastAsia" w:ascii="宋体" w:hAnsi="宋体"/>
          <w:sz w:val="24"/>
          <w:szCs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w:t>
      </w:r>
    </w:p>
    <w:p w14:paraId="167A3C94">
      <w:pPr>
        <w:spacing w:line="360" w:lineRule="auto"/>
        <w:ind w:firstLine="480" w:firstLineChars="200"/>
        <w:rPr>
          <w:rFonts w:ascii="宋体" w:hAnsi="宋体"/>
          <w:sz w:val="24"/>
          <w:szCs w:val="24"/>
        </w:rPr>
      </w:pPr>
      <w:r>
        <w:rPr>
          <w:rFonts w:hint="eastAsia" w:ascii="宋体" w:hAnsi="宋体"/>
          <w:sz w:val="24"/>
          <w:szCs w:val="24"/>
        </w:rPr>
        <w:t>本项补充第1.1.1.10目：</w:t>
      </w:r>
    </w:p>
    <w:p w14:paraId="6E9E1B20">
      <w:pPr>
        <w:spacing w:line="360" w:lineRule="auto"/>
        <w:ind w:firstLine="480" w:firstLineChars="200"/>
        <w:rPr>
          <w:rFonts w:ascii="宋体" w:hAnsi="宋体"/>
          <w:sz w:val="24"/>
          <w:szCs w:val="24"/>
        </w:rPr>
      </w:pPr>
      <w:r>
        <w:rPr>
          <w:rFonts w:hint="eastAsia" w:ascii="宋体" w:hAnsi="宋体"/>
          <w:sz w:val="24"/>
          <w:szCs w:val="24"/>
        </w:rPr>
        <w:t>1.1.1.10补遗书：指发出招标文件之后由招标人向已取得招标文件的投标人发出的、编号的对招标文件所作的澄清、修改书。</w:t>
      </w:r>
    </w:p>
    <w:p w14:paraId="2538A27F">
      <w:pPr>
        <w:spacing w:line="360" w:lineRule="auto"/>
        <w:ind w:firstLine="480" w:firstLineChars="200"/>
        <w:rPr>
          <w:rFonts w:ascii="宋体" w:hAnsi="宋体"/>
          <w:sz w:val="24"/>
          <w:szCs w:val="24"/>
        </w:rPr>
      </w:pPr>
      <w:r>
        <w:rPr>
          <w:rFonts w:hint="eastAsia" w:ascii="宋体" w:hAnsi="宋体"/>
          <w:sz w:val="24"/>
          <w:szCs w:val="24"/>
        </w:rPr>
        <w:t>1.1.2合同当事人和人员</w:t>
      </w:r>
    </w:p>
    <w:p w14:paraId="1CDD8FD4">
      <w:pPr>
        <w:spacing w:line="360" w:lineRule="auto"/>
        <w:ind w:firstLine="480" w:firstLineChars="200"/>
        <w:rPr>
          <w:rFonts w:ascii="宋体" w:hAnsi="宋体"/>
          <w:sz w:val="24"/>
          <w:szCs w:val="24"/>
        </w:rPr>
      </w:pPr>
      <w:r>
        <w:rPr>
          <w:rFonts w:hint="eastAsia" w:ascii="宋体" w:hAnsi="宋体"/>
          <w:sz w:val="24"/>
          <w:szCs w:val="24"/>
        </w:rPr>
        <w:t>本项补充第1.1.2.8目：</w:t>
      </w:r>
    </w:p>
    <w:p w14:paraId="755541DC">
      <w:pPr>
        <w:spacing w:line="360" w:lineRule="auto"/>
        <w:ind w:firstLine="480" w:firstLineChars="200"/>
        <w:rPr>
          <w:rFonts w:ascii="宋体" w:hAnsi="宋体"/>
          <w:sz w:val="24"/>
          <w:szCs w:val="24"/>
        </w:rPr>
      </w:pPr>
      <w:r>
        <w:rPr>
          <w:rFonts w:hint="eastAsia" w:ascii="宋体" w:hAnsi="宋体"/>
          <w:sz w:val="24"/>
          <w:szCs w:val="24"/>
        </w:rPr>
        <w:t>1.1.2.8 承包人项目总工：指由承包人书面委派常驻现场负责管理本合同工程的总工程师或技术总负责人。</w:t>
      </w:r>
    </w:p>
    <w:p w14:paraId="7F00B789">
      <w:pPr>
        <w:spacing w:line="360" w:lineRule="auto"/>
        <w:ind w:firstLine="480" w:firstLineChars="200"/>
        <w:rPr>
          <w:rFonts w:ascii="宋体" w:hAnsi="宋体"/>
          <w:sz w:val="24"/>
          <w:szCs w:val="24"/>
        </w:rPr>
      </w:pPr>
      <w:r>
        <w:rPr>
          <w:rFonts w:hint="eastAsia" w:ascii="宋体" w:hAnsi="宋体"/>
          <w:sz w:val="24"/>
          <w:szCs w:val="24"/>
        </w:rPr>
        <w:t>1.1.3 工程和设备</w:t>
      </w:r>
    </w:p>
    <w:p w14:paraId="3F026227">
      <w:pPr>
        <w:spacing w:line="360" w:lineRule="auto"/>
        <w:ind w:firstLine="480" w:firstLineChars="200"/>
        <w:rPr>
          <w:rFonts w:ascii="宋体" w:hAnsi="宋体"/>
          <w:sz w:val="24"/>
          <w:szCs w:val="24"/>
        </w:rPr>
      </w:pPr>
      <w:r>
        <w:rPr>
          <w:rFonts w:hint="eastAsia" w:ascii="宋体" w:hAnsi="宋体"/>
          <w:sz w:val="24"/>
          <w:szCs w:val="24"/>
        </w:rPr>
        <w:t>第1.1.3.4目细化为：</w:t>
      </w:r>
    </w:p>
    <w:p w14:paraId="52C4A6A1">
      <w:pPr>
        <w:spacing w:line="360" w:lineRule="auto"/>
        <w:ind w:firstLine="480" w:firstLineChars="200"/>
        <w:rPr>
          <w:rFonts w:ascii="宋体" w:hAnsi="宋体"/>
          <w:sz w:val="24"/>
          <w:szCs w:val="24"/>
        </w:rPr>
      </w:pPr>
      <w:r>
        <w:rPr>
          <w:rFonts w:hint="eastAsia" w:ascii="宋体" w:hAnsi="宋体"/>
          <w:sz w:val="24"/>
          <w:szCs w:val="24"/>
        </w:rPr>
        <w:t>单位工程：指在建设项目中，根据签订的合同，具有独立施工条件的工程。</w:t>
      </w:r>
    </w:p>
    <w:p w14:paraId="399E288F">
      <w:pPr>
        <w:spacing w:line="360" w:lineRule="auto"/>
        <w:ind w:firstLine="480" w:firstLineChars="200"/>
        <w:rPr>
          <w:rFonts w:ascii="宋体" w:hAnsi="宋体"/>
          <w:sz w:val="24"/>
          <w:szCs w:val="24"/>
        </w:rPr>
      </w:pPr>
      <w:r>
        <w:rPr>
          <w:rFonts w:hint="eastAsia" w:ascii="宋体" w:hAnsi="宋体"/>
          <w:sz w:val="24"/>
          <w:szCs w:val="24"/>
        </w:rPr>
        <w:t>1.1.3.10目细化为：</w:t>
      </w:r>
    </w:p>
    <w:p w14:paraId="63E4B4D9">
      <w:pPr>
        <w:spacing w:line="360" w:lineRule="auto"/>
        <w:ind w:firstLine="480" w:firstLineChars="200"/>
        <w:rPr>
          <w:rFonts w:ascii="宋体" w:hAnsi="宋体"/>
          <w:sz w:val="24"/>
          <w:szCs w:val="24"/>
        </w:rPr>
      </w:pPr>
      <w:r>
        <w:rPr>
          <w:rFonts w:hint="eastAsia" w:ascii="宋体" w:hAnsi="宋体"/>
          <w:sz w:val="24"/>
          <w:szCs w:val="24"/>
        </w:rPr>
        <w:t>永久占地：指为实施本合同工程而需要的一切永久占用的土地，包括公路两侧路权范围内的用地。</w:t>
      </w:r>
    </w:p>
    <w:p w14:paraId="0975C21A">
      <w:pPr>
        <w:spacing w:line="360" w:lineRule="auto"/>
        <w:ind w:firstLine="480" w:firstLineChars="200"/>
        <w:rPr>
          <w:rFonts w:ascii="宋体" w:hAnsi="宋体"/>
          <w:sz w:val="24"/>
          <w:szCs w:val="24"/>
        </w:rPr>
      </w:pPr>
      <w:r>
        <w:rPr>
          <w:rFonts w:hint="eastAsia" w:ascii="宋体" w:hAnsi="宋体"/>
          <w:sz w:val="24"/>
          <w:szCs w:val="24"/>
        </w:rPr>
        <w:t>第1.1.3.11目细化为：</w:t>
      </w:r>
    </w:p>
    <w:p w14:paraId="0226BC58">
      <w:pPr>
        <w:spacing w:line="360" w:lineRule="auto"/>
        <w:ind w:firstLine="480" w:firstLineChars="200"/>
        <w:rPr>
          <w:rFonts w:ascii="宋体" w:hAnsi="宋体"/>
          <w:sz w:val="24"/>
          <w:szCs w:val="24"/>
        </w:rPr>
      </w:pPr>
      <w:r>
        <w:rPr>
          <w:rFonts w:hint="eastAsia" w:ascii="宋体" w:hAnsi="宋体"/>
          <w:sz w:val="24"/>
          <w:szCs w:val="24"/>
        </w:rPr>
        <w:t>临时占地：指为实施本合同工程而需要的一切临时占用的土地，包括施工所用的临时支线、便道、便桥和现场的临时出入通道，以及生产（办公）、生活等临时设施用地等。</w:t>
      </w:r>
    </w:p>
    <w:p w14:paraId="52BA6B1D">
      <w:pPr>
        <w:spacing w:line="360" w:lineRule="auto"/>
        <w:ind w:firstLine="480" w:firstLineChars="200"/>
        <w:rPr>
          <w:rFonts w:ascii="宋体" w:hAnsi="宋体"/>
          <w:sz w:val="24"/>
          <w:szCs w:val="24"/>
        </w:rPr>
      </w:pPr>
      <w:r>
        <w:rPr>
          <w:rFonts w:hint="eastAsia" w:ascii="宋体" w:hAnsi="宋体"/>
          <w:sz w:val="24"/>
          <w:szCs w:val="24"/>
        </w:rPr>
        <w:t>本项补充第1.1.3.12目、第1.1.3.13目：</w:t>
      </w:r>
    </w:p>
    <w:p w14:paraId="0AD5F5B7">
      <w:pPr>
        <w:spacing w:line="360" w:lineRule="auto"/>
        <w:ind w:firstLine="480" w:firstLineChars="200"/>
        <w:rPr>
          <w:rFonts w:ascii="宋体" w:hAnsi="宋体"/>
          <w:sz w:val="24"/>
          <w:szCs w:val="24"/>
        </w:rPr>
      </w:pPr>
      <w:r>
        <w:rPr>
          <w:rFonts w:hint="eastAsia" w:ascii="宋体" w:hAnsi="宋体"/>
          <w:sz w:val="24"/>
          <w:szCs w:val="24"/>
        </w:rPr>
        <w:t>1.1.3.12 分部工程：指在单位工程中，按结构部位、路段长度及施工特点或施工任务划分的若干个工程。</w:t>
      </w:r>
    </w:p>
    <w:p w14:paraId="3B631B73">
      <w:pPr>
        <w:spacing w:line="360" w:lineRule="auto"/>
        <w:ind w:firstLine="480" w:firstLineChars="200"/>
        <w:rPr>
          <w:rFonts w:ascii="宋体" w:hAnsi="宋体"/>
          <w:sz w:val="24"/>
          <w:szCs w:val="24"/>
        </w:rPr>
      </w:pPr>
      <w:r>
        <w:rPr>
          <w:rFonts w:hint="eastAsia" w:ascii="宋体" w:hAnsi="宋体"/>
          <w:sz w:val="24"/>
          <w:szCs w:val="24"/>
        </w:rPr>
        <w:t>1.1.3.13 分项工程：指在分部工程中，按不同的施工方法、材料、工序及路段长度等划分的若干个过程。</w:t>
      </w:r>
    </w:p>
    <w:p w14:paraId="388F177A">
      <w:pPr>
        <w:spacing w:line="360" w:lineRule="auto"/>
        <w:ind w:firstLine="480" w:firstLineChars="200"/>
        <w:rPr>
          <w:rFonts w:ascii="宋体" w:hAnsi="宋体"/>
          <w:sz w:val="24"/>
          <w:szCs w:val="24"/>
        </w:rPr>
      </w:pPr>
      <w:r>
        <w:rPr>
          <w:rFonts w:hint="eastAsia" w:ascii="宋体" w:hAnsi="宋体"/>
          <w:sz w:val="24"/>
          <w:szCs w:val="24"/>
        </w:rPr>
        <w:t>1.1.6 其他</w:t>
      </w:r>
      <w:r>
        <w:rPr>
          <w:rFonts w:hint="eastAsia" w:ascii="宋体" w:hAnsi="宋体"/>
          <w:sz w:val="24"/>
          <w:szCs w:val="24"/>
        </w:rPr>
        <w:tab/>
      </w:r>
    </w:p>
    <w:p w14:paraId="19D3B8CB">
      <w:pPr>
        <w:spacing w:line="360" w:lineRule="auto"/>
        <w:ind w:firstLine="480" w:firstLineChars="200"/>
        <w:rPr>
          <w:rFonts w:ascii="宋体" w:hAnsi="宋体"/>
          <w:sz w:val="24"/>
          <w:szCs w:val="24"/>
        </w:rPr>
      </w:pPr>
      <w:r>
        <w:rPr>
          <w:rFonts w:hint="eastAsia" w:ascii="宋体" w:hAnsi="宋体"/>
          <w:sz w:val="24"/>
          <w:szCs w:val="24"/>
        </w:rPr>
        <w:t>本项补充第1.1.6.2目～1.1.6.8目：</w:t>
      </w:r>
    </w:p>
    <w:p w14:paraId="1129FDD1">
      <w:pPr>
        <w:spacing w:line="360" w:lineRule="auto"/>
        <w:ind w:firstLine="480" w:firstLineChars="200"/>
        <w:rPr>
          <w:rFonts w:ascii="宋体" w:hAnsi="宋体"/>
          <w:sz w:val="24"/>
          <w:szCs w:val="24"/>
        </w:rPr>
      </w:pPr>
      <w:r>
        <w:rPr>
          <w:rFonts w:hint="eastAsia" w:ascii="宋体" w:hAnsi="宋体"/>
          <w:sz w:val="24"/>
          <w:szCs w:val="24"/>
        </w:rPr>
        <w:t>1.1.6.2 竣工验收：指《公路工程竣（交）工验收办法》中的竣工验收。通用合同条款中“国家验收”一词具有相同含义。</w:t>
      </w:r>
    </w:p>
    <w:p w14:paraId="0014566C">
      <w:pPr>
        <w:spacing w:line="360" w:lineRule="auto"/>
        <w:ind w:firstLine="480" w:firstLineChars="200"/>
        <w:rPr>
          <w:rFonts w:ascii="宋体" w:hAnsi="宋体"/>
          <w:sz w:val="24"/>
          <w:szCs w:val="24"/>
        </w:rPr>
      </w:pPr>
      <w:r>
        <w:rPr>
          <w:rFonts w:hint="eastAsia" w:ascii="宋体" w:hAnsi="宋体"/>
          <w:sz w:val="24"/>
          <w:szCs w:val="24"/>
        </w:rPr>
        <w:t>1.1.6.3 交工：指《公路工程竣（交）工验收办法》中的交工验收。通用合同条款中“竣工”一词具有相同含义。</w:t>
      </w:r>
    </w:p>
    <w:p w14:paraId="7F39AF72">
      <w:pPr>
        <w:spacing w:line="360" w:lineRule="auto"/>
        <w:ind w:firstLine="480" w:firstLineChars="200"/>
        <w:rPr>
          <w:rFonts w:ascii="宋体" w:hAnsi="宋体"/>
          <w:sz w:val="24"/>
          <w:szCs w:val="24"/>
        </w:rPr>
      </w:pPr>
      <w:r>
        <w:rPr>
          <w:rFonts w:hint="eastAsia" w:ascii="宋体" w:hAnsi="宋体"/>
          <w:sz w:val="24"/>
          <w:szCs w:val="24"/>
        </w:rPr>
        <w:t>1.1.6.4 交工验收证书：指《公路工程竣（交）工验收办法》中的交工验收证书。通用合同条款中“工程接收证书”一词具有相同含义。</w:t>
      </w:r>
    </w:p>
    <w:p w14:paraId="182CC21B">
      <w:pPr>
        <w:spacing w:line="360" w:lineRule="auto"/>
        <w:ind w:firstLine="480" w:firstLineChars="200"/>
        <w:rPr>
          <w:rFonts w:ascii="宋体" w:hAnsi="宋体"/>
          <w:sz w:val="24"/>
          <w:szCs w:val="24"/>
        </w:rPr>
      </w:pPr>
      <w:r>
        <w:rPr>
          <w:rFonts w:hint="eastAsia" w:ascii="宋体" w:hAnsi="宋体"/>
          <w:sz w:val="24"/>
          <w:szCs w:val="24"/>
        </w:rPr>
        <w:t>1.1.6.5 转包：指承包人违反法律和不履行合同规定的责任和义务，将中标工程全部委托或以专业分包的名义将中标工程肢解后全部委托给其他施工企业施工的行为。</w:t>
      </w:r>
    </w:p>
    <w:p w14:paraId="773679DA">
      <w:pPr>
        <w:spacing w:line="360" w:lineRule="auto"/>
        <w:ind w:firstLine="480" w:firstLineChars="200"/>
        <w:rPr>
          <w:rFonts w:ascii="宋体" w:hAnsi="宋体"/>
          <w:sz w:val="24"/>
          <w:szCs w:val="24"/>
        </w:rPr>
      </w:pPr>
      <w:r>
        <w:rPr>
          <w:rFonts w:hint="eastAsia" w:ascii="宋体" w:hAnsi="宋体"/>
          <w:sz w:val="24"/>
          <w:szCs w:val="24"/>
        </w:rPr>
        <w:t>1.1.6.6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246060A1">
      <w:pPr>
        <w:spacing w:line="360" w:lineRule="auto"/>
        <w:ind w:firstLine="480" w:firstLineChars="200"/>
        <w:rPr>
          <w:rFonts w:ascii="宋体" w:hAnsi="宋体"/>
          <w:sz w:val="24"/>
          <w:szCs w:val="24"/>
        </w:rPr>
      </w:pPr>
      <w:r>
        <w:rPr>
          <w:rFonts w:hint="eastAsia" w:ascii="宋体" w:hAnsi="宋体"/>
          <w:sz w:val="24"/>
          <w:szCs w:val="24"/>
        </w:rPr>
        <w:t>1.1.6.7 劳务分包：指承包人与具有劳务分包资质的劳务企业签订劳务分包，由劳务企业提供劳务人员及机具，由承包人统一组织施工，统一控制工程质量、施工进度、材料采购、生产安全的施工行为。</w:t>
      </w:r>
    </w:p>
    <w:p w14:paraId="4D940D7B">
      <w:pPr>
        <w:spacing w:line="360" w:lineRule="auto"/>
        <w:ind w:firstLine="480" w:firstLineChars="200"/>
        <w:rPr>
          <w:rFonts w:ascii="宋体" w:hAnsi="宋体"/>
          <w:sz w:val="24"/>
          <w:szCs w:val="24"/>
        </w:rPr>
      </w:pPr>
      <w:r>
        <w:rPr>
          <w:rFonts w:hint="eastAsia" w:ascii="宋体" w:hAnsi="宋体"/>
          <w:sz w:val="24"/>
          <w:szCs w:val="24"/>
        </w:rPr>
        <w:t>1.1.6.8 雇佣民工：指承包人与具有相应劳动能力的自然人签订劳动合同，由承包人统一组织管理，从事分项工程施工或配套工程施工的行为。</w:t>
      </w:r>
    </w:p>
    <w:p w14:paraId="4E5C8EEE">
      <w:pPr>
        <w:spacing w:line="360" w:lineRule="auto"/>
        <w:ind w:firstLine="480" w:firstLineChars="200"/>
        <w:rPr>
          <w:rFonts w:ascii="宋体" w:hAnsi="宋体"/>
          <w:sz w:val="24"/>
          <w:szCs w:val="24"/>
        </w:rPr>
      </w:pPr>
      <w:bookmarkStart w:id="406" w:name="_Toc234382843"/>
      <w:r>
        <w:rPr>
          <w:rFonts w:hint="eastAsia" w:ascii="宋体" w:hAnsi="宋体"/>
          <w:sz w:val="24"/>
          <w:szCs w:val="24"/>
        </w:rPr>
        <w:t>1.4合同文件的优先顺序</w:t>
      </w:r>
      <w:bookmarkEnd w:id="406"/>
    </w:p>
    <w:p w14:paraId="3223264A">
      <w:pPr>
        <w:spacing w:line="360" w:lineRule="auto"/>
        <w:ind w:firstLine="480" w:firstLineChars="200"/>
        <w:rPr>
          <w:rFonts w:ascii="宋体" w:hAnsi="宋体"/>
          <w:sz w:val="24"/>
          <w:szCs w:val="24"/>
        </w:rPr>
      </w:pPr>
      <w:r>
        <w:rPr>
          <w:rFonts w:hint="eastAsia" w:ascii="宋体" w:hAnsi="宋体"/>
          <w:sz w:val="24"/>
          <w:szCs w:val="24"/>
        </w:rPr>
        <w:t>本款约定为：</w:t>
      </w:r>
    </w:p>
    <w:p w14:paraId="2FC676FC">
      <w:pPr>
        <w:spacing w:line="360" w:lineRule="auto"/>
        <w:ind w:firstLine="480" w:firstLineChars="200"/>
        <w:rPr>
          <w:rFonts w:ascii="宋体" w:hAnsi="宋体"/>
          <w:sz w:val="24"/>
          <w:szCs w:val="24"/>
        </w:rPr>
      </w:pPr>
      <w:r>
        <w:rPr>
          <w:rFonts w:hint="eastAsia" w:ascii="宋体" w:hAnsi="宋体"/>
          <w:sz w:val="24"/>
          <w:szCs w:val="24"/>
        </w:rPr>
        <w:t>组成合同的各项文件应互相解释，互为说明。除项目专用合同条款另有约定外，解释合同文件的优先顺序如下：</w:t>
      </w:r>
    </w:p>
    <w:p w14:paraId="5641EA3E">
      <w:pPr>
        <w:spacing w:line="360" w:lineRule="auto"/>
        <w:ind w:firstLine="480" w:firstLineChars="200"/>
        <w:rPr>
          <w:rFonts w:ascii="宋体" w:hAnsi="宋体"/>
          <w:sz w:val="24"/>
          <w:szCs w:val="24"/>
        </w:rPr>
      </w:pPr>
      <w:r>
        <w:rPr>
          <w:rFonts w:hint="eastAsia" w:ascii="宋体" w:hAnsi="宋体"/>
          <w:sz w:val="24"/>
          <w:szCs w:val="24"/>
        </w:rPr>
        <w:t>（1）合同协议书及各种合同附件（含评标期间和合同谈判过程中的澄清文件和补充资料）；</w:t>
      </w:r>
    </w:p>
    <w:p w14:paraId="3C14EFBA">
      <w:pPr>
        <w:spacing w:line="360" w:lineRule="auto"/>
        <w:ind w:firstLine="480" w:firstLineChars="200"/>
        <w:rPr>
          <w:rFonts w:ascii="宋体" w:hAnsi="宋体"/>
          <w:sz w:val="24"/>
          <w:szCs w:val="24"/>
        </w:rPr>
      </w:pPr>
      <w:r>
        <w:rPr>
          <w:rFonts w:hint="eastAsia" w:ascii="宋体" w:hAnsi="宋体"/>
          <w:sz w:val="24"/>
          <w:szCs w:val="24"/>
        </w:rPr>
        <w:t>（2）中标通知书；</w:t>
      </w:r>
    </w:p>
    <w:p w14:paraId="399AE8E5">
      <w:pPr>
        <w:spacing w:line="360" w:lineRule="auto"/>
        <w:ind w:firstLine="480" w:firstLineChars="200"/>
        <w:rPr>
          <w:rFonts w:ascii="宋体" w:hAnsi="宋体"/>
          <w:sz w:val="24"/>
          <w:szCs w:val="24"/>
        </w:rPr>
      </w:pPr>
      <w:r>
        <w:rPr>
          <w:rFonts w:hint="eastAsia" w:ascii="宋体" w:hAnsi="宋体"/>
          <w:sz w:val="24"/>
          <w:szCs w:val="24"/>
        </w:rPr>
        <w:t>（3）投标函及投标函附录；</w:t>
      </w:r>
    </w:p>
    <w:p w14:paraId="1EC21C13">
      <w:pPr>
        <w:spacing w:line="360" w:lineRule="auto"/>
        <w:ind w:firstLine="480" w:firstLineChars="200"/>
        <w:rPr>
          <w:rFonts w:ascii="宋体" w:hAnsi="宋体"/>
          <w:sz w:val="24"/>
          <w:szCs w:val="24"/>
        </w:rPr>
      </w:pPr>
      <w:r>
        <w:rPr>
          <w:rFonts w:hint="eastAsia" w:ascii="宋体" w:hAnsi="宋体"/>
          <w:sz w:val="24"/>
          <w:szCs w:val="24"/>
        </w:rPr>
        <w:t>（4）项目专用合同条款；</w:t>
      </w:r>
    </w:p>
    <w:p w14:paraId="11560BE6">
      <w:pPr>
        <w:spacing w:line="360" w:lineRule="auto"/>
        <w:ind w:firstLine="480" w:firstLineChars="200"/>
        <w:rPr>
          <w:rFonts w:ascii="宋体" w:hAnsi="宋体"/>
          <w:sz w:val="24"/>
          <w:szCs w:val="24"/>
        </w:rPr>
      </w:pPr>
      <w:r>
        <w:rPr>
          <w:rFonts w:hint="eastAsia" w:ascii="宋体" w:hAnsi="宋体"/>
          <w:sz w:val="24"/>
          <w:szCs w:val="24"/>
        </w:rPr>
        <w:t>（5）公路工程专用合同条款；</w:t>
      </w:r>
    </w:p>
    <w:p w14:paraId="1DCFE091">
      <w:pPr>
        <w:spacing w:line="360" w:lineRule="auto"/>
        <w:ind w:firstLine="480" w:firstLineChars="200"/>
        <w:rPr>
          <w:rFonts w:ascii="宋体" w:hAnsi="宋体"/>
          <w:sz w:val="24"/>
          <w:szCs w:val="24"/>
        </w:rPr>
      </w:pPr>
      <w:r>
        <w:rPr>
          <w:rFonts w:hint="eastAsia" w:ascii="宋体" w:hAnsi="宋体"/>
          <w:sz w:val="24"/>
          <w:szCs w:val="24"/>
        </w:rPr>
        <w:t>（6）通用合同条款；</w:t>
      </w:r>
    </w:p>
    <w:p w14:paraId="194FF415">
      <w:pPr>
        <w:spacing w:line="360" w:lineRule="auto"/>
        <w:ind w:firstLine="480" w:firstLineChars="200"/>
        <w:rPr>
          <w:rFonts w:ascii="宋体" w:hAnsi="宋体"/>
          <w:sz w:val="24"/>
          <w:szCs w:val="24"/>
        </w:rPr>
      </w:pPr>
      <w:r>
        <w:rPr>
          <w:rFonts w:hint="eastAsia" w:ascii="宋体" w:hAnsi="宋体"/>
          <w:sz w:val="24"/>
          <w:szCs w:val="24"/>
        </w:rPr>
        <w:t>（7）技术规范；</w:t>
      </w:r>
    </w:p>
    <w:p w14:paraId="7E5F92A4">
      <w:pPr>
        <w:spacing w:line="360" w:lineRule="auto"/>
        <w:ind w:firstLine="480" w:firstLineChars="200"/>
        <w:rPr>
          <w:rFonts w:ascii="宋体" w:hAnsi="宋体"/>
          <w:sz w:val="24"/>
          <w:szCs w:val="24"/>
        </w:rPr>
      </w:pPr>
      <w:r>
        <w:rPr>
          <w:rFonts w:hint="eastAsia" w:ascii="宋体" w:hAnsi="宋体"/>
          <w:sz w:val="24"/>
          <w:szCs w:val="24"/>
        </w:rPr>
        <w:t>（8）图纸；</w:t>
      </w:r>
    </w:p>
    <w:p w14:paraId="2BEF930B">
      <w:pPr>
        <w:spacing w:line="360" w:lineRule="auto"/>
        <w:ind w:firstLine="480" w:firstLineChars="200"/>
        <w:rPr>
          <w:rFonts w:ascii="宋体" w:hAnsi="宋体"/>
          <w:sz w:val="24"/>
          <w:szCs w:val="24"/>
        </w:rPr>
      </w:pPr>
      <w:r>
        <w:rPr>
          <w:rFonts w:hint="eastAsia" w:ascii="宋体" w:hAnsi="宋体"/>
          <w:sz w:val="24"/>
          <w:szCs w:val="24"/>
        </w:rPr>
        <w:t>（9）已标价工程量清单；</w:t>
      </w:r>
    </w:p>
    <w:p w14:paraId="496FA2D0">
      <w:pPr>
        <w:spacing w:line="360" w:lineRule="auto"/>
        <w:ind w:firstLine="480" w:firstLineChars="200"/>
        <w:rPr>
          <w:rFonts w:ascii="宋体" w:hAnsi="宋体"/>
          <w:sz w:val="24"/>
          <w:szCs w:val="24"/>
        </w:rPr>
      </w:pPr>
      <w:r>
        <w:rPr>
          <w:rFonts w:hint="eastAsia" w:ascii="宋体" w:hAnsi="宋体"/>
          <w:sz w:val="24"/>
          <w:szCs w:val="24"/>
        </w:rPr>
        <w:t>（10）承包人有关人员、设备投入的承诺及投标文件中的施工组织设计；</w:t>
      </w:r>
    </w:p>
    <w:p w14:paraId="27121B78">
      <w:pPr>
        <w:spacing w:line="360" w:lineRule="auto"/>
        <w:ind w:firstLine="480" w:firstLineChars="200"/>
        <w:rPr>
          <w:rFonts w:ascii="宋体" w:hAnsi="宋体"/>
          <w:sz w:val="24"/>
          <w:szCs w:val="24"/>
        </w:rPr>
      </w:pPr>
      <w:r>
        <w:rPr>
          <w:rFonts w:hint="eastAsia" w:ascii="宋体" w:hAnsi="宋体"/>
          <w:sz w:val="24"/>
          <w:szCs w:val="24"/>
        </w:rPr>
        <w:t>（11）其他合同文件。</w:t>
      </w:r>
    </w:p>
    <w:p w14:paraId="2C7EB8E5">
      <w:pPr>
        <w:spacing w:line="360" w:lineRule="auto"/>
        <w:ind w:firstLine="480" w:firstLineChars="200"/>
        <w:rPr>
          <w:rFonts w:ascii="宋体" w:hAnsi="宋体"/>
          <w:sz w:val="24"/>
          <w:szCs w:val="24"/>
        </w:rPr>
      </w:pPr>
      <w:bookmarkStart w:id="407" w:name="_Toc234382844"/>
      <w:r>
        <w:rPr>
          <w:rFonts w:hint="eastAsia" w:ascii="宋体" w:hAnsi="宋体"/>
          <w:sz w:val="24"/>
          <w:szCs w:val="24"/>
        </w:rPr>
        <w:t>1.5合同协议书</w:t>
      </w:r>
      <w:bookmarkEnd w:id="407"/>
    </w:p>
    <w:p w14:paraId="4FA02698">
      <w:pPr>
        <w:spacing w:line="360" w:lineRule="auto"/>
        <w:ind w:firstLine="480" w:firstLineChars="200"/>
        <w:rPr>
          <w:rFonts w:ascii="宋体" w:hAnsi="宋体"/>
          <w:sz w:val="24"/>
          <w:szCs w:val="24"/>
        </w:rPr>
      </w:pPr>
      <w:r>
        <w:rPr>
          <w:rFonts w:hint="eastAsia" w:ascii="宋体" w:hAnsi="宋体"/>
          <w:sz w:val="24"/>
          <w:szCs w:val="24"/>
        </w:rPr>
        <w:t>本款补充：</w:t>
      </w:r>
    </w:p>
    <w:p w14:paraId="2CA2CFD8">
      <w:pPr>
        <w:spacing w:line="360" w:lineRule="auto"/>
        <w:ind w:firstLine="480" w:firstLineChars="200"/>
        <w:rPr>
          <w:rFonts w:ascii="宋体" w:hAnsi="宋体"/>
          <w:sz w:val="24"/>
          <w:szCs w:val="24"/>
        </w:rPr>
      </w:pPr>
      <w:r>
        <w:rPr>
          <w:rFonts w:hint="eastAsia" w:ascii="宋体" w:hAnsi="宋体"/>
          <w:sz w:val="24"/>
          <w:szCs w:val="24"/>
        </w:rPr>
        <w:t>制备本合同文件的费用由发包人承担。在合同协议书签订并生效之前，投标函和中标通知书将对双方具有约束力。</w:t>
      </w:r>
    </w:p>
    <w:p w14:paraId="22259737">
      <w:pPr>
        <w:spacing w:line="360" w:lineRule="auto"/>
        <w:ind w:firstLine="480" w:firstLineChars="200"/>
        <w:rPr>
          <w:rFonts w:ascii="宋体" w:hAnsi="宋体"/>
          <w:sz w:val="24"/>
          <w:szCs w:val="24"/>
        </w:rPr>
      </w:pPr>
      <w:bookmarkStart w:id="408" w:name="_Toc234382845"/>
      <w:r>
        <w:rPr>
          <w:rFonts w:hint="eastAsia" w:ascii="宋体" w:hAnsi="宋体"/>
          <w:sz w:val="24"/>
          <w:szCs w:val="24"/>
        </w:rPr>
        <w:t>1.6图纸和承包人文件</w:t>
      </w:r>
      <w:bookmarkEnd w:id="408"/>
    </w:p>
    <w:p w14:paraId="20DF5440">
      <w:pPr>
        <w:spacing w:line="360" w:lineRule="auto"/>
        <w:ind w:firstLine="480" w:firstLineChars="200"/>
        <w:rPr>
          <w:rFonts w:ascii="宋体" w:hAnsi="宋体"/>
          <w:sz w:val="24"/>
          <w:szCs w:val="24"/>
        </w:rPr>
      </w:pPr>
      <w:r>
        <w:rPr>
          <w:rFonts w:hint="eastAsia" w:ascii="宋体" w:hAnsi="宋体"/>
          <w:sz w:val="24"/>
          <w:szCs w:val="24"/>
        </w:rPr>
        <w:t>1.6.1 图纸的提供</w:t>
      </w:r>
    </w:p>
    <w:p w14:paraId="76F4B51D">
      <w:pPr>
        <w:spacing w:line="360" w:lineRule="auto"/>
        <w:ind w:firstLine="480" w:firstLineChars="200"/>
        <w:rPr>
          <w:rFonts w:ascii="宋体" w:hAnsi="宋体"/>
          <w:sz w:val="24"/>
          <w:szCs w:val="24"/>
        </w:rPr>
      </w:pPr>
      <w:r>
        <w:rPr>
          <w:rFonts w:hint="eastAsia" w:ascii="宋体" w:hAnsi="宋体"/>
          <w:sz w:val="24"/>
          <w:szCs w:val="24"/>
        </w:rPr>
        <w:t>本项细化为：</w:t>
      </w:r>
    </w:p>
    <w:p w14:paraId="34D36B7F">
      <w:pPr>
        <w:spacing w:line="360" w:lineRule="auto"/>
        <w:ind w:firstLine="480" w:firstLineChars="200"/>
        <w:rPr>
          <w:rFonts w:ascii="宋体" w:hAnsi="宋体"/>
          <w:sz w:val="24"/>
          <w:szCs w:val="24"/>
        </w:rPr>
      </w:pPr>
      <w:r>
        <w:rPr>
          <w:rFonts w:hint="eastAsia" w:ascii="宋体" w:hAnsi="宋体"/>
          <w:sz w:val="24"/>
          <w:szCs w:val="24"/>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18340A69">
      <w:pPr>
        <w:spacing w:line="360" w:lineRule="auto"/>
        <w:ind w:firstLine="480" w:firstLineChars="200"/>
        <w:rPr>
          <w:rFonts w:ascii="宋体" w:hAnsi="宋体"/>
          <w:sz w:val="24"/>
          <w:szCs w:val="24"/>
        </w:rPr>
      </w:pPr>
      <w:r>
        <w:rPr>
          <w:rFonts w:hint="eastAsia" w:ascii="宋体" w:hAnsi="宋体"/>
          <w:sz w:val="24"/>
          <w:szCs w:val="24"/>
        </w:rPr>
        <w:t>1.6.2承包人提供的文件</w:t>
      </w:r>
    </w:p>
    <w:p w14:paraId="4C552201">
      <w:pPr>
        <w:spacing w:line="360" w:lineRule="auto"/>
        <w:ind w:firstLine="480" w:firstLineChars="200"/>
        <w:rPr>
          <w:rFonts w:ascii="宋体" w:hAnsi="宋体"/>
          <w:sz w:val="24"/>
          <w:szCs w:val="24"/>
        </w:rPr>
      </w:pPr>
      <w:r>
        <w:rPr>
          <w:rFonts w:hint="eastAsia" w:ascii="宋体" w:hAnsi="宋体"/>
          <w:sz w:val="24"/>
          <w:szCs w:val="24"/>
        </w:rPr>
        <w:t>本项细化为：</w:t>
      </w:r>
    </w:p>
    <w:p w14:paraId="1D7B3C18">
      <w:pPr>
        <w:spacing w:line="360" w:lineRule="auto"/>
        <w:ind w:firstLine="480" w:firstLineChars="200"/>
        <w:rPr>
          <w:rFonts w:ascii="宋体" w:hAnsi="宋体"/>
          <w:sz w:val="24"/>
          <w:szCs w:val="24"/>
        </w:rPr>
      </w:pPr>
      <w:r>
        <w:rPr>
          <w:rFonts w:hint="eastAsia" w:ascii="宋体" w:hAnsi="宋体"/>
          <w:sz w:val="24"/>
          <w:szCs w:val="24"/>
        </w:rPr>
        <w:t>有下列情形之一的，承包人应免费向监理人提交相关部分工程的施工图纸3份，并附必要的计算书、技术资料，或施工工艺图、设备安装图及安装设备的使用和维护手册各2份供监理人批准。</w:t>
      </w:r>
    </w:p>
    <w:p w14:paraId="16824135">
      <w:pPr>
        <w:spacing w:line="360" w:lineRule="auto"/>
        <w:ind w:firstLine="480" w:firstLineChars="200"/>
        <w:rPr>
          <w:rFonts w:ascii="宋体" w:hAnsi="宋体"/>
          <w:sz w:val="24"/>
          <w:szCs w:val="24"/>
        </w:rPr>
      </w:pPr>
      <w:r>
        <w:rPr>
          <w:rFonts w:hint="eastAsia" w:ascii="宋体" w:hAnsi="宋体"/>
          <w:sz w:val="24"/>
          <w:szCs w:val="24"/>
        </w:rPr>
        <w:t>（1）为使第1.6.1项所述的施工图纸适合于经现场测量后的纵、横断面；</w:t>
      </w:r>
    </w:p>
    <w:p w14:paraId="1BB5D574">
      <w:pPr>
        <w:spacing w:line="360" w:lineRule="auto"/>
        <w:ind w:firstLine="480" w:firstLineChars="200"/>
        <w:rPr>
          <w:rFonts w:ascii="宋体" w:hAnsi="宋体"/>
          <w:sz w:val="24"/>
          <w:szCs w:val="24"/>
        </w:rPr>
      </w:pPr>
      <w:r>
        <w:rPr>
          <w:rFonts w:hint="eastAsia" w:ascii="宋体" w:hAnsi="宋体"/>
          <w:sz w:val="24"/>
          <w:szCs w:val="24"/>
        </w:rPr>
        <w:t>（2）为使第1.6.1项所述的施工图纸适合于现场具体地形；</w:t>
      </w:r>
    </w:p>
    <w:p w14:paraId="08A6DD95">
      <w:pPr>
        <w:spacing w:line="360" w:lineRule="auto"/>
        <w:ind w:firstLine="480" w:firstLineChars="200"/>
        <w:rPr>
          <w:rFonts w:ascii="宋体" w:hAnsi="宋体"/>
          <w:sz w:val="24"/>
          <w:szCs w:val="24"/>
        </w:rPr>
      </w:pPr>
      <w:r>
        <w:rPr>
          <w:rFonts w:hint="eastAsia" w:ascii="宋体" w:hAnsi="宋体"/>
          <w:sz w:val="24"/>
          <w:szCs w:val="24"/>
        </w:rPr>
        <w:t>（3）为使第1.6.1项所述的施工图纸适合于因尺寸与位置变化而引起局部变更；</w:t>
      </w:r>
    </w:p>
    <w:p w14:paraId="2581DC9C">
      <w:pPr>
        <w:spacing w:line="360" w:lineRule="auto"/>
        <w:ind w:firstLine="480" w:firstLineChars="200"/>
        <w:rPr>
          <w:rFonts w:ascii="宋体" w:hAnsi="宋体"/>
          <w:sz w:val="24"/>
          <w:szCs w:val="24"/>
        </w:rPr>
      </w:pPr>
      <w:r>
        <w:rPr>
          <w:rFonts w:hint="eastAsia" w:ascii="宋体" w:hAnsi="宋体"/>
          <w:sz w:val="24"/>
          <w:szCs w:val="24"/>
        </w:rPr>
        <w:t>（4）由于合同要求与施工需要。</w:t>
      </w:r>
    </w:p>
    <w:p w14:paraId="0E48DF63">
      <w:pPr>
        <w:spacing w:line="360" w:lineRule="auto"/>
        <w:ind w:firstLine="480" w:firstLineChars="200"/>
        <w:rPr>
          <w:rFonts w:ascii="宋体" w:hAnsi="宋体"/>
          <w:sz w:val="24"/>
          <w:szCs w:val="24"/>
        </w:rPr>
      </w:pPr>
      <w:r>
        <w:rPr>
          <w:rFonts w:hint="eastAsia" w:ascii="宋体" w:hAnsi="宋体"/>
          <w:sz w:val="24"/>
          <w:szCs w:val="24"/>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4FE5BE47">
      <w:pPr>
        <w:spacing w:line="360" w:lineRule="auto"/>
        <w:ind w:firstLine="480" w:firstLineChars="200"/>
        <w:rPr>
          <w:rFonts w:ascii="宋体" w:hAnsi="宋体"/>
          <w:sz w:val="24"/>
          <w:szCs w:val="24"/>
        </w:rPr>
      </w:pPr>
      <w:r>
        <w:rPr>
          <w:rFonts w:hint="eastAsia" w:ascii="宋体" w:hAnsi="宋体"/>
          <w:sz w:val="24"/>
          <w:szCs w:val="24"/>
        </w:rPr>
        <w:t>1.6.4图纸的错误</w:t>
      </w:r>
    </w:p>
    <w:p w14:paraId="2E1BE1EA">
      <w:pPr>
        <w:spacing w:line="360" w:lineRule="auto"/>
        <w:ind w:firstLine="480" w:firstLineChars="200"/>
        <w:rPr>
          <w:rFonts w:ascii="宋体" w:hAnsi="宋体"/>
          <w:sz w:val="24"/>
          <w:szCs w:val="24"/>
        </w:rPr>
      </w:pPr>
      <w:r>
        <w:rPr>
          <w:rFonts w:hint="eastAsia" w:ascii="宋体" w:hAnsi="宋体"/>
          <w:sz w:val="24"/>
          <w:szCs w:val="24"/>
        </w:rPr>
        <w:t>本项细化为：</w:t>
      </w:r>
    </w:p>
    <w:p w14:paraId="58AE7B88">
      <w:pPr>
        <w:spacing w:line="360" w:lineRule="auto"/>
        <w:ind w:firstLine="480" w:firstLineChars="200"/>
        <w:rPr>
          <w:rFonts w:ascii="宋体" w:hAnsi="宋体"/>
          <w:sz w:val="24"/>
          <w:szCs w:val="24"/>
        </w:rPr>
      </w:pPr>
      <w:r>
        <w:rPr>
          <w:rFonts w:hint="eastAsia" w:ascii="宋体" w:hAnsi="宋体"/>
          <w:sz w:val="24"/>
          <w:szCs w:val="24"/>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5588839B">
      <w:pPr>
        <w:spacing w:line="360" w:lineRule="auto"/>
        <w:ind w:firstLine="480" w:firstLineChars="200"/>
        <w:rPr>
          <w:rFonts w:ascii="宋体" w:hAnsi="宋体"/>
          <w:sz w:val="24"/>
          <w:szCs w:val="24"/>
        </w:rPr>
      </w:pPr>
      <w:bookmarkStart w:id="409" w:name="_Toc234382846"/>
      <w:r>
        <w:rPr>
          <w:rFonts w:hint="eastAsia" w:ascii="宋体" w:hAnsi="宋体"/>
          <w:sz w:val="24"/>
          <w:szCs w:val="24"/>
        </w:rPr>
        <w:t>1.9严禁贿赂</w:t>
      </w:r>
      <w:bookmarkEnd w:id="409"/>
    </w:p>
    <w:p w14:paraId="616E9000">
      <w:pPr>
        <w:spacing w:line="360" w:lineRule="auto"/>
        <w:ind w:firstLine="480" w:firstLineChars="200"/>
        <w:rPr>
          <w:rFonts w:ascii="宋体" w:hAnsi="宋体"/>
          <w:sz w:val="24"/>
          <w:szCs w:val="24"/>
        </w:rPr>
      </w:pPr>
      <w:r>
        <w:rPr>
          <w:rFonts w:hint="eastAsia" w:ascii="宋体" w:hAnsi="宋体"/>
          <w:sz w:val="24"/>
          <w:szCs w:val="24"/>
        </w:rPr>
        <w:t>本款补充：</w:t>
      </w:r>
    </w:p>
    <w:p w14:paraId="19D303EA">
      <w:pPr>
        <w:spacing w:line="360" w:lineRule="auto"/>
        <w:ind w:firstLine="480" w:firstLineChars="200"/>
        <w:rPr>
          <w:rFonts w:ascii="宋体" w:hAnsi="宋体"/>
          <w:sz w:val="24"/>
          <w:szCs w:val="24"/>
        </w:rPr>
      </w:pPr>
      <w:r>
        <w:rPr>
          <w:rFonts w:hint="eastAsia" w:ascii="宋体" w:hAnsi="宋体"/>
          <w:sz w:val="24"/>
          <w:szCs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50513C9A">
      <w:pPr>
        <w:spacing w:line="360" w:lineRule="auto"/>
        <w:ind w:firstLine="480" w:firstLineChars="200"/>
        <w:rPr>
          <w:rFonts w:ascii="宋体" w:hAnsi="宋体"/>
          <w:sz w:val="24"/>
          <w:szCs w:val="24"/>
        </w:rPr>
      </w:pPr>
      <w:bookmarkStart w:id="410" w:name="_Toc234382847"/>
      <w:r>
        <w:rPr>
          <w:rFonts w:hint="eastAsia" w:ascii="宋体" w:hAnsi="宋体"/>
          <w:sz w:val="24"/>
          <w:szCs w:val="24"/>
        </w:rPr>
        <w:t>2．发包人义务</w:t>
      </w:r>
      <w:bookmarkEnd w:id="410"/>
    </w:p>
    <w:p w14:paraId="36E73DC3">
      <w:pPr>
        <w:spacing w:line="360" w:lineRule="auto"/>
        <w:ind w:firstLine="480" w:firstLineChars="200"/>
        <w:rPr>
          <w:rFonts w:ascii="宋体" w:hAnsi="宋体"/>
          <w:sz w:val="24"/>
          <w:szCs w:val="24"/>
        </w:rPr>
      </w:pPr>
      <w:bookmarkStart w:id="411" w:name="_Toc234382848"/>
      <w:r>
        <w:rPr>
          <w:rFonts w:hint="eastAsia" w:ascii="宋体" w:hAnsi="宋体"/>
          <w:sz w:val="24"/>
          <w:szCs w:val="24"/>
        </w:rPr>
        <w:t>2.3提供施工场地</w:t>
      </w:r>
      <w:bookmarkEnd w:id="411"/>
    </w:p>
    <w:p w14:paraId="70B86366">
      <w:pPr>
        <w:spacing w:line="360" w:lineRule="auto"/>
        <w:ind w:firstLine="480" w:firstLineChars="200"/>
        <w:rPr>
          <w:rFonts w:ascii="宋体" w:hAnsi="宋体"/>
          <w:sz w:val="24"/>
          <w:szCs w:val="24"/>
        </w:rPr>
      </w:pPr>
      <w:r>
        <w:rPr>
          <w:rFonts w:hint="eastAsia" w:ascii="宋体" w:hAnsi="宋体"/>
          <w:sz w:val="24"/>
          <w:szCs w:val="24"/>
        </w:rPr>
        <w:t>本款补充：</w:t>
      </w:r>
    </w:p>
    <w:p w14:paraId="3E659E3D">
      <w:pPr>
        <w:spacing w:line="360" w:lineRule="auto"/>
        <w:ind w:firstLine="480" w:firstLineChars="200"/>
        <w:rPr>
          <w:rFonts w:ascii="宋体" w:hAnsi="宋体"/>
          <w:sz w:val="24"/>
          <w:szCs w:val="24"/>
        </w:rPr>
      </w:pPr>
      <w:r>
        <w:rPr>
          <w:rFonts w:hint="eastAsia" w:ascii="宋体" w:hAnsi="宋体"/>
          <w:sz w:val="24"/>
          <w:szCs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1218AFF0">
      <w:pPr>
        <w:spacing w:line="360" w:lineRule="auto"/>
        <w:ind w:firstLine="480" w:firstLineChars="200"/>
        <w:rPr>
          <w:rFonts w:ascii="宋体" w:hAnsi="宋体"/>
          <w:sz w:val="24"/>
          <w:szCs w:val="24"/>
        </w:rPr>
      </w:pPr>
      <w:r>
        <w:rPr>
          <w:rFonts w:hint="eastAsia" w:ascii="宋体" w:hAnsi="宋体"/>
          <w:sz w:val="24"/>
          <w:szCs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1BB1515">
      <w:pPr>
        <w:spacing w:line="360" w:lineRule="auto"/>
        <w:ind w:firstLine="480" w:firstLineChars="200"/>
        <w:rPr>
          <w:rFonts w:ascii="宋体" w:hAnsi="宋体"/>
          <w:sz w:val="24"/>
          <w:szCs w:val="24"/>
        </w:rPr>
      </w:pPr>
      <w:bookmarkStart w:id="412" w:name="_Toc234382849"/>
      <w:r>
        <w:rPr>
          <w:rFonts w:hint="eastAsia" w:ascii="宋体" w:hAnsi="宋体"/>
          <w:sz w:val="24"/>
          <w:szCs w:val="24"/>
        </w:rPr>
        <w:t>3．监理人</w:t>
      </w:r>
      <w:bookmarkEnd w:id="412"/>
    </w:p>
    <w:p w14:paraId="1DFFDA1D">
      <w:pPr>
        <w:spacing w:line="360" w:lineRule="auto"/>
        <w:ind w:firstLine="480" w:firstLineChars="200"/>
        <w:rPr>
          <w:rFonts w:ascii="宋体" w:hAnsi="宋体"/>
          <w:sz w:val="24"/>
          <w:szCs w:val="24"/>
        </w:rPr>
      </w:pPr>
      <w:bookmarkStart w:id="413" w:name="_Toc234382850"/>
      <w:r>
        <w:rPr>
          <w:rFonts w:hint="eastAsia" w:ascii="宋体" w:hAnsi="宋体"/>
          <w:sz w:val="24"/>
          <w:szCs w:val="24"/>
        </w:rPr>
        <w:t>3.1监理人的职责和权力</w:t>
      </w:r>
      <w:bookmarkEnd w:id="413"/>
    </w:p>
    <w:p w14:paraId="7926790B">
      <w:pPr>
        <w:spacing w:line="360" w:lineRule="auto"/>
        <w:ind w:firstLine="480" w:firstLineChars="200"/>
        <w:rPr>
          <w:rFonts w:ascii="宋体" w:hAnsi="宋体"/>
          <w:sz w:val="24"/>
          <w:szCs w:val="24"/>
        </w:rPr>
      </w:pPr>
      <w:r>
        <w:rPr>
          <w:rFonts w:hint="eastAsia" w:ascii="宋体" w:hAnsi="宋体"/>
          <w:sz w:val="24"/>
          <w:szCs w:val="24"/>
        </w:rPr>
        <w:t>第3.1.1项补充：</w:t>
      </w:r>
    </w:p>
    <w:p w14:paraId="2BDAFBD1">
      <w:pPr>
        <w:spacing w:line="360" w:lineRule="auto"/>
        <w:ind w:firstLine="480" w:firstLineChars="200"/>
        <w:rPr>
          <w:rFonts w:ascii="宋体" w:hAnsi="宋体"/>
          <w:sz w:val="24"/>
          <w:szCs w:val="24"/>
        </w:rPr>
      </w:pPr>
      <w:r>
        <w:rPr>
          <w:rFonts w:hint="eastAsia" w:ascii="宋体" w:hAnsi="宋体"/>
          <w:sz w:val="24"/>
          <w:szCs w:val="24"/>
        </w:rPr>
        <w:t>监理人在行使下列权力前需要经发包人事先批准：</w:t>
      </w:r>
    </w:p>
    <w:p w14:paraId="4A727322">
      <w:pPr>
        <w:spacing w:line="360" w:lineRule="auto"/>
        <w:ind w:firstLine="480" w:firstLineChars="200"/>
        <w:rPr>
          <w:rFonts w:ascii="宋体" w:hAnsi="宋体"/>
          <w:sz w:val="24"/>
          <w:szCs w:val="24"/>
        </w:rPr>
      </w:pPr>
      <w:r>
        <w:rPr>
          <w:rFonts w:hint="eastAsia" w:ascii="宋体" w:hAnsi="宋体"/>
          <w:sz w:val="24"/>
          <w:szCs w:val="24"/>
        </w:rPr>
        <w:t>（1）根据第4.3款，同意分包本工程的某些非主体和非关键性工作；</w:t>
      </w:r>
    </w:p>
    <w:p w14:paraId="0EEDAE75">
      <w:pPr>
        <w:spacing w:line="360" w:lineRule="auto"/>
        <w:ind w:firstLine="480" w:firstLineChars="200"/>
        <w:rPr>
          <w:rFonts w:ascii="宋体" w:hAnsi="宋体"/>
          <w:sz w:val="24"/>
          <w:szCs w:val="24"/>
        </w:rPr>
      </w:pPr>
      <w:r>
        <w:rPr>
          <w:rFonts w:hint="eastAsia" w:ascii="宋体" w:hAnsi="宋体"/>
          <w:sz w:val="24"/>
          <w:szCs w:val="24"/>
        </w:rPr>
        <w:t>（2）确定第4.11款下产生的费用增加额；</w:t>
      </w:r>
    </w:p>
    <w:p w14:paraId="5D9747DA">
      <w:pPr>
        <w:spacing w:line="360" w:lineRule="auto"/>
        <w:ind w:firstLine="480" w:firstLineChars="200"/>
        <w:rPr>
          <w:rFonts w:ascii="宋体" w:hAnsi="宋体"/>
          <w:sz w:val="24"/>
          <w:szCs w:val="24"/>
        </w:rPr>
      </w:pPr>
      <w:r>
        <w:rPr>
          <w:rFonts w:hint="eastAsia" w:ascii="宋体" w:hAnsi="宋体"/>
          <w:sz w:val="24"/>
          <w:szCs w:val="24"/>
        </w:rPr>
        <w:t>（3）根据第11.1款、第12.3款、第12.4款发布开工通知、暂停施工指示或复工通知；</w:t>
      </w:r>
    </w:p>
    <w:p w14:paraId="0B6DBE46">
      <w:pPr>
        <w:spacing w:line="360" w:lineRule="auto"/>
        <w:ind w:firstLine="480" w:firstLineChars="200"/>
        <w:rPr>
          <w:rFonts w:ascii="宋体" w:hAnsi="宋体"/>
          <w:sz w:val="24"/>
          <w:szCs w:val="24"/>
        </w:rPr>
      </w:pPr>
      <w:r>
        <w:rPr>
          <w:rFonts w:hint="eastAsia" w:ascii="宋体" w:hAnsi="宋体"/>
          <w:sz w:val="24"/>
          <w:szCs w:val="24"/>
        </w:rPr>
        <w:t>（4）决定第11.3款、第11.4款下的工期延长；</w:t>
      </w:r>
    </w:p>
    <w:p w14:paraId="6BFB3EC0">
      <w:pPr>
        <w:spacing w:line="360" w:lineRule="auto"/>
        <w:ind w:firstLine="480" w:firstLineChars="200"/>
        <w:rPr>
          <w:rFonts w:ascii="宋体" w:hAnsi="宋体"/>
          <w:sz w:val="24"/>
          <w:szCs w:val="24"/>
        </w:rPr>
      </w:pPr>
      <w:r>
        <w:rPr>
          <w:rFonts w:hint="eastAsia" w:ascii="宋体" w:hAnsi="宋体"/>
          <w:sz w:val="24"/>
          <w:szCs w:val="24"/>
        </w:rPr>
        <w:t>（5）审查批准技术规范或设计的变更；</w:t>
      </w:r>
    </w:p>
    <w:p w14:paraId="0BA8037A">
      <w:pPr>
        <w:spacing w:line="360" w:lineRule="auto"/>
        <w:ind w:firstLine="480" w:firstLineChars="200"/>
        <w:rPr>
          <w:rFonts w:ascii="宋体" w:hAnsi="宋体"/>
          <w:sz w:val="24"/>
          <w:szCs w:val="24"/>
        </w:rPr>
      </w:pPr>
      <w:r>
        <w:rPr>
          <w:rFonts w:hint="eastAsia" w:ascii="宋体" w:hAnsi="宋体"/>
          <w:sz w:val="24"/>
          <w:szCs w:val="24"/>
        </w:rPr>
        <w:t>（6）根据第15.3款发出的变更指令，其单项工程变更或累计变更涉及的金额超过了项目专用合同条款数据表规定的金额；</w:t>
      </w:r>
    </w:p>
    <w:p w14:paraId="01F3DA74">
      <w:pPr>
        <w:spacing w:line="360" w:lineRule="auto"/>
        <w:ind w:firstLine="480" w:firstLineChars="200"/>
        <w:rPr>
          <w:rFonts w:ascii="宋体" w:hAnsi="宋体"/>
          <w:sz w:val="24"/>
          <w:szCs w:val="24"/>
        </w:rPr>
      </w:pPr>
      <w:r>
        <w:rPr>
          <w:rFonts w:hint="eastAsia" w:ascii="宋体" w:hAnsi="宋体"/>
          <w:sz w:val="24"/>
          <w:szCs w:val="24"/>
        </w:rPr>
        <w:t>（7）确定第15.4款下变更工作的单价；</w:t>
      </w:r>
    </w:p>
    <w:p w14:paraId="7DF2E43E">
      <w:pPr>
        <w:spacing w:line="360" w:lineRule="auto"/>
        <w:ind w:firstLine="480" w:firstLineChars="200"/>
        <w:rPr>
          <w:rFonts w:ascii="宋体" w:hAnsi="宋体"/>
          <w:sz w:val="24"/>
          <w:szCs w:val="24"/>
        </w:rPr>
      </w:pPr>
      <w:r>
        <w:rPr>
          <w:rFonts w:hint="eastAsia" w:ascii="宋体" w:hAnsi="宋体"/>
          <w:sz w:val="24"/>
          <w:szCs w:val="24"/>
        </w:rPr>
        <w:t>（8）按照第15.6款决定有关暂列金额的使用；</w:t>
      </w:r>
    </w:p>
    <w:p w14:paraId="0351F913">
      <w:pPr>
        <w:spacing w:line="360" w:lineRule="auto"/>
        <w:ind w:firstLine="480" w:firstLineChars="200"/>
        <w:rPr>
          <w:rFonts w:ascii="宋体" w:hAnsi="宋体"/>
          <w:sz w:val="24"/>
          <w:szCs w:val="24"/>
        </w:rPr>
      </w:pPr>
      <w:r>
        <w:rPr>
          <w:rFonts w:hint="eastAsia" w:ascii="宋体" w:hAnsi="宋体"/>
          <w:sz w:val="24"/>
          <w:szCs w:val="24"/>
        </w:rPr>
        <w:t>（9）确定第15.8款项下的暂估价金额；</w:t>
      </w:r>
    </w:p>
    <w:p w14:paraId="4044C321">
      <w:pPr>
        <w:spacing w:line="360" w:lineRule="auto"/>
        <w:ind w:firstLine="480" w:firstLineChars="200"/>
        <w:rPr>
          <w:rFonts w:ascii="宋体" w:hAnsi="宋体"/>
          <w:sz w:val="24"/>
          <w:szCs w:val="24"/>
        </w:rPr>
      </w:pPr>
      <w:r>
        <w:rPr>
          <w:rFonts w:hint="eastAsia" w:ascii="宋体" w:hAnsi="宋体"/>
          <w:sz w:val="24"/>
          <w:szCs w:val="24"/>
        </w:rPr>
        <w:t>（10）确定第23.1款项下的索赔额。</w:t>
      </w:r>
    </w:p>
    <w:p w14:paraId="078DB5C6">
      <w:pPr>
        <w:spacing w:line="360" w:lineRule="auto"/>
        <w:ind w:firstLine="480" w:firstLineChars="200"/>
        <w:rPr>
          <w:rFonts w:ascii="宋体" w:hAnsi="宋体"/>
          <w:sz w:val="24"/>
          <w:szCs w:val="24"/>
        </w:rPr>
      </w:pPr>
      <w:r>
        <w:rPr>
          <w:rFonts w:hint="eastAsia" w:ascii="宋体" w:hAnsi="宋体"/>
          <w:sz w:val="24"/>
          <w:szCs w:val="24"/>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14:paraId="48DD75B3">
      <w:pPr>
        <w:spacing w:line="360" w:lineRule="auto"/>
        <w:ind w:firstLine="480" w:firstLineChars="200"/>
        <w:rPr>
          <w:rFonts w:ascii="宋体" w:hAnsi="宋体"/>
          <w:sz w:val="24"/>
          <w:szCs w:val="24"/>
        </w:rPr>
      </w:pPr>
      <w:bookmarkStart w:id="414" w:name="_Toc234382851"/>
      <w:r>
        <w:rPr>
          <w:rFonts w:hint="eastAsia" w:ascii="宋体" w:hAnsi="宋体"/>
          <w:sz w:val="24"/>
          <w:szCs w:val="24"/>
        </w:rPr>
        <w:t>3.5商定或确定</w:t>
      </w:r>
      <w:bookmarkEnd w:id="414"/>
    </w:p>
    <w:p w14:paraId="020EC79F">
      <w:pPr>
        <w:spacing w:line="360" w:lineRule="auto"/>
        <w:ind w:firstLine="480" w:firstLineChars="200"/>
        <w:rPr>
          <w:rFonts w:ascii="宋体" w:hAnsi="宋体"/>
          <w:sz w:val="24"/>
          <w:szCs w:val="24"/>
        </w:rPr>
      </w:pPr>
      <w:r>
        <w:rPr>
          <w:rFonts w:hint="eastAsia" w:ascii="宋体" w:hAnsi="宋体"/>
          <w:sz w:val="24"/>
          <w:szCs w:val="24"/>
        </w:rPr>
        <w:t>第3.5.1 项补充：</w:t>
      </w:r>
    </w:p>
    <w:p w14:paraId="32011679">
      <w:pPr>
        <w:spacing w:line="360" w:lineRule="auto"/>
        <w:ind w:firstLine="480" w:firstLineChars="200"/>
        <w:rPr>
          <w:rFonts w:ascii="宋体" w:hAnsi="宋体"/>
          <w:sz w:val="24"/>
          <w:szCs w:val="24"/>
        </w:rPr>
      </w:pPr>
      <w:r>
        <w:rPr>
          <w:rFonts w:hint="eastAsia" w:ascii="宋体" w:hAnsi="宋体"/>
          <w:sz w:val="24"/>
          <w:szCs w:val="24"/>
        </w:rPr>
        <w:t>如果这项商定或确定导致费用增加和（或）工期延长，或者涉及确定变更工程的价格，则总监理工程师在发出通知前，应征得发包人的同意。</w:t>
      </w:r>
    </w:p>
    <w:p w14:paraId="528949C2">
      <w:pPr>
        <w:spacing w:line="360" w:lineRule="auto"/>
        <w:ind w:firstLine="480" w:firstLineChars="200"/>
        <w:rPr>
          <w:rFonts w:ascii="宋体" w:hAnsi="宋体"/>
          <w:sz w:val="24"/>
          <w:szCs w:val="24"/>
        </w:rPr>
      </w:pPr>
      <w:bookmarkStart w:id="415" w:name="_Toc234382852"/>
      <w:r>
        <w:rPr>
          <w:rFonts w:hint="eastAsia" w:ascii="宋体" w:hAnsi="宋体"/>
          <w:sz w:val="24"/>
          <w:szCs w:val="24"/>
        </w:rPr>
        <w:t>4.承包人</w:t>
      </w:r>
      <w:bookmarkEnd w:id="415"/>
    </w:p>
    <w:p w14:paraId="6A26598B">
      <w:pPr>
        <w:spacing w:line="360" w:lineRule="auto"/>
        <w:ind w:firstLine="480" w:firstLineChars="200"/>
        <w:rPr>
          <w:rFonts w:ascii="宋体" w:hAnsi="宋体"/>
          <w:sz w:val="24"/>
          <w:szCs w:val="24"/>
        </w:rPr>
      </w:pPr>
      <w:bookmarkStart w:id="416" w:name="_Toc234382853"/>
      <w:r>
        <w:rPr>
          <w:rFonts w:hint="eastAsia" w:ascii="宋体" w:hAnsi="宋体"/>
          <w:sz w:val="24"/>
          <w:szCs w:val="24"/>
        </w:rPr>
        <w:t>4.1承包工的一般义务</w:t>
      </w:r>
      <w:bookmarkEnd w:id="416"/>
    </w:p>
    <w:p w14:paraId="2B095D98">
      <w:pPr>
        <w:spacing w:line="360" w:lineRule="auto"/>
        <w:ind w:firstLine="480" w:firstLineChars="200"/>
        <w:rPr>
          <w:rFonts w:ascii="宋体" w:hAnsi="宋体"/>
          <w:sz w:val="24"/>
          <w:szCs w:val="24"/>
        </w:rPr>
      </w:pPr>
      <w:r>
        <w:rPr>
          <w:rFonts w:hint="eastAsia" w:ascii="宋体" w:hAnsi="宋体"/>
          <w:sz w:val="24"/>
          <w:szCs w:val="24"/>
        </w:rPr>
        <w:t>4.1.9工程的维护和照管</w:t>
      </w:r>
    </w:p>
    <w:p w14:paraId="2F294576">
      <w:pPr>
        <w:spacing w:line="360" w:lineRule="auto"/>
        <w:ind w:firstLine="480" w:firstLineChars="200"/>
        <w:rPr>
          <w:rFonts w:ascii="宋体" w:hAnsi="宋体"/>
          <w:sz w:val="24"/>
          <w:szCs w:val="24"/>
        </w:rPr>
      </w:pPr>
      <w:r>
        <w:rPr>
          <w:rFonts w:hint="eastAsia" w:ascii="宋体" w:hAnsi="宋体"/>
          <w:sz w:val="24"/>
          <w:szCs w:val="24"/>
        </w:rPr>
        <w:t>本项细化为：</w:t>
      </w:r>
    </w:p>
    <w:p w14:paraId="1953096B">
      <w:pPr>
        <w:spacing w:line="360" w:lineRule="auto"/>
        <w:ind w:firstLine="480" w:firstLineChars="200"/>
        <w:rPr>
          <w:rFonts w:ascii="宋体" w:hAnsi="宋体"/>
          <w:sz w:val="24"/>
          <w:szCs w:val="24"/>
        </w:rPr>
      </w:pPr>
      <w:r>
        <w:rPr>
          <w:rFonts w:hint="eastAsia" w:ascii="宋体" w:hAnsi="宋体"/>
          <w:sz w:val="24"/>
          <w:szCs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685D098">
      <w:pPr>
        <w:spacing w:line="360" w:lineRule="auto"/>
        <w:ind w:firstLine="480" w:firstLineChars="200"/>
        <w:rPr>
          <w:rFonts w:ascii="宋体" w:hAnsi="宋体"/>
          <w:sz w:val="24"/>
          <w:szCs w:val="24"/>
        </w:rPr>
      </w:pPr>
      <w:r>
        <w:rPr>
          <w:rFonts w:hint="eastAsia" w:ascii="宋体" w:hAnsi="宋体"/>
          <w:sz w:val="24"/>
          <w:szCs w:val="24"/>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436537C">
      <w:pPr>
        <w:spacing w:line="360" w:lineRule="auto"/>
        <w:ind w:firstLine="480" w:firstLineChars="200"/>
        <w:rPr>
          <w:rFonts w:ascii="宋体" w:hAnsi="宋体"/>
          <w:sz w:val="24"/>
          <w:szCs w:val="24"/>
        </w:rPr>
      </w:pPr>
      <w:r>
        <w:rPr>
          <w:rFonts w:hint="eastAsia" w:ascii="宋体" w:hAnsi="宋体"/>
          <w:sz w:val="24"/>
          <w:szCs w:val="24"/>
        </w:rPr>
        <w:t>4.1.10其他义务</w:t>
      </w:r>
    </w:p>
    <w:p w14:paraId="3399295D">
      <w:pPr>
        <w:spacing w:line="360" w:lineRule="auto"/>
        <w:ind w:firstLine="480" w:firstLineChars="200"/>
        <w:rPr>
          <w:rFonts w:ascii="宋体" w:hAnsi="宋体"/>
          <w:sz w:val="24"/>
          <w:szCs w:val="24"/>
        </w:rPr>
      </w:pPr>
      <w:r>
        <w:rPr>
          <w:rFonts w:hint="eastAsia" w:ascii="宋体" w:hAnsi="宋体"/>
          <w:sz w:val="24"/>
          <w:szCs w:val="24"/>
        </w:rPr>
        <w:t>本项细化为：</w:t>
      </w:r>
    </w:p>
    <w:p w14:paraId="60183439">
      <w:pPr>
        <w:spacing w:line="360" w:lineRule="auto"/>
        <w:ind w:firstLine="480" w:firstLineChars="200"/>
        <w:rPr>
          <w:rFonts w:ascii="宋体" w:hAnsi="宋体"/>
          <w:sz w:val="24"/>
          <w:szCs w:val="24"/>
        </w:rPr>
      </w:pPr>
      <w:r>
        <w:rPr>
          <w:rFonts w:hint="eastAsia" w:ascii="宋体" w:hAnsi="宋体"/>
          <w:sz w:val="24"/>
          <w:szCs w:val="24"/>
        </w:rPr>
        <w:t>（1）临时占地由承包人向当地政府土地管理部门申请，并办理租用手续，承包人按有关规定直接支付其费用，发包人对此将予以协调。</w:t>
      </w:r>
    </w:p>
    <w:p w14:paraId="27B3B9CD">
      <w:pPr>
        <w:spacing w:line="360" w:lineRule="auto"/>
        <w:ind w:firstLine="480" w:firstLineChars="200"/>
        <w:rPr>
          <w:rFonts w:ascii="宋体" w:hAnsi="宋体"/>
          <w:sz w:val="24"/>
          <w:szCs w:val="24"/>
        </w:rPr>
      </w:pPr>
      <w:r>
        <w:rPr>
          <w:rFonts w:hint="eastAsia" w:ascii="宋体" w:hAnsi="宋体"/>
          <w:sz w:val="24"/>
          <w:szCs w:val="24"/>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1C841771">
      <w:pPr>
        <w:spacing w:line="360" w:lineRule="auto"/>
        <w:ind w:firstLine="480" w:firstLineChars="200"/>
        <w:rPr>
          <w:rFonts w:ascii="宋体" w:hAnsi="宋体"/>
          <w:sz w:val="24"/>
          <w:szCs w:val="24"/>
        </w:rPr>
      </w:pPr>
      <w:r>
        <w:rPr>
          <w:rFonts w:hint="eastAsia" w:ascii="宋体" w:hAnsi="宋体"/>
          <w:sz w:val="24"/>
          <w:szCs w:val="24"/>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01336501">
      <w:pPr>
        <w:spacing w:line="360" w:lineRule="auto"/>
        <w:ind w:firstLine="480" w:firstLineChars="200"/>
        <w:rPr>
          <w:rFonts w:ascii="宋体" w:hAnsi="宋体"/>
          <w:sz w:val="24"/>
          <w:szCs w:val="24"/>
        </w:rPr>
      </w:pPr>
      <w:r>
        <w:rPr>
          <w:rFonts w:hint="eastAsia" w:ascii="宋体" w:hAnsi="宋体"/>
          <w:sz w:val="24"/>
          <w:szCs w:val="24"/>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DA5A8A3">
      <w:pPr>
        <w:spacing w:line="360" w:lineRule="auto"/>
        <w:ind w:firstLine="480" w:firstLineChars="200"/>
        <w:rPr>
          <w:rFonts w:ascii="宋体" w:hAnsi="宋体"/>
          <w:sz w:val="24"/>
          <w:szCs w:val="24"/>
        </w:rPr>
      </w:pPr>
      <w:r>
        <w:rPr>
          <w:rFonts w:hint="eastAsia" w:ascii="宋体" w:hAnsi="宋体"/>
          <w:sz w:val="24"/>
          <w:szCs w:val="24"/>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290DF113">
      <w:pPr>
        <w:spacing w:line="360" w:lineRule="auto"/>
        <w:ind w:firstLine="480" w:firstLineChars="200"/>
        <w:rPr>
          <w:rFonts w:ascii="宋体" w:hAnsi="宋体"/>
          <w:sz w:val="24"/>
          <w:szCs w:val="24"/>
        </w:rPr>
      </w:pPr>
      <w:r>
        <w:rPr>
          <w:rFonts w:hint="eastAsia" w:ascii="宋体" w:hAnsi="宋体"/>
          <w:sz w:val="24"/>
          <w:szCs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1A808A63">
      <w:pPr>
        <w:spacing w:line="360" w:lineRule="auto"/>
        <w:ind w:firstLine="480" w:firstLineChars="200"/>
        <w:rPr>
          <w:rFonts w:ascii="宋体" w:hAnsi="宋体"/>
          <w:sz w:val="24"/>
          <w:szCs w:val="24"/>
        </w:rPr>
      </w:pPr>
      <w:r>
        <w:rPr>
          <w:rFonts w:hint="eastAsia" w:ascii="宋体" w:hAnsi="宋体"/>
          <w:sz w:val="24"/>
          <w:szCs w:val="24"/>
        </w:rPr>
        <w:t>工资支付表应如实记录支付单位、支付时间、支付对象、支付数额、支付对象的身份证号和签字等信息。民工花名册和工资支付表应报监理人备查。</w:t>
      </w:r>
    </w:p>
    <w:p w14:paraId="366383C5">
      <w:pPr>
        <w:spacing w:line="360" w:lineRule="auto"/>
        <w:ind w:firstLine="480" w:firstLineChars="200"/>
        <w:rPr>
          <w:rFonts w:ascii="宋体" w:hAnsi="宋体"/>
          <w:sz w:val="24"/>
          <w:szCs w:val="24"/>
        </w:rPr>
      </w:pPr>
      <w:r>
        <w:rPr>
          <w:rFonts w:hint="eastAsia" w:ascii="宋体" w:hAnsi="宋体"/>
          <w:sz w:val="24"/>
          <w:szCs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02427AFF">
      <w:pPr>
        <w:spacing w:line="360" w:lineRule="auto"/>
        <w:ind w:firstLine="480" w:firstLineChars="200"/>
        <w:rPr>
          <w:rFonts w:ascii="宋体" w:hAnsi="宋体"/>
          <w:sz w:val="24"/>
          <w:szCs w:val="24"/>
        </w:rPr>
      </w:pPr>
      <w:r>
        <w:rPr>
          <w:rFonts w:hint="eastAsia" w:ascii="宋体" w:hAnsi="宋体"/>
          <w:sz w:val="24"/>
          <w:szCs w:val="24"/>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 100 章中。</w:t>
      </w:r>
    </w:p>
    <w:p w14:paraId="212433A0">
      <w:pPr>
        <w:spacing w:line="360" w:lineRule="auto"/>
        <w:ind w:firstLine="480" w:firstLineChars="200"/>
        <w:rPr>
          <w:rFonts w:ascii="宋体" w:hAnsi="宋体"/>
          <w:sz w:val="24"/>
          <w:szCs w:val="24"/>
        </w:rPr>
      </w:pPr>
      <w:r>
        <w:rPr>
          <w:rFonts w:hint="eastAsia" w:ascii="宋体" w:hAnsi="宋体"/>
          <w:sz w:val="24"/>
          <w:szCs w:val="24"/>
        </w:rPr>
        <w:t>（6）承包人应履行项目专用合同条款约定的其他义务。</w:t>
      </w:r>
    </w:p>
    <w:p w14:paraId="29DACAD5">
      <w:pPr>
        <w:spacing w:line="360" w:lineRule="auto"/>
        <w:ind w:firstLine="480" w:firstLineChars="200"/>
        <w:rPr>
          <w:rFonts w:ascii="宋体" w:hAnsi="宋体"/>
          <w:sz w:val="24"/>
          <w:szCs w:val="24"/>
        </w:rPr>
      </w:pPr>
      <w:bookmarkStart w:id="417" w:name="_Toc234382854"/>
      <w:r>
        <w:rPr>
          <w:rFonts w:hint="eastAsia" w:ascii="宋体" w:hAnsi="宋体"/>
          <w:sz w:val="24"/>
          <w:szCs w:val="24"/>
        </w:rPr>
        <w:t>4.2 履约保证金</w:t>
      </w:r>
    </w:p>
    <w:p w14:paraId="03F3DCFF">
      <w:pPr>
        <w:spacing w:line="360" w:lineRule="auto"/>
        <w:ind w:firstLine="480" w:firstLineChars="200"/>
        <w:rPr>
          <w:rFonts w:ascii="宋体" w:hAnsi="宋体"/>
          <w:sz w:val="24"/>
          <w:szCs w:val="24"/>
        </w:rPr>
      </w:pPr>
      <w:r>
        <w:rPr>
          <w:rFonts w:hint="eastAsia" w:ascii="宋体" w:hAnsi="宋体"/>
          <w:sz w:val="24"/>
          <w:szCs w:val="24"/>
        </w:rPr>
        <w:t>本款细化为：</w:t>
      </w:r>
    </w:p>
    <w:p w14:paraId="306C74A9">
      <w:pPr>
        <w:spacing w:line="360" w:lineRule="auto"/>
        <w:ind w:firstLine="480" w:firstLineChars="200"/>
        <w:rPr>
          <w:rFonts w:ascii="宋体" w:hAnsi="宋体"/>
          <w:sz w:val="24"/>
          <w:szCs w:val="24"/>
        </w:rPr>
      </w:pPr>
      <w:r>
        <w:rPr>
          <w:rFonts w:hint="eastAsia" w:ascii="宋体" w:hAnsi="宋体"/>
          <w:sz w:val="24"/>
          <w:szCs w:val="24"/>
        </w:rPr>
        <w:t>承包人应保证其履约保证金在发包人签发交工验收证书且承包人按照合同约定缴纳质量保证金前一直有效。发包人应在收到承包人缴纳的质量保证金后28天内将履约保证金退还给承包人。</w:t>
      </w:r>
    </w:p>
    <w:p w14:paraId="5ED5D734">
      <w:pPr>
        <w:spacing w:line="360" w:lineRule="auto"/>
        <w:ind w:firstLine="480" w:firstLineChars="200"/>
        <w:rPr>
          <w:rFonts w:ascii="宋体" w:hAnsi="宋体"/>
          <w:sz w:val="24"/>
          <w:szCs w:val="24"/>
        </w:rPr>
      </w:pPr>
      <w:r>
        <w:rPr>
          <w:rFonts w:hint="eastAsia" w:ascii="宋体" w:hAnsi="宋体"/>
          <w:sz w:val="24"/>
          <w:szCs w:val="24"/>
        </w:rPr>
        <w:t>承包人拒绝按照本合同约定缴纳质量保证金的，发包人有权从交工付款证书中扣留相应金额作为质量保证金，或者直接将履约保证金金额用于保证承包人在缺陷责任期内履行缺陷修复义务。</w:t>
      </w:r>
    </w:p>
    <w:p w14:paraId="4FBD637E">
      <w:pPr>
        <w:spacing w:line="360" w:lineRule="auto"/>
        <w:ind w:firstLine="480" w:firstLineChars="200"/>
        <w:rPr>
          <w:rFonts w:ascii="宋体" w:hAnsi="宋体"/>
          <w:sz w:val="24"/>
          <w:szCs w:val="24"/>
        </w:rPr>
      </w:pPr>
      <w:r>
        <w:rPr>
          <w:rFonts w:hint="eastAsia" w:ascii="宋体" w:hAnsi="宋体"/>
          <w:sz w:val="24"/>
          <w:szCs w:val="24"/>
        </w:rPr>
        <w:t>4.3 分包</w:t>
      </w:r>
      <w:bookmarkEnd w:id="417"/>
    </w:p>
    <w:p w14:paraId="7A90A9FB">
      <w:pPr>
        <w:spacing w:line="360" w:lineRule="auto"/>
        <w:ind w:firstLine="480" w:firstLineChars="200"/>
        <w:rPr>
          <w:rFonts w:ascii="宋体" w:hAnsi="宋体"/>
          <w:sz w:val="24"/>
          <w:szCs w:val="24"/>
        </w:rPr>
      </w:pPr>
      <w:r>
        <w:rPr>
          <w:rFonts w:hint="eastAsia" w:ascii="宋体" w:hAnsi="宋体"/>
          <w:sz w:val="24"/>
          <w:szCs w:val="24"/>
        </w:rPr>
        <w:t>第4.3.2项～第4.3.4项细化为：</w:t>
      </w:r>
    </w:p>
    <w:p w14:paraId="1E409D01">
      <w:pPr>
        <w:spacing w:line="360" w:lineRule="auto"/>
        <w:ind w:firstLine="480" w:firstLineChars="200"/>
        <w:rPr>
          <w:rFonts w:ascii="宋体" w:hAnsi="宋体"/>
          <w:sz w:val="24"/>
          <w:szCs w:val="24"/>
        </w:rPr>
      </w:pPr>
      <w:r>
        <w:rPr>
          <w:rFonts w:hint="eastAsia" w:ascii="宋体" w:hAnsi="宋体"/>
          <w:sz w:val="24"/>
          <w:szCs w:val="24"/>
        </w:rPr>
        <w:t>4.3.2 承包人不得将工程主体、关键性工作分包给第三人。经发包人同意，承包人可将工程的其他部分或工作分包给第三人。分包包括专业分包和劳务分包。</w:t>
      </w:r>
    </w:p>
    <w:p w14:paraId="63A2F124">
      <w:pPr>
        <w:spacing w:line="360" w:lineRule="auto"/>
        <w:ind w:firstLine="480" w:firstLineChars="200"/>
        <w:rPr>
          <w:rFonts w:ascii="宋体" w:hAnsi="宋体"/>
          <w:sz w:val="24"/>
          <w:szCs w:val="24"/>
        </w:rPr>
      </w:pPr>
      <w:r>
        <w:rPr>
          <w:rFonts w:hint="eastAsia" w:ascii="宋体" w:hAnsi="宋体"/>
          <w:sz w:val="24"/>
          <w:szCs w:val="24"/>
        </w:rPr>
        <w:t>4.3.3专业分包</w:t>
      </w:r>
    </w:p>
    <w:p w14:paraId="0919D247">
      <w:pPr>
        <w:spacing w:line="360" w:lineRule="auto"/>
        <w:ind w:firstLine="480" w:firstLineChars="200"/>
        <w:rPr>
          <w:rFonts w:ascii="宋体" w:hAnsi="宋体"/>
          <w:sz w:val="24"/>
          <w:szCs w:val="24"/>
        </w:rPr>
      </w:pPr>
      <w:r>
        <w:rPr>
          <w:rFonts w:hint="eastAsia" w:ascii="宋体" w:hAnsi="宋体"/>
          <w:sz w:val="24"/>
          <w:szCs w:val="24"/>
        </w:rPr>
        <w:t>在工程施工过程中，承包人进行专业分包必须遵守以下规定：</w:t>
      </w:r>
    </w:p>
    <w:p w14:paraId="4C216F33">
      <w:pPr>
        <w:spacing w:line="360" w:lineRule="auto"/>
        <w:ind w:firstLine="480" w:firstLineChars="200"/>
        <w:rPr>
          <w:rFonts w:ascii="宋体" w:hAnsi="宋体"/>
          <w:sz w:val="24"/>
          <w:szCs w:val="24"/>
        </w:rPr>
      </w:pPr>
      <w:r>
        <w:rPr>
          <w:rFonts w:hint="eastAsia" w:ascii="宋体" w:hAnsi="宋体"/>
          <w:sz w:val="24"/>
          <w:szCs w:val="24"/>
        </w:rPr>
        <w:t>（1）允许专业分包的工程范围仅限于分部工程或分项工程、适合专业化队伍施工的工程，专业分包的工程量累计不得超过总工程量的30%。</w:t>
      </w:r>
    </w:p>
    <w:p w14:paraId="59D9732D">
      <w:pPr>
        <w:spacing w:line="360" w:lineRule="auto"/>
        <w:ind w:firstLine="480" w:firstLineChars="200"/>
        <w:rPr>
          <w:rFonts w:ascii="宋体" w:hAnsi="宋体"/>
          <w:sz w:val="24"/>
          <w:szCs w:val="24"/>
        </w:rPr>
      </w:pPr>
      <w:r>
        <w:rPr>
          <w:rFonts w:hint="eastAsia" w:ascii="宋体" w:hAnsi="宋体"/>
          <w:sz w:val="24"/>
          <w:szCs w:val="24"/>
        </w:rPr>
        <w:t>（2）专业分包人的资格能力（含安全生产能力）应与其分包工程的标准和规模相适应，具备相应的专业承包资质。</w:t>
      </w:r>
    </w:p>
    <w:p w14:paraId="012A59E1">
      <w:pPr>
        <w:spacing w:line="360" w:lineRule="auto"/>
        <w:ind w:firstLine="480" w:firstLineChars="200"/>
        <w:rPr>
          <w:rFonts w:ascii="宋体" w:hAnsi="宋体"/>
          <w:sz w:val="24"/>
          <w:szCs w:val="24"/>
        </w:rPr>
      </w:pPr>
      <w:r>
        <w:rPr>
          <w:rFonts w:hint="eastAsia" w:ascii="宋体" w:hAnsi="宋体"/>
          <w:sz w:val="24"/>
          <w:szCs w:val="24"/>
        </w:rPr>
        <w:t>（3）专业分工程不得再次分包。</w:t>
      </w:r>
    </w:p>
    <w:p w14:paraId="5C2C82DE">
      <w:pPr>
        <w:spacing w:line="360" w:lineRule="auto"/>
        <w:ind w:firstLine="480" w:firstLineChars="200"/>
        <w:rPr>
          <w:rFonts w:ascii="宋体" w:hAnsi="宋体"/>
          <w:sz w:val="24"/>
          <w:szCs w:val="24"/>
        </w:rPr>
      </w:pPr>
      <w:r>
        <w:rPr>
          <w:rFonts w:hint="eastAsia" w:ascii="宋体" w:hAnsi="宋体"/>
          <w:sz w:val="24"/>
          <w:szCs w:val="24"/>
        </w:rPr>
        <w:t>（4）承包人和专业分包人应当依法签订专业分包合同，并按照合同履行约定的义务。专业分包合同必须明确约定工程款支付条款、结算方式以及保证按期支付的相应措施，确保工程款的支付。</w:t>
      </w:r>
    </w:p>
    <w:p w14:paraId="4AAE3EC3">
      <w:pPr>
        <w:spacing w:line="360" w:lineRule="auto"/>
        <w:ind w:firstLine="480" w:firstLineChars="200"/>
        <w:rPr>
          <w:rFonts w:ascii="宋体" w:hAnsi="宋体"/>
          <w:sz w:val="24"/>
          <w:szCs w:val="24"/>
        </w:rPr>
      </w:pPr>
      <w:r>
        <w:rPr>
          <w:rFonts w:hint="eastAsia" w:ascii="宋体" w:hAnsi="宋体"/>
          <w:sz w:val="24"/>
          <w:szCs w:val="24"/>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453F4033">
      <w:pPr>
        <w:spacing w:line="360" w:lineRule="auto"/>
        <w:ind w:firstLine="480" w:firstLineChars="200"/>
        <w:rPr>
          <w:rFonts w:ascii="宋体" w:hAnsi="宋体"/>
          <w:sz w:val="24"/>
          <w:szCs w:val="24"/>
        </w:rPr>
      </w:pPr>
      <w:r>
        <w:rPr>
          <w:rFonts w:hint="eastAsia" w:ascii="宋体" w:hAnsi="宋体"/>
          <w:sz w:val="24"/>
          <w:szCs w:val="24"/>
        </w:rPr>
        <w:t>（6）所有专业分包计划和专业分包合同须报监理人审批，并报发包人核备。监理人审批专业分包并不解除合同规定的承包人的任何责任或义务。</w:t>
      </w:r>
    </w:p>
    <w:p w14:paraId="7292F601">
      <w:pPr>
        <w:spacing w:line="360" w:lineRule="auto"/>
        <w:ind w:firstLine="480" w:firstLineChars="200"/>
        <w:rPr>
          <w:rFonts w:ascii="宋体" w:hAnsi="宋体"/>
          <w:sz w:val="24"/>
          <w:szCs w:val="24"/>
        </w:rPr>
      </w:pPr>
      <w:r>
        <w:rPr>
          <w:rFonts w:hint="eastAsia" w:ascii="宋体" w:hAnsi="宋体"/>
          <w:sz w:val="24"/>
          <w:szCs w:val="24"/>
        </w:rPr>
        <w:t>4.3.4劳务分包</w:t>
      </w:r>
    </w:p>
    <w:p w14:paraId="799DABAD">
      <w:pPr>
        <w:spacing w:line="360" w:lineRule="auto"/>
        <w:ind w:firstLine="480" w:firstLineChars="200"/>
        <w:rPr>
          <w:rFonts w:ascii="宋体" w:hAnsi="宋体"/>
          <w:sz w:val="24"/>
          <w:szCs w:val="24"/>
        </w:rPr>
      </w:pPr>
      <w:r>
        <w:rPr>
          <w:rFonts w:hint="eastAsia" w:ascii="宋体" w:hAnsi="宋体"/>
          <w:sz w:val="24"/>
          <w:szCs w:val="24"/>
        </w:rPr>
        <w:t>在工程施工过程中，承包人进行劳务分包必须遵守以下规定：</w:t>
      </w:r>
    </w:p>
    <w:p w14:paraId="249C6CE8">
      <w:pPr>
        <w:spacing w:line="360" w:lineRule="auto"/>
        <w:ind w:firstLine="480" w:firstLineChars="200"/>
        <w:rPr>
          <w:rFonts w:ascii="宋体" w:hAnsi="宋体"/>
          <w:sz w:val="24"/>
          <w:szCs w:val="24"/>
        </w:rPr>
      </w:pPr>
      <w:r>
        <w:rPr>
          <w:rFonts w:hint="eastAsia" w:ascii="宋体" w:hAnsi="宋体"/>
          <w:sz w:val="24"/>
          <w:szCs w:val="24"/>
        </w:rPr>
        <w:t>（1）劳务分包人应具有劳务分包资质。</w:t>
      </w:r>
    </w:p>
    <w:p w14:paraId="7C5BF359">
      <w:pPr>
        <w:spacing w:line="360" w:lineRule="auto"/>
        <w:ind w:firstLine="480" w:firstLineChars="200"/>
        <w:rPr>
          <w:rFonts w:ascii="宋体" w:hAnsi="宋体"/>
          <w:sz w:val="24"/>
          <w:szCs w:val="24"/>
        </w:rPr>
      </w:pPr>
      <w:r>
        <w:rPr>
          <w:rFonts w:hint="eastAsia" w:ascii="宋体" w:hAnsi="宋体"/>
          <w:sz w:val="24"/>
          <w:szCs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4DF81B1E">
      <w:pPr>
        <w:spacing w:line="360" w:lineRule="auto"/>
        <w:ind w:firstLine="480" w:firstLineChars="200"/>
        <w:rPr>
          <w:rFonts w:ascii="宋体" w:hAnsi="宋体"/>
          <w:sz w:val="24"/>
          <w:szCs w:val="24"/>
        </w:rPr>
      </w:pPr>
      <w:r>
        <w:rPr>
          <w:rFonts w:hint="eastAsia" w:ascii="宋体" w:hAnsi="宋体"/>
          <w:sz w:val="24"/>
          <w:szCs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7E4C2166">
      <w:pPr>
        <w:spacing w:line="360" w:lineRule="auto"/>
        <w:ind w:firstLine="480" w:firstLineChars="200"/>
        <w:rPr>
          <w:rFonts w:ascii="宋体" w:hAnsi="宋体"/>
          <w:sz w:val="24"/>
          <w:szCs w:val="24"/>
        </w:rPr>
      </w:pPr>
      <w:r>
        <w:rPr>
          <w:rFonts w:hint="eastAsia" w:ascii="宋体" w:hAnsi="宋体"/>
          <w:sz w:val="24"/>
          <w:szCs w:val="24"/>
        </w:rPr>
        <w:t>（4）承包人应当对劳务分包人员进行安全培训和管理，劳务分包人不得将其分包的劳务作业再次分包。</w:t>
      </w:r>
    </w:p>
    <w:p w14:paraId="13AB9418">
      <w:pPr>
        <w:spacing w:line="360" w:lineRule="auto"/>
        <w:ind w:firstLine="480" w:firstLineChars="200"/>
        <w:rPr>
          <w:rFonts w:ascii="宋体" w:hAnsi="宋体"/>
          <w:sz w:val="24"/>
          <w:szCs w:val="24"/>
        </w:rPr>
      </w:pPr>
      <w:r>
        <w:rPr>
          <w:rFonts w:hint="eastAsia" w:ascii="宋体" w:hAnsi="宋体"/>
          <w:sz w:val="24"/>
          <w:szCs w:val="24"/>
        </w:rPr>
        <w:t>违反上述规定之一者属违规分包。</w:t>
      </w:r>
    </w:p>
    <w:p w14:paraId="20F73FD5">
      <w:pPr>
        <w:spacing w:line="360" w:lineRule="auto"/>
        <w:ind w:firstLine="480" w:firstLineChars="200"/>
        <w:rPr>
          <w:rFonts w:ascii="宋体" w:hAnsi="宋体"/>
          <w:sz w:val="24"/>
          <w:szCs w:val="24"/>
        </w:rPr>
      </w:pPr>
      <w:r>
        <w:rPr>
          <w:rFonts w:hint="eastAsia" w:ascii="宋体" w:hAnsi="宋体"/>
          <w:sz w:val="24"/>
          <w:szCs w:val="24"/>
        </w:rPr>
        <w:t>本款补充第4.3.6项：</w:t>
      </w:r>
    </w:p>
    <w:p w14:paraId="38352209">
      <w:pPr>
        <w:spacing w:line="360" w:lineRule="auto"/>
        <w:ind w:firstLine="480" w:firstLineChars="200"/>
        <w:rPr>
          <w:rFonts w:ascii="宋体" w:hAnsi="宋体"/>
          <w:sz w:val="24"/>
          <w:szCs w:val="24"/>
        </w:rPr>
      </w:pPr>
      <w:r>
        <w:rPr>
          <w:rFonts w:hint="eastAsia" w:ascii="宋体" w:hAnsi="宋体"/>
          <w:sz w:val="24"/>
          <w:szCs w:val="24"/>
        </w:rPr>
        <w:t>4.3.6 发包人对承包人与分包人之间的法律与经济纠纷不承担任何责任和义务。</w:t>
      </w:r>
    </w:p>
    <w:p w14:paraId="5F4729FD">
      <w:pPr>
        <w:spacing w:line="360" w:lineRule="auto"/>
        <w:ind w:firstLine="480" w:firstLineChars="200"/>
        <w:rPr>
          <w:rFonts w:ascii="宋体" w:hAnsi="宋体"/>
          <w:sz w:val="24"/>
          <w:szCs w:val="24"/>
        </w:rPr>
      </w:pPr>
      <w:bookmarkStart w:id="418" w:name="_Toc234382856"/>
      <w:r>
        <w:rPr>
          <w:rFonts w:hint="eastAsia" w:ascii="宋体" w:hAnsi="宋体"/>
          <w:sz w:val="24"/>
          <w:szCs w:val="24"/>
        </w:rPr>
        <w:t>4.6承包人人员的管理</w:t>
      </w:r>
      <w:bookmarkEnd w:id="418"/>
    </w:p>
    <w:p w14:paraId="783499FE">
      <w:pPr>
        <w:spacing w:line="360" w:lineRule="auto"/>
        <w:ind w:firstLine="480" w:firstLineChars="200"/>
        <w:rPr>
          <w:rFonts w:ascii="宋体" w:hAnsi="宋体"/>
          <w:sz w:val="24"/>
          <w:szCs w:val="24"/>
        </w:rPr>
      </w:pPr>
      <w:r>
        <w:rPr>
          <w:rFonts w:hint="eastAsia" w:ascii="宋体" w:hAnsi="宋体"/>
          <w:sz w:val="24"/>
          <w:szCs w:val="24"/>
        </w:rPr>
        <w:t>第4.6.3项细化为：</w:t>
      </w:r>
    </w:p>
    <w:p w14:paraId="0524720A">
      <w:pPr>
        <w:spacing w:line="360" w:lineRule="auto"/>
        <w:ind w:firstLine="480" w:firstLineChars="200"/>
        <w:rPr>
          <w:rFonts w:ascii="宋体" w:hAnsi="宋体"/>
          <w:sz w:val="24"/>
          <w:szCs w:val="24"/>
        </w:rPr>
      </w:pPr>
      <w:r>
        <w:rPr>
          <w:rFonts w:hint="eastAsia" w:ascii="宋体" w:hAnsi="宋体"/>
          <w:sz w:val="24"/>
          <w:szCs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531909F3">
      <w:pPr>
        <w:spacing w:line="360" w:lineRule="auto"/>
        <w:ind w:firstLine="480" w:firstLineChars="200"/>
        <w:rPr>
          <w:rFonts w:ascii="宋体" w:hAnsi="宋体"/>
          <w:sz w:val="24"/>
          <w:szCs w:val="24"/>
        </w:rPr>
      </w:pPr>
      <w:r>
        <w:rPr>
          <w:rFonts w:hint="eastAsia" w:ascii="宋体" w:hAnsi="宋体"/>
          <w:sz w:val="24"/>
          <w:szCs w:val="24"/>
        </w:rPr>
        <w:t>本款补充第4.6.5项：</w:t>
      </w:r>
    </w:p>
    <w:p w14:paraId="4AF0F5CB">
      <w:pPr>
        <w:spacing w:line="360" w:lineRule="auto"/>
        <w:ind w:firstLine="480" w:firstLineChars="200"/>
        <w:rPr>
          <w:rFonts w:ascii="宋体" w:hAnsi="宋体"/>
          <w:sz w:val="24"/>
          <w:szCs w:val="24"/>
        </w:rPr>
      </w:pPr>
      <w:r>
        <w:rPr>
          <w:rFonts w:hint="eastAsia" w:ascii="宋体" w:hAnsi="宋体"/>
          <w:sz w:val="24"/>
          <w:szCs w:val="24"/>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6D2240AC">
      <w:pPr>
        <w:spacing w:line="360" w:lineRule="auto"/>
        <w:ind w:firstLine="480" w:firstLineChars="200"/>
        <w:rPr>
          <w:rFonts w:ascii="宋体" w:hAnsi="宋体"/>
          <w:sz w:val="24"/>
          <w:szCs w:val="24"/>
        </w:rPr>
      </w:pPr>
      <w:bookmarkStart w:id="419" w:name="_Toc234382857"/>
      <w:r>
        <w:rPr>
          <w:rFonts w:hint="eastAsia" w:ascii="宋体" w:hAnsi="宋体"/>
          <w:sz w:val="24"/>
          <w:szCs w:val="24"/>
        </w:rPr>
        <w:t>4.7撤换承包人项目经理和其他人员</w:t>
      </w:r>
      <w:bookmarkEnd w:id="419"/>
    </w:p>
    <w:p w14:paraId="67FFECD6">
      <w:pPr>
        <w:spacing w:line="360" w:lineRule="auto"/>
        <w:ind w:firstLine="480" w:firstLineChars="200"/>
        <w:rPr>
          <w:rFonts w:ascii="宋体" w:hAnsi="宋体"/>
          <w:sz w:val="24"/>
          <w:szCs w:val="24"/>
        </w:rPr>
      </w:pPr>
      <w:r>
        <w:rPr>
          <w:rFonts w:hint="eastAsia" w:ascii="宋体" w:hAnsi="宋体"/>
          <w:sz w:val="24"/>
          <w:szCs w:val="24"/>
        </w:rPr>
        <w:t>本款细化为：</w:t>
      </w:r>
    </w:p>
    <w:p w14:paraId="4042BC11">
      <w:pPr>
        <w:spacing w:line="360" w:lineRule="auto"/>
        <w:ind w:firstLine="480" w:firstLineChars="200"/>
        <w:rPr>
          <w:rFonts w:ascii="宋体" w:hAnsi="宋体"/>
          <w:sz w:val="24"/>
          <w:szCs w:val="24"/>
        </w:rPr>
      </w:pPr>
      <w:r>
        <w:rPr>
          <w:rFonts w:hint="eastAsia" w:ascii="宋体" w:hAnsi="宋体"/>
          <w:sz w:val="24"/>
          <w:szCs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59AC2FFF">
      <w:pPr>
        <w:spacing w:line="360" w:lineRule="auto"/>
        <w:ind w:firstLine="480" w:firstLineChars="200"/>
        <w:rPr>
          <w:rFonts w:ascii="宋体" w:hAnsi="宋体"/>
          <w:sz w:val="24"/>
          <w:szCs w:val="24"/>
        </w:rPr>
      </w:pPr>
      <w:bookmarkStart w:id="420" w:name="_Toc234382858"/>
      <w:r>
        <w:rPr>
          <w:rFonts w:hint="eastAsia" w:ascii="宋体" w:hAnsi="宋体"/>
          <w:sz w:val="24"/>
          <w:szCs w:val="24"/>
        </w:rPr>
        <w:t>4.9工程价款应专款专用</w:t>
      </w:r>
      <w:bookmarkEnd w:id="420"/>
    </w:p>
    <w:p w14:paraId="4F517C1C">
      <w:pPr>
        <w:spacing w:line="360" w:lineRule="auto"/>
        <w:ind w:firstLine="480" w:firstLineChars="200"/>
        <w:rPr>
          <w:rFonts w:ascii="宋体" w:hAnsi="宋体"/>
          <w:sz w:val="24"/>
          <w:szCs w:val="24"/>
        </w:rPr>
      </w:pPr>
      <w:r>
        <w:rPr>
          <w:rFonts w:hint="eastAsia" w:ascii="宋体" w:hAnsi="宋体"/>
          <w:sz w:val="24"/>
          <w:szCs w:val="24"/>
        </w:rPr>
        <w:t>本款细化为：</w:t>
      </w:r>
    </w:p>
    <w:p w14:paraId="0C232E66">
      <w:pPr>
        <w:spacing w:line="360" w:lineRule="auto"/>
        <w:ind w:firstLine="480" w:firstLineChars="200"/>
        <w:rPr>
          <w:rFonts w:ascii="宋体" w:hAnsi="宋体"/>
          <w:sz w:val="24"/>
          <w:szCs w:val="24"/>
        </w:rPr>
      </w:pPr>
      <w:r>
        <w:rPr>
          <w:rFonts w:hint="eastAsia" w:ascii="宋体" w:hAnsi="宋体"/>
          <w:sz w:val="24"/>
          <w:szCs w:val="24"/>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10F1B29">
      <w:pPr>
        <w:spacing w:line="360" w:lineRule="auto"/>
        <w:ind w:firstLine="480" w:firstLineChars="200"/>
        <w:rPr>
          <w:rFonts w:ascii="宋体" w:hAnsi="宋体"/>
          <w:sz w:val="24"/>
          <w:szCs w:val="24"/>
        </w:rPr>
      </w:pPr>
      <w:bookmarkStart w:id="421" w:name="_Toc234382860"/>
      <w:r>
        <w:rPr>
          <w:rFonts w:hint="eastAsia" w:ascii="宋体" w:hAnsi="宋体"/>
          <w:sz w:val="24"/>
          <w:szCs w:val="24"/>
        </w:rPr>
        <w:t>4.10 承包人现场查勘</w:t>
      </w:r>
    </w:p>
    <w:p w14:paraId="6C240844">
      <w:pPr>
        <w:spacing w:line="360" w:lineRule="auto"/>
        <w:ind w:firstLine="480" w:firstLineChars="200"/>
        <w:rPr>
          <w:rFonts w:ascii="宋体" w:hAnsi="宋体"/>
          <w:sz w:val="24"/>
          <w:szCs w:val="24"/>
        </w:rPr>
      </w:pPr>
      <w:r>
        <w:rPr>
          <w:rFonts w:hint="eastAsia" w:ascii="宋体" w:hAnsi="宋体"/>
          <w:sz w:val="24"/>
          <w:szCs w:val="24"/>
        </w:rPr>
        <w:t>第 4.10.1 项细化为：</w:t>
      </w:r>
    </w:p>
    <w:p w14:paraId="0E4B43D6">
      <w:pPr>
        <w:spacing w:line="360" w:lineRule="auto"/>
        <w:ind w:firstLine="480" w:firstLineChars="200"/>
        <w:rPr>
          <w:rFonts w:ascii="宋体" w:hAnsi="宋体"/>
          <w:sz w:val="24"/>
          <w:szCs w:val="24"/>
        </w:rPr>
      </w:pPr>
      <w:r>
        <w:rPr>
          <w:rFonts w:hint="eastAsia" w:ascii="宋体" w:hAnsi="宋体"/>
          <w:sz w:val="24"/>
          <w:szCs w:val="24"/>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4126190">
      <w:pPr>
        <w:spacing w:line="360" w:lineRule="auto"/>
        <w:ind w:firstLine="480" w:firstLineChars="200"/>
        <w:rPr>
          <w:rFonts w:ascii="宋体" w:hAnsi="宋体"/>
          <w:sz w:val="24"/>
          <w:szCs w:val="24"/>
        </w:rPr>
      </w:pPr>
      <w:r>
        <w:rPr>
          <w:rFonts w:hint="eastAsia" w:ascii="宋体" w:hAnsi="宋体"/>
          <w:sz w:val="24"/>
          <w:szCs w:val="24"/>
        </w:rPr>
        <w:t>4.11不利物质条件</w:t>
      </w:r>
      <w:bookmarkEnd w:id="421"/>
    </w:p>
    <w:p w14:paraId="4F9D5217">
      <w:pPr>
        <w:spacing w:line="360" w:lineRule="auto"/>
        <w:ind w:firstLine="480" w:firstLineChars="200"/>
        <w:rPr>
          <w:rFonts w:ascii="宋体" w:hAnsi="宋体"/>
          <w:sz w:val="24"/>
          <w:szCs w:val="24"/>
        </w:rPr>
      </w:pPr>
      <w:r>
        <w:rPr>
          <w:rFonts w:hint="eastAsia" w:ascii="宋体" w:hAnsi="宋体"/>
          <w:sz w:val="24"/>
          <w:szCs w:val="24"/>
        </w:rPr>
        <w:t>第4.11.2项细化为：</w:t>
      </w:r>
    </w:p>
    <w:p w14:paraId="296AD16B">
      <w:pPr>
        <w:spacing w:line="360" w:lineRule="auto"/>
        <w:ind w:firstLine="480" w:firstLineChars="200"/>
        <w:rPr>
          <w:rFonts w:ascii="宋体" w:hAnsi="宋体"/>
          <w:sz w:val="24"/>
          <w:szCs w:val="24"/>
        </w:rPr>
      </w:pPr>
      <w:r>
        <w:rPr>
          <w:rFonts w:hint="eastAsia" w:ascii="宋体" w:hAnsi="宋体"/>
          <w:sz w:val="24"/>
          <w:szCs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DBCCA81">
      <w:pPr>
        <w:spacing w:line="360" w:lineRule="auto"/>
        <w:ind w:firstLine="480" w:firstLineChars="200"/>
        <w:rPr>
          <w:rFonts w:ascii="宋体" w:hAnsi="宋体"/>
          <w:sz w:val="24"/>
          <w:szCs w:val="24"/>
        </w:rPr>
      </w:pPr>
      <w:r>
        <w:rPr>
          <w:rFonts w:hint="eastAsia" w:ascii="宋体" w:hAnsi="宋体"/>
          <w:sz w:val="24"/>
          <w:szCs w:val="24"/>
        </w:rPr>
        <w:t>本款补充第4.11.3项：</w:t>
      </w:r>
    </w:p>
    <w:p w14:paraId="49B02600">
      <w:pPr>
        <w:spacing w:line="360" w:lineRule="auto"/>
        <w:ind w:firstLine="480" w:firstLineChars="200"/>
        <w:rPr>
          <w:rFonts w:ascii="宋体" w:hAnsi="宋体"/>
          <w:sz w:val="24"/>
          <w:szCs w:val="24"/>
        </w:rPr>
      </w:pPr>
      <w:r>
        <w:rPr>
          <w:rFonts w:hint="eastAsia" w:ascii="宋体" w:hAnsi="宋体"/>
          <w:sz w:val="24"/>
          <w:szCs w:val="24"/>
        </w:rPr>
        <w:t>4.11.3 可预见的不利物质条件</w:t>
      </w:r>
    </w:p>
    <w:p w14:paraId="2752DF71">
      <w:pPr>
        <w:spacing w:line="360" w:lineRule="auto"/>
        <w:ind w:firstLine="480" w:firstLineChars="200"/>
        <w:rPr>
          <w:rFonts w:ascii="宋体" w:hAnsi="宋体"/>
          <w:sz w:val="24"/>
          <w:szCs w:val="24"/>
        </w:rPr>
      </w:pPr>
      <w:r>
        <w:rPr>
          <w:rFonts w:hint="eastAsia" w:ascii="宋体" w:hAnsi="宋体"/>
          <w:sz w:val="24"/>
          <w:szCs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07AE10F5">
      <w:pPr>
        <w:spacing w:line="360" w:lineRule="auto"/>
        <w:ind w:firstLine="480" w:firstLineChars="200"/>
        <w:rPr>
          <w:rFonts w:ascii="宋体" w:hAnsi="宋体"/>
          <w:sz w:val="24"/>
          <w:szCs w:val="24"/>
        </w:rPr>
      </w:pPr>
      <w:r>
        <w:rPr>
          <w:rFonts w:hint="eastAsia" w:ascii="宋体" w:hAnsi="宋体"/>
          <w:sz w:val="24"/>
          <w:szCs w:val="24"/>
        </w:rPr>
        <w:t>（2）对于项目专用合同条款未明确指出，但是在不利物质条件发生之前，监理人已经指示承包人有可能发生，但承包人未能及时采取有效措施，而导致的损失和后果均由承包人承担。</w:t>
      </w:r>
    </w:p>
    <w:p w14:paraId="0D30EDF0">
      <w:pPr>
        <w:spacing w:line="360" w:lineRule="auto"/>
        <w:ind w:firstLine="480" w:firstLineChars="200"/>
        <w:rPr>
          <w:rFonts w:ascii="宋体" w:hAnsi="宋体"/>
          <w:sz w:val="24"/>
          <w:szCs w:val="24"/>
        </w:rPr>
      </w:pPr>
      <w:r>
        <w:rPr>
          <w:rFonts w:hint="eastAsia" w:ascii="宋体" w:hAnsi="宋体"/>
          <w:sz w:val="24"/>
          <w:szCs w:val="24"/>
        </w:rPr>
        <w:t>补充第4.12款：</w:t>
      </w:r>
    </w:p>
    <w:p w14:paraId="060536C7">
      <w:pPr>
        <w:spacing w:line="360" w:lineRule="auto"/>
        <w:ind w:firstLine="480" w:firstLineChars="200"/>
        <w:rPr>
          <w:rFonts w:ascii="宋体" w:hAnsi="宋体"/>
          <w:sz w:val="24"/>
          <w:szCs w:val="24"/>
        </w:rPr>
      </w:pPr>
      <w:bookmarkStart w:id="422" w:name="_Toc234382861"/>
      <w:r>
        <w:rPr>
          <w:rFonts w:hint="eastAsia" w:ascii="宋体" w:hAnsi="宋体"/>
          <w:sz w:val="24"/>
          <w:szCs w:val="24"/>
        </w:rPr>
        <w:t>4.12投标文件的完备性</w:t>
      </w:r>
      <w:bookmarkEnd w:id="422"/>
    </w:p>
    <w:p w14:paraId="03101D51">
      <w:pPr>
        <w:spacing w:line="360" w:lineRule="auto"/>
        <w:ind w:firstLine="480" w:firstLineChars="200"/>
        <w:rPr>
          <w:rFonts w:ascii="宋体" w:hAnsi="宋体"/>
          <w:sz w:val="24"/>
          <w:szCs w:val="24"/>
        </w:rPr>
      </w:pPr>
      <w:r>
        <w:rPr>
          <w:rFonts w:hint="eastAsia" w:ascii="宋体" w:hAnsi="宋体"/>
          <w:sz w:val="24"/>
          <w:szCs w:val="24"/>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4C03ED6F">
      <w:pPr>
        <w:spacing w:line="360" w:lineRule="auto"/>
        <w:ind w:firstLine="480" w:firstLineChars="200"/>
        <w:rPr>
          <w:rFonts w:ascii="宋体" w:hAnsi="宋体"/>
          <w:sz w:val="24"/>
          <w:szCs w:val="24"/>
        </w:rPr>
      </w:pPr>
      <w:bookmarkStart w:id="423" w:name="_Toc234382862"/>
      <w:r>
        <w:rPr>
          <w:rFonts w:hint="eastAsia" w:ascii="宋体" w:hAnsi="宋体"/>
          <w:sz w:val="24"/>
          <w:szCs w:val="24"/>
        </w:rPr>
        <w:t>5．材料和工程设备</w:t>
      </w:r>
      <w:bookmarkEnd w:id="423"/>
    </w:p>
    <w:p w14:paraId="31D6BD9B">
      <w:pPr>
        <w:spacing w:line="360" w:lineRule="auto"/>
        <w:ind w:firstLine="480" w:firstLineChars="200"/>
        <w:rPr>
          <w:rFonts w:ascii="宋体" w:hAnsi="宋体"/>
          <w:sz w:val="24"/>
          <w:szCs w:val="24"/>
        </w:rPr>
      </w:pPr>
      <w:bookmarkStart w:id="424" w:name="_Toc234382863"/>
      <w:r>
        <w:rPr>
          <w:rFonts w:hint="eastAsia" w:ascii="宋体" w:hAnsi="宋体"/>
          <w:sz w:val="24"/>
          <w:szCs w:val="24"/>
        </w:rPr>
        <w:t>5.2发包人提供的材料和工程设备</w:t>
      </w:r>
      <w:bookmarkEnd w:id="424"/>
    </w:p>
    <w:p w14:paraId="08DE2A63">
      <w:pPr>
        <w:spacing w:line="360" w:lineRule="auto"/>
        <w:ind w:firstLine="480" w:firstLineChars="200"/>
        <w:rPr>
          <w:rFonts w:ascii="宋体" w:hAnsi="宋体"/>
          <w:sz w:val="24"/>
          <w:szCs w:val="24"/>
        </w:rPr>
      </w:pPr>
      <w:r>
        <w:rPr>
          <w:rFonts w:hint="eastAsia" w:ascii="宋体" w:hAnsi="宋体"/>
          <w:sz w:val="24"/>
          <w:szCs w:val="24"/>
        </w:rPr>
        <w:t>第5.2.3项补充：</w:t>
      </w:r>
    </w:p>
    <w:p w14:paraId="165A3AA6">
      <w:pPr>
        <w:spacing w:line="360" w:lineRule="auto"/>
        <w:ind w:firstLine="480" w:firstLineChars="200"/>
        <w:rPr>
          <w:rFonts w:ascii="宋体" w:hAnsi="宋体"/>
          <w:sz w:val="24"/>
          <w:szCs w:val="24"/>
        </w:rPr>
      </w:pPr>
      <w:r>
        <w:rPr>
          <w:rFonts w:hint="eastAsia" w:ascii="宋体" w:hAnsi="宋体"/>
          <w:sz w:val="24"/>
          <w:szCs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6C7D3F7A">
      <w:pPr>
        <w:spacing w:line="360" w:lineRule="auto"/>
        <w:ind w:firstLine="480" w:firstLineChars="200"/>
        <w:rPr>
          <w:rFonts w:ascii="宋体" w:hAnsi="宋体"/>
          <w:sz w:val="24"/>
          <w:szCs w:val="24"/>
        </w:rPr>
      </w:pPr>
      <w:bookmarkStart w:id="425" w:name="_Toc234382864"/>
      <w:r>
        <w:rPr>
          <w:rFonts w:hint="eastAsia" w:ascii="宋体" w:hAnsi="宋体"/>
          <w:sz w:val="24"/>
          <w:szCs w:val="24"/>
        </w:rPr>
        <w:t>6．施工设备和临时设施</w:t>
      </w:r>
      <w:bookmarkEnd w:id="425"/>
    </w:p>
    <w:p w14:paraId="1FD1A33A">
      <w:pPr>
        <w:spacing w:line="360" w:lineRule="auto"/>
        <w:ind w:firstLine="480" w:firstLineChars="200"/>
        <w:rPr>
          <w:rFonts w:ascii="宋体" w:hAnsi="宋体"/>
          <w:sz w:val="24"/>
          <w:szCs w:val="24"/>
        </w:rPr>
      </w:pPr>
      <w:bookmarkStart w:id="426" w:name="_Toc234382865"/>
      <w:r>
        <w:rPr>
          <w:rFonts w:hint="eastAsia" w:ascii="宋体" w:hAnsi="宋体"/>
          <w:sz w:val="24"/>
          <w:szCs w:val="24"/>
        </w:rPr>
        <w:t>6.1承包人提供的施工设备和临时设施</w:t>
      </w:r>
      <w:bookmarkEnd w:id="426"/>
    </w:p>
    <w:p w14:paraId="75A0CB5D">
      <w:pPr>
        <w:spacing w:line="360" w:lineRule="auto"/>
        <w:ind w:firstLine="480" w:firstLineChars="200"/>
        <w:rPr>
          <w:rFonts w:ascii="宋体" w:hAnsi="宋体"/>
          <w:sz w:val="24"/>
          <w:szCs w:val="24"/>
        </w:rPr>
      </w:pPr>
      <w:r>
        <w:rPr>
          <w:rFonts w:hint="eastAsia" w:ascii="宋体" w:hAnsi="宋体"/>
          <w:sz w:val="24"/>
          <w:szCs w:val="24"/>
        </w:rPr>
        <w:t>第6.1.2项约定为：</w:t>
      </w:r>
    </w:p>
    <w:p w14:paraId="12956EFF">
      <w:pPr>
        <w:spacing w:line="360" w:lineRule="auto"/>
        <w:ind w:firstLine="480" w:firstLineChars="200"/>
        <w:rPr>
          <w:rFonts w:ascii="宋体" w:hAnsi="宋体"/>
          <w:sz w:val="24"/>
          <w:szCs w:val="24"/>
        </w:rPr>
      </w:pPr>
      <w:r>
        <w:rPr>
          <w:rFonts w:hint="eastAsia" w:ascii="宋体" w:hAnsi="宋体"/>
          <w:sz w:val="24"/>
          <w:szCs w:val="24"/>
        </w:rPr>
        <w:t>承包人应自行承担修建临时设施的费用，需要临时占地的，应由承包人按第4.1.10项（1）目的规定办理。</w:t>
      </w:r>
    </w:p>
    <w:p w14:paraId="31955B48">
      <w:pPr>
        <w:spacing w:line="360" w:lineRule="auto"/>
        <w:ind w:firstLine="480" w:firstLineChars="200"/>
        <w:rPr>
          <w:rFonts w:ascii="宋体" w:hAnsi="宋体"/>
          <w:sz w:val="24"/>
          <w:szCs w:val="24"/>
        </w:rPr>
      </w:pPr>
      <w:bookmarkStart w:id="427" w:name="_Toc234382866"/>
      <w:r>
        <w:rPr>
          <w:rFonts w:hint="eastAsia" w:ascii="宋体" w:hAnsi="宋体"/>
          <w:sz w:val="24"/>
          <w:szCs w:val="24"/>
        </w:rPr>
        <w:t>6.3要求承包人增加或更换施工设备</w:t>
      </w:r>
      <w:bookmarkEnd w:id="427"/>
    </w:p>
    <w:p w14:paraId="22D9C3E5">
      <w:pPr>
        <w:spacing w:line="360" w:lineRule="auto"/>
        <w:ind w:firstLine="480" w:firstLineChars="200"/>
        <w:rPr>
          <w:rFonts w:ascii="宋体" w:hAnsi="宋体"/>
          <w:sz w:val="24"/>
          <w:szCs w:val="24"/>
        </w:rPr>
      </w:pPr>
      <w:r>
        <w:rPr>
          <w:rFonts w:hint="eastAsia" w:ascii="宋体" w:hAnsi="宋体"/>
          <w:sz w:val="24"/>
          <w:szCs w:val="24"/>
        </w:rPr>
        <w:t>本款细化为：</w:t>
      </w:r>
    </w:p>
    <w:p w14:paraId="695C2233">
      <w:pPr>
        <w:spacing w:line="360" w:lineRule="auto"/>
        <w:ind w:firstLine="480" w:firstLineChars="200"/>
        <w:rPr>
          <w:rFonts w:ascii="宋体" w:hAnsi="宋体"/>
          <w:sz w:val="24"/>
          <w:szCs w:val="24"/>
        </w:rPr>
      </w:pPr>
      <w:r>
        <w:rPr>
          <w:rFonts w:hint="eastAsia" w:ascii="宋体" w:hAnsi="宋体"/>
          <w:sz w:val="24"/>
          <w:szCs w:val="24"/>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2D8EB035">
      <w:pPr>
        <w:spacing w:line="360" w:lineRule="auto"/>
        <w:ind w:firstLine="480" w:firstLineChars="200"/>
        <w:rPr>
          <w:rFonts w:ascii="宋体" w:hAnsi="宋体"/>
          <w:sz w:val="24"/>
          <w:szCs w:val="24"/>
        </w:rPr>
      </w:pPr>
      <w:bookmarkStart w:id="428" w:name="_Toc234382867"/>
      <w:r>
        <w:rPr>
          <w:rFonts w:hint="eastAsia" w:ascii="宋体" w:hAnsi="宋体"/>
          <w:sz w:val="24"/>
          <w:szCs w:val="24"/>
        </w:rPr>
        <w:t>7．交通运输</w:t>
      </w:r>
      <w:bookmarkEnd w:id="428"/>
    </w:p>
    <w:p w14:paraId="1469960A">
      <w:pPr>
        <w:spacing w:line="360" w:lineRule="auto"/>
        <w:ind w:firstLine="480" w:firstLineChars="200"/>
        <w:rPr>
          <w:rFonts w:ascii="宋体" w:hAnsi="宋体"/>
          <w:sz w:val="24"/>
          <w:szCs w:val="24"/>
        </w:rPr>
      </w:pPr>
      <w:bookmarkStart w:id="429" w:name="_Toc234382868"/>
      <w:r>
        <w:rPr>
          <w:rFonts w:hint="eastAsia" w:ascii="宋体" w:hAnsi="宋体"/>
          <w:sz w:val="24"/>
          <w:szCs w:val="24"/>
        </w:rPr>
        <w:t>7.1道路通行权和场外设施</w:t>
      </w:r>
      <w:bookmarkEnd w:id="429"/>
    </w:p>
    <w:p w14:paraId="1D8E193F">
      <w:pPr>
        <w:spacing w:line="360" w:lineRule="auto"/>
        <w:ind w:firstLine="480" w:firstLineChars="200"/>
        <w:rPr>
          <w:rFonts w:ascii="宋体" w:hAnsi="宋体"/>
          <w:sz w:val="24"/>
          <w:szCs w:val="24"/>
        </w:rPr>
      </w:pPr>
      <w:r>
        <w:rPr>
          <w:rFonts w:hint="eastAsia" w:ascii="宋体" w:hAnsi="宋体"/>
          <w:sz w:val="24"/>
          <w:szCs w:val="24"/>
        </w:rPr>
        <w:t>本款约定为：</w:t>
      </w:r>
    </w:p>
    <w:p w14:paraId="598A28C3">
      <w:pPr>
        <w:spacing w:line="360" w:lineRule="auto"/>
        <w:ind w:firstLine="480" w:firstLineChars="200"/>
        <w:rPr>
          <w:rFonts w:ascii="宋体" w:hAnsi="宋体"/>
          <w:sz w:val="24"/>
          <w:szCs w:val="24"/>
        </w:rPr>
      </w:pPr>
      <w:r>
        <w:rPr>
          <w:rFonts w:hint="eastAsia" w:ascii="宋体" w:hAnsi="宋体"/>
          <w:sz w:val="24"/>
          <w:szCs w:val="24"/>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22B4ED97">
      <w:pPr>
        <w:spacing w:line="360" w:lineRule="auto"/>
        <w:ind w:firstLine="480" w:firstLineChars="200"/>
        <w:rPr>
          <w:rFonts w:ascii="宋体" w:hAnsi="宋体"/>
          <w:sz w:val="24"/>
          <w:szCs w:val="24"/>
        </w:rPr>
      </w:pPr>
      <w:r>
        <w:rPr>
          <w:rFonts w:hint="eastAsia" w:ascii="宋体" w:hAnsi="宋体"/>
          <w:sz w:val="24"/>
          <w:szCs w:val="24"/>
        </w:rPr>
        <w:t>8. 测量放线</w:t>
      </w:r>
    </w:p>
    <w:p w14:paraId="2D4D71E7">
      <w:pPr>
        <w:spacing w:line="360" w:lineRule="auto"/>
        <w:ind w:firstLine="480" w:firstLineChars="200"/>
        <w:rPr>
          <w:rFonts w:ascii="宋体" w:hAnsi="宋体"/>
          <w:sz w:val="24"/>
          <w:szCs w:val="24"/>
        </w:rPr>
      </w:pPr>
      <w:r>
        <w:rPr>
          <w:rFonts w:hint="eastAsia" w:ascii="宋体" w:hAnsi="宋体"/>
          <w:sz w:val="24"/>
          <w:szCs w:val="24"/>
        </w:rPr>
        <w:t>8.4 监理人使用施工控制网</w:t>
      </w:r>
    </w:p>
    <w:p w14:paraId="4710FFD9">
      <w:pPr>
        <w:spacing w:line="360" w:lineRule="auto"/>
        <w:ind w:firstLine="480" w:firstLineChars="200"/>
        <w:rPr>
          <w:rFonts w:ascii="宋体" w:hAnsi="宋体"/>
          <w:sz w:val="24"/>
          <w:szCs w:val="24"/>
        </w:rPr>
      </w:pPr>
      <w:r>
        <w:rPr>
          <w:rFonts w:hint="eastAsia" w:ascii="宋体" w:hAnsi="宋体"/>
          <w:sz w:val="24"/>
          <w:szCs w:val="24"/>
        </w:rPr>
        <w:t>本款补充：</w:t>
      </w:r>
    </w:p>
    <w:p w14:paraId="17742617">
      <w:pPr>
        <w:spacing w:line="360" w:lineRule="auto"/>
        <w:ind w:firstLine="480" w:firstLineChars="200"/>
        <w:rPr>
          <w:rFonts w:ascii="宋体" w:hAnsi="宋体"/>
          <w:sz w:val="24"/>
          <w:szCs w:val="24"/>
        </w:rPr>
      </w:pPr>
      <w:r>
        <w:rPr>
          <w:rFonts w:hint="eastAsia" w:ascii="宋体" w:hAnsi="宋体"/>
          <w:sz w:val="24"/>
          <w:szCs w:val="24"/>
        </w:rPr>
        <w:t>经监理人批准，其他相关承包人也可免费使用施工控制网。</w:t>
      </w:r>
    </w:p>
    <w:p w14:paraId="7AB19437">
      <w:pPr>
        <w:spacing w:line="360" w:lineRule="auto"/>
        <w:ind w:firstLine="480" w:firstLineChars="200"/>
        <w:rPr>
          <w:rFonts w:ascii="宋体" w:hAnsi="宋体"/>
          <w:sz w:val="24"/>
          <w:szCs w:val="24"/>
        </w:rPr>
      </w:pPr>
      <w:r>
        <w:rPr>
          <w:rFonts w:hint="eastAsia" w:ascii="宋体" w:hAnsi="宋体"/>
          <w:sz w:val="24"/>
          <w:szCs w:val="24"/>
        </w:rPr>
        <w:t>9. 施工安全、治安保卫和环境保护</w:t>
      </w:r>
    </w:p>
    <w:p w14:paraId="07DEEF1C">
      <w:pPr>
        <w:spacing w:line="360" w:lineRule="auto"/>
        <w:ind w:firstLine="480" w:firstLineChars="200"/>
        <w:rPr>
          <w:rFonts w:ascii="宋体" w:hAnsi="宋体"/>
          <w:sz w:val="24"/>
          <w:szCs w:val="24"/>
        </w:rPr>
      </w:pPr>
      <w:r>
        <w:rPr>
          <w:rFonts w:hint="eastAsia" w:ascii="宋体" w:hAnsi="宋体"/>
          <w:sz w:val="24"/>
          <w:szCs w:val="24"/>
        </w:rPr>
        <w:t>9.2 承包人的施工安全责任</w:t>
      </w:r>
    </w:p>
    <w:p w14:paraId="66E9A44A">
      <w:pPr>
        <w:spacing w:line="360" w:lineRule="auto"/>
        <w:ind w:firstLine="480" w:firstLineChars="200"/>
        <w:rPr>
          <w:rFonts w:ascii="宋体" w:hAnsi="宋体"/>
          <w:sz w:val="24"/>
          <w:szCs w:val="24"/>
        </w:rPr>
      </w:pPr>
      <w:r>
        <w:rPr>
          <w:rFonts w:hint="eastAsia" w:ascii="宋体" w:hAnsi="宋体"/>
          <w:sz w:val="24"/>
          <w:szCs w:val="24"/>
        </w:rPr>
        <w:t>第 9.2.1 项细化为：</w:t>
      </w:r>
    </w:p>
    <w:p w14:paraId="1AF8C09D">
      <w:pPr>
        <w:spacing w:line="360" w:lineRule="auto"/>
        <w:ind w:firstLine="480" w:firstLineChars="200"/>
        <w:rPr>
          <w:rFonts w:ascii="宋体" w:hAnsi="宋体"/>
          <w:sz w:val="24"/>
          <w:szCs w:val="24"/>
        </w:rPr>
      </w:pPr>
      <w:r>
        <w:rPr>
          <w:rFonts w:hint="eastAsia" w:ascii="宋体" w:hAnsi="宋体"/>
          <w:sz w:val="24"/>
          <w:szCs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86BF170">
      <w:pPr>
        <w:spacing w:line="360" w:lineRule="auto"/>
        <w:ind w:firstLine="480" w:firstLineChars="200"/>
        <w:rPr>
          <w:rFonts w:ascii="宋体" w:hAnsi="宋体"/>
          <w:sz w:val="24"/>
          <w:szCs w:val="24"/>
        </w:rPr>
      </w:pPr>
      <w:r>
        <w:rPr>
          <w:rFonts w:hint="eastAsia" w:ascii="宋体" w:hAnsi="宋体"/>
          <w:sz w:val="24"/>
          <w:szCs w:val="24"/>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78D4E663">
      <w:pPr>
        <w:spacing w:line="360" w:lineRule="auto"/>
        <w:ind w:firstLine="480" w:firstLineChars="200"/>
        <w:rPr>
          <w:rFonts w:ascii="宋体" w:hAnsi="宋体"/>
          <w:sz w:val="24"/>
          <w:szCs w:val="24"/>
        </w:rPr>
      </w:pPr>
      <w:r>
        <w:rPr>
          <w:rFonts w:hint="eastAsia" w:ascii="宋体" w:hAnsi="宋体"/>
          <w:sz w:val="24"/>
          <w:szCs w:val="24"/>
        </w:rPr>
        <w:t>本项目需要编制专项施工方案的工程包括但不限于以下内容：</w:t>
      </w:r>
    </w:p>
    <w:p w14:paraId="22488310">
      <w:pPr>
        <w:spacing w:line="360" w:lineRule="auto"/>
        <w:ind w:firstLine="480" w:firstLineChars="200"/>
        <w:rPr>
          <w:rFonts w:ascii="宋体" w:hAnsi="宋体"/>
          <w:sz w:val="24"/>
          <w:szCs w:val="24"/>
        </w:rPr>
      </w:pPr>
      <w:r>
        <w:rPr>
          <w:rFonts w:hint="eastAsia" w:ascii="宋体" w:hAnsi="宋体"/>
          <w:sz w:val="24"/>
          <w:szCs w:val="24"/>
        </w:rPr>
        <w:t>（1）不良地质条件下有潜在危险性的土方、石方开挖；</w:t>
      </w:r>
    </w:p>
    <w:p w14:paraId="556B1718">
      <w:pPr>
        <w:spacing w:line="360" w:lineRule="auto"/>
        <w:ind w:firstLine="480" w:firstLineChars="200"/>
        <w:rPr>
          <w:rFonts w:ascii="宋体" w:hAnsi="宋体"/>
          <w:sz w:val="24"/>
          <w:szCs w:val="24"/>
        </w:rPr>
      </w:pPr>
      <w:r>
        <w:rPr>
          <w:rFonts w:hint="eastAsia" w:ascii="宋体" w:hAnsi="宋体"/>
          <w:sz w:val="24"/>
          <w:szCs w:val="24"/>
        </w:rPr>
        <w:t>（2）滑坡和高边坡处理；</w:t>
      </w:r>
    </w:p>
    <w:p w14:paraId="61C0F788">
      <w:pPr>
        <w:spacing w:line="360" w:lineRule="auto"/>
        <w:ind w:firstLine="480" w:firstLineChars="200"/>
        <w:rPr>
          <w:rFonts w:ascii="宋体" w:hAnsi="宋体"/>
          <w:sz w:val="24"/>
          <w:szCs w:val="24"/>
        </w:rPr>
      </w:pPr>
      <w:r>
        <w:rPr>
          <w:rFonts w:hint="eastAsia" w:ascii="宋体" w:hAnsi="宋体"/>
          <w:sz w:val="24"/>
          <w:szCs w:val="24"/>
        </w:rPr>
        <w:t>（3）桩基础、挡墙基础、深水基础及围堰工程；</w:t>
      </w:r>
    </w:p>
    <w:p w14:paraId="3682F61B">
      <w:pPr>
        <w:spacing w:line="360" w:lineRule="auto"/>
        <w:ind w:firstLine="480" w:firstLineChars="200"/>
        <w:rPr>
          <w:rFonts w:ascii="宋体" w:hAnsi="宋体"/>
          <w:sz w:val="24"/>
          <w:szCs w:val="24"/>
        </w:rPr>
      </w:pPr>
      <w:r>
        <w:rPr>
          <w:rFonts w:hint="eastAsia" w:ascii="宋体" w:hAnsi="宋体"/>
          <w:sz w:val="24"/>
          <w:szCs w:val="24"/>
        </w:rPr>
        <w:t>（4）桥梁工程中的梁、拱、柱等构件施工等；</w:t>
      </w:r>
    </w:p>
    <w:p w14:paraId="501539F7">
      <w:pPr>
        <w:spacing w:line="360" w:lineRule="auto"/>
        <w:ind w:firstLine="480" w:firstLineChars="200"/>
        <w:rPr>
          <w:rFonts w:ascii="宋体" w:hAnsi="宋体"/>
          <w:sz w:val="24"/>
          <w:szCs w:val="24"/>
        </w:rPr>
      </w:pPr>
      <w:r>
        <w:rPr>
          <w:rFonts w:hint="eastAsia" w:ascii="宋体" w:hAnsi="宋体"/>
          <w:sz w:val="24"/>
          <w:szCs w:val="24"/>
        </w:rPr>
        <w:t>（5）隧道工程中的不良地质隧道、高瓦斯隧道等；</w:t>
      </w:r>
    </w:p>
    <w:p w14:paraId="4188D43C">
      <w:pPr>
        <w:spacing w:line="360" w:lineRule="auto"/>
        <w:ind w:firstLine="480" w:firstLineChars="200"/>
        <w:rPr>
          <w:rFonts w:ascii="宋体" w:hAnsi="宋体"/>
          <w:sz w:val="24"/>
          <w:szCs w:val="24"/>
        </w:rPr>
      </w:pPr>
      <w:r>
        <w:rPr>
          <w:rFonts w:hint="eastAsia" w:ascii="宋体" w:hAnsi="宋体"/>
          <w:sz w:val="24"/>
          <w:szCs w:val="24"/>
        </w:rPr>
        <w:t>（6）水上工程中的打桩船作业、施工船作业、外海孤岛作业、边通航边施工作业等；</w:t>
      </w:r>
    </w:p>
    <w:p w14:paraId="39DFF05F">
      <w:pPr>
        <w:spacing w:line="360" w:lineRule="auto"/>
        <w:ind w:firstLine="480" w:firstLineChars="200"/>
        <w:rPr>
          <w:rFonts w:ascii="宋体" w:hAnsi="宋体"/>
          <w:sz w:val="24"/>
          <w:szCs w:val="24"/>
        </w:rPr>
      </w:pPr>
      <w:r>
        <w:rPr>
          <w:rFonts w:hint="eastAsia" w:ascii="宋体" w:hAnsi="宋体"/>
          <w:sz w:val="24"/>
          <w:szCs w:val="24"/>
        </w:rPr>
        <w:t>（7）水下工程中的水下焊接、混凝土浇筑、爆破工程等；</w:t>
      </w:r>
    </w:p>
    <w:p w14:paraId="11947B3D">
      <w:pPr>
        <w:spacing w:line="360" w:lineRule="auto"/>
        <w:ind w:firstLine="480" w:firstLineChars="200"/>
        <w:rPr>
          <w:rFonts w:ascii="宋体" w:hAnsi="宋体"/>
          <w:sz w:val="24"/>
          <w:szCs w:val="24"/>
        </w:rPr>
      </w:pPr>
      <w:r>
        <w:rPr>
          <w:rFonts w:hint="eastAsia" w:ascii="宋体" w:hAnsi="宋体"/>
          <w:sz w:val="24"/>
          <w:szCs w:val="24"/>
        </w:rPr>
        <w:t>（8）爆破工程；</w:t>
      </w:r>
    </w:p>
    <w:p w14:paraId="05DA67BD">
      <w:pPr>
        <w:spacing w:line="360" w:lineRule="auto"/>
        <w:ind w:firstLine="480" w:firstLineChars="200"/>
        <w:rPr>
          <w:rFonts w:ascii="宋体" w:hAnsi="宋体"/>
          <w:sz w:val="24"/>
          <w:szCs w:val="24"/>
        </w:rPr>
      </w:pPr>
      <w:r>
        <w:rPr>
          <w:rFonts w:hint="eastAsia" w:ascii="宋体" w:hAnsi="宋体"/>
          <w:sz w:val="24"/>
          <w:szCs w:val="24"/>
        </w:rPr>
        <w:t>（9）大型临时工程中的大型支架、模板、便桥的架设与拆除；桥梁、码头的加固与拆除；</w:t>
      </w:r>
    </w:p>
    <w:p w14:paraId="37D624BC">
      <w:pPr>
        <w:spacing w:line="360" w:lineRule="auto"/>
        <w:ind w:firstLine="480" w:firstLineChars="200"/>
        <w:rPr>
          <w:rFonts w:ascii="宋体" w:hAnsi="宋体"/>
          <w:sz w:val="24"/>
          <w:szCs w:val="24"/>
        </w:rPr>
      </w:pPr>
      <w:r>
        <w:rPr>
          <w:rFonts w:hint="eastAsia" w:ascii="宋体" w:hAnsi="宋体"/>
          <w:sz w:val="24"/>
          <w:szCs w:val="24"/>
        </w:rPr>
        <w:t>（10）其他危险性较大的工程。</w:t>
      </w:r>
    </w:p>
    <w:p w14:paraId="35FE5FEE">
      <w:pPr>
        <w:spacing w:line="360" w:lineRule="auto"/>
        <w:ind w:firstLine="480" w:firstLineChars="200"/>
        <w:rPr>
          <w:rFonts w:ascii="宋体" w:hAnsi="宋体"/>
          <w:sz w:val="24"/>
          <w:szCs w:val="24"/>
        </w:rPr>
      </w:pPr>
      <w:r>
        <w:rPr>
          <w:rFonts w:hint="eastAsia" w:ascii="宋体" w:hAnsi="宋体"/>
          <w:sz w:val="24"/>
          <w:szCs w:val="24"/>
        </w:rPr>
        <w:t>监理人和发包人在检查中发现有安全问题或有违反安全管理规章制度的情况时，可视为承包人违约，应按第 22.1 款的规定办理。</w:t>
      </w:r>
    </w:p>
    <w:p w14:paraId="0511C0F5">
      <w:pPr>
        <w:spacing w:line="360" w:lineRule="auto"/>
        <w:ind w:firstLine="480" w:firstLineChars="200"/>
        <w:rPr>
          <w:rFonts w:ascii="宋体" w:hAnsi="宋体"/>
          <w:sz w:val="24"/>
          <w:szCs w:val="24"/>
        </w:rPr>
      </w:pPr>
      <w:r>
        <w:rPr>
          <w:rFonts w:hint="eastAsia" w:ascii="宋体" w:hAnsi="宋体"/>
          <w:sz w:val="24"/>
          <w:szCs w:val="24"/>
        </w:rPr>
        <w:t>第9.2.5项细化为：</w:t>
      </w:r>
    </w:p>
    <w:p w14:paraId="75A010F0">
      <w:pPr>
        <w:spacing w:line="360" w:lineRule="auto"/>
        <w:ind w:firstLine="480" w:firstLineChars="200"/>
        <w:rPr>
          <w:rFonts w:ascii="宋体" w:hAnsi="宋体"/>
          <w:sz w:val="24"/>
          <w:szCs w:val="24"/>
        </w:rPr>
      </w:pPr>
      <w:r>
        <w:rPr>
          <w:rFonts w:hint="eastAsia" w:ascii="宋体" w:hAnsi="宋体"/>
          <w:sz w:val="24"/>
          <w:szCs w:val="24"/>
        </w:rPr>
        <w:t>除项目用合同条款另有约定外，安全生产费用应为投标价（不含安全生产费及建筑工程一切险及第三者责任险的保险费）的1</w:t>
      </w:r>
      <w:r>
        <w:rPr>
          <w:rFonts w:ascii="宋体" w:hAnsi="宋体"/>
          <w:sz w:val="24"/>
          <w:szCs w:val="24"/>
        </w:rPr>
        <w:t>.5</w:t>
      </w:r>
      <w:r>
        <w:rPr>
          <w:rFonts w:hint="eastAsia" w:ascii="宋体" w:hAnsi="宋体"/>
          <w:sz w:val="24"/>
          <w:szCs w:val="24"/>
        </w:rPr>
        <w:t>%（若发包人公布了投标控制价上限时，按投标控制价上限的1</w:t>
      </w:r>
      <w:r>
        <w:rPr>
          <w:rFonts w:ascii="宋体" w:hAnsi="宋体"/>
          <w:sz w:val="24"/>
          <w:szCs w:val="24"/>
        </w:rPr>
        <w:t>.5</w:t>
      </w:r>
      <w:r>
        <w:rPr>
          <w:rFonts w:hint="eastAsia" w:ascii="宋体" w:hAnsi="宋体"/>
          <w:sz w:val="24"/>
          <w:szCs w:val="24"/>
        </w:rPr>
        <w:t>%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033FCF1">
      <w:pPr>
        <w:spacing w:line="360" w:lineRule="auto"/>
        <w:ind w:firstLine="480" w:firstLineChars="200"/>
        <w:rPr>
          <w:rFonts w:ascii="宋体" w:hAnsi="宋体"/>
          <w:sz w:val="24"/>
          <w:szCs w:val="24"/>
        </w:rPr>
      </w:pPr>
      <w:r>
        <w:rPr>
          <w:rFonts w:hint="eastAsia" w:ascii="宋体" w:hAnsi="宋体"/>
          <w:sz w:val="24"/>
          <w:szCs w:val="24"/>
        </w:rPr>
        <w:t>本款补充第9.2.8项～9.2.11项：</w:t>
      </w:r>
    </w:p>
    <w:p w14:paraId="526F5986">
      <w:pPr>
        <w:spacing w:line="360" w:lineRule="auto"/>
        <w:ind w:firstLine="480" w:firstLineChars="200"/>
        <w:rPr>
          <w:rFonts w:ascii="宋体" w:hAnsi="宋体"/>
          <w:sz w:val="24"/>
          <w:szCs w:val="24"/>
        </w:rPr>
      </w:pPr>
      <w:r>
        <w:rPr>
          <w:rFonts w:hint="eastAsia" w:ascii="宋体" w:hAnsi="宋体"/>
          <w:sz w:val="24"/>
          <w:szCs w:val="24"/>
        </w:rPr>
        <w:t>9.2.8 承包人应充分关注和保障所有在现场工作的人员的安全，采取以下有效措施，使现场和本合同工程的实施保持有条不紊，以免使上述人员的安全受到威胁。</w:t>
      </w:r>
    </w:p>
    <w:p w14:paraId="1185CAAA">
      <w:pPr>
        <w:spacing w:line="360" w:lineRule="auto"/>
        <w:ind w:firstLine="480" w:firstLineChars="200"/>
        <w:rPr>
          <w:rFonts w:ascii="宋体" w:hAnsi="宋体"/>
          <w:sz w:val="24"/>
          <w:szCs w:val="24"/>
        </w:rPr>
      </w:pPr>
      <w:r>
        <w:rPr>
          <w:rFonts w:hint="eastAsia" w:ascii="宋体" w:hAnsi="宋体"/>
          <w:sz w:val="24"/>
          <w:szCs w:val="24"/>
        </w:rPr>
        <w:t>（1）按《公路水运工程安全生产监督管理办法》规定的最低数量和资质条件配备专职安全生产管理人员；</w:t>
      </w:r>
    </w:p>
    <w:p w14:paraId="72FEB6CC">
      <w:pPr>
        <w:spacing w:line="360" w:lineRule="auto"/>
        <w:ind w:firstLine="480" w:firstLineChars="200"/>
        <w:rPr>
          <w:rFonts w:ascii="宋体" w:hAnsi="宋体"/>
          <w:sz w:val="24"/>
          <w:szCs w:val="24"/>
        </w:rPr>
      </w:pPr>
      <w:r>
        <w:rPr>
          <w:rFonts w:hint="eastAsia" w:ascii="宋体" w:hAnsi="宋体"/>
          <w:sz w:val="24"/>
          <w:szCs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0F5E4795">
      <w:pPr>
        <w:spacing w:line="360" w:lineRule="auto"/>
        <w:ind w:firstLine="480" w:firstLineChars="200"/>
        <w:rPr>
          <w:rFonts w:ascii="宋体" w:hAnsi="宋体"/>
          <w:sz w:val="24"/>
          <w:szCs w:val="24"/>
        </w:rPr>
      </w:pPr>
      <w:r>
        <w:rPr>
          <w:rFonts w:hint="eastAsia" w:ascii="宋体" w:hAnsi="宋体"/>
          <w:sz w:val="24"/>
          <w:szCs w:val="24"/>
        </w:rPr>
        <w:t>（3）所有施工机具设备和高空作业设备均应定期检查，并有安全员的签字记录；</w:t>
      </w:r>
    </w:p>
    <w:p w14:paraId="43186948">
      <w:pPr>
        <w:spacing w:line="360" w:lineRule="auto"/>
        <w:ind w:firstLine="480" w:firstLineChars="200"/>
        <w:rPr>
          <w:rFonts w:ascii="宋体" w:hAnsi="宋体"/>
          <w:sz w:val="24"/>
          <w:szCs w:val="24"/>
        </w:rPr>
      </w:pPr>
      <w:r>
        <w:rPr>
          <w:rFonts w:hint="eastAsia" w:ascii="宋体" w:hAnsi="宋体"/>
          <w:sz w:val="24"/>
          <w:szCs w:val="24"/>
        </w:rPr>
        <w:t>（4）根据本合同各单位工程的施工特点，严格执行《公路水运工程安全生产监督管理办法》《公路工程施工安全技术规范》等有关规定。</w:t>
      </w:r>
    </w:p>
    <w:p w14:paraId="2EFC3BA8">
      <w:pPr>
        <w:spacing w:line="360" w:lineRule="auto"/>
        <w:ind w:firstLine="480" w:firstLineChars="200"/>
        <w:rPr>
          <w:rFonts w:ascii="宋体" w:hAnsi="宋体"/>
          <w:sz w:val="24"/>
          <w:szCs w:val="24"/>
        </w:rPr>
      </w:pPr>
      <w:r>
        <w:rPr>
          <w:rFonts w:hint="eastAsia" w:ascii="宋体" w:hAnsi="宋体"/>
          <w:sz w:val="24"/>
          <w:szCs w:val="24"/>
        </w:rPr>
        <w:t>9.2.9为保护本合同工程免遭损坏，或为了现场附近和过往群众的安全与方便，在确有必要的时候和地方，或当监理人或有关主管部门要求时，承包人应自费提供照明、警卫、护栅、警告标志等安全防护设施。</w:t>
      </w:r>
    </w:p>
    <w:p w14:paraId="70CB1603">
      <w:pPr>
        <w:spacing w:line="360" w:lineRule="auto"/>
        <w:ind w:firstLine="480" w:firstLineChars="200"/>
        <w:rPr>
          <w:rFonts w:ascii="宋体" w:hAnsi="宋体"/>
          <w:sz w:val="24"/>
          <w:szCs w:val="24"/>
        </w:rPr>
      </w:pPr>
      <w:r>
        <w:rPr>
          <w:rFonts w:hint="eastAsia" w:ascii="宋体" w:hAnsi="宋体"/>
          <w:sz w:val="24"/>
          <w:szCs w:val="24"/>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B2AF2AD">
      <w:pPr>
        <w:spacing w:line="360" w:lineRule="auto"/>
        <w:ind w:firstLine="480" w:firstLineChars="200"/>
        <w:rPr>
          <w:rFonts w:ascii="宋体" w:hAnsi="宋体"/>
          <w:sz w:val="24"/>
          <w:szCs w:val="24"/>
        </w:rPr>
      </w:pPr>
      <w:r>
        <w:rPr>
          <w:rFonts w:hint="eastAsia" w:ascii="宋体" w:hAnsi="宋体"/>
          <w:sz w:val="24"/>
          <w:szCs w:val="24"/>
        </w:rPr>
        <w:t>9.4 环境保护</w:t>
      </w:r>
    </w:p>
    <w:p w14:paraId="4AAE21D5">
      <w:pPr>
        <w:spacing w:line="360" w:lineRule="auto"/>
        <w:ind w:firstLine="480" w:firstLineChars="200"/>
        <w:rPr>
          <w:rFonts w:ascii="宋体" w:hAnsi="宋体"/>
          <w:sz w:val="24"/>
          <w:szCs w:val="24"/>
        </w:rPr>
      </w:pPr>
      <w:r>
        <w:rPr>
          <w:rFonts w:hint="eastAsia" w:ascii="宋体" w:hAnsi="宋体"/>
          <w:sz w:val="24"/>
          <w:szCs w:val="24"/>
        </w:rPr>
        <w:t>本款补充第 9.4.7 项~第 9.4.11 项：</w:t>
      </w:r>
    </w:p>
    <w:p w14:paraId="161E86FE">
      <w:pPr>
        <w:spacing w:line="360" w:lineRule="auto"/>
        <w:ind w:firstLine="480" w:firstLineChars="200"/>
        <w:rPr>
          <w:rFonts w:ascii="宋体" w:hAnsi="宋体"/>
          <w:sz w:val="24"/>
          <w:szCs w:val="24"/>
        </w:rPr>
      </w:pPr>
      <w:r>
        <w:rPr>
          <w:rFonts w:hint="eastAsia" w:ascii="宋体" w:hAnsi="宋体"/>
          <w:sz w:val="24"/>
          <w:szCs w:val="24"/>
        </w:rPr>
        <w:t>9.4.7 承包人应切实执行技术规范中有关环境保护方面的条款和规定。</w:t>
      </w:r>
    </w:p>
    <w:p w14:paraId="1B4D52ED">
      <w:pPr>
        <w:spacing w:line="360" w:lineRule="auto"/>
        <w:ind w:firstLine="480" w:firstLineChars="200"/>
        <w:rPr>
          <w:rFonts w:ascii="宋体" w:hAnsi="宋体"/>
          <w:sz w:val="24"/>
          <w:szCs w:val="24"/>
        </w:rPr>
      </w:pPr>
      <w:r>
        <w:rPr>
          <w:rFonts w:hint="eastAsia" w:ascii="宋体" w:hAnsi="宋体"/>
          <w:sz w:val="24"/>
          <w:szCs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以内的施工现场，施工时间应加以控制。</w:t>
      </w:r>
    </w:p>
    <w:p w14:paraId="577E09E1">
      <w:pPr>
        <w:spacing w:line="360" w:lineRule="auto"/>
        <w:ind w:firstLine="480" w:firstLineChars="200"/>
        <w:rPr>
          <w:rFonts w:ascii="宋体" w:hAnsi="宋体"/>
          <w:sz w:val="24"/>
          <w:szCs w:val="24"/>
        </w:rPr>
      </w:pPr>
      <w:r>
        <w:rPr>
          <w:rFonts w:hint="eastAsia" w:ascii="宋体" w:hAnsi="宋体"/>
          <w:sz w:val="24"/>
          <w:szCs w:val="24"/>
        </w:rPr>
        <w:t>（2）对于公路施工中粉尘污染的主要污染源――灰土拌和、施工车辆和筑路机械运行及运输产生的扬尘，应采取有效措施减轻其对施工现场的大气污染，保护人民健康，如：a. 拌和设备应有较好的密封，或有防尘设备。</w:t>
      </w:r>
    </w:p>
    <w:p w14:paraId="7F3B977E">
      <w:pPr>
        <w:spacing w:line="360" w:lineRule="auto"/>
        <w:ind w:firstLine="480" w:firstLineChars="200"/>
        <w:rPr>
          <w:rFonts w:ascii="宋体" w:hAnsi="宋体"/>
          <w:sz w:val="24"/>
          <w:szCs w:val="24"/>
        </w:rPr>
      </w:pPr>
      <w:r>
        <w:rPr>
          <w:rFonts w:hint="eastAsia" w:ascii="宋体" w:hAnsi="宋体"/>
          <w:sz w:val="24"/>
          <w:szCs w:val="24"/>
        </w:rPr>
        <w:t>b. 施工通道、沥青混凝土拌和站及灰土拌和站应经常进行洒水降尘。</w:t>
      </w:r>
    </w:p>
    <w:p w14:paraId="4D088F1D">
      <w:pPr>
        <w:spacing w:line="360" w:lineRule="auto"/>
        <w:ind w:firstLine="480" w:firstLineChars="200"/>
        <w:rPr>
          <w:rFonts w:ascii="宋体" w:hAnsi="宋体"/>
          <w:sz w:val="24"/>
          <w:szCs w:val="24"/>
        </w:rPr>
      </w:pPr>
      <w:r>
        <w:rPr>
          <w:rFonts w:hint="eastAsia" w:ascii="宋体" w:hAnsi="宋体"/>
          <w:sz w:val="24"/>
          <w:szCs w:val="24"/>
        </w:rPr>
        <w:t>c. 路面施工应注意保持水分，以免扬尘。</w:t>
      </w:r>
    </w:p>
    <w:p w14:paraId="4F4C9613">
      <w:pPr>
        <w:spacing w:line="360" w:lineRule="auto"/>
        <w:ind w:firstLine="480" w:firstLineChars="200"/>
        <w:rPr>
          <w:rFonts w:ascii="宋体" w:hAnsi="宋体"/>
          <w:sz w:val="24"/>
          <w:szCs w:val="24"/>
        </w:rPr>
      </w:pPr>
      <w:r>
        <w:rPr>
          <w:rFonts w:hint="eastAsia" w:ascii="宋体" w:hAnsi="宋体"/>
          <w:sz w:val="24"/>
          <w:szCs w:val="24"/>
        </w:rPr>
        <w:t>d. 隧道出渣和桥梁钻孔灌注桩施工时排出的泥浆要进行妥善处理，严禁向河流或农田排放。</w:t>
      </w:r>
    </w:p>
    <w:p w14:paraId="04843C80">
      <w:pPr>
        <w:spacing w:line="360" w:lineRule="auto"/>
        <w:ind w:firstLine="480" w:firstLineChars="200"/>
        <w:rPr>
          <w:rFonts w:ascii="宋体" w:hAnsi="宋体"/>
          <w:sz w:val="24"/>
          <w:szCs w:val="24"/>
        </w:rPr>
      </w:pPr>
      <w:r>
        <w:rPr>
          <w:rFonts w:hint="eastAsia" w:ascii="宋体" w:hAnsi="宋体"/>
          <w:sz w:val="24"/>
          <w:szCs w:val="24"/>
        </w:rPr>
        <w:t>（3）采取可靠措施保证原有交通的正常通行，维持沿线村镇的居民饮水、农田灌溉、生产生活用电及通信等管线的正常使用。</w:t>
      </w:r>
    </w:p>
    <w:p w14:paraId="180C1902">
      <w:pPr>
        <w:spacing w:line="360" w:lineRule="auto"/>
        <w:ind w:firstLine="480" w:firstLineChars="200"/>
        <w:rPr>
          <w:rFonts w:ascii="宋体" w:hAnsi="宋体"/>
          <w:sz w:val="24"/>
          <w:szCs w:val="24"/>
        </w:rPr>
      </w:pPr>
      <w:r>
        <w:rPr>
          <w:rFonts w:hint="eastAsia" w:ascii="宋体" w:hAnsi="宋体"/>
          <w:sz w:val="24"/>
          <w:szCs w:val="24"/>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0C9FACF5">
      <w:pPr>
        <w:spacing w:line="360" w:lineRule="auto"/>
        <w:ind w:firstLine="480" w:firstLineChars="200"/>
        <w:rPr>
          <w:rFonts w:ascii="宋体" w:hAnsi="宋体"/>
          <w:sz w:val="24"/>
          <w:szCs w:val="24"/>
        </w:rPr>
      </w:pPr>
      <w:r>
        <w:rPr>
          <w:rFonts w:hint="eastAsia" w:ascii="宋体" w:hAnsi="宋体"/>
          <w:sz w:val="24"/>
          <w:szCs w:val="24"/>
        </w:rPr>
        <w:t>9.4.9在施工期间，承包人应随时保持现场整洁，施工设备和材料、工程设备应整齐妥善存放和储存，废料与垃圾及不再需要的临时设施应及时从现场清除、拆除并运走。</w:t>
      </w:r>
    </w:p>
    <w:p w14:paraId="118E6740">
      <w:pPr>
        <w:spacing w:line="360" w:lineRule="auto"/>
        <w:ind w:firstLine="480" w:firstLineChars="200"/>
        <w:rPr>
          <w:rFonts w:ascii="宋体" w:hAnsi="宋体"/>
          <w:sz w:val="24"/>
          <w:szCs w:val="24"/>
        </w:rPr>
      </w:pPr>
      <w:bookmarkStart w:id="430" w:name="_Toc234382874"/>
      <w:r>
        <w:rPr>
          <w:rFonts w:hint="eastAsia" w:ascii="宋体" w:hAnsi="宋体"/>
          <w:sz w:val="24"/>
          <w:szCs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6C6D9C6F">
      <w:pPr>
        <w:spacing w:line="360" w:lineRule="auto"/>
        <w:ind w:firstLine="480" w:firstLineChars="200"/>
        <w:rPr>
          <w:rFonts w:ascii="宋体" w:hAnsi="宋体"/>
          <w:sz w:val="24"/>
          <w:szCs w:val="24"/>
        </w:rPr>
      </w:pPr>
      <w:r>
        <w:rPr>
          <w:rFonts w:hint="eastAsia" w:ascii="宋体" w:hAnsi="宋体"/>
          <w:sz w:val="24"/>
          <w:szCs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78F13D80">
      <w:pPr>
        <w:spacing w:line="360" w:lineRule="auto"/>
        <w:ind w:firstLine="480" w:firstLineChars="200"/>
        <w:rPr>
          <w:rFonts w:ascii="宋体" w:hAnsi="宋体"/>
          <w:sz w:val="24"/>
          <w:szCs w:val="24"/>
        </w:rPr>
      </w:pPr>
      <w:r>
        <w:rPr>
          <w:rFonts w:hint="eastAsia" w:ascii="宋体" w:hAnsi="宋体"/>
          <w:sz w:val="24"/>
          <w:szCs w:val="24"/>
        </w:rPr>
        <w:t>10．进度计划</w:t>
      </w:r>
      <w:bookmarkEnd w:id="430"/>
    </w:p>
    <w:p w14:paraId="695E4EA0">
      <w:pPr>
        <w:spacing w:line="360" w:lineRule="auto"/>
        <w:ind w:firstLine="480" w:firstLineChars="200"/>
        <w:rPr>
          <w:rFonts w:ascii="宋体" w:hAnsi="宋体"/>
          <w:sz w:val="24"/>
          <w:szCs w:val="24"/>
        </w:rPr>
      </w:pPr>
      <w:bookmarkStart w:id="431" w:name="_Toc234382875"/>
      <w:r>
        <w:rPr>
          <w:rFonts w:hint="eastAsia" w:ascii="宋体" w:hAnsi="宋体"/>
          <w:sz w:val="24"/>
          <w:szCs w:val="24"/>
        </w:rPr>
        <w:t>10.1合同进度计划</w:t>
      </w:r>
      <w:bookmarkEnd w:id="431"/>
    </w:p>
    <w:p w14:paraId="2F84E12C">
      <w:pPr>
        <w:spacing w:line="360" w:lineRule="auto"/>
        <w:ind w:firstLine="480" w:firstLineChars="200"/>
        <w:rPr>
          <w:rFonts w:ascii="宋体" w:hAnsi="宋体"/>
          <w:sz w:val="24"/>
          <w:szCs w:val="24"/>
        </w:rPr>
      </w:pPr>
      <w:r>
        <w:rPr>
          <w:rFonts w:hint="eastAsia" w:ascii="宋体" w:hAnsi="宋体"/>
          <w:sz w:val="24"/>
          <w:szCs w:val="24"/>
        </w:rPr>
        <w:t>本款补充：</w:t>
      </w:r>
    </w:p>
    <w:p w14:paraId="7495AAF3">
      <w:pPr>
        <w:spacing w:line="360" w:lineRule="auto"/>
        <w:ind w:firstLine="480" w:firstLineChars="200"/>
        <w:rPr>
          <w:rFonts w:ascii="宋体" w:hAnsi="宋体"/>
          <w:sz w:val="24"/>
          <w:szCs w:val="24"/>
        </w:rPr>
      </w:pPr>
      <w:r>
        <w:rPr>
          <w:rFonts w:hint="eastAsia" w:ascii="宋体" w:hAnsi="宋体"/>
          <w:sz w:val="24"/>
          <w:szCs w:val="24"/>
        </w:rPr>
        <w:t>承包人编制施工方案说明的内容见项目专用合同条款。</w:t>
      </w:r>
    </w:p>
    <w:p w14:paraId="6FD75989">
      <w:pPr>
        <w:spacing w:line="360" w:lineRule="auto"/>
        <w:ind w:firstLine="480" w:firstLineChars="200"/>
        <w:rPr>
          <w:rFonts w:ascii="宋体" w:hAnsi="宋体"/>
          <w:sz w:val="24"/>
          <w:szCs w:val="24"/>
        </w:rPr>
      </w:pPr>
      <w:r>
        <w:rPr>
          <w:rFonts w:hint="eastAsia" w:ascii="宋体" w:hAnsi="宋体"/>
          <w:sz w:val="24"/>
          <w:szCs w:val="24"/>
        </w:rPr>
        <w:t>承包人向监理人报送施工进度计划和施工方案说明的期限：签订合同协议书后28天之内。</w:t>
      </w:r>
    </w:p>
    <w:p w14:paraId="7CF059F4">
      <w:pPr>
        <w:spacing w:line="360" w:lineRule="auto"/>
        <w:ind w:firstLine="480" w:firstLineChars="200"/>
        <w:rPr>
          <w:rFonts w:ascii="宋体" w:hAnsi="宋体"/>
          <w:sz w:val="24"/>
          <w:szCs w:val="24"/>
        </w:rPr>
      </w:pPr>
      <w:r>
        <w:rPr>
          <w:rFonts w:hint="eastAsia" w:ascii="宋体" w:hAnsi="宋体"/>
          <w:sz w:val="24"/>
          <w:szCs w:val="24"/>
        </w:rPr>
        <w:t>监理人应在14天内对承包人施工进度计划和施工方案说明予以批复或提出修改意见。</w:t>
      </w:r>
    </w:p>
    <w:p w14:paraId="54D71292">
      <w:pPr>
        <w:spacing w:line="360" w:lineRule="auto"/>
        <w:ind w:firstLine="480" w:firstLineChars="200"/>
        <w:rPr>
          <w:rFonts w:ascii="宋体" w:hAnsi="宋体"/>
          <w:sz w:val="24"/>
          <w:szCs w:val="24"/>
        </w:rPr>
      </w:pPr>
      <w:r>
        <w:rPr>
          <w:rFonts w:hint="eastAsia" w:ascii="宋体" w:hAnsi="宋体"/>
          <w:sz w:val="24"/>
          <w:szCs w:val="24"/>
        </w:rPr>
        <w:t>合同进度计划应按照关键线路网络图和主要工作横道图两种形式分别编绘，并应包括每月预计完成的工作量和形象进度。</w:t>
      </w:r>
    </w:p>
    <w:p w14:paraId="62B912DE">
      <w:pPr>
        <w:spacing w:line="360" w:lineRule="auto"/>
        <w:ind w:firstLine="480" w:firstLineChars="200"/>
        <w:rPr>
          <w:rFonts w:ascii="宋体" w:hAnsi="宋体"/>
          <w:sz w:val="24"/>
          <w:szCs w:val="24"/>
        </w:rPr>
      </w:pPr>
      <w:bookmarkStart w:id="432" w:name="_Toc234382876"/>
      <w:r>
        <w:rPr>
          <w:rFonts w:hint="eastAsia" w:ascii="宋体" w:hAnsi="宋体"/>
          <w:sz w:val="24"/>
          <w:szCs w:val="24"/>
        </w:rPr>
        <w:t>10.2合同进度计划的修订</w:t>
      </w:r>
      <w:bookmarkEnd w:id="432"/>
    </w:p>
    <w:p w14:paraId="1DF40C61">
      <w:pPr>
        <w:spacing w:line="360" w:lineRule="auto"/>
        <w:ind w:firstLine="480" w:firstLineChars="200"/>
        <w:rPr>
          <w:rFonts w:ascii="宋体" w:hAnsi="宋体"/>
          <w:sz w:val="24"/>
          <w:szCs w:val="24"/>
        </w:rPr>
      </w:pPr>
      <w:r>
        <w:rPr>
          <w:rFonts w:hint="eastAsia" w:ascii="宋体" w:hAnsi="宋体"/>
          <w:sz w:val="24"/>
          <w:szCs w:val="24"/>
        </w:rPr>
        <w:t>本款补充：</w:t>
      </w:r>
    </w:p>
    <w:p w14:paraId="0A62866A">
      <w:pPr>
        <w:spacing w:line="360" w:lineRule="auto"/>
        <w:ind w:firstLine="480" w:firstLineChars="200"/>
        <w:rPr>
          <w:rFonts w:ascii="宋体" w:hAnsi="宋体"/>
          <w:sz w:val="24"/>
          <w:szCs w:val="24"/>
        </w:rPr>
      </w:pPr>
      <w:r>
        <w:rPr>
          <w:rFonts w:hint="eastAsia" w:ascii="宋体" w:hAnsi="宋体"/>
          <w:sz w:val="24"/>
          <w:szCs w:val="24"/>
        </w:rPr>
        <w:t>承包人提交合同进度计划修订申请报告，并附有关措施和相关资料的期限：实际进度发生滞后的当月25日前。</w:t>
      </w:r>
    </w:p>
    <w:p w14:paraId="04E3CD97">
      <w:pPr>
        <w:spacing w:line="360" w:lineRule="auto"/>
        <w:ind w:firstLine="480" w:firstLineChars="200"/>
        <w:rPr>
          <w:rFonts w:ascii="宋体" w:hAnsi="宋体"/>
          <w:sz w:val="24"/>
          <w:szCs w:val="24"/>
        </w:rPr>
      </w:pPr>
      <w:r>
        <w:rPr>
          <w:rFonts w:hint="eastAsia" w:ascii="宋体" w:hAnsi="宋体"/>
          <w:sz w:val="24"/>
          <w:szCs w:val="24"/>
        </w:rPr>
        <w:t>监理人批复修订合同进度计划的期限：收到修订合同进度计划后14天内。</w:t>
      </w:r>
    </w:p>
    <w:p w14:paraId="5C17538C">
      <w:pPr>
        <w:spacing w:line="360" w:lineRule="auto"/>
        <w:ind w:firstLine="480" w:firstLineChars="200"/>
        <w:rPr>
          <w:rFonts w:ascii="宋体" w:hAnsi="宋体"/>
          <w:sz w:val="24"/>
          <w:szCs w:val="24"/>
        </w:rPr>
      </w:pPr>
      <w:r>
        <w:rPr>
          <w:rFonts w:hint="eastAsia" w:ascii="宋体" w:hAnsi="宋体"/>
          <w:sz w:val="24"/>
          <w:szCs w:val="24"/>
        </w:rPr>
        <w:t>补充第10.3、10.4款：</w:t>
      </w:r>
    </w:p>
    <w:p w14:paraId="299141AB">
      <w:pPr>
        <w:spacing w:line="360" w:lineRule="auto"/>
        <w:ind w:firstLine="480" w:firstLineChars="200"/>
        <w:rPr>
          <w:rFonts w:ascii="宋体" w:hAnsi="宋体"/>
          <w:sz w:val="24"/>
          <w:szCs w:val="24"/>
        </w:rPr>
      </w:pPr>
      <w:bookmarkStart w:id="433" w:name="_Toc234382877"/>
      <w:r>
        <w:rPr>
          <w:rFonts w:hint="eastAsia" w:ascii="宋体" w:hAnsi="宋体"/>
          <w:sz w:val="24"/>
          <w:szCs w:val="24"/>
        </w:rPr>
        <w:t>10.3年度施工计划</w:t>
      </w:r>
      <w:bookmarkEnd w:id="433"/>
    </w:p>
    <w:p w14:paraId="01274FFB">
      <w:pPr>
        <w:spacing w:line="360" w:lineRule="auto"/>
        <w:ind w:firstLine="480" w:firstLineChars="200"/>
        <w:rPr>
          <w:rFonts w:ascii="宋体" w:hAnsi="宋体"/>
          <w:sz w:val="24"/>
          <w:szCs w:val="24"/>
        </w:rPr>
      </w:pPr>
      <w:r>
        <w:rPr>
          <w:rFonts w:hint="eastAsia" w:ascii="宋体" w:hAnsi="宋体"/>
          <w:sz w:val="24"/>
          <w:szCs w:val="24"/>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797D07E5">
      <w:pPr>
        <w:spacing w:line="360" w:lineRule="auto"/>
        <w:ind w:firstLine="480" w:firstLineChars="200"/>
        <w:rPr>
          <w:rFonts w:ascii="宋体" w:hAnsi="宋体"/>
          <w:sz w:val="24"/>
          <w:szCs w:val="24"/>
        </w:rPr>
      </w:pPr>
      <w:bookmarkStart w:id="434" w:name="_Toc234382878"/>
      <w:r>
        <w:rPr>
          <w:rFonts w:hint="eastAsia" w:ascii="宋体" w:hAnsi="宋体"/>
          <w:sz w:val="24"/>
          <w:szCs w:val="24"/>
        </w:rPr>
        <w:t>10.4合同用款计划</w:t>
      </w:r>
      <w:bookmarkEnd w:id="434"/>
    </w:p>
    <w:p w14:paraId="2A58D566">
      <w:pPr>
        <w:spacing w:line="360" w:lineRule="auto"/>
        <w:ind w:firstLine="480" w:firstLineChars="200"/>
        <w:rPr>
          <w:rFonts w:ascii="宋体" w:hAnsi="宋体"/>
          <w:sz w:val="24"/>
          <w:szCs w:val="24"/>
        </w:rPr>
      </w:pPr>
      <w:r>
        <w:rPr>
          <w:rFonts w:hint="eastAsia" w:ascii="宋体" w:hAnsi="宋体"/>
          <w:sz w:val="24"/>
          <w:szCs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2AE3329">
      <w:pPr>
        <w:spacing w:line="360" w:lineRule="auto"/>
        <w:ind w:firstLine="480" w:firstLineChars="200"/>
        <w:rPr>
          <w:rFonts w:ascii="宋体" w:hAnsi="宋体"/>
          <w:sz w:val="24"/>
          <w:szCs w:val="24"/>
        </w:rPr>
      </w:pPr>
      <w:bookmarkStart w:id="435" w:name="_Toc234382879"/>
      <w:r>
        <w:rPr>
          <w:rFonts w:hint="eastAsia" w:ascii="宋体" w:hAnsi="宋体"/>
          <w:sz w:val="24"/>
          <w:szCs w:val="24"/>
        </w:rPr>
        <w:t>11．开工和竣工</w:t>
      </w:r>
      <w:bookmarkEnd w:id="435"/>
    </w:p>
    <w:p w14:paraId="718EE567">
      <w:pPr>
        <w:spacing w:line="360" w:lineRule="auto"/>
        <w:ind w:firstLine="480" w:firstLineChars="200"/>
        <w:rPr>
          <w:rFonts w:ascii="宋体" w:hAnsi="宋体"/>
          <w:sz w:val="24"/>
          <w:szCs w:val="24"/>
        </w:rPr>
      </w:pPr>
      <w:bookmarkStart w:id="436" w:name="_Toc234382880"/>
      <w:r>
        <w:rPr>
          <w:rFonts w:hint="eastAsia" w:ascii="宋体" w:hAnsi="宋体"/>
          <w:sz w:val="24"/>
          <w:szCs w:val="24"/>
        </w:rPr>
        <w:t>11.1开工</w:t>
      </w:r>
      <w:bookmarkEnd w:id="436"/>
    </w:p>
    <w:p w14:paraId="2FA42323">
      <w:pPr>
        <w:spacing w:line="360" w:lineRule="auto"/>
        <w:ind w:firstLine="480" w:firstLineChars="200"/>
        <w:rPr>
          <w:rFonts w:ascii="宋体" w:hAnsi="宋体"/>
          <w:sz w:val="24"/>
          <w:szCs w:val="24"/>
        </w:rPr>
      </w:pPr>
      <w:r>
        <w:rPr>
          <w:rFonts w:hint="eastAsia" w:ascii="宋体" w:hAnsi="宋体"/>
          <w:sz w:val="24"/>
          <w:szCs w:val="24"/>
        </w:rPr>
        <w:t>第11.1.2项补充：</w:t>
      </w:r>
    </w:p>
    <w:p w14:paraId="6C128902">
      <w:pPr>
        <w:spacing w:line="360" w:lineRule="auto"/>
        <w:ind w:firstLine="480" w:firstLineChars="200"/>
        <w:rPr>
          <w:rFonts w:ascii="宋体" w:hAnsi="宋体"/>
          <w:sz w:val="24"/>
          <w:szCs w:val="24"/>
        </w:rPr>
      </w:pPr>
      <w:r>
        <w:rPr>
          <w:rFonts w:hint="eastAsia" w:ascii="宋体" w:hAnsi="宋体"/>
          <w:sz w:val="24"/>
          <w:szCs w:val="24"/>
        </w:rPr>
        <w:t>承包人应在分部工程开工前14天向监理人提交分部工程开工报审表，若承包人的开工准备、工作计划和质量控制方法是可接受的且已获得批准，则经监理人书面同意，分部工程才能开工。</w:t>
      </w:r>
    </w:p>
    <w:p w14:paraId="77BD6BBE">
      <w:pPr>
        <w:spacing w:line="360" w:lineRule="auto"/>
        <w:ind w:firstLine="480" w:firstLineChars="200"/>
        <w:rPr>
          <w:rFonts w:ascii="宋体" w:hAnsi="宋体"/>
          <w:sz w:val="24"/>
          <w:szCs w:val="24"/>
        </w:rPr>
      </w:pPr>
      <w:bookmarkStart w:id="437" w:name="_Toc234382881"/>
      <w:r>
        <w:rPr>
          <w:rFonts w:hint="eastAsia" w:ascii="宋体" w:hAnsi="宋体"/>
          <w:sz w:val="24"/>
          <w:szCs w:val="24"/>
        </w:rPr>
        <w:t>11.3发包人的工期延误</w:t>
      </w:r>
      <w:bookmarkEnd w:id="437"/>
    </w:p>
    <w:p w14:paraId="2964BC5B">
      <w:pPr>
        <w:spacing w:line="360" w:lineRule="auto"/>
        <w:ind w:firstLine="480" w:firstLineChars="200"/>
        <w:rPr>
          <w:rFonts w:ascii="宋体" w:hAnsi="宋体"/>
          <w:sz w:val="24"/>
          <w:szCs w:val="24"/>
        </w:rPr>
      </w:pPr>
      <w:r>
        <w:rPr>
          <w:rFonts w:hint="eastAsia" w:ascii="宋体" w:hAnsi="宋体"/>
          <w:sz w:val="24"/>
          <w:szCs w:val="24"/>
        </w:rPr>
        <w:t>本款补充：</w:t>
      </w:r>
    </w:p>
    <w:p w14:paraId="19AAFB07">
      <w:pPr>
        <w:spacing w:line="360" w:lineRule="auto"/>
        <w:ind w:firstLine="480" w:firstLineChars="200"/>
        <w:rPr>
          <w:rFonts w:ascii="宋体" w:hAnsi="宋体"/>
          <w:sz w:val="24"/>
          <w:szCs w:val="24"/>
        </w:rPr>
      </w:pPr>
      <w:r>
        <w:rPr>
          <w:rFonts w:hint="eastAsia" w:ascii="宋体" w:hAnsi="宋体"/>
          <w:sz w:val="24"/>
          <w:szCs w:val="24"/>
        </w:rPr>
        <w:t>即使由于上述原因造成工期延误，如果受影响的工程并非处在工程施工进度网络计划的关键线路上，则承包人无权要求延长总工期。</w:t>
      </w:r>
    </w:p>
    <w:p w14:paraId="35700B99">
      <w:pPr>
        <w:spacing w:line="360" w:lineRule="auto"/>
        <w:ind w:firstLine="480" w:firstLineChars="200"/>
        <w:rPr>
          <w:rFonts w:ascii="宋体" w:hAnsi="宋体"/>
          <w:sz w:val="24"/>
          <w:szCs w:val="24"/>
        </w:rPr>
      </w:pPr>
      <w:bookmarkStart w:id="438" w:name="_Toc234382882"/>
      <w:r>
        <w:rPr>
          <w:rFonts w:hint="eastAsia" w:ascii="宋体" w:hAnsi="宋体"/>
          <w:sz w:val="24"/>
          <w:szCs w:val="24"/>
        </w:rPr>
        <w:t>11.4异常恶劣的气候条件</w:t>
      </w:r>
      <w:bookmarkEnd w:id="438"/>
    </w:p>
    <w:p w14:paraId="37E237C3">
      <w:pPr>
        <w:spacing w:line="360" w:lineRule="auto"/>
        <w:ind w:firstLine="480" w:firstLineChars="200"/>
        <w:rPr>
          <w:rFonts w:ascii="宋体" w:hAnsi="宋体"/>
          <w:sz w:val="24"/>
          <w:szCs w:val="24"/>
        </w:rPr>
      </w:pPr>
      <w:r>
        <w:rPr>
          <w:rFonts w:hint="eastAsia" w:ascii="宋体" w:hAnsi="宋体"/>
          <w:sz w:val="24"/>
          <w:szCs w:val="24"/>
        </w:rPr>
        <w:t>本款补充：</w:t>
      </w:r>
    </w:p>
    <w:p w14:paraId="6CBD316F">
      <w:pPr>
        <w:spacing w:line="360" w:lineRule="auto"/>
        <w:ind w:firstLine="480" w:firstLineChars="200"/>
        <w:rPr>
          <w:rFonts w:ascii="宋体" w:hAnsi="宋体"/>
          <w:sz w:val="24"/>
          <w:szCs w:val="24"/>
        </w:rPr>
      </w:pPr>
      <w:r>
        <w:rPr>
          <w:rFonts w:hint="eastAsia" w:ascii="宋体" w:hAnsi="宋体"/>
          <w:sz w:val="24"/>
          <w:szCs w:val="24"/>
        </w:rPr>
        <w:t>异常气候条件是指项目所在地30年一遇的罕见气候现象（包括温度、降水、降雪、风等）。异常恶劣的气候条件在项目专用合同条款中作具体规定。</w:t>
      </w:r>
    </w:p>
    <w:p w14:paraId="283C138A">
      <w:pPr>
        <w:spacing w:line="360" w:lineRule="auto"/>
        <w:ind w:firstLine="480" w:firstLineChars="200"/>
        <w:rPr>
          <w:rFonts w:ascii="宋体" w:hAnsi="宋体"/>
          <w:sz w:val="24"/>
          <w:szCs w:val="24"/>
        </w:rPr>
      </w:pPr>
      <w:bookmarkStart w:id="439" w:name="_Toc234382883"/>
      <w:r>
        <w:rPr>
          <w:rFonts w:hint="eastAsia" w:ascii="宋体" w:hAnsi="宋体"/>
          <w:sz w:val="24"/>
          <w:szCs w:val="24"/>
        </w:rPr>
        <w:t>11.5承包人的工期延误</w:t>
      </w:r>
      <w:bookmarkEnd w:id="439"/>
    </w:p>
    <w:p w14:paraId="7E838CED">
      <w:pPr>
        <w:spacing w:line="360" w:lineRule="auto"/>
        <w:ind w:firstLine="480" w:firstLineChars="200"/>
        <w:rPr>
          <w:rFonts w:ascii="宋体" w:hAnsi="宋体"/>
          <w:sz w:val="24"/>
          <w:szCs w:val="24"/>
        </w:rPr>
      </w:pPr>
      <w:r>
        <w:rPr>
          <w:rFonts w:hint="eastAsia" w:ascii="宋体" w:hAnsi="宋体"/>
          <w:sz w:val="24"/>
          <w:szCs w:val="24"/>
        </w:rPr>
        <w:t>本款细化为：</w:t>
      </w:r>
    </w:p>
    <w:p w14:paraId="052FBEEC">
      <w:pPr>
        <w:spacing w:line="360" w:lineRule="auto"/>
        <w:ind w:firstLine="480" w:firstLineChars="200"/>
        <w:rPr>
          <w:rFonts w:ascii="宋体" w:hAnsi="宋体"/>
          <w:sz w:val="24"/>
          <w:szCs w:val="24"/>
        </w:rPr>
      </w:pPr>
      <w:r>
        <w:rPr>
          <w:rFonts w:hint="eastAsia" w:ascii="宋体" w:hAnsi="宋体"/>
          <w:sz w:val="24"/>
          <w:szCs w:val="24"/>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732FBD0">
      <w:pPr>
        <w:spacing w:line="360" w:lineRule="auto"/>
        <w:ind w:firstLine="480" w:firstLineChars="200"/>
        <w:rPr>
          <w:rFonts w:ascii="宋体" w:hAnsi="宋体"/>
          <w:sz w:val="24"/>
          <w:szCs w:val="24"/>
        </w:rPr>
      </w:pPr>
      <w:r>
        <w:rPr>
          <w:rFonts w:hint="eastAsia" w:ascii="宋体" w:hAnsi="宋体"/>
          <w:sz w:val="24"/>
          <w:szCs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23899C22">
      <w:pPr>
        <w:spacing w:line="360" w:lineRule="auto"/>
        <w:ind w:firstLine="480" w:firstLineChars="200"/>
        <w:rPr>
          <w:rFonts w:ascii="宋体" w:hAnsi="宋体"/>
          <w:sz w:val="24"/>
          <w:szCs w:val="24"/>
        </w:rPr>
      </w:pPr>
      <w:r>
        <w:rPr>
          <w:rFonts w:hint="eastAsia" w:ascii="宋体" w:hAnsi="宋体"/>
          <w:sz w:val="24"/>
          <w:szCs w:val="24"/>
        </w:rPr>
        <w:t>（2）由于承包人原因造成工期延误，承包人应支付逾期交工违约金。逾期交工违约金的计算方法在项目专用合同条款数据表中约定，时间自预定的交工日期起到交工验收证书</w:t>
      </w:r>
      <w:r>
        <w:rPr>
          <w:rFonts w:hint="eastAsia" w:ascii="宋体" w:hAnsi="宋体"/>
          <w:vanish/>
          <w:sz w:val="24"/>
          <w:szCs w:val="24"/>
        </w:rPr>
        <w:t>证书人</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sz w:val="24"/>
          <w:szCs w:val="24"/>
        </w:rPr>
        <w:t>为：每逾期一天支付    元人民币（在项目专用合同条款中约定），时间自预定的竣工日期起到工程接收证书中写明的实际竣工日期止（扣除已批准的延长工期），按天计算。逾期竣工违约金累计金额最高不超过签约合同价的10%。发包人可以从应付或到期应付给承包人的任何款项中或采用其他方法扣除此违约金。</w:t>
      </w:r>
    </w:p>
    <w:p w14:paraId="0B5E14A3">
      <w:pPr>
        <w:spacing w:line="360" w:lineRule="auto"/>
        <w:ind w:firstLine="480" w:firstLineChars="200"/>
        <w:rPr>
          <w:rFonts w:ascii="宋体" w:hAnsi="宋体"/>
          <w:sz w:val="24"/>
          <w:szCs w:val="24"/>
        </w:rPr>
      </w:pPr>
      <w:r>
        <w:rPr>
          <w:rFonts w:hint="eastAsia" w:ascii="宋体" w:hAnsi="宋体"/>
          <w:sz w:val="24"/>
          <w:szCs w:val="24"/>
        </w:rPr>
        <w:t>承包人支付逾期竣工建约金，不免除承包人完成工程及修补缺陷的义务。</w:t>
      </w:r>
    </w:p>
    <w:p w14:paraId="6D7930C3">
      <w:pPr>
        <w:spacing w:line="360" w:lineRule="auto"/>
        <w:ind w:firstLine="480" w:firstLineChars="200"/>
        <w:rPr>
          <w:rFonts w:ascii="宋体" w:hAnsi="宋体"/>
          <w:sz w:val="24"/>
          <w:szCs w:val="24"/>
        </w:rPr>
      </w:pPr>
      <w:r>
        <w:rPr>
          <w:rFonts w:hint="eastAsia" w:ascii="宋体" w:hAnsi="宋体"/>
          <w:sz w:val="24"/>
          <w:szCs w:val="24"/>
        </w:rPr>
        <w:t>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63407E34">
      <w:pPr>
        <w:spacing w:line="360" w:lineRule="auto"/>
        <w:ind w:firstLine="480" w:firstLineChars="200"/>
        <w:rPr>
          <w:rFonts w:ascii="宋体" w:hAnsi="宋体"/>
          <w:sz w:val="24"/>
          <w:szCs w:val="24"/>
        </w:rPr>
      </w:pPr>
      <w:bookmarkStart w:id="440" w:name="_Toc234382884"/>
      <w:r>
        <w:rPr>
          <w:rFonts w:hint="eastAsia" w:ascii="宋体" w:hAnsi="宋体"/>
          <w:sz w:val="24"/>
          <w:szCs w:val="24"/>
        </w:rPr>
        <w:t>11．6工期提前</w:t>
      </w:r>
      <w:bookmarkEnd w:id="440"/>
    </w:p>
    <w:p w14:paraId="2C9C7E2C">
      <w:pPr>
        <w:spacing w:line="360" w:lineRule="auto"/>
        <w:ind w:firstLine="480" w:firstLineChars="200"/>
        <w:rPr>
          <w:rFonts w:ascii="宋体" w:hAnsi="宋体"/>
          <w:sz w:val="24"/>
          <w:szCs w:val="24"/>
        </w:rPr>
      </w:pPr>
      <w:r>
        <w:rPr>
          <w:rFonts w:hint="eastAsia" w:ascii="宋体" w:hAnsi="宋体"/>
          <w:sz w:val="24"/>
          <w:szCs w:val="24"/>
        </w:rPr>
        <w:t>本款补充：</w:t>
      </w:r>
    </w:p>
    <w:p w14:paraId="267670B4">
      <w:pPr>
        <w:spacing w:line="360" w:lineRule="auto"/>
        <w:ind w:firstLine="480" w:firstLineChars="200"/>
        <w:rPr>
          <w:rFonts w:ascii="宋体" w:hAnsi="宋体"/>
          <w:sz w:val="24"/>
          <w:szCs w:val="24"/>
        </w:rPr>
      </w:pPr>
      <w:r>
        <w:rPr>
          <w:rFonts w:hint="eastAsia" w:ascii="宋体" w:hAnsi="宋体"/>
          <w:sz w:val="24"/>
          <w:szCs w:val="24"/>
        </w:rPr>
        <w:t>发包人不得随意要求承包人提前交工，承包人也不得随意提出提前交工的建议。如遇特殊情况，确需将工期提前的，发包人和承包人必须采取有效措施，确保工程质量。</w:t>
      </w:r>
    </w:p>
    <w:p w14:paraId="1E192057">
      <w:pPr>
        <w:spacing w:line="360" w:lineRule="auto"/>
        <w:ind w:firstLine="480" w:firstLineChars="200"/>
        <w:rPr>
          <w:rFonts w:ascii="宋体" w:hAnsi="宋体"/>
          <w:sz w:val="24"/>
          <w:szCs w:val="24"/>
        </w:rPr>
      </w:pPr>
      <w:r>
        <w:rPr>
          <w:rFonts w:hint="eastAsia" w:ascii="宋体" w:hAnsi="宋体"/>
          <w:sz w:val="24"/>
          <w:szCs w:val="24"/>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C5FD72C">
      <w:pPr>
        <w:spacing w:line="360" w:lineRule="auto"/>
        <w:ind w:firstLine="480" w:firstLineChars="200"/>
        <w:rPr>
          <w:rFonts w:ascii="宋体" w:hAnsi="宋体"/>
          <w:sz w:val="24"/>
          <w:szCs w:val="24"/>
        </w:rPr>
      </w:pPr>
      <w:r>
        <w:rPr>
          <w:rFonts w:hint="eastAsia" w:ascii="宋体" w:hAnsi="宋体"/>
          <w:sz w:val="24"/>
          <w:szCs w:val="24"/>
        </w:rPr>
        <w:t>补充11.7款：</w:t>
      </w:r>
    </w:p>
    <w:p w14:paraId="343DF460">
      <w:pPr>
        <w:spacing w:line="360" w:lineRule="auto"/>
        <w:ind w:firstLine="480" w:firstLineChars="200"/>
        <w:rPr>
          <w:rFonts w:ascii="宋体" w:hAnsi="宋体"/>
          <w:sz w:val="24"/>
          <w:szCs w:val="24"/>
        </w:rPr>
      </w:pPr>
      <w:bookmarkStart w:id="441" w:name="_Toc234382885"/>
      <w:r>
        <w:rPr>
          <w:rFonts w:hint="eastAsia" w:ascii="宋体" w:hAnsi="宋体"/>
          <w:sz w:val="24"/>
          <w:szCs w:val="24"/>
        </w:rPr>
        <w:t>11．7工作时间的限制</w:t>
      </w:r>
      <w:bookmarkEnd w:id="441"/>
    </w:p>
    <w:p w14:paraId="57271145">
      <w:pPr>
        <w:spacing w:line="360" w:lineRule="auto"/>
        <w:ind w:firstLine="480" w:firstLineChars="200"/>
        <w:rPr>
          <w:rFonts w:ascii="宋体" w:hAnsi="宋体"/>
          <w:sz w:val="24"/>
          <w:szCs w:val="24"/>
        </w:rPr>
      </w:pPr>
      <w:r>
        <w:rPr>
          <w:rFonts w:hint="eastAsia" w:ascii="宋体" w:hAnsi="宋体"/>
          <w:sz w:val="24"/>
          <w:szCs w:val="24"/>
        </w:rPr>
        <w:t>承包人在夜间或国家规定的节假日进行永久工程的施工，应向监理人报告，以便监理人履行监理人履行监理职责和义务。</w:t>
      </w:r>
    </w:p>
    <w:p w14:paraId="4FE6E4BA">
      <w:pPr>
        <w:spacing w:line="360" w:lineRule="auto"/>
        <w:ind w:firstLine="480" w:firstLineChars="200"/>
        <w:rPr>
          <w:rFonts w:ascii="宋体" w:hAnsi="宋体"/>
          <w:sz w:val="24"/>
          <w:szCs w:val="24"/>
        </w:rPr>
      </w:pPr>
      <w:r>
        <w:rPr>
          <w:rFonts w:hint="eastAsia" w:ascii="宋体" w:hAnsi="宋体"/>
          <w:sz w:val="24"/>
          <w:szCs w:val="24"/>
        </w:rPr>
        <w:t>但是，为了抢救生命或保护财产，或为了工程的安全、质量而不可避免地短暂作业，则不必事先向监理人报告。但承包人应在事后立即向监理人报告。</w:t>
      </w:r>
    </w:p>
    <w:p w14:paraId="0953F33F">
      <w:pPr>
        <w:spacing w:line="360" w:lineRule="auto"/>
        <w:ind w:firstLine="480" w:firstLineChars="200"/>
        <w:rPr>
          <w:rFonts w:ascii="宋体" w:hAnsi="宋体"/>
          <w:sz w:val="24"/>
          <w:szCs w:val="24"/>
        </w:rPr>
      </w:pPr>
      <w:r>
        <w:rPr>
          <w:rFonts w:hint="eastAsia" w:ascii="宋体" w:hAnsi="宋体"/>
          <w:sz w:val="24"/>
          <w:szCs w:val="24"/>
        </w:rPr>
        <w:t>本款规定不适用于习惯上或施工本身要求实行连续生产的作业。</w:t>
      </w:r>
    </w:p>
    <w:p w14:paraId="0BB12F8A">
      <w:pPr>
        <w:spacing w:line="360" w:lineRule="auto"/>
        <w:ind w:firstLine="480" w:firstLineChars="200"/>
        <w:rPr>
          <w:rFonts w:ascii="宋体" w:hAnsi="宋体"/>
          <w:sz w:val="24"/>
          <w:szCs w:val="24"/>
        </w:rPr>
      </w:pPr>
      <w:bookmarkStart w:id="442" w:name="_Toc234382886"/>
      <w:r>
        <w:rPr>
          <w:rFonts w:hint="eastAsia" w:ascii="宋体" w:hAnsi="宋体"/>
          <w:sz w:val="24"/>
          <w:szCs w:val="24"/>
        </w:rPr>
        <w:t>12．暂停施工</w:t>
      </w:r>
      <w:bookmarkEnd w:id="442"/>
    </w:p>
    <w:p w14:paraId="37468F92">
      <w:pPr>
        <w:spacing w:line="360" w:lineRule="auto"/>
        <w:ind w:firstLine="480" w:firstLineChars="200"/>
        <w:rPr>
          <w:rFonts w:ascii="宋体" w:hAnsi="宋体"/>
          <w:sz w:val="24"/>
          <w:szCs w:val="24"/>
        </w:rPr>
      </w:pPr>
      <w:bookmarkStart w:id="443" w:name="_Toc234382887"/>
      <w:r>
        <w:rPr>
          <w:rFonts w:hint="eastAsia" w:ascii="宋体" w:hAnsi="宋体"/>
          <w:sz w:val="24"/>
          <w:szCs w:val="24"/>
        </w:rPr>
        <w:t>12．1承包人暂停施工的责任</w:t>
      </w:r>
      <w:bookmarkEnd w:id="443"/>
    </w:p>
    <w:p w14:paraId="31B7BD35">
      <w:pPr>
        <w:spacing w:line="360" w:lineRule="auto"/>
        <w:ind w:firstLine="480" w:firstLineChars="200"/>
        <w:rPr>
          <w:rFonts w:ascii="宋体" w:hAnsi="宋体"/>
          <w:sz w:val="24"/>
          <w:szCs w:val="24"/>
        </w:rPr>
      </w:pPr>
      <w:r>
        <w:rPr>
          <w:rFonts w:hint="eastAsia" w:ascii="宋体" w:hAnsi="宋体"/>
          <w:sz w:val="24"/>
          <w:szCs w:val="24"/>
        </w:rPr>
        <w:t>本款第（5）项细化为：</w:t>
      </w:r>
    </w:p>
    <w:p w14:paraId="06733FB7">
      <w:pPr>
        <w:spacing w:line="360" w:lineRule="auto"/>
        <w:ind w:firstLine="480" w:firstLineChars="200"/>
        <w:rPr>
          <w:rFonts w:ascii="宋体" w:hAnsi="宋体"/>
          <w:sz w:val="24"/>
          <w:szCs w:val="24"/>
        </w:rPr>
      </w:pPr>
      <w:r>
        <w:rPr>
          <w:rFonts w:hint="eastAsia" w:ascii="宋体" w:hAnsi="宋体"/>
          <w:sz w:val="24"/>
          <w:szCs w:val="24"/>
        </w:rPr>
        <w:t>（5）现场气候条件导致的必要停工（第11.4款规定的异常恶劣的气候条件除外）；</w:t>
      </w:r>
    </w:p>
    <w:p w14:paraId="2A29993C">
      <w:pPr>
        <w:spacing w:line="360" w:lineRule="auto"/>
        <w:ind w:firstLine="480" w:firstLineChars="200"/>
        <w:rPr>
          <w:rFonts w:ascii="宋体" w:hAnsi="宋体"/>
          <w:sz w:val="24"/>
          <w:szCs w:val="24"/>
        </w:rPr>
      </w:pPr>
      <w:r>
        <w:rPr>
          <w:rFonts w:hint="eastAsia" w:ascii="宋体" w:hAnsi="宋体"/>
          <w:sz w:val="24"/>
          <w:szCs w:val="24"/>
        </w:rPr>
        <w:t>（6）项目专用合同条款约定的由承包人承担的其他暂停施工。</w:t>
      </w:r>
    </w:p>
    <w:p w14:paraId="72627736">
      <w:pPr>
        <w:spacing w:line="360" w:lineRule="auto"/>
        <w:ind w:firstLine="480" w:firstLineChars="200"/>
        <w:rPr>
          <w:rFonts w:ascii="宋体" w:hAnsi="宋体"/>
          <w:sz w:val="24"/>
          <w:szCs w:val="24"/>
        </w:rPr>
      </w:pPr>
      <w:bookmarkStart w:id="444" w:name="_Toc234382888"/>
      <w:r>
        <w:rPr>
          <w:rFonts w:hint="eastAsia" w:ascii="宋体" w:hAnsi="宋体"/>
          <w:sz w:val="24"/>
          <w:szCs w:val="24"/>
        </w:rPr>
        <w:t>13．工程质量</w:t>
      </w:r>
      <w:bookmarkEnd w:id="444"/>
    </w:p>
    <w:p w14:paraId="01289FA7">
      <w:pPr>
        <w:spacing w:line="360" w:lineRule="auto"/>
        <w:ind w:firstLine="480" w:firstLineChars="200"/>
        <w:rPr>
          <w:rFonts w:ascii="宋体" w:hAnsi="宋体"/>
          <w:sz w:val="24"/>
          <w:szCs w:val="24"/>
        </w:rPr>
      </w:pPr>
      <w:bookmarkStart w:id="445" w:name="_Toc234382889"/>
      <w:r>
        <w:rPr>
          <w:rFonts w:hint="eastAsia" w:ascii="宋体" w:hAnsi="宋体"/>
          <w:sz w:val="24"/>
          <w:szCs w:val="24"/>
        </w:rPr>
        <w:t>13．1工程质量要求</w:t>
      </w:r>
      <w:bookmarkEnd w:id="445"/>
    </w:p>
    <w:p w14:paraId="7873FF0D">
      <w:pPr>
        <w:spacing w:line="360" w:lineRule="auto"/>
        <w:ind w:firstLine="480" w:firstLineChars="200"/>
        <w:rPr>
          <w:rFonts w:ascii="宋体" w:hAnsi="宋体"/>
          <w:sz w:val="24"/>
          <w:szCs w:val="24"/>
        </w:rPr>
      </w:pPr>
      <w:r>
        <w:rPr>
          <w:rFonts w:hint="eastAsia" w:ascii="宋体" w:hAnsi="宋体"/>
          <w:sz w:val="24"/>
          <w:szCs w:val="24"/>
        </w:rPr>
        <w:t>第13.1.1项约定为：</w:t>
      </w:r>
    </w:p>
    <w:p w14:paraId="122D4FFD">
      <w:pPr>
        <w:spacing w:line="360" w:lineRule="auto"/>
        <w:ind w:firstLine="480" w:firstLineChars="200"/>
        <w:rPr>
          <w:rFonts w:ascii="宋体" w:hAnsi="宋体"/>
          <w:sz w:val="24"/>
          <w:szCs w:val="24"/>
        </w:rPr>
      </w:pPr>
      <w:r>
        <w:rPr>
          <w:rFonts w:hint="eastAsia" w:ascii="宋体" w:hAnsi="宋体"/>
          <w:sz w:val="24"/>
          <w:szCs w:val="24"/>
        </w:rPr>
        <w:t>工程质量验收按技术规范及《公路工程质量检验评定标准》执行。</w:t>
      </w:r>
    </w:p>
    <w:p w14:paraId="0CBFB948">
      <w:pPr>
        <w:spacing w:line="360" w:lineRule="auto"/>
        <w:ind w:firstLine="480" w:firstLineChars="200"/>
        <w:rPr>
          <w:rFonts w:ascii="宋体" w:hAnsi="宋体"/>
          <w:sz w:val="24"/>
          <w:szCs w:val="24"/>
        </w:rPr>
      </w:pPr>
      <w:r>
        <w:rPr>
          <w:rFonts w:hint="eastAsia" w:ascii="宋体" w:hAnsi="宋体"/>
          <w:sz w:val="24"/>
          <w:szCs w:val="24"/>
        </w:rPr>
        <w:t>本款补充第13.1.4和13.1.5项：</w:t>
      </w:r>
    </w:p>
    <w:p w14:paraId="7DBDF29A">
      <w:pPr>
        <w:spacing w:line="360" w:lineRule="auto"/>
        <w:ind w:firstLine="480" w:firstLineChars="200"/>
        <w:rPr>
          <w:rFonts w:ascii="宋体" w:hAnsi="宋体"/>
          <w:sz w:val="24"/>
          <w:szCs w:val="24"/>
        </w:rPr>
      </w:pPr>
      <w:r>
        <w:rPr>
          <w:rFonts w:hint="eastAsia" w:ascii="宋体" w:hAnsi="宋体"/>
          <w:sz w:val="24"/>
          <w:szCs w:val="24"/>
        </w:rPr>
        <w:t>13.1.4发包人和成博爱人应严格遵守《关于严格落实公路工程质量责任制的若干意见》的相关规定，认真执行工程质量责任登记制度并按要求填写工程质量责任登记表。</w:t>
      </w:r>
    </w:p>
    <w:p w14:paraId="4973E039">
      <w:pPr>
        <w:spacing w:line="360" w:lineRule="auto"/>
        <w:ind w:firstLine="480" w:firstLineChars="200"/>
        <w:rPr>
          <w:rFonts w:ascii="宋体" w:hAnsi="宋体"/>
          <w:sz w:val="24"/>
          <w:szCs w:val="24"/>
        </w:rPr>
      </w:pPr>
      <w:r>
        <w:rPr>
          <w:rFonts w:hint="eastAsia" w:ascii="宋体" w:hAnsi="宋体"/>
          <w:sz w:val="24"/>
          <w:szCs w:val="24"/>
        </w:rPr>
        <w:t>13.1.5本项目严格执行质量责任追究制度。质量事故处理实行“四不放过”原则：事故原因调查不清不放过；事故责任者没有受到教育不放过；没有防范措施不放过；相关责任人没受到处理不放过。</w:t>
      </w:r>
    </w:p>
    <w:p w14:paraId="700A333E">
      <w:pPr>
        <w:spacing w:line="360" w:lineRule="auto"/>
        <w:ind w:firstLine="480" w:firstLineChars="200"/>
        <w:rPr>
          <w:rFonts w:ascii="宋体" w:hAnsi="宋体"/>
          <w:sz w:val="24"/>
          <w:szCs w:val="24"/>
        </w:rPr>
      </w:pPr>
      <w:bookmarkStart w:id="446" w:name="_Toc234382890"/>
      <w:r>
        <w:rPr>
          <w:rFonts w:hint="eastAsia" w:ascii="宋体" w:hAnsi="宋体"/>
          <w:sz w:val="24"/>
          <w:szCs w:val="24"/>
        </w:rPr>
        <w:t>13．2承包人的质量管理</w:t>
      </w:r>
      <w:bookmarkEnd w:id="446"/>
    </w:p>
    <w:p w14:paraId="31CB5A6C">
      <w:pPr>
        <w:spacing w:line="360" w:lineRule="auto"/>
        <w:ind w:firstLine="480" w:firstLineChars="200"/>
        <w:rPr>
          <w:rFonts w:ascii="宋体" w:hAnsi="宋体"/>
          <w:sz w:val="24"/>
          <w:szCs w:val="24"/>
        </w:rPr>
      </w:pPr>
      <w:r>
        <w:rPr>
          <w:rFonts w:hint="eastAsia" w:ascii="宋体" w:hAnsi="宋体"/>
          <w:sz w:val="24"/>
          <w:szCs w:val="24"/>
        </w:rPr>
        <w:t>第13.2.1项补充：</w:t>
      </w:r>
    </w:p>
    <w:p w14:paraId="6D66A853">
      <w:pPr>
        <w:spacing w:line="360" w:lineRule="auto"/>
        <w:ind w:firstLine="480" w:firstLineChars="200"/>
        <w:rPr>
          <w:rFonts w:ascii="宋体" w:hAnsi="宋体"/>
          <w:sz w:val="24"/>
          <w:szCs w:val="24"/>
        </w:rPr>
      </w:pPr>
      <w:r>
        <w:rPr>
          <w:rFonts w:hint="eastAsia" w:ascii="宋体" w:hAnsi="宋体"/>
          <w:sz w:val="24"/>
          <w:szCs w:val="24"/>
        </w:rPr>
        <w:t>承包人提交工程质量保证措施文件的期限：签订合同协议书后28天之内。</w:t>
      </w:r>
    </w:p>
    <w:p w14:paraId="7C52765E">
      <w:pPr>
        <w:spacing w:line="360" w:lineRule="auto"/>
        <w:ind w:firstLine="480" w:firstLineChars="200"/>
        <w:rPr>
          <w:rFonts w:ascii="宋体" w:hAnsi="宋体"/>
          <w:sz w:val="24"/>
          <w:szCs w:val="24"/>
        </w:rPr>
      </w:pPr>
      <w:r>
        <w:rPr>
          <w:rFonts w:hint="eastAsia" w:ascii="宋体" w:hAnsi="宋体"/>
          <w:sz w:val="24"/>
          <w:szCs w:val="24"/>
        </w:rPr>
        <w:t>本款补充第 13.2.3 项~第 13.2.10 项：</w:t>
      </w:r>
    </w:p>
    <w:p w14:paraId="5F62AE38">
      <w:pPr>
        <w:spacing w:line="360" w:lineRule="auto"/>
        <w:ind w:firstLine="480" w:firstLineChars="200"/>
        <w:rPr>
          <w:rFonts w:ascii="宋体" w:hAnsi="宋体"/>
          <w:sz w:val="24"/>
          <w:szCs w:val="24"/>
        </w:rPr>
      </w:pPr>
      <w:r>
        <w:rPr>
          <w:rFonts w:hint="eastAsia" w:ascii="宋体" w:hAnsi="宋体"/>
          <w:sz w:val="24"/>
          <w:szCs w:val="24"/>
        </w:rPr>
        <w:t>13.2.3 公路工程施行质量责任终身制。承包人应当书面明确相应的项目负责人和质量负责人。承包人的相关人员按照国家法律法规和有关规定在工程合理使用年限内承担相应的质量责任。</w:t>
      </w:r>
    </w:p>
    <w:p w14:paraId="032579B9">
      <w:pPr>
        <w:spacing w:line="360" w:lineRule="auto"/>
        <w:ind w:firstLine="480" w:firstLineChars="200"/>
        <w:rPr>
          <w:rFonts w:ascii="宋体" w:hAnsi="宋体"/>
          <w:sz w:val="24"/>
          <w:szCs w:val="24"/>
        </w:rPr>
      </w:pPr>
      <w:r>
        <w:rPr>
          <w:rFonts w:hint="eastAsia" w:ascii="宋体" w:hAnsi="宋体"/>
          <w:sz w:val="24"/>
          <w:szCs w:val="24"/>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31842683">
      <w:pPr>
        <w:spacing w:line="360" w:lineRule="auto"/>
        <w:ind w:firstLine="480" w:firstLineChars="200"/>
        <w:rPr>
          <w:rFonts w:ascii="宋体" w:hAnsi="宋体"/>
          <w:sz w:val="24"/>
          <w:szCs w:val="24"/>
        </w:rPr>
      </w:pPr>
      <w:r>
        <w:rPr>
          <w:rFonts w:hint="eastAsia" w:ascii="宋体" w:hAnsi="宋体"/>
          <w:sz w:val="24"/>
          <w:szCs w:val="24"/>
        </w:rPr>
        <w:t>13.2.5 承包人对工程施工质量负责，应当按合同约定设立现场质量管理机构、配备工程技术人员和质量管理人员，落实工程施工质量责任制。</w:t>
      </w:r>
    </w:p>
    <w:p w14:paraId="3F0946AC">
      <w:pPr>
        <w:spacing w:line="360" w:lineRule="auto"/>
        <w:ind w:firstLine="480" w:firstLineChars="200"/>
        <w:rPr>
          <w:rFonts w:ascii="宋体" w:hAnsi="宋体"/>
          <w:sz w:val="24"/>
          <w:szCs w:val="24"/>
        </w:rPr>
      </w:pPr>
      <w:r>
        <w:rPr>
          <w:rFonts w:hint="eastAsia" w:ascii="宋体" w:hAnsi="宋体"/>
          <w:sz w:val="24"/>
          <w:szCs w:val="24"/>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5F7420D8">
      <w:pPr>
        <w:spacing w:line="360" w:lineRule="auto"/>
        <w:ind w:firstLine="480" w:firstLineChars="200"/>
        <w:rPr>
          <w:rFonts w:ascii="宋体" w:hAnsi="宋体"/>
          <w:sz w:val="24"/>
          <w:szCs w:val="24"/>
        </w:rPr>
      </w:pPr>
      <w:r>
        <w:rPr>
          <w:rFonts w:hint="eastAsia" w:ascii="宋体" w:hAnsi="宋体"/>
          <w:sz w:val="24"/>
          <w:szCs w:val="24"/>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922825E">
      <w:pPr>
        <w:spacing w:line="360" w:lineRule="auto"/>
        <w:ind w:firstLine="480" w:firstLineChars="200"/>
        <w:rPr>
          <w:rFonts w:ascii="宋体" w:hAnsi="宋体"/>
          <w:sz w:val="24"/>
          <w:szCs w:val="24"/>
        </w:rPr>
      </w:pPr>
      <w:r>
        <w:rPr>
          <w:rFonts w:hint="eastAsia" w:ascii="宋体" w:hAnsi="宋体"/>
          <w:sz w:val="24"/>
          <w:szCs w:val="24"/>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6B8C1E02">
      <w:pPr>
        <w:spacing w:line="360" w:lineRule="auto"/>
        <w:ind w:firstLine="480" w:firstLineChars="200"/>
        <w:rPr>
          <w:rFonts w:ascii="宋体" w:hAnsi="宋体"/>
          <w:sz w:val="24"/>
          <w:szCs w:val="24"/>
        </w:rPr>
      </w:pPr>
      <w:r>
        <w:rPr>
          <w:rFonts w:hint="eastAsia" w:ascii="宋体" w:hAnsi="宋体"/>
          <w:sz w:val="24"/>
          <w:szCs w:val="24"/>
        </w:rPr>
        <w:t>13.2.9 承包人应当依法规范分包行为，并对承担的工程质量负总责，分包单位对分包合同范围内的工程质量负责。</w:t>
      </w:r>
    </w:p>
    <w:p w14:paraId="09508A31">
      <w:pPr>
        <w:spacing w:line="360" w:lineRule="auto"/>
        <w:ind w:firstLine="480" w:firstLineChars="200"/>
        <w:rPr>
          <w:rFonts w:ascii="宋体" w:hAnsi="宋体"/>
          <w:sz w:val="24"/>
          <w:szCs w:val="24"/>
        </w:rPr>
      </w:pPr>
      <w:r>
        <w:rPr>
          <w:rFonts w:hint="eastAsia" w:ascii="宋体" w:hAnsi="宋体"/>
          <w:sz w:val="24"/>
          <w:szCs w:val="24"/>
        </w:rPr>
        <w:t>13.2.10 承包人驻工程现场机构应在现场驻地和重要的分部、分项工程施工现场设置明显的工程质量责任登记表公示牌。</w:t>
      </w:r>
    </w:p>
    <w:p w14:paraId="04CE9457">
      <w:pPr>
        <w:spacing w:line="360" w:lineRule="auto"/>
        <w:ind w:firstLine="480" w:firstLineChars="200"/>
        <w:rPr>
          <w:rFonts w:ascii="宋体" w:hAnsi="宋体"/>
          <w:sz w:val="24"/>
          <w:szCs w:val="24"/>
        </w:rPr>
      </w:pPr>
      <w:bookmarkStart w:id="447" w:name="_Toc234382891"/>
      <w:r>
        <w:rPr>
          <w:rFonts w:hint="eastAsia" w:ascii="宋体" w:hAnsi="宋体"/>
          <w:sz w:val="24"/>
          <w:szCs w:val="24"/>
        </w:rPr>
        <w:t>13．4监理人的质量检查</w:t>
      </w:r>
      <w:bookmarkEnd w:id="447"/>
    </w:p>
    <w:p w14:paraId="631790A8">
      <w:pPr>
        <w:spacing w:line="360" w:lineRule="auto"/>
        <w:ind w:firstLine="480" w:firstLineChars="200"/>
        <w:rPr>
          <w:rFonts w:ascii="宋体" w:hAnsi="宋体"/>
          <w:sz w:val="24"/>
          <w:szCs w:val="24"/>
        </w:rPr>
      </w:pPr>
      <w:r>
        <w:rPr>
          <w:rFonts w:hint="eastAsia" w:ascii="宋体" w:hAnsi="宋体"/>
          <w:sz w:val="24"/>
          <w:szCs w:val="24"/>
        </w:rPr>
        <w:t>本款补充：</w:t>
      </w:r>
    </w:p>
    <w:p w14:paraId="63FC62D4">
      <w:pPr>
        <w:spacing w:line="360" w:lineRule="auto"/>
        <w:ind w:firstLine="480" w:firstLineChars="200"/>
        <w:rPr>
          <w:rFonts w:ascii="宋体" w:hAnsi="宋体"/>
          <w:sz w:val="24"/>
          <w:szCs w:val="24"/>
        </w:rPr>
      </w:pPr>
      <w:r>
        <w:rPr>
          <w:rFonts w:hint="eastAsia" w:ascii="宋体" w:hAnsi="宋体"/>
          <w:sz w:val="24"/>
          <w:szCs w:val="24"/>
        </w:rPr>
        <w:t>监理人及其委派的检验人员，应能进入工程现场，以及材料或工程设备的制造、加工或制配的车间和场所，包括不属于承包人的车间或场所进行检查，承包人应为此提供便利和协助。</w:t>
      </w:r>
    </w:p>
    <w:p w14:paraId="48653C78">
      <w:pPr>
        <w:spacing w:line="360" w:lineRule="auto"/>
        <w:ind w:firstLine="480" w:firstLineChars="200"/>
        <w:rPr>
          <w:rFonts w:ascii="宋体" w:hAnsi="宋体"/>
          <w:sz w:val="24"/>
          <w:szCs w:val="24"/>
        </w:rPr>
      </w:pPr>
      <w:r>
        <w:rPr>
          <w:rFonts w:hint="eastAsia" w:ascii="宋体" w:hAnsi="宋体"/>
          <w:sz w:val="24"/>
          <w:szCs w:val="24"/>
        </w:rPr>
        <w:t>监理人可以将材料或工程设备的检查委托给一家独立的有质量检验认证资格的检验单位。该独立检验单位的检验结果应视为监理人完成的。监理人应将这种委托的通知书不少于7天交给承包人。</w:t>
      </w:r>
    </w:p>
    <w:p w14:paraId="760F65A7">
      <w:pPr>
        <w:spacing w:line="360" w:lineRule="auto"/>
        <w:ind w:firstLine="480" w:firstLineChars="200"/>
        <w:rPr>
          <w:rFonts w:ascii="宋体" w:hAnsi="宋体"/>
          <w:sz w:val="24"/>
          <w:szCs w:val="24"/>
        </w:rPr>
      </w:pPr>
      <w:bookmarkStart w:id="448" w:name="_Toc234382893"/>
      <w:r>
        <w:rPr>
          <w:rFonts w:hint="eastAsia" w:ascii="宋体" w:hAnsi="宋体"/>
          <w:sz w:val="24"/>
          <w:szCs w:val="24"/>
        </w:rPr>
        <w:t>13.5 工程隐蔽部位覆盖前的检查</w:t>
      </w:r>
    </w:p>
    <w:p w14:paraId="72C96DA3">
      <w:pPr>
        <w:spacing w:line="360" w:lineRule="auto"/>
        <w:ind w:firstLine="480" w:firstLineChars="200"/>
        <w:rPr>
          <w:rFonts w:ascii="宋体" w:hAnsi="宋体"/>
          <w:sz w:val="24"/>
          <w:szCs w:val="24"/>
        </w:rPr>
      </w:pPr>
      <w:r>
        <w:rPr>
          <w:rFonts w:hint="eastAsia" w:ascii="宋体" w:hAnsi="宋体"/>
          <w:sz w:val="24"/>
          <w:szCs w:val="24"/>
        </w:rPr>
        <w:t>第 13.5.1 项补充：</w:t>
      </w:r>
    </w:p>
    <w:p w14:paraId="1F799B1C">
      <w:pPr>
        <w:spacing w:line="360" w:lineRule="auto"/>
        <w:ind w:firstLine="480" w:firstLineChars="200"/>
        <w:rPr>
          <w:rFonts w:ascii="宋体" w:hAnsi="宋体"/>
          <w:sz w:val="24"/>
          <w:szCs w:val="24"/>
        </w:rPr>
      </w:pPr>
      <w:r>
        <w:rPr>
          <w:rFonts w:hint="eastAsia" w:ascii="宋体" w:hAnsi="宋体"/>
          <w:sz w:val="24"/>
          <w:szCs w:val="24"/>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00A8790E">
      <w:pPr>
        <w:spacing w:line="360" w:lineRule="auto"/>
        <w:ind w:firstLine="480" w:firstLineChars="200"/>
        <w:rPr>
          <w:rFonts w:ascii="宋体" w:hAnsi="宋体"/>
          <w:sz w:val="24"/>
          <w:szCs w:val="24"/>
        </w:rPr>
      </w:pPr>
      <w:r>
        <w:rPr>
          <w:rFonts w:hint="eastAsia" w:ascii="宋体" w:hAnsi="宋体"/>
          <w:sz w:val="24"/>
          <w:szCs w:val="24"/>
        </w:rPr>
        <w:t>13．6清除不合格工程</w:t>
      </w:r>
      <w:bookmarkEnd w:id="448"/>
    </w:p>
    <w:p w14:paraId="4CC66EB2">
      <w:pPr>
        <w:spacing w:line="360" w:lineRule="auto"/>
        <w:ind w:firstLine="480" w:firstLineChars="200"/>
        <w:rPr>
          <w:rFonts w:ascii="宋体" w:hAnsi="宋体"/>
          <w:sz w:val="24"/>
          <w:szCs w:val="24"/>
        </w:rPr>
      </w:pPr>
      <w:r>
        <w:rPr>
          <w:rFonts w:hint="eastAsia" w:ascii="宋体" w:hAnsi="宋体"/>
          <w:sz w:val="24"/>
          <w:szCs w:val="24"/>
        </w:rPr>
        <w:t>第13.6.1项细化为：</w:t>
      </w:r>
    </w:p>
    <w:p w14:paraId="1E7E8BE4">
      <w:pPr>
        <w:spacing w:line="360" w:lineRule="auto"/>
        <w:ind w:firstLine="480" w:firstLineChars="200"/>
        <w:rPr>
          <w:rFonts w:ascii="宋体" w:hAnsi="宋体"/>
          <w:sz w:val="24"/>
          <w:szCs w:val="24"/>
        </w:rPr>
      </w:pPr>
      <w:r>
        <w:rPr>
          <w:rFonts w:hint="eastAsia" w:ascii="宋体" w:hAnsi="宋体"/>
          <w:sz w:val="24"/>
          <w:szCs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6C811579">
      <w:pPr>
        <w:spacing w:line="360" w:lineRule="auto"/>
        <w:ind w:firstLine="480" w:firstLineChars="200"/>
        <w:rPr>
          <w:rFonts w:ascii="宋体" w:hAnsi="宋体"/>
          <w:sz w:val="24"/>
          <w:szCs w:val="24"/>
        </w:rPr>
      </w:pPr>
      <w:r>
        <w:rPr>
          <w:rFonts w:hint="eastAsia" w:ascii="宋体" w:hAnsi="宋体"/>
          <w:sz w:val="24"/>
          <w:szCs w:val="24"/>
        </w:rPr>
        <w:t>（2）如果承包人未在规定时间内执行监理人的指示，发包人有权雇用他人执行，由此增加的费用和（或）工期延误由承包人承担。</w:t>
      </w:r>
    </w:p>
    <w:p w14:paraId="74AF81B6">
      <w:pPr>
        <w:spacing w:line="360" w:lineRule="auto"/>
        <w:ind w:firstLine="480" w:firstLineChars="200"/>
        <w:rPr>
          <w:rFonts w:ascii="宋体" w:hAnsi="宋体"/>
          <w:sz w:val="24"/>
          <w:szCs w:val="24"/>
        </w:rPr>
      </w:pPr>
      <w:bookmarkStart w:id="449" w:name="_Toc234382894"/>
      <w:r>
        <w:rPr>
          <w:rFonts w:hint="eastAsia" w:ascii="宋体" w:hAnsi="宋体"/>
          <w:sz w:val="24"/>
          <w:szCs w:val="24"/>
        </w:rPr>
        <w:t>14．试验和检验</w:t>
      </w:r>
      <w:bookmarkEnd w:id="449"/>
    </w:p>
    <w:p w14:paraId="57ECDC51">
      <w:pPr>
        <w:spacing w:line="360" w:lineRule="auto"/>
        <w:ind w:firstLine="480" w:firstLineChars="200"/>
        <w:rPr>
          <w:rFonts w:ascii="宋体" w:hAnsi="宋体"/>
          <w:sz w:val="24"/>
          <w:szCs w:val="24"/>
        </w:rPr>
      </w:pPr>
      <w:r>
        <w:rPr>
          <w:rFonts w:hint="eastAsia" w:ascii="宋体" w:hAnsi="宋体"/>
          <w:sz w:val="24"/>
          <w:szCs w:val="24"/>
        </w:rPr>
        <w:t>补充第14.4款：</w:t>
      </w:r>
    </w:p>
    <w:p w14:paraId="6960B758">
      <w:pPr>
        <w:spacing w:line="360" w:lineRule="auto"/>
        <w:ind w:firstLine="480" w:firstLineChars="200"/>
        <w:rPr>
          <w:rFonts w:ascii="宋体" w:hAnsi="宋体"/>
          <w:sz w:val="24"/>
          <w:szCs w:val="24"/>
        </w:rPr>
      </w:pPr>
      <w:bookmarkStart w:id="450" w:name="_Toc234382895"/>
      <w:r>
        <w:rPr>
          <w:rFonts w:hint="eastAsia" w:ascii="宋体" w:hAnsi="宋体"/>
          <w:sz w:val="24"/>
          <w:szCs w:val="24"/>
        </w:rPr>
        <w:t>14．4试验和检验费用</w:t>
      </w:r>
      <w:bookmarkEnd w:id="450"/>
    </w:p>
    <w:p w14:paraId="0E20F3C8">
      <w:pPr>
        <w:spacing w:line="360" w:lineRule="auto"/>
        <w:ind w:firstLine="480" w:firstLineChars="200"/>
        <w:rPr>
          <w:rFonts w:ascii="宋体" w:hAnsi="宋体"/>
          <w:sz w:val="24"/>
          <w:szCs w:val="24"/>
        </w:rPr>
      </w:pPr>
      <w:r>
        <w:rPr>
          <w:rFonts w:hint="eastAsia" w:ascii="宋体" w:hAnsi="宋体"/>
          <w:sz w:val="24"/>
          <w:szCs w:val="24"/>
        </w:rPr>
        <w:t>（1）承包人应负责提供合同和技术规范规定的试验和检验所需的全部样品，并承担其费用。</w:t>
      </w:r>
    </w:p>
    <w:p w14:paraId="4DA316E2">
      <w:pPr>
        <w:spacing w:line="360" w:lineRule="auto"/>
        <w:ind w:firstLine="480" w:firstLineChars="200"/>
        <w:rPr>
          <w:rFonts w:ascii="宋体" w:hAnsi="宋体"/>
          <w:sz w:val="24"/>
          <w:szCs w:val="24"/>
        </w:rPr>
      </w:pPr>
      <w:r>
        <w:rPr>
          <w:rFonts w:hint="eastAsia" w:ascii="宋体" w:hAnsi="宋体"/>
          <w:sz w:val="24"/>
          <w:szCs w:val="24"/>
        </w:rPr>
        <w:t>（2）在合同中明确规定的试验和检验，包括无须在工程量清单中单独列项和已在工程量清单中单独列项的试验和检验，其试验和检验的费用由承包人承担。</w:t>
      </w:r>
    </w:p>
    <w:p w14:paraId="6E92B96F">
      <w:pPr>
        <w:spacing w:line="360" w:lineRule="auto"/>
        <w:ind w:firstLine="480" w:firstLineChars="200"/>
        <w:rPr>
          <w:rFonts w:ascii="宋体" w:hAnsi="宋体"/>
          <w:sz w:val="24"/>
          <w:szCs w:val="24"/>
        </w:rPr>
      </w:pPr>
      <w:r>
        <w:rPr>
          <w:rFonts w:hint="eastAsia" w:ascii="宋体" w:hAnsi="宋体"/>
          <w:sz w:val="24"/>
          <w:szCs w:val="24"/>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4A21B189">
      <w:pPr>
        <w:spacing w:line="360" w:lineRule="auto"/>
        <w:ind w:firstLine="480" w:firstLineChars="200"/>
        <w:rPr>
          <w:rFonts w:ascii="宋体" w:hAnsi="宋体"/>
          <w:sz w:val="24"/>
          <w:szCs w:val="24"/>
        </w:rPr>
      </w:pPr>
      <w:bookmarkStart w:id="451" w:name="_Toc234382896"/>
      <w:r>
        <w:rPr>
          <w:rFonts w:hint="eastAsia" w:ascii="宋体" w:hAnsi="宋体"/>
          <w:sz w:val="24"/>
          <w:szCs w:val="24"/>
        </w:rPr>
        <w:t>15．变更</w:t>
      </w:r>
      <w:bookmarkEnd w:id="451"/>
    </w:p>
    <w:p w14:paraId="2AC53E7B">
      <w:pPr>
        <w:spacing w:line="360" w:lineRule="auto"/>
        <w:ind w:firstLine="480" w:firstLineChars="200"/>
        <w:rPr>
          <w:rFonts w:ascii="宋体" w:hAnsi="宋体"/>
          <w:sz w:val="24"/>
          <w:szCs w:val="24"/>
        </w:rPr>
      </w:pPr>
      <w:bookmarkStart w:id="452" w:name="_Toc234382897"/>
      <w:r>
        <w:rPr>
          <w:rFonts w:hint="eastAsia" w:ascii="宋体" w:hAnsi="宋体"/>
          <w:sz w:val="24"/>
          <w:szCs w:val="24"/>
        </w:rPr>
        <w:t>15．1变更的范围和内容</w:t>
      </w:r>
      <w:bookmarkEnd w:id="452"/>
    </w:p>
    <w:p w14:paraId="147693C2">
      <w:pPr>
        <w:spacing w:line="360" w:lineRule="auto"/>
        <w:ind w:firstLine="480" w:firstLineChars="200"/>
        <w:rPr>
          <w:rFonts w:ascii="宋体" w:hAnsi="宋体"/>
          <w:sz w:val="24"/>
          <w:szCs w:val="24"/>
        </w:rPr>
      </w:pPr>
      <w:r>
        <w:rPr>
          <w:rFonts w:hint="eastAsia" w:ascii="宋体" w:hAnsi="宋体"/>
          <w:sz w:val="24"/>
          <w:szCs w:val="24"/>
        </w:rPr>
        <w:t>本款第（1）项细化为：</w:t>
      </w:r>
    </w:p>
    <w:p w14:paraId="3AD2B7A8">
      <w:pPr>
        <w:spacing w:line="360" w:lineRule="auto"/>
        <w:ind w:firstLine="480" w:firstLineChars="200"/>
        <w:rPr>
          <w:rFonts w:ascii="宋体" w:hAnsi="宋体"/>
          <w:sz w:val="24"/>
          <w:szCs w:val="24"/>
        </w:rPr>
      </w:pPr>
      <w:r>
        <w:rPr>
          <w:rFonts w:hint="eastAsia" w:ascii="宋体" w:hAnsi="宋体"/>
          <w:sz w:val="24"/>
          <w:szCs w:val="24"/>
        </w:rPr>
        <w:t>（1）取消合同中任何一项工作，但被取消的工作不能转由发包人或其他人实施，由于承包人违约造成的情况除外；</w:t>
      </w:r>
    </w:p>
    <w:p w14:paraId="2205400C">
      <w:pPr>
        <w:spacing w:line="360" w:lineRule="auto"/>
        <w:ind w:firstLine="480" w:firstLineChars="200"/>
        <w:rPr>
          <w:rFonts w:ascii="宋体" w:hAnsi="宋体"/>
          <w:sz w:val="24"/>
          <w:szCs w:val="24"/>
        </w:rPr>
      </w:pPr>
      <w:bookmarkStart w:id="453" w:name="_Toc234382898"/>
      <w:r>
        <w:rPr>
          <w:rFonts w:hint="eastAsia" w:ascii="宋体" w:hAnsi="宋体"/>
          <w:sz w:val="24"/>
          <w:szCs w:val="24"/>
        </w:rPr>
        <w:t>15．3变更程序</w:t>
      </w:r>
      <w:bookmarkEnd w:id="453"/>
    </w:p>
    <w:p w14:paraId="7C18F55A">
      <w:pPr>
        <w:spacing w:line="360" w:lineRule="auto"/>
        <w:ind w:firstLine="480" w:firstLineChars="200"/>
        <w:rPr>
          <w:rFonts w:ascii="宋体" w:hAnsi="宋体"/>
          <w:sz w:val="24"/>
          <w:szCs w:val="24"/>
        </w:rPr>
      </w:pPr>
      <w:r>
        <w:rPr>
          <w:rFonts w:hint="eastAsia" w:ascii="宋体" w:hAnsi="宋体"/>
          <w:sz w:val="24"/>
          <w:szCs w:val="24"/>
        </w:rPr>
        <w:t>本款补充第15.3.4项：</w:t>
      </w:r>
    </w:p>
    <w:p w14:paraId="21752CDB">
      <w:pPr>
        <w:spacing w:line="360" w:lineRule="auto"/>
        <w:ind w:firstLine="480" w:firstLineChars="200"/>
        <w:rPr>
          <w:rFonts w:ascii="宋体" w:hAnsi="宋体"/>
          <w:sz w:val="24"/>
          <w:szCs w:val="24"/>
        </w:rPr>
      </w:pPr>
      <w:r>
        <w:rPr>
          <w:rFonts w:hint="eastAsia" w:ascii="宋体" w:hAnsi="宋体"/>
          <w:sz w:val="24"/>
          <w:szCs w:val="24"/>
        </w:rPr>
        <w:t>15.3.4设计变更程序应执行《公路工程设计变更管理办法》的相关规定。</w:t>
      </w:r>
    </w:p>
    <w:p w14:paraId="689D007A">
      <w:pPr>
        <w:spacing w:line="360" w:lineRule="auto"/>
        <w:ind w:firstLine="480" w:firstLineChars="200"/>
        <w:rPr>
          <w:rFonts w:ascii="宋体" w:hAnsi="宋体"/>
          <w:sz w:val="24"/>
          <w:szCs w:val="24"/>
        </w:rPr>
      </w:pPr>
      <w:bookmarkStart w:id="454" w:name="_Toc234382899"/>
      <w:r>
        <w:rPr>
          <w:rFonts w:hint="eastAsia" w:ascii="宋体" w:hAnsi="宋体"/>
          <w:sz w:val="24"/>
          <w:szCs w:val="24"/>
        </w:rPr>
        <w:t>15．4变更的估价原则</w:t>
      </w:r>
      <w:bookmarkEnd w:id="454"/>
    </w:p>
    <w:p w14:paraId="260BA278">
      <w:pPr>
        <w:spacing w:line="360" w:lineRule="auto"/>
        <w:ind w:firstLine="480" w:firstLineChars="200"/>
        <w:rPr>
          <w:rFonts w:ascii="宋体" w:hAnsi="宋体"/>
          <w:sz w:val="24"/>
          <w:szCs w:val="24"/>
        </w:rPr>
      </w:pPr>
      <w:r>
        <w:rPr>
          <w:rFonts w:hint="eastAsia" w:ascii="宋体" w:hAnsi="宋体"/>
          <w:sz w:val="24"/>
          <w:szCs w:val="24"/>
        </w:rPr>
        <w:t>本款细化为</w:t>
      </w:r>
    </w:p>
    <w:p w14:paraId="774B6F98">
      <w:pPr>
        <w:spacing w:line="360" w:lineRule="auto"/>
        <w:ind w:firstLine="480" w:firstLineChars="200"/>
        <w:rPr>
          <w:rFonts w:ascii="宋体" w:hAnsi="宋体"/>
          <w:sz w:val="24"/>
          <w:szCs w:val="24"/>
        </w:rPr>
      </w:pPr>
      <w:r>
        <w:rPr>
          <w:rFonts w:hint="eastAsia" w:ascii="宋体" w:hAnsi="宋体"/>
          <w:sz w:val="24"/>
          <w:szCs w:val="24"/>
        </w:rPr>
        <w:t>除项目专用合同条款另有约定外，因变更引起的价格调整按照本款约定处理。</w:t>
      </w:r>
    </w:p>
    <w:p w14:paraId="5B1AA014">
      <w:pPr>
        <w:spacing w:line="360" w:lineRule="auto"/>
        <w:ind w:firstLine="480" w:firstLineChars="200"/>
        <w:rPr>
          <w:rFonts w:ascii="宋体" w:hAnsi="宋体"/>
          <w:sz w:val="24"/>
          <w:szCs w:val="24"/>
        </w:rPr>
      </w:pPr>
      <w:r>
        <w:rPr>
          <w:rFonts w:hint="eastAsia" w:ascii="宋体" w:hAnsi="宋体"/>
          <w:sz w:val="24"/>
          <w:szCs w:val="24"/>
        </w:rPr>
        <w:t>15.4.1如果取消某项工作，则该项工作的总额价不予以支付；</w:t>
      </w:r>
    </w:p>
    <w:p w14:paraId="37445B01">
      <w:pPr>
        <w:spacing w:line="360" w:lineRule="auto"/>
        <w:ind w:firstLine="480" w:firstLineChars="200"/>
        <w:rPr>
          <w:rFonts w:ascii="宋体" w:hAnsi="宋体"/>
          <w:sz w:val="24"/>
          <w:szCs w:val="24"/>
        </w:rPr>
      </w:pPr>
      <w:r>
        <w:rPr>
          <w:rFonts w:hint="eastAsia" w:ascii="宋体" w:hAnsi="宋体"/>
          <w:sz w:val="24"/>
          <w:szCs w:val="24"/>
        </w:rPr>
        <w:t>15.4.2已标价工程量清单中有适用于变更工作的子目的，采用该子目的单价。</w:t>
      </w:r>
    </w:p>
    <w:p w14:paraId="4D12CD06">
      <w:pPr>
        <w:spacing w:line="360" w:lineRule="auto"/>
        <w:ind w:firstLine="480" w:firstLineChars="200"/>
        <w:rPr>
          <w:rFonts w:ascii="宋体" w:hAnsi="宋体"/>
          <w:sz w:val="24"/>
          <w:szCs w:val="24"/>
        </w:rPr>
      </w:pPr>
      <w:r>
        <w:rPr>
          <w:rFonts w:hint="eastAsia" w:ascii="宋体" w:hAnsi="宋体"/>
          <w:sz w:val="24"/>
          <w:szCs w:val="24"/>
        </w:rPr>
        <w:t>15.4.3已标价工程量清单中无适用于变更工作的子目，但有类似子目的，可在合理范围内参照类似子目的单价，由监理人按第3.5款商定或确定变更工作的单价。</w:t>
      </w:r>
    </w:p>
    <w:p w14:paraId="6D750D8E">
      <w:pPr>
        <w:spacing w:line="360" w:lineRule="auto"/>
        <w:ind w:firstLine="480" w:firstLineChars="200"/>
        <w:rPr>
          <w:rFonts w:ascii="宋体" w:hAnsi="宋体"/>
          <w:sz w:val="24"/>
          <w:szCs w:val="24"/>
        </w:rPr>
      </w:pPr>
      <w:r>
        <w:rPr>
          <w:rFonts w:hint="eastAsia" w:ascii="宋体" w:hAnsi="宋体"/>
          <w:sz w:val="24"/>
          <w:szCs w:val="24"/>
        </w:rPr>
        <w:t>15.4.4已标价工程量清单中无适用或类似子目的单价，可在综合考虑承包人在投标时所提供的单价分析表的基础上，由监理人按第3.5款商定或确定变更工作的单价。</w:t>
      </w:r>
    </w:p>
    <w:p w14:paraId="7E2455BF">
      <w:pPr>
        <w:spacing w:line="360" w:lineRule="auto"/>
        <w:ind w:firstLine="480" w:firstLineChars="200"/>
        <w:rPr>
          <w:rFonts w:ascii="宋体" w:hAnsi="宋体"/>
          <w:sz w:val="24"/>
          <w:szCs w:val="24"/>
        </w:rPr>
      </w:pPr>
      <w:r>
        <w:rPr>
          <w:rFonts w:hint="eastAsia" w:ascii="宋体" w:hAnsi="宋体"/>
          <w:sz w:val="24"/>
          <w:szCs w:val="24"/>
        </w:rPr>
        <w:t>15.4.5如果本工程的变更指示是因承包人过错、承包人建反合同或承包人责任造成的，则这种违约引起的任何额外费用应由承包人承担。</w:t>
      </w:r>
    </w:p>
    <w:p w14:paraId="67F99646">
      <w:pPr>
        <w:spacing w:line="360" w:lineRule="auto"/>
        <w:ind w:firstLine="480" w:firstLineChars="200"/>
        <w:rPr>
          <w:rFonts w:ascii="宋体" w:hAnsi="宋体"/>
          <w:sz w:val="24"/>
          <w:szCs w:val="24"/>
        </w:rPr>
      </w:pPr>
      <w:bookmarkStart w:id="455" w:name="_Toc234382900"/>
      <w:r>
        <w:rPr>
          <w:rFonts w:hint="eastAsia" w:ascii="宋体" w:hAnsi="宋体"/>
          <w:sz w:val="24"/>
          <w:szCs w:val="24"/>
        </w:rPr>
        <w:t>15.5承包人的合理化建议</w:t>
      </w:r>
      <w:bookmarkEnd w:id="455"/>
    </w:p>
    <w:p w14:paraId="55CEE7DE">
      <w:pPr>
        <w:spacing w:line="360" w:lineRule="auto"/>
        <w:ind w:firstLine="480" w:firstLineChars="200"/>
        <w:rPr>
          <w:rFonts w:ascii="宋体" w:hAnsi="宋体"/>
          <w:sz w:val="24"/>
          <w:szCs w:val="24"/>
        </w:rPr>
      </w:pPr>
      <w:r>
        <w:rPr>
          <w:rFonts w:hint="eastAsia" w:ascii="宋体" w:hAnsi="宋体"/>
          <w:sz w:val="24"/>
          <w:szCs w:val="24"/>
        </w:rPr>
        <w:t>第15.5.2项约定为：</w:t>
      </w:r>
    </w:p>
    <w:p w14:paraId="65336070">
      <w:pPr>
        <w:spacing w:line="360" w:lineRule="auto"/>
        <w:ind w:firstLine="480" w:firstLineChars="200"/>
        <w:rPr>
          <w:rFonts w:ascii="宋体" w:hAnsi="宋体"/>
          <w:sz w:val="24"/>
          <w:szCs w:val="24"/>
        </w:rPr>
      </w:pPr>
      <w:r>
        <w:rPr>
          <w:rFonts w:hint="eastAsia" w:ascii="宋体" w:hAnsi="宋体"/>
          <w:sz w:val="24"/>
          <w:szCs w:val="24"/>
        </w:rPr>
        <w:t>承包人提出的合理化建议缩短了工期，发包人按第11.6款的规定给予奖励。</w:t>
      </w:r>
    </w:p>
    <w:p w14:paraId="57D91C07">
      <w:pPr>
        <w:spacing w:line="360" w:lineRule="auto"/>
        <w:ind w:firstLine="480" w:firstLineChars="200"/>
        <w:rPr>
          <w:rFonts w:ascii="宋体" w:hAnsi="宋体"/>
          <w:sz w:val="24"/>
          <w:szCs w:val="24"/>
        </w:rPr>
      </w:pPr>
      <w:r>
        <w:rPr>
          <w:rFonts w:hint="eastAsia" w:ascii="宋体" w:hAnsi="宋体"/>
          <w:sz w:val="24"/>
          <w:szCs w:val="24"/>
        </w:rPr>
        <w:t>承包人提出的合理化建议降低了合同价格或者提高了工程经济效益的，发包人按项目专用合同条款数据表中规定的金额给予奖励。</w:t>
      </w:r>
    </w:p>
    <w:p w14:paraId="25D58685">
      <w:pPr>
        <w:spacing w:line="360" w:lineRule="auto"/>
        <w:ind w:firstLine="480" w:firstLineChars="200"/>
        <w:rPr>
          <w:rFonts w:ascii="宋体" w:hAnsi="宋体"/>
          <w:sz w:val="24"/>
          <w:szCs w:val="24"/>
        </w:rPr>
      </w:pPr>
      <w:bookmarkStart w:id="456" w:name="_Toc234382901"/>
      <w:r>
        <w:rPr>
          <w:rFonts w:hint="eastAsia" w:ascii="宋体" w:hAnsi="宋体"/>
          <w:sz w:val="24"/>
          <w:szCs w:val="24"/>
        </w:rPr>
        <w:t>15.6暂列金额</w:t>
      </w:r>
      <w:bookmarkEnd w:id="456"/>
    </w:p>
    <w:p w14:paraId="70020D82">
      <w:pPr>
        <w:spacing w:line="360" w:lineRule="auto"/>
        <w:ind w:firstLine="480" w:firstLineChars="200"/>
        <w:rPr>
          <w:rFonts w:ascii="宋体" w:hAnsi="宋体"/>
          <w:sz w:val="24"/>
          <w:szCs w:val="24"/>
        </w:rPr>
      </w:pPr>
      <w:r>
        <w:rPr>
          <w:rFonts w:hint="eastAsia" w:ascii="宋体" w:hAnsi="宋体"/>
          <w:sz w:val="24"/>
          <w:szCs w:val="24"/>
        </w:rPr>
        <w:t>本款细化为：</w:t>
      </w:r>
    </w:p>
    <w:p w14:paraId="6F790EB8">
      <w:pPr>
        <w:spacing w:line="360" w:lineRule="auto"/>
        <w:ind w:firstLine="480" w:firstLineChars="200"/>
        <w:rPr>
          <w:rFonts w:ascii="宋体" w:hAnsi="宋体"/>
          <w:sz w:val="24"/>
          <w:szCs w:val="24"/>
        </w:rPr>
      </w:pPr>
      <w:r>
        <w:rPr>
          <w:rFonts w:hint="eastAsia" w:ascii="宋体" w:hAnsi="宋体"/>
          <w:sz w:val="24"/>
          <w:szCs w:val="24"/>
        </w:rPr>
        <w:t>15.6.l暂列金额应由监理人报发包人批准后指令全部或部分地使用，或者根本不予动用。</w:t>
      </w:r>
    </w:p>
    <w:p w14:paraId="1FAF0AB2">
      <w:pPr>
        <w:spacing w:line="360" w:lineRule="auto"/>
        <w:ind w:firstLine="480" w:firstLineChars="200"/>
        <w:rPr>
          <w:rFonts w:ascii="宋体" w:hAnsi="宋体"/>
          <w:sz w:val="24"/>
          <w:szCs w:val="24"/>
        </w:rPr>
      </w:pPr>
      <w:r>
        <w:rPr>
          <w:rFonts w:hint="eastAsia" w:ascii="宋体" w:hAnsi="宋体"/>
          <w:sz w:val="24"/>
          <w:szCs w:val="24"/>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C0AA2A2">
      <w:pPr>
        <w:spacing w:line="360" w:lineRule="auto"/>
        <w:ind w:firstLine="480" w:firstLineChars="200"/>
        <w:rPr>
          <w:rFonts w:ascii="宋体" w:hAnsi="宋体"/>
          <w:sz w:val="24"/>
          <w:szCs w:val="24"/>
        </w:rPr>
      </w:pPr>
      <w:r>
        <w:rPr>
          <w:rFonts w:hint="eastAsia" w:ascii="宋体" w:hAnsi="宋体"/>
          <w:sz w:val="24"/>
          <w:szCs w:val="24"/>
        </w:rPr>
        <w:t>15.6.3当监理人提出要求时，承包人应提供有关暂列金额支出的所有报价单、发票、凭证和账单或收据，除非该工作是根据已标价工程量清单列明的单价或总额价进行的估价。</w:t>
      </w:r>
    </w:p>
    <w:p w14:paraId="23B8AB69">
      <w:pPr>
        <w:spacing w:line="360" w:lineRule="auto"/>
        <w:ind w:firstLine="480" w:firstLineChars="200"/>
        <w:rPr>
          <w:rFonts w:ascii="宋体" w:hAnsi="宋体"/>
          <w:sz w:val="24"/>
          <w:szCs w:val="24"/>
        </w:rPr>
      </w:pPr>
      <w:bookmarkStart w:id="457" w:name="_Toc234382902"/>
      <w:r>
        <w:rPr>
          <w:rFonts w:hint="eastAsia" w:ascii="宋体" w:hAnsi="宋体"/>
          <w:sz w:val="24"/>
          <w:szCs w:val="24"/>
        </w:rPr>
        <w:t>16.价格调整</w:t>
      </w:r>
      <w:bookmarkEnd w:id="457"/>
    </w:p>
    <w:p w14:paraId="216D148B">
      <w:pPr>
        <w:spacing w:line="360" w:lineRule="auto"/>
        <w:ind w:firstLine="480" w:firstLineChars="200"/>
        <w:rPr>
          <w:rFonts w:ascii="宋体" w:hAnsi="宋体"/>
          <w:sz w:val="24"/>
          <w:szCs w:val="24"/>
        </w:rPr>
      </w:pPr>
      <w:bookmarkStart w:id="458" w:name="_Toc234382903"/>
      <w:r>
        <w:rPr>
          <w:rFonts w:hint="eastAsia" w:ascii="宋体" w:hAnsi="宋体"/>
          <w:sz w:val="24"/>
          <w:szCs w:val="24"/>
        </w:rPr>
        <w:t>16.1物价波动引起的价格调整</w:t>
      </w:r>
      <w:bookmarkEnd w:id="458"/>
    </w:p>
    <w:p w14:paraId="56A0536D">
      <w:pPr>
        <w:spacing w:line="360" w:lineRule="auto"/>
        <w:ind w:firstLine="480" w:firstLineChars="200"/>
        <w:rPr>
          <w:rFonts w:ascii="宋体" w:hAnsi="宋体"/>
          <w:sz w:val="24"/>
          <w:szCs w:val="24"/>
        </w:rPr>
      </w:pPr>
      <w:r>
        <w:rPr>
          <w:rFonts w:hint="eastAsia" w:ascii="宋体" w:hAnsi="宋体"/>
          <w:sz w:val="24"/>
          <w:szCs w:val="24"/>
        </w:rPr>
        <w:t>本款约定为：</w:t>
      </w:r>
    </w:p>
    <w:p w14:paraId="140785DE">
      <w:pPr>
        <w:spacing w:line="360" w:lineRule="auto"/>
        <w:ind w:firstLine="480" w:firstLineChars="200"/>
        <w:rPr>
          <w:rFonts w:ascii="宋体" w:hAnsi="宋体"/>
          <w:sz w:val="24"/>
          <w:szCs w:val="24"/>
        </w:rPr>
      </w:pPr>
      <w:r>
        <w:rPr>
          <w:rFonts w:hint="eastAsia" w:ascii="宋体" w:hAnsi="宋体"/>
          <w:sz w:val="24"/>
          <w:szCs w:val="24"/>
        </w:rPr>
        <w:t>（1）除项目专用合同条款另有约定外，因物价波动引起的价格调整应按项目专用合同条款数据表的规定，按照第16.1.1项或第16.1.2项约定的原则处理；</w:t>
      </w:r>
    </w:p>
    <w:p w14:paraId="65D7541A">
      <w:pPr>
        <w:spacing w:line="360" w:lineRule="auto"/>
        <w:ind w:firstLine="480" w:firstLineChars="200"/>
        <w:rPr>
          <w:rFonts w:ascii="宋体" w:hAnsi="宋体"/>
          <w:sz w:val="24"/>
          <w:szCs w:val="24"/>
        </w:rPr>
      </w:pPr>
      <w:r>
        <w:rPr>
          <w:rFonts w:hint="eastAsia" w:ascii="宋体" w:hAnsi="宋体"/>
          <w:sz w:val="24"/>
          <w:szCs w:val="24"/>
        </w:rPr>
        <w:t>（2）在合同执行期间（包括工期拖延期间），由于人工、材料和设备价格的上涨而引起工程施工成本增加的风险由承包人自行承担，合同价格不会因此而调整。</w:t>
      </w:r>
    </w:p>
    <w:p w14:paraId="37928358">
      <w:pPr>
        <w:spacing w:line="360" w:lineRule="auto"/>
        <w:ind w:firstLine="480" w:firstLineChars="200"/>
        <w:rPr>
          <w:rFonts w:ascii="宋体" w:hAnsi="宋体"/>
          <w:sz w:val="24"/>
          <w:szCs w:val="24"/>
        </w:rPr>
      </w:pPr>
      <w:r>
        <w:rPr>
          <w:rFonts w:hint="eastAsia" w:ascii="宋体" w:hAnsi="宋体"/>
          <w:sz w:val="24"/>
          <w:szCs w:val="24"/>
        </w:rPr>
        <w:t>16.1.1采用价格指数调整价格差额</w:t>
      </w:r>
    </w:p>
    <w:p w14:paraId="19086F1C">
      <w:pPr>
        <w:spacing w:line="360" w:lineRule="auto"/>
        <w:ind w:firstLine="480" w:firstLineChars="200"/>
        <w:rPr>
          <w:rFonts w:ascii="宋体" w:hAnsi="宋体"/>
          <w:sz w:val="24"/>
          <w:szCs w:val="24"/>
        </w:rPr>
      </w:pPr>
      <w:r>
        <w:rPr>
          <w:rFonts w:hint="eastAsia" w:ascii="宋体" w:hAnsi="宋体"/>
          <w:sz w:val="24"/>
          <w:szCs w:val="24"/>
        </w:rPr>
        <w:t>16.1.1价格调整公式</w:t>
      </w:r>
    </w:p>
    <w:p w14:paraId="70F4D4F6">
      <w:pPr>
        <w:spacing w:line="360" w:lineRule="auto"/>
        <w:ind w:firstLine="480" w:firstLineChars="200"/>
        <w:rPr>
          <w:rFonts w:ascii="宋体" w:hAnsi="宋体"/>
          <w:sz w:val="24"/>
          <w:szCs w:val="24"/>
        </w:rPr>
      </w:pPr>
      <w:r>
        <w:rPr>
          <w:rFonts w:hint="eastAsia" w:ascii="宋体" w:hAnsi="宋体"/>
          <w:sz w:val="24"/>
          <w:szCs w:val="24"/>
        </w:rPr>
        <w:t>价格调整公式后增加备注如下：</w:t>
      </w:r>
    </w:p>
    <w:p w14:paraId="6A560C85">
      <w:pPr>
        <w:spacing w:line="360" w:lineRule="auto"/>
        <w:ind w:firstLine="480" w:firstLineChars="200"/>
        <w:rPr>
          <w:rFonts w:ascii="宋体" w:hAnsi="宋体"/>
          <w:sz w:val="24"/>
          <w:szCs w:val="24"/>
        </w:rPr>
      </w:pPr>
      <w:r>
        <w:rPr>
          <w:rFonts w:hint="eastAsia" w:ascii="宋体" w:hAnsi="宋体"/>
          <w:sz w:val="24"/>
          <w:szCs w:val="24"/>
        </w:rPr>
        <w:t>式中，</w:t>
      </w:r>
      <w:r>
        <w:rPr>
          <w:rFonts w:hint="eastAsia" w:ascii="宋体" w:hAnsi="宋体"/>
          <w:i/>
          <w:sz w:val="24"/>
          <w:szCs w:val="24"/>
        </w:rPr>
        <w:t>A</w:t>
      </w:r>
      <w:r>
        <w:rPr>
          <w:rFonts w:hint="eastAsia" w:ascii="宋体" w:hAnsi="宋体"/>
          <w:sz w:val="24"/>
          <w:szCs w:val="24"/>
        </w:rPr>
        <w:t xml:space="preserve"> ＝ 1 － （</w:t>
      </w:r>
      <w:r>
        <w:rPr>
          <w:rFonts w:hint="eastAsia" w:ascii="宋体" w:hAnsi="宋体"/>
          <w:i/>
          <w:sz w:val="24"/>
          <w:szCs w:val="24"/>
        </w:rPr>
        <w:t>B</w:t>
      </w:r>
      <w:r>
        <w:rPr>
          <w:rFonts w:hint="eastAsia" w:ascii="宋体" w:hAnsi="宋体"/>
          <w:sz w:val="24"/>
          <w:szCs w:val="24"/>
          <w:vertAlign w:val="subscript"/>
        </w:rPr>
        <w:t xml:space="preserve">1 </w:t>
      </w:r>
      <w:r>
        <w:rPr>
          <w:rFonts w:hint="eastAsia" w:ascii="宋体" w:hAnsi="宋体"/>
          <w:sz w:val="24"/>
          <w:szCs w:val="24"/>
        </w:rPr>
        <w:t xml:space="preserve">＋ </w:t>
      </w:r>
      <w:r>
        <w:rPr>
          <w:rFonts w:hint="eastAsia" w:ascii="宋体" w:hAnsi="宋体"/>
          <w:i/>
          <w:sz w:val="24"/>
          <w:szCs w:val="24"/>
        </w:rPr>
        <w:t>B</w:t>
      </w:r>
      <w:r>
        <w:rPr>
          <w:rFonts w:hint="eastAsia" w:ascii="宋体" w:hAnsi="宋体"/>
          <w:sz w:val="24"/>
          <w:szCs w:val="24"/>
          <w:vertAlign w:val="subscript"/>
        </w:rPr>
        <w:t xml:space="preserve">2 </w:t>
      </w:r>
      <w:r>
        <w:rPr>
          <w:rFonts w:hint="eastAsia" w:ascii="宋体" w:hAnsi="宋体"/>
          <w:sz w:val="24"/>
          <w:szCs w:val="24"/>
        </w:rPr>
        <w:t xml:space="preserve">＋ </w:t>
      </w:r>
      <w:r>
        <w:rPr>
          <w:rFonts w:hint="eastAsia" w:ascii="宋体" w:hAnsi="宋体"/>
          <w:i/>
          <w:sz w:val="24"/>
          <w:szCs w:val="24"/>
        </w:rPr>
        <w:t>B</w:t>
      </w:r>
      <w:r>
        <w:rPr>
          <w:rFonts w:hint="eastAsia" w:ascii="宋体" w:hAnsi="宋体"/>
          <w:sz w:val="24"/>
          <w:szCs w:val="24"/>
          <w:vertAlign w:val="subscript"/>
        </w:rPr>
        <w:t xml:space="preserve">3 </w:t>
      </w:r>
      <w:r>
        <w:rPr>
          <w:rFonts w:hint="eastAsia" w:ascii="宋体" w:hAnsi="宋体"/>
          <w:sz w:val="24"/>
          <w:szCs w:val="24"/>
        </w:rPr>
        <w:t xml:space="preserve">＋ ... ＋ </w:t>
      </w:r>
      <w:r>
        <w:rPr>
          <w:rFonts w:hint="eastAsia" w:ascii="宋体" w:hAnsi="宋体"/>
          <w:i/>
          <w:sz w:val="24"/>
          <w:szCs w:val="24"/>
        </w:rPr>
        <w:t>B</w:t>
      </w:r>
      <w:r>
        <w:rPr>
          <w:rFonts w:hint="eastAsia" w:ascii="宋体" w:hAnsi="宋体"/>
          <w:sz w:val="24"/>
          <w:szCs w:val="24"/>
          <w:vertAlign w:val="subscript"/>
        </w:rPr>
        <w:t xml:space="preserve">n </w:t>
      </w:r>
      <w:r>
        <w:rPr>
          <w:rFonts w:hint="eastAsia" w:ascii="宋体" w:hAnsi="宋体"/>
          <w:sz w:val="24"/>
          <w:szCs w:val="24"/>
        </w:rPr>
        <w:t>）</w:t>
      </w:r>
    </w:p>
    <w:p w14:paraId="5B7A980C">
      <w:pPr>
        <w:spacing w:line="360" w:lineRule="auto"/>
        <w:ind w:firstLine="480" w:firstLineChars="200"/>
        <w:rPr>
          <w:rFonts w:ascii="宋体" w:hAnsi="宋体"/>
          <w:sz w:val="24"/>
          <w:szCs w:val="24"/>
        </w:rPr>
      </w:pPr>
      <w:r>
        <w:rPr>
          <w:rFonts w:hint="eastAsia" w:ascii="宋体" w:hAnsi="宋体"/>
          <w:sz w:val="24"/>
          <w:szCs w:val="24"/>
        </w:rPr>
        <w:t>本目最后一段文字细化为：</w:t>
      </w:r>
    </w:p>
    <w:p w14:paraId="0265EFFC">
      <w:pPr>
        <w:spacing w:line="360" w:lineRule="auto"/>
        <w:ind w:firstLine="480" w:firstLineChars="200"/>
        <w:rPr>
          <w:rFonts w:ascii="宋体" w:hAnsi="宋体"/>
          <w:sz w:val="24"/>
          <w:szCs w:val="24"/>
        </w:rPr>
      </w:pPr>
      <w:r>
        <w:rPr>
          <w:rFonts w:hint="eastAsia" w:ascii="宋体" w:hAnsi="宋体"/>
          <w:sz w:val="24"/>
          <w:szCs w:val="24"/>
        </w:rPr>
        <w:t>在采用价格调整公式进行调价时，还应遵守以下规定：</w:t>
      </w:r>
    </w:p>
    <w:p w14:paraId="2C323073">
      <w:pPr>
        <w:spacing w:line="360" w:lineRule="auto"/>
        <w:ind w:firstLine="480" w:firstLineChars="200"/>
        <w:rPr>
          <w:rFonts w:ascii="宋体" w:hAnsi="宋体"/>
          <w:sz w:val="24"/>
          <w:szCs w:val="24"/>
        </w:rPr>
      </w:pPr>
      <w:r>
        <w:rPr>
          <w:rFonts w:hint="eastAsia" w:ascii="宋体" w:hAnsi="宋体"/>
          <w:sz w:val="24"/>
          <w:szCs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0962C133">
      <w:pPr>
        <w:spacing w:line="360" w:lineRule="auto"/>
        <w:ind w:firstLine="480" w:firstLineChars="200"/>
        <w:rPr>
          <w:rFonts w:ascii="宋体" w:hAnsi="宋体"/>
          <w:sz w:val="24"/>
          <w:szCs w:val="24"/>
        </w:rPr>
      </w:pPr>
      <w:r>
        <w:rPr>
          <w:rFonts w:hint="eastAsia" w:ascii="宋体" w:hAnsi="宋体"/>
          <w:sz w:val="24"/>
          <w:szCs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45D062D">
      <w:pPr>
        <w:spacing w:line="360" w:lineRule="auto"/>
        <w:ind w:firstLine="480" w:firstLineChars="200"/>
        <w:rPr>
          <w:rFonts w:ascii="宋体" w:hAnsi="宋体"/>
          <w:sz w:val="24"/>
          <w:szCs w:val="24"/>
        </w:rPr>
      </w:pPr>
      <w:bookmarkStart w:id="459" w:name="_Toc234382904"/>
      <w:r>
        <w:rPr>
          <w:rFonts w:hint="eastAsia" w:ascii="宋体" w:hAnsi="宋体"/>
          <w:sz w:val="24"/>
          <w:szCs w:val="24"/>
        </w:rPr>
        <w:t>17.计量与支付</w:t>
      </w:r>
      <w:bookmarkEnd w:id="459"/>
    </w:p>
    <w:p w14:paraId="648A3B14">
      <w:pPr>
        <w:spacing w:line="360" w:lineRule="auto"/>
        <w:ind w:firstLine="480" w:firstLineChars="200"/>
        <w:rPr>
          <w:rFonts w:ascii="宋体" w:hAnsi="宋体"/>
          <w:sz w:val="24"/>
          <w:szCs w:val="24"/>
        </w:rPr>
      </w:pPr>
      <w:bookmarkStart w:id="460" w:name="_Toc234382905"/>
      <w:r>
        <w:rPr>
          <w:rFonts w:hint="eastAsia" w:ascii="宋体" w:hAnsi="宋体"/>
          <w:sz w:val="24"/>
          <w:szCs w:val="24"/>
        </w:rPr>
        <w:t>17.1计量</w:t>
      </w:r>
      <w:bookmarkEnd w:id="460"/>
    </w:p>
    <w:p w14:paraId="61B27120">
      <w:pPr>
        <w:spacing w:line="360" w:lineRule="auto"/>
        <w:ind w:firstLine="480" w:firstLineChars="200"/>
        <w:rPr>
          <w:rFonts w:ascii="宋体" w:hAnsi="宋体"/>
          <w:sz w:val="24"/>
          <w:szCs w:val="24"/>
        </w:rPr>
      </w:pPr>
      <w:r>
        <w:rPr>
          <w:rFonts w:hint="eastAsia" w:ascii="宋体" w:hAnsi="宋体"/>
          <w:sz w:val="24"/>
          <w:szCs w:val="24"/>
        </w:rPr>
        <w:t>17.1.2计量方法</w:t>
      </w:r>
    </w:p>
    <w:p w14:paraId="3640D4A0">
      <w:pPr>
        <w:spacing w:line="360" w:lineRule="auto"/>
        <w:ind w:firstLine="480" w:firstLineChars="200"/>
        <w:rPr>
          <w:rFonts w:ascii="宋体" w:hAnsi="宋体"/>
          <w:sz w:val="24"/>
          <w:szCs w:val="24"/>
        </w:rPr>
      </w:pPr>
      <w:r>
        <w:rPr>
          <w:rFonts w:hint="eastAsia" w:ascii="宋体" w:hAnsi="宋体"/>
          <w:sz w:val="24"/>
          <w:szCs w:val="24"/>
        </w:rPr>
        <w:t>本项约定为：</w:t>
      </w:r>
    </w:p>
    <w:p w14:paraId="6417CA9E">
      <w:pPr>
        <w:spacing w:line="360" w:lineRule="auto"/>
        <w:ind w:firstLine="480" w:firstLineChars="200"/>
        <w:rPr>
          <w:rFonts w:ascii="宋体" w:hAnsi="宋体"/>
          <w:sz w:val="24"/>
          <w:szCs w:val="24"/>
        </w:rPr>
      </w:pPr>
      <w:r>
        <w:rPr>
          <w:rFonts w:hint="eastAsia" w:ascii="宋体" w:hAnsi="宋体"/>
          <w:sz w:val="24"/>
          <w:szCs w:val="24"/>
        </w:rPr>
        <w:t>工程的计量应以净值为准，除非项目专用合同条款另有约定。工程量清单中各个子目的具体计量方法按本合同文件技术标准中的规定执行。</w:t>
      </w:r>
    </w:p>
    <w:p w14:paraId="435514A5">
      <w:pPr>
        <w:spacing w:line="360" w:lineRule="auto"/>
        <w:ind w:firstLine="480" w:firstLineChars="200"/>
        <w:rPr>
          <w:rFonts w:ascii="宋体" w:hAnsi="宋体"/>
          <w:sz w:val="24"/>
          <w:szCs w:val="24"/>
        </w:rPr>
      </w:pPr>
      <w:r>
        <w:rPr>
          <w:rFonts w:hint="eastAsia" w:ascii="宋体" w:hAnsi="宋体"/>
          <w:sz w:val="24"/>
          <w:szCs w:val="24"/>
        </w:rPr>
        <w:t>17.1.4单价子目的计量</w:t>
      </w:r>
    </w:p>
    <w:p w14:paraId="569765E1">
      <w:pPr>
        <w:spacing w:line="360" w:lineRule="auto"/>
        <w:ind w:firstLine="480" w:firstLineChars="200"/>
        <w:rPr>
          <w:rFonts w:ascii="宋体" w:hAnsi="宋体"/>
          <w:sz w:val="24"/>
          <w:szCs w:val="24"/>
        </w:rPr>
      </w:pPr>
      <w:r>
        <w:rPr>
          <w:rFonts w:hint="eastAsia" w:ascii="宋体" w:hAnsi="宋体"/>
          <w:sz w:val="24"/>
          <w:szCs w:val="24"/>
        </w:rPr>
        <w:t>本项补充：</w:t>
      </w:r>
    </w:p>
    <w:p w14:paraId="72B65165">
      <w:pPr>
        <w:spacing w:line="360" w:lineRule="auto"/>
        <w:ind w:firstLine="480" w:firstLineChars="200"/>
        <w:rPr>
          <w:rFonts w:ascii="宋体" w:hAnsi="宋体"/>
          <w:sz w:val="24"/>
          <w:szCs w:val="24"/>
        </w:rPr>
      </w:pPr>
      <w:r>
        <w:rPr>
          <w:rFonts w:hint="eastAsia" w:ascii="宋体" w:hAnsi="宋体"/>
          <w:sz w:val="24"/>
          <w:szCs w:val="24"/>
        </w:rPr>
        <w:t>（7）承包人未在已标价工程量清单中填入单价或总额价的工程子目，将被认为其已包含在本合同的其他子目的单价和总额价中，发包人将不另行支付。</w:t>
      </w:r>
    </w:p>
    <w:p w14:paraId="13A64C75">
      <w:pPr>
        <w:spacing w:line="360" w:lineRule="auto"/>
        <w:ind w:firstLine="480" w:firstLineChars="200"/>
        <w:rPr>
          <w:rFonts w:ascii="宋体" w:hAnsi="宋体"/>
          <w:sz w:val="24"/>
          <w:szCs w:val="24"/>
        </w:rPr>
      </w:pPr>
      <w:bookmarkStart w:id="461" w:name="_Toc234382906"/>
      <w:r>
        <w:rPr>
          <w:rFonts w:hint="eastAsia" w:ascii="宋体" w:hAnsi="宋体"/>
          <w:sz w:val="24"/>
          <w:szCs w:val="24"/>
        </w:rPr>
        <w:t>17.2预付款</w:t>
      </w:r>
      <w:bookmarkEnd w:id="461"/>
    </w:p>
    <w:p w14:paraId="2D3BAE76">
      <w:pPr>
        <w:spacing w:line="360" w:lineRule="auto"/>
        <w:ind w:firstLine="480" w:firstLineChars="200"/>
        <w:rPr>
          <w:rFonts w:ascii="宋体" w:hAnsi="宋体"/>
          <w:sz w:val="24"/>
          <w:szCs w:val="24"/>
        </w:rPr>
      </w:pPr>
      <w:r>
        <w:rPr>
          <w:rFonts w:hint="eastAsia" w:ascii="宋体" w:hAnsi="宋体"/>
          <w:sz w:val="24"/>
          <w:szCs w:val="24"/>
        </w:rPr>
        <w:t>17.2.1预付款（以双方签订的合同为准）</w:t>
      </w:r>
    </w:p>
    <w:p w14:paraId="4865167B">
      <w:pPr>
        <w:spacing w:line="360" w:lineRule="auto"/>
        <w:ind w:firstLine="480" w:firstLineChars="200"/>
        <w:rPr>
          <w:rFonts w:ascii="宋体" w:hAnsi="宋体"/>
          <w:sz w:val="24"/>
          <w:szCs w:val="24"/>
        </w:rPr>
      </w:pPr>
      <w:bookmarkStart w:id="462" w:name="_Toc234382907"/>
      <w:r>
        <w:rPr>
          <w:rFonts w:hint="eastAsia" w:ascii="宋体" w:hAnsi="宋体"/>
          <w:sz w:val="24"/>
          <w:szCs w:val="24"/>
        </w:rPr>
        <w:t>17.3工程进度付款</w:t>
      </w:r>
      <w:bookmarkEnd w:id="462"/>
    </w:p>
    <w:p w14:paraId="64277B09">
      <w:pPr>
        <w:spacing w:line="360" w:lineRule="auto"/>
        <w:ind w:firstLine="480" w:firstLineChars="200"/>
        <w:rPr>
          <w:rFonts w:ascii="宋体" w:hAnsi="宋体"/>
          <w:sz w:val="24"/>
          <w:szCs w:val="24"/>
        </w:rPr>
      </w:pPr>
      <w:r>
        <w:rPr>
          <w:rFonts w:hint="eastAsia" w:ascii="宋体" w:hAnsi="宋体"/>
          <w:sz w:val="24"/>
          <w:szCs w:val="24"/>
        </w:rPr>
        <w:t>17.3.3进度付款证书和支付时间</w:t>
      </w:r>
    </w:p>
    <w:p w14:paraId="738246C1">
      <w:pPr>
        <w:spacing w:line="360" w:lineRule="auto"/>
        <w:ind w:firstLine="480" w:firstLineChars="200"/>
        <w:rPr>
          <w:rFonts w:ascii="宋体" w:hAnsi="宋体"/>
          <w:sz w:val="24"/>
          <w:szCs w:val="24"/>
        </w:rPr>
      </w:pPr>
      <w:r>
        <w:rPr>
          <w:rFonts w:hint="eastAsia" w:ascii="宋体" w:hAnsi="宋体"/>
          <w:sz w:val="24"/>
          <w:szCs w:val="24"/>
        </w:rPr>
        <w:t>本项（1）目补充：</w:t>
      </w:r>
      <w:r>
        <w:rPr>
          <w:rFonts w:hint="eastAsia" w:ascii="宋体" w:hAnsi="宋体"/>
          <w:sz w:val="24"/>
          <w:szCs w:val="24"/>
        </w:rPr>
        <w:tab/>
      </w:r>
    </w:p>
    <w:p w14:paraId="4C60621C">
      <w:pPr>
        <w:spacing w:line="360" w:lineRule="auto"/>
        <w:ind w:firstLine="480" w:firstLineChars="200"/>
        <w:rPr>
          <w:rFonts w:ascii="宋体" w:hAnsi="宋体"/>
          <w:sz w:val="24"/>
          <w:szCs w:val="24"/>
        </w:rPr>
      </w:pPr>
      <w:r>
        <w:rPr>
          <w:rFonts w:hint="eastAsia" w:ascii="宋体" w:hAnsi="宋体"/>
          <w:sz w:val="24"/>
          <w:szCs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152C94E2">
      <w:pPr>
        <w:spacing w:line="360" w:lineRule="auto"/>
        <w:ind w:firstLine="480" w:firstLineChars="200"/>
        <w:rPr>
          <w:rFonts w:ascii="宋体" w:hAnsi="宋体"/>
          <w:sz w:val="24"/>
          <w:szCs w:val="24"/>
        </w:rPr>
      </w:pPr>
      <w:r>
        <w:rPr>
          <w:rFonts w:hint="eastAsia" w:ascii="宋体" w:hAnsi="宋体"/>
          <w:sz w:val="24"/>
          <w:szCs w:val="24"/>
        </w:rPr>
        <w:t>本项（2）目约定为：</w:t>
      </w:r>
    </w:p>
    <w:p w14:paraId="4008F77F">
      <w:pPr>
        <w:spacing w:line="360" w:lineRule="auto"/>
        <w:ind w:firstLine="480" w:firstLineChars="200"/>
        <w:rPr>
          <w:rFonts w:ascii="宋体" w:hAnsi="宋体"/>
          <w:sz w:val="24"/>
          <w:szCs w:val="24"/>
        </w:rPr>
      </w:pPr>
      <w:r>
        <w:rPr>
          <w:rFonts w:hint="eastAsia" w:ascii="宋体" w:hAnsi="宋体"/>
          <w:sz w:val="24"/>
          <w:szCs w:val="24"/>
        </w:rPr>
        <w:t>发包人不按期支付的，按项目专用条款数据表中约定的利率向承包人支付逾期付款违约金。违约金计算基数为发包人的全部未付款额，时间从应付而未付该款额之日算起（不计复利）。</w:t>
      </w:r>
    </w:p>
    <w:p w14:paraId="37C387A8">
      <w:pPr>
        <w:spacing w:line="360" w:lineRule="auto"/>
        <w:ind w:firstLine="480" w:firstLineChars="200"/>
        <w:rPr>
          <w:rFonts w:ascii="宋体" w:hAnsi="宋体"/>
          <w:sz w:val="24"/>
          <w:szCs w:val="24"/>
        </w:rPr>
      </w:pPr>
      <w:bookmarkStart w:id="463" w:name="_Toc234382908"/>
      <w:r>
        <w:rPr>
          <w:rFonts w:hint="eastAsia" w:ascii="宋体" w:hAnsi="宋体"/>
          <w:sz w:val="24"/>
          <w:szCs w:val="24"/>
        </w:rPr>
        <w:t>17.4质量保证金</w:t>
      </w:r>
      <w:bookmarkEnd w:id="463"/>
    </w:p>
    <w:p w14:paraId="71BF89C9">
      <w:pPr>
        <w:spacing w:line="360" w:lineRule="auto"/>
        <w:ind w:firstLine="480" w:firstLineChars="200"/>
        <w:rPr>
          <w:rFonts w:ascii="宋体" w:hAnsi="宋体"/>
          <w:sz w:val="24"/>
          <w:szCs w:val="24"/>
        </w:rPr>
      </w:pPr>
      <w:r>
        <w:rPr>
          <w:rFonts w:hint="eastAsia" w:ascii="宋体" w:hAnsi="宋体"/>
          <w:sz w:val="24"/>
          <w:szCs w:val="24"/>
        </w:rPr>
        <w:t>第 17.4.1 项、第 17.4.2 项细化为：</w:t>
      </w:r>
    </w:p>
    <w:p w14:paraId="268773BB">
      <w:pPr>
        <w:spacing w:line="360" w:lineRule="auto"/>
        <w:ind w:firstLine="480" w:firstLineChars="200"/>
        <w:rPr>
          <w:rFonts w:ascii="宋体" w:hAnsi="宋体"/>
          <w:sz w:val="24"/>
          <w:szCs w:val="24"/>
        </w:rPr>
      </w:pPr>
      <w:r>
        <w:rPr>
          <w:rFonts w:hint="eastAsia" w:ascii="宋体" w:hAnsi="宋体"/>
          <w:sz w:val="24"/>
          <w:szCs w:val="24"/>
        </w:rPr>
        <w:t>17.4.1 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质量保证金采用现金、支票形式提交的，发包人应在项目专用合同条款数据表中明确是否计付利息以及利息的计算方式。</w:t>
      </w:r>
    </w:p>
    <w:p w14:paraId="42337D85">
      <w:pPr>
        <w:spacing w:line="360" w:lineRule="auto"/>
        <w:ind w:firstLine="480" w:firstLineChars="200"/>
        <w:rPr>
          <w:rFonts w:ascii="宋体" w:hAnsi="宋体"/>
          <w:sz w:val="24"/>
          <w:szCs w:val="24"/>
        </w:rPr>
      </w:pPr>
      <w:r>
        <w:rPr>
          <w:rFonts w:hint="eastAsia" w:ascii="宋体" w:hAnsi="宋体"/>
          <w:sz w:val="24"/>
          <w:szCs w:val="24"/>
        </w:rPr>
        <w:t>17.4.2 在第 1.1.4.5 目约定的缺陷责任期满，且质量监督机构已按规定对工程质量检测鉴定合格，承包人向发包人申请到期应返还承包人剩余的质量保证金金额，发包人应在 14 天内会同承包人按照合同约定的内容核实承包人是否完成缺陷责任。如无异议，发包人应当在核实后将剩余保证金返还承包人。</w:t>
      </w:r>
    </w:p>
    <w:p w14:paraId="6EA8995A">
      <w:pPr>
        <w:spacing w:line="360" w:lineRule="auto"/>
        <w:ind w:firstLine="480" w:firstLineChars="200"/>
        <w:rPr>
          <w:rFonts w:ascii="宋体" w:hAnsi="宋体"/>
          <w:sz w:val="24"/>
          <w:szCs w:val="24"/>
        </w:rPr>
      </w:pPr>
      <w:bookmarkStart w:id="464" w:name="_Toc234382909"/>
      <w:r>
        <w:rPr>
          <w:rFonts w:hint="eastAsia" w:ascii="宋体" w:hAnsi="宋体"/>
          <w:sz w:val="24"/>
          <w:szCs w:val="24"/>
        </w:rPr>
        <w:t>17.5交工结算</w:t>
      </w:r>
      <w:bookmarkEnd w:id="464"/>
    </w:p>
    <w:p w14:paraId="1D6058E4">
      <w:pPr>
        <w:spacing w:line="360" w:lineRule="auto"/>
        <w:ind w:firstLine="480" w:firstLineChars="200"/>
        <w:rPr>
          <w:rFonts w:ascii="宋体" w:hAnsi="宋体"/>
          <w:sz w:val="24"/>
          <w:szCs w:val="24"/>
        </w:rPr>
      </w:pPr>
      <w:r>
        <w:rPr>
          <w:rFonts w:hint="eastAsia" w:ascii="宋体" w:hAnsi="宋体"/>
          <w:sz w:val="24"/>
          <w:szCs w:val="24"/>
        </w:rPr>
        <w:t>17.5.l交工付款申请单</w:t>
      </w:r>
    </w:p>
    <w:p w14:paraId="2A33EB90">
      <w:pPr>
        <w:spacing w:line="360" w:lineRule="auto"/>
        <w:ind w:firstLine="480" w:firstLineChars="200"/>
        <w:rPr>
          <w:rFonts w:ascii="宋体" w:hAnsi="宋体"/>
          <w:sz w:val="24"/>
          <w:szCs w:val="24"/>
        </w:rPr>
      </w:pPr>
      <w:r>
        <w:rPr>
          <w:rFonts w:hint="eastAsia" w:ascii="宋体" w:hAnsi="宋体"/>
          <w:sz w:val="24"/>
          <w:szCs w:val="24"/>
        </w:rPr>
        <w:t>本项（l）目约定为：</w:t>
      </w:r>
    </w:p>
    <w:p w14:paraId="4D7F5980">
      <w:pPr>
        <w:spacing w:line="360" w:lineRule="auto"/>
        <w:ind w:firstLine="480" w:firstLineChars="200"/>
        <w:rPr>
          <w:rFonts w:ascii="宋体" w:hAnsi="宋体"/>
          <w:sz w:val="24"/>
          <w:szCs w:val="24"/>
        </w:rPr>
      </w:pPr>
      <w:r>
        <w:rPr>
          <w:rFonts w:hint="eastAsia" w:ascii="宋体" w:hAnsi="宋体"/>
          <w:sz w:val="24"/>
          <w:szCs w:val="24"/>
        </w:rPr>
        <w:t>承包人向监理人提交交工付款申请单（包括相关证明材料）的份数在项目专用合同条款数据表中约定；期限：交工验收证书签发后42天内。</w:t>
      </w:r>
    </w:p>
    <w:p w14:paraId="7441E8A5">
      <w:pPr>
        <w:spacing w:line="360" w:lineRule="auto"/>
        <w:ind w:firstLine="480" w:firstLineChars="200"/>
        <w:rPr>
          <w:rFonts w:ascii="宋体" w:hAnsi="宋体"/>
          <w:sz w:val="24"/>
          <w:szCs w:val="24"/>
        </w:rPr>
      </w:pPr>
      <w:bookmarkStart w:id="465" w:name="_Toc234382910"/>
      <w:r>
        <w:rPr>
          <w:rFonts w:hint="eastAsia" w:ascii="宋体" w:hAnsi="宋体"/>
          <w:sz w:val="24"/>
          <w:szCs w:val="24"/>
        </w:rPr>
        <w:t>17.5.2 交工付款证书及支付时间</w:t>
      </w:r>
    </w:p>
    <w:p w14:paraId="209A1471">
      <w:pPr>
        <w:spacing w:line="360" w:lineRule="auto"/>
        <w:ind w:firstLine="480" w:firstLineChars="200"/>
        <w:rPr>
          <w:rFonts w:ascii="宋体" w:hAnsi="宋体"/>
          <w:sz w:val="24"/>
          <w:szCs w:val="24"/>
        </w:rPr>
      </w:pPr>
      <w:r>
        <w:rPr>
          <w:rFonts w:hint="eastAsia" w:ascii="宋体" w:hAnsi="宋体"/>
          <w:sz w:val="24"/>
          <w:szCs w:val="24"/>
        </w:rPr>
        <w:t>本项（2）目细化为：</w:t>
      </w:r>
    </w:p>
    <w:p w14:paraId="71154DB1">
      <w:pPr>
        <w:spacing w:line="360" w:lineRule="auto"/>
        <w:ind w:firstLine="480" w:firstLineChars="200"/>
        <w:rPr>
          <w:rFonts w:ascii="宋体" w:hAnsi="宋体"/>
          <w:sz w:val="24"/>
          <w:szCs w:val="24"/>
        </w:rPr>
      </w:pPr>
      <w:r>
        <w:rPr>
          <w:rFonts w:hint="eastAsia" w:ascii="宋体" w:hAnsi="宋体"/>
          <w:sz w:val="24"/>
          <w:szCs w:val="24"/>
        </w:rPr>
        <w:t>发包人应在监理人出具交工付款证书且承包人提交了合格的增值税专用发票后的 14 天内，将应支付款支付给承包人。发包人不按期支付的，按第 17.3.3（2）目的约定，将逾期付款违约金支付给承包人。</w:t>
      </w:r>
    </w:p>
    <w:p w14:paraId="5F761ACF">
      <w:pPr>
        <w:spacing w:line="360" w:lineRule="auto"/>
        <w:ind w:firstLine="480" w:firstLineChars="200"/>
        <w:rPr>
          <w:rFonts w:ascii="宋体" w:hAnsi="宋体"/>
          <w:sz w:val="24"/>
          <w:szCs w:val="24"/>
        </w:rPr>
      </w:pPr>
      <w:r>
        <w:rPr>
          <w:rFonts w:hint="eastAsia" w:ascii="宋体" w:hAnsi="宋体"/>
          <w:sz w:val="24"/>
          <w:szCs w:val="24"/>
        </w:rPr>
        <w:t>17.6最终结清</w:t>
      </w:r>
      <w:bookmarkEnd w:id="465"/>
    </w:p>
    <w:p w14:paraId="74BC814F">
      <w:pPr>
        <w:spacing w:line="360" w:lineRule="auto"/>
        <w:ind w:firstLine="480" w:firstLineChars="200"/>
        <w:rPr>
          <w:rFonts w:ascii="宋体" w:hAnsi="宋体"/>
          <w:sz w:val="24"/>
          <w:szCs w:val="24"/>
        </w:rPr>
      </w:pPr>
      <w:r>
        <w:rPr>
          <w:rFonts w:hint="eastAsia" w:ascii="宋体" w:hAnsi="宋体"/>
          <w:sz w:val="24"/>
          <w:szCs w:val="24"/>
        </w:rPr>
        <w:t>17.6.1最终结清申请单</w:t>
      </w:r>
    </w:p>
    <w:p w14:paraId="41F6BF09">
      <w:pPr>
        <w:spacing w:line="360" w:lineRule="auto"/>
        <w:ind w:firstLine="480" w:firstLineChars="200"/>
        <w:rPr>
          <w:rFonts w:ascii="宋体" w:hAnsi="宋体"/>
          <w:sz w:val="24"/>
          <w:szCs w:val="24"/>
        </w:rPr>
      </w:pPr>
      <w:r>
        <w:rPr>
          <w:rFonts w:hint="eastAsia" w:ascii="宋体" w:hAnsi="宋体"/>
          <w:sz w:val="24"/>
          <w:szCs w:val="24"/>
        </w:rPr>
        <w:t>本项（1）目约定为：</w:t>
      </w:r>
    </w:p>
    <w:p w14:paraId="1C21F304">
      <w:pPr>
        <w:spacing w:line="360" w:lineRule="auto"/>
        <w:ind w:firstLine="480" w:firstLineChars="200"/>
        <w:rPr>
          <w:rFonts w:ascii="宋体" w:hAnsi="宋体"/>
          <w:sz w:val="24"/>
          <w:szCs w:val="24"/>
        </w:rPr>
      </w:pPr>
      <w:r>
        <w:rPr>
          <w:rFonts w:hint="eastAsia" w:ascii="宋体" w:hAnsi="宋体"/>
          <w:sz w:val="24"/>
          <w:szCs w:val="24"/>
        </w:rPr>
        <w:t>承包人向监理人提交最终结清申请单（包括相关证明材料）的份数在项目专用合同条款数据表中约定；期限：缺陷责任期终止证书签发后28天内。</w:t>
      </w:r>
    </w:p>
    <w:p w14:paraId="3C4C6064">
      <w:pPr>
        <w:spacing w:line="360" w:lineRule="auto"/>
        <w:ind w:firstLine="480" w:firstLineChars="200"/>
        <w:rPr>
          <w:rFonts w:ascii="宋体" w:hAnsi="宋体"/>
          <w:sz w:val="24"/>
          <w:szCs w:val="24"/>
        </w:rPr>
      </w:pPr>
      <w:r>
        <w:rPr>
          <w:rFonts w:hint="eastAsia" w:ascii="宋体" w:hAnsi="宋体"/>
          <w:sz w:val="24"/>
          <w:szCs w:val="24"/>
        </w:rPr>
        <w:t>最终结清申请单中的总金额应认为是代表了根据合同规定应付给承包人的全部款项的最后结算。</w:t>
      </w:r>
    </w:p>
    <w:p w14:paraId="036E5CFA">
      <w:pPr>
        <w:spacing w:line="360" w:lineRule="auto"/>
        <w:ind w:firstLine="480" w:firstLineChars="200"/>
        <w:rPr>
          <w:rFonts w:ascii="宋体" w:hAnsi="宋体"/>
          <w:sz w:val="24"/>
          <w:szCs w:val="24"/>
        </w:rPr>
      </w:pPr>
      <w:bookmarkStart w:id="466" w:name="_Toc234382911"/>
      <w:r>
        <w:rPr>
          <w:rFonts w:hint="eastAsia" w:ascii="宋体" w:hAnsi="宋体"/>
          <w:sz w:val="24"/>
          <w:szCs w:val="24"/>
        </w:rPr>
        <w:t>18．交工验收</w:t>
      </w:r>
      <w:bookmarkEnd w:id="466"/>
    </w:p>
    <w:p w14:paraId="66564FC5">
      <w:pPr>
        <w:spacing w:line="360" w:lineRule="auto"/>
        <w:ind w:firstLine="480" w:firstLineChars="200"/>
        <w:rPr>
          <w:rFonts w:ascii="宋体" w:hAnsi="宋体"/>
          <w:sz w:val="24"/>
          <w:szCs w:val="24"/>
        </w:rPr>
      </w:pPr>
      <w:bookmarkStart w:id="467" w:name="_Toc234382912"/>
      <w:r>
        <w:rPr>
          <w:rFonts w:hint="eastAsia" w:ascii="宋体" w:hAnsi="宋体"/>
          <w:sz w:val="24"/>
          <w:szCs w:val="24"/>
        </w:rPr>
        <w:t>18.2交工验收申请报告</w:t>
      </w:r>
      <w:bookmarkEnd w:id="467"/>
    </w:p>
    <w:p w14:paraId="771C66E5">
      <w:pPr>
        <w:spacing w:line="360" w:lineRule="auto"/>
        <w:ind w:firstLine="480" w:firstLineChars="200"/>
        <w:rPr>
          <w:rFonts w:ascii="宋体" w:hAnsi="宋体"/>
          <w:sz w:val="24"/>
          <w:szCs w:val="24"/>
        </w:rPr>
      </w:pPr>
      <w:r>
        <w:rPr>
          <w:rFonts w:hint="eastAsia" w:ascii="宋体" w:hAnsi="宋体"/>
          <w:sz w:val="24"/>
          <w:szCs w:val="24"/>
        </w:rPr>
        <w:t>本款第（2）项约定为：</w:t>
      </w:r>
    </w:p>
    <w:p w14:paraId="5F87B288">
      <w:pPr>
        <w:spacing w:line="360" w:lineRule="auto"/>
        <w:ind w:firstLine="480" w:firstLineChars="200"/>
        <w:rPr>
          <w:rFonts w:ascii="宋体" w:hAnsi="宋体"/>
          <w:sz w:val="24"/>
          <w:szCs w:val="24"/>
        </w:rPr>
      </w:pPr>
      <w:r>
        <w:rPr>
          <w:rFonts w:hint="eastAsia" w:ascii="宋体" w:hAnsi="宋体"/>
          <w:sz w:val="24"/>
          <w:szCs w:val="24"/>
        </w:rPr>
        <w:t>竣工资料的内容：承包人应按照《公路工程竣（交）工验收办法》和相关规定编制竣工资料。</w:t>
      </w:r>
    </w:p>
    <w:p w14:paraId="1E4904E0">
      <w:pPr>
        <w:spacing w:line="360" w:lineRule="auto"/>
        <w:ind w:firstLine="480" w:firstLineChars="200"/>
        <w:rPr>
          <w:rFonts w:ascii="宋体" w:hAnsi="宋体"/>
          <w:sz w:val="24"/>
          <w:szCs w:val="24"/>
        </w:rPr>
      </w:pPr>
      <w:r>
        <w:rPr>
          <w:rFonts w:hint="eastAsia" w:ascii="宋体" w:hAnsi="宋体"/>
          <w:sz w:val="24"/>
          <w:szCs w:val="24"/>
        </w:rPr>
        <w:t>竣工资料的份数在项目专用合同条款数据表中约定。</w:t>
      </w:r>
    </w:p>
    <w:p w14:paraId="06FDE8EC">
      <w:pPr>
        <w:spacing w:line="360" w:lineRule="auto"/>
        <w:ind w:firstLine="480" w:firstLineChars="200"/>
        <w:rPr>
          <w:rFonts w:ascii="宋体" w:hAnsi="宋体"/>
          <w:sz w:val="24"/>
          <w:szCs w:val="24"/>
        </w:rPr>
      </w:pPr>
      <w:bookmarkStart w:id="468" w:name="_Toc234382913"/>
      <w:r>
        <w:rPr>
          <w:rFonts w:hint="eastAsia" w:ascii="宋体" w:hAnsi="宋体"/>
          <w:sz w:val="24"/>
          <w:szCs w:val="24"/>
        </w:rPr>
        <w:t>18.3 验收</w:t>
      </w:r>
      <w:bookmarkEnd w:id="468"/>
    </w:p>
    <w:p w14:paraId="4DC002AD">
      <w:pPr>
        <w:spacing w:line="360" w:lineRule="auto"/>
        <w:ind w:firstLine="480" w:firstLineChars="200"/>
        <w:rPr>
          <w:rFonts w:ascii="宋体" w:hAnsi="宋体"/>
          <w:sz w:val="24"/>
          <w:szCs w:val="24"/>
        </w:rPr>
      </w:pPr>
      <w:r>
        <w:rPr>
          <w:rFonts w:hint="eastAsia" w:ascii="宋体" w:hAnsi="宋体"/>
          <w:sz w:val="24"/>
          <w:szCs w:val="24"/>
        </w:rPr>
        <w:t>第18.3.2项补充：</w:t>
      </w:r>
    </w:p>
    <w:p w14:paraId="4393BF46">
      <w:pPr>
        <w:spacing w:line="360" w:lineRule="auto"/>
        <w:ind w:firstLine="480" w:firstLineChars="200"/>
        <w:rPr>
          <w:rFonts w:ascii="宋体" w:hAnsi="宋体"/>
          <w:sz w:val="24"/>
          <w:szCs w:val="24"/>
        </w:rPr>
      </w:pPr>
      <w:r>
        <w:rPr>
          <w:rFonts w:hint="eastAsia" w:ascii="宋体" w:hAnsi="宋体"/>
          <w:sz w:val="24"/>
          <w:szCs w:val="24"/>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4EDAE83C">
      <w:pPr>
        <w:spacing w:line="360" w:lineRule="auto"/>
        <w:ind w:firstLine="480" w:firstLineChars="200"/>
        <w:rPr>
          <w:rFonts w:ascii="宋体" w:hAnsi="宋体"/>
          <w:sz w:val="24"/>
          <w:szCs w:val="24"/>
        </w:rPr>
      </w:pPr>
      <w:r>
        <w:rPr>
          <w:rFonts w:hint="eastAsia" w:ascii="宋体" w:hAnsi="宋体"/>
          <w:sz w:val="24"/>
          <w:szCs w:val="24"/>
        </w:rPr>
        <w:t>第18.3.5项约定为：</w:t>
      </w:r>
    </w:p>
    <w:p w14:paraId="04309A74">
      <w:pPr>
        <w:spacing w:line="360" w:lineRule="auto"/>
        <w:ind w:firstLine="480" w:firstLineChars="200"/>
        <w:rPr>
          <w:rFonts w:ascii="宋体" w:hAnsi="宋体"/>
          <w:sz w:val="24"/>
          <w:szCs w:val="24"/>
        </w:rPr>
      </w:pPr>
      <w:r>
        <w:rPr>
          <w:rFonts w:hint="eastAsia" w:ascii="宋体" w:hAnsi="宋体"/>
          <w:sz w:val="24"/>
          <w:szCs w:val="24"/>
        </w:rPr>
        <w:t>经验收合格工程的实际交工日期，以最终提交交工验收申请报告的日期为准，并在交工验收证书中写明。</w:t>
      </w:r>
    </w:p>
    <w:p w14:paraId="37A9DC11">
      <w:pPr>
        <w:spacing w:line="360" w:lineRule="auto"/>
        <w:ind w:firstLine="480" w:firstLineChars="200"/>
        <w:rPr>
          <w:rFonts w:ascii="宋体" w:hAnsi="宋体"/>
          <w:sz w:val="24"/>
          <w:szCs w:val="24"/>
        </w:rPr>
      </w:pPr>
      <w:r>
        <w:rPr>
          <w:rFonts w:hint="eastAsia" w:ascii="宋体" w:hAnsi="宋体"/>
          <w:sz w:val="24"/>
          <w:szCs w:val="24"/>
        </w:rPr>
        <w:t>本款补充第18.3.7项：</w:t>
      </w:r>
    </w:p>
    <w:p w14:paraId="1BD750AF">
      <w:pPr>
        <w:spacing w:line="360" w:lineRule="auto"/>
        <w:ind w:firstLine="480" w:firstLineChars="200"/>
        <w:rPr>
          <w:rFonts w:ascii="宋体" w:hAnsi="宋体"/>
          <w:sz w:val="24"/>
          <w:szCs w:val="24"/>
        </w:rPr>
      </w:pPr>
      <w:r>
        <w:rPr>
          <w:rFonts w:hint="eastAsia" w:ascii="宋体" w:hAnsi="宋体"/>
          <w:sz w:val="24"/>
          <w:szCs w:val="24"/>
        </w:rPr>
        <w:t>组织办理交工验收和签发交工验收证书的费用由发包人承担。但按照第18.3.4项规定达不到合格标准的交工验收费用由承包人承担。</w:t>
      </w:r>
    </w:p>
    <w:p w14:paraId="4460E7B0">
      <w:pPr>
        <w:spacing w:line="360" w:lineRule="auto"/>
        <w:ind w:firstLine="480" w:firstLineChars="200"/>
        <w:rPr>
          <w:rFonts w:ascii="宋体" w:hAnsi="宋体"/>
          <w:sz w:val="24"/>
          <w:szCs w:val="24"/>
        </w:rPr>
      </w:pPr>
      <w:r>
        <w:rPr>
          <w:rFonts w:hint="eastAsia" w:ascii="宋体" w:hAnsi="宋体"/>
          <w:sz w:val="24"/>
          <w:szCs w:val="24"/>
        </w:rPr>
        <w:t>本条补充第18.9款：</w:t>
      </w:r>
    </w:p>
    <w:p w14:paraId="7466E8CE">
      <w:pPr>
        <w:spacing w:line="360" w:lineRule="auto"/>
        <w:ind w:firstLine="480" w:firstLineChars="200"/>
        <w:rPr>
          <w:rFonts w:ascii="宋体" w:hAnsi="宋体"/>
          <w:sz w:val="24"/>
          <w:szCs w:val="24"/>
        </w:rPr>
      </w:pPr>
      <w:bookmarkStart w:id="469" w:name="_Toc234382914"/>
      <w:r>
        <w:rPr>
          <w:rFonts w:hint="eastAsia" w:ascii="宋体" w:hAnsi="宋体"/>
          <w:sz w:val="24"/>
          <w:szCs w:val="24"/>
        </w:rPr>
        <w:t>18.9竣工文件</w:t>
      </w:r>
      <w:bookmarkEnd w:id="469"/>
    </w:p>
    <w:p w14:paraId="0EFDAFD0">
      <w:pPr>
        <w:spacing w:line="360" w:lineRule="auto"/>
        <w:ind w:firstLine="480" w:firstLineChars="200"/>
        <w:rPr>
          <w:rFonts w:ascii="宋体" w:hAnsi="宋体"/>
          <w:sz w:val="24"/>
          <w:szCs w:val="24"/>
        </w:rPr>
      </w:pPr>
      <w:r>
        <w:rPr>
          <w:rFonts w:hint="eastAsia" w:ascii="宋体" w:hAnsi="宋体"/>
          <w:sz w:val="24"/>
          <w:szCs w:val="24"/>
        </w:rPr>
        <w:t>承包人应按照《公路工程竣（交）工验收办法》中的相关规定，在缺陷责任期内为竣工验收补充竣工资料，并在签发缺陷责任期终止证书之前提交。</w:t>
      </w:r>
    </w:p>
    <w:p w14:paraId="40DA9D70">
      <w:pPr>
        <w:spacing w:line="360" w:lineRule="auto"/>
        <w:ind w:firstLine="480" w:firstLineChars="200"/>
        <w:rPr>
          <w:rFonts w:ascii="宋体" w:hAnsi="宋体"/>
          <w:sz w:val="24"/>
          <w:szCs w:val="24"/>
        </w:rPr>
      </w:pPr>
      <w:bookmarkStart w:id="470" w:name="_Toc234382915"/>
      <w:r>
        <w:rPr>
          <w:rFonts w:hint="eastAsia" w:ascii="宋体" w:hAnsi="宋体"/>
          <w:sz w:val="24"/>
          <w:szCs w:val="24"/>
        </w:rPr>
        <w:t>19．缺陷责任与保修责任</w:t>
      </w:r>
      <w:bookmarkEnd w:id="470"/>
    </w:p>
    <w:p w14:paraId="32750AF8">
      <w:pPr>
        <w:spacing w:line="360" w:lineRule="auto"/>
        <w:ind w:firstLine="480" w:firstLineChars="200"/>
        <w:rPr>
          <w:rFonts w:ascii="宋体" w:hAnsi="宋体"/>
          <w:sz w:val="24"/>
          <w:szCs w:val="24"/>
        </w:rPr>
      </w:pPr>
      <w:bookmarkStart w:id="471" w:name="_Toc234382916"/>
      <w:r>
        <w:rPr>
          <w:rFonts w:hint="eastAsia" w:ascii="宋体" w:hAnsi="宋体"/>
          <w:sz w:val="24"/>
          <w:szCs w:val="24"/>
        </w:rPr>
        <w:t>19.2缺陷责任</w:t>
      </w:r>
      <w:bookmarkEnd w:id="471"/>
    </w:p>
    <w:p w14:paraId="757B7CC2">
      <w:pPr>
        <w:spacing w:line="360" w:lineRule="auto"/>
        <w:ind w:firstLine="480" w:firstLineChars="200"/>
        <w:rPr>
          <w:rFonts w:ascii="宋体" w:hAnsi="宋体"/>
          <w:sz w:val="24"/>
          <w:szCs w:val="24"/>
        </w:rPr>
      </w:pPr>
      <w:r>
        <w:rPr>
          <w:rFonts w:hint="eastAsia" w:ascii="宋体" w:hAnsi="宋体"/>
          <w:sz w:val="24"/>
          <w:szCs w:val="24"/>
        </w:rPr>
        <w:t>第19.2.2项补充：</w:t>
      </w:r>
    </w:p>
    <w:p w14:paraId="15DDA2C2">
      <w:pPr>
        <w:spacing w:line="360" w:lineRule="auto"/>
        <w:ind w:firstLine="480" w:firstLineChars="200"/>
        <w:rPr>
          <w:rFonts w:ascii="宋体" w:hAnsi="宋体"/>
          <w:sz w:val="24"/>
          <w:szCs w:val="24"/>
        </w:rPr>
      </w:pPr>
      <w:r>
        <w:rPr>
          <w:rFonts w:hint="eastAsia" w:ascii="宋体" w:hAnsi="宋体"/>
          <w:sz w:val="24"/>
          <w:szCs w:val="24"/>
        </w:rPr>
        <w:t>在缺陷责任期内，承包人应尽快完成在交工验收证书中写明的未完成工作，并完成对本工程缺陷的修复或监理人指令的修补工作。</w:t>
      </w:r>
    </w:p>
    <w:p w14:paraId="47F95D61">
      <w:pPr>
        <w:spacing w:line="360" w:lineRule="auto"/>
        <w:ind w:firstLine="480" w:firstLineChars="200"/>
        <w:rPr>
          <w:rFonts w:ascii="宋体" w:hAnsi="宋体"/>
          <w:sz w:val="24"/>
          <w:szCs w:val="24"/>
        </w:rPr>
      </w:pPr>
      <w:bookmarkStart w:id="472" w:name="_Toc234382917"/>
      <w:r>
        <w:rPr>
          <w:rFonts w:hint="eastAsia" w:ascii="宋体" w:hAnsi="宋体"/>
          <w:sz w:val="24"/>
          <w:szCs w:val="24"/>
        </w:rPr>
        <w:t>19.5承包人的进入权</w:t>
      </w:r>
      <w:bookmarkEnd w:id="472"/>
    </w:p>
    <w:p w14:paraId="708A63F2">
      <w:pPr>
        <w:spacing w:line="360" w:lineRule="auto"/>
        <w:ind w:firstLine="480" w:firstLineChars="200"/>
        <w:rPr>
          <w:rFonts w:ascii="宋体" w:hAnsi="宋体"/>
          <w:sz w:val="24"/>
          <w:szCs w:val="24"/>
        </w:rPr>
      </w:pPr>
      <w:r>
        <w:rPr>
          <w:rFonts w:hint="eastAsia" w:ascii="宋体" w:hAnsi="宋体"/>
          <w:sz w:val="24"/>
          <w:szCs w:val="24"/>
        </w:rPr>
        <w:t>本款补充：</w:t>
      </w:r>
    </w:p>
    <w:p w14:paraId="5F90B8DB">
      <w:pPr>
        <w:spacing w:line="360" w:lineRule="auto"/>
        <w:ind w:firstLine="480" w:firstLineChars="200"/>
        <w:rPr>
          <w:rFonts w:ascii="宋体" w:hAnsi="宋体"/>
          <w:sz w:val="24"/>
          <w:szCs w:val="24"/>
        </w:rPr>
      </w:pPr>
      <w:r>
        <w:rPr>
          <w:rFonts w:hint="eastAsia" w:ascii="宋体" w:hAnsi="宋体"/>
          <w:sz w:val="24"/>
          <w:szCs w:val="24"/>
        </w:rPr>
        <w:t>承包人在缺陷修复施工过程中，应服从管养单位的有关安全管理规定，由于承包人自身原因造成的人员伤亡、设备和材料的损毁及罚款等责任由承包人自负。</w:t>
      </w:r>
    </w:p>
    <w:p w14:paraId="1BB1DAE8">
      <w:pPr>
        <w:spacing w:line="360" w:lineRule="auto"/>
        <w:ind w:firstLine="480" w:firstLineChars="200"/>
        <w:rPr>
          <w:rFonts w:ascii="宋体" w:hAnsi="宋体"/>
          <w:sz w:val="24"/>
          <w:szCs w:val="24"/>
        </w:rPr>
      </w:pPr>
      <w:bookmarkStart w:id="473" w:name="_Toc234382918"/>
      <w:r>
        <w:rPr>
          <w:rFonts w:hint="eastAsia" w:ascii="宋体" w:hAnsi="宋体"/>
          <w:sz w:val="24"/>
          <w:szCs w:val="24"/>
        </w:rPr>
        <w:t>19.7保修责任</w:t>
      </w:r>
      <w:bookmarkEnd w:id="473"/>
    </w:p>
    <w:p w14:paraId="0AA5EE07">
      <w:pPr>
        <w:spacing w:line="360" w:lineRule="auto"/>
        <w:ind w:firstLine="480" w:firstLineChars="200"/>
        <w:rPr>
          <w:rFonts w:ascii="宋体" w:hAnsi="宋体"/>
          <w:sz w:val="24"/>
          <w:szCs w:val="24"/>
        </w:rPr>
      </w:pPr>
      <w:r>
        <w:rPr>
          <w:rFonts w:hint="eastAsia" w:ascii="宋体" w:hAnsi="宋体"/>
          <w:sz w:val="24"/>
          <w:szCs w:val="24"/>
        </w:rPr>
        <w:t>本款细化为：</w:t>
      </w:r>
    </w:p>
    <w:p w14:paraId="22D1258E">
      <w:pPr>
        <w:spacing w:line="360" w:lineRule="auto"/>
        <w:ind w:firstLine="480" w:firstLineChars="200"/>
        <w:rPr>
          <w:rFonts w:ascii="宋体" w:hAnsi="宋体"/>
          <w:sz w:val="24"/>
          <w:szCs w:val="24"/>
        </w:rPr>
      </w:pPr>
      <w:r>
        <w:rPr>
          <w:rFonts w:hint="eastAsia" w:ascii="宋体" w:hAnsi="宋体"/>
          <w:sz w:val="24"/>
          <w:szCs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9CC543C">
      <w:pPr>
        <w:spacing w:line="360" w:lineRule="auto"/>
        <w:ind w:firstLine="480" w:firstLineChars="200"/>
        <w:rPr>
          <w:rFonts w:ascii="宋体" w:hAnsi="宋体"/>
          <w:sz w:val="24"/>
          <w:szCs w:val="24"/>
        </w:rPr>
      </w:pPr>
      <w:r>
        <w:rPr>
          <w:rFonts w:hint="eastAsia" w:ascii="宋体" w:hAnsi="宋体"/>
          <w:sz w:val="24"/>
          <w:szCs w:val="24"/>
        </w:rPr>
        <w:t>（2）在全部工程交工验收前，已经发包人提前验收的单位工程，其保修期的起算日期相应提前。</w:t>
      </w:r>
    </w:p>
    <w:p w14:paraId="1C8CAF62">
      <w:pPr>
        <w:spacing w:line="360" w:lineRule="auto"/>
        <w:ind w:firstLine="480" w:firstLineChars="200"/>
        <w:rPr>
          <w:rFonts w:ascii="宋体" w:hAnsi="宋体"/>
          <w:sz w:val="24"/>
          <w:szCs w:val="24"/>
        </w:rPr>
      </w:pPr>
      <w:r>
        <w:rPr>
          <w:rFonts w:hint="eastAsia" w:ascii="宋体" w:hAnsi="宋体"/>
          <w:sz w:val="24"/>
          <w:szCs w:val="24"/>
        </w:rPr>
        <w:t>（3）工程保修期终止后28天内，监理人签发保修期终止证书。</w:t>
      </w:r>
    </w:p>
    <w:p w14:paraId="7E4DC37F">
      <w:pPr>
        <w:spacing w:line="360" w:lineRule="auto"/>
        <w:ind w:firstLine="480" w:firstLineChars="200"/>
        <w:rPr>
          <w:rFonts w:ascii="宋体" w:hAnsi="宋体"/>
          <w:sz w:val="24"/>
          <w:szCs w:val="24"/>
        </w:rPr>
      </w:pPr>
      <w:r>
        <w:rPr>
          <w:rFonts w:hint="eastAsia" w:ascii="宋体" w:hAnsi="宋体"/>
          <w:sz w:val="24"/>
          <w:szCs w:val="24"/>
        </w:rPr>
        <w:t>（4）若承包人不履行保修义务和责任，则承包人应承担由于违约造成的法律后果，并由发包人将其违约行为上报省级交通主管部门，作为不良记录纳入公路建设时常信用信息管理系统。</w:t>
      </w:r>
    </w:p>
    <w:p w14:paraId="62224C4A">
      <w:pPr>
        <w:spacing w:line="360" w:lineRule="auto"/>
        <w:ind w:firstLine="480" w:firstLineChars="200"/>
        <w:rPr>
          <w:rFonts w:ascii="宋体" w:hAnsi="宋体"/>
          <w:sz w:val="24"/>
          <w:szCs w:val="24"/>
        </w:rPr>
      </w:pPr>
      <w:bookmarkStart w:id="474" w:name="_Toc234382919"/>
      <w:r>
        <w:rPr>
          <w:rFonts w:hint="eastAsia" w:ascii="宋体" w:hAnsi="宋体"/>
          <w:sz w:val="24"/>
          <w:szCs w:val="24"/>
        </w:rPr>
        <w:t>20.保险</w:t>
      </w:r>
      <w:bookmarkEnd w:id="474"/>
    </w:p>
    <w:p w14:paraId="25BFDFD9">
      <w:pPr>
        <w:spacing w:line="360" w:lineRule="auto"/>
        <w:ind w:firstLine="480" w:firstLineChars="200"/>
        <w:rPr>
          <w:rFonts w:ascii="宋体" w:hAnsi="宋体"/>
          <w:sz w:val="24"/>
          <w:szCs w:val="24"/>
        </w:rPr>
      </w:pPr>
      <w:bookmarkStart w:id="475" w:name="_Toc234382920"/>
      <w:r>
        <w:rPr>
          <w:rFonts w:hint="eastAsia" w:ascii="宋体" w:hAnsi="宋体"/>
          <w:sz w:val="24"/>
          <w:szCs w:val="24"/>
        </w:rPr>
        <w:t>20.1工程保险</w:t>
      </w:r>
      <w:bookmarkEnd w:id="475"/>
    </w:p>
    <w:p w14:paraId="2DDF9007">
      <w:pPr>
        <w:spacing w:line="360" w:lineRule="auto"/>
        <w:ind w:firstLine="480" w:firstLineChars="200"/>
        <w:rPr>
          <w:rFonts w:ascii="宋体" w:hAnsi="宋体"/>
          <w:sz w:val="24"/>
          <w:szCs w:val="24"/>
        </w:rPr>
      </w:pPr>
      <w:r>
        <w:rPr>
          <w:rFonts w:hint="eastAsia" w:ascii="宋体" w:hAnsi="宋体"/>
          <w:sz w:val="24"/>
          <w:szCs w:val="24"/>
        </w:rPr>
        <w:t>本款约定为：</w:t>
      </w:r>
    </w:p>
    <w:p w14:paraId="38386814">
      <w:pPr>
        <w:spacing w:line="360" w:lineRule="auto"/>
        <w:ind w:firstLine="480" w:firstLineChars="200"/>
        <w:rPr>
          <w:rFonts w:ascii="宋体" w:hAnsi="宋体"/>
          <w:sz w:val="24"/>
          <w:szCs w:val="24"/>
        </w:rPr>
      </w:pPr>
      <w:r>
        <w:rPr>
          <w:rFonts w:hint="eastAsia" w:ascii="宋体" w:hAnsi="宋体"/>
          <w:sz w:val="24"/>
          <w:szCs w:val="24"/>
        </w:rPr>
        <w:t>建筑工程—切险的投保内容：为本合同工程的永久工程、临时工程和设备及已运至施工工地用于永久工程的材料和设备所投的保险。</w:t>
      </w:r>
    </w:p>
    <w:p w14:paraId="23CCBD51">
      <w:pPr>
        <w:spacing w:line="360" w:lineRule="auto"/>
        <w:ind w:firstLine="480" w:firstLineChars="200"/>
        <w:rPr>
          <w:rFonts w:ascii="宋体" w:hAnsi="宋体"/>
          <w:sz w:val="24"/>
          <w:szCs w:val="24"/>
        </w:rPr>
      </w:pPr>
      <w:r>
        <w:rPr>
          <w:rFonts w:hint="eastAsia" w:ascii="宋体" w:hAnsi="宋体"/>
          <w:sz w:val="24"/>
          <w:szCs w:val="24"/>
        </w:rPr>
        <w:t>保险金额：工程量清单第100章（不含建筑工程一切险及第三者责任险的保险费）至700章的合计金额。</w:t>
      </w:r>
    </w:p>
    <w:p w14:paraId="200323C2">
      <w:pPr>
        <w:spacing w:line="360" w:lineRule="auto"/>
        <w:ind w:firstLine="480" w:firstLineChars="200"/>
        <w:rPr>
          <w:rFonts w:ascii="宋体" w:hAnsi="宋体"/>
          <w:sz w:val="24"/>
          <w:szCs w:val="24"/>
        </w:rPr>
      </w:pPr>
      <w:r>
        <w:rPr>
          <w:rFonts w:hint="eastAsia" w:ascii="宋体" w:hAnsi="宋体"/>
          <w:sz w:val="24"/>
          <w:szCs w:val="24"/>
        </w:rPr>
        <w:t>保险费率：在项目专用条款数据表中约定。</w:t>
      </w:r>
    </w:p>
    <w:p w14:paraId="2CFD0A6F">
      <w:pPr>
        <w:spacing w:line="360" w:lineRule="auto"/>
        <w:ind w:firstLine="480" w:firstLineChars="200"/>
        <w:rPr>
          <w:rFonts w:ascii="宋体" w:hAnsi="宋体"/>
          <w:sz w:val="24"/>
          <w:szCs w:val="24"/>
        </w:rPr>
      </w:pPr>
      <w:r>
        <w:rPr>
          <w:rFonts w:hint="eastAsia" w:ascii="宋体" w:hAnsi="宋体"/>
          <w:sz w:val="24"/>
          <w:szCs w:val="24"/>
        </w:rPr>
        <w:t>保险期限：开工日起直至本合同工程签发缺陷责任期终止证书止（即合同工期＋缺陷责任期）</w:t>
      </w:r>
    </w:p>
    <w:p w14:paraId="3889084E">
      <w:pPr>
        <w:spacing w:line="360" w:lineRule="auto"/>
        <w:ind w:firstLine="480" w:firstLineChars="200"/>
        <w:rPr>
          <w:rFonts w:ascii="宋体" w:hAnsi="宋体"/>
          <w:sz w:val="24"/>
          <w:szCs w:val="24"/>
        </w:rPr>
      </w:pPr>
      <w:r>
        <w:rPr>
          <w:rFonts w:hint="eastAsia" w:ascii="宋体" w:hAnsi="宋体"/>
          <w:sz w:val="24"/>
          <w:szCs w:val="24"/>
        </w:rPr>
        <w:t>承包人应以发包人和承包人的共同名义投保建筑工程一切险。建筑工程一切险的保险费由承包人报价时列入工程量清单100章内。发包人在接到保险单后，将按照保险单的费用直接向承包人支付。</w:t>
      </w:r>
    </w:p>
    <w:p w14:paraId="5A129267">
      <w:pPr>
        <w:spacing w:line="360" w:lineRule="auto"/>
        <w:ind w:firstLine="480" w:firstLineChars="200"/>
        <w:rPr>
          <w:rFonts w:ascii="宋体" w:hAnsi="宋体"/>
          <w:sz w:val="24"/>
          <w:szCs w:val="24"/>
        </w:rPr>
      </w:pPr>
      <w:bookmarkStart w:id="476" w:name="_Toc234382921"/>
      <w:r>
        <w:rPr>
          <w:rFonts w:hint="eastAsia" w:ascii="宋体" w:hAnsi="宋体"/>
          <w:sz w:val="24"/>
          <w:szCs w:val="24"/>
        </w:rPr>
        <w:t>20.4第三者责任险</w:t>
      </w:r>
      <w:bookmarkEnd w:id="476"/>
    </w:p>
    <w:p w14:paraId="59C952A4">
      <w:pPr>
        <w:spacing w:line="360" w:lineRule="auto"/>
        <w:ind w:firstLine="480" w:firstLineChars="200"/>
        <w:rPr>
          <w:rFonts w:ascii="宋体" w:hAnsi="宋体"/>
          <w:sz w:val="24"/>
          <w:szCs w:val="24"/>
        </w:rPr>
      </w:pPr>
      <w:r>
        <w:rPr>
          <w:rFonts w:hint="eastAsia" w:ascii="宋体" w:hAnsi="宋体"/>
          <w:sz w:val="24"/>
          <w:szCs w:val="24"/>
        </w:rPr>
        <w:t>第20.4.2项补充：</w:t>
      </w:r>
    </w:p>
    <w:p w14:paraId="76B73173">
      <w:pPr>
        <w:spacing w:line="360" w:lineRule="auto"/>
        <w:ind w:firstLine="480" w:firstLineChars="200"/>
        <w:rPr>
          <w:rFonts w:ascii="宋体" w:hAnsi="宋体"/>
          <w:sz w:val="24"/>
          <w:szCs w:val="24"/>
        </w:rPr>
      </w:pPr>
      <w:r>
        <w:rPr>
          <w:rFonts w:hint="eastAsia" w:ascii="宋体" w:hAnsi="宋体"/>
          <w:sz w:val="24"/>
          <w:szCs w:val="24"/>
        </w:rPr>
        <w:t>第三者责任险的保险费由承包人报价时列入工程量清单100章内。发包人在接到保险单后，将按照保险单的费用直接向承包人支付。</w:t>
      </w:r>
    </w:p>
    <w:p w14:paraId="704C53FF">
      <w:pPr>
        <w:spacing w:line="360" w:lineRule="auto"/>
        <w:ind w:firstLine="480" w:firstLineChars="200"/>
        <w:rPr>
          <w:rFonts w:ascii="宋体" w:hAnsi="宋体"/>
          <w:sz w:val="24"/>
          <w:szCs w:val="24"/>
        </w:rPr>
      </w:pPr>
      <w:bookmarkStart w:id="477" w:name="_Toc234382922"/>
      <w:r>
        <w:rPr>
          <w:rFonts w:hint="eastAsia" w:ascii="宋体" w:hAnsi="宋体"/>
          <w:sz w:val="24"/>
          <w:szCs w:val="24"/>
        </w:rPr>
        <w:t>20.5其他保险</w:t>
      </w:r>
      <w:bookmarkEnd w:id="477"/>
    </w:p>
    <w:p w14:paraId="02A88DAA">
      <w:pPr>
        <w:spacing w:line="360" w:lineRule="auto"/>
        <w:ind w:firstLine="480" w:firstLineChars="200"/>
        <w:rPr>
          <w:rFonts w:ascii="宋体" w:hAnsi="宋体"/>
          <w:sz w:val="24"/>
          <w:szCs w:val="24"/>
        </w:rPr>
      </w:pPr>
      <w:r>
        <w:rPr>
          <w:rFonts w:hint="eastAsia" w:ascii="宋体" w:hAnsi="宋体"/>
          <w:sz w:val="24"/>
          <w:szCs w:val="24"/>
        </w:rPr>
        <w:t>本款约定为：</w:t>
      </w:r>
    </w:p>
    <w:p w14:paraId="5237DF2C">
      <w:pPr>
        <w:spacing w:line="360" w:lineRule="auto"/>
        <w:ind w:firstLine="480" w:firstLineChars="200"/>
        <w:rPr>
          <w:rFonts w:ascii="宋体" w:hAnsi="宋体"/>
          <w:sz w:val="24"/>
          <w:szCs w:val="24"/>
        </w:rPr>
      </w:pPr>
      <w:r>
        <w:rPr>
          <w:rFonts w:hint="eastAsia" w:ascii="宋体" w:hAnsi="宋体"/>
          <w:sz w:val="24"/>
          <w:szCs w:val="24"/>
        </w:rPr>
        <w:t>承包人应为其施工设备等办理保险，其投保金额应足以现场重量。办理本款保险的一切费用均由承包人承担，并包括在工程量清单的单价及总额价中，发包人不单独支付。</w:t>
      </w:r>
    </w:p>
    <w:p w14:paraId="658C5F58">
      <w:pPr>
        <w:spacing w:line="360" w:lineRule="auto"/>
        <w:ind w:firstLine="480" w:firstLineChars="200"/>
        <w:rPr>
          <w:rFonts w:ascii="宋体" w:hAnsi="宋体"/>
          <w:sz w:val="24"/>
          <w:szCs w:val="24"/>
        </w:rPr>
      </w:pPr>
      <w:bookmarkStart w:id="478" w:name="_Toc234382923"/>
      <w:r>
        <w:rPr>
          <w:rFonts w:hint="eastAsia" w:ascii="宋体" w:hAnsi="宋体"/>
          <w:sz w:val="24"/>
          <w:szCs w:val="24"/>
        </w:rPr>
        <w:t>20.6对各项保险的一般要求</w:t>
      </w:r>
      <w:bookmarkEnd w:id="478"/>
    </w:p>
    <w:p w14:paraId="5651FE4A">
      <w:pPr>
        <w:spacing w:line="360" w:lineRule="auto"/>
        <w:ind w:firstLine="480" w:firstLineChars="200"/>
        <w:rPr>
          <w:rFonts w:ascii="宋体" w:hAnsi="宋体"/>
          <w:sz w:val="24"/>
          <w:szCs w:val="24"/>
        </w:rPr>
      </w:pPr>
      <w:r>
        <w:rPr>
          <w:rFonts w:hint="eastAsia" w:ascii="宋体" w:hAnsi="宋体"/>
          <w:sz w:val="24"/>
          <w:szCs w:val="24"/>
        </w:rPr>
        <w:t>20.6.1保险凭证</w:t>
      </w:r>
    </w:p>
    <w:p w14:paraId="0172FF5A">
      <w:pPr>
        <w:spacing w:line="360" w:lineRule="auto"/>
        <w:ind w:firstLine="480" w:firstLineChars="200"/>
        <w:rPr>
          <w:rFonts w:ascii="宋体" w:hAnsi="宋体"/>
          <w:sz w:val="24"/>
          <w:szCs w:val="24"/>
        </w:rPr>
      </w:pPr>
      <w:r>
        <w:rPr>
          <w:rFonts w:hint="eastAsia" w:ascii="宋体" w:hAnsi="宋体"/>
          <w:sz w:val="24"/>
          <w:szCs w:val="24"/>
        </w:rPr>
        <w:t>本项约定为：</w:t>
      </w:r>
    </w:p>
    <w:p w14:paraId="0402832B">
      <w:pPr>
        <w:spacing w:line="360" w:lineRule="auto"/>
        <w:ind w:firstLine="480" w:firstLineChars="200"/>
        <w:rPr>
          <w:rFonts w:ascii="宋体" w:hAnsi="宋体"/>
          <w:sz w:val="24"/>
          <w:szCs w:val="24"/>
        </w:rPr>
      </w:pPr>
      <w:r>
        <w:rPr>
          <w:rFonts w:hint="eastAsia" w:ascii="宋体" w:hAnsi="宋体"/>
          <w:sz w:val="24"/>
          <w:szCs w:val="24"/>
        </w:rPr>
        <w:t>承包人向发包人提交各项保险生效的证据和保险单副本的期限：开工后56天内。</w:t>
      </w:r>
    </w:p>
    <w:p w14:paraId="47C319DD">
      <w:pPr>
        <w:spacing w:line="360" w:lineRule="auto"/>
        <w:ind w:firstLine="480" w:firstLineChars="200"/>
        <w:rPr>
          <w:rFonts w:ascii="宋体" w:hAnsi="宋体"/>
          <w:sz w:val="24"/>
          <w:szCs w:val="24"/>
        </w:rPr>
      </w:pPr>
      <w:r>
        <w:rPr>
          <w:rFonts w:hint="eastAsia" w:ascii="宋体" w:hAnsi="宋体"/>
          <w:sz w:val="24"/>
          <w:szCs w:val="24"/>
        </w:rPr>
        <w:t>20.6.3 持续保险</w:t>
      </w:r>
    </w:p>
    <w:p w14:paraId="31FE46AA">
      <w:pPr>
        <w:spacing w:line="360" w:lineRule="auto"/>
        <w:ind w:firstLine="480" w:firstLineChars="200"/>
        <w:rPr>
          <w:rFonts w:ascii="宋体" w:hAnsi="宋体"/>
          <w:sz w:val="24"/>
          <w:szCs w:val="24"/>
        </w:rPr>
      </w:pPr>
      <w:r>
        <w:rPr>
          <w:rFonts w:hint="eastAsia" w:ascii="宋体" w:hAnsi="宋体"/>
          <w:sz w:val="24"/>
          <w:szCs w:val="24"/>
        </w:rPr>
        <w:t>本项补充：</w:t>
      </w:r>
    </w:p>
    <w:p w14:paraId="0363C5D5">
      <w:pPr>
        <w:spacing w:line="360" w:lineRule="auto"/>
        <w:ind w:firstLine="480" w:firstLineChars="200"/>
        <w:rPr>
          <w:rFonts w:ascii="宋体" w:hAnsi="宋体"/>
          <w:sz w:val="24"/>
          <w:szCs w:val="24"/>
        </w:rPr>
      </w:pPr>
      <w:r>
        <w:rPr>
          <w:rFonts w:hint="eastAsia" w:ascii="宋体" w:hAnsi="宋体"/>
          <w:sz w:val="24"/>
          <w:szCs w:val="24"/>
        </w:rPr>
        <w:t>在整个合同期内，承包人应按合同条款保证足够的保险额。</w:t>
      </w:r>
    </w:p>
    <w:p w14:paraId="05813CAD">
      <w:pPr>
        <w:spacing w:line="360" w:lineRule="auto"/>
        <w:ind w:firstLine="480" w:firstLineChars="200"/>
        <w:rPr>
          <w:rFonts w:ascii="宋体" w:hAnsi="宋体"/>
          <w:sz w:val="24"/>
          <w:szCs w:val="24"/>
        </w:rPr>
      </w:pPr>
      <w:r>
        <w:rPr>
          <w:rFonts w:hint="eastAsia" w:ascii="宋体" w:hAnsi="宋体"/>
          <w:sz w:val="24"/>
          <w:szCs w:val="24"/>
        </w:rPr>
        <w:t>20.6.4保险金不足的补偿</w:t>
      </w:r>
    </w:p>
    <w:p w14:paraId="7DFE2B77">
      <w:pPr>
        <w:spacing w:line="360" w:lineRule="auto"/>
        <w:ind w:firstLine="480" w:firstLineChars="200"/>
        <w:rPr>
          <w:rFonts w:ascii="宋体" w:hAnsi="宋体"/>
          <w:sz w:val="24"/>
          <w:szCs w:val="24"/>
        </w:rPr>
      </w:pPr>
      <w:r>
        <w:rPr>
          <w:rFonts w:hint="eastAsia" w:ascii="宋体" w:hAnsi="宋体"/>
          <w:sz w:val="24"/>
          <w:szCs w:val="24"/>
        </w:rPr>
        <w:t>本项细化为：</w:t>
      </w:r>
    </w:p>
    <w:p w14:paraId="232B8142">
      <w:pPr>
        <w:spacing w:line="360" w:lineRule="auto"/>
        <w:ind w:firstLine="480" w:firstLineChars="200"/>
        <w:rPr>
          <w:rFonts w:ascii="宋体" w:hAnsi="宋体"/>
          <w:sz w:val="24"/>
          <w:szCs w:val="24"/>
        </w:rPr>
      </w:pPr>
      <w:r>
        <w:rPr>
          <w:rFonts w:hint="eastAsia" w:ascii="宋体" w:hAnsi="宋体"/>
          <w:sz w:val="24"/>
          <w:szCs w:val="24"/>
        </w:rPr>
        <w:t>保险金不足补偿损失的（包括免赔额和超过赔偿限额的部分），应由承包人和（或）发包人按合同约定负责补偿。</w:t>
      </w:r>
    </w:p>
    <w:p w14:paraId="39419D93">
      <w:pPr>
        <w:spacing w:line="360" w:lineRule="auto"/>
        <w:ind w:firstLine="480" w:firstLineChars="200"/>
        <w:rPr>
          <w:rFonts w:ascii="宋体" w:hAnsi="宋体"/>
          <w:sz w:val="24"/>
          <w:szCs w:val="24"/>
        </w:rPr>
      </w:pPr>
      <w:r>
        <w:rPr>
          <w:rFonts w:hint="eastAsia" w:ascii="宋体" w:hAnsi="宋体"/>
          <w:sz w:val="24"/>
          <w:szCs w:val="24"/>
        </w:rPr>
        <w:t>20.6.5未按约定投保的补救</w:t>
      </w:r>
    </w:p>
    <w:p w14:paraId="135258FA">
      <w:pPr>
        <w:spacing w:line="360" w:lineRule="auto"/>
        <w:ind w:firstLine="480" w:firstLineChars="200"/>
        <w:rPr>
          <w:rFonts w:ascii="宋体" w:hAnsi="宋体"/>
          <w:sz w:val="24"/>
          <w:szCs w:val="24"/>
        </w:rPr>
      </w:pPr>
      <w:r>
        <w:rPr>
          <w:rFonts w:hint="eastAsia" w:ascii="宋体" w:hAnsi="宋体"/>
          <w:sz w:val="24"/>
          <w:szCs w:val="24"/>
        </w:rPr>
        <w:t>本项（2）目细化为：</w:t>
      </w:r>
    </w:p>
    <w:p w14:paraId="15E1E94D">
      <w:pPr>
        <w:spacing w:line="360" w:lineRule="auto"/>
        <w:ind w:firstLine="480" w:firstLineChars="200"/>
        <w:rPr>
          <w:rFonts w:ascii="宋体" w:hAnsi="宋体"/>
          <w:sz w:val="24"/>
          <w:szCs w:val="24"/>
        </w:rPr>
      </w:pPr>
      <w:r>
        <w:rPr>
          <w:rFonts w:hint="eastAsia" w:ascii="宋体" w:hAnsi="宋体"/>
          <w:sz w:val="24"/>
          <w:szCs w:val="24"/>
        </w:rPr>
        <w:t>（2）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14301CB">
      <w:pPr>
        <w:spacing w:line="360" w:lineRule="auto"/>
        <w:ind w:firstLine="480" w:firstLineChars="200"/>
        <w:rPr>
          <w:rFonts w:ascii="宋体" w:hAnsi="宋体"/>
          <w:sz w:val="24"/>
          <w:szCs w:val="24"/>
        </w:rPr>
      </w:pPr>
      <w:bookmarkStart w:id="479" w:name="_Toc234382924"/>
      <w:r>
        <w:rPr>
          <w:rFonts w:hint="eastAsia" w:ascii="宋体" w:hAnsi="宋体"/>
          <w:sz w:val="24"/>
          <w:szCs w:val="24"/>
        </w:rPr>
        <w:t>21．不可抗力</w:t>
      </w:r>
      <w:bookmarkEnd w:id="479"/>
    </w:p>
    <w:p w14:paraId="21314493">
      <w:pPr>
        <w:spacing w:line="360" w:lineRule="auto"/>
        <w:ind w:firstLine="480" w:firstLineChars="200"/>
        <w:rPr>
          <w:rFonts w:ascii="宋体" w:hAnsi="宋体"/>
          <w:sz w:val="24"/>
          <w:szCs w:val="24"/>
        </w:rPr>
      </w:pPr>
      <w:bookmarkStart w:id="480" w:name="_Toc234382925"/>
      <w:r>
        <w:rPr>
          <w:rFonts w:hint="eastAsia" w:ascii="宋体" w:hAnsi="宋体"/>
          <w:sz w:val="24"/>
          <w:szCs w:val="24"/>
        </w:rPr>
        <w:t>21.1不可抗力的确认</w:t>
      </w:r>
      <w:bookmarkEnd w:id="480"/>
    </w:p>
    <w:p w14:paraId="1CF4A966">
      <w:pPr>
        <w:spacing w:line="360" w:lineRule="auto"/>
        <w:ind w:firstLine="480" w:firstLineChars="200"/>
        <w:rPr>
          <w:rFonts w:ascii="宋体" w:hAnsi="宋体"/>
          <w:sz w:val="24"/>
          <w:szCs w:val="24"/>
        </w:rPr>
      </w:pPr>
      <w:r>
        <w:rPr>
          <w:rFonts w:hint="eastAsia" w:ascii="宋体" w:hAnsi="宋体"/>
          <w:sz w:val="24"/>
          <w:szCs w:val="24"/>
        </w:rPr>
        <w:t>21.1.1项细化为：</w:t>
      </w:r>
    </w:p>
    <w:p w14:paraId="0F2DAD9D">
      <w:pPr>
        <w:spacing w:line="360" w:lineRule="auto"/>
        <w:ind w:firstLine="480" w:firstLineChars="200"/>
        <w:rPr>
          <w:rFonts w:ascii="宋体" w:hAnsi="宋体"/>
          <w:sz w:val="24"/>
          <w:szCs w:val="24"/>
        </w:rPr>
      </w:pPr>
      <w:r>
        <w:rPr>
          <w:rFonts w:hint="eastAsia" w:ascii="宋体" w:hAnsi="宋体"/>
          <w:sz w:val="24"/>
          <w:szCs w:val="24"/>
        </w:rPr>
        <w:t>不可抗力是指承包人和发包人在订立合同时不可预见，在工程施工过程中不可避免发生并不能克服的自然灾害和社会性突发事件。包括但不限于：</w:t>
      </w:r>
    </w:p>
    <w:p w14:paraId="68462F6D">
      <w:pPr>
        <w:spacing w:line="360" w:lineRule="auto"/>
        <w:ind w:firstLine="480" w:firstLineChars="200"/>
        <w:rPr>
          <w:rFonts w:ascii="宋体" w:hAnsi="宋体"/>
          <w:sz w:val="24"/>
          <w:szCs w:val="24"/>
        </w:rPr>
      </w:pPr>
      <w:r>
        <w:rPr>
          <w:rFonts w:hint="eastAsia" w:ascii="宋体" w:hAnsi="宋体"/>
          <w:sz w:val="24"/>
          <w:szCs w:val="24"/>
        </w:rPr>
        <w:t>（1）地震、海啸、火山爆发、泥石流、暴雨（雪）、台风、龙卷风、水灾等自然灾害；</w:t>
      </w:r>
    </w:p>
    <w:p w14:paraId="60B58483">
      <w:pPr>
        <w:spacing w:line="360" w:lineRule="auto"/>
        <w:ind w:firstLine="480" w:firstLineChars="200"/>
        <w:rPr>
          <w:rFonts w:ascii="宋体" w:hAnsi="宋体"/>
          <w:sz w:val="24"/>
          <w:szCs w:val="24"/>
        </w:rPr>
      </w:pPr>
      <w:r>
        <w:rPr>
          <w:rFonts w:hint="eastAsia" w:ascii="宋体" w:hAnsi="宋体"/>
          <w:sz w:val="24"/>
          <w:szCs w:val="24"/>
        </w:rPr>
        <w:t>（2）战争、骚乱、暴动，但纯属承包人或其分包人派遣与雇用的人员由于本合同工程施工原因引起者除外；</w:t>
      </w:r>
    </w:p>
    <w:p w14:paraId="2F4C4430">
      <w:pPr>
        <w:spacing w:line="360" w:lineRule="auto"/>
        <w:ind w:firstLine="480" w:firstLineChars="200"/>
        <w:rPr>
          <w:rFonts w:ascii="宋体" w:hAnsi="宋体"/>
          <w:sz w:val="24"/>
          <w:szCs w:val="24"/>
        </w:rPr>
      </w:pPr>
      <w:r>
        <w:rPr>
          <w:rFonts w:hint="eastAsia" w:ascii="宋体" w:hAnsi="宋体"/>
          <w:sz w:val="24"/>
          <w:szCs w:val="24"/>
        </w:rPr>
        <w:t>（3）核反应、辐射或放射性污染；</w:t>
      </w:r>
    </w:p>
    <w:p w14:paraId="35C7FA8C">
      <w:pPr>
        <w:spacing w:line="360" w:lineRule="auto"/>
        <w:ind w:firstLine="480" w:firstLineChars="200"/>
        <w:rPr>
          <w:rFonts w:ascii="宋体" w:hAnsi="宋体"/>
          <w:sz w:val="24"/>
          <w:szCs w:val="24"/>
        </w:rPr>
      </w:pPr>
      <w:r>
        <w:rPr>
          <w:rFonts w:hint="eastAsia" w:ascii="宋体" w:hAnsi="宋体"/>
          <w:sz w:val="24"/>
          <w:szCs w:val="24"/>
        </w:rPr>
        <w:t>（4）空中飞行物体附落或非发包人或承包人责任造成的爆炸、火灾；</w:t>
      </w:r>
    </w:p>
    <w:p w14:paraId="7A0F7114">
      <w:pPr>
        <w:spacing w:line="360" w:lineRule="auto"/>
        <w:ind w:firstLine="480" w:firstLineChars="200"/>
        <w:rPr>
          <w:rFonts w:ascii="宋体" w:hAnsi="宋体"/>
          <w:sz w:val="24"/>
          <w:szCs w:val="24"/>
        </w:rPr>
      </w:pPr>
      <w:r>
        <w:rPr>
          <w:rFonts w:hint="eastAsia" w:ascii="宋体" w:hAnsi="宋体"/>
          <w:sz w:val="24"/>
          <w:szCs w:val="24"/>
        </w:rPr>
        <w:t>（5）瘟疫；</w:t>
      </w:r>
    </w:p>
    <w:p w14:paraId="5C50D638">
      <w:pPr>
        <w:spacing w:line="360" w:lineRule="auto"/>
        <w:ind w:firstLine="480" w:firstLineChars="200"/>
        <w:rPr>
          <w:rFonts w:ascii="宋体" w:hAnsi="宋体"/>
          <w:sz w:val="24"/>
          <w:szCs w:val="24"/>
        </w:rPr>
      </w:pPr>
      <w:r>
        <w:rPr>
          <w:rFonts w:hint="eastAsia" w:ascii="宋体" w:hAnsi="宋体"/>
          <w:sz w:val="24"/>
          <w:szCs w:val="24"/>
        </w:rPr>
        <w:t>（6）项目专用合同条款约定的其他情形。</w:t>
      </w:r>
    </w:p>
    <w:p w14:paraId="5B207843">
      <w:pPr>
        <w:spacing w:line="360" w:lineRule="auto"/>
        <w:ind w:firstLine="480" w:firstLineChars="200"/>
        <w:rPr>
          <w:rFonts w:ascii="宋体" w:hAnsi="宋体"/>
          <w:sz w:val="24"/>
          <w:szCs w:val="24"/>
        </w:rPr>
      </w:pPr>
      <w:bookmarkStart w:id="481" w:name="_Toc234382926"/>
      <w:r>
        <w:rPr>
          <w:rFonts w:hint="eastAsia" w:ascii="宋体" w:hAnsi="宋体"/>
          <w:sz w:val="24"/>
          <w:szCs w:val="24"/>
        </w:rPr>
        <w:t>21.3不可抗力后果及其处理</w:t>
      </w:r>
      <w:bookmarkEnd w:id="481"/>
    </w:p>
    <w:p w14:paraId="4B53B3F9">
      <w:pPr>
        <w:spacing w:line="360" w:lineRule="auto"/>
        <w:ind w:firstLine="480" w:firstLineChars="200"/>
        <w:rPr>
          <w:rFonts w:ascii="宋体" w:hAnsi="宋体"/>
          <w:sz w:val="24"/>
          <w:szCs w:val="24"/>
        </w:rPr>
      </w:pPr>
      <w:r>
        <w:rPr>
          <w:rFonts w:hint="eastAsia" w:ascii="宋体" w:hAnsi="宋体"/>
          <w:sz w:val="24"/>
          <w:szCs w:val="24"/>
        </w:rPr>
        <w:t>21.3.4因不可抗力解除合同</w:t>
      </w:r>
    </w:p>
    <w:p w14:paraId="1FD40263">
      <w:pPr>
        <w:spacing w:line="360" w:lineRule="auto"/>
        <w:ind w:firstLine="480" w:firstLineChars="200"/>
        <w:rPr>
          <w:rFonts w:ascii="宋体" w:hAnsi="宋体"/>
          <w:sz w:val="24"/>
          <w:szCs w:val="24"/>
        </w:rPr>
      </w:pPr>
      <w:r>
        <w:rPr>
          <w:rFonts w:hint="eastAsia" w:ascii="宋体" w:hAnsi="宋体"/>
          <w:sz w:val="24"/>
          <w:szCs w:val="24"/>
        </w:rPr>
        <w:t>本项细化为：</w:t>
      </w:r>
    </w:p>
    <w:p w14:paraId="0EFFCD79">
      <w:pPr>
        <w:spacing w:line="360" w:lineRule="auto"/>
        <w:ind w:firstLine="480" w:firstLineChars="200"/>
        <w:rPr>
          <w:rFonts w:ascii="宋体" w:hAnsi="宋体"/>
          <w:sz w:val="24"/>
          <w:szCs w:val="24"/>
        </w:rPr>
      </w:pPr>
      <w:r>
        <w:rPr>
          <w:rFonts w:hint="eastAsia" w:ascii="宋体" w:hAnsi="宋体"/>
          <w:sz w:val="24"/>
          <w:szCs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7125E4D1">
      <w:pPr>
        <w:spacing w:line="360" w:lineRule="auto"/>
        <w:ind w:firstLine="480" w:firstLineChars="200"/>
        <w:rPr>
          <w:rFonts w:ascii="宋体" w:hAnsi="宋体"/>
          <w:sz w:val="24"/>
          <w:szCs w:val="24"/>
        </w:rPr>
      </w:pPr>
      <w:bookmarkStart w:id="482" w:name="_Toc234382927"/>
      <w:r>
        <w:rPr>
          <w:rFonts w:hint="eastAsia" w:ascii="宋体" w:hAnsi="宋体"/>
          <w:sz w:val="24"/>
          <w:szCs w:val="24"/>
        </w:rPr>
        <w:t>22．违约</w:t>
      </w:r>
      <w:bookmarkEnd w:id="482"/>
    </w:p>
    <w:p w14:paraId="4A4786A7">
      <w:pPr>
        <w:spacing w:line="360" w:lineRule="auto"/>
        <w:ind w:firstLine="480" w:firstLineChars="200"/>
        <w:rPr>
          <w:rFonts w:ascii="宋体" w:hAnsi="宋体"/>
          <w:sz w:val="24"/>
          <w:szCs w:val="24"/>
        </w:rPr>
      </w:pPr>
      <w:bookmarkStart w:id="483" w:name="_Toc234382928"/>
      <w:r>
        <w:rPr>
          <w:rFonts w:hint="eastAsia" w:ascii="宋体" w:hAnsi="宋体"/>
          <w:sz w:val="24"/>
          <w:szCs w:val="24"/>
        </w:rPr>
        <w:t>22.1承包人违约</w:t>
      </w:r>
      <w:bookmarkEnd w:id="483"/>
    </w:p>
    <w:p w14:paraId="4668BEA2">
      <w:pPr>
        <w:spacing w:line="360" w:lineRule="auto"/>
        <w:ind w:firstLine="480" w:firstLineChars="200"/>
        <w:rPr>
          <w:rFonts w:ascii="宋体" w:hAnsi="宋体"/>
          <w:sz w:val="24"/>
          <w:szCs w:val="24"/>
        </w:rPr>
      </w:pPr>
      <w:r>
        <w:rPr>
          <w:rFonts w:hint="eastAsia" w:ascii="宋体" w:hAnsi="宋体"/>
          <w:sz w:val="24"/>
          <w:szCs w:val="24"/>
        </w:rPr>
        <w:t>22.1.1承包人违约的情形</w:t>
      </w:r>
    </w:p>
    <w:p w14:paraId="2B7169D2">
      <w:pPr>
        <w:spacing w:line="360" w:lineRule="auto"/>
        <w:ind w:firstLine="480" w:firstLineChars="200"/>
        <w:rPr>
          <w:rFonts w:ascii="宋体" w:hAnsi="宋体"/>
          <w:sz w:val="24"/>
          <w:szCs w:val="24"/>
        </w:rPr>
      </w:pPr>
      <w:r>
        <w:rPr>
          <w:rFonts w:hint="eastAsia" w:ascii="宋体" w:hAnsi="宋体"/>
          <w:sz w:val="24"/>
          <w:szCs w:val="24"/>
        </w:rPr>
        <w:t>本项（2）目细化为：</w:t>
      </w:r>
    </w:p>
    <w:p w14:paraId="41491ED5">
      <w:pPr>
        <w:spacing w:line="360" w:lineRule="auto"/>
        <w:ind w:firstLine="480" w:firstLineChars="200"/>
        <w:rPr>
          <w:rFonts w:ascii="宋体" w:hAnsi="宋体"/>
          <w:sz w:val="24"/>
          <w:szCs w:val="24"/>
        </w:rPr>
      </w:pPr>
      <w:r>
        <w:rPr>
          <w:rFonts w:hint="eastAsia" w:ascii="宋体" w:hAnsi="宋体"/>
          <w:sz w:val="24"/>
          <w:szCs w:val="24"/>
        </w:rPr>
        <w:t>（2）承包人违反第5.3款或第6.4款的约定，未经监理人批准，私自将已按合同约定进入施工场地的施工设备、临时设施、材料或工程设备撤离施工场地；</w:t>
      </w:r>
    </w:p>
    <w:p w14:paraId="63C63230">
      <w:pPr>
        <w:spacing w:line="360" w:lineRule="auto"/>
        <w:ind w:firstLine="480" w:firstLineChars="200"/>
        <w:rPr>
          <w:rFonts w:ascii="宋体" w:hAnsi="宋体"/>
          <w:sz w:val="24"/>
          <w:szCs w:val="24"/>
        </w:rPr>
      </w:pPr>
      <w:r>
        <w:rPr>
          <w:rFonts w:hint="eastAsia" w:ascii="宋体" w:hAnsi="宋体"/>
          <w:sz w:val="24"/>
          <w:szCs w:val="24"/>
        </w:rPr>
        <w:t>本项（7）目细化为：</w:t>
      </w:r>
    </w:p>
    <w:p w14:paraId="016CECF8">
      <w:pPr>
        <w:spacing w:line="360" w:lineRule="auto"/>
        <w:ind w:firstLine="480" w:firstLineChars="200"/>
        <w:rPr>
          <w:rFonts w:ascii="宋体" w:hAnsi="宋体"/>
          <w:sz w:val="24"/>
          <w:szCs w:val="24"/>
        </w:rPr>
      </w:pPr>
      <w:r>
        <w:rPr>
          <w:rFonts w:hint="eastAsia" w:ascii="宋体" w:hAnsi="宋体"/>
          <w:sz w:val="24"/>
          <w:szCs w:val="24"/>
        </w:rPr>
        <w:t>（7）承包人未能按期开工；</w:t>
      </w:r>
    </w:p>
    <w:p w14:paraId="405490D5">
      <w:pPr>
        <w:spacing w:line="360" w:lineRule="auto"/>
        <w:ind w:firstLine="480" w:firstLineChars="200"/>
        <w:rPr>
          <w:rFonts w:ascii="宋体" w:hAnsi="宋体"/>
          <w:sz w:val="24"/>
          <w:szCs w:val="24"/>
        </w:rPr>
      </w:pPr>
      <w:r>
        <w:rPr>
          <w:rFonts w:hint="eastAsia" w:ascii="宋体" w:hAnsi="宋体"/>
          <w:sz w:val="24"/>
          <w:szCs w:val="24"/>
        </w:rPr>
        <w:t>（8）承包人违反第4.6款或6.3款的规定，未按承诺或未按监理人的要求及时配备称职的主要管理人员、技术骨干或关键施工设备；</w:t>
      </w:r>
    </w:p>
    <w:p w14:paraId="24E2C21F">
      <w:pPr>
        <w:spacing w:line="360" w:lineRule="auto"/>
        <w:ind w:firstLine="480" w:firstLineChars="200"/>
        <w:rPr>
          <w:rFonts w:ascii="宋体" w:hAnsi="宋体"/>
          <w:sz w:val="24"/>
          <w:szCs w:val="24"/>
        </w:rPr>
      </w:pPr>
      <w:r>
        <w:rPr>
          <w:rFonts w:hint="eastAsia" w:ascii="宋体" w:hAnsi="宋体"/>
          <w:sz w:val="24"/>
          <w:szCs w:val="24"/>
        </w:rPr>
        <w:t>（9）经监理人和发包人检查，发现承包人有安全问题或有违反安全管理规章制度的情况；</w:t>
      </w:r>
    </w:p>
    <w:p w14:paraId="180FFA33">
      <w:pPr>
        <w:spacing w:line="360" w:lineRule="auto"/>
        <w:ind w:firstLine="480" w:firstLineChars="200"/>
        <w:rPr>
          <w:rFonts w:ascii="宋体" w:hAnsi="宋体"/>
          <w:sz w:val="24"/>
          <w:szCs w:val="24"/>
        </w:rPr>
      </w:pPr>
      <w:r>
        <w:rPr>
          <w:rFonts w:hint="eastAsia" w:ascii="宋体" w:hAnsi="宋体"/>
          <w:sz w:val="24"/>
          <w:szCs w:val="24"/>
        </w:rPr>
        <w:t>（10）承包人不按合同约定履行义务的其他情况。</w:t>
      </w:r>
    </w:p>
    <w:p w14:paraId="495587D2">
      <w:pPr>
        <w:spacing w:line="360" w:lineRule="auto"/>
        <w:ind w:firstLine="480" w:firstLineChars="200"/>
        <w:rPr>
          <w:rFonts w:ascii="宋体" w:hAnsi="宋体"/>
          <w:sz w:val="24"/>
          <w:szCs w:val="24"/>
        </w:rPr>
      </w:pPr>
      <w:r>
        <w:rPr>
          <w:rFonts w:hint="eastAsia" w:ascii="宋体" w:hAnsi="宋体"/>
          <w:sz w:val="24"/>
          <w:szCs w:val="24"/>
        </w:rPr>
        <w:t>22.1.2对承包人违约的处理</w:t>
      </w:r>
    </w:p>
    <w:p w14:paraId="5F1A28B4">
      <w:pPr>
        <w:spacing w:line="360" w:lineRule="auto"/>
        <w:ind w:firstLine="480" w:firstLineChars="200"/>
        <w:rPr>
          <w:rFonts w:ascii="宋体" w:hAnsi="宋体"/>
          <w:sz w:val="24"/>
          <w:szCs w:val="24"/>
        </w:rPr>
      </w:pPr>
      <w:r>
        <w:rPr>
          <w:rFonts w:hint="eastAsia" w:ascii="宋体" w:hAnsi="宋体"/>
          <w:sz w:val="24"/>
          <w:szCs w:val="24"/>
        </w:rPr>
        <w:t>本项补充：</w:t>
      </w:r>
    </w:p>
    <w:p w14:paraId="46B56E16">
      <w:pPr>
        <w:spacing w:line="360" w:lineRule="auto"/>
        <w:ind w:firstLine="480" w:firstLineChars="200"/>
        <w:rPr>
          <w:rFonts w:ascii="宋体" w:hAnsi="宋体"/>
          <w:sz w:val="24"/>
          <w:szCs w:val="24"/>
        </w:rPr>
      </w:pPr>
      <w:r>
        <w:rPr>
          <w:rFonts w:hint="eastAsia" w:ascii="宋体" w:hAnsi="宋体"/>
          <w:sz w:val="24"/>
          <w:szCs w:val="24"/>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6045A726">
      <w:pPr>
        <w:spacing w:line="360" w:lineRule="auto"/>
        <w:ind w:firstLine="480" w:firstLineChars="200"/>
        <w:rPr>
          <w:rFonts w:ascii="宋体" w:hAnsi="宋体"/>
          <w:sz w:val="24"/>
          <w:szCs w:val="24"/>
        </w:rPr>
      </w:pPr>
      <w:bookmarkStart w:id="484" w:name="_Toc234382929"/>
      <w:r>
        <w:rPr>
          <w:rFonts w:hint="eastAsia" w:ascii="宋体" w:hAnsi="宋体"/>
          <w:sz w:val="24"/>
          <w:szCs w:val="24"/>
        </w:rPr>
        <w:t>22.2发包人违约</w:t>
      </w:r>
      <w:bookmarkEnd w:id="484"/>
    </w:p>
    <w:p w14:paraId="796BD262">
      <w:pPr>
        <w:spacing w:line="360" w:lineRule="auto"/>
        <w:ind w:firstLine="480" w:firstLineChars="200"/>
        <w:rPr>
          <w:rFonts w:ascii="宋体" w:hAnsi="宋体"/>
          <w:sz w:val="24"/>
          <w:szCs w:val="24"/>
        </w:rPr>
      </w:pPr>
      <w:r>
        <w:rPr>
          <w:rFonts w:hint="eastAsia" w:ascii="宋体" w:hAnsi="宋体"/>
          <w:sz w:val="24"/>
          <w:szCs w:val="24"/>
        </w:rPr>
        <w:t>22.2.4 解除合同后的付款</w:t>
      </w:r>
    </w:p>
    <w:p w14:paraId="61E2BABC">
      <w:pPr>
        <w:spacing w:line="360" w:lineRule="auto"/>
        <w:ind w:firstLine="480" w:firstLineChars="200"/>
        <w:rPr>
          <w:rFonts w:ascii="宋体" w:hAnsi="宋体"/>
          <w:sz w:val="24"/>
          <w:szCs w:val="24"/>
        </w:rPr>
      </w:pPr>
      <w:r>
        <w:rPr>
          <w:rFonts w:hint="eastAsia" w:ascii="宋体" w:hAnsi="宋体"/>
          <w:sz w:val="24"/>
          <w:szCs w:val="24"/>
        </w:rPr>
        <w:t>本项（2）目细化为：</w:t>
      </w:r>
    </w:p>
    <w:p w14:paraId="6FCA39CF">
      <w:pPr>
        <w:spacing w:line="360" w:lineRule="auto"/>
        <w:ind w:firstLine="480" w:firstLineChars="200"/>
        <w:rPr>
          <w:rFonts w:ascii="宋体" w:hAnsi="宋体"/>
          <w:sz w:val="24"/>
          <w:szCs w:val="24"/>
        </w:rPr>
      </w:pPr>
      <w:r>
        <w:rPr>
          <w:rFonts w:hint="eastAsia" w:ascii="宋体" w:hAnsi="宋体"/>
          <w:sz w:val="24"/>
          <w:szCs w:val="24"/>
        </w:rPr>
        <w:t>（2）承包人为该工程施工订购并已付款的材料、工程设备和其他物品的金额，发包人付款后，该材料、工程设备和其他物品归发包人所有；</w:t>
      </w:r>
    </w:p>
    <w:p w14:paraId="7C6445CC">
      <w:pPr>
        <w:spacing w:line="360" w:lineRule="auto"/>
        <w:ind w:firstLine="480" w:firstLineChars="200"/>
        <w:rPr>
          <w:rFonts w:ascii="宋体" w:hAnsi="宋体"/>
          <w:sz w:val="24"/>
          <w:szCs w:val="24"/>
        </w:rPr>
      </w:pPr>
      <w:bookmarkStart w:id="485" w:name="_Toc234382930"/>
      <w:r>
        <w:rPr>
          <w:rFonts w:hint="eastAsia" w:ascii="宋体" w:hAnsi="宋体"/>
          <w:sz w:val="24"/>
          <w:szCs w:val="24"/>
        </w:rPr>
        <w:t>23.索赔</w:t>
      </w:r>
      <w:bookmarkEnd w:id="485"/>
    </w:p>
    <w:p w14:paraId="5B84B3FA">
      <w:pPr>
        <w:spacing w:line="360" w:lineRule="auto"/>
        <w:ind w:firstLine="480" w:firstLineChars="200"/>
        <w:rPr>
          <w:rFonts w:ascii="宋体" w:hAnsi="宋体"/>
          <w:sz w:val="24"/>
          <w:szCs w:val="24"/>
        </w:rPr>
      </w:pPr>
      <w:bookmarkStart w:id="486" w:name="_Toc234382931"/>
      <w:r>
        <w:rPr>
          <w:rFonts w:hint="eastAsia" w:ascii="宋体" w:hAnsi="宋体"/>
          <w:sz w:val="24"/>
          <w:szCs w:val="24"/>
        </w:rPr>
        <w:t>23.1承包人索赔的提出</w:t>
      </w:r>
      <w:bookmarkEnd w:id="486"/>
    </w:p>
    <w:p w14:paraId="161AA2EB">
      <w:pPr>
        <w:spacing w:line="360" w:lineRule="auto"/>
        <w:ind w:firstLine="480" w:firstLineChars="200"/>
        <w:rPr>
          <w:rFonts w:ascii="宋体" w:hAnsi="宋体"/>
          <w:sz w:val="24"/>
          <w:szCs w:val="24"/>
        </w:rPr>
      </w:pPr>
      <w:r>
        <w:rPr>
          <w:rFonts w:hint="eastAsia" w:ascii="宋体" w:hAnsi="宋体"/>
          <w:sz w:val="24"/>
          <w:szCs w:val="24"/>
        </w:rPr>
        <w:t>本款第（4）项细化为：</w:t>
      </w:r>
    </w:p>
    <w:p w14:paraId="7BF1AD01">
      <w:pPr>
        <w:spacing w:line="360" w:lineRule="auto"/>
        <w:ind w:firstLine="480" w:firstLineChars="200"/>
        <w:rPr>
          <w:rFonts w:ascii="宋体" w:hAnsi="宋体"/>
          <w:sz w:val="24"/>
          <w:szCs w:val="24"/>
        </w:rPr>
      </w:pPr>
      <w:r>
        <w:rPr>
          <w:rFonts w:hint="eastAsia" w:ascii="宋体" w:hAnsi="宋体"/>
          <w:sz w:val="24"/>
          <w:szCs w:val="24"/>
        </w:rPr>
        <w:t>（4）在索赔事件影响结束后的28天内，承包人应向监理人递交最终索赔通知书，说明最终要求索赔的追加付款金额和（或）延长的工期，并附必要的记录和证明材料。</w:t>
      </w:r>
    </w:p>
    <w:p w14:paraId="51F31E3E">
      <w:pPr>
        <w:spacing w:line="360" w:lineRule="auto"/>
        <w:ind w:firstLine="480" w:firstLineChars="200"/>
        <w:rPr>
          <w:rFonts w:ascii="宋体" w:hAnsi="宋体"/>
          <w:sz w:val="24"/>
          <w:szCs w:val="24"/>
        </w:rPr>
      </w:pPr>
      <w:bookmarkStart w:id="487" w:name="_Toc234382932"/>
      <w:r>
        <w:rPr>
          <w:rFonts w:hint="eastAsia" w:ascii="宋体" w:hAnsi="宋体"/>
          <w:sz w:val="24"/>
          <w:szCs w:val="24"/>
        </w:rPr>
        <w:t>23.2承包人索赔处理程序</w:t>
      </w:r>
      <w:bookmarkEnd w:id="487"/>
    </w:p>
    <w:p w14:paraId="52709879">
      <w:pPr>
        <w:spacing w:line="360" w:lineRule="auto"/>
        <w:ind w:firstLine="480" w:firstLineChars="200"/>
        <w:rPr>
          <w:rFonts w:ascii="宋体" w:hAnsi="宋体"/>
          <w:sz w:val="24"/>
          <w:szCs w:val="24"/>
        </w:rPr>
      </w:pPr>
      <w:r>
        <w:rPr>
          <w:rFonts w:hint="eastAsia" w:ascii="宋体" w:hAnsi="宋体"/>
          <w:sz w:val="24"/>
          <w:szCs w:val="24"/>
        </w:rPr>
        <w:t>本款第（2）项细化为：</w:t>
      </w:r>
    </w:p>
    <w:p w14:paraId="03966C13">
      <w:pPr>
        <w:spacing w:line="360" w:lineRule="auto"/>
        <w:ind w:firstLine="480" w:firstLineChars="200"/>
        <w:rPr>
          <w:rFonts w:ascii="宋体" w:hAnsi="宋体"/>
          <w:sz w:val="24"/>
          <w:szCs w:val="24"/>
        </w:rPr>
      </w:pPr>
      <w:r>
        <w:rPr>
          <w:rFonts w:hint="eastAsia" w:ascii="宋体" w:hAnsi="宋体"/>
          <w:sz w:val="24"/>
          <w:szCs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55C8FFF0">
      <w:pPr>
        <w:spacing w:line="360" w:lineRule="auto"/>
        <w:ind w:firstLine="480" w:firstLineChars="200"/>
        <w:rPr>
          <w:rFonts w:ascii="宋体" w:hAnsi="宋体"/>
          <w:sz w:val="24"/>
          <w:szCs w:val="24"/>
        </w:rPr>
      </w:pPr>
      <w:bookmarkStart w:id="488" w:name="_Toc234382933"/>
      <w:r>
        <w:rPr>
          <w:rFonts w:hint="eastAsia" w:ascii="宋体" w:hAnsi="宋体"/>
          <w:sz w:val="24"/>
          <w:szCs w:val="24"/>
        </w:rPr>
        <w:t>24．争议的解决</w:t>
      </w:r>
      <w:bookmarkEnd w:id="488"/>
    </w:p>
    <w:p w14:paraId="0320D42A">
      <w:pPr>
        <w:spacing w:line="360" w:lineRule="auto"/>
        <w:ind w:firstLine="480" w:firstLineChars="200"/>
        <w:rPr>
          <w:rFonts w:ascii="宋体" w:hAnsi="宋体"/>
          <w:sz w:val="24"/>
          <w:szCs w:val="24"/>
        </w:rPr>
      </w:pPr>
      <w:bookmarkStart w:id="489" w:name="_Toc234382934"/>
      <w:r>
        <w:rPr>
          <w:rFonts w:hint="eastAsia" w:ascii="宋体" w:hAnsi="宋体"/>
          <w:sz w:val="24"/>
          <w:szCs w:val="24"/>
        </w:rPr>
        <w:t>24.3争议评审</w:t>
      </w:r>
      <w:bookmarkEnd w:id="489"/>
    </w:p>
    <w:p w14:paraId="205636F5">
      <w:pPr>
        <w:spacing w:line="360" w:lineRule="auto"/>
        <w:ind w:firstLine="480" w:firstLineChars="200"/>
        <w:rPr>
          <w:rFonts w:ascii="宋体" w:hAnsi="宋体"/>
          <w:sz w:val="24"/>
          <w:szCs w:val="24"/>
        </w:rPr>
      </w:pPr>
      <w:r>
        <w:rPr>
          <w:rFonts w:hint="eastAsia" w:ascii="宋体" w:hAnsi="宋体"/>
          <w:sz w:val="24"/>
          <w:szCs w:val="24"/>
        </w:rPr>
        <w:t>第24.3.1项补充：</w:t>
      </w:r>
    </w:p>
    <w:p w14:paraId="1EE3BFCB">
      <w:pPr>
        <w:spacing w:line="360" w:lineRule="auto"/>
        <w:ind w:firstLine="480" w:firstLineChars="200"/>
        <w:rPr>
          <w:rFonts w:ascii="宋体" w:hAnsi="宋体"/>
          <w:sz w:val="24"/>
          <w:szCs w:val="24"/>
        </w:rPr>
      </w:pPr>
      <w:r>
        <w:rPr>
          <w:rFonts w:hint="eastAsia" w:ascii="宋体" w:hAnsi="宋体"/>
          <w:sz w:val="24"/>
          <w:szCs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539C8785">
      <w:pPr>
        <w:spacing w:line="360" w:lineRule="auto"/>
        <w:ind w:firstLine="480" w:firstLineChars="200"/>
        <w:rPr>
          <w:rFonts w:ascii="宋体" w:hAnsi="宋体"/>
          <w:sz w:val="24"/>
          <w:szCs w:val="24"/>
        </w:rPr>
      </w:pPr>
    </w:p>
    <w:p w14:paraId="31F22D07">
      <w:pPr>
        <w:spacing w:line="360" w:lineRule="auto"/>
        <w:ind w:firstLine="480" w:firstLineChars="200"/>
        <w:rPr>
          <w:rFonts w:ascii="宋体" w:hAnsi="宋体"/>
          <w:sz w:val="24"/>
          <w:szCs w:val="24"/>
        </w:rPr>
      </w:pPr>
      <w:r>
        <w:rPr>
          <w:rFonts w:hint="eastAsia" w:ascii="宋体" w:hAnsi="宋体"/>
          <w:sz w:val="24"/>
          <w:szCs w:val="24"/>
        </w:rPr>
        <w:t>本条补充第24.4、第24.5款（适用于采用仲裁方式最终解决争议的项目）：</w:t>
      </w:r>
    </w:p>
    <w:p w14:paraId="09EE486E">
      <w:pPr>
        <w:spacing w:line="360" w:lineRule="auto"/>
        <w:ind w:firstLine="480" w:firstLineChars="200"/>
        <w:rPr>
          <w:rFonts w:ascii="宋体" w:hAnsi="宋体"/>
          <w:sz w:val="24"/>
          <w:szCs w:val="24"/>
        </w:rPr>
      </w:pPr>
      <w:bookmarkStart w:id="490" w:name="_Toc234382935"/>
      <w:r>
        <w:rPr>
          <w:rFonts w:hint="eastAsia" w:ascii="宋体" w:hAnsi="宋体"/>
          <w:sz w:val="24"/>
          <w:szCs w:val="24"/>
        </w:rPr>
        <w:t>24.4仲裁</w:t>
      </w:r>
      <w:bookmarkEnd w:id="490"/>
    </w:p>
    <w:p w14:paraId="2A153D8C">
      <w:pPr>
        <w:spacing w:line="360" w:lineRule="auto"/>
        <w:ind w:firstLine="480" w:firstLineChars="200"/>
        <w:rPr>
          <w:rFonts w:ascii="宋体" w:hAnsi="宋体"/>
          <w:sz w:val="24"/>
          <w:szCs w:val="24"/>
        </w:rPr>
      </w:pPr>
      <w:r>
        <w:rPr>
          <w:rFonts w:hint="eastAsia" w:ascii="宋体" w:hAnsi="宋体"/>
          <w:sz w:val="24"/>
          <w:szCs w:val="24"/>
        </w:rPr>
        <w:t>（1）对于未能友好解决或通过争议评审解决的争议，发包人或承包人任一方均有权提交给第24.1款约定的仲裁委员会仲裁。</w:t>
      </w:r>
    </w:p>
    <w:p w14:paraId="30B09CD7">
      <w:pPr>
        <w:spacing w:line="360" w:lineRule="auto"/>
        <w:ind w:firstLine="480" w:firstLineChars="200"/>
        <w:rPr>
          <w:rFonts w:ascii="宋体" w:hAnsi="宋体"/>
          <w:sz w:val="24"/>
          <w:szCs w:val="24"/>
        </w:rPr>
      </w:pPr>
      <w:r>
        <w:rPr>
          <w:rFonts w:hint="eastAsia" w:ascii="宋体" w:hAnsi="宋体"/>
          <w:sz w:val="24"/>
          <w:szCs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8381BF8">
      <w:pPr>
        <w:spacing w:line="360" w:lineRule="auto"/>
        <w:ind w:firstLine="480" w:firstLineChars="200"/>
        <w:rPr>
          <w:rFonts w:ascii="宋体" w:hAnsi="宋体"/>
          <w:sz w:val="24"/>
          <w:szCs w:val="24"/>
        </w:rPr>
      </w:pPr>
      <w:r>
        <w:rPr>
          <w:rFonts w:hint="eastAsia" w:ascii="宋体" w:hAnsi="宋体"/>
          <w:sz w:val="24"/>
          <w:szCs w:val="24"/>
        </w:rPr>
        <w:t>（3）仲裁裁决是终局性的并对发包人和承包人双方具有约束力。</w:t>
      </w:r>
    </w:p>
    <w:p w14:paraId="3406EB5B">
      <w:pPr>
        <w:spacing w:line="360" w:lineRule="auto"/>
        <w:ind w:firstLine="480" w:firstLineChars="200"/>
        <w:rPr>
          <w:rFonts w:ascii="宋体" w:hAnsi="宋体"/>
          <w:sz w:val="24"/>
          <w:szCs w:val="24"/>
        </w:rPr>
      </w:pPr>
      <w:r>
        <w:rPr>
          <w:rFonts w:hint="eastAsia" w:ascii="宋体" w:hAnsi="宋体"/>
          <w:sz w:val="24"/>
          <w:szCs w:val="24"/>
        </w:rPr>
        <w:t>（4）全部仲裁费用应由败诉方承担；或按仲裁员会裁决的比例分担。</w:t>
      </w:r>
    </w:p>
    <w:p w14:paraId="14357DC7">
      <w:pPr>
        <w:spacing w:line="360" w:lineRule="auto"/>
        <w:ind w:firstLine="480" w:firstLineChars="200"/>
        <w:rPr>
          <w:rFonts w:ascii="宋体" w:hAnsi="宋体"/>
          <w:sz w:val="24"/>
          <w:szCs w:val="24"/>
        </w:rPr>
      </w:pPr>
      <w:bookmarkStart w:id="491" w:name="_Toc234382936"/>
      <w:r>
        <w:rPr>
          <w:rFonts w:hint="eastAsia" w:ascii="宋体" w:hAnsi="宋体"/>
          <w:sz w:val="24"/>
          <w:szCs w:val="24"/>
        </w:rPr>
        <w:t>24.5仲裁的执行</w:t>
      </w:r>
      <w:bookmarkEnd w:id="491"/>
    </w:p>
    <w:p w14:paraId="0CE1D3D2">
      <w:pPr>
        <w:spacing w:line="360" w:lineRule="auto"/>
        <w:ind w:firstLine="480" w:firstLineChars="200"/>
        <w:rPr>
          <w:rFonts w:ascii="宋体" w:hAnsi="宋体"/>
          <w:sz w:val="24"/>
          <w:szCs w:val="24"/>
        </w:rPr>
      </w:pPr>
      <w:r>
        <w:rPr>
          <w:rFonts w:hint="eastAsia" w:ascii="宋体" w:hAnsi="宋体"/>
          <w:sz w:val="24"/>
          <w:szCs w:val="24"/>
        </w:rPr>
        <w:t>（1）任何一方不履行仲裁机构的裁决的，对方可以向有管辖权的人民法院申请执行。</w:t>
      </w:r>
    </w:p>
    <w:p w14:paraId="4B543681">
      <w:pPr>
        <w:spacing w:line="360" w:lineRule="auto"/>
        <w:ind w:firstLine="480" w:firstLineChars="200"/>
        <w:rPr>
          <w:rFonts w:ascii="宋体" w:hAnsi="宋体"/>
          <w:sz w:val="24"/>
          <w:szCs w:val="24"/>
        </w:rPr>
      </w:pPr>
      <w:r>
        <w:rPr>
          <w:rFonts w:hint="eastAsia" w:ascii="宋体" w:hAnsi="宋体"/>
          <w:sz w:val="24"/>
          <w:szCs w:val="24"/>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0C6FCC2B">
      <w:pPr>
        <w:spacing w:line="360" w:lineRule="auto"/>
        <w:ind w:firstLine="480" w:firstLineChars="200"/>
        <w:jc w:val="center"/>
        <w:rPr>
          <w:rFonts w:ascii="宋体" w:hAnsi="宋体"/>
          <w:sz w:val="24"/>
          <w:szCs w:val="24"/>
        </w:rPr>
      </w:pPr>
      <w:r>
        <w:rPr>
          <w:rFonts w:hint="eastAsia" w:ascii="宋体" w:hAnsi="宋体"/>
          <w:sz w:val="24"/>
          <w:szCs w:val="24"/>
        </w:rPr>
        <w:t>B、项目专用合同条款</w:t>
      </w:r>
    </w:p>
    <w:p w14:paraId="0E3682CD">
      <w:pPr>
        <w:spacing w:line="360" w:lineRule="auto"/>
        <w:ind w:firstLine="482" w:firstLineChars="200"/>
        <w:rPr>
          <w:rFonts w:ascii="宋体" w:hAnsi="宋体"/>
          <w:b/>
          <w:sz w:val="24"/>
          <w:szCs w:val="24"/>
        </w:rPr>
      </w:pPr>
      <w:r>
        <w:rPr>
          <w:rFonts w:hint="eastAsia" w:ascii="宋体" w:hAnsi="宋体"/>
          <w:b/>
          <w:sz w:val="24"/>
          <w:szCs w:val="24"/>
        </w:rPr>
        <w:t>说明：</w:t>
      </w:r>
    </w:p>
    <w:p w14:paraId="4B9D9F3D">
      <w:pPr>
        <w:spacing w:line="360" w:lineRule="auto"/>
        <w:ind w:firstLine="480" w:firstLineChars="200"/>
        <w:rPr>
          <w:rFonts w:ascii="宋体" w:hAnsi="宋体"/>
          <w:sz w:val="24"/>
          <w:szCs w:val="24"/>
        </w:rPr>
      </w:pPr>
      <w:r>
        <w:rPr>
          <w:rFonts w:hint="eastAsia" w:ascii="宋体" w:hAnsi="宋体"/>
          <w:sz w:val="24"/>
          <w:szCs w:val="24"/>
        </w:rPr>
        <w:t>1.招标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及“公路工程专用合同条款”明确“项目专用合同条款”可作出不同约定外，补充和细化的内容不得与“通用合同条款”及“公路工程专用合同条款”强制性规定相抵触。同时，补充、细化的不同内容，不得违反法律、行政法规的强制性规定和平等、自愿、公平和诚实信用原则。</w:t>
      </w:r>
    </w:p>
    <w:p w14:paraId="77711204">
      <w:pPr>
        <w:spacing w:line="360" w:lineRule="auto"/>
        <w:ind w:firstLine="480" w:firstLineChars="200"/>
        <w:rPr>
          <w:rFonts w:ascii="宋体" w:hAnsi="宋体"/>
          <w:sz w:val="24"/>
          <w:szCs w:val="24"/>
        </w:rPr>
      </w:pPr>
      <w:r>
        <w:rPr>
          <w:rFonts w:hint="eastAsia" w:ascii="宋体" w:hAnsi="宋体"/>
          <w:sz w:val="24"/>
          <w:szCs w:val="24"/>
        </w:rPr>
        <w:t>2.项目专用合同条款的编号应与通用合同条款和公路工程专用合同条款一致。</w:t>
      </w:r>
    </w:p>
    <w:p w14:paraId="7CAAC24D">
      <w:pPr>
        <w:spacing w:line="360" w:lineRule="auto"/>
        <w:ind w:firstLine="480" w:firstLineChars="200"/>
        <w:rPr>
          <w:rFonts w:ascii="宋体" w:hAnsi="宋体"/>
          <w:sz w:val="24"/>
          <w:szCs w:val="24"/>
        </w:rPr>
      </w:pPr>
      <w:r>
        <w:rPr>
          <w:rFonts w:hint="eastAsia" w:ascii="宋体" w:hAnsi="宋体"/>
          <w:sz w:val="24"/>
          <w:szCs w:val="24"/>
        </w:rPr>
        <w:t>3.项目专用合同条款可对下列内容进行补充和细化：</w:t>
      </w:r>
    </w:p>
    <w:p w14:paraId="47362BBF">
      <w:pPr>
        <w:spacing w:line="360" w:lineRule="auto"/>
        <w:ind w:firstLine="480" w:firstLineChars="200"/>
        <w:rPr>
          <w:rFonts w:ascii="宋体" w:hAnsi="宋体"/>
          <w:sz w:val="24"/>
          <w:szCs w:val="24"/>
        </w:rPr>
      </w:pPr>
      <w:r>
        <w:rPr>
          <w:rFonts w:hint="eastAsia" w:ascii="宋体" w:hAnsi="宋体"/>
          <w:sz w:val="24"/>
          <w:szCs w:val="24"/>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BC97305">
      <w:pPr>
        <w:spacing w:line="360" w:lineRule="auto"/>
        <w:ind w:firstLine="480" w:firstLineChars="200"/>
        <w:rPr>
          <w:rFonts w:ascii="宋体" w:hAnsi="宋体"/>
          <w:sz w:val="24"/>
          <w:szCs w:val="24"/>
        </w:rPr>
      </w:pPr>
      <w:r>
        <w:rPr>
          <w:rFonts w:hint="eastAsia" w:ascii="宋体" w:hAnsi="宋体"/>
          <w:sz w:val="24"/>
          <w:szCs w:val="24"/>
        </w:rPr>
        <w:t>（2）“公路工程专用合同条款”中明确指出“项目专用合同条款”可对“公路工程专用合同条款”进行修改的内容（在“公路工程专用合同条款”中用“除项目专用合同条款里有约定外”。“项目专用合同条款可能约定的”，“项目专用合同条款约定的其他情形”等多种文字形式表达）；</w:t>
      </w:r>
    </w:p>
    <w:p w14:paraId="4FE9D7EB">
      <w:pPr>
        <w:spacing w:line="360" w:lineRule="auto"/>
        <w:ind w:firstLine="480" w:firstLineChars="200"/>
        <w:rPr>
          <w:rFonts w:ascii="宋体" w:hAnsi="宋体"/>
          <w:sz w:val="24"/>
          <w:szCs w:val="24"/>
        </w:rPr>
      </w:pPr>
      <w:r>
        <w:rPr>
          <w:rFonts w:hint="eastAsia" w:ascii="宋体" w:hAnsi="宋体"/>
          <w:sz w:val="24"/>
          <w:szCs w:val="24"/>
        </w:rPr>
        <w:t>（3）其他需要补充、细化的内容。</w:t>
      </w:r>
    </w:p>
    <w:p w14:paraId="23A901D9">
      <w:pPr>
        <w:spacing w:line="360" w:lineRule="auto"/>
        <w:ind w:left="840"/>
        <w:rPr>
          <w:rFonts w:ascii="宋体" w:hAnsi="宋体"/>
          <w:sz w:val="24"/>
          <w:szCs w:val="24"/>
        </w:rPr>
      </w:pPr>
    </w:p>
    <w:p w14:paraId="2C728792">
      <w:pPr>
        <w:pStyle w:val="4"/>
        <w:spacing w:line="360" w:lineRule="auto"/>
        <w:rPr>
          <w:rFonts w:ascii="宋体" w:hAnsi="宋体"/>
          <w:sz w:val="24"/>
          <w:szCs w:val="24"/>
        </w:rPr>
      </w:pPr>
      <w:bookmarkStart w:id="492" w:name="_Toc485395252"/>
      <w:r>
        <w:rPr>
          <w:rFonts w:ascii="宋体" w:hAnsi="宋体"/>
          <w:sz w:val="24"/>
          <w:szCs w:val="24"/>
        </w:rPr>
        <w:br w:type="page"/>
      </w:r>
      <w:r>
        <w:rPr>
          <w:rFonts w:hint="eastAsia" w:ascii="宋体" w:hAnsi="宋体"/>
          <w:sz w:val="24"/>
          <w:szCs w:val="24"/>
        </w:rPr>
        <w:t>项目专用条款数据表</w:t>
      </w:r>
      <w:bookmarkEnd w:id="492"/>
    </w:p>
    <w:p w14:paraId="65823DD7">
      <w:pPr>
        <w:spacing w:line="360" w:lineRule="auto"/>
        <w:rPr>
          <w:rFonts w:ascii="宋体" w:hAnsi="宋体"/>
          <w:sz w:val="24"/>
          <w:szCs w:val="24"/>
        </w:rPr>
      </w:pPr>
      <w:r>
        <w:rPr>
          <w:rFonts w:hint="eastAsia" w:ascii="宋体" w:hAnsi="宋体"/>
          <w:sz w:val="24"/>
          <w:szCs w:val="24"/>
        </w:rPr>
        <w:t>说明：本数据表是项目专用合同条款中适用于本项目的信息和数据的归纳与提示，是项目专用合同条款的组成部分。第九章“招标文件格式”的投标函附录中的数据（供投标人确认）与本表所列有重复。编写招标文件的单位应仔细校核，不使数据出现差错或不一致。</w:t>
      </w:r>
    </w:p>
    <w:tbl>
      <w:tblPr>
        <w:tblStyle w:val="20"/>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1134"/>
        <w:gridCol w:w="7710"/>
      </w:tblGrid>
      <w:tr w14:paraId="74A5FC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95" w:type="dxa"/>
            <w:vAlign w:val="center"/>
          </w:tcPr>
          <w:p w14:paraId="35A3E534">
            <w:pPr>
              <w:spacing w:line="360" w:lineRule="auto"/>
              <w:jc w:val="center"/>
              <w:rPr>
                <w:rFonts w:ascii="宋体" w:hAnsi="宋体"/>
                <w:b/>
                <w:sz w:val="24"/>
                <w:szCs w:val="24"/>
              </w:rPr>
            </w:pPr>
            <w:r>
              <w:rPr>
                <w:rFonts w:hint="eastAsia" w:ascii="宋体" w:hAnsi="宋体"/>
                <w:b/>
                <w:sz w:val="24"/>
                <w:szCs w:val="24"/>
              </w:rPr>
              <w:t>序号</w:t>
            </w:r>
          </w:p>
        </w:tc>
        <w:tc>
          <w:tcPr>
            <w:tcW w:w="1134" w:type="dxa"/>
            <w:vAlign w:val="center"/>
          </w:tcPr>
          <w:p w14:paraId="08FB14CD">
            <w:pPr>
              <w:spacing w:line="360" w:lineRule="auto"/>
              <w:jc w:val="center"/>
              <w:rPr>
                <w:rFonts w:ascii="宋体" w:hAnsi="宋体"/>
                <w:b/>
                <w:sz w:val="24"/>
                <w:szCs w:val="24"/>
              </w:rPr>
            </w:pPr>
            <w:r>
              <w:rPr>
                <w:rFonts w:hint="eastAsia" w:ascii="宋体" w:hAnsi="宋体"/>
                <w:b/>
                <w:sz w:val="24"/>
                <w:szCs w:val="24"/>
              </w:rPr>
              <w:t>条款号</w:t>
            </w:r>
          </w:p>
        </w:tc>
        <w:tc>
          <w:tcPr>
            <w:tcW w:w="7710" w:type="dxa"/>
            <w:vAlign w:val="center"/>
          </w:tcPr>
          <w:p w14:paraId="655A7900">
            <w:pPr>
              <w:spacing w:line="360" w:lineRule="auto"/>
              <w:jc w:val="center"/>
              <w:rPr>
                <w:rFonts w:ascii="宋体" w:hAnsi="宋体"/>
                <w:b/>
                <w:sz w:val="24"/>
                <w:szCs w:val="24"/>
              </w:rPr>
            </w:pPr>
            <w:r>
              <w:rPr>
                <w:rFonts w:hint="eastAsia" w:ascii="宋体" w:hAnsi="宋体"/>
                <w:b/>
                <w:sz w:val="24"/>
                <w:szCs w:val="24"/>
              </w:rPr>
              <w:t>信息或数据</w:t>
            </w:r>
          </w:p>
        </w:tc>
      </w:tr>
      <w:tr w14:paraId="71A17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7" w:hRule="exact"/>
          <w:jc w:val="center"/>
        </w:trPr>
        <w:tc>
          <w:tcPr>
            <w:tcW w:w="795" w:type="dxa"/>
            <w:vAlign w:val="center"/>
          </w:tcPr>
          <w:p w14:paraId="1E2CF932">
            <w:pPr>
              <w:spacing w:line="360" w:lineRule="auto"/>
              <w:jc w:val="center"/>
              <w:rPr>
                <w:rFonts w:ascii="宋体" w:hAnsi="宋体"/>
                <w:sz w:val="24"/>
                <w:szCs w:val="24"/>
              </w:rPr>
            </w:pPr>
            <w:r>
              <w:rPr>
                <w:rFonts w:hint="eastAsia" w:ascii="宋体" w:hAnsi="宋体"/>
                <w:sz w:val="24"/>
                <w:szCs w:val="24"/>
              </w:rPr>
              <w:t>1</w:t>
            </w:r>
          </w:p>
        </w:tc>
        <w:tc>
          <w:tcPr>
            <w:tcW w:w="1134" w:type="dxa"/>
            <w:vAlign w:val="center"/>
          </w:tcPr>
          <w:p w14:paraId="6CD9DCE6">
            <w:pPr>
              <w:spacing w:line="360" w:lineRule="auto"/>
              <w:jc w:val="center"/>
              <w:rPr>
                <w:rFonts w:ascii="宋体" w:hAnsi="宋体"/>
                <w:sz w:val="24"/>
                <w:szCs w:val="24"/>
              </w:rPr>
            </w:pPr>
            <w:r>
              <w:rPr>
                <w:rFonts w:hint="eastAsia" w:ascii="宋体" w:hAnsi="宋体"/>
                <w:sz w:val="24"/>
                <w:szCs w:val="24"/>
              </w:rPr>
              <w:t>1.1.2.2</w:t>
            </w:r>
          </w:p>
        </w:tc>
        <w:tc>
          <w:tcPr>
            <w:tcW w:w="7710" w:type="dxa"/>
            <w:vAlign w:val="center"/>
          </w:tcPr>
          <w:p w14:paraId="13E2AC93">
            <w:pPr>
              <w:spacing w:line="360" w:lineRule="auto"/>
              <w:rPr>
                <w:rFonts w:ascii="宋体" w:hAnsi="宋体"/>
                <w:sz w:val="24"/>
                <w:szCs w:val="24"/>
                <w:u w:val="single"/>
              </w:rPr>
            </w:pPr>
            <w:r>
              <w:rPr>
                <w:rFonts w:hint="eastAsia" w:ascii="宋体" w:hAnsi="宋体"/>
                <w:sz w:val="24"/>
                <w:szCs w:val="24"/>
              </w:rPr>
              <w:t>发 包 人：</w:t>
            </w:r>
            <w:r>
              <w:rPr>
                <w:rFonts w:hint="eastAsia" w:ascii="宋体" w:hAnsi="宋体"/>
                <w:sz w:val="24"/>
                <w:szCs w:val="24"/>
                <w:u w:val="single"/>
              </w:rPr>
              <w:t>灵宝市尹庄镇人民政府</w:t>
            </w:r>
          </w:p>
          <w:p w14:paraId="56435C50">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灵宝市长安路368号 </w:t>
            </w:r>
          </w:p>
        </w:tc>
      </w:tr>
      <w:tr w14:paraId="6D3F4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9" w:hRule="exact"/>
          <w:jc w:val="center"/>
        </w:trPr>
        <w:tc>
          <w:tcPr>
            <w:tcW w:w="795" w:type="dxa"/>
            <w:vAlign w:val="center"/>
          </w:tcPr>
          <w:p w14:paraId="50A12982">
            <w:pPr>
              <w:spacing w:line="360" w:lineRule="auto"/>
              <w:jc w:val="center"/>
              <w:rPr>
                <w:rFonts w:ascii="宋体" w:hAnsi="宋体"/>
                <w:sz w:val="24"/>
                <w:szCs w:val="24"/>
              </w:rPr>
            </w:pPr>
            <w:r>
              <w:rPr>
                <w:rFonts w:hint="eastAsia" w:ascii="宋体" w:hAnsi="宋体"/>
                <w:sz w:val="24"/>
                <w:szCs w:val="24"/>
              </w:rPr>
              <w:t>2</w:t>
            </w:r>
          </w:p>
        </w:tc>
        <w:tc>
          <w:tcPr>
            <w:tcW w:w="1134" w:type="dxa"/>
            <w:vAlign w:val="center"/>
          </w:tcPr>
          <w:p w14:paraId="7FE72253">
            <w:pPr>
              <w:spacing w:line="360" w:lineRule="auto"/>
              <w:jc w:val="center"/>
              <w:rPr>
                <w:rFonts w:ascii="宋体" w:hAnsi="宋体"/>
                <w:sz w:val="24"/>
                <w:szCs w:val="24"/>
              </w:rPr>
            </w:pPr>
            <w:r>
              <w:rPr>
                <w:rFonts w:hint="eastAsia" w:ascii="宋体" w:hAnsi="宋体"/>
                <w:sz w:val="24"/>
                <w:szCs w:val="24"/>
              </w:rPr>
              <w:t>1.1.2.6</w:t>
            </w:r>
          </w:p>
        </w:tc>
        <w:tc>
          <w:tcPr>
            <w:tcW w:w="7710" w:type="dxa"/>
            <w:vAlign w:val="center"/>
          </w:tcPr>
          <w:p w14:paraId="10ADB2D3">
            <w:pPr>
              <w:spacing w:line="360" w:lineRule="auto"/>
              <w:rPr>
                <w:rFonts w:ascii="宋体" w:hAnsi="宋体"/>
                <w:sz w:val="24"/>
                <w:szCs w:val="24"/>
                <w:u w:val="single"/>
              </w:rPr>
            </w:pPr>
            <w:r>
              <w:rPr>
                <w:rFonts w:hint="eastAsia" w:ascii="宋体" w:hAnsi="宋体"/>
                <w:sz w:val="24"/>
                <w:szCs w:val="24"/>
              </w:rPr>
              <w:t>监 理 人：</w:t>
            </w:r>
            <w:r>
              <w:rPr>
                <w:rFonts w:hint="eastAsia" w:ascii="宋体" w:hAnsi="宋体"/>
                <w:sz w:val="24"/>
                <w:szCs w:val="24"/>
                <w:u w:val="single"/>
              </w:rPr>
              <w:t xml:space="preserve">                                </w:t>
            </w:r>
          </w:p>
          <w:p w14:paraId="68EC0DA9">
            <w:pPr>
              <w:spacing w:line="360" w:lineRule="auto"/>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rPr>
              <w:t xml:space="preserve"> 邮政编码：</w:t>
            </w:r>
            <w:r>
              <w:rPr>
                <w:rFonts w:hint="eastAsia" w:ascii="宋体" w:hAnsi="宋体"/>
                <w:sz w:val="24"/>
                <w:szCs w:val="24"/>
                <w:u w:val="single"/>
              </w:rPr>
              <w:t xml:space="preserve">                </w:t>
            </w:r>
          </w:p>
        </w:tc>
      </w:tr>
      <w:tr w14:paraId="65233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7" w:hRule="exact"/>
          <w:jc w:val="center"/>
        </w:trPr>
        <w:tc>
          <w:tcPr>
            <w:tcW w:w="795" w:type="dxa"/>
            <w:vAlign w:val="center"/>
          </w:tcPr>
          <w:p w14:paraId="58EEC356">
            <w:pPr>
              <w:spacing w:line="360" w:lineRule="auto"/>
              <w:jc w:val="center"/>
              <w:rPr>
                <w:rFonts w:ascii="宋体" w:hAnsi="宋体"/>
                <w:sz w:val="24"/>
                <w:szCs w:val="24"/>
              </w:rPr>
            </w:pPr>
            <w:r>
              <w:rPr>
                <w:rFonts w:hint="eastAsia" w:ascii="宋体" w:hAnsi="宋体"/>
                <w:sz w:val="24"/>
                <w:szCs w:val="24"/>
              </w:rPr>
              <w:t>3</w:t>
            </w:r>
          </w:p>
        </w:tc>
        <w:tc>
          <w:tcPr>
            <w:tcW w:w="1134" w:type="dxa"/>
            <w:vAlign w:val="center"/>
          </w:tcPr>
          <w:p w14:paraId="6536CBDB">
            <w:pPr>
              <w:spacing w:line="360" w:lineRule="auto"/>
              <w:jc w:val="center"/>
              <w:rPr>
                <w:rFonts w:ascii="宋体" w:hAnsi="宋体"/>
                <w:sz w:val="24"/>
                <w:szCs w:val="24"/>
              </w:rPr>
            </w:pPr>
            <w:r>
              <w:rPr>
                <w:rFonts w:hint="eastAsia" w:ascii="宋体" w:hAnsi="宋体"/>
                <w:sz w:val="24"/>
                <w:szCs w:val="24"/>
              </w:rPr>
              <w:t>1.1.4.5</w:t>
            </w:r>
          </w:p>
        </w:tc>
        <w:tc>
          <w:tcPr>
            <w:tcW w:w="7710" w:type="dxa"/>
            <w:vAlign w:val="center"/>
          </w:tcPr>
          <w:p w14:paraId="0F4DF33E">
            <w:pPr>
              <w:spacing w:line="360" w:lineRule="auto"/>
              <w:rPr>
                <w:rFonts w:ascii="宋体" w:hAnsi="宋体"/>
                <w:sz w:val="24"/>
                <w:szCs w:val="24"/>
              </w:rPr>
            </w:pPr>
            <w:r>
              <w:rPr>
                <w:rFonts w:hint="eastAsia" w:ascii="宋体" w:hAnsi="宋体"/>
                <w:sz w:val="24"/>
                <w:szCs w:val="24"/>
              </w:rPr>
              <w:t>缺陷责任期：自实际交工日期起计算</w:t>
            </w:r>
            <w:r>
              <w:rPr>
                <w:rFonts w:hint="eastAsia" w:ascii="宋体" w:hAnsi="宋体"/>
                <w:sz w:val="24"/>
                <w:szCs w:val="24"/>
                <w:u w:val="single"/>
              </w:rPr>
              <w:t xml:space="preserve">  1   </w:t>
            </w:r>
            <w:r>
              <w:rPr>
                <w:rFonts w:hint="eastAsia" w:ascii="宋体" w:hAnsi="宋体"/>
                <w:sz w:val="24"/>
                <w:szCs w:val="24"/>
              </w:rPr>
              <w:t>年</w:t>
            </w:r>
          </w:p>
        </w:tc>
      </w:tr>
      <w:tr w14:paraId="6F3A4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8" w:hRule="atLeast"/>
          <w:jc w:val="center"/>
        </w:trPr>
        <w:tc>
          <w:tcPr>
            <w:tcW w:w="795" w:type="dxa"/>
            <w:vAlign w:val="center"/>
          </w:tcPr>
          <w:p w14:paraId="6F217F27">
            <w:pPr>
              <w:spacing w:line="360" w:lineRule="auto"/>
              <w:jc w:val="center"/>
              <w:rPr>
                <w:rFonts w:ascii="宋体" w:hAnsi="宋体"/>
                <w:sz w:val="24"/>
                <w:szCs w:val="24"/>
              </w:rPr>
            </w:pPr>
            <w:r>
              <w:rPr>
                <w:rFonts w:hint="eastAsia" w:ascii="宋体" w:hAnsi="宋体"/>
                <w:sz w:val="24"/>
                <w:szCs w:val="24"/>
              </w:rPr>
              <w:t>4</w:t>
            </w:r>
          </w:p>
        </w:tc>
        <w:tc>
          <w:tcPr>
            <w:tcW w:w="1134" w:type="dxa"/>
            <w:vAlign w:val="center"/>
          </w:tcPr>
          <w:p w14:paraId="0EEABBBB">
            <w:pPr>
              <w:spacing w:line="360" w:lineRule="auto"/>
              <w:jc w:val="center"/>
              <w:rPr>
                <w:rFonts w:ascii="宋体" w:hAnsi="宋体"/>
                <w:sz w:val="24"/>
                <w:szCs w:val="24"/>
              </w:rPr>
            </w:pPr>
            <w:r>
              <w:rPr>
                <w:rFonts w:hint="eastAsia" w:ascii="宋体" w:hAnsi="宋体"/>
                <w:sz w:val="24"/>
                <w:szCs w:val="24"/>
              </w:rPr>
              <w:t>1.6.3</w:t>
            </w:r>
          </w:p>
        </w:tc>
        <w:tc>
          <w:tcPr>
            <w:tcW w:w="7710" w:type="dxa"/>
            <w:vAlign w:val="center"/>
          </w:tcPr>
          <w:p w14:paraId="46957750">
            <w:pPr>
              <w:spacing w:line="360" w:lineRule="auto"/>
              <w:rPr>
                <w:rFonts w:ascii="宋体" w:hAnsi="宋体"/>
                <w:sz w:val="24"/>
                <w:szCs w:val="24"/>
              </w:rPr>
            </w:pPr>
            <w:r>
              <w:rPr>
                <w:rFonts w:hint="eastAsia" w:ascii="宋体" w:hAnsi="宋体"/>
                <w:sz w:val="24"/>
                <w:szCs w:val="24"/>
              </w:rPr>
              <w:t>图纸需要修改和补充的，应由监理人取得发包人同意后，在该项工程或工程相应部位施工前</w:t>
            </w:r>
            <w:r>
              <w:rPr>
                <w:rFonts w:hint="eastAsia" w:ascii="宋体" w:hAnsi="宋体"/>
                <w:sz w:val="24"/>
                <w:szCs w:val="24"/>
                <w:u w:val="single"/>
              </w:rPr>
              <w:t xml:space="preserve">  7 </w:t>
            </w:r>
            <w:r>
              <w:rPr>
                <w:rFonts w:hint="eastAsia" w:ascii="宋体" w:hAnsi="宋体"/>
                <w:sz w:val="24"/>
                <w:szCs w:val="24"/>
              </w:rPr>
              <w:t>天签发图纸修改图给承包人</w:t>
            </w:r>
          </w:p>
        </w:tc>
      </w:tr>
      <w:tr w14:paraId="2FB10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795" w:type="dxa"/>
            <w:vAlign w:val="center"/>
          </w:tcPr>
          <w:p w14:paraId="5BB0B059">
            <w:pPr>
              <w:spacing w:line="360" w:lineRule="auto"/>
              <w:jc w:val="center"/>
              <w:rPr>
                <w:rFonts w:ascii="宋体" w:hAnsi="宋体"/>
                <w:sz w:val="24"/>
                <w:szCs w:val="24"/>
              </w:rPr>
            </w:pPr>
            <w:r>
              <w:rPr>
                <w:rFonts w:hint="eastAsia" w:ascii="宋体" w:hAnsi="宋体"/>
                <w:sz w:val="24"/>
                <w:szCs w:val="24"/>
              </w:rPr>
              <w:t>5</w:t>
            </w:r>
          </w:p>
        </w:tc>
        <w:tc>
          <w:tcPr>
            <w:tcW w:w="1134" w:type="dxa"/>
            <w:vAlign w:val="center"/>
          </w:tcPr>
          <w:p w14:paraId="368F1A7E">
            <w:pPr>
              <w:spacing w:line="360" w:lineRule="auto"/>
              <w:jc w:val="center"/>
              <w:rPr>
                <w:rFonts w:ascii="宋体" w:hAnsi="宋体"/>
                <w:sz w:val="24"/>
                <w:szCs w:val="24"/>
              </w:rPr>
            </w:pPr>
            <w:r>
              <w:rPr>
                <w:rFonts w:hint="eastAsia" w:ascii="宋体" w:hAnsi="宋体"/>
                <w:sz w:val="24"/>
                <w:szCs w:val="24"/>
              </w:rPr>
              <w:t>3.1.1</w:t>
            </w:r>
          </w:p>
        </w:tc>
        <w:tc>
          <w:tcPr>
            <w:tcW w:w="7710" w:type="dxa"/>
            <w:vAlign w:val="center"/>
          </w:tcPr>
          <w:p w14:paraId="07A707A1">
            <w:pPr>
              <w:spacing w:line="360" w:lineRule="auto"/>
              <w:rPr>
                <w:rFonts w:ascii="宋体" w:hAnsi="宋体"/>
                <w:sz w:val="24"/>
                <w:szCs w:val="24"/>
              </w:rPr>
            </w:pPr>
            <w:r>
              <w:rPr>
                <w:rFonts w:hint="eastAsia" w:ascii="宋体" w:hAnsi="宋体"/>
                <w:sz w:val="24"/>
                <w:szCs w:val="24"/>
              </w:rPr>
              <w:t>所有的变更必须得到业主的审核及批准</w:t>
            </w:r>
          </w:p>
        </w:tc>
      </w:tr>
      <w:tr w14:paraId="6EB94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jc w:val="center"/>
        </w:trPr>
        <w:tc>
          <w:tcPr>
            <w:tcW w:w="795" w:type="dxa"/>
            <w:vAlign w:val="center"/>
          </w:tcPr>
          <w:p w14:paraId="6D1D3381">
            <w:pPr>
              <w:spacing w:line="360" w:lineRule="auto"/>
              <w:jc w:val="center"/>
              <w:rPr>
                <w:rFonts w:ascii="宋体" w:hAnsi="宋体"/>
                <w:sz w:val="24"/>
                <w:szCs w:val="24"/>
              </w:rPr>
            </w:pPr>
            <w:r>
              <w:rPr>
                <w:rFonts w:hint="eastAsia" w:ascii="宋体" w:hAnsi="宋体"/>
                <w:sz w:val="24"/>
                <w:szCs w:val="24"/>
              </w:rPr>
              <w:t>6</w:t>
            </w:r>
          </w:p>
        </w:tc>
        <w:tc>
          <w:tcPr>
            <w:tcW w:w="1134" w:type="dxa"/>
            <w:vAlign w:val="center"/>
          </w:tcPr>
          <w:p w14:paraId="3FFC0C2B">
            <w:pPr>
              <w:spacing w:line="360" w:lineRule="auto"/>
              <w:jc w:val="center"/>
              <w:rPr>
                <w:rFonts w:ascii="宋体" w:hAnsi="宋体"/>
                <w:sz w:val="24"/>
                <w:szCs w:val="24"/>
              </w:rPr>
            </w:pPr>
            <w:r>
              <w:rPr>
                <w:rFonts w:hint="eastAsia" w:ascii="宋体" w:hAnsi="宋体"/>
                <w:sz w:val="24"/>
                <w:szCs w:val="24"/>
              </w:rPr>
              <w:t>11.5</w:t>
            </w:r>
          </w:p>
        </w:tc>
        <w:tc>
          <w:tcPr>
            <w:tcW w:w="7710" w:type="dxa"/>
            <w:vAlign w:val="center"/>
          </w:tcPr>
          <w:p w14:paraId="0AD86BB3">
            <w:pPr>
              <w:spacing w:line="360" w:lineRule="auto"/>
              <w:rPr>
                <w:rFonts w:ascii="宋体" w:hAnsi="宋体"/>
                <w:sz w:val="24"/>
                <w:szCs w:val="24"/>
              </w:rPr>
            </w:pPr>
            <w:r>
              <w:rPr>
                <w:rFonts w:hint="eastAsia" w:ascii="宋体" w:hAnsi="宋体"/>
                <w:sz w:val="24"/>
                <w:szCs w:val="24"/>
              </w:rPr>
              <w:t>逾期交工违约金：</w:t>
            </w:r>
            <w:r>
              <w:rPr>
                <w:rFonts w:hint="eastAsia" w:ascii="宋体" w:hAnsi="宋体"/>
                <w:sz w:val="24"/>
                <w:szCs w:val="24"/>
                <w:u w:val="single"/>
              </w:rPr>
              <w:t xml:space="preserve"> 1000 </w:t>
            </w:r>
            <w:r>
              <w:rPr>
                <w:rFonts w:hint="eastAsia" w:ascii="宋体" w:hAnsi="宋体"/>
                <w:sz w:val="24"/>
                <w:szCs w:val="24"/>
              </w:rPr>
              <w:t>元/天</w:t>
            </w:r>
          </w:p>
        </w:tc>
      </w:tr>
      <w:tr w14:paraId="11FE08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95" w:type="dxa"/>
            <w:vAlign w:val="center"/>
          </w:tcPr>
          <w:p w14:paraId="7B35D5CB">
            <w:pPr>
              <w:spacing w:line="360" w:lineRule="auto"/>
              <w:jc w:val="center"/>
              <w:rPr>
                <w:rFonts w:ascii="宋体" w:hAnsi="宋体"/>
                <w:sz w:val="24"/>
                <w:szCs w:val="24"/>
              </w:rPr>
            </w:pPr>
            <w:r>
              <w:rPr>
                <w:rFonts w:hint="eastAsia" w:ascii="宋体" w:hAnsi="宋体"/>
                <w:sz w:val="24"/>
                <w:szCs w:val="24"/>
              </w:rPr>
              <w:t>7</w:t>
            </w:r>
          </w:p>
        </w:tc>
        <w:tc>
          <w:tcPr>
            <w:tcW w:w="1134" w:type="dxa"/>
            <w:vAlign w:val="center"/>
          </w:tcPr>
          <w:p w14:paraId="1E4DFF79">
            <w:pPr>
              <w:spacing w:line="360" w:lineRule="auto"/>
              <w:jc w:val="center"/>
              <w:rPr>
                <w:rFonts w:ascii="宋体" w:hAnsi="宋体"/>
                <w:sz w:val="24"/>
                <w:szCs w:val="24"/>
              </w:rPr>
            </w:pPr>
            <w:r>
              <w:rPr>
                <w:rFonts w:hint="eastAsia" w:ascii="宋体" w:hAnsi="宋体"/>
                <w:sz w:val="24"/>
                <w:szCs w:val="24"/>
              </w:rPr>
              <w:t>11.5</w:t>
            </w:r>
          </w:p>
        </w:tc>
        <w:tc>
          <w:tcPr>
            <w:tcW w:w="7710" w:type="dxa"/>
            <w:vAlign w:val="center"/>
          </w:tcPr>
          <w:p w14:paraId="6A92C370">
            <w:pPr>
              <w:spacing w:line="360" w:lineRule="auto"/>
              <w:rPr>
                <w:rFonts w:ascii="宋体" w:hAnsi="宋体"/>
                <w:sz w:val="24"/>
                <w:szCs w:val="24"/>
              </w:rPr>
            </w:pPr>
            <w:r>
              <w:rPr>
                <w:rFonts w:hint="eastAsia" w:ascii="宋体" w:hAnsi="宋体"/>
                <w:sz w:val="24"/>
                <w:szCs w:val="24"/>
              </w:rPr>
              <w:t>逾期交工违约金限额：</w:t>
            </w:r>
            <w:r>
              <w:rPr>
                <w:rFonts w:hint="eastAsia" w:ascii="宋体" w:hAnsi="宋体"/>
                <w:sz w:val="24"/>
                <w:szCs w:val="24"/>
                <w:u w:val="single"/>
              </w:rPr>
              <w:t xml:space="preserve"> 10 </w:t>
            </w:r>
            <w:r>
              <w:rPr>
                <w:rFonts w:hint="eastAsia" w:ascii="宋体" w:hAnsi="宋体"/>
                <w:sz w:val="24"/>
                <w:szCs w:val="24"/>
              </w:rPr>
              <w:t>%签约合同价</w:t>
            </w:r>
          </w:p>
        </w:tc>
      </w:tr>
      <w:tr w14:paraId="1FF79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jc w:val="center"/>
        </w:trPr>
        <w:tc>
          <w:tcPr>
            <w:tcW w:w="795" w:type="dxa"/>
            <w:vAlign w:val="center"/>
          </w:tcPr>
          <w:p w14:paraId="0312CFB1">
            <w:pPr>
              <w:spacing w:line="360" w:lineRule="auto"/>
              <w:jc w:val="center"/>
              <w:rPr>
                <w:rFonts w:ascii="宋体" w:hAnsi="宋体"/>
                <w:sz w:val="24"/>
                <w:szCs w:val="24"/>
              </w:rPr>
            </w:pPr>
            <w:r>
              <w:rPr>
                <w:rFonts w:hint="eastAsia" w:ascii="宋体" w:hAnsi="宋体"/>
                <w:sz w:val="24"/>
                <w:szCs w:val="24"/>
              </w:rPr>
              <w:t>8</w:t>
            </w:r>
          </w:p>
        </w:tc>
        <w:tc>
          <w:tcPr>
            <w:tcW w:w="1134" w:type="dxa"/>
            <w:vAlign w:val="center"/>
          </w:tcPr>
          <w:p w14:paraId="5A285C82">
            <w:pPr>
              <w:spacing w:line="360" w:lineRule="auto"/>
              <w:jc w:val="center"/>
              <w:rPr>
                <w:rFonts w:ascii="宋体" w:hAnsi="宋体"/>
                <w:sz w:val="24"/>
                <w:szCs w:val="24"/>
              </w:rPr>
            </w:pPr>
            <w:r>
              <w:rPr>
                <w:rFonts w:hint="eastAsia" w:ascii="宋体" w:hAnsi="宋体"/>
                <w:sz w:val="24"/>
                <w:szCs w:val="24"/>
              </w:rPr>
              <w:t>11.6</w:t>
            </w:r>
          </w:p>
        </w:tc>
        <w:tc>
          <w:tcPr>
            <w:tcW w:w="7710" w:type="dxa"/>
            <w:vAlign w:val="center"/>
          </w:tcPr>
          <w:p w14:paraId="6419E205">
            <w:pPr>
              <w:spacing w:line="360" w:lineRule="auto"/>
              <w:rPr>
                <w:rFonts w:ascii="宋体" w:hAnsi="宋体"/>
                <w:sz w:val="24"/>
                <w:szCs w:val="24"/>
              </w:rPr>
            </w:pPr>
            <w:r>
              <w:rPr>
                <w:rFonts w:hint="eastAsia" w:ascii="宋体" w:hAnsi="宋体"/>
                <w:sz w:val="24"/>
                <w:szCs w:val="24"/>
              </w:rPr>
              <w:t>提前交工的奖金限额：</w:t>
            </w:r>
            <w:r>
              <w:rPr>
                <w:rFonts w:hint="eastAsia" w:ascii="宋体" w:hAnsi="宋体"/>
                <w:sz w:val="24"/>
                <w:szCs w:val="24"/>
                <w:u w:val="single"/>
              </w:rPr>
              <w:t xml:space="preserve">  0   </w:t>
            </w:r>
            <w:r>
              <w:rPr>
                <w:rFonts w:hint="eastAsia" w:ascii="宋体" w:hAnsi="宋体"/>
                <w:sz w:val="24"/>
                <w:szCs w:val="24"/>
              </w:rPr>
              <w:t>%签约合同价</w:t>
            </w:r>
          </w:p>
        </w:tc>
      </w:tr>
      <w:tr w14:paraId="2B185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exact"/>
          <w:jc w:val="center"/>
        </w:trPr>
        <w:tc>
          <w:tcPr>
            <w:tcW w:w="795" w:type="dxa"/>
            <w:vAlign w:val="center"/>
          </w:tcPr>
          <w:p w14:paraId="1CC44C13">
            <w:pPr>
              <w:spacing w:line="360" w:lineRule="auto"/>
              <w:jc w:val="center"/>
              <w:rPr>
                <w:rFonts w:ascii="宋体" w:hAnsi="宋体"/>
                <w:sz w:val="24"/>
                <w:szCs w:val="24"/>
              </w:rPr>
            </w:pPr>
            <w:r>
              <w:rPr>
                <w:rFonts w:hint="eastAsia" w:ascii="宋体" w:hAnsi="宋体"/>
                <w:sz w:val="24"/>
                <w:szCs w:val="24"/>
              </w:rPr>
              <w:t>9</w:t>
            </w:r>
          </w:p>
        </w:tc>
        <w:tc>
          <w:tcPr>
            <w:tcW w:w="1134" w:type="dxa"/>
            <w:vAlign w:val="center"/>
          </w:tcPr>
          <w:p w14:paraId="08555621">
            <w:pPr>
              <w:spacing w:line="360" w:lineRule="auto"/>
              <w:jc w:val="center"/>
              <w:rPr>
                <w:rFonts w:ascii="宋体" w:hAnsi="宋体"/>
                <w:sz w:val="24"/>
                <w:szCs w:val="24"/>
              </w:rPr>
            </w:pPr>
            <w:r>
              <w:rPr>
                <w:rFonts w:hint="eastAsia" w:ascii="宋体" w:hAnsi="宋体"/>
                <w:sz w:val="24"/>
                <w:szCs w:val="24"/>
              </w:rPr>
              <w:t>16.1.1</w:t>
            </w:r>
          </w:p>
        </w:tc>
        <w:tc>
          <w:tcPr>
            <w:tcW w:w="7710" w:type="dxa"/>
            <w:vAlign w:val="center"/>
          </w:tcPr>
          <w:p w14:paraId="3DDA0717">
            <w:pPr>
              <w:spacing w:line="360" w:lineRule="auto"/>
              <w:rPr>
                <w:rFonts w:ascii="宋体" w:hAnsi="宋体"/>
                <w:sz w:val="24"/>
                <w:szCs w:val="24"/>
              </w:rPr>
            </w:pPr>
            <w:r>
              <w:rPr>
                <w:rFonts w:hint="eastAsia" w:ascii="宋体" w:hAnsi="宋体"/>
                <w:sz w:val="24"/>
                <w:szCs w:val="24"/>
              </w:rPr>
              <w:t>因物价波动引起的价格调整：合同期内不调价</w:t>
            </w:r>
          </w:p>
        </w:tc>
      </w:tr>
      <w:tr w14:paraId="7B54E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795" w:type="dxa"/>
            <w:vAlign w:val="center"/>
          </w:tcPr>
          <w:p w14:paraId="2D8B2B06">
            <w:pPr>
              <w:spacing w:line="360" w:lineRule="auto"/>
              <w:jc w:val="center"/>
              <w:rPr>
                <w:rFonts w:ascii="宋体" w:hAnsi="宋体"/>
                <w:sz w:val="24"/>
                <w:szCs w:val="24"/>
              </w:rPr>
            </w:pPr>
            <w:r>
              <w:rPr>
                <w:rFonts w:hint="eastAsia" w:ascii="宋体" w:hAnsi="宋体"/>
                <w:sz w:val="24"/>
                <w:szCs w:val="24"/>
              </w:rPr>
              <w:t>10</w:t>
            </w:r>
          </w:p>
        </w:tc>
        <w:tc>
          <w:tcPr>
            <w:tcW w:w="1134" w:type="dxa"/>
            <w:vAlign w:val="center"/>
          </w:tcPr>
          <w:p w14:paraId="08CC088C">
            <w:pPr>
              <w:spacing w:line="360" w:lineRule="auto"/>
              <w:jc w:val="center"/>
              <w:rPr>
                <w:rFonts w:ascii="宋体" w:hAnsi="宋体"/>
                <w:sz w:val="24"/>
                <w:szCs w:val="24"/>
              </w:rPr>
            </w:pPr>
            <w:r>
              <w:rPr>
                <w:rFonts w:hint="eastAsia" w:ascii="宋体" w:hAnsi="宋体"/>
                <w:sz w:val="24"/>
                <w:szCs w:val="24"/>
              </w:rPr>
              <w:t>17.2.1</w:t>
            </w:r>
          </w:p>
        </w:tc>
        <w:tc>
          <w:tcPr>
            <w:tcW w:w="7710" w:type="dxa"/>
            <w:vAlign w:val="center"/>
          </w:tcPr>
          <w:p w14:paraId="0B4C9C57">
            <w:pPr>
              <w:spacing w:line="360" w:lineRule="auto"/>
              <w:rPr>
                <w:rFonts w:ascii="宋体" w:hAnsi="宋体"/>
                <w:sz w:val="24"/>
                <w:szCs w:val="24"/>
              </w:rPr>
            </w:pPr>
            <w:r>
              <w:rPr>
                <w:rFonts w:hint="eastAsia" w:ascii="宋体" w:hAnsi="宋体"/>
                <w:sz w:val="24"/>
                <w:szCs w:val="24"/>
              </w:rPr>
              <w:t>开工预付款金额：</w:t>
            </w:r>
            <w:r>
              <w:rPr>
                <w:rFonts w:hint="eastAsia" w:ascii="宋体" w:hAnsi="宋体"/>
                <w:sz w:val="24"/>
                <w:szCs w:val="24"/>
                <w:u w:val="single"/>
              </w:rPr>
              <w:t xml:space="preserve">  0   </w:t>
            </w:r>
            <w:r>
              <w:rPr>
                <w:rFonts w:hint="eastAsia" w:ascii="宋体" w:hAnsi="宋体"/>
                <w:sz w:val="24"/>
                <w:szCs w:val="24"/>
              </w:rPr>
              <w:t>%签约合同价</w:t>
            </w:r>
          </w:p>
        </w:tc>
      </w:tr>
      <w:tr w14:paraId="45D61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 w:hRule="atLeast"/>
          <w:jc w:val="center"/>
        </w:trPr>
        <w:tc>
          <w:tcPr>
            <w:tcW w:w="795" w:type="dxa"/>
            <w:vAlign w:val="center"/>
          </w:tcPr>
          <w:p w14:paraId="11EF9763">
            <w:pPr>
              <w:spacing w:line="360" w:lineRule="auto"/>
              <w:jc w:val="center"/>
              <w:rPr>
                <w:rFonts w:ascii="宋体" w:hAnsi="宋体"/>
                <w:sz w:val="24"/>
                <w:szCs w:val="24"/>
              </w:rPr>
            </w:pPr>
            <w:r>
              <w:rPr>
                <w:rFonts w:hint="eastAsia" w:ascii="宋体" w:hAnsi="宋体"/>
                <w:sz w:val="24"/>
                <w:szCs w:val="24"/>
              </w:rPr>
              <w:t>11</w:t>
            </w:r>
          </w:p>
        </w:tc>
        <w:tc>
          <w:tcPr>
            <w:tcW w:w="1134" w:type="dxa"/>
            <w:vAlign w:val="center"/>
          </w:tcPr>
          <w:p w14:paraId="3B8EEF57">
            <w:pPr>
              <w:spacing w:line="360" w:lineRule="auto"/>
              <w:jc w:val="center"/>
              <w:rPr>
                <w:rFonts w:ascii="宋体" w:hAnsi="宋体"/>
                <w:sz w:val="24"/>
                <w:szCs w:val="24"/>
              </w:rPr>
            </w:pPr>
            <w:r>
              <w:rPr>
                <w:rFonts w:hint="eastAsia" w:ascii="宋体" w:hAnsi="宋体"/>
                <w:sz w:val="24"/>
                <w:szCs w:val="24"/>
              </w:rPr>
              <w:t>17.3.2</w:t>
            </w:r>
          </w:p>
        </w:tc>
        <w:tc>
          <w:tcPr>
            <w:tcW w:w="7710" w:type="dxa"/>
            <w:vAlign w:val="center"/>
          </w:tcPr>
          <w:p w14:paraId="2CFEFB80">
            <w:pPr>
              <w:spacing w:line="360" w:lineRule="auto"/>
              <w:rPr>
                <w:rFonts w:ascii="宋体" w:hAnsi="宋体"/>
                <w:sz w:val="24"/>
                <w:szCs w:val="24"/>
              </w:rPr>
            </w:pPr>
            <w:r>
              <w:rPr>
                <w:rFonts w:hint="eastAsia" w:ascii="宋体" w:hAnsi="宋体"/>
                <w:sz w:val="24"/>
                <w:szCs w:val="24"/>
              </w:rPr>
              <w:t>承包人在每个付款周期末向监理人提交进度付款申请单的份数：</w:t>
            </w:r>
            <w:r>
              <w:rPr>
                <w:rFonts w:hint="eastAsia" w:ascii="宋体" w:hAnsi="宋体"/>
                <w:sz w:val="24"/>
                <w:szCs w:val="24"/>
                <w:u w:val="single"/>
              </w:rPr>
              <w:t xml:space="preserve"> 5 </w:t>
            </w:r>
            <w:r>
              <w:rPr>
                <w:rFonts w:hint="eastAsia" w:ascii="宋体" w:hAnsi="宋体"/>
                <w:sz w:val="24"/>
                <w:szCs w:val="24"/>
              </w:rPr>
              <w:t>份</w:t>
            </w:r>
          </w:p>
        </w:tc>
      </w:tr>
      <w:tr w14:paraId="27FFDA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95" w:type="dxa"/>
            <w:vAlign w:val="center"/>
          </w:tcPr>
          <w:p w14:paraId="131C680C">
            <w:pPr>
              <w:spacing w:line="360" w:lineRule="auto"/>
              <w:jc w:val="center"/>
              <w:rPr>
                <w:rFonts w:ascii="宋体" w:hAnsi="宋体"/>
                <w:sz w:val="24"/>
                <w:szCs w:val="24"/>
              </w:rPr>
            </w:pPr>
            <w:r>
              <w:rPr>
                <w:rFonts w:hint="eastAsia" w:ascii="宋体" w:hAnsi="宋体"/>
                <w:sz w:val="24"/>
                <w:szCs w:val="24"/>
              </w:rPr>
              <w:t>12</w:t>
            </w:r>
          </w:p>
        </w:tc>
        <w:tc>
          <w:tcPr>
            <w:tcW w:w="1134" w:type="dxa"/>
            <w:vAlign w:val="center"/>
          </w:tcPr>
          <w:p w14:paraId="741576CC">
            <w:pPr>
              <w:spacing w:line="360" w:lineRule="auto"/>
              <w:jc w:val="center"/>
              <w:rPr>
                <w:rFonts w:ascii="宋体" w:hAnsi="宋体"/>
                <w:sz w:val="24"/>
                <w:szCs w:val="24"/>
              </w:rPr>
            </w:pPr>
            <w:r>
              <w:rPr>
                <w:rFonts w:hint="eastAsia" w:ascii="宋体" w:hAnsi="宋体"/>
                <w:sz w:val="24"/>
                <w:szCs w:val="24"/>
              </w:rPr>
              <w:t>17.3.3（1）</w:t>
            </w:r>
          </w:p>
        </w:tc>
        <w:tc>
          <w:tcPr>
            <w:tcW w:w="7710" w:type="dxa"/>
            <w:vAlign w:val="center"/>
          </w:tcPr>
          <w:p w14:paraId="12E64824">
            <w:pPr>
              <w:spacing w:line="360" w:lineRule="auto"/>
              <w:rPr>
                <w:rFonts w:ascii="宋体" w:hAnsi="宋体"/>
                <w:sz w:val="24"/>
                <w:szCs w:val="24"/>
              </w:rPr>
            </w:pPr>
            <w:r>
              <w:rPr>
                <w:rFonts w:hint="eastAsia" w:ascii="宋体" w:hAnsi="宋体" w:cs="宋体"/>
                <w:sz w:val="24"/>
                <w:szCs w:val="24"/>
              </w:rPr>
              <w:t>进度付款证书最低限额：</w:t>
            </w:r>
            <w:r>
              <w:rPr>
                <w:rFonts w:hint="eastAsia" w:ascii="宋体" w:hAnsi="宋体" w:cs="宋体"/>
                <w:sz w:val="24"/>
                <w:szCs w:val="24"/>
                <w:u w:val="single"/>
              </w:rPr>
              <w:t>30</w:t>
            </w:r>
            <w:r>
              <w:rPr>
                <w:rFonts w:hint="eastAsia" w:ascii="宋体" w:hAnsi="宋体" w:cs="宋体"/>
                <w:sz w:val="24"/>
                <w:szCs w:val="24"/>
              </w:rPr>
              <w:t>万元</w:t>
            </w:r>
          </w:p>
        </w:tc>
      </w:tr>
      <w:tr w14:paraId="5E81D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5" w:type="dxa"/>
            <w:vAlign w:val="center"/>
          </w:tcPr>
          <w:p w14:paraId="46B45EE6">
            <w:pPr>
              <w:spacing w:line="360" w:lineRule="auto"/>
              <w:jc w:val="center"/>
              <w:rPr>
                <w:rFonts w:ascii="宋体" w:hAnsi="宋体"/>
                <w:sz w:val="24"/>
                <w:szCs w:val="24"/>
              </w:rPr>
            </w:pPr>
            <w:r>
              <w:rPr>
                <w:rFonts w:hint="eastAsia" w:ascii="宋体" w:hAnsi="宋体"/>
                <w:sz w:val="24"/>
                <w:szCs w:val="24"/>
              </w:rPr>
              <w:t>13</w:t>
            </w:r>
          </w:p>
        </w:tc>
        <w:tc>
          <w:tcPr>
            <w:tcW w:w="1134" w:type="dxa"/>
            <w:vAlign w:val="center"/>
          </w:tcPr>
          <w:p w14:paraId="51CA4C26">
            <w:pPr>
              <w:spacing w:line="360" w:lineRule="auto"/>
              <w:jc w:val="center"/>
              <w:rPr>
                <w:rFonts w:ascii="宋体" w:hAnsi="宋体"/>
                <w:sz w:val="24"/>
                <w:szCs w:val="24"/>
              </w:rPr>
            </w:pPr>
            <w:r>
              <w:rPr>
                <w:rFonts w:hint="eastAsia" w:ascii="宋体" w:hAnsi="宋体"/>
                <w:sz w:val="24"/>
                <w:szCs w:val="24"/>
              </w:rPr>
              <w:t>17.4.1</w:t>
            </w:r>
          </w:p>
        </w:tc>
        <w:tc>
          <w:tcPr>
            <w:tcW w:w="7710" w:type="dxa"/>
            <w:vAlign w:val="center"/>
          </w:tcPr>
          <w:p w14:paraId="64505419">
            <w:pPr>
              <w:spacing w:line="360" w:lineRule="auto"/>
              <w:rPr>
                <w:rFonts w:ascii="宋体" w:hAnsi="宋体"/>
                <w:sz w:val="24"/>
                <w:szCs w:val="24"/>
              </w:rPr>
            </w:pPr>
            <w:r>
              <w:rPr>
                <w:rFonts w:hint="eastAsia" w:ascii="宋体" w:hAnsi="宋体"/>
                <w:sz w:val="24"/>
                <w:szCs w:val="24"/>
              </w:rPr>
              <w:t>质量保证金百分比：月支付额的</w:t>
            </w:r>
            <w:r>
              <w:rPr>
                <w:rFonts w:hint="eastAsia" w:ascii="宋体" w:hAnsi="宋体"/>
                <w:sz w:val="24"/>
                <w:szCs w:val="24"/>
                <w:u w:val="single"/>
              </w:rPr>
              <w:t xml:space="preserve"> 10 </w:t>
            </w:r>
            <w:r>
              <w:rPr>
                <w:rFonts w:hint="eastAsia" w:ascii="宋体" w:hAnsi="宋体"/>
                <w:sz w:val="24"/>
                <w:szCs w:val="24"/>
              </w:rPr>
              <w:t>%</w:t>
            </w:r>
          </w:p>
        </w:tc>
      </w:tr>
      <w:tr w14:paraId="0B156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exact"/>
          <w:jc w:val="center"/>
        </w:trPr>
        <w:tc>
          <w:tcPr>
            <w:tcW w:w="795" w:type="dxa"/>
            <w:vAlign w:val="center"/>
          </w:tcPr>
          <w:p w14:paraId="247E2BBB">
            <w:pPr>
              <w:spacing w:line="360" w:lineRule="auto"/>
              <w:jc w:val="center"/>
              <w:rPr>
                <w:rFonts w:ascii="宋体" w:hAnsi="宋体"/>
                <w:sz w:val="24"/>
                <w:szCs w:val="24"/>
              </w:rPr>
            </w:pPr>
            <w:r>
              <w:rPr>
                <w:rFonts w:hint="eastAsia" w:ascii="宋体" w:hAnsi="宋体"/>
                <w:sz w:val="24"/>
                <w:szCs w:val="24"/>
              </w:rPr>
              <w:t>14</w:t>
            </w:r>
          </w:p>
        </w:tc>
        <w:tc>
          <w:tcPr>
            <w:tcW w:w="1134" w:type="dxa"/>
            <w:vAlign w:val="center"/>
          </w:tcPr>
          <w:p w14:paraId="6FBE21C5">
            <w:pPr>
              <w:spacing w:line="360" w:lineRule="auto"/>
              <w:jc w:val="center"/>
              <w:rPr>
                <w:rFonts w:ascii="宋体" w:hAnsi="宋体"/>
                <w:sz w:val="24"/>
                <w:szCs w:val="24"/>
              </w:rPr>
            </w:pPr>
            <w:r>
              <w:rPr>
                <w:rFonts w:hint="eastAsia" w:ascii="宋体" w:hAnsi="宋体"/>
                <w:sz w:val="24"/>
                <w:szCs w:val="24"/>
              </w:rPr>
              <w:t>17.4.1</w:t>
            </w:r>
          </w:p>
        </w:tc>
        <w:tc>
          <w:tcPr>
            <w:tcW w:w="7710" w:type="dxa"/>
            <w:vAlign w:val="center"/>
          </w:tcPr>
          <w:p w14:paraId="713E24FA">
            <w:pPr>
              <w:spacing w:line="360" w:lineRule="auto"/>
              <w:rPr>
                <w:rFonts w:ascii="宋体" w:hAnsi="宋体"/>
                <w:sz w:val="24"/>
                <w:szCs w:val="24"/>
              </w:rPr>
            </w:pPr>
            <w:r>
              <w:rPr>
                <w:rFonts w:hint="eastAsia" w:ascii="宋体" w:hAnsi="宋体"/>
                <w:sz w:val="24"/>
                <w:szCs w:val="24"/>
              </w:rPr>
              <w:t>质量保证金限额：</w:t>
            </w:r>
            <w:r>
              <w:rPr>
                <w:rFonts w:hint="eastAsia" w:ascii="宋体" w:hAnsi="宋体"/>
                <w:sz w:val="24"/>
                <w:szCs w:val="24"/>
                <w:u w:val="single"/>
              </w:rPr>
              <w:t xml:space="preserve"> 3 </w:t>
            </w:r>
            <w:r>
              <w:rPr>
                <w:rFonts w:hint="eastAsia" w:ascii="宋体" w:hAnsi="宋体"/>
                <w:sz w:val="24"/>
                <w:szCs w:val="24"/>
              </w:rPr>
              <w:t>%合同价格。</w:t>
            </w:r>
          </w:p>
        </w:tc>
      </w:tr>
      <w:tr w14:paraId="6336A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exact"/>
          <w:jc w:val="center"/>
        </w:trPr>
        <w:tc>
          <w:tcPr>
            <w:tcW w:w="795" w:type="dxa"/>
            <w:vAlign w:val="center"/>
          </w:tcPr>
          <w:p w14:paraId="2F6EDAF9">
            <w:pPr>
              <w:spacing w:line="360" w:lineRule="auto"/>
              <w:jc w:val="center"/>
              <w:rPr>
                <w:rFonts w:ascii="宋体" w:hAnsi="宋体"/>
                <w:sz w:val="24"/>
                <w:szCs w:val="24"/>
              </w:rPr>
            </w:pPr>
            <w:r>
              <w:rPr>
                <w:rFonts w:hint="eastAsia" w:ascii="宋体" w:hAnsi="宋体"/>
                <w:sz w:val="24"/>
                <w:szCs w:val="24"/>
              </w:rPr>
              <w:t>15</w:t>
            </w:r>
          </w:p>
        </w:tc>
        <w:tc>
          <w:tcPr>
            <w:tcW w:w="1134" w:type="dxa"/>
            <w:vAlign w:val="center"/>
          </w:tcPr>
          <w:p w14:paraId="53044806">
            <w:pPr>
              <w:spacing w:line="360" w:lineRule="auto"/>
              <w:jc w:val="center"/>
              <w:rPr>
                <w:rFonts w:ascii="宋体" w:hAnsi="宋体"/>
                <w:sz w:val="24"/>
                <w:szCs w:val="24"/>
              </w:rPr>
            </w:pPr>
            <w:r>
              <w:rPr>
                <w:rFonts w:hint="eastAsia" w:ascii="宋体" w:hAnsi="宋体"/>
                <w:sz w:val="24"/>
                <w:szCs w:val="24"/>
              </w:rPr>
              <w:t>17.5.1</w:t>
            </w:r>
          </w:p>
        </w:tc>
        <w:tc>
          <w:tcPr>
            <w:tcW w:w="7710" w:type="dxa"/>
            <w:vAlign w:val="center"/>
          </w:tcPr>
          <w:p w14:paraId="213A47FE">
            <w:pPr>
              <w:spacing w:line="360" w:lineRule="auto"/>
              <w:rPr>
                <w:rFonts w:ascii="宋体" w:hAnsi="宋体"/>
                <w:sz w:val="24"/>
                <w:szCs w:val="24"/>
              </w:rPr>
            </w:pPr>
            <w:r>
              <w:rPr>
                <w:rFonts w:hint="eastAsia" w:ascii="宋体" w:hAnsi="宋体"/>
                <w:sz w:val="24"/>
                <w:szCs w:val="24"/>
              </w:rPr>
              <w:t>承包人向监理人提交交工付款申请单（包括相关证明材料）的份数：</w:t>
            </w:r>
            <w:r>
              <w:rPr>
                <w:rFonts w:hint="eastAsia" w:ascii="宋体" w:hAnsi="宋体"/>
                <w:sz w:val="24"/>
                <w:szCs w:val="24"/>
                <w:u w:val="single"/>
              </w:rPr>
              <w:t xml:space="preserve"> 5  </w:t>
            </w:r>
            <w:r>
              <w:rPr>
                <w:rFonts w:hint="eastAsia" w:ascii="宋体" w:hAnsi="宋体"/>
                <w:sz w:val="24"/>
                <w:szCs w:val="24"/>
              </w:rPr>
              <w:t>份</w:t>
            </w:r>
          </w:p>
        </w:tc>
      </w:tr>
      <w:tr w14:paraId="04BBE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8" w:hRule="exact"/>
          <w:jc w:val="center"/>
        </w:trPr>
        <w:tc>
          <w:tcPr>
            <w:tcW w:w="795" w:type="dxa"/>
            <w:vAlign w:val="center"/>
          </w:tcPr>
          <w:p w14:paraId="5328B934">
            <w:pPr>
              <w:spacing w:line="360" w:lineRule="auto"/>
              <w:jc w:val="center"/>
              <w:rPr>
                <w:rFonts w:ascii="宋体" w:hAnsi="宋体"/>
                <w:sz w:val="24"/>
                <w:szCs w:val="24"/>
              </w:rPr>
            </w:pPr>
            <w:r>
              <w:rPr>
                <w:rFonts w:hint="eastAsia" w:ascii="宋体" w:hAnsi="宋体"/>
                <w:sz w:val="24"/>
                <w:szCs w:val="24"/>
              </w:rPr>
              <w:t>16</w:t>
            </w:r>
          </w:p>
        </w:tc>
        <w:tc>
          <w:tcPr>
            <w:tcW w:w="1134" w:type="dxa"/>
            <w:vAlign w:val="center"/>
          </w:tcPr>
          <w:p w14:paraId="3AEA4F18">
            <w:pPr>
              <w:spacing w:line="360" w:lineRule="auto"/>
              <w:jc w:val="center"/>
              <w:rPr>
                <w:rFonts w:ascii="宋体" w:hAnsi="宋体"/>
                <w:sz w:val="24"/>
                <w:szCs w:val="24"/>
              </w:rPr>
            </w:pPr>
            <w:r>
              <w:rPr>
                <w:rFonts w:hint="eastAsia" w:ascii="宋体" w:hAnsi="宋体"/>
                <w:sz w:val="24"/>
                <w:szCs w:val="24"/>
              </w:rPr>
              <w:t>17.6.1</w:t>
            </w:r>
          </w:p>
        </w:tc>
        <w:tc>
          <w:tcPr>
            <w:tcW w:w="7710" w:type="dxa"/>
            <w:vAlign w:val="center"/>
          </w:tcPr>
          <w:p w14:paraId="1BD30F57">
            <w:pPr>
              <w:spacing w:line="360" w:lineRule="auto"/>
              <w:rPr>
                <w:rFonts w:ascii="宋体" w:hAnsi="宋体"/>
                <w:sz w:val="24"/>
                <w:szCs w:val="24"/>
              </w:rPr>
            </w:pPr>
            <w:r>
              <w:rPr>
                <w:rFonts w:hint="eastAsia" w:ascii="宋体" w:hAnsi="宋体"/>
                <w:sz w:val="24"/>
                <w:szCs w:val="24"/>
              </w:rPr>
              <w:t>承包人向监理人提交最终结清申请单（包括相关证明材料）的份数：</w:t>
            </w:r>
            <w:r>
              <w:rPr>
                <w:rFonts w:hint="eastAsia" w:ascii="宋体" w:hAnsi="宋体"/>
                <w:sz w:val="24"/>
                <w:szCs w:val="24"/>
                <w:u w:val="single"/>
              </w:rPr>
              <w:t xml:space="preserve"> 5  </w:t>
            </w:r>
            <w:r>
              <w:rPr>
                <w:rFonts w:hint="eastAsia" w:ascii="宋体" w:hAnsi="宋体"/>
                <w:sz w:val="24"/>
                <w:szCs w:val="24"/>
              </w:rPr>
              <w:t>份</w:t>
            </w:r>
          </w:p>
        </w:tc>
      </w:tr>
      <w:tr w14:paraId="1B21E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exact"/>
          <w:jc w:val="center"/>
        </w:trPr>
        <w:tc>
          <w:tcPr>
            <w:tcW w:w="795" w:type="dxa"/>
            <w:vAlign w:val="center"/>
          </w:tcPr>
          <w:p w14:paraId="044AB851">
            <w:pPr>
              <w:spacing w:line="360" w:lineRule="auto"/>
              <w:jc w:val="center"/>
              <w:rPr>
                <w:rFonts w:ascii="宋体" w:hAnsi="宋体"/>
                <w:sz w:val="24"/>
                <w:szCs w:val="24"/>
              </w:rPr>
            </w:pPr>
            <w:r>
              <w:rPr>
                <w:rFonts w:hint="eastAsia" w:ascii="宋体" w:hAnsi="宋体"/>
                <w:sz w:val="24"/>
                <w:szCs w:val="24"/>
              </w:rPr>
              <w:t>17</w:t>
            </w:r>
          </w:p>
        </w:tc>
        <w:tc>
          <w:tcPr>
            <w:tcW w:w="1134" w:type="dxa"/>
            <w:vAlign w:val="center"/>
          </w:tcPr>
          <w:p w14:paraId="2273AE8E">
            <w:pPr>
              <w:spacing w:line="360" w:lineRule="auto"/>
              <w:jc w:val="center"/>
              <w:rPr>
                <w:rFonts w:ascii="宋体" w:hAnsi="宋体"/>
                <w:sz w:val="24"/>
                <w:szCs w:val="24"/>
              </w:rPr>
            </w:pPr>
            <w:r>
              <w:rPr>
                <w:rFonts w:hint="eastAsia" w:ascii="宋体" w:hAnsi="宋体"/>
                <w:sz w:val="24"/>
                <w:szCs w:val="24"/>
              </w:rPr>
              <w:t>18.2</w:t>
            </w:r>
          </w:p>
        </w:tc>
        <w:tc>
          <w:tcPr>
            <w:tcW w:w="7710" w:type="dxa"/>
            <w:vAlign w:val="center"/>
          </w:tcPr>
          <w:p w14:paraId="6C54EC4B">
            <w:pPr>
              <w:spacing w:line="360" w:lineRule="auto"/>
              <w:rPr>
                <w:rFonts w:ascii="宋体" w:hAnsi="宋体"/>
                <w:sz w:val="24"/>
                <w:szCs w:val="24"/>
              </w:rPr>
            </w:pPr>
            <w:r>
              <w:rPr>
                <w:rFonts w:hint="eastAsia" w:ascii="宋体" w:hAnsi="宋体"/>
                <w:sz w:val="24"/>
                <w:szCs w:val="24"/>
              </w:rPr>
              <w:t>竣工资料的份数：</w:t>
            </w:r>
            <w:r>
              <w:rPr>
                <w:rFonts w:hint="eastAsia" w:ascii="宋体" w:hAnsi="宋体"/>
                <w:sz w:val="24"/>
                <w:szCs w:val="24"/>
                <w:u w:val="single"/>
              </w:rPr>
              <w:t xml:space="preserve">   5  </w:t>
            </w:r>
            <w:r>
              <w:rPr>
                <w:rFonts w:hint="eastAsia" w:ascii="宋体" w:hAnsi="宋体"/>
                <w:sz w:val="24"/>
                <w:szCs w:val="24"/>
              </w:rPr>
              <w:t>份</w:t>
            </w:r>
          </w:p>
        </w:tc>
      </w:tr>
      <w:tr w14:paraId="060F2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exact"/>
          <w:jc w:val="center"/>
        </w:trPr>
        <w:tc>
          <w:tcPr>
            <w:tcW w:w="795" w:type="dxa"/>
            <w:vAlign w:val="center"/>
          </w:tcPr>
          <w:p w14:paraId="2A1DA8CD">
            <w:pPr>
              <w:spacing w:line="360" w:lineRule="auto"/>
              <w:jc w:val="center"/>
              <w:rPr>
                <w:rFonts w:ascii="宋体" w:hAnsi="宋体"/>
                <w:sz w:val="24"/>
                <w:szCs w:val="24"/>
              </w:rPr>
            </w:pPr>
            <w:r>
              <w:rPr>
                <w:rFonts w:hint="eastAsia" w:ascii="宋体" w:hAnsi="宋体"/>
                <w:sz w:val="24"/>
                <w:szCs w:val="24"/>
              </w:rPr>
              <w:t>18</w:t>
            </w:r>
          </w:p>
        </w:tc>
        <w:tc>
          <w:tcPr>
            <w:tcW w:w="1134" w:type="dxa"/>
            <w:vAlign w:val="center"/>
          </w:tcPr>
          <w:p w14:paraId="4C2EEBCA">
            <w:pPr>
              <w:spacing w:line="360" w:lineRule="auto"/>
              <w:jc w:val="center"/>
              <w:rPr>
                <w:rFonts w:ascii="宋体" w:hAnsi="宋体"/>
                <w:sz w:val="24"/>
                <w:szCs w:val="24"/>
              </w:rPr>
            </w:pPr>
            <w:r>
              <w:rPr>
                <w:rFonts w:hint="eastAsia" w:ascii="宋体" w:hAnsi="宋体"/>
                <w:sz w:val="24"/>
                <w:szCs w:val="24"/>
              </w:rPr>
              <w:t>19.7</w:t>
            </w:r>
          </w:p>
        </w:tc>
        <w:tc>
          <w:tcPr>
            <w:tcW w:w="7710" w:type="dxa"/>
            <w:vAlign w:val="center"/>
          </w:tcPr>
          <w:p w14:paraId="6589497B">
            <w:pPr>
              <w:spacing w:line="360" w:lineRule="auto"/>
              <w:rPr>
                <w:rFonts w:ascii="宋体" w:hAnsi="宋体"/>
                <w:sz w:val="24"/>
                <w:szCs w:val="24"/>
              </w:rPr>
            </w:pPr>
            <w:r>
              <w:rPr>
                <w:rFonts w:hint="eastAsia" w:ascii="宋体" w:hAnsi="宋体"/>
                <w:sz w:val="24"/>
                <w:szCs w:val="24"/>
              </w:rPr>
              <w:t>保修期：自实际交工日期起计算</w:t>
            </w:r>
            <w:r>
              <w:rPr>
                <w:rFonts w:hint="eastAsia" w:ascii="宋体" w:hAnsi="宋体"/>
                <w:sz w:val="24"/>
                <w:szCs w:val="24"/>
                <w:u w:val="single"/>
              </w:rPr>
              <w:t xml:space="preserve"> 1 </w:t>
            </w:r>
            <w:r>
              <w:rPr>
                <w:rFonts w:hint="eastAsia" w:ascii="宋体" w:hAnsi="宋体"/>
                <w:sz w:val="24"/>
                <w:szCs w:val="24"/>
              </w:rPr>
              <w:t>年</w:t>
            </w:r>
          </w:p>
        </w:tc>
      </w:tr>
      <w:tr w14:paraId="08927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4" w:hRule="exact"/>
          <w:jc w:val="center"/>
        </w:trPr>
        <w:tc>
          <w:tcPr>
            <w:tcW w:w="795" w:type="dxa"/>
            <w:vAlign w:val="center"/>
          </w:tcPr>
          <w:p w14:paraId="2140E5A9">
            <w:pPr>
              <w:spacing w:line="360" w:lineRule="auto"/>
              <w:jc w:val="center"/>
              <w:rPr>
                <w:rFonts w:ascii="宋体" w:hAnsi="宋体"/>
                <w:sz w:val="24"/>
                <w:szCs w:val="24"/>
              </w:rPr>
            </w:pPr>
            <w:r>
              <w:rPr>
                <w:rFonts w:hint="eastAsia" w:ascii="宋体" w:hAnsi="宋体"/>
                <w:sz w:val="24"/>
                <w:szCs w:val="24"/>
              </w:rPr>
              <w:t>19</w:t>
            </w:r>
          </w:p>
        </w:tc>
        <w:tc>
          <w:tcPr>
            <w:tcW w:w="1134" w:type="dxa"/>
            <w:vAlign w:val="center"/>
          </w:tcPr>
          <w:p w14:paraId="4279DD5B">
            <w:pPr>
              <w:spacing w:line="360" w:lineRule="auto"/>
              <w:jc w:val="center"/>
              <w:rPr>
                <w:rFonts w:ascii="宋体" w:hAnsi="宋体"/>
                <w:sz w:val="24"/>
                <w:szCs w:val="24"/>
              </w:rPr>
            </w:pPr>
            <w:r>
              <w:rPr>
                <w:rFonts w:hint="eastAsia" w:ascii="宋体" w:hAnsi="宋体"/>
                <w:sz w:val="24"/>
                <w:szCs w:val="24"/>
              </w:rPr>
              <w:t>24.1</w:t>
            </w:r>
          </w:p>
        </w:tc>
        <w:tc>
          <w:tcPr>
            <w:tcW w:w="7710" w:type="dxa"/>
            <w:vAlign w:val="center"/>
          </w:tcPr>
          <w:p w14:paraId="1816B9EF">
            <w:pPr>
              <w:spacing w:line="360" w:lineRule="auto"/>
              <w:rPr>
                <w:rFonts w:ascii="宋体" w:hAnsi="宋体"/>
                <w:sz w:val="24"/>
                <w:szCs w:val="24"/>
                <w:u w:val="single"/>
              </w:rPr>
            </w:pPr>
            <w:r>
              <w:rPr>
                <w:rFonts w:hint="eastAsia" w:ascii="宋体" w:hAnsi="宋体"/>
                <w:sz w:val="24"/>
                <w:szCs w:val="24"/>
              </w:rPr>
              <w:t>争议的最终解决方式：</w:t>
            </w:r>
            <w:r>
              <w:rPr>
                <w:rFonts w:hint="eastAsia" w:ascii="宋体" w:hAnsi="宋体"/>
                <w:sz w:val="24"/>
                <w:szCs w:val="24"/>
                <w:u w:val="single"/>
              </w:rPr>
              <w:t>仲裁或诉讼</w:t>
            </w:r>
          </w:p>
          <w:p w14:paraId="76789581">
            <w:pPr>
              <w:spacing w:line="360" w:lineRule="auto"/>
              <w:rPr>
                <w:rFonts w:ascii="宋体" w:hAnsi="宋体"/>
                <w:sz w:val="24"/>
                <w:szCs w:val="24"/>
              </w:rPr>
            </w:pPr>
            <w:r>
              <w:rPr>
                <w:rFonts w:hint="eastAsia" w:ascii="宋体" w:hAnsi="宋体"/>
                <w:sz w:val="24"/>
                <w:szCs w:val="24"/>
              </w:rPr>
              <w:t>如采用仲裁，仲裁委员会名称：项目所在地仲裁委员会</w:t>
            </w:r>
          </w:p>
        </w:tc>
      </w:tr>
    </w:tbl>
    <w:p w14:paraId="43B3BA08">
      <w:pPr>
        <w:spacing w:line="360" w:lineRule="auto"/>
        <w:ind w:left="840"/>
        <w:rPr>
          <w:rFonts w:ascii="宋体" w:hAnsi="宋体"/>
          <w:sz w:val="24"/>
          <w:szCs w:val="24"/>
        </w:rPr>
      </w:pPr>
    </w:p>
    <w:p w14:paraId="288BB4FF">
      <w:pPr>
        <w:spacing w:line="360" w:lineRule="auto"/>
        <w:ind w:left="840"/>
        <w:rPr>
          <w:rFonts w:ascii="宋体" w:hAnsi="宋体"/>
          <w:sz w:val="24"/>
          <w:szCs w:val="24"/>
        </w:rPr>
      </w:pPr>
    </w:p>
    <w:p w14:paraId="00F7EA79">
      <w:pPr>
        <w:spacing w:line="360" w:lineRule="auto"/>
        <w:ind w:left="840"/>
        <w:rPr>
          <w:rFonts w:ascii="宋体" w:hAnsi="宋体"/>
          <w:sz w:val="24"/>
          <w:szCs w:val="24"/>
        </w:rPr>
      </w:pPr>
    </w:p>
    <w:p w14:paraId="0D0C6FE5">
      <w:pPr>
        <w:spacing w:line="360" w:lineRule="auto"/>
        <w:ind w:left="840"/>
        <w:rPr>
          <w:rFonts w:ascii="宋体" w:hAnsi="宋体"/>
          <w:sz w:val="24"/>
          <w:szCs w:val="24"/>
        </w:rPr>
      </w:pPr>
    </w:p>
    <w:p w14:paraId="62CF5DCD">
      <w:pPr>
        <w:pStyle w:val="4"/>
        <w:spacing w:line="360" w:lineRule="auto"/>
        <w:rPr>
          <w:rFonts w:ascii="宋体" w:hAnsi="宋体"/>
          <w:sz w:val="24"/>
          <w:szCs w:val="24"/>
        </w:rPr>
      </w:pPr>
      <w:bookmarkStart w:id="493" w:name="_Toc485395253"/>
      <w:r>
        <w:rPr>
          <w:rFonts w:ascii="宋体" w:hAnsi="宋体"/>
          <w:sz w:val="24"/>
          <w:szCs w:val="24"/>
        </w:rPr>
        <w:br w:type="page"/>
      </w:r>
      <w:r>
        <w:rPr>
          <w:rFonts w:hint="eastAsia" w:ascii="宋体" w:hAnsi="宋体"/>
          <w:sz w:val="24"/>
          <w:szCs w:val="24"/>
        </w:rPr>
        <w:t>项目专用合同条款</w:t>
      </w:r>
      <w:bookmarkEnd w:id="493"/>
    </w:p>
    <w:p w14:paraId="7128B4D2">
      <w:pPr>
        <w:spacing w:line="360" w:lineRule="auto"/>
        <w:rPr>
          <w:rFonts w:ascii="宋体" w:hAnsi="宋体"/>
          <w:sz w:val="24"/>
          <w:szCs w:val="24"/>
        </w:rPr>
      </w:pPr>
      <w:r>
        <w:rPr>
          <w:rFonts w:hint="eastAsia" w:ascii="宋体" w:hAnsi="宋体"/>
          <w:sz w:val="24"/>
          <w:szCs w:val="24"/>
        </w:rPr>
        <w:t>说明：本部分所列的项目专用合同条款是对“公路工程专用合同条款”中规定必须在项目专用合同条款中明确的内容的集中，招标人编制的“项目专用合同条款”不限于本部分所列内容。</w:t>
      </w:r>
    </w:p>
    <w:p w14:paraId="302C7A3B">
      <w:pPr>
        <w:spacing w:line="360" w:lineRule="auto"/>
        <w:rPr>
          <w:rFonts w:ascii="宋体" w:hAnsi="宋体"/>
          <w:sz w:val="24"/>
          <w:szCs w:val="24"/>
        </w:rPr>
      </w:pPr>
      <w:bookmarkStart w:id="494" w:name="_Toc234382937"/>
      <w:r>
        <w:rPr>
          <w:rFonts w:hint="eastAsia" w:ascii="宋体" w:hAnsi="宋体"/>
          <w:sz w:val="24"/>
          <w:szCs w:val="24"/>
        </w:rPr>
        <w:t>4.1承包人的一般义务</w:t>
      </w:r>
      <w:bookmarkEnd w:id="494"/>
    </w:p>
    <w:p w14:paraId="5CC53C76">
      <w:pPr>
        <w:spacing w:line="360" w:lineRule="auto"/>
        <w:rPr>
          <w:rFonts w:ascii="宋体" w:hAnsi="宋体"/>
          <w:sz w:val="24"/>
          <w:szCs w:val="24"/>
        </w:rPr>
      </w:pPr>
      <w:r>
        <w:rPr>
          <w:rFonts w:hint="eastAsia" w:ascii="宋体" w:hAnsi="宋体"/>
          <w:sz w:val="24"/>
          <w:szCs w:val="24"/>
        </w:rPr>
        <w:t>4.1.10 其他义务</w:t>
      </w:r>
    </w:p>
    <w:p w14:paraId="58EC951D">
      <w:pPr>
        <w:spacing w:line="360" w:lineRule="auto"/>
        <w:rPr>
          <w:rFonts w:ascii="宋体" w:hAnsi="宋体"/>
          <w:sz w:val="24"/>
          <w:szCs w:val="24"/>
        </w:rPr>
      </w:pPr>
      <w:r>
        <w:rPr>
          <w:rFonts w:hint="eastAsia" w:ascii="宋体" w:hAnsi="宋体"/>
          <w:sz w:val="24"/>
          <w:szCs w:val="24"/>
        </w:rPr>
        <w:t>（4）承包人应履行的其他义务：</w:t>
      </w:r>
      <w:r>
        <w:rPr>
          <w:rFonts w:hint="eastAsia" w:ascii="宋体" w:hAnsi="宋体"/>
          <w:sz w:val="24"/>
          <w:szCs w:val="24"/>
          <w:u w:val="single"/>
        </w:rPr>
        <w:t xml:space="preserve">                                    </w:t>
      </w:r>
    </w:p>
    <w:p w14:paraId="55579E62">
      <w:pPr>
        <w:spacing w:line="360" w:lineRule="auto"/>
        <w:rPr>
          <w:rFonts w:ascii="宋体" w:hAnsi="宋体"/>
          <w:sz w:val="24"/>
          <w:szCs w:val="24"/>
        </w:rPr>
      </w:pPr>
      <w:bookmarkStart w:id="495" w:name="_Toc234382938"/>
      <w:r>
        <w:rPr>
          <w:rFonts w:hint="eastAsia" w:ascii="宋体" w:hAnsi="宋体"/>
          <w:sz w:val="24"/>
          <w:szCs w:val="24"/>
        </w:rPr>
        <w:t>4.11不利物质条件</w:t>
      </w:r>
      <w:bookmarkEnd w:id="495"/>
    </w:p>
    <w:p w14:paraId="23C090A3">
      <w:pPr>
        <w:spacing w:line="360" w:lineRule="auto"/>
        <w:rPr>
          <w:rFonts w:ascii="宋体" w:hAnsi="宋体"/>
          <w:sz w:val="24"/>
          <w:szCs w:val="24"/>
        </w:rPr>
      </w:pPr>
      <w:r>
        <w:rPr>
          <w:rFonts w:hint="eastAsia" w:ascii="宋体" w:hAnsi="宋体"/>
          <w:sz w:val="24"/>
          <w:szCs w:val="24"/>
        </w:rPr>
        <w:t>4.11.1不利物质条件的范围：</w:t>
      </w:r>
      <w:r>
        <w:rPr>
          <w:rFonts w:hint="eastAsia" w:ascii="宋体" w:hAnsi="宋体"/>
          <w:sz w:val="24"/>
          <w:szCs w:val="24"/>
          <w:u w:val="single"/>
        </w:rPr>
        <w:t xml:space="preserve">                                       </w:t>
      </w:r>
    </w:p>
    <w:p w14:paraId="2180D0C7">
      <w:pPr>
        <w:spacing w:line="360" w:lineRule="auto"/>
        <w:rPr>
          <w:rFonts w:ascii="宋体" w:hAnsi="宋体"/>
          <w:sz w:val="24"/>
          <w:szCs w:val="24"/>
        </w:rPr>
      </w:pPr>
      <w:bookmarkStart w:id="496" w:name="_Toc234382939"/>
      <w:r>
        <w:rPr>
          <w:rFonts w:hint="eastAsia" w:ascii="宋体" w:hAnsi="宋体"/>
          <w:sz w:val="24"/>
          <w:szCs w:val="24"/>
        </w:rPr>
        <w:t>10.1 合同进度计划</w:t>
      </w:r>
      <w:bookmarkEnd w:id="496"/>
    </w:p>
    <w:p w14:paraId="6B1AA228">
      <w:pPr>
        <w:spacing w:line="360" w:lineRule="auto"/>
        <w:rPr>
          <w:rFonts w:ascii="宋体" w:hAnsi="宋体"/>
          <w:sz w:val="24"/>
          <w:szCs w:val="24"/>
        </w:rPr>
      </w:pPr>
      <w:r>
        <w:rPr>
          <w:rFonts w:hint="eastAsia" w:ascii="宋体" w:hAnsi="宋体"/>
          <w:sz w:val="24"/>
          <w:szCs w:val="24"/>
        </w:rPr>
        <w:t>承包人编制施工方案的内容：</w:t>
      </w:r>
      <w:r>
        <w:rPr>
          <w:rFonts w:hint="eastAsia" w:ascii="宋体" w:hAnsi="宋体"/>
          <w:sz w:val="24"/>
          <w:szCs w:val="24"/>
          <w:u w:val="single"/>
        </w:rPr>
        <w:t xml:space="preserve">                                       </w:t>
      </w:r>
    </w:p>
    <w:p w14:paraId="3A297BAF">
      <w:pPr>
        <w:spacing w:line="360" w:lineRule="auto"/>
        <w:rPr>
          <w:rFonts w:ascii="宋体" w:hAnsi="宋体"/>
          <w:sz w:val="24"/>
          <w:szCs w:val="24"/>
        </w:rPr>
      </w:pPr>
      <w:bookmarkStart w:id="497" w:name="_Toc234382940"/>
      <w:r>
        <w:rPr>
          <w:rFonts w:hint="eastAsia" w:ascii="宋体" w:hAnsi="宋体"/>
          <w:sz w:val="24"/>
          <w:szCs w:val="24"/>
        </w:rPr>
        <w:t>11.4异常恶劣的气候条件</w:t>
      </w:r>
      <w:bookmarkEnd w:id="497"/>
    </w:p>
    <w:p w14:paraId="7B89407A">
      <w:pPr>
        <w:spacing w:line="360" w:lineRule="auto"/>
        <w:rPr>
          <w:rFonts w:ascii="宋体" w:hAnsi="宋体"/>
          <w:sz w:val="24"/>
          <w:szCs w:val="24"/>
        </w:rPr>
      </w:pPr>
      <w:r>
        <w:rPr>
          <w:rFonts w:hint="eastAsia" w:ascii="宋体" w:hAnsi="宋体"/>
          <w:sz w:val="24"/>
          <w:szCs w:val="24"/>
        </w:rPr>
        <w:t>异常恶劣的气候条件的范围：</w:t>
      </w:r>
      <w:r>
        <w:rPr>
          <w:rFonts w:hint="eastAsia" w:ascii="宋体" w:hAnsi="宋体"/>
          <w:sz w:val="24"/>
          <w:szCs w:val="24"/>
          <w:u w:val="single"/>
        </w:rPr>
        <w:t xml:space="preserve">                                      </w:t>
      </w:r>
    </w:p>
    <w:p w14:paraId="4B88C536">
      <w:pPr>
        <w:spacing w:line="360" w:lineRule="auto"/>
        <w:rPr>
          <w:rFonts w:ascii="宋体" w:hAnsi="宋体"/>
          <w:sz w:val="24"/>
          <w:szCs w:val="24"/>
        </w:rPr>
      </w:pPr>
      <w:bookmarkStart w:id="498" w:name="_Toc234382941"/>
      <w:r>
        <w:rPr>
          <w:rFonts w:hint="eastAsia" w:ascii="宋体" w:hAnsi="宋体"/>
          <w:sz w:val="24"/>
          <w:szCs w:val="24"/>
        </w:rPr>
        <w:t>12.1承包人暂停施工的责任</w:t>
      </w:r>
      <w:bookmarkEnd w:id="498"/>
    </w:p>
    <w:p w14:paraId="296B6B31">
      <w:pPr>
        <w:spacing w:line="360" w:lineRule="auto"/>
        <w:rPr>
          <w:rFonts w:ascii="宋体" w:hAnsi="宋体"/>
          <w:sz w:val="24"/>
          <w:szCs w:val="24"/>
        </w:rPr>
      </w:pPr>
      <w:r>
        <w:rPr>
          <w:rFonts w:hint="eastAsia" w:ascii="宋体" w:hAnsi="宋体"/>
          <w:sz w:val="24"/>
          <w:szCs w:val="24"/>
        </w:rPr>
        <w:t>12.1（6）由承包人承担的其他暂停施工：</w:t>
      </w:r>
      <w:r>
        <w:rPr>
          <w:rFonts w:hint="eastAsia" w:ascii="宋体" w:hAnsi="宋体"/>
          <w:sz w:val="24"/>
          <w:szCs w:val="24"/>
          <w:u w:val="single"/>
        </w:rPr>
        <w:t xml:space="preserve">                           </w:t>
      </w:r>
    </w:p>
    <w:p w14:paraId="67FE0BED">
      <w:pPr>
        <w:spacing w:line="360" w:lineRule="auto"/>
        <w:rPr>
          <w:rFonts w:ascii="宋体" w:hAnsi="宋体"/>
          <w:sz w:val="24"/>
          <w:szCs w:val="24"/>
        </w:rPr>
      </w:pPr>
      <w:bookmarkStart w:id="499" w:name="_Toc234382942"/>
      <w:r>
        <w:rPr>
          <w:rFonts w:hint="eastAsia" w:ascii="宋体" w:hAnsi="宋体"/>
          <w:sz w:val="24"/>
          <w:szCs w:val="24"/>
        </w:rPr>
        <w:t>21.1不可抗力的确认</w:t>
      </w:r>
      <w:bookmarkEnd w:id="499"/>
    </w:p>
    <w:p w14:paraId="07AE6898">
      <w:pPr>
        <w:spacing w:line="360" w:lineRule="auto"/>
        <w:rPr>
          <w:rFonts w:ascii="宋体" w:hAnsi="宋体"/>
          <w:sz w:val="24"/>
          <w:szCs w:val="24"/>
        </w:rPr>
      </w:pPr>
      <w:r>
        <w:rPr>
          <w:rFonts w:hint="eastAsia" w:ascii="宋体" w:hAnsi="宋体"/>
          <w:sz w:val="24"/>
          <w:szCs w:val="24"/>
        </w:rPr>
        <w:t>21.1.1（6）不可抗力的其他情形：</w:t>
      </w:r>
      <w:r>
        <w:rPr>
          <w:rFonts w:hint="eastAsia" w:ascii="宋体" w:hAnsi="宋体"/>
          <w:sz w:val="24"/>
          <w:szCs w:val="24"/>
          <w:u w:val="single"/>
        </w:rPr>
        <w:t xml:space="preserve">                                 </w:t>
      </w:r>
    </w:p>
    <w:p w14:paraId="33917E24">
      <w:pPr>
        <w:spacing w:line="360" w:lineRule="auto"/>
        <w:rPr>
          <w:rFonts w:ascii="宋体" w:hAnsi="宋体"/>
          <w:sz w:val="24"/>
          <w:szCs w:val="24"/>
        </w:rPr>
      </w:pPr>
      <w:bookmarkStart w:id="500" w:name="_Toc234382943"/>
      <w:r>
        <w:rPr>
          <w:rFonts w:hint="eastAsia" w:ascii="宋体" w:hAnsi="宋体"/>
          <w:sz w:val="24"/>
          <w:szCs w:val="24"/>
        </w:rPr>
        <w:t>22.1承包人违约</w:t>
      </w:r>
      <w:bookmarkEnd w:id="500"/>
    </w:p>
    <w:p w14:paraId="4A79D1F3">
      <w:pPr>
        <w:spacing w:line="360" w:lineRule="auto"/>
        <w:rPr>
          <w:rFonts w:ascii="宋体" w:hAnsi="宋体"/>
          <w:sz w:val="24"/>
          <w:szCs w:val="24"/>
          <w:u w:val="single"/>
        </w:rPr>
      </w:pPr>
      <w:r>
        <w:rPr>
          <w:rFonts w:hint="eastAsia" w:ascii="宋体" w:hAnsi="宋体"/>
          <w:sz w:val="24"/>
          <w:szCs w:val="24"/>
        </w:rPr>
        <w:t>22.1.2当承包人发生第22.1.1项约定的违约情况时，发包人有权向承包人课以违约金，具体约定如下：</w:t>
      </w:r>
      <w:r>
        <w:rPr>
          <w:rFonts w:hint="eastAsia" w:ascii="宋体" w:hAnsi="宋体"/>
          <w:sz w:val="24"/>
          <w:szCs w:val="24"/>
          <w:u w:val="single"/>
        </w:rPr>
        <w:t xml:space="preserve">                                                    </w:t>
      </w:r>
    </w:p>
    <w:p w14:paraId="51A42CC2">
      <w:pPr>
        <w:spacing w:line="360" w:lineRule="auto"/>
        <w:rPr>
          <w:rFonts w:ascii="宋体" w:hAnsi="宋体"/>
          <w:sz w:val="24"/>
          <w:szCs w:val="24"/>
        </w:rPr>
      </w:pPr>
      <w:r>
        <w:rPr>
          <w:rFonts w:hint="eastAsia" w:ascii="宋体" w:hAnsi="宋体"/>
          <w:sz w:val="24"/>
          <w:szCs w:val="24"/>
        </w:rPr>
        <w:t>………</w:t>
      </w:r>
    </w:p>
    <w:p w14:paraId="6366538B">
      <w:pPr>
        <w:tabs>
          <w:tab w:val="left" w:pos="3193"/>
        </w:tabs>
        <w:spacing w:line="360" w:lineRule="auto"/>
        <w:ind w:left="840" w:firstLine="480"/>
        <w:rPr>
          <w:rFonts w:ascii="宋体" w:hAnsi="宋体"/>
          <w:sz w:val="24"/>
          <w:szCs w:val="24"/>
        </w:rPr>
      </w:pPr>
    </w:p>
    <w:p w14:paraId="1ADE3C0D">
      <w:pPr>
        <w:pStyle w:val="4"/>
        <w:spacing w:line="360" w:lineRule="auto"/>
        <w:rPr>
          <w:rFonts w:ascii="宋体" w:hAnsi="宋体"/>
          <w:sz w:val="24"/>
          <w:szCs w:val="24"/>
        </w:rPr>
      </w:pPr>
      <w:r>
        <w:rPr>
          <w:rFonts w:hint="eastAsia" w:ascii="宋体" w:hAnsi="宋体"/>
          <w:sz w:val="24"/>
          <w:szCs w:val="24"/>
        </w:rPr>
        <w:br w:type="page"/>
      </w:r>
      <w:bookmarkStart w:id="501" w:name="_Toc234382944"/>
      <w:bookmarkStart w:id="502" w:name="_Toc485395254"/>
      <w:r>
        <w:rPr>
          <w:rFonts w:hint="eastAsia" w:ascii="宋体" w:hAnsi="宋体"/>
          <w:sz w:val="24"/>
          <w:szCs w:val="24"/>
        </w:rPr>
        <w:t>第三节</w:t>
      </w:r>
      <w:r>
        <w:rPr>
          <w:rFonts w:hint="eastAsia" w:ascii="宋体" w:hAnsi="宋体"/>
          <w:sz w:val="24"/>
          <w:szCs w:val="24"/>
        </w:rPr>
        <w:tab/>
      </w:r>
      <w:r>
        <w:rPr>
          <w:rFonts w:hint="eastAsia" w:ascii="宋体" w:hAnsi="宋体"/>
          <w:sz w:val="24"/>
          <w:szCs w:val="24"/>
        </w:rPr>
        <w:t>合同附件格式</w:t>
      </w:r>
      <w:bookmarkEnd w:id="501"/>
      <w:bookmarkEnd w:id="502"/>
    </w:p>
    <w:p w14:paraId="5C5BBDD9">
      <w:pPr>
        <w:spacing w:line="360" w:lineRule="auto"/>
        <w:rPr>
          <w:rFonts w:ascii="宋体" w:hAnsi="宋体"/>
          <w:sz w:val="24"/>
          <w:szCs w:val="24"/>
        </w:rPr>
      </w:pPr>
      <w:r>
        <w:rPr>
          <w:rFonts w:hint="eastAsia" w:ascii="宋体" w:hAnsi="宋体"/>
          <w:sz w:val="24"/>
          <w:szCs w:val="24"/>
        </w:rPr>
        <w:t>附件一   合同协议书</w:t>
      </w:r>
    </w:p>
    <w:p w14:paraId="0472E095">
      <w:pPr>
        <w:spacing w:line="360" w:lineRule="auto"/>
        <w:ind w:left="840"/>
        <w:jc w:val="center"/>
        <w:rPr>
          <w:rFonts w:ascii="宋体" w:hAnsi="宋体"/>
          <w:sz w:val="24"/>
          <w:szCs w:val="24"/>
        </w:rPr>
      </w:pPr>
      <w:r>
        <w:rPr>
          <w:rFonts w:hint="eastAsia" w:ascii="宋体" w:hAnsi="宋体"/>
          <w:b/>
          <w:sz w:val="24"/>
          <w:szCs w:val="24"/>
        </w:rPr>
        <w:t>合同协议书</w:t>
      </w:r>
    </w:p>
    <w:p w14:paraId="4B9B9A1A">
      <w:pPr>
        <w:spacing w:line="360" w:lineRule="auto"/>
        <w:ind w:left="840" w:firstLine="48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（发包人名称，以下简称“发包人”）为实施</w:t>
      </w:r>
      <w:r>
        <w:rPr>
          <w:rFonts w:hint="eastAsia" w:ascii="宋体" w:hAnsi="宋体"/>
          <w:sz w:val="24"/>
          <w:szCs w:val="24"/>
          <w:u w:val="single"/>
        </w:rPr>
        <w:t xml:space="preserve">                </w:t>
      </w:r>
      <w:r>
        <w:rPr>
          <w:rFonts w:hint="eastAsia" w:ascii="宋体" w:hAnsi="宋体"/>
          <w:sz w:val="24"/>
          <w:szCs w:val="24"/>
        </w:rPr>
        <w:t>（项目名称），已接受</w:t>
      </w:r>
      <w:r>
        <w:rPr>
          <w:rFonts w:hint="eastAsia" w:ascii="宋体" w:hAnsi="宋体"/>
          <w:sz w:val="24"/>
          <w:szCs w:val="24"/>
          <w:u w:val="single"/>
        </w:rPr>
        <w:t xml:space="preserve">        </w:t>
      </w:r>
      <w:r>
        <w:rPr>
          <w:rFonts w:hint="eastAsia" w:ascii="宋体" w:hAnsi="宋体"/>
          <w:sz w:val="24"/>
          <w:szCs w:val="24"/>
        </w:rPr>
        <w:t>（承包人名称，以下简称“承包人”）对该项目</w:t>
      </w:r>
      <w:r>
        <w:rPr>
          <w:rFonts w:hint="eastAsia" w:ascii="宋体" w:hAnsi="宋体"/>
          <w:sz w:val="24"/>
          <w:szCs w:val="24"/>
          <w:u w:val="single"/>
        </w:rPr>
        <w:t xml:space="preserve">    </w:t>
      </w:r>
      <w:r>
        <w:rPr>
          <w:rFonts w:hint="eastAsia" w:ascii="宋体" w:hAnsi="宋体"/>
          <w:sz w:val="24"/>
          <w:szCs w:val="24"/>
        </w:rPr>
        <w:t>施工的投标。 发包人和承包人共同达成如下协议。</w:t>
      </w:r>
    </w:p>
    <w:p w14:paraId="10F67553">
      <w:pPr>
        <w:spacing w:line="360" w:lineRule="auto"/>
        <w:rPr>
          <w:rFonts w:ascii="宋体" w:hAnsi="宋体" w:cs="宋体"/>
          <w:sz w:val="24"/>
          <w:szCs w:val="24"/>
        </w:rPr>
      </w:pPr>
      <w:r>
        <w:rPr>
          <w:rFonts w:hint="eastAsia" w:ascii="宋体" w:hAnsi="宋体"/>
          <w:sz w:val="24"/>
          <w:szCs w:val="24"/>
        </w:rPr>
        <w:t>1．本项目</w:t>
      </w:r>
      <w:r>
        <w:rPr>
          <w:rFonts w:hint="eastAsia" w:ascii="宋体" w:hAnsi="宋体"/>
          <w:sz w:val="24"/>
          <w:szCs w:val="24"/>
          <w:u w:val="single"/>
        </w:rPr>
        <w:t xml:space="preserve">                                                          </w:t>
      </w:r>
      <w:r>
        <w:rPr>
          <w:rFonts w:hint="eastAsia" w:ascii="宋体" w:hAnsi="宋体" w:cs="宋体"/>
          <w:sz w:val="24"/>
          <w:szCs w:val="24"/>
        </w:rPr>
        <w:t>：</w:t>
      </w:r>
    </w:p>
    <w:p w14:paraId="51563EF1">
      <w:pPr>
        <w:spacing w:line="360" w:lineRule="auto"/>
        <w:rPr>
          <w:rFonts w:ascii="宋体" w:hAnsi="宋体" w:cs="宋体"/>
          <w:sz w:val="24"/>
          <w:szCs w:val="24"/>
        </w:rPr>
      </w:pPr>
      <w:r>
        <w:rPr>
          <w:rFonts w:hint="eastAsia" w:ascii="宋体" w:hAnsi="宋体"/>
          <w:sz w:val="24"/>
          <w:szCs w:val="24"/>
        </w:rPr>
        <w:t xml:space="preserve"> 2. 下列文件应视为构成合同文件的组成部分：</w:t>
      </w:r>
    </w:p>
    <w:p w14:paraId="0887BF61">
      <w:pPr>
        <w:spacing w:line="360" w:lineRule="auto"/>
        <w:rPr>
          <w:rFonts w:ascii="宋体" w:hAnsi="宋体"/>
          <w:sz w:val="24"/>
          <w:szCs w:val="24"/>
        </w:rPr>
      </w:pPr>
      <w:r>
        <w:rPr>
          <w:rFonts w:hint="eastAsia" w:ascii="宋体" w:hAnsi="宋体"/>
          <w:sz w:val="24"/>
          <w:szCs w:val="24"/>
        </w:rPr>
        <w:t>（1）本协议书及各种合同附件（含评标期间和合同谈判过程中的澄清文件和补充资料）；</w:t>
      </w:r>
    </w:p>
    <w:p w14:paraId="1B38BFDC">
      <w:pPr>
        <w:spacing w:line="360" w:lineRule="auto"/>
        <w:rPr>
          <w:rFonts w:ascii="宋体" w:hAnsi="宋体"/>
          <w:sz w:val="24"/>
          <w:szCs w:val="24"/>
        </w:rPr>
      </w:pPr>
      <w:r>
        <w:rPr>
          <w:rFonts w:hint="eastAsia" w:ascii="宋体" w:hAnsi="宋体"/>
          <w:sz w:val="24"/>
          <w:szCs w:val="24"/>
        </w:rPr>
        <w:t>（2）中标通知书；</w:t>
      </w:r>
    </w:p>
    <w:p w14:paraId="23D791A5">
      <w:pPr>
        <w:spacing w:line="360" w:lineRule="auto"/>
        <w:rPr>
          <w:rFonts w:ascii="宋体" w:hAnsi="宋体"/>
          <w:sz w:val="24"/>
          <w:szCs w:val="24"/>
        </w:rPr>
      </w:pPr>
      <w:r>
        <w:rPr>
          <w:rFonts w:hint="eastAsia" w:ascii="宋体" w:hAnsi="宋体"/>
          <w:sz w:val="24"/>
          <w:szCs w:val="24"/>
        </w:rPr>
        <w:t>（3）补遗书；</w:t>
      </w:r>
    </w:p>
    <w:p w14:paraId="1D083306">
      <w:pPr>
        <w:spacing w:line="360" w:lineRule="auto"/>
        <w:rPr>
          <w:rFonts w:ascii="宋体" w:hAnsi="宋体"/>
          <w:sz w:val="24"/>
          <w:szCs w:val="24"/>
        </w:rPr>
      </w:pPr>
      <w:r>
        <w:rPr>
          <w:rFonts w:hint="eastAsia" w:ascii="宋体" w:hAnsi="宋体"/>
          <w:sz w:val="24"/>
          <w:szCs w:val="24"/>
        </w:rPr>
        <w:t>（4）投标函及投标函附录；</w:t>
      </w:r>
    </w:p>
    <w:p w14:paraId="6DC9BAC2">
      <w:pPr>
        <w:spacing w:line="360" w:lineRule="auto"/>
        <w:rPr>
          <w:rFonts w:ascii="宋体" w:hAnsi="宋体"/>
          <w:sz w:val="24"/>
          <w:szCs w:val="24"/>
        </w:rPr>
      </w:pPr>
      <w:r>
        <w:rPr>
          <w:rFonts w:hint="eastAsia" w:ascii="宋体" w:hAnsi="宋体"/>
          <w:sz w:val="24"/>
          <w:szCs w:val="24"/>
        </w:rPr>
        <w:t>（5）项目专用合同条款；</w:t>
      </w:r>
    </w:p>
    <w:p w14:paraId="5E2135D8">
      <w:pPr>
        <w:spacing w:line="360" w:lineRule="auto"/>
        <w:rPr>
          <w:rFonts w:ascii="宋体" w:hAnsi="宋体"/>
          <w:sz w:val="24"/>
          <w:szCs w:val="24"/>
        </w:rPr>
      </w:pPr>
      <w:r>
        <w:rPr>
          <w:rFonts w:hint="eastAsia" w:ascii="宋体" w:hAnsi="宋体"/>
          <w:sz w:val="24"/>
          <w:szCs w:val="24"/>
        </w:rPr>
        <w:t>（6）公路工程专用合同条款；</w:t>
      </w:r>
    </w:p>
    <w:p w14:paraId="085C243B">
      <w:pPr>
        <w:spacing w:line="360" w:lineRule="auto"/>
        <w:rPr>
          <w:rFonts w:ascii="宋体" w:hAnsi="宋体"/>
          <w:sz w:val="24"/>
          <w:szCs w:val="24"/>
        </w:rPr>
      </w:pPr>
      <w:r>
        <w:rPr>
          <w:rFonts w:hint="eastAsia" w:ascii="宋体" w:hAnsi="宋体"/>
          <w:sz w:val="24"/>
          <w:szCs w:val="24"/>
        </w:rPr>
        <w:t>（7）通用合同条款；</w:t>
      </w:r>
    </w:p>
    <w:p w14:paraId="34B673AE">
      <w:pPr>
        <w:spacing w:line="360" w:lineRule="auto"/>
        <w:rPr>
          <w:rFonts w:ascii="宋体" w:hAnsi="宋体"/>
          <w:sz w:val="24"/>
          <w:szCs w:val="24"/>
        </w:rPr>
      </w:pPr>
      <w:r>
        <w:rPr>
          <w:rFonts w:hint="eastAsia" w:ascii="宋体" w:hAnsi="宋体"/>
          <w:sz w:val="24"/>
          <w:szCs w:val="24"/>
        </w:rPr>
        <w:t>（8）技术规范；</w:t>
      </w:r>
    </w:p>
    <w:p w14:paraId="7C4B61D9">
      <w:pPr>
        <w:spacing w:line="360" w:lineRule="auto"/>
        <w:rPr>
          <w:rFonts w:ascii="宋体" w:hAnsi="宋体"/>
          <w:sz w:val="24"/>
          <w:szCs w:val="24"/>
        </w:rPr>
      </w:pPr>
      <w:r>
        <w:rPr>
          <w:rFonts w:hint="eastAsia" w:ascii="宋体" w:hAnsi="宋体"/>
          <w:sz w:val="24"/>
          <w:szCs w:val="24"/>
        </w:rPr>
        <w:t>（9）图纸；</w:t>
      </w:r>
    </w:p>
    <w:p w14:paraId="416A27AC">
      <w:pPr>
        <w:spacing w:line="360" w:lineRule="auto"/>
        <w:rPr>
          <w:rFonts w:ascii="宋体" w:hAnsi="宋体"/>
          <w:sz w:val="24"/>
          <w:szCs w:val="24"/>
        </w:rPr>
      </w:pPr>
      <w:r>
        <w:rPr>
          <w:rFonts w:hint="eastAsia" w:ascii="宋体" w:hAnsi="宋体"/>
          <w:sz w:val="24"/>
          <w:szCs w:val="24"/>
        </w:rPr>
        <w:t>（10）已标价工程量清单；</w:t>
      </w:r>
    </w:p>
    <w:p w14:paraId="0C1065B9">
      <w:pPr>
        <w:spacing w:line="360" w:lineRule="auto"/>
        <w:rPr>
          <w:rFonts w:ascii="宋体" w:hAnsi="宋体"/>
          <w:sz w:val="24"/>
          <w:szCs w:val="24"/>
        </w:rPr>
      </w:pPr>
      <w:r>
        <w:rPr>
          <w:rFonts w:hint="eastAsia" w:ascii="宋体" w:hAnsi="宋体"/>
          <w:sz w:val="24"/>
          <w:szCs w:val="24"/>
        </w:rPr>
        <w:t>（11）承包人有关人员、设备投入的承诺及投标文件中的施工组织设计；</w:t>
      </w:r>
    </w:p>
    <w:p w14:paraId="138737AA">
      <w:pPr>
        <w:spacing w:line="360" w:lineRule="auto"/>
        <w:rPr>
          <w:rFonts w:ascii="宋体" w:hAnsi="宋体"/>
          <w:sz w:val="24"/>
          <w:szCs w:val="24"/>
        </w:rPr>
      </w:pPr>
      <w:r>
        <w:rPr>
          <w:rFonts w:hint="eastAsia" w:ascii="宋体" w:hAnsi="宋体"/>
          <w:sz w:val="24"/>
          <w:szCs w:val="24"/>
        </w:rPr>
        <w:t>（12）其他合同文件。</w:t>
      </w:r>
    </w:p>
    <w:p w14:paraId="41AC9AAD">
      <w:pPr>
        <w:spacing w:line="360" w:lineRule="auto"/>
        <w:rPr>
          <w:rFonts w:ascii="宋体" w:hAnsi="宋体"/>
          <w:sz w:val="24"/>
          <w:szCs w:val="24"/>
        </w:rPr>
      </w:pPr>
      <w:r>
        <w:rPr>
          <w:rFonts w:hint="eastAsia" w:ascii="宋体" w:hAnsi="宋体"/>
          <w:sz w:val="24"/>
          <w:szCs w:val="24"/>
        </w:rPr>
        <w:t>3. 上述文件互相补充和解释，如有不明确或不一致之处，以合同约定次序在先者为准。</w:t>
      </w:r>
    </w:p>
    <w:p w14:paraId="3FCB3F7F">
      <w:pPr>
        <w:spacing w:line="360" w:lineRule="auto"/>
        <w:rPr>
          <w:rFonts w:ascii="宋体" w:hAnsi="宋体"/>
          <w:sz w:val="24"/>
          <w:szCs w:val="24"/>
        </w:rPr>
      </w:pPr>
      <w:r>
        <w:rPr>
          <w:rFonts w:hint="eastAsia" w:ascii="宋体" w:hAnsi="宋体"/>
          <w:sz w:val="24"/>
          <w:szCs w:val="24"/>
        </w:rPr>
        <w:t>4. 合同价格形式：</w:t>
      </w:r>
      <w:r>
        <w:rPr>
          <w:rFonts w:hint="eastAsia" w:ascii="宋体" w:hAnsi="宋体"/>
          <w:sz w:val="24"/>
          <w:szCs w:val="24"/>
          <w:u w:val="single"/>
        </w:rPr>
        <w:t xml:space="preserve">    固定单价合同  ；</w:t>
      </w:r>
      <w:r>
        <w:rPr>
          <w:rFonts w:hint="eastAsia" w:ascii="宋体" w:hAnsi="宋体"/>
          <w:sz w:val="24"/>
          <w:szCs w:val="24"/>
        </w:rPr>
        <w:t xml:space="preserve"> 根据工程量清单所列的预计数量和单价或总额价计算的签约合同价：人民币（大写）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w:t>
      </w:r>
    </w:p>
    <w:p w14:paraId="74312C13">
      <w:pPr>
        <w:spacing w:line="360" w:lineRule="auto"/>
        <w:rPr>
          <w:rFonts w:ascii="宋体" w:hAnsi="宋体"/>
          <w:sz w:val="24"/>
          <w:szCs w:val="24"/>
        </w:rPr>
      </w:pPr>
      <w:r>
        <w:rPr>
          <w:rFonts w:hint="eastAsia" w:ascii="宋体" w:hAnsi="宋体"/>
          <w:sz w:val="24"/>
          <w:szCs w:val="24"/>
        </w:rPr>
        <w:t>5. 承包人项目经理：</w:t>
      </w:r>
      <w:r>
        <w:rPr>
          <w:rFonts w:hint="eastAsia" w:ascii="宋体" w:hAnsi="宋体"/>
          <w:sz w:val="24"/>
          <w:szCs w:val="24"/>
          <w:u w:val="single"/>
        </w:rPr>
        <w:t xml:space="preserve">        </w:t>
      </w:r>
      <w:r>
        <w:rPr>
          <w:rFonts w:hint="eastAsia" w:ascii="宋体" w:hAnsi="宋体"/>
          <w:sz w:val="24"/>
          <w:szCs w:val="24"/>
        </w:rPr>
        <w:t>。承包人项目总工：</w:t>
      </w:r>
      <w:r>
        <w:rPr>
          <w:rFonts w:hint="eastAsia" w:ascii="宋体" w:hAnsi="宋体"/>
          <w:sz w:val="24"/>
          <w:szCs w:val="24"/>
          <w:u w:val="single"/>
        </w:rPr>
        <w:t xml:space="preserve">         </w:t>
      </w:r>
      <w:r>
        <w:rPr>
          <w:rFonts w:hint="eastAsia" w:ascii="宋体" w:hAnsi="宋体"/>
          <w:sz w:val="24"/>
          <w:szCs w:val="24"/>
        </w:rPr>
        <w:t>。</w:t>
      </w:r>
    </w:p>
    <w:p w14:paraId="67D712C0">
      <w:pPr>
        <w:spacing w:line="360" w:lineRule="auto"/>
        <w:rPr>
          <w:rFonts w:ascii="宋体" w:hAnsi="宋体"/>
          <w:sz w:val="24"/>
          <w:szCs w:val="24"/>
        </w:rPr>
      </w:pPr>
      <w:r>
        <w:rPr>
          <w:rFonts w:hint="eastAsia" w:ascii="宋体" w:hAnsi="宋体"/>
          <w:sz w:val="24"/>
          <w:szCs w:val="24"/>
        </w:rPr>
        <w:t>6. 工程质量符合</w:t>
      </w:r>
      <w:r>
        <w:rPr>
          <w:rFonts w:hint="eastAsia" w:ascii="宋体" w:hAnsi="宋体"/>
          <w:sz w:val="24"/>
          <w:szCs w:val="24"/>
          <w:u w:val="single"/>
        </w:rPr>
        <w:t xml:space="preserve">        </w:t>
      </w:r>
      <w:r>
        <w:rPr>
          <w:rFonts w:hint="eastAsia" w:ascii="宋体" w:hAnsi="宋体"/>
          <w:sz w:val="24"/>
          <w:szCs w:val="24"/>
        </w:rPr>
        <w:t>标准。</w:t>
      </w:r>
    </w:p>
    <w:p w14:paraId="34CAAE75">
      <w:pPr>
        <w:spacing w:line="360" w:lineRule="auto"/>
        <w:rPr>
          <w:rFonts w:ascii="宋体" w:hAnsi="宋体"/>
          <w:sz w:val="24"/>
          <w:szCs w:val="24"/>
        </w:rPr>
      </w:pPr>
      <w:r>
        <w:rPr>
          <w:rFonts w:hint="eastAsia" w:ascii="宋体" w:hAnsi="宋体"/>
          <w:sz w:val="24"/>
          <w:szCs w:val="24"/>
        </w:rPr>
        <w:t>7. 承包人承诺按合同约定承担工程的实施、完成及缺陷修复。</w:t>
      </w:r>
    </w:p>
    <w:p w14:paraId="08AC3821">
      <w:pPr>
        <w:spacing w:line="360" w:lineRule="auto"/>
        <w:rPr>
          <w:rFonts w:ascii="宋体" w:hAnsi="宋体"/>
          <w:sz w:val="24"/>
          <w:szCs w:val="24"/>
        </w:rPr>
      </w:pPr>
      <w:r>
        <w:rPr>
          <w:rFonts w:hint="eastAsia" w:ascii="宋体" w:hAnsi="宋体"/>
          <w:sz w:val="24"/>
          <w:szCs w:val="24"/>
        </w:rPr>
        <w:t>8. 发包人承诺按合同约定的条件、时间和方式向承包人支付合同价款。</w:t>
      </w:r>
    </w:p>
    <w:p w14:paraId="12112D98">
      <w:pPr>
        <w:spacing w:line="360" w:lineRule="auto"/>
        <w:rPr>
          <w:rFonts w:ascii="宋体" w:hAnsi="宋体"/>
          <w:sz w:val="24"/>
          <w:szCs w:val="24"/>
        </w:rPr>
      </w:pPr>
      <w:r>
        <w:rPr>
          <w:rFonts w:hint="eastAsia" w:ascii="宋体" w:hAnsi="宋体"/>
          <w:sz w:val="24"/>
          <w:szCs w:val="24"/>
        </w:rPr>
        <w:t>9. 承包人应按照监理人指示开工，工期为</w:t>
      </w:r>
      <w:r>
        <w:rPr>
          <w:rFonts w:hint="eastAsia" w:ascii="宋体" w:hAnsi="宋体"/>
          <w:sz w:val="24"/>
          <w:szCs w:val="24"/>
          <w:u w:val="single"/>
        </w:rPr>
        <w:t xml:space="preserve">      </w:t>
      </w:r>
      <w:r>
        <w:rPr>
          <w:rFonts w:hint="eastAsia" w:ascii="宋体" w:hAnsi="宋体"/>
          <w:sz w:val="24"/>
          <w:szCs w:val="24"/>
        </w:rPr>
        <w:t>日历天。</w:t>
      </w:r>
    </w:p>
    <w:p w14:paraId="3C066BFB">
      <w:pPr>
        <w:spacing w:line="360" w:lineRule="auto"/>
        <w:rPr>
          <w:rFonts w:ascii="宋体" w:hAnsi="宋体"/>
          <w:sz w:val="24"/>
          <w:szCs w:val="24"/>
        </w:rPr>
      </w:pPr>
      <w:r>
        <w:rPr>
          <w:rFonts w:hint="eastAsia" w:ascii="宋体" w:hAnsi="宋体"/>
          <w:sz w:val="24"/>
          <w:szCs w:val="24"/>
        </w:rPr>
        <w:t>10. 本协议书在承包人提供履约担保后，由双方法定代表人或其委托代理人签署并加盖单位章后生效。全部工程完工后经竣交工验收合格、缺陷责任期满签发缺陷责任终止证书后生效。</w:t>
      </w:r>
    </w:p>
    <w:p w14:paraId="75D3DE5D">
      <w:pPr>
        <w:spacing w:line="360" w:lineRule="auto"/>
        <w:rPr>
          <w:rFonts w:ascii="宋体" w:hAnsi="宋体"/>
          <w:sz w:val="24"/>
          <w:szCs w:val="24"/>
        </w:rPr>
      </w:pPr>
      <w:r>
        <w:rPr>
          <w:rFonts w:hint="eastAsia" w:ascii="宋体" w:hAnsi="宋体"/>
          <w:sz w:val="24"/>
          <w:szCs w:val="24"/>
        </w:rPr>
        <w:t>11．本协议书正本二份、副本</w:t>
      </w:r>
      <w:r>
        <w:rPr>
          <w:rFonts w:hint="eastAsia" w:ascii="宋体" w:hAnsi="宋体"/>
          <w:sz w:val="24"/>
          <w:szCs w:val="24"/>
          <w:u w:val="single"/>
        </w:rPr>
        <w:t xml:space="preserve">   </w:t>
      </w:r>
      <w:r>
        <w:rPr>
          <w:rFonts w:hint="eastAsia" w:ascii="宋体" w:hAnsi="宋体"/>
          <w:sz w:val="24"/>
          <w:szCs w:val="24"/>
        </w:rPr>
        <w:t>份，合同双方各执正本一份，副本</w:t>
      </w:r>
      <w:r>
        <w:rPr>
          <w:rFonts w:hint="eastAsia" w:ascii="宋体" w:hAnsi="宋体"/>
          <w:sz w:val="24"/>
          <w:szCs w:val="24"/>
          <w:u w:val="single"/>
        </w:rPr>
        <w:t xml:space="preserve">   </w:t>
      </w:r>
      <w:r>
        <w:rPr>
          <w:rFonts w:hint="eastAsia" w:ascii="宋体" w:hAnsi="宋体"/>
          <w:sz w:val="24"/>
          <w:szCs w:val="24"/>
        </w:rPr>
        <w:t>份，当正本与副本的内容不一致时，以正本为准。</w:t>
      </w:r>
    </w:p>
    <w:p w14:paraId="449C6A26">
      <w:pPr>
        <w:spacing w:line="360" w:lineRule="auto"/>
        <w:rPr>
          <w:rFonts w:ascii="宋体" w:hAnsi="宋体"/>
          <w:sz w:val="24"/>
          <w:szCs w:val="24"/>
        </w:rPr>
      </w:pPr>
      <w:r>
        <w:rPr>
          <w:rFonts w:hint="eastAsia" w:ascii="宋体" w:hAnsi="宋体"/>
          <w:sz w:val="24"/>
          <w:szCs w:val="24"/>
        </w:rPr>
        <w:t>12.合同未尽事宜，双方另行签订补充协议。补充协议是合同的组成部分。</w:t>
      </w:r>
    </w:p>
    <w:p w14:paraId="198057D5">
      <w:pPr>
        <w:spacing w:line="360" w:lineRule="auto"/>
        <w:ind w:left="840"/>
        <w:rPr>
          <w:rFonts w:ascii="宋体" w:hAnsi="宋体"/>
          <w:sz w:val="24"/>
          <w:szCs w:val="24"/>
        </w:rPr>
      </w:pPr>
    </w:p>
    <w:p w14:paraId="43A18EE4">
      <w:pPr>
        <w:spacing w:line="360" w:lineRule="auto"/>
        <w:ind w:left="840"/>
        <w:rPr>
          <w:rFonts w:ascii="宋体" w:hAnsi="宋体"/>
          <w:sz w:val="24"/>
          <w:szCs w:val="24"/>
        </w:rPr>
      </w:pPr>
    </w:p>
    <w:p w14:paraId="4A369156">
      <w:pPr>
        <w:spacing w:line="360" w:lineRule="auto"/>
        <w:rPr>
          <w:rFonts w:ascii="宋体" w:hAnsi="宋体"/>
          <w:sz w:val="24"/>
          <w:szCs w:val="24"/>
        </w:rPr>
      </w:pPr>
      <w:r>
        <w:rPr>
          <w:rFonts w:hint="eastAsia" w:ascii="宋体" w:hAnsi="宋体"/>
          <w:sz w:val="24"/>
          <w:szCs w:val="24"/>
        </w:rPr>
        <w:t>发包人：</w:t>
      </w:r>
      <w:r>
        <w:rPr>
          <w:rFonts w:hint="eastAsia" w:ascii="宋体" w:hAnsi="宋体"/>
          <w:sz w:val="24"/>
          <w:szCs w:val="24"/>
          <w:u w:val="single"/>
        </w:rPr>
        <w:t xml:space="preserve">                </w:t>
      </w:r>
      <w:r>
        <w:rPr>
          <w:rFonts w:hint="eastAsia" w:ascii="宋体" w:hAnsi="宋体"/>
          <w:sz w:val="24"/>
          <w:szCs w:val="24"/>
        </w:rPr>
        <w:t>（盖单位章）  承包人：</w:t>
      </w:r>
      <w:r>
        <w:rPr>
          <w:rFonts w:hint="eastAsia" w:ascii="宋体" w:hAnsi="宋体"/>
          <w:sz w:val="24"/>
          <w:szCs w:val="24"/>
          <w:u w:val="single"/>
        </w:rPr>
        <w:t xml:space="preserve">                </w:t>
      </w:r>
      <w:r>
        <w:rPr>
          <w:rFonts w:hint="eastAsia" w:ascii="宋体" w:hAnsi="宋体"/>
          <w:sz w:val="24"/>
          <w:szCs w:val="24"/>
        </w:rPr>
        <w:t xml:space="preserve">（盖单位章） </w:t>
      </w:r>
    </w:p>
    <w:p w14:paraId="0449AC5C">
      <w:pPr>
        <w:spacing w:line="360" w:lineRule="auto"/>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  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291A3FDC">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60B3A8A">
      <w:pPr>
        <w:spacing w:line="360" w:lineRule="auto"/>
        <w:ind w:left="840"/>
        <w:rPr>
          <w:rFonts w:ascii="宋体" w:hAnsi="宋体"/>
          <w:sz w:val="24"/>
          <w:szCs w:val="24"/>
        </w:rPr>
      </w:pPr>
    </w:p>
    <w:p w14:paraId="002898FC">
      <w:pPr>
        <w:spacing w:line="360" w:lineRule="auto"/>
        <w:ind w:left="840"/>
        <w:rPr>
          <w:rFonts w:ascii="宋体" w:hAnsi="宋体"/>
          <w:sz w:val="24"/>
          <w:szCs w:val="24"/>
        </w:rPr>
      </w:pPr>
    </w:p>
    <w:p w14:paraId="19EE6C54">
      <w:pPr>
        <w:spacing w:line="360" w:lineRule="auto"/>
        <w:ind w:left="840"/>
        <w:rPr>
          <w:rFonts w:ascii="宋体" w:hAnsi="宋体"/>
          <w:sz w:val="24"/>
          <w:szCs w:val="24"/>
        </w:rPr>
      </w:pPr>
    </w:p>
    <w:p w14:paraId="3B7B612C">
      <w:pPr>
        <w:spacing w:line="360" w:lineRule="auto"/>
        <w:ind w:left="840"/>
        <w:rPr>
          <w:rFonts w:ascii="宋体" w:hAnsi="宋体"/>
          <w:sz w:val="24"/>
          <w:szCs w:val="24"/>
        </w:rPr>
      </w:pPr>
    </w:p>
    <w:p w14:paraId="23A9BD87">
      <w:pPr>
        <w:spacing w:line="360" w:lineRule="auto"/>
        <w:ind w:left="840"/>
        <w:rPr>
          <w:rFonts w:ascii="宋体" w:hAnsi="宋体"/>
          <w:sz w:val="24"/>
          <w:szCs w:val="24"/>
        </w:rPr>
      </w:pPr>
    </w:p>
    <w:p w14:paraId="1B651E5D">
      <w:pPr>
        <w:spacing w:line="360" w:lineRule="auto"/>
        <w:ind w:left="840"/>
        <w:rPr>
          <w:rFonts w:ascii="宋体" w:hAnsi="宋体"/>
          <w:sz w:val="24"/>
          <w:szCs w:val="24"/>
        </w:rPr>
      </w:pPr>
    </w:p>
    <w:p w14:paraId="63B494D5">
      <w:pPr>
        <w:spacing w:line="360" w:lineRule="auto"/>
        <w:ind w:left="840"/>
        <w:rPr>
          <w:rFonts w:ascii="宋体" w:hAnsi="宋体"/>
          <w:sz w:val="24"/>
          <w:szCs w:val="24"/>
        </w:rPr>
      </w:pPr>
    </w:p>
    <w:p w14:paraId="26B9E970">
      <w:pPr>
        <w:spacing w:line="360" w:lineRule="auto"/>
        <w:ind w:left="840"/>
        <w:rPr>
          <w:rFonts w:ascii="宋体" w:hAnsi="宋体"/>
          <w:sz w:val="24"/>
          <w:szCs w:val="24"/>
        </w:rPr>
      </w:pPr>
    </w:p>
    <w:p w14:paraId="7251D543">
      <w:pPr>
        <w:spacing w:line="360" w:lineRule="auto"/>
        <w:ind w:left="840"/>
        <w:rPr>
          <w:rFonts w:ascii="宋体" w:hAnsi="宋体"/>
          <w:sz w:val="24"/>
          <w:szCs w:val="24"/>
        </w:rPr>
      </w:pPr>
    </w:p>
    <w:p w14:paraId="2B144307">
      <w:pPr>
        <w:spacing w:line="360" w:lineRule="auto"/>
        <w:ind w:left="840"/>
        <w:rPr>
          <w:rFonts w:ascii="宋体" w:hAnsi="宋体"/>
          <w:sz w:val="24"/>
          <w:szCs w:val="24"/>
        </w:rPr>
      </w:pPr>
    </w:p>
    <w:p w14:paraId="668D8638">
      <w:pPr>
        <w:spacing w:line="360" w:lineRule="auto"/>
        <w:ind w:left="840"/>
        <w:rPr>
          <w:rFonts w:ascii="宋体" w:hAnsi="宋体"/>
          <w:sz w:val="24"/>
          <w:szCs w:val="24"/>
        </w:rPr>
      </w:pPr>
    </w:p>
    <w:p w14:paraId="5FFBFCE5">
      <w:pPr>
        <w:spacing w:line="360" w:lineRule="auto"/>
        <w:ind w:left="840"/>
        <w:rPr>
          <w:rFonts w:ascii="宋体" w:hAnsi="宋体"/>
          <w:sz w:val="24"/>
          <w:szCs w:val="24"/>
        </w:rPr>
      </w:pPr>
    </w:p>
    <w:p w14:paraId="430F8E8E">
      <w:pPr>
        <w:spacing w:line="360" w:lineRule="auto"/>
        <w:ind w:left="840"/>
        <w:rPr>
          <w:rFonts w:ascii="宋体" w:hAnsi="宋体"/>
          <w:sz w:val="24"/>
          <w:szCs w:val="24"/>
        </w:rPr>
      </w:pPr>
    </w:p>
    <w:p w14:paraId="22DECA38">
      <w:pPr>
        <w:spacing w:line="360" w:lineRule="auto"/>
        <w:ind w:left="840"/>
        <w:rPr>
          <w:rFonts w:ascii="宋体" w:hAnsi="宋体"/>
          <w:sz w:val="24"/>
          <w:szCs w:val="24"/>
        </w:rPr>
      </w:pPr>
    </w:p>
    <w:p w14:paraId="1995627F">
      <w:pPr>
        <w:spacing w:line="360" w:lineRule="auto"/>
        <w:ind w:left="840"/>
        <w:rPr>
          <w:rFonts w:ascii="宋体" w:hAnsi="宋体"/>
          <w:sz w:val="24"/>
          <w:szCs w:val="24"/>
        </w:rPr>
      </w:pPr>
    </w:p>
    <w:p w14:paraId="030403EE">
      <w:pPr>
        <w:spacing w:line="360" w:lineRule="auto"/>
        <w:ind w:left="840"/>
        <w:rPr>
          <w:rFonts w:ascii="宋体" w:hAnsi="宋体"/>
          <w:sz w:val="24"/>
          <w:szCs w:val="24"/>
        </w:rPr>
      </w:pPr>
    </w:p>
    <w:p w14:paraId="0055C280">
      <w:pPr>
        <w:spacing w:line="360" w:lineRule="auto"/>
        <w:ind w:left="840"/>
        <w:rPr>
          <w:rFonts w:ascii="宋体" w:hAnsi="宋体"/>
          <w:sz w:val="24"/>
          <w:szCs w:val="24"/>
        </w:rPr>
      </w:pPr>
    </w:p>
    <w:p w14:paraId="1CB6EF61">
      <w:pPr>
        <w:spacing w:line="360" w:lineRule="auto"/>
        <w:ind w:left="840"/>
        <w:rPr>
          <w:rFonts w:ascii="宋体" w:hAnsi="宋体"/>
          <w:sz w:val="24"/>
          <w:szCs w:val="24"/>
        </w:rPr>
      </w:pPr>
    </w:p>
    <w:p w14:paraId="18ADB37A">
      <w:pPr>
        <w:spacing w:line="360" w:lineRule="auto"/>
        <w:ind w:left="840"/>
        <w:rPr>
          <w:rFonts w:ascii="宋体" w:hAnsi="宋体"/>
          <w:sz w:val="24"/>
          <w:szCs w:val="24"/>
        </w:rPr>
      </w:pPr>
    </w:p>
    <w:p w14:paraId="43B55F3D"/>
    <w:p w14:paraId="2F578338">
      <w:pPr>
        <w:spacing w:line="360" w:lineRule="auto"/>
        <w:rPr>
          <w:rFonts w:ascii="宋体" w:hAnsi="宋体"/>
          <w:sz w:val="24"/>
          <w:szCs w:val="24"/>
        </w:rPr>
      </w:pPr>
      <w:bookmarkStart w:id="503" w:name="_Toc234382945"/>
      <w:r>
        <w:rPr>
          <w:rFonts w:hint="eastAsia" w:ascii="宋体" w:hAnsi="宋体"/>
          <w:sz w:val="24"/>
          <w:szCs w:val="24"/>
        </w:rPr>
        <w:t>附件二   廉政合同</w:t>
      </w:r>
      <w:bookmarkEnd w:id="503"/>
    </w:p>
    <w:p w14:paraId="081F5A19">
      <w:pPr>
        <w:spacing w:before="120" w:after="120" w:line="360" w:lineRule="auto"/>
        <w:ind w:left="840"/>
        <w:jc w:val="center"/>
        <w:rPr>
          <w:rFonts w:ascii="宋体" w:hAnsi="宋体"/>
          <w:b/>
          <w:sz w:val="24"/>
          <w:szCs w:val="24"/>
        </w:rPr>
      </w:pPr>
      <w:r>
        <w:rPr>
          <w:rFonts w:hint="eastAsia" w:ascii="宋体" w:hAnsi="宋体"/>
          <w:b/>
          <w:sz w:val="24"/>
          <w:szCs w:val="24"/>
        </w:rPr>
        <w:t>廉政合同</w:t>
      </w:r>
    </w:p>
    <w:p w14:paraId="55AF98F6">
      <w:pPr>
        <w:spacing w:line="360" w:lineRule="auto"/>
        <w:ind w:left="840" w:firstLine="480"/>
        <w:jc w:val="left"/>
        <w:rPr>
          <w:rFonts w:ascii="宋体" w:hAnsi="宋体"/>
          <w:sz w:val="24"/>
          <w:szCs w:val="24"/>
        </w:rPr>
      </w:pPr>
      <w:r>
        <w:rPr>
          <w:rFonts w:hint="eastAsia" w:ascii="宋体" w:hAnsi="宋体"/>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sz w:val="24"/>
          <w:szCs w:val="24"/>
          <w:u w:val="single"/>
        </w:rPr>
        <w:t xml:space="preserve">     </w:t>
      </w:r>
      <w:r>
        <w:rPr>
          <w:rFonts w:hint="eastAsia" w:ascii="宋体" w:hAnsi="宋体"/>
          <w:sz w:val="24"/>
          <w:szCs w:val="24"/>
        </w:rPr>
        <w:t>（项目名称）项目法人</w:t>
      </w:r>
      <w:r>
        <w:rPr>
          <w:rFonts w:hint="eastAsia" w:ascii="宋体" w:hAnsi="宋体"/>
          <w:sz w:val="24"/>
          <w:szCs w:val="24"/>
          <w:u w:val="single"/>
        </w:rPr>
        <w:t xml:space="preserve">          </w:t>
      </w:r>
      <w:r>
        <w:rPr>
          <w:rFonts w:hint="eastAsia" w:ascii="宋体" w:hAnsi="宋体"/>
          <w:sz w:val="24"/>
          <w:szCs w:val="24"/>
        </w:rPr>
        <w:t xml:space="preserve"> （项目法人名称，以下简称“发包人”）与该项目</w:t>
      </w:r>
      <w:r>
        <w:rPr>
          <w:rFonts w:hint="eastAsia" w:ascii="宋体" w:hAnsi="宋体"/>
          <w:sz w:val="24"/>
          <w:szCs w:val="24"/>
          <w:u w:val="single"/>
        </w:rPr>
        <w:t xml:space="preserve">    </w:t>
      </w:r>
      <w:r>
        <w:rPr>
          <w:rFonts w:hint="eastAsia" w:ascii="宋体" w:hAnsi="宋体"/>
          <w:sz w:val="24"/>
          <w:szCs w:val="24"/>
        </w:rPr>
        <w:t>的施工单位</w:t>
      </w:r>
      <w:r>
        <w:rPr>
          <w:rFonts w:hint="eastAsia" w:ascii="宋体" w:hAnsi="宋体"/>
          <w:sz w:val="24"/>
          <w:szCs w:val="24"/>
          <w:u w:val="single"/>
        </w:rPr>
        <w:t xml:space="preserve">      </w:t>
      </w:r>
      <w:r>
        <w:rPr>
          <w:rFonts w:hint="eastAsia" w:ascii="宋体" w:hAnsi="宋体"/>
          <w:sz w:val="24"/>
          <w:szCs w:val="24"/>
        </w:rPr>
        <w:t>（施工单位名称，以下简称“承包人”），特订立如下合同。</w:t>
      </w:r>
    </w:p>
    <w:p w14:paraId="4AB87243">
      <w:pPr>
        <w:spacing w:line="360" w:lineRule="auto"/>
        <w:ind w:left="840" w:firstLine="480"/>
        <w:rPr>
          <w:rFonts w:ascii="宋体" w:hAnsi="宋体"/>
          <w:sz w:val="24"/>
          <w:szCs w:val="24"/>
        </w:rPr>
      </w:pPr>
      <w:r>
        <w:rPr>
          <w:rFonts w:hint="eastAsia" w:ascii="宋体" w:hAnsi="宋体"/>
          <w:sz w:val="24"/>
          <w:szCs w:val="24"/>
        </w:rPr>
        <w:t>1．发包人和承包人双方的权利和义务</w:t>
      </w:r>
    </w:p>
    <w:p w14:paraId="0F68D1D5">
      <w:pPr>
        <w:spacing w:line="360" w:lineRule="auto"/>
        <w:ind w:left="840" w:firstLine="480"/>
        <w:rPr>
          <w:rFonts w:ascii="宋体" w:hAnsi="宋体"/>
          <w:sz w:val="24"/>
          <w:szCs w:val="24"/>
        </w:rPr>
      </w:pPr>
      <w:r>
        <w:rPr>
          <w:rFonts w:hint="eastAsia" w:ascii="宋体" w:hAnsi="宋体"/>
          <w:sz w:val="24"/>
          <w:szCs w:val="24"/>
        </w:rPr>
        <w:t>（1）严格遵守党的政策规定和国家有关法律法规及交通运输部的有关规定。</w:t>
      </w:r>
    </w:p>
    <w:p w14:paraId="646573CF">
      <w:pPr>
        <w:spacing w:line="360" w:lineRule="auto"/>
        <w:ind w:left="840" w:firstLine="480"/>
        <w:rPr>
          <w:rFonts w:ascii="宋体" w:hAnsi="宋体"/>
          <w:sz w:val="24"/>
          <w:szCs w:val="24"/>
        </w:rPr>
      </w:pPr>
      <w:r>
        <w:rPr>
          <w:rFonts w:hint="eastAsia" w:ascii="宋体" w:hAnsi="宋体"/>
          <w:sz w:val="24"/>
          <w:szCs w:val="24"/>
        </w:rPr>
        <w:t>（2）严格执行</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施工合同文件，自觉按合同办事。</w:t>
      </w:r>
    </w:p>
    <w:p w14:paraId="37324DC0">
      <w:pPr>
        <w:spacing w:line="360" w:lineRule="auto"/>
        <w:ind w:left="840" w:firstLine="480"/>
        <w:rPr>
          <w:rFonts w:ascii="宋体" w:hAnsi="宋体"/>
          <w:sz w:val="24"/>
          <w:szCs w:val="24"/>
        </w:rPr>
      </w:pPr>
      <w:r>
        <w:rPr>
          <w:rFonts w:hint="eastAsia" w:ascii="宋体" w:hAnsi="宋体"/>
          <w:sz w:val="24"/>
          <w:szCs w:val="24"/>
        </w:rPr>
        <w:t>（3）双方的业务活动坚持公开、公正、诚信、透明的原则（法律认定的商业秘密和合同文件另有规定除外），不得损害国家和集体利益，不得违反工程建设管理规章制度。</w:t>
      </w:r>
    </w:p>
    <w:p w14:paraId="6E7020C7">
      <w:pPr>
        <w:spacing w:line="360" w:lineRule="auto"/>
        <w:ind w:left="840" w:firstLine="480"/>
        <w:rPr>
          <w:rFonts w:ascii="宋体" w:hAnsi="宋体"/>
          <w:sz w:val="24"/>
          <w:szCs w:val="24"/>
        </w:rPr>
      </w:pPr>
      <w:r>
        <w:rPr>
          <w:rFonts w:hint="eastAsia" w:ascii="宋体" w:hAnsi="宋体"/>
          <w:sz w:val="24"/>
          <w:szCs w:val="24"/>
        </w:rPr>
        <w:t>（4）建立健全廉政制度，开展廉政教育，设立廉政告示牌，公布举报电话，监督并认真查处违法违纪行为。</w:t>
      </w:r>
    </w:p>
    <w:p w14:paraId="4F88884E">
      <w:pPr>
        <w:spacing w:line="360" w:lineRule="auto"/>
        <w:ind w:left="840" w:firstLine="480"/>
        <w:rPr>
          <w:rFonts w:ascii="宋体" w:hAnsi="宋体"/>
          <w:sz w:val="24"/>
          <w:szCs w:val="24"/>
        </w:rPr>
      </w:pPr>
      <w:r>
        <w:rPr>
          <w:rFonts w:hint="eastAsia" w:ascii="宋体" w:hAnsi="宋体"/>
          <w:sz w:val="24"/>
          <w:szCs w:val="24"/>
        </w:rPr>
        <w:t>（5）发现对方在业务活动中有违反廉政规定的行为，有及时提醒对方纠正的权利和义务。</w:t>
      </w:r>
    </w:p>
    <w:p w14:paraId="2E5CCC57">
      <w:pPr>
        <w:spacing w:line="360" w:lineRule="auto"/>
        <w:ind w:left="840" w:firstLine="480"/>
        <w:rPr>
          <w:rFonts w:ascii="宋体" w:hAnsi="宋体"/>
          <w:sz w:val="24"/>
          <w:szCs w:val="24"/>
        </w:rPr>
      </w:pPr>
      <w:r>
        <w:rPr>
          <w:rFonts w:hint="eastAsia" w:ascii="宋体" w:hAnsi="宋体"/>
          <w:sz w:val="24"/>
          <w:szCs w:val="24"/>
        </w:rPr>
        <w:t>（6）发现对方严重违反本合同义务条款的行为，有向其上级有关部门举报、建议给予处理并要求告知处理结果的权利。</w:t>
      </w:r>
    </w:p>
    <w:p w14:paraId="0E3A026E">
      <w:pPr>
        <w:spacing w:line="360" w:lineRule="auto"/>
        <w:ind w:left="840" w:firstLine="480"/>
        <w:rPr>
          <w:rFonts w:ascii="宋体" w:hAnsi="宋体"/>
          <w:sz w:val="24"/>
          <w:szCs w:val="24"/>
        </w:rPr>
      </w:pPr>
      <w:r>
        <w:rPr>
          <w:rFonts w:hint="eastAsia" w:ascii="宋体" w:hAnsi="宋体"/>
          <w:sz w:val="24"/>
          <w:szCs w:val="24"/>
        </w:rPr>
        <w:t>2．发包人的义务</w:t>
      </w:r>
    </w:p>
    <w:p w14:paraId="3166EDF1">
      <w:pPr>
        <w:spacing w:line="360" w:lineRule="auto"/>
        <w:ind w:left="840" w:firstLine="480"/>
        <w:rPr>
          <w:rFonts w:ascii="宋体" w:hAnsi="宋体"/>
          <w:sz w:val="24"/>
          <w:szCs w:val="24"/>
        </w:rPr>
      </w:pPr>
      <w:r>
        <w:rPr>
          <w:rFonts w:hint="eastAsia" w:ascii="宋体" w:hAnsi="宋体"/>
          <w:sz w:val="24"/>
          <w:szCs w:val="24"/>
        </w:rPr>
        <w:t>（1）发包人及其工作人员不得索要或接受承包人的礼金、有价证券和贵重物品，不得让承包人报销任何应由发包人或发包人工作人员个人支付的费用等。</w:t>
      </w:r>
    </w:p>
    <w:p w14:paraId="4BCE22C1">
      <w:pPr>
        <w:spacing w:line="360" w:lineRule="auto"/>
        <w:ind w:left="840" w:firstLine="480"/>
        <w:rPr>
          <w:rFonts w:ascii="宋体" w:hAnsi="宋体"/>
          <w:sz w:val="24"/>
          <w:szCs w:val="24"/>
        </w:rPr>
      </w:pPr>
      <w:r>
        <w:rPr>
          <w:rFonts w:hint="eastAsia" w:ascii="宋体" w:hAnsi="宋体"/>
          <w:sz w:val="24"/>
          <w:szCs w:val="24"/>
        </w:rPr>
        <w:t>（2）发包人工作人员不得参加承包人安排的超标准宴请和娱乐活动；不得接受承包人提供的通讯工具、交通工具和高档办公用品等。</w:t>
      </w:r>
    </w:p>
    <w:p w14:paraId="33D9269C">
      <w:pPr>
        <w:spacing w:line="360" w:lineRule="auto"/>
        <w:ind w:left="840" w:firstLine="480"/>
        <w:rPr>
          <w:rFonts w:ascii="宋体" w:hAnsi="宋体"/>
          <w:sz w:val="24"/>
          <w:szCs w:val="24"/>
        </w:rPr>
      </w:pPr>
      <w:r>
        <w:rPr>
          <w:rFonts w:hint="eastAsia" w:ascii="宋体" w:hAnsi="宋体"/>
          <w:sz w:val="24"/>
          <w:szCs w:val="24"/>
        </w:rPr>
        <w:t>（3）发包人及其工作人员不利要求或者接受承包人为其住房装修、婚丧嫁娶活动、配偶子女的工作安排以及出国出境、旅游等提供方便等。</w:t>
      </w:r>
    </w:p>
    <w:p w14:paraId="29778023">
      <w:pPr>
        <w:spacing w:line="360" w:lineRule="auto"/>
        <w:ind w:left="840" w:firstLine="480"/>
        <w:rPr>
          <w:rFonts w:ascii="宋体" w:hAnsi="宋体"/>
          <w:sz w:val="24"/>
          <w:szCs w:val="24"/>
        </w:rPr>
      </w:pPr>
      <w:r>
        <w:rPr>
          <w:rFonts w:hint="eastAsia" w:ascii="宋体" w:hAnsi="宋体"/>
          <w:sz w:val="24"/>
          <w:szCs w:val="24"/>
        </w:rPr>
        <w:t>（4）发包人工作人员及其配偶、子女不得从事与发包人工作有关的材料设备供应、工程分包、劳务等经济活动等。</w:t>
      </w:r>
    </w:p>
    <w:p w14:paraId="264356D1">
      <w:pPr>
        <w:spacing w:line="360" w:lineRule="auto"/>
        <w:ind w:left="840" w:firstLine="480"/>
        <w:rPr>
          <w:rFonts w:ascii="宋体" w:hAnsi="宋体"/>
          <w:sz w:val="24"/>
          <w:szCs w:val="24"/>
        </w:rPr>
      </w:pPr>
      <w:r>
        <w:rPr>
          <w:rFonts w:hint="eastAsia" w:ascii="宋体" w:hAnsi="宋体"/>
          <w:sz w:val="24"/>
          <w:szCs w:val="24"/>
        </w:rPr>
        <w:t>（5）发包人及期工作人员不得以任何理由向承包人推荐分包单位或推销材料，不得要求承包人购买合同规定外的材料和设备。</w:t>
      </w:r>
    </w:p>
    <w:p w14:paraId="0B07C9CB">
      <w:pPr>
        <w:spacing w:line="360" w:lineRule="auto"/>
        <w:ind w:left="840" w:firstLine="480"/>
        <w:rPr>
          <w:rFonts w:ascii="宋体" w:hAnsi="宋体"/>
          <w:sz w:val="24"/>
          <w:szCs w:val="24"/>
        </w:rPr>
      </w:pPr>
      <w:r>
        <w:rPr>
          <w:rFonts w:hint="eastAsia" w:ascii="宋体" w:hAnsi="宋体"/>
          <w:sz w:val="24"/>
          <w:szCs w:val="24"/>
        </w:rPr>
        <w:t>（6）发包人工作人员要秉公办事，不准营私舞弊，不准利用职权从事各种个人有偿中介活动和安排个人施工队伍。</w:t>
      </w:r>
    </w:p>
    <w:p w14:paraId="12706B6D">
      <w:pPr>
        <w:spacing w:line="360" w:lineRule="auto"/>
        <w:ind w:left="840" w:firstLine="480"/>
        <w:rPr>
          <w:rFonts w:ascii="宋体" w:hAnsi="宋体"/>
          <w:sz w:val="24"/>
          <w:szCs w:val="24"/>
        </w:rPr>
      </w:pPr>
      <w:r>
        <w:rPr>
          <w:rFonts w:hint="eastAsia" w:ascii="宋体" w:hAnsi="宋体"/>
          <w:sz w:val="24"/>
          <w:szCs w:val="24"/>
        </w:rPr>
        <w:t>3．承包人的义务</w:t>
      </w:r>
    </w:p>
    <w:p w14:paraId="6783A30C">
      <w:pPr>
        <w:spacing w:line="360" w:lineRule="auto"/>
        <w:ind w:left="840" w:firstLine="480"/>
        <w:rPr>
          <w:rFonts w:ascii="宋体" w:hAnsi="宋体"/>
          <w:sz w:val="24"/>
          <w:szCs w:val="24"/>
        </w:rPr>
      </w:pPr>
      <w:r>
        <w:rPr>
          <w:rFonts w:hint="eastAsia" w:ascii="宋体" w:hAnsi="宋体"/>
          <w:sz w:val="24"/>
          <w:szCs w:val="24"/>
        </w:rPr>
        <w:t>（1）承包人不得以任何理由向发包人及其工作人员行贿或馈赠礼金、有价证券、贵重礼品。</w:t>
      </w:r>
    </w:p>
    <w:p w14:paraId="4BA50AE8">
      <w:pPr>
        <w:spacing w:line="360" w:lineRule="auto"/>
        <w:ind w:left="840" w:firstLine="480"/>
        <w:rPr>
          <w:rFonts w:ascii="宋体" w:hAnsi="宋体"/>
          <w:sz w:val="24"/>
          <w:szCs w:val="24"/>
        </w:rPr>
      </w:pPr>
      <w:r>
        <w:rPr>
          <w:rFonts w:hint="eastAsia" w:ascii="宋体" w:hAnsi="宋体"/>
          <w:sz w:val="24"/>
          <w:szCs w:val="24"/>
        </w:rPr>
        <w:t>（2）承包人不得以任何名义为发包人及其工作人员报销应由发包人单位或个人支付的任何费用。</w:t>
      </w:r>
    </w:p>
    <w:p w14:paraId="1F6BA9AB">
      <w:pPr>
        <w:spacing w:line="360" w:lineRule="auto"/>
        <w:ind w:left="840" w:firstLine="480"/>
        <w:rPr>
          <w:rFonts w:ascii="宋体" w:hAnsi="宋体"/>
          <w:sz w:val="24"/>
          <w:szCs w:val="24"/>
        </w:rPr>
      </w:pPr>
      <w:r>
        <w:rPr>
          <w:rFonts w:hint="eastAsia" w:ascii="宋体" w:hAnsi="宋体"/>
          <w:sz w:val="24"/>
          <w:szCs w:val="24"/>
        </w:rPr>
        <w:t>（3）承包人不得以任何理由安排发包人工作人员参加超标准宴请及娱乐活动。</w:t>
      </w:r>
    </w:p>
    <w:p w14:paraId="47FABE6F">
      <w:pPr>
        <w:spacing w:line="360" w:lineRule="auto"/>
        <w:ind w:left="840" w:firstLine="480"/>
        <w:rPr>
          <w:rFonts w:ascii="宋体" w:hAnsi="宋体"/>
          <w:sz w:val="24"/>
          <w:szCs w:val="24"/>
        </w:rPr>
      </w:pPr>
      <w:r>
        <w:rPr>
          <w:rFonts w:hint="eastAsia" w:ascii="宋体" w:hAnsi="宋体"/>
          <w:sz w:val="24"/>
          <w:szCs w:val="24"/>
        </w:rPr>
        <w:t>（4）承包人不得为发包人单位和个人购置或提供通讯工具、交通工具和高档办公用品等。</w:t>
      </w:r>
    </w:p>
    <w:p w14:paraId="218D179B">
      <w:pPr>
        <w:spacing w:line="360" w:lineRule="auto"/>
        <w:ind w:left="840" w:firstLine="480"/>
        <w:rPr>
          <w:rFonts w:ascii="宋体" w:hAnsi="宋体"/>
          <w:sz w:val="24"/>
          <w:szCs w:val="24"/>
        </w:rPr>
      </w:pPr>
      <w:r>
        <w:rPr>
          <w:rFonts w:hint="eastAsia" w:ascii="宋体" w:hAnsi="宋体"/>
          <w:sz w:val="24"/>
          <w:szCs w:val="24"/>
        </w:rPr>
        <w:t>4．违约责任</w:t>
      </w:r>
    </w:p>
    <w:p w14:paraId="3E319324">
      <w:pPr>
        <w:spacing w:line="360" w:lineRule="auto"/>
        <w:ind w:left="840" w:firstLine="480"/>
        <w:rPr>
          <w:rFonts w:ascii="宋体" w:hAnsi="宋体"/>
          <w:sz w:val="24"/>
          <w:szCs w:val="24"/>
        </w:rPr>
      </w:pPr>
      <w:r>
        <w:rPr>
          <w:rFonts w:hint="eastAsia" w:ascii="宋体" w:hAnsi="宋体"/>
          <w:sz w:val="24"/>
          <w:szCs w:val="24"/>
        </w:rPr>
        <w:t>（1）发包人及其工作人员违反本合同第1、2条，按管理权限，依据有关规定给予党纪、政纪或组织处理；涉嫌犯罪的，移交司法机关追究刑事责任；给承包人单位造成经济损失的，应予以赔偿。</w:t>
      </w:r>
    </w:p>
    <w:p w14:paraId="3A9DC5EF">
      <w:pPr>
        <w:spacing w:line="360" w:lineRule="auto"/>
        <w:ind w:left="840" w:firstLine="480"/>
        <w:rPr>
          <w:rFonts w:ascii="宋体" w:hAnsi="宋体"/>
          <w:sz w:val="24"/>
          <w:szCs w:val="24"/>
        </w:rPr>
      </w:pPr>
      <w:r>
        <w:rPr>
          <w:rFonts w:hint="eastAsia" w:ascii="宋体" w:hAnsi="宋体"/>
          <w:sz w:val="24"/>
          <w:szCs w:val="24"/>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03F4223F">
      <w:pPr>
        <w:spacing w:line="360" w:lineRule="auto"/>
        <w:ind w:left="840" w:firstLine="480"/>
        <w:rPr>
          <w:rFonts w:ascii="宋体" w:hAnsi="宋体"/>
          <w:sz w:val="24"/>
          <w:szCs w:val="24"/>
        </w:rPr>
      </w:pPr>
      <w:r>
        <w:rPr>
          <w:rFonts w:hint="eastAsia" w:ascii="宋体" w:hAnsi="宋体"/>
          <w:sz w:val="24"/>
          <w:szCs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2DD51B12">
      <w:pPr>
        <w:spacing w:line="360" w:lineRule="auto"/>
        <w:ind w:left="840" w:firstLine="480"/>
        <w:rPr>
          <w:rFonts w:ascii="宋体" w:hAnsi="宋体"/>
          <w:sz w:val="24"/>
          <w:szCs w:val="24"/>
        </w:rPr>
      </w:pPr>
      <w:r>
        <w:rPr>
          <w:rFonts w:hint="eastAsia" w:ascii="宋体" w:hAnsi="宋体"/>
          <w:sz w:val="24"/>
          <w:szCs w:val="24"/>
        </w:rPr>
        <w:t>6.本合同有效期为发包人和承包人签署之日起至该工程项目竣工验收后止。</w:t>
      </w:r>
    </w:p>
    <w:p w14:paraId="17B538C9">
      <w:pPr>
        <w:spacing w:line="360" w:lineRule="auto"/>
        <w:ind w:left="840" w:firstLine="480"/>
        <w:rPr>
          <w:rFonts w:ascii="宋体" w:hAnsi="宋体"/>
          <w:sz w:val="24"/>
          <w:szCs w:val="24"/>
        </w:rPr>
      </w:pPr>
      <w:r>
        <w:rPr>
          <w:rFonts w:hint="eastAsia" w:ascii="宋体" w:hAnsi="宋体"/>
          <w:sz w:val="24"/>
          <w:szCs w:val="24"/>
        </w:rPr>
        <w:t>7．本合同作为</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标段施工合同的附件，与工程施工合同具有同等的法律效力，经合同双方签署后立即生效。</w:t>
      </w:r>
    </w:p>
    <w:p w14:paraId="1FA285F8">
      <w:pPr>
        <w:spacing w:line="360" w:lineRule="auto"/>
        <w:ind w:left="840" w:firstLine="480"/>
        <w:rPr>
          <w:rFonts w:ascii="宋体" w:hAnsi="宋体"/>
          <w:sz w:val="24"/>
          <w:szCs w:val="24"/>
        </w:rPr>
      </w:pPr>
      <w:r>
        <w:rPr>
          <w:rFonts w:hint="eastAsia" w:ascii="宋体" w:hAnsi="宋体"/>
          <w:sz w:val="24"/>
          <w:szCs w:val="24"/>
        </w:rPr>
        <w:t>8．本合同一式四份，由发包人和承包人各执—份，送交发包人和承包人的监督单位各一份</w:t>
      </w:r>
    </w:p>
    <w:p w14:paraId="77D34CB1">
      <w:pPr>
        <w:spacing w:line="360" w:lineRule="auto"/>
        <w:ind w:left="840"/>
        <w:rPr>
          <w:rFonts w:ascii="宋体" w:hAnsi="宋体"/>
          <w:sz w:val="24"/>
          <w:szCs w:val="24"/>
        </w:rPr>
      </w:pPr>
    </w:p>
    <w:p w14:paraId="1532D02C">
      <w:pPr>
        <w:spacing w:line="360" w:lineRule="auto"/>
        <w:ind w:left="840"/>
        <w:rPr>
          <w:rFonts w:ascii="宋体" w:hAnsi="宋体"/>
          <w:sz w:val="24"/>
          <w:szCs w:val="24"/>
        </w:rPr>
      </w:pPr>
    </w:p>
    <w:p w14:paraId="5E618399">
      <w:pPr>
        <w:spacing w:line="360" w:lineRule="auto"/>
        <w:rPr>
          <w:rFonts w:ascii="宋体" w:hAnsi="宋体"/>
          <w:sz w:val="24"/>
          <w:szCs w:val="24"/>
        </w:rPr>
      </w:pPr>
      <w:r>
        <w:rPr>
          <w:rFonts w:hint="eastAsia" w:ascii="宋体" w:hAnsi="宋体"/>
          <w:sz w:val="24"/>
          <w:szCs w:val="24"/>
        </w:rPr>
        <w:t>发包人：</w:t>
      </w:r>
      <w:r>
        <w:rPr>
          <w:rFonts w:hint="eastAsia" w:ascii="宋体" w:hAnsi="宋体"/>
          <w:sz w:val="24"/>
          <w:szCs w:val="24"/>
          <w:u w:val="single"/>
        </w:rPr>
        <w:t xml:space="preserve">              </w:t>
      </w:r>
      <w:r>
        <w:rPr>
          <w:rFonts w:hint="eastAsia" w:ascii="宋体" w:hAnsi="宋体"/>
          <w:sz w:val="24"/>
          <w:szCs w:val="24"/>
        </w:rPr>
        <w:t>（盖单位章）    承包人：</w:t>
      </w:r>
      <w:r>
        <w:rPr>
          <w:rFonts w:hint="eastAsia" w:ascii="宋体" w:hAnsi="宋体"/>
          <w:sz w:val="24"/>
          <w:szCs w:val="24"/>
          <w:u w:val="single"/>
        </w:rPr>
        <w:t xml:space="preserve">              </w:t>
      </w:r>
      <w:r>
        <w:rPr>
          <w:rFonts w:hint="eastAsia" w:ascii="宋体" w:hAnsi="宋体"/>
          <w:sz w:val="24"/>
          <w:szCs w:val="24"/>
        </w:rPr>
        <w:t xml:space="preserve">（盖单位章） </w:t>
      </w:r>
    </w:p>
    <w:p w14:paraId="08BDA787">
      <w:pPr>
        <w:spacing w:line="360" w:lineRule="auto"/>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  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750C631E">
      <w:pPr>
        <w:spacing w:line="360" w:lineRule="auto"/>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BACBAB0">
      <w:pPr>
        <w:spacing w:line="360" w:lineRule="auto"/>
        <w:rPr>
          <w:rFonts w:ascii="宋体" w:hAnsi="宋体"/>
          <w:sz w:val="24"/>
          <w:szCs w:val="24"/>
        </w:rPr>
      </w:pPr>
      <w:r>
        <w:rPr>
          <w:rFonts w:hint="eastAsia" w:ascii="宋体" w:hAnsi="宋体"/>
          <w:sz w:val="24"/>
          <w:szCs w:val="24"/>
        </w:rPr>
        <w:t>发包人监督单位：</w:t>
      </w:r>
      <w:r>
        <w:rPr>
          <w:rFonts w:hint="eastAsia" w:ascii="宋体" w:hAnsi="宋体"/>
          <w:sz w:val="24"/>
          <w:szCs w:val="24"/>
          <w:u w:val="single"/>
        </w:rPr>
        <w:t>（全称） （盖单位章）</w:t>
      </w:r>
      <w:r>
        <w:rPr>
          <w:rFonts w:hint="eastAsia" w:ascii="宋体" w:hAnsi="宋体"/>
          <w:sz w:val="24"/>
          <w:szCs w:val="24"/>
        </w:rPr>
        <w:t xml:space="preserve">  承包人监督单位：</w:t>
      </w:r>
      <w:r>
        <w:rPr>
          <w:rFonts w:hint="eastAsia" w:ascii="宋体" w:hAnsi="宋体"/>
          <w:sz w:val="24"/>
          <w:szCs w:val="24"/>
          <w:u w:val="single"/>
        </w:rPr>
        <w:t>（全称） （盖单位章）</w:t>
      </w:r>
    </w:p>
    <w:p w14:paraId="002112ED">
      <w:pPr>
        <w:spacing w:line="360" w:lineRule="auto"/>
        <w:ind w:left="840"/>
        <w:rPr>
          <w:rFonts w:ascii="宋体" w:hAnsi="宋体"/>
          <w:sz w:val="24"/>
          <w:szCs w:val="24"/>
        </w:rPr>
      </w:pPr>
    </w:p>
    <w:p w14:paraId="3F28E556">
      <w:pPr>
        <w:spacing w:line="360" w:lineRule="auto"/>
        <w:ind w:left="840"/>
        <w:rPr>
          <w:rFonts w:ascii="宋体" w:hAnsi="宋体"/>
          <w:sz w:val="24"/>
          <w:szCs w:val="24"/>
        </w:rPr>
      </w:pPr>
    </w:p>
    <w:p w14:paraId="07C8E90E">
      <w:pPr>
        <w:spacing w:line="360" w:lineRule="auto"/>
        <w:ind w:left="840"/>
        <w:rPr>
          <w:rFonts w:ascii="宋体" w:hAnsi="宋体"/>
          <w:sz w:val="24"/>
          <w:szCs w:val="24"/>
        </w:rPr>
      </w:pPr>
    </w:p>
    <w:p w14:paraId="0B23C064">
      <w:pPr>
        <w:spacing w:line="360" w:lineRule="auto"/>
        <w:ind w:left="840"/>
        <w:rPr>
          <w:rFonts w:ascii="宋体" w:hAnsi="宋体"/>
          <w:sz w:val="24"/>
          <w:szCs w:val="24"/>
        </w:rPr>
      </w:pPr>
    </w:p>
    <w:p w14:paraId="766272BE">
      <w:pPr>
        <w:spacing w:line="360" w:lineRule="auto"/>
        <w:ind w:left="840"/>
        <w:rPr>
          <w:rFonts w:ascii="宋体" w:hAnsi="宋体"/>
          <w:sz w:val="24"/>
          <w:szCs w:val="24"/>
        </w:rPr>
      </w:pPr>
    </w:p>
    <w:p w14:paraId="388A6C16">
      <w:pPr>
        <w:spacing w:line="360" w:lineRule="auto"/>
        <w:ind w:left="840"/>
        <w:rPr>
          <w:rFonts w:ascii="宋体" w:hAnsi="宋体"/>
          <w:sz w:val="24"/>
          <w:szCs w:val="24"/>
        </w:rPr>
      </w:pPr>
    </w:p>
    <w:p w14:paraId="12F5423B">
      <w:pPr>
        <w:spacing w:line="360" w:lineRule="auto"/>
        <w:ind w:left="840"/>
        <w:rPr>
          <w:rFonts w:ascii="宋体" w:hAnsi="宋体"/>
          <w:sz w:val="24"/>
          <w:szCs w:val="24"/>
        </w:rPr>
      </w:pPr>
    </w:p>
    <w:p w14:paraId="0E7DE837">
      <w:pPr>
        <w:spacing w:line="360" w:lineRule="auto"/>
        <w:ind w:left="840"/>
        <w:rPr>
          <w:rFonts w:ascii="宋体" w:hAnsi="宋体"/>
          <w:sz w:val="24"/>
          <w:szCs w:val="24"/>
        </w:rPr>
      </w:pPr>
    </w:p>
    <w:p w14:paraId="499F43E3">
      <w:pPr>
        <w:spacing w:line="360" w:lineRule="auto"/>
        <w:rPr>
          <w:rFonts w:ascii="宋体" w:hAnsi="宋体"/>
          <w:sz w:val="24"/>
          <w:szCs w:val="24"/>
        </w:rPr>
      </w:pPr>
      <w:bookmarkStart w:id="504" w:name="_Toc234382946"/>
      <w:r>
        <w:rPr>
          <w:rFonts w:ascii="宋体" w:hAnsi="宋体"/>
          <w:sz w:val="24"/>
          <w:szCs w:val="24"/>
        </w:rPr>
        <w:br w:type="page"/>
      </w:r>
      <w:r>
        <w:rPr>
          <w:rFonts w:hint="eastAsia" w:ascii="宋体" w:hAnsi="宋体"/>
          <w:sz w:val="24"/>
          <w:szCs w:val="24"/>
        </w:rPr>
        <w:t>附件三   安全生产合同</w:t>
      </w:r>
      <w:bookmarkEnd w:id="504"/>
    </w:p>
    <w:p w14:paraId="7798E006">
      <w:pPr>
        <w:spacing w:before="120" w:after="120" w:line="360" w:lineRule="auto"/>
        <w:ind w:left="840"/>
        <w:jc w:val="center"/>
        <w:rPr>
          <w:rFonts w:ascii="宋体" w:hAnsi="宋体"/>
          <w:b/>
          <w:sz w:val="24"/>
          <w:szCs w:val="24"/>
        </w:rPr>
      </w:pPr>
      <w:r>
        <w:rPr>
          <w:rFonts w:hint="eastAsia" w:ascii="宋体" w:hAnsi="宋体"/>
          <w:b/>
          <w:sz w:val="24"/>
          <w:szCs w:val="24"/>
        </w:rPr>
        <w:t>安全生产合同</w:t>
      </w:r>
    </w:p>
    <w:p w14:paraId="46C6865C">
      <w:pPr>
        <w:spacing w:line="360" w:lineRule="auto"/>
        <w:ind w:left="840" w:firstLine="480"/>
        <w:rPr>
          <w:rFonts w:ascii="宋体" w:hAnsi="宋体"/>
          <w:sz w:val="24"/>
          <w:szCs w:val="24"/>
        </w:rPr>
      </w:pPr>
      <w:r>
        <w:rPr>
          <w:rFonts w:hint="eastAsia" w:ascii="宋体" w:hAnsi="宋体"/>
          <w:sz w:val="24"/>
          <w:szCs w:val="24"/>
        </w:rPr>
        <w:t>为在</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施工合同的实施过程中创造安全、高效的施工环境，切实搞好本项目的安全管理工作，本项目发包人</w:t>
      </w:r>
      <w:r>
        <w:rPr>
          <w:rFonts w:hint="eastAsia" w:ascii="宋体" w:hAnsi="宋体"/>
          <w:sz w:val="24"/>
          <w:szCs w:val="24"/>
          <w:u w:val="single"/>
        </w:rPr>
        <w:t xml:space="preserve">    </w:t>
      </w:r>
      <w:r>
        <w:rPr>
          <w:rFonts w:hint="eastAsia" w:ascii="宋体" w:hAnsi="宋体"/>
          <w:sz w:val="24"/>
          <w:szCs w:val="24"/>
        </w:rPr>
        <w:t>（发包人名称，以下简称“发包人”）与承包人</w:t>
      </w:r>
      <w:r>
        <w:rPr>
          <w:rFonts w:hint="eastAsia" w:ascii="宋体" w:hAnsi="宋体"/>
          <w:sz w:val="24"/>
          <w:szCs w:val="24"/>
          <w:u w:val="single"/>
        </w:rPr>
        <w:t xml:space="preserve">    </w:t>
      </w:r>
      <w:r>
        <w:rPr>
          <w:rFonts w:hint="eastAsia" w:ascii="宋体" w:hAnsi="宋体"/>
          <w:sz w:val="24"/>
          <w:szCs w:val="24"/>
        </w:rPr>
        <w:t>（承包人名称，以下简称“承包人”）特此签订安全生产合同：</w:t>
      </w:r>
    </w:p>
    <w:p w14:paraId="52049821">
      <w:pPr>
        <w:spacing w:line="360" w:lineRule="auto"/>
        <w:ind w:left="840" w:firstLine="480"/>
        <w:rPr>
          <w:rFonts w:ascii="宋体" w:hAnsi="宋体"/>
          <w:sz w:val="24"/>
          <w:szCs w:val="24"/>
        </w:rPr>
      </w:pPr>
      <w:r>
        <w:rPr>
          <w:rFonts w:hint="eastAsia" w:ascii="宋体" w:hAnsi="宋体"/>
          <w:sz w:val="24"/>
          <w:szCs w:val="24"/>
        </w:rPr>
        <w:t>1.发包人职责</w:t>
      </w:r>
    </w:p>
    <w:p w14:paraId="026D7C52">
      <w:pPr>
        <w:spacing w:line="360" w:lineRule="auto"/>
        <w:ind w:left="840" w:firstLine="480"/>
        <w:rPr>
          <w:rFonts w:ascii="宋体" w:hAnsi="宋体"/>
          <w:sz w:val="24"/>
          <w:szCs w:val="24"/>
        </w:rPr>
      </w:pPr>
      <w:r>
        <w:rPr>
          <w:rFonts w:hint="eastAsia" w:ascii="宋体" w:hAnsi="宋体"/>
          <w:sz w:val="24"/>
          <w:szCs w:val="24"/>
        </w:rPr>
        <w:t>（1）严格遵守国家有关安全生产的法律法规，认真执行工程承包合同中的有关安全要求。</w:t>
      </w:r>
    </w:p>
    <w:p w14:paraId="1760504A">
      <w:pPr>
        <w:spacing w:line="360" w:lineRule="auto"/>
        <w:ind w:left="840" w:firstLine="480"/>
        <w:rPr>
          <w:rFonts w:ascii="宋体" w:hAnsi="宋体"/>
          <w:sz w:val="24"/>
          <w:szCs w:val="24"/>
        </w:rPr>
      </w:pPr>
      <w:r>
        <w:rPr>
          <w:rFonts w:hint="eastAsia" w:ascii="宋体" w:hAnsi="宋体"/>
          <w:sz w:val="24"/>
          <w:szCs w:val="24"/>
        </w:rPr>
        <w:t>（2）按照“安全第一、预防为主”和坚持“管生产必须管安全”的原则进行安全生产管理，做到生产与安全工作同时计划、布置、检查、总结和评比。</w:t>
      </w:r>
    </w:p>
    <w:p w14:paraId="597CF249">
      <w:pPr>
        <w:spacing w:line="360" w:lineRule="auto"/>
        <w:ind w:left="840" w:firstLine="480"/>
        <w:rPr>
          <w:rFonts w:ascii="宋体" w:hAnsi="宋体"/>
          <w:sz w:val="24"/>
          <w:szCs w:val="24"/>
        </w:rPr>
      </w:pPr>
      <w:r>
        <w:rPr>
          <w:rFonts w:hint="eastAsia" w:ascii="宋体" w:hAnsi="宋体"/>
          <w:sz w:val="24"/>
          <w:szCs w:val="24"/>
        </w:rPr>
        <w:t>（3）重要的安全设施必须坚持与主体工程“三同时”的原则，即：同时设计、审批，同时施工，同时验收，投入使用。</w:t>
      </w:r>
    </w:p>
    <w:p w14:paraId="3D84CD37">
      <w:pPr>
        <w:spacing w:line="360" w:lineRule="auto"/>
        <w:ind w:left="840" w:firstLine="480"/>
        <w:rPr>
          <w:rFonts w:ascii="宋体" w:hAnsi="宋体"/>
          <w:sz w:val="24"/>
          <w:szCs w:val="24"/>
        </w:rPr>
      </w:pPr>
      <w:r>
        <w:rPr>
          <w:rFonts w:hint="eastAsia" w:ascii="宋体" w:hAnsi="宋体"/>
          <w:sz w:val="24"/>
          <w:szCs w:val="24"/>
        </w:rPr>
        <w:t>（4）定期召开安全生产调度会，及时传达中央及地方有关安全生产的精神。</w:t>
      </w:r>
    </w:p>
    <w:p w14:paraId="4145C4EE">
      <w:pPr>
        <w:spacing w:line="360" w:lineRule="auto"/>
        <w:ind w:left="840" w:firstLine="480"/>
        <w:rPr>
          <w:rFonts w:ascii="宋体" w:hAnsi="宋体"/>
          <w:sz w:val="24"/>
          <w:szCs w:val="24"/>
        </w:rPr>
      </w:pPr>
      <w:r>
        <w:rPr>
          <w:rFonts w:hint="eastAsia" w:ascii="宋体" w:hAnsi="宋体"/>
          <w:sz w:val="24"/>
          <w:szCs w:val="24"/>
        </w:rPr>
        <w:t>（5）组织对承包人施工现场安全生产检查，监督承包人及时处理发现的各种安全隐患。</w:t>
      </w:r>
    </w:p>
    <w:p w14:paraId="4CE80A3A">
      <w:pPr>
        <w:spacing w:line="360" w:lineRule="auto"/>
        <w:ind w:left="840" w:firstLine="480"/>
        <w:rPr>
          <w:rFonts w:ascii="宋体" w:hAnsi="宋体"/>
          <w:sz w:val="24"/>
          <w:szCs w:val="24"/>
        </w:rPr>
      </w:pPr>
      <w:r>
        <w:rPr>
          <w:rFonts w:hint="eastAsia" w:ascii="宋体" w:hAnsi="宋体"/>
          <w:sz w:val="24"/>
          <w:szCs w:val="24"/>
        </w:rPr>
        <w:t>2.承包人职责</w:t>
      </w:r>
    </w:p>
    <w:p w14:paraId="7D050136">
      <w:pPr>
        <w:spacing w:line="360" w:lineRule="auto"/>
        <w:ind w:left="840" w:firstLine="480"/>
        <w:rPr>
          <w:rFonts w:ascii="宋体" w:hAnsi="宋体"/>
          <w:sz w:val="24"/>
          <w:szCs w:val="24"/>
        </w:rPr>
      </w:pPr>
      <w:r>
        <w:rPr>
          <w:rFonts w:hint="eastAsia" w:ascii="宋体" w:hAnsi="宋体"/>
          <w:sz w:val="24"/>
          <w:szCs w:val="24"/>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2FFF563F">
      <w:pPr>
        <w:spacing w:line="360" w:lineRule="auto"/>
        <w:ind w:left="840" w:firstLine="480"/>
        <w:rPr>
          <w:rFonts w:ascii="宋体" w:hAnsi="宋体"/>
          <w:sz w:val="24"/>
          <w:szCs w:val="24"/>
        </w:rPr>
      </w:pPr>
      <w:r>
        <w:rPr>
          <w:rFonts w:hint="eastAsia" w:ascii="宋体" w:hAnsi="宋体"/>
          <w:sz w:val="24"/>
          <w:szCs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1C1BE62">
      <w:pPr>
        <w:spacing w:line="360" w:lineRule="auto"/>
        <w:ind w:left="840" w:firstLine="480"/>
        <w:rPr>
          <w:rFonts w:ascii="宋体" w:hAnsi="宋体"/>
          <w:sz w:val="24"/>
          <w:szCs w:val="24"/>
        </w:rPr>
      </w:pPr>
      <w:r>
        <w:rPr>
          <w:rFonts w:hint="eastAsia" w:ascii="宋体" w:hAnsi="宋体"/>
          <w:sz w:val="24"/>
          <w:szCs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719A297F">
      <w:pPr>
        <w:spacing w:line="360" w:lineRule="auto"/>
        <w:ind w:left="840" w:firstLine="480"/>
        <w:rPr>
          <w:rFonts w:ascii="宋体" w:hAnsi="宋体"/>
          <w:sz w:val="24"/>
          <w:szCs w:val="24"/>
        </w:rPr>
      </w:pPr>
      <w:r>
        <w:rPr>
          <w:rFonts w:hint="eastAsia" w:ascii="宋体" w:hAnsi="宋体"/>
          <w:sz w:val="24"/>
          <w:szCs w:val="24"/>
        </w:rPr>
        <w:t>（4）承包人在任何时候都应采取各种合理的预防措施，防止其员工发生任何违法、违禁、暴力或妨碍治安的行为。</w:t>
      </w:r>
    </w:p>
    <w:p w14:paraId="7917BAD8">
      <w:pPr>
        <w:spacing w:line="360" w:lineRule="auto"/>
        <w:ind w:left="840" w:firstLine="480"/>
        <w:rPr>
          <w:rFonts w:ascii="宋体" w:hAnsi="宋体"/>
          <w:sz w:val="24"/>
          <w:szCs w:val="24"/>
        </w:rPr>
      </w:pPr>
      <w:r>
        <w:rPr>
          <w:rFonts w:hint="eastAsia" w:ascii="宋体" w:hAnsi="宋体"/>
          <w:sz w:val="24"/>
          <w:szCs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9BB734B">
      <w:pPr>
        <w:spacing w:line="360" w:lineRule="auto"/>
        <w:ind w:left="840" w:firstLine="480"/>
        <w:rPr>
          <w:rFonts w:ascii="宋体" w:hAnsi="宋体"/>
          <w:sz w:val="24"/>
          <w:szCs w:val="24"/>
        </w:rPr>
      </w:pPr>
      <w:r>
        <w:rPr>
          <w:rFonts w:hint="eastAsia" w:ascii="宋体" w:hAnsi="宋体"/>
          <w:sz w:val="24"/>
          <w:szCs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734F663">
      <w:pPr>
        <w:spacing w:line="360" w:lineRule="auto"/>
        <w:ind w:left="840" w:firstLine="480"/>
        <w:rPr>
          <w:rFonts w:ascii="宋体" w:hAnsi="宋体"/>
          <w:sz w:val="24"/>
          <w:szCs w:val="24"/>
        </w:rPr>
      </w:pPr>
      <w:r>
        <w:rPr>
          <w:rFonts w:hint="eastAsia" w:ascii="宋体" w:hAnsi="宋体"/>
          <w:sz w:val="24"/>
          <w:szCs w:val="24"/>
        </w:rPr>
        <w:t>（7）操作人员上岗，必须按规定穿戴防护用品。施工负责人和安全检查员应随时检查劳动防护用品的穿戴情况，不按规定穿戴防护用品的人员不得上岗。</w:t>
      </w:r>
    </w:p>
    <w:p w14:paraId="607E402A">
      <w:pPr>
        <w:spacing w:line="360" w:lineRule="auto"/>
        <w:ind w:left="840" w:firstLine="480"/>
        <w:rPr>
          <w:rFonts w:ascii="宋体" w:hAnsi="宋体"/>
          <w:sz w:val="24"/>
          <w:szCs w:val="24"/>
        </w:rPr>
      </w:pPr>
      <w:r>
        <w:rPr>
          <w:rFonts w:hint="eastAsia" w:ascii="宋体" w:hAnsi="宋体"/>
          <w:sz w:val="24"/>
          <w:szCs w:val="24"/>
        </w:rPr>
        <w:t>（8）所有施工机具设备和高空作业的设备均应定期检查，并有安全员的签字记录，保证其经常处于完好状态；不合格的机具、设备和劳动保护用品严禁使用：</w:t>
      </w:r>
    </w:p>
    <w:p w14:paraId="1D927A0A">
      <w:pPr>
        <w:spacing w:line="360" w:lineRule="auto"/>
        <w:ind w:left="840" w:firstLine="480"/>
        <w:rPr>
          <w:rFonts w:ascii="宋体" w:hAnsi="宋体"/>
          <w:sz w:val="24"/>
          <w:szCs w:val="24"/>
        </w:rPr>
      </w:pPr>
      <w:r>
        <w:rPr>
          <w:rFonts w:hint="eastAsia" w:ascii="宋体" w:hAnsi="宋体"/>
          <w:sz w:val="24"/>
          <w:szCs w:val="24"/>
        </w:rPr>
        <w:t>（9）施工中采用新技术、新工艺、新设备、新材料时，必须制定相应的安全技术措施，施工现场必须具有相关的安全标志牌。</w:t>
      </w:r>
    </w:p>
    <w:p w14:paraId="2C77C3A5">
      <w:pPr>
        <w:spacing w:line="360" w:lineRule="auto"/>
        <w:ind w:left="840" w:firstLine="480"/>
        <w:rPr>
          <w:rFonts w:ascii="宋体" w:hAnsi="宋体"/>
          <w:sz w:val="24"/>
          <w:szCs w:val="24"/>
        </w:rPr>
      </w:pPr>
      <w:r>
        <w:rPr>
          <w:rFonts w:hint="eastAsia" w:ascii="宋体" w:hAnsi="宋体"/>
          <w:sz w:val="24"/>
          <w:szCs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9C9C5A2">
      <w:pPr>
        <w:spacing w:line="360" w:lineRule="auto"/>
        <w:ind w:left="840" w:firstLine="480"/>
        <w:rPr>
          <w:rFonts w:ascii="宋体" w:hAnsi="宋体"/>
          <w:sz w:val="24"/>
          <w:szCs w:val="24"/>
        </w:rPr>
      </w:pPr>
      <w:r>
        <w:rPr>
          <w:rFonts w:hint="eastAsia" w:ascii="宋体" w:hAnsi="宋体"/>
          <w:sz w:val="24"/>
          <w:szCs w:val="24"/>
        </w:rPr>
        <w:t>（11）安全生产费用按照《公路水运工程安全生产监督管理办法》的相关规定使用和管理。</w:t>
      </w:r>
    </w:p>
    <w:p w14:paraId="3E6B31FA">
      <w:pPr>
        <w:spacing w:line="360" w:lineRule="auto"/>
        <w:ind w:left="840" w:firstLine="480"/>
        <w:rPr>
          <w:rFonts w:ascii="宋体" w:hAnsi="宋体"/>
          <w:sz w:val="24"/>
          <w:szCs w:val="24"/>
        </w:rPr>
      </w:pPr>
      <w:r>
        <w:rPr>
          <w:rFonts w:hint="eastAsia" w:ascii="宋体" w:hAnsi="宋体"/>
          <w:sz w:val="24"/>
          <w:szCs w:val="24"/>
        </w:rPr>
        <w:t>3.违约责任</w:t>
      </w:r>
    </w:p>
    <w:p w14:paraId="6E7B6A9C">
      <w:pPr>
        <w:spacing w:line="360" w:lineRule="auto"/>
        <w:ind w:left="840" w:firstLine="480"/>
        <w:rPr>
          <w:rFonts w:ascii="宋体" w:hAnsi="宋体"/>
          <w:sz w:val="24"/>
          <w:szCs w:val="24"/>
        </w:rPr>
      </w:pPr>
      <w:r>
        <w:rPr>
          <w:rFonts w:hint="eastAsia" w:ascii="宋体" w:hAnsi="宋体"/>
          <w:sz w:val="24"/>
          <w:szCs w:val="24"/>
        </w:rPr>
        <w:t>如因发包人或承包人违约造成安全事故，将依法追究责任。</w:t>
      </w:r>
    </w:p>
    <w:p w14:paraId="5144712E">
      <w:pPr>
        <w:spacing w:line="360" w:lineRule="auto"/>
        <w:ind w:left="840" w:firstLine="480"/>
        <w:rPr>
          <w:rFonts w:ascii="宋体" w:hAnsi="宋体"/>
          <w:sz w:val="24"/>
          <w:szCs w:val="24"/>
        </w:rPr>
      </w:pPr>
      <w:r>
        <w:rPr>
          <w:rFonts w:hint="eastAsia" w:ascii="宋体" w:hAnsi="宋体"/>
          <w:sz w:val="24"/>
          <w:szCs w:val="24"/>
        </w:rPr>
        <w:t>4.本合同由双方法定代表人或其授权的代理人签署并加盖单位章后生效，全部工程竣工验收后失效。</w:t>
      </w:r>
    </w:p>
    <w:p w14:paraId="04120F61">
      <w:pPr>
        <w:spacing w:line="360" w:lineRule="auto"/>
        <w:ind w:left="840" w:firstLine="480"/>
        <w:rPr>
          <w:rFonts w:ascii="宋体" w:hAnsi="宋体"/>
          <w:sz w:val="24"/>
          <w:szCs w:val="24"/>
        </w:rPr>
      </w:pPr>
      <w:r>
        <w:rPr>
          <w:rFonts w:hint="eastAsia" w:ascii="宋体" w:hAnsi="宋体"/>
          <w:sz w:val="24"/>
          <w:szCs w:val="24"/>
        </w:rPr>
        <w:t>5.本合同正本—式二份，副本</w:t>
      </w:r>
      <w:r>
        <w:rPr>
          <w:rFonts w:hint="eastAsia" w:ascii="宋体" w:hAnsi="宋体"/>
          <w:sz w:val="24"/>
          <w:szCs w:val="24"/>
          <w:u w:val="single"/>
        </w:rPr>
        <w:t xml:space="preserve">  </w:t>
      </w:r>
      <w:r>
        <w:rPr>
          <w:rFonts w:hint="eastAsia" w:ascii="宋体" w:hAnsi="宋体"/>
          <w:sz w:val="24"/>
          <w:szCs w:val="24"/>
        </w:rPr>
        <w:t>份，合同双方各执正本—份，副本</w:t>
      </w:r>
      <w:r>
        <w:rPr>
          <w:rFonts w:hint="eastAsia" w:ascii="宋体" w:hAnsi="宋体"/>
          <w:sz w:val="24"/>
          <w:szCs w:val="24"/>
          <w:u w:val="single"/>
        </w:rPr>
        <w:t xml:space="preserve">  </w:t>
      </w:r>
      <w:r>
        <w:rPr>
          <w:rFonts w:hint="eastAsia" w:ascii="宋体" w:hAnsi="宋体"/>
          <w:sz w:val="24"/>
          <w:szCs w:val="24"/>
        </w:rPr>
        <w:t>份，当正本与副本的内容不一致时，以正本为准。</w:t>
      </w:r>
    </w:p>
    <w:p w14:paraId="749C1D53">
      <w:pPr>
        <w:spacing w:line="360" w:lineRule="auto"/>
        <w:ind w:left="840"/>
        <w:rPr>
          <w:rFonts w:ascii="宋体" w:hAnsi="宋体"/>
          <w:sz w:val="24"/>
          <w:szCs w:val="24"/>
        </w:rPr>
      </w:pPr>
    </w:p>
    <w:p w14:paraId="3F2B97AF">
      <w:pPr>
        <w:spacing w:line="360" w:lineRule="auto"/>
        <w:rPr>
          <w:rFonts w:ascii="宋体" w:hAnsi="宋体"/>
          <w:sz w:val="24"/>
          <w:szCs w:val="24"/>
        </w:rPr>
      </w:pPr>
      <w:r>
        <w:rPr>
          <w:rFonts w:hint="eastAsia" w:ascii="宋体" w:hAnsi="宋体"/>
          <w:sz w:val="24"/>
          <w:szCs w:val="24"/>
        </w:rPr>
        <w:t>发包人：</w:t>
      </w:r>
      <w:r>
        <w:rPr>
          <w:rFonts w:hint="eastAsia" w:ascii="宋体" w:hAnsi="宋体"/>
          <w:sz w:val="24"/>
          <w:szCs w:val="24"/>
          <w:u w:val="single"/>
        </w:rPr>
        <w:t xml:space="preserve">                </w:t>
      </w:r>
      <w:r>
        <w:rPr>
          <w:rFonts w:hint="eastAsia" w:ascii="宋体" w:hAnsi="宋体"/>
          <w:sz w:val="24"/>
          <w:szCs w:val="24"/>
        </w:rPr>
        <w:t>（盖单位章）  承包人：</w:t>
      </w:r>
      <w:r>
        <w:rPr>
          <w:rFonts w:hint="eastAsia" w:ascii="宋体" w:hAnsi="宋体"/>
          <w:sz w:val="24"/>
          <w:szCs w:val="24"/>
          <w:u w:val="single"/>
        </w:rPr>
        <w:t xml:space="preserve">                </w:t>
      </w:r>
      <w:r>
        <w:rPr>
          <w:rFonts w:hint="eastAsia" w:ascii="宋体" w:hAnsi="宋体"/>
          <w:sz w:val="24"/>
          <w:szCs w:val="24"/>
        </w:rPr>
        <w:t xml:space="preserve">（盖单位章） </w:t>
      </w:r>
    </w:p>
    <w:p w14:paraId="45D541DD">
      <w:pPr>
        <w:spacing w:line="360" w:lineRule="auto"/>
        <w:rPr>
          <w:rFonts w:ascii="宋体" w:hAnsi="宋体"/>
          <w:sz w:val="24"/>
          <w:szCs w:val="24"/>
        </w:rPr>
      </w:pPr>
      <w:r>
        <w:rPr>
          <w:rFonts w:hint="eastAsia" w:ascii="宋体" w:hAnsi="宋体"/>
          <w:sz w:val="24"/>
          <w:szCs w:val="24"/>
        </w:rPr>
        <w:t>法定代表人或其委托代理人：</w:t>
      </w:r>
      <w:r>
        <w:rPr>
          <w:rFonts w:hint="eastAsia" w:ascii="宋体" w:hAnsi="宋体"/>
          <w:sz w:val="24"/>
          <w:szCs w:val="24"/>
          <w:u w:val="single"/>
        </w:rPr>
        <w:t xml:space="preserve">  </w:t>
      </w:r>
      <w:r>
        <w:rPr>
          <w:rFonts w:hint="eastAsia" w:ascii="宋体" w:hAnsi="宋体"/>
          <w:sz w:val="24"/>
          <w:szCs w:val="24"/>
        </w:rPr>
        <w:t>（签字）  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5E5766BA">
      <w:pPr>
        <w:spacing w:line="360" w:lineRule="auto"/>
        <w:ind w:left="84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日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372D0F6">
      <w:pPr>
        <w:spacing w:line="360" w:lineRule="auto"/>
        <w:ind w:left="840"/>
        <w:rPr>
          <w:rFonts w:ascii="宋体" w:hAnsi="宋体"/>
          <w:sz w:val="24"/>
          <w:szCs w:val="24"/>
        </w:rPr>
        <w:sectPr>
          <w:headerReference r:id="rId5" w:type="default"/>
          <w:footerReference r:id="rId6" w:type="default"/>
          <w:footnotePr>
            <w:numFmt w:val="decimalEnclosedCircleChinese"/>
            <w:numRestart w:val="eachPage"/>
          </w:footnotePr>
          <w:pgSz w:w="11906" w:h="16838"/>
          <w:pgMar w:top="1440" w:right="1361" w:bottom="1440" w:left="1361" w:header="851" w:footer="992" w:gutter="0"/>
          <w:cols w:space="720" w:num="1"/>
          <w:titlePg/>
          <w:docGrid w:linePitch="312" w:charSpace="0"/>
        </w:sectPr>
      </w:pPr>
    </w:p>
    <w:p w14:paraId="5D24B7D1">
      <w:pPr>
        <w:spacing w:line="360" w:lineRule="auto"/>
        <w:jc w:val="center"/>
        <w:rPr>
          <w:rFonts w:ascii="宋体" w:hAnsi="宋体"/>
          <w:sz w:val="24"/>
          <w:szCs w:val="24"/>
        </w:rPr>
      </w:pPr>
      <w:bookmarkStart w:id="505" w:name="_Toc234382947"/>
      <w:r>
        <w:rPr>
          <w:rFonts w:hint="eastAsia" w:ascii="宋体" w:hAnsi="宋体"/>
          <w:sz w:val="24"/>
          <w:szCs w:val="24"/>
        </w:rPr>
        <w:t>附件四   其他主要管理人员和技术人员最低要求</w:t>
      </w:r>
      <w:bookmarkEnd w:id="505"/>
    </w:p>
    <w:tbl>
      <w:tblPr>
        <w:tblStyle w:val="20"/>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35"/>
        <w:gridCol w:w="1984"/>
        <w:gridCol w:w="5020"/>
      </w:tblGrid>
      <w:tr w14:paraId="2CED7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23BCE434">
            <w:pPr>
              <w:spacing w:line="360" w:lineRule="auto"/>
              <w:jc w:val="center"/>
              <w:rPr>
                <w:rFonts w:ascii="宋体" w:hAnsi="宋体"/>
                <w:sz w:val="24"/>
                <w:szCs w:val="24"/>
              </w:rPr>
            </w:pPr>
            <w:r>
              <w:rPr>
                <w:rFonts w:hint="eastAsia" w:ascii="宋体" w:hAnsi="宋体"/>
                <w:sz w:val="24"/>
                <w:szCs w:val="24"/>
              </w:rPr>
              <w:t>人  员</w:t>
            </w:r>
          </w:p>
        </w:tc>
        <w:tc>
          <w:tcPr>
            <w:tcW w:w="1984" w:type="dxa"/>
            <w:vAlign w:val="center"/>
          </w:tcPr>
          <w:p w14:paraId="45CD229C">
            <w:pPr>
              <w:spacing w:line="360" w:lineRule="auto"/>
              <w:jc w:val="center"/>
              <w:rPr>
                <w:rFonts w:ascii="宋体" w:hAnsi="宋体"/>
                <w:sz w:val="24"/>
                <w:szCs w:val="24"/>
              </w:rPr>
            </w:pPr>
            <w:r>
              <w:rPr>
                <w:rFonts w:hint="eastAsia" w:ascii="宋体" w:hAnsi="宋体"/>
                <w:sz w:val="24"/>
                <w:szCs w:val="24"/>
              </w:rPr>
              <w:t>数  量</w:t>
            </w:r>
          </w:p>
        </w:tc>
        <w:tc>
          <w:tcPr>
            <w:tcW w:w="5020" w:type="dxa"/>
            <w:vAlign w:val="center"/>
          </w:tcPr>
          <w:p w14:paraId="22A21A65">
            <w:pPr>
              <w:spacing w:line="360" w:lineRule="auto"/>
              <w:jc w:val="center"/>
              <w:rPr>
                <w:rFonts w:ascii="宋体" w:hAnsi="宋体"/>
                <w:sz w:val="24"/>
                <w:szCs w:val="24"/>
              </w:rPr>
            </w:pPr>
            <w:r>
              <w:rPr>
                <w:rFonts w:hint="eastAsia" w:ascii="宋体" w:hAnsi="宋体"/>
                <w:sz w:val="24"/>
                <w:szCs w:val="24"/>
              </w:rPr>
              <w:t>资 格 要 求</w:t>
            </w:r>
          </w:p>
        </w:tc>
      </w:tr>
      <w:tr w14:paraId="5CCE72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784FCCE5">
            <w:pPr>
              <w:spacing w:line="360" w:lineRule="auto"/>
              <w:ind w:left="840"/>
              <w:rPr>
                <w:rFonts w:ascii="宋体" w:hAnsi="宋体"/>
                <w:sz w:val="24"/>
                <w:szCs w:val="24"/>
              </w:rPr>
            </w:pPr>
          </w:p>
        </w:tc>
        <w:tc>
          <w:tcPr>
            <w:tcW w:w="1984" w:type="dxa"/>
            <w:vAlign w:val="center"/>
          </w:tcPr>
          <w:p w14:paraId="5580799C">
            <w:pPr>
              <w:spacing w:line="360" w:lineRule="auto"/>
              <w:ind w:left="840"/>
              <w:rPr>
                <w:rFonts w:ascii="宋体" w:hAnsi="宋体"/>
                <w:sz w:val="24"/>
                <w:szCs w:val="24"/>
              </w:rPr>
            </w:pPr>
          </w:p>
        </w:tc>
        <w:tc>
          <w:tcPr>
            <w:tcW w:w="5020" w:type="dxa"/>
            <w:vAlign w:val="center"/>
          </w:tcPr>
          <w:p w14:paraId="2A9760D7">
            <w:pPr>
              <w:spacing w:line="360" w:lineRule="auto"/>
              <w:ind w:left="840"/>
              <w:rPr>
                <w:rFonts w:ascii="宋体" w:hAnsi="宋体"/>
                <w:sz w:val="24"/>
                <w:szCs w:val="24"/>
              </w:rPr>
            </w:pPr>
          </w:p>
        </w:tc>
      </w:tr>
      <w:tr w14:paraId="22618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3E1623A9">
            <w:pPr>
              <w:spacing w:line="360" w:lineRule="auto"/>
              <w:ind w:left="840"/>
              <w:rPr>
                <w:rFonts w:ascii="宋体" w:hAnsi="宋体"/>
                <w:sz w:val="24"/>
                <w:szCs w:val="24"/>
              </w:rPr>
            </w:pPr>
          </w:p>
        </w:tc>
        <w:tc>
          <w:tcPr>
            <w:tcW w:w="1984" w:type="dxa"/>
            <w:vAlign w:val="center"/>
          </w:tcPr>
          <w:p w14:paraId="519ABF02">
            <w:pPr>
              <w:spacing w:line="360" w:lineRule="auto"/>
              <w:ind w:left="840"/>
              <w:rPr>
                <w:rFonts w:ascii="宋体" w:hAnsi="宋体"/>
                <w:sz w:val="24"/>
                <w:szCs w:val="24"/>
              </w:rPr>
            </w:pPr>
          </w:p>
        </w:tc>
        <w:tc>
          <w:tcPr>
            <w:tcW w:w="5020" w:type="dxa"/>
            <w:vAlign w:val="center"/>
          </w:tcPr>
          <w:p w14:paraId="161B48F5">
            <w:pPr>
              <w:spacing w:line="360" w:lineRule="auto"/>
              <w:ind w:left="840"/>
              <w:rPr>
                <w:rFonts w:ascii="宋体" w:hAnsi="宋体"/>
                <w:sz w:val="24"/>
                <w:szCs w:val="24"/>
              </w:rPr>
            </w:pPr>
          </w:p>
        </w:tc>
      </w:tr>
      <w:tr w14:paraId="13264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6EC4F6E6">
            <w:pPr>
              <w:spacing w:line="360" w:lineRule="auto"/>
              <w:ind w:left="840"/>
              <w:rPr>
                <w:rFonts w:ascii="宋体" w:hAnsi="宋体"/>
                <w:sz w:val="24"/>
                <w:szCs w:val="24"/>
              </w:rPr>
            </w:pPr>
          </w:p>
        </w:tc>
        <w:tc>
          <w:tcPr>
            <w:tcW w:w="1984" w:type="dxa"/>
            <w:vAlign w:val="center"/>
          </w:tcPr>
          <w:p w14:paraId="1407044F">
            <w:pPr>
              <w:spacing w:line="360" w:lineRule="auto"/>
              <w:ind w:left="840"/>
              <w:rPr>
                <w:rFonts w:ascii="宋体" w:hAnsi="宋体"/>
                <w:sz w:val="24"/>
                <w:szCs w:val="24"/>
              </w:rPr>
            </w:pPr>
          </w:p>
        </w:tc>
        <w:tc>
          <w:tcPr>
            <w:tcW w:w="5020" w:type="dxa"/>
            <w:vAlign w:val="center"/>
          </w:tcPr>
          <w:p w14:paraId="36F552D8">
            <w:pPr>
              <w:spacing w:line="360" w:lineRule="auto"/>
              <w:ind w:left="840"/>
              <w:rPr>
                <w:rFonts w:ascii="宋体" w:hAnsi="宋体"/>
                <w:sz w:val="24"/>
                <w:szCs w:val="24"/>
              </w:rPr>
            </w:pPr>
          </w:p>
        </w:tc>
      </w:tr>
      <w:tr w14:paraId="37CD8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58EF28D1">
            <w:pPr>
              <w:spacing w:line="360" w:lineRule="auto"/>
              <w:ind w:left="840"/>
              <w:rPr>
                <w:rFonts w:ascii="宋体" w:hAnsi="宋体"/>
                <w:sz w:val="24"/>
                <w:szCs w:val="24"/>
              </w:rPr>
            </w:pPr>
          </w:p>
        </w:tc>
        <w:tc>
          <w:tcPr>
            <w:tcW w:w="1984" w:type="dxa"/>
            <w:vAlign w:val="center"/>
          </w:tcPr>
          <w:p w14:paraId="2EC78257">
            <w:pPr>
              <w:spacing w:line="360" w:lineRule="auto"/>
              <w:ind w:left="840"/>
              <w:rPr>
                <w:rFonts w:ascii="宋体" w:hAnsi="宋体"/>
                <w:sz w:val="24"/>
                <w:szCs w:val="24"/>
              </w:rPr>
            </w:pPr>
          </w:p>
        </w:tc>
        <w:tc>
          <w:tcPr>
            <w:tcW w:w="5020" w:type="dxa"/>
            <w:vAlign w:val="center"/>
          </w:tcPr>
          <w:p w14:paraId="2A3DAB3A">
            <w:pPr>
              <w:spacing w:line="360" w:lineRule="auto"/>
              <w:ind w:left="840"/>
              <w:rPr>
                <w:rFonts w:ascii="宋体" w:hAnsi="宋体"/>
                <w:sz w:val="24"/>
                <w:szCs w:val="24"/>
              </w:rPr>
            </w:pPr>
          </w:p>
        </w:tc>
      </w:tr>
      <w:tr w14:paraId="3C4F9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75FCE4D1">
            <w:pPr>
              <w:spacing w:line="360" w:lineRule="auto"/>
              <w:ind w:left="840"/>
              <w:rPr>
                <w:rFonts w:ascii="宋体" w:hAnsi="宋体"/>
                <w:sz w:val="24"/>
                <w:szCs w:val="24"/>
              </w:rPr>
            </w:pPr>
          </w:p>
        </w:tc>
        <w:tc>
          <w:tcPr>
            <w:tcW w:w="1984" w:type="dxa"/>
            <w:vAlign w:val="center"/>
          </w:tcPr>
          <w:p w14:paraId="4C106394">
            <w:pPr>
              <w:spacing w:line="360" w:lineRule="auto"/>
              <w:ind w:left="840"/>
              <w:rPr>
                <w:rFonts w:ascii="宋体" w:hAnsi="宋体"/>
                <w:sz w:val="24"/>
                <w:szCs w:val="24"/>
              </w:rPr>
            </w:pPr>
          </w:p>
        </w:tc>
        <w:tc>
          <w:tcPr>
            <w:tcW w:w="5020" w:type="dxa"/>
            <w:vAlign w:val="center"/>
          </w:tcPr>
          <w:p w14:paraId="123705D7">
            <w:pPr>
              <w:spacing w:line="360" w:lineRule="auto"/>
              <w:ind w:left="840"/>
              <w:rPr>
                <w:rFonts w:ascii="宋体" w:hAnsi="宋体"/>
                <w:sz w:val="24"/>
                <w:szCs w:val="24"/>
              </w:rPr>
            </w:pPr>
          </w:p>
        </w:tc>
      </w:tr>
      <w:tr w14:paraId="0DDB2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1F56DE7A">
            <w:pPr>
              <w:spacing w:line="360" w:lineRule="auto"/>
              <w:ind w:left="840"/>
              <w:rPr>
                <w:rFonts w:ascii="宋体" w:hAnsi="宋体"/>
                <w:sz w:val="24"/>
                <w:szCs w:val="24"/>
              </w:rPr>
            </w:pPr>
          </w:p>
        </w:tc>
        <w:tc>
          <w:tcPr>
            <w:tcW w:w="1984" w:type="dxa"/>
            <w:vAlign w:val="center"/>
          </w:tcPr>
          <w:p w14:paraId="2B75E8D3">
            <w:pPr>
              <w:spacing w:line="360" w:lineRule="auto"/>
              <w:ind w:left="840"/>
              <w:rPr>
                <w:rFonts w:ascii="宋体" w:hAnsi="宋体"/>
                <w:sz w:val="24"/>
                <w:szCs w:val="24"/>
              </w:rPr>
            </w:pPr>
          </w:p>
        </w:tc>
        <w:tc>
          <w:tcPr>
            <w:tcW w:w="5020" w:type="dxa"/>
            <w:vAlign w:val="center"/>
          </w:tcPr>
          <w:p w14:paraId="1C32F5EA">
            <w:pPr>
              <w:spacing w:line="360" w:lineRule="auto"/>
              <w:ind w:left="840"/>
              <w:rPr>
                <w:rFonts w:ascii="宋体" w:hAnsi="宋体"/>
                <w:sz w:val="24"/>
                <w:szCs w:val="24"/>
              </w:rPr>
            </w:pPr>
          </w:p>
        </w:tc>
      </w:tr>
      <w:tr w14:paraId="07EC3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66A48A9E">
            <w:pPr>
              <w:spacing w:line="360" w:lineRule="auto"/>
              <w:ind w:left="840"/>
              <w:rPr>
                <w:rFonts w:ascii="宋体" w:hAnsi="宋体"/>
                <w:sz w:val="24"/>
                <w:szCs w:val="24"/>
              </w:rPr>
            </w:pPr>
          </w:p>
        </w:tc>
        <w:tc>
          <w:tcPr>
            <w:tcW w:w="1984" w:type="dxa"/>
            <w:vAlign w:val="center"/>
          </w:tcPr>
          <w:p w14:paraId="1B47A171">
            <w:pPr>
              <w:spacing w:line="360" w:lineRule="auto"/>
              <w:ind w:left="840"/>
              <w:rPr>
                <w:rFonts w:ascii="宋体" w:hAnsi="宋体"/>
                <w:sz w:val="24"/>
                <w:szCs w:val="24"/>
              </w:rPr>
            </w:pPr>
          </w:p>
        </w:tc>
        <w:tc>
          <w:tcPr>
            <w:tcW w:w="5020" w:type="dxa"/>
            <w:vAlign w:val="center"/>
          </w:tcPr>
          <w:p w14:paraId="088BAB18">
            <w:pPr>
              <w:spacing w:line="360" w:lineRule="auto"/>
              <w:ind w:left="840"/>
              <w:rPr>
                <w:rFonts w:ascii="宋体" w:hAnsi="宋体"/>
                <w:sz w:val="24"/>
                <w:szCs w:val="24"/>
              </w:rPr>
            </w:pPr>
          </w:p>
        </w:tc>
      </w:tr>
      <w:tr w14:paraId="2A40A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74220589">
            <w:pPr>
              <w:spacing w:line="360" w:lineRule="auto"/>
              <w:ind w:left="840"/>
              <w:rPr>
                <w:rFonts w:ascii="宋体" w:hAnsi="宋体"/>
                <w:sz w:val="24"/>
                <w:szCs w:val="24"/>
              </w:rPr>
            </w:pPr>
          </w:p>
        </w:tc>
        <w:tc>
          <w:tcPr>
            <w:tcW w:w="1984" w:type="dxa"/>
            <w:vAlign w:val="center"/>
          </w:tcPr>
          <w:p w14:paraId="0267498D">
            <w:pPr>
              <w:spacing w:line="360" w:lineRule="auto"/>
              <w:ind w:left="840"/>
              <w:rPr>
                <w:rFonts w:ascii="宋体" w:hAnsi="宋体"/>
                <w:sz w:val="24"/>
                <w:szCs w:val="24"/>
              </w:rPr>
            </w:pPr>
          </w:p>
        </w:tc>
        <w:tc>
          <w:tcPr>
            <w:tcW w:w="5020" w:type="dxa"/>
            <w:vAlign w:val="center"/>
          </w:tcPr>
          <w:p w14:paraId="252A583C">
            <w:pPr>
              <w:spacing w:line="360" w:lineRule="auto"/>
              <w:ind w:left="840"/>
              <w:rPr>
                <w:rFonts w:ascii="宋体" w:hAnsi="宋体"/>
                <w:sz w:val="24"/>
                <w:szCs w:val="24"/>
              </w:rPr>
            </w:pPr>
          </w:p>
        </w:tc>
      </w:tr>
      <w:tr w14:paraId="6835E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278518FA">
            <w:pPr>
              <w:spacing w:line="360" w:lineRule="auto"/>
              <w:ind w:left="840"/>
              <w:rPr>
                <w:rFonts w:ascii="宋体" w:hAnsi="宋体"/>
                <w:sz w:val="24"/>
                <w:szCs w:val="24"/>
              </w:rPr>
            </w:pPr>
          </w:p>
        </w:tc>
        <w:tc>
          <w:tcPr>
            <w:tcW w:w="1984" w:type="dxa"/>
            <w:vAlign w:val="center"/>
          </w:tcPr>
          <w:p w14:paraId="38D2CF21">
            <w:pPr>
              <w:spacing w:line="360" w:lineRule="auto"/>
              <w:ind w:left="840"/>
              <w:rPr>
                <w:rFonts w:ascii="宋体" w:hAnsi="宋体"/>
                <w:sz w:val="24"/>
                <w:szCs w:val="24"/>
              </w:rPr>
            </w:pPr>
          </w:p>
        </w:tc>
        <w:tc>
          <w:tcPr>
            <w:tcW w:w="5020" w:type="dxa"/>
            <w:vAlign w:val="center"/>
          </w:tcPr>
          <w:p w14:paraId="2FA0D2E3">
            <w:pPr>
              <w:spacing w:line="360" w:lineRule="auto"/>
              <w:ind w:left="840"/>
              <w:rPr>
                <w:rFonts w:ascii="宋体" w:hAnsi="宋体"/>
                <w:sz w:val="24"/>
                <w:szCs w:val="24"/>
              </w:rPr>
            </w:pPr>
          </w:p>
        </w:tc>
      </w:tr>
      <w:tr w14:paraId="54F69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4BE4E31F">
            <w:pPr>
              <w:spacing w:line="360" w:lineRule="auto"/>
              <w:ind w:left="840"/>
              <w:rPr>
                <w:rFonts w:ascii="宋体" w:hAnsi="宋体"/>
                <w:sz w:val="24"/>
                <w:szCs w:val="24"/>
              </w:rPr>
            </w:pPr>
          </w:p>
        </w:tc>
        <w:tc>
          <w:tcPr>
            <w:tcW w:w="1984" w:type="dxa"/>
            <w:vAlign w:val="center"/>
          </w:tcPr>
          <w:p w14:paraId="23C0B4DF">
            <w:pPr>
              <w:spacing w:line="360" w:lineRule="auto"/>
              <w:ind w:left="840"/>
              <w:rPr>
                <w:rFonts w:ascii="宋体" w:hAnsi="宋体"/>
                <w:sz w:val="24"/>
                <w:szCs w:val="24"/>
              </w:rPr>
            </w:pPr>
          </w:p>
        </w:tc>
        <w:tc>
          <w:tcPr>
            <w:tcW w:w="5020" w:type="dxa"/>
            <w:vAlign w:val="center"/>
          </w:tcPr>
          <w:p w14:paraId="7EE4AEEF">
            <w:pPr>
              <w:spacing w:line="360" w:lineRule="auto"/>
              <w:ind w:left="840"/>
              <w:rPr>
                <w:rFonts w:ascii="宋体" w:hAnsi="宋体"/>
                <w:sz w:val="24"/>
                <w:szCs w:val="24"/>
              </w:rPr>
            </w:pPr>
          </w:p>
        </w:tc>
      </w:tr>
      <w:tr w14:paraId="7A7EBB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0FD46CC7">
            <w:pPr>
              <w:spacing w:line="360" w:lineRule="auto"/>
              <w:ind w:left="840"/>
              <w:rPr>
                <w:rFonts w:ascii="宋体" w:hAnsi="宋体"/>
                <w:sz w:val="24"/>
                <w:szCs w:val="24"/>
              </w:rPr>
            </w:pPr>
          </w:p>
        </w:tc>
        <w:tc>
          <w:tcPr>
            <w:tcW w:w="1984" w:type="dxa"/>
            <w:vAlign w:val="center"/>
          </w:tcPr>
          <w:p w14:paraId="54612D44">
            <w:pPr>
              <w:spacing w:line="360" w:lineRule="auto"/>
              <w:ind w:left="840"/>
              <w:rPr>
                <w:rFonts w:ascii="宋体" w:hAnsi="宋体"/>
                <w:sz w:val="24"/>
                <w:szCs w:val="24"/>
              </w:rPr>
            </w:pPr>
          </w:p>
        </w:tc>
        <w:tc>
          <w:tcPr>
            <w:tcW w:w="5020" w:type="dxa"/>
            <w:vAlign w:val="center"/>
          </w:tcPr>
          <w:p w14:paraId="35714FC9">
            <w:pPr>
              <w:spacing w:line="360" w:lineRule="auto"/>
              <w:ind w:left="840"/>
              <w:rPr>
                <w:rFonts w:ascii="宋体" w:hAnsi="宋体"/>
                <w:sz w:val="24"/>
                <w:szCs w:val="24"/>
              </w:rPr>
            </w:pPr>
          </w:p>
        </w:tc>
      </w:tr>
      <w:tr w14:paraId="6AAA6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64F8017A">
            <w:pPr>
              <w:spacing w:line="360" w:lineRule="auto"/>
              <w:ind w:left="840"/>
              <w:rPr>
                <w:rFonts w:ascii="宋体" w:hAnsi="宋体"/>
                <w:sz w:val="24"/>
                <w:szCs w:val="24"/>
              </w:rPr>
            </w:pPr>
          </w:p>
        </w:tc>
        <w:tc>
          <w:tcPr>
            <w:tcW w:w="1984" w:type="dxa"/>
            <w:vAlign w:val="center"/>
          </w:tcPr>
          <w:p w14:paraId="622BA45B">
            <w:pPr>
              <w:spacing w:line="360" w:lineRule="auto"/>
              <w:ind w:left="840"/>
              <w:rPr>
                <w:rFonts w:ascii="宋体" w:hAnsi="宋体"/>
                <w:sz w:val="24"/>
                <w:szCs w:val="24"/>
              </w:rPr>
            </w:pPr>
          </w:p>
        </w:tc>
        <w:tc>
          <w:tcPr>
            <w:tcW w:w="5020" w:type="dxa"/>
            <w:vAlign w:val="center"/>
          </w:tcPr>
          <w:p w14:paraId="2E278A7B">
            <w:pPr>
              <w:spacing w:line="360" w:lineRule="auto"/>
              <w:ind w:left="840"/>
              <w:rPr>
                <w:rFonts w:ascii="宋体" w:hAnsi="宋体"/>
                <w:sz w:val="24"/>
                <w:szCs w:val="24"/>
              </w:rPr>
            </w:pPr>
          </w:p>
        </w:tc>
      </w:tr>
      <w:tr w14:paraId="44DF5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19CF60B0">
            <w:pPr>
              <w:spacing w:line="360" w:lineRule="auto"/>
              <w:ind w:left="840"/>
              <w:rPr>
                <w:rFonts w:ascii="宋体" w:hAnsi="宋体"/>
                <w:sz w:val="24"/>
                <w:szCs w:val="24"/>
              </w:rPr>
            </w:pPr>
          </w:p>
        </w:tc>
        <w:tc>
          <w:tcPr>
            <w:tcW w:w="1984" w:type="dxa"/>
            <w:vAlign w:val="center"/>
          </w:tcPr>
          <w:p w14:paraId="331D6127">
            <w:pPr>
              <w:spacing w:line="360" w:lineRule="auto"/>
              <w:ind w:left="840"/>
              <w:rPr>
                <w:rFonts w:ascii="宋体" w:hAnsi="宋体"/>
                <w:sz w:val="24"/>
                <w:szCs w:val="24"/>
              </w:rPr>
            </w:pPr>
          </w:p>
        </w:tc>
        <w:tc>
          <w:tcPr>
            <w:tcW w:w="5020" w:type="dxa"/>
            <w:vAlign w:val="center"/>
          </w:tcPr>
          <w:p w14:paraId="417FAA0C">
            <w:pPr>
              <w:spacing w:line="360" w:lineRule="auto"/>
              <w:ind w:left="840"/>
              <w:rPr>
                <w:rFonts w:ascii="宋体" w:hAnsi="宋体"/>
                <w:sz w:val="24"/>
                <w:szCs w:val="24"/>
              </w:rPr>
            </w:pPr>
          </w:p>
        </w:tc>
      </w:tr>
      <w:tr w14:paraId="7FD0B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3292263E">
            <w:pPr>
              <w:spacing w:line="360" w:lineRule="auto"/>
              <w:ind w:left="840"/>
              <w:rPr>
                <w:rFonts w:ascii="宋体" w:hAnsi="宋体"/>
                <w:sz w:val="24"/>
                <w:szCs w:val="24"/>
              </w:rPr>
            </w:pPr>
          </w:p>
        </w:tc>
        <w:tc>
          <w:tcPr>
            <w:tcW w:w="1984" w:type="dxa"/>
            <w:vAlign w:val="center"/>
          </w:tcPr>
          <w:p w14:paraId="56362846">
            <w:pPr>
              <w:spacing w:line="360" w:lineRule="auto"/>
              <w:ind w:left="840"/>
              <w:rPr>
                <w:rFonts w:ascii="宋体" w:hAnsi="宋体"/>
                <w:sz w:val="24"/>
                <w:szCs w:val="24"/>
              </w:rPr>
            </w:pPr>
          </w:p>
        </w:tc>
        <w:tc>
          <w:tcPr>
            <w:tcW w:w="5020" w:type="dxa"/>
            <w:vAlign w:val="center"/>
          </w:tcPr>
          <w:p w14:paraId="5D64E2AE">
            <w:pPr>
              <w:spacing w:line="360" w:lineRule="auto"/>
              <w:ind w:left="840"/>
              <w:rPr>
                <w:rFonts w:ascii="宋体" w:hAnsi="宋体"/>
                <w:sz w:val="24"/>
                <w:szCs w:val="24"/>
              </w:rPr>
            </w:pPr>
          </w:p>
        </w:tc>
      </w:tr>
      <w:tr w14:paraId="5F830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36D1EE68">
            <w:pPr>
              <w:spacing w:line="360" w:lineRule="auto"/>
              <w:ind w:left="840"/>
              <w:rPr>
                <w:rFonts w:ascii="宋体" w:hAnsi="宋体"/>
                <w:sz w:val="24"/>
                <w:szCs w:val="24"/>
              </w:rPr>
            </w:pPr>
          </w:p>
        </w:tc>
        <w:tc>
          <w:tcPr>
            <w:tcW w:w="1984" w:type="dxa"/>
            <w:vAlign w:val="center"/>
          </w:tcPr>
          <w:p w14:paraId="44419547">
            <w:pPr>
              <w:spacing w:line="360" w:lineRule="auto"/>
              <w:ind w:left="840"/>
              <w:rPr>
                <w:rFonts w:ascii="宋体" w:hAnsi="宋体"/>
                <w:sz w:val="24"/>
                <w:szCs w:val="24"/>
              </w:rPr>
            </w:pPr>
          </w:p>
        </w:tc>
        <w:tc>
          <w:tcPr>
            <w:tcW w:w="5020" w:type="dxa"/>
            <w:vAlign w:val="center"/>
          </w:tcPr>
          <w:p w14:paraId="6CCC853C">
            <w:pPr>
              <w:spacing w:line="360" w:lineRule="auto"/>
              <w:ind w:left="840"/>
              <w:rPr>
                <w:rFonts w:ascii="宋体" w:hAnsi="宋体"/>
                <w:sz w:val="24"/>
                <w:szCs w:val="24"/>
              </w:rPr>
            </w:pPr>
          </w:p>
        </w:tc>
      </w:tr>
      <w:tr w14:paraId="476AC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5431CE93">
            <w:pPr>
              <w:spacing w:line="360" w:lineRule="auto"/>
              <w:ind w:left="840"/>
              <w:rPr>
                <w:rFonts w:ascii="宋体" w:hAnsi="宋体"/>
                <w:sz w:val="24"/>
                <w:szCs w:val="24"/>
              </w:rPr>
            </w:pPr>
          </w:p>
        </w:tc>
        <w:tc>
          <w:tcPr>
            <w:tcW w:w="1984" w:type="dxa"/>
            <w:vAlign w:val="center"/>
          </w:tcPr>
          <w:p w14:paraId="3B785AB8">
            <w:pPr>
              <w:spacing w:line="360" w:lineRule="auto"/>
              <w:ind w:left="840"/>
              <w:rPr>
                <w:rFonts w:ascii="宋体" w:hAnsi="宋体"/>
                <w:sz w:val="24"/>
                <w:szCs w:val="24"/>
              </w:rPr>
            </w:pPr>
          </w:p>
        </w:tc>
        <w:tc>
          <w:tcPr>
            <w:tcW w:w="5020" w:type="dxa"/>
            <w:vAlign w:val="center"/>
          </w:tcPr>
          <w:p w14:paraId="285E671A">
            <w:pPr>
              <w:spacing w:line="360" w:lineRule="auto"/>
              <w:ind w:left="840"/>
              <w:rPr>
                <w:rFonts w:ascii="宋体" w:hAnsi="宋体"/>
                <w:sz w:val="24"/>
                <w:szCs w:val="24"/>
              </w:rPr>
            </w:pPr>
          </w:p>
        </w:tc>
      </w:tr>
      <w:tr w14:paraId="5C183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2235" w:type="dxa"/>
            <w:vAlign w:val="center"/>
          </w:tcPr>
          <w:p w14:paraId="10A2FBA0">
            <w:pPr>
              <w:spacing w:line="360" w:lineRule="auto"/>
              <w:ind w:left="840"/>
              <w:rPr>
                <w:rFonts w:ascii="宋体" w:hAnsi="宋体"/>
                <w:sz w:val="24"/>
                <w:szCs w:val="24"/>
              </w:rPr>
            </w:pPr>
          </w:p>
        </w:tc>
        <w:tc>
          <w:tcPr>
            <w:tcW w:w="1984" w:type="dxa"/>
            <w:vAlign w:val="center"/>
          </w:tcPr>
          <w:p w14:paraId="2E4E615E">
            <w:pPr>
              <w:spacing w:line="360" w:lineRule="auto"/>
              <w:ind w:left="840"/>
              <w:rPr>
                <w:rFonts w:ascii="宋体" w:hAnsi="宋体"/>
                <w:sz w:val="24"/>
                <w:szCs w:val="24"/>
              </w:rPr>
            </w:pPr>
          </w:p>
        </w:tc>
        <w:tc>
          <w:tcPr>
            <w:tcW w:w="5020" w:type="dxa"/>
            <w:vAlign w:val="center"/>
          </w:tcPr>
          <w:p w14:paraId="2C741E3D">
            <w:pPr>
              <w:spacing w:line="360" w:lineRule="auto"/>
              <w:ind w:left="840"/>
              <w:rPr>
                <w:rFonts w:ascii="宋体" w:hAnsi="宋体"/>
                <w:sz w:val="24"/>
                <w:szCs w:val="24"/>
              </w:rPr>
            </w:pPr>
          </w:p>
        </w:tc>
      </w:tr>
    </w:tbl>
    <w:p w14:paraId="61775023">
      <w:pPr>
        <w:pStyle w:val="15"/>
        <w:rPr>
          <w:rFonts w:ascii="宋体" w:hAnsi="宋体" w:eastAsia="宋体"/>
          <w:sz w:val="24"/>
          <w:szCs w:val="24"/>
        </w:rPr>
      </w:pPr>
      <w:r>
        <w:rPr>
          <w:rFonts w:hint="eastAsia" w:ascii="宋体" w:hAnsi="宋体" w:eastAsia="宋体"/>
          <w:sz w:val="24"/>
          <w:szCs w:val="24"/>
        </w:rPr>
        <w:t>注：招标人应在招标文件中规定若投标人在所投标标段中标需派驻的其他主要管理人员和技术人员。招标人将在发出中标通知书之前要求中标人按照本表的最低要求填报派驻本标段的其他主要管理人员和技术人员，在经招标人审批后作为派驻本标段的项目管理机构主要人员且不允许更换。</w:t>
      </w:r>
    </w:p>
    <w:p w14:paraId="79490448">
      <w:pPr>
        <w:spacing w:line="360" w:lineRule="auto"/>
        <w:ind w:left="840"/>
        <w:rPr>
          <w:rFonts w:ascii="宋体" w:hAnsi="宋体"/>
          <w:sz w:val="24"/>
          <w:szCs w:val="24"/>
        </w:rPr>
      </w:pPr>
    </w:p>
    <w:p w14:paraId="01BC93E8">
      <w:pPr>
        <w:spacing w:line="360" w:lineRule="auto"/>
        <w:jc w:val="center"/>
        <w:rPr>
          <w:rFonts w:ascii="宋体" w:hAnsi="宋体"/>
          <w:sz w:val="24"/>
          <w:szCs w:val="24"/>
        </w:rPr>
      </w:pPr>
      <w:bookmarkStart w:id="506" w:name="_Toc234382948"/>
      <w:r>
        <w:rPr>
          <w:rFonts w:ascii="宋体" w:hAnsi="宋体"/>
          <w:sz w:val="24"/>
          <w:szCs w:val="24"/>
        </w:rPr>
        <w:br w:type="page"/>
      </w:r>
      <w:r>
        <w:rPr>
          <w:rFonts w:hint="eastAsia" w:ascii="宋体" w:hAnsi="宋体"/>
          <w:sz w:val="24"/>
          <w:szCs w:val="24"/>
        </w:rPr>
        <w:t>附件五   主要机械设备和试验检测设备最低要求</w:t>
      </w:r>
      <w:bookmarkEnd w:id="506"/>
    </w:p>
    <w:tbl>
      <w:tblPr>
        <w:tblStyle w:val="20"/>
        <w:tblW w:w="90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8"/>
        <w:gridCol w:w="3417"/>
        <w:gridCol w:w="1553"/>
        <w:gridCol w:w="2394"/>
      </w:tblGrid>
      <w:tr w14:paraId="72A26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vAlign w:val="center"/>
          </w:tcPr>
          <w:p w14:paraId="03E2922A">
            <w:pPr>
              <w:spacing w:line="360" w:lineRule="auto"/>
              <w:jc w:val="center"/>
              <w:rPr>
                <w:rFonts w:ascii="宋体" w:hAnsi="宋体"/>
                <w:sz w:val="24"/>
                <w:szCs w:val="24"/>
              </w:rPr>
            </w:pPr>
            <w:r>
              <w:rPr>
                <w:rFonts w:hint="eastAsia" w:ascii="宋体" w:hAnsi="宋体"/>
                <w:sz w:val="24"/>
                <w:szCs w:val="24"/>
              </w:rPr>
              <w:t>设备名称</w:t>
            </w:r>
          </w:p>
        </w:tc>
        <w:tc>
          <w:tcPr>
            <w:tcW w:w="3417" w:type="dxa"/>
            <w:vAlign w:val="center"/>
          </w:tcPr>
          <w:p w14:paraId="52976DCE">
            <w:pPr>
              <w:spacing w:line="360" w:lineRule="auto"/>
              <w:jc w:val="center"/>
              <w:rPr>
                <w:rFonts w:ascii="宋体" w:hAnsi="宋体"/>
                <w:sz w:val="24"/>
                <w:szCs w:val="24"/>
              </w:rPr>
            </w:pPr>
            <w:r>
              <w:rPr>
                <w:rFonts w:hint="eastAsia" w:ascii="宋体" w:hAnsi="宋体"/>
                <w:sz w:val="24"/>
                <w:szCs w:val="24"/>
              </w:rPr>
              <w:t>规格、功率及容量</w:t>
            </w:r>
          </w:p>
        </w:tc>
        <w:tc>
          <w:tcPr>
            <w:tcW w:w="1553" w:type="dxa"/>
            <w:vAlign w:val="center"/>
          </w:tcPr>
          <w:p w14:paraId="09ABB3A7">
            <w:pPr>
              <w:spacing w:line="360" w:lineRule="auto"/>
              <w:jc w:val="center"/>
              <w:rPr>
                <w:rFonts w:ascii="宋体" w:hAnsi="宋体"/>
                <w:sz w:val="24"/>
                <w:szCs w:val="24"/>
              </w:rPr>
            </w:pPr>
            <w:r>
              <w:rPr>
                <w:rFonts w:hint="eastAsia" w:ascii="宋体" w:hAnsi="宋体"/>
                <w:sz w:val="24"/>
                <w:szCs w:val="24"/>
              </w:rPr>
              <w:t>单位</w:t>
            </w:r>
          </w:p>
        </w:tc>
        <w:tc>
          <w:tcPr>
            <w:tcW w:w="2394" w:type="dxa"/>
            <w:vAlign w:val="center"/>
          </w:tcPr>
          <w:p w14:paraId="11CEFCE9">
            <w:pPr>
              <w:spacing w:line="360" w:lineRule="auto"/>
              <w:jc w:val="center"/>
              <w:rPr>
                <w:rFonts w:ascii="宋体" w:hAnsi="宋体"/>
                <w:sz w:val="24"/>
                <w:szCs w:val="24"/>
              </w:rPr>
            </w:pPr>
            <w:r>
              <w:rPr>
                <w:rFonts w:hint="eastAsia" w:ascii="宋体" w:hAnsi="宋体"/>
                <w:sz w:val="24"/>
                <w:szCs w:val="24"/>
              </w:rPr>
              <w:t>最低数量要求</w:t>
            </w:r>
          </w:p>
        </w:tc>
      </w:tr>
      <w:tr w14:paraId="01124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9ACA90F">
            <w:pPr>
              <w:spacing w:line="360" w:lineRule="auto"/>
              <w:ind w:left="840"/>
              <w:jc w:val="center"/>
              <w:rPr>
                <w:rFonts w:ascii="宋体" w:hAnsi="宋体"/>
                <w:sz w:val="24"/>
                <w:szCs w:val="24"/>
              </w:rPr>
            </w:pPr>
          </w:p>
        </w:tc>
        <w:tc>
          <w:tcPr>
            <w:tcW w:w="3417" w:type="dxa"/>
            <w:vAlign w:val="center"/>
          </w:tcPr>
          <w:p w14:paraId="0EA27DE8">
            <w:pPr>
              <w:spacing w:line="360" w:lineRule="auto"/>
              <w:ind w:left="840"/>
              <w:jc w:val="center"/>
              <w:rPr>
                <w:rFonts w:ascii="宋体" w:hAnsi="宋体"/>
                <w:sz w:val="24"/>
                <w:szCs w:val="24"/>
              </w:rPr>
            </w:pPr>
          </w:p>
        </w:tc>
        <w:tc>
          <w:tcPr>
            <w:tcW w:w="1553" w:type="dxa"/>
            <w:vAlign w:val="center"/>
          </w:tcPr>
          <w:p w14:paraId="16D077EA">
            <w:pPr>
              <w:spacing w:line="360" w:lineRule="auto"/>
              <w:ind w:left="840"/>
              <w:jc w:val="center"/>
              <w:rPr>
                <w:rFonts w:ascii="宋体" w:hAnsi="宋体"/>
                <w:sz w:val="24"/>
                <w:szCs w:val="24"/>
              </w:rPr>
            </w:pPr>
          </w:p>
        </w:tc>
        <w:tc>
          <w:tcPr>
            <w:tcW w:w="2394" w:type="dxa"/>
            <w:vAlign w:val="center"/>
          </w:tcPr>
          <w:p w14:paraId="060B4196">
            <w:pPr>
              <w:spacing w:line="360" w:lineRule="auto"/>
              <w:ind w:left="840"/>
              <w:jc w:val="center"/>
              <w:rPr>
                <w:rFonts w:ascii="宋体" w:hAnsi="宋体"/>
                <w:sz w:val="24"/>
                <w:szCs w:val="24"/>
              </w:rPr>
            </w:pPr>
          </w:p>
        </w:tc>
      </w:tr>
      <w:tr w14:paraId="5A18E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AE4FBAF">
            <w:pPr>
              <w:spacing w:line="360" w:lineRule="auto"/>
              <w:ind w:left="840"/>
              <w:jc w:val="center"/>
              <w:rPr>
                <w:rFonts w:ascii="宋体" w:hAnsi="宋体"/>
                <w:sz w:val="24"/>
                <w:szCs w:val="24"/>
              </w:rPr>
            </w:pPr>
          </w:p>
        </w:tc>
        <w:tc>
          <w:tcPr>
            <w:tcW w:w="3417" w:type="dxa"/>
            <w:vAlign w:val="center"/>
          </w:tcPr>
          <w:p w14:paraId="7CB952DB">
            <w:pPr>
              <w:spacing w:line="360" w:lineRule="auto"/>
              <w:ind w:left="840"/>
              <w:jc w:val="center"/>
              <w:rPr>
                <w:rFonts w:ascii="宋体" w:hAnsi="宋体"/>
                <w:sz w:val="24"/>
                <w:szCs w:val="24"/>
              </w:rPr>
            </w:pPr>
          </w:p>
        </w:tc>
        <w:tc>
          <w:tcPr>
            <w:tcW w:w="1553" w:type="dxa"/>
            <w:vAlign w:val="center"/>
          </w:tcPr>
          <w:p w14:paraId="1792A22F">
            <w:pPr>
              <w:spacing w:line="360" w:lineRule="auto"/>
              <w:ind w:left="840"/>
              <w:jc w:val="center"/>
              <w:rPr>
                <w:rFonts w:ascii="宋体" w:hAnsi="宋体"/>
                <w:sz w:val="24"/>
                <w:szCs w:val="24"/>
              </w:rPr>
            </w:pPr>
          </w:p>
        </w:tc>
        <w:tc>
          <w:tcPr>
            <w:tcW w:w="2394" w:type="dxa"/>
            <w:vAlign w:val="center"/>
          </w:tcPr>
          <w:p w14:paraId="021E7F55">
            <w:pPr>
              <w:spacing w:line="360" w:lineRule="auto"/>
              <w:ind w:left="840"/>
              <w:jc w:val="center"/>
              <w:rPr>
                <w:rFonts w:ascii="宋体" w:hAnsi="宋体"/>
                <w:sz w:val="24"/>
                <w:szCs w:val="24"/>
              </w:rPr>
            </w:pPr>
          </w:p>
        </w:tc>
      </w:tr>
      <w:tr w14:paraId="700BB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32A7B948">
            <w:pPr>
              <w:spacing w:line="360" w:lineRule="auto"/>
              <w:ind w:left="840"/>
              <w:jc w:val="center"/>
              <w:rPr>
                <w:rFonts w:ascii="宋体" w:hAnsi="宋体"/>
                <w:sz w:val="24"/>
                <w:szCs w:val="24"/>
              </w:rPr>
            </w:pPr>
          </w:p>
        </w:tc>
        <w:tc>
          <w:tcPr>
            <w:tcW w:w="3417" w:type="dxa"/>
            <w:vAlign w:val="center"/>
          </w:tcPr>
          <w:p w14:paraId="38023CF8">
            <w:pPr>
              <w:spacing w:line="360" w:lineRule="auto"/>
              <w:ind w:left="840"/>
              <w:jc w:val="center"/>
              <w:rPr>
                <w:rFonts w:ascii="宋体" w:hAnsi="宋体"/>
                <w:sz w:val="24"/>
                <w:szCs w:val="24"/>
              </w:rPr>
            </w:pPr>
          </w:p>
        </w:tc>
        <w:tc>
          <w:tcPr>
            <w:tcW w:w="1553" w:type="dxa"/>
            <w:vAlign w:val="center"/>
          </w:tcPr>
          <w:p w14:paraId="1EF8BD30">
            <w:pPr>
              <w:spacing w:line="360" w:lineRule="auto"/>
              <w:ind w:left="840"/>
              <w:jc w:val="center"/>
              <w:rPr>
                <w:rFonts w:ascii="宋体" w:hAnsi="宋体"/>
                <w:sz w:val="24"/>
                <w:szCs w:val="24"/>
              </w:rPr>
            </w:pPr>
          </w:p>
        </w:tc>
        <w:tc>
          <w:tcPr>
            <w:tcW w:w="2394" w:type="dxa"/>
            <w:vAlign w:val="center"/>
          </w:tcPr>
          <w:p w14:paraId="4D754C4A">
            <w:pPr>
              <w:spacing w:line="360" w:lineRule="auto"/>
              <w:ind w:left="840"/>
              <w:jc w:val="center"/>
              <w:rPr>
                <w:rFonts w:ascii="宋体" w:hAnsi="宋体"/>
                <w:sz w:val="24"/>
                <w:szCs w:val="24"/>
              </w:rPr>
            </w:pPr>
          </w:p>
        </w:tc>
      </w:tr>
      <w:tr w14:paraId="6A4A9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1B5069D4">
            <w:pPr>
              <w:spacing w:line="360" w:lineRule="auto"/>
              <w:ind w:left="840"/>
              <w:jc w:val="center"/>
              <w:rPr>
                <w:rFonts w:ascii="宋体" w:hAnsi="宋体"/>
                <w:sz w:val="24"/>
                <w:szCs w:val="24"/>
              </w:rPr>
            </w:pPr>
          </w:p>
        </w:tc>
        <w:tc>
          <w:tcPr>
            <w:tcW w:w="3417" w:type="dxa"/>
            <w:vAlign w:val="center"/>
          </w:tcPr>
          <w:p w14:paraId="3E4D5943">
            <w:pPr>
              <w:spacing w:line="360" w:lineRule="auto"/>
              <w:ind w:left="840"/>
              <w:jc w:val="center"/>
              <w:rPr>
                <w:rFonts w:ascii="宋体" w:hAnsi="宋体"/>
                <w:sz w:val="24"/>
                <w:szCs w:val="24"/>
              </w:rPr>
            </w:pPr>
          </w:p>
        </w:tc>
        <w:tc>
          <w:tcPr>
            <w:tcW w:w="1553" w:type="dxa"/>
            <w:vAlign w:val="center"/>
          </w:tcPr>
          <w:p w14:paraId="307FE16E">
            <w:pPr>
              <w:spacing w:line="360" w:lineRule="auto"/>
              <w:ind w:left="840"/>
              <w:jc w:val="center"/>
              <w:rPr>
                <w:rFonts w:ascii="宋体" w:hAnsi="宋体"/>
                <w:sz w:val="24"/>
                <w:szCs w:val="24"/>
              </w:rPr>
            </w:pPr>
          </w:p>
        </w:tc>
        <w:tc>
          <w:tcPr>
            <w:tcW w:w="2394" w:type="dxa"/>
            <w:vAlign w:val="center"/>
          </w:tcPr>
          <w:p w14:paraId="47A81F25">
            <w:pPr>
              <w:spacing w:line="360" w:lineRule="auto"/>
              <w:ind w:left="840"/>
              <w:jc w:val="center"/>
              <w:rPr>
                <w:rFonts w:ascii="宋体" w:hAnsi="宋体"/>
                <w:sz w:val="24"/>
                <w:szCs w:val="24"/>
              </w:rPr>
            </w:pPr>
          </w:p>
        </w:tc>
      </w:tr>
      <w:tr w14:paraId="42757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04163E0F">
            <w:pPr>
              <w:spacing w:line="360" w:lineRule="auto"/>
              <w:ind w:left="840"/>
              <w:jc w:val="center"/>
              <w:rPr>
                <w:rFonts w:ascii="宋体" w:hAnsi="宋体"/>
                <w:sz w:val="24"/>
                <w:szCs w:val="24"/>
              </w:rPr>
            </w:pPr>
          </w:p>
        </w:tc>
        <w:tc>
          <w:tcPr>
            <w:tcW w:w="3417" w:type="dxa"/>
            <w:vAlign w:val="center"/>
          </w:tcPr>
          <w:p w14:paraId="3D06988D">
            <w:pPr>
              <w:spacing w:line="360" w:lineRule="auto"/>
              <w:ind w:left="840"/>
              <w:jc w:val="center"/>
              <w:rPr>
                <w:rFonts w:ascii="宋体" w:hAnsi="宋体"/>
                <w:sz w:val="24"/>
                <w:szCs w:val="24"/>
              </w:rPr>
            </w:pPr>
          </w:p>
        </w:tc>
        <w:tc>
          <w:tcPr>
            <w:tcW w:w="1553" w:type="dxa"/>
            <w:vAlign w:val="center"/>
          </w:tcPr>
          <w:p w14:paraId="393E3C3E">
            <w:pPr>
              <w:spacing w:line="360" w:lineRule="auto"/>
              <w:ind w:left="840"/>
              <w:jc w:val="center"/>
              <w:rPr>
                <w:rFonts w:ascii="宋体" w:hAnsi="宋体"/>
                <w:sz w:val="24"/>
                <w:szCs w:val="24"/>
              </w:rPr>
            </w:pPr>
          </w:p>
        </w:tc>
        <w:tc>
          <w:tcPr>
            <w:tcW w:w="2394" w:type="dxa"/>
            <w:vAlign w:val="center"/>
          </w:tcPr>
          <w:p w14:paraId="5E40C391">
            <w:pPr>
              <w:spacing w:line="360" w:lineRule="auto"/>
              <w:ind w:left="840"/>
              <w:jc w:val="center"/>
              <w:rPr>
                <w:rFonts w:ascii="宋体" w:hAnsi="宋体"/>
                <w:sz w:val="24"/>
                <w:szCs w:val="24"/>
              </w:rPr>
            </w:pPr>
          </w:p>
        </w:tc>
      </w:tr>
      <w:tr w14:paraId="2ED32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607DC76">
            <w:pPr>
              <w:spacing w:line="360" w:lineRule="auto"/>
              <w:ind w:left="840"/>
              <w:jc w:val="center"/>
              <w:rPr>
                <w:rFonts w:ascii="宋体" w:hAnsi="宋体"/>
                <w:sz w:val="24"/>
                <w:szCs w:val="24"/>
              </w:rPr>
            </w:pPr>
          </w:p>
        </w:tc>
        <w:tc>
          <w:tcPr>
            <w:tcW w:w="3417" w:type="dxa"/>
            <w:vAlign w:val="center"/>
          </w:tcPr>
          <w:p w14:paraId="0AB14902">
            <w:pPr>
              <w:spacing w:line="360" w:lineRule="auto"/>
              <w:ind w:left="840"/>
              <w:jc w:val="center"/>
              <w:rPr>
                <w:rFonts w:ascii="宋体" w:hAnsi="宋体"/>
                <w:sz w:val="24"/>
                <w:szCs w:val="24"/>
              </w:rPr>
            </w:pPr>
          </w:p>
        </w:tc>
        <w:tc>
          <w:tcPr>
            <w:tcW w:w="1553" w:type="dxa"/>
            <w:vAlign w:val="center"/>
          </w:tcPr>
          <w:p w14:paraId="22DD4411">
            <w:pPr>
              <w:spacing w:line="360" w:lineRule="auto"/>
              <w:ind w:left="840"/>
              <w:jc w:val="center"/>
              <w:rPr>
                <w:rFonts w:ascii="宋体" w:hAnsi="宋体"/>
                <w:sz w:val="24"/>
                <w:szCs w:val="24"/>
              </w:rPr>
            </w:pPr>
          </w:p>
        </w:tc>
        <w:tc>
          <w:tcPr>
            <w:tcW w:w="2394" w:type="dxa"/>
            <w:vAlign w:val="center"/>
          </w:tcPr>
          <w:p w14:paraId="609BB7DC">
            <w:pPr>
              <w:spacing w:line="360" w:lineRule="auto"/>
              <w:ind w:left="840"/>
              <w:jc w:val="center"/>
              <w:rPr>
                <w:rFonts w:ascii="宋体" w:hAnsi="宋体"/>
                <w:sz w:val="24"/>
                <w:szCs w:val="24"/>
              </w:rPr>
            </w:pPr>
          </w:p>
        </w:tc>
      </w:tr>
      <w:tr w14:paraId="4BEFE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6F9649F">
            <w:pPr>
              <w:spacing w:line="360" w:lineRule="auto"/>
              <w:ind w:left="840"/>
              <w:jc w:val="center"/>
              <w:rPr>
                <w:rFonts w:ascii="宋体" w:hAnsi="宋体"/>
                <w:sz w:val="24"/>
                <w:szCs w:val="24"/>
              </w:rPr>
            </w:pPr>
          </w:p>
        </w:tc>
        <w:tc>
          <w:tcPr>
            <w:tcW w:w="3417" w:type="dxa"/>
            <w:vAlign w:val="center"/>
          </w:tcPr>
          <w:p w14:paraId="323B2154">
            <w:pPr>
              <w:spacing w:line="360" w:lineRule="auto"/>
              <w:ind w:left="840"/>
              <w:jc w:val="center"/>
              <w:rPr>
                <w:rFonts w:ascii="宋体" w:hAnsi="宋体"/>
                <w:sz w:val="24"/>
                <w:szCs w:val="24"/>
              </w:rPr>
            </w:pPr>
          </w:p>
        </w:tc>
        <w:tc>
          <w:tcPr>
            <w:tcW w:w="1553" w:type="dxa"/>
            <w:vAlign w:val="center"/>
          </w:tcPr>
          <w:p w14:paraId="41C16031">
            <w:pPr>
              <w:spacing w:line="360" w:lineRule="auto"/>
              <w:ind w:left="840"/>
              <w:jc w:val="center"/>
              <w:rPr>
                <w:rFonts w:ascii="宋体" w:hAnsi="宋体"/>
                <w:sz w:val="24"/>
                <w:szCs w:val="24"/>
              </w:rPr>
            </w:pPr>
          </w:p>
        </w:tc>
        <w:tc>
          <w:tcPr>
            <w:tcW w:w="2394" w:type="dxa"/>
            <w:vAlign w:val="center"/>
          </w:tcPr>
          <w:p w14:paraId="74999482">
            <w:pPr>
              <w:spacing w:line="360" w:lineRule="auto"/>
              <w:ind w:left="840"/>
              <w:jc w:val="center"/>
              <w:rPr>
                <w:rFonts w:ascii="宋体" w:hAnsi="宋体"/>
                <w:sz w:val="24"/>
                <w:szCs w:val="24"/>
              </w:rPr>
            </w:pPr>
          </w:p>
        </w:tc>
      </w:tr>
      <w:tr w14:paraId="21CC5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6FBA535C">
            <w:pPr>
              <w:spacing w:line="360" w:lineRule="auto"/>
              <w:ind w:left="840"/>
              <w:jc w:val="center"/>
              <w:rPr>
                <w:rFonts w:ascii="宋体" w:hAnsi="宋体"/>
                <w:sz w:val="24"/>
                <w:szCs w:val="24"/>
              </w:rPr>
            </w:pPr>
          </w:p>
        </w:tc>
        <w:tc>
          <w:tcPr>
            <w:tcW w:w="3417" w:type="dxa"/>
            <w:vAlign w:val="center"/>
          </w:tcPr>
          <w:p w14:paraId="6CAD2500">
            <w:pPr>
              <w:spacing w:line="360" w:lineRule="auto"/>
              <w:ind w:left="840"/>
              <w:jc w:val="center"/>
              <w:rPr>
                <w:rFonts w:ascii="宋体" w:hAnsi="宋体"/>
                <w:sz w:val="24"/>
                <w:szCs w:val="24"/>
              </w:rPr>
            </w:pPr>
          </w:p>
        </w:tc>
        <w:tc>
          <w:tcPr>
            <w:tcW w:w="1553" w:type="dxa"/>
            <w:vAlign w:val="center"/>
          </w:tcPr>
          <w:p w14:paraId="7CC4427E">
            <w:pPr>
              <w:spacing w:line="360" w:lineRule="auto"/>
              <w:ind w:left="840"/>
              <w:jc w:val="center"/>
              <w:rPr>
                <w:rFonts w:ascii="宋体" w:hAnsi="宋体"/>
                <w:sz w:val="24"/>
                <w:szCs w:val="24"/>
              </w:rPr>
            </w:pPr>
          </w:p>
        </w:tc>
        <w:tc>
          <w:tcPr>
            <w:tcW w:w="2394" w:type="dxa"/>
            <w:vAlign w:val="center"/>
          </w:tcPr>
          <w:p w14:paraId="241203D9">
            <w:pPr>
              <w:spacing w:line="360" w:lineRule="auto"/>
              <w:ind w:left="840"/>
              <w:jc w:val="center"/>
              <w:rPr>
                <w:rFonts w:ascii="宋体" w:hAnsi="宋体"/>
                <w:sz w:val="24"/>
                <w:szCs w:val="24"/>
              </w:rPr>
            </w:pPr>
          </w:p>
        </w:tc>
      </w:tr>
      <w:tr w14:paraId="1598F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44652A8A">
            <w:pPr>
              <w:spacing w:line="360" w:lineRule="auto"/>
              <w:ind w:left="840"/>
              <w:jc w:val="center"/>
              <w:rPr>
                <w:rFonts w:ascii="宋体" w:hAnsi="宋体"/>
                <w:sz w:val="24"/>
                <w:szCs w:val="24"/>
              </w:rPr>
            </w:pPr>
          </w:p>
        </w:tc>
        <w:tc>
          <w:tcPr>
            <w:tcW w:w="3417" w:type="dxa"/>
            <w:vAlign w:val="center"/>
          </w:tcPr>
          <w:p w14:paraId="1C024997">
            <w:pPr>
              <w:spacing w:line="360" w:lineRule="auto"/>
              <w:ind w:left="840"/>
              <w:jc w:val="center"/>
              <w:rPr>
                <w:rFonts w:ascii="宋体" w:hAnsi="宋体"/>
                <w:sz w:val="24"/>
                <w:szCs w:val="24"/>
              </w:rPr>
            </w:pPr>
          </w:p>
        </w:tc>
        <w:tc>
          <w:tcPr>
            <w:tcW w:w="1553" w:type="dxa"/>
            <w:vAlign w:val="center"/>
          </w:tcPr>
          <w:p w14:paraId="3215FB24">
            <w:pPr>
              <w:spacing w:line="360" w:lineRule="auto"/>
              <w:ind w:left="840"/>
              <w:jc w:val="center"/>
              <w:rPr>
                <w:rFonts w:ascii="宋体" w:hAnsi="宋体"/>
                <w:sz w:val="24"/>
                <w:szCs w:val="24"/>
              </w:rPr>
            </w:pPr>
          </w:p>
        </w:tc>
        <w:tc>
          <w:tcPr>
            <w:tcW w:w="2394" w:type="dxa"/>
            <w:vAlign w:val="center"/>
          </w:tcPr>
          <w:p w14:paraId="1E1FA103">
            <w:pPr>
              <w:spacing w:line="360" w:lineRule="auto"/>
              <w:ind w:left="840"/>
              <w:jc w:val="center"/>
              <w:rPr>
                <w:rFonts w:ascii="宋体" w:hAnsi="宋体"/>
                <w:sz w:val="24"/>
                <w:szCs w:val="24"/>
              </w:rPr>
            </w:pPr>
          </w:p>
        </w:tc>
      </w:tr>
      <w:tr w14:paraId="6CB63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A4724C8">
            <w:pPr>
              <w:spacing w:line="360" w:lineRule="auto"/>
              <w:ind w:left="840"/>
              <w:jc w:val="center"/>
              <w:rPr>
                <w:rFonts w:ascii="宋体" w:hAnsi="宋体"/>
                <w:sz w:val="24"/>
                <w:szCs w:val="24"/>
              </w:rPr>
            </w:pPr>
          </w:p>
        </w:tc>
        <w:tc>
          <w:tcPr>
            <w:tcW w:w="3417" w:type="dxa"/>
            <w:vAlign w:val="center"/>
          </w:tcPr>
          <w:p w14:paraId="1461C918">
            <w:pPr>
              <w:spacing w:line="360" w:lineRule="auto"/>
              <w:ind w:left="840"/>
              <w:jc w:val="center"/>
              <w:rPr>
                <w:rFonts w:ascii="宋体" w:hAnsi="宋体"/>
                <w:sz w:val="24"/>
                <w:szCs w:val="24"/>
              </w:rPr>
            </w:pPr>
          </w:p>
        </w:tc>
        <w:tc>
          <w:tcPr>
            <w:tcW w:w="1553" w:type="dxa"/>
            <w:vAlign w:val="center"/>
          </w:tcPr>
          <w:p w14:paraId="4B7F58FB">
            <w:pPr>
              <w:spacing w:line="360" w:lineRule="auto"/>
              <w:ind w:left="840"/>
              <w:jc w:val="center"/>
              <w:rPr>
                <w:rFonts w:ascii="宋体" w:hAnsi="宋体"/>
                <w:sz w:val="24"/>
                <w:szCs w:val="24"/>
              </w:rPr>
            </w:pPr>
          </w:p>
        </w:tc>
        <w:tc>
          <w:tcPr>
            <w:tcW w:w="2394" w:type="dxa"/>
            <w:vAlign w:val="center"/>
          </w:tcPr>
          <w:p w14:paraId="0EBA7CE8">
            <w:pPr>
              <w:spacing w:line="360" w:lineRule="auto"/>
              <w:ind w:left="840"/>
              <w:jc w:val="center"/>
              <w:rPr>
                <w:rFonts w:ascii="宋体" w:hAnsi="宋体"/>
                <w:sz w:val="24"/>
                <w:szCs w:val="24"/>
              </w:rPr>
            </w:pPr>
          </w:p>
        </w:tc>
      </w:tr>
      <w:tr w14:paraId="52819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7527F40">
            <w:pPr>
              <w:spacing w:line="360" w:lineRule="auto"/>
              <w:ind w:left="840"/>
              <w:jc w:val="center"/>
              <w:rPr>
                <w:rFonts w:ascii="宋体" w:hAnsi="宋体"/>
                <w:sz w:val="24"/>
                <w:szCs w:val="24"/>
              </w:rPr>
            </w:pPr>
          </w:p>
        </w:tc>
        <w:tc>
          <w:tcPr>
            <w:tcW w:w="3417" w:type="dxa"/>
            <w:vAlign w:val="center"/>
          </w:tcPr>
          <w:p w14:paraId="2AEED9C6">
            <w:pPr>
              <w:spacing w:line="360" w:lineRule="auto"/>
              <w:ind w:left="840"/>
              <w:jc w:val="center"/>
              <w:rPr>
                <w:rFonts w:ascii="宋体" w:hAnsi="宋体"/>
                <w:sz w:val="24"/>
                <w:szCs w:val="24"/>
              </w:rPr>
            </w:pPr>
          </w:p>
        </w:tc>
        <w:tc>
          <w:tcPr>
            <w:tcW w:w="1553" w:type="dxa"/>
            <w:vAlign w:val="center"/>
          </w:tcPr>
          <w:p w14:paraId="41AC7052">
            <w:pPr>
              <w:spacing w:line="360" w:lineRule="auto"/>
              <w:ind w:left="840"/>
              <w:jc w:val="center"/>
              <w:rPr>
                <w:rFonts w:ascii="宋体" w:hAnsi="宋体"/>
                <w:sz w:val="24"/>
                <w:szCs w:val="24"/>
              </w:rPr>
            </w:pPr>
          </w:p>
        </w:tc>
        <w:tc>
          <w:tcPr>
            <w:tcW w:w="2394" w:type="dxa"/>
            <w:vAlign w:val="center"/>
          </w:tcPr>
          <w:p w14:paraId="0D110657">
            <w:pPr>
              <w:spacing w:line="360" w:lineRule="auto"/>
              <w:ind w:left="840"/>
              <w:jc w:val="center"/>
              <w:rPr>
                <w:rFonts w:ascii="宋体" w:hAnsi="宋体"/>
                <w:sz w:val="24"/>
                <w:szCs w:val="24"/>
              </w:rPr>
            </w:pPr>
          </w:p>
        </w:tc>
      </w:tr>
      <w:tr w14:paraId="25EF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2016541E">
            <w:pPr>
              <w:spacing w:line="360" w:lineRule="auto"/>
              <w:ind w:left="840"/>
              <w:jc w:val="center"/>
              <w:rPr>
                <w:rFonts w:ascii="宋体" w:hAnsi="宋体"/>
                <w:sz w:val="24"/>
                <w:szCs w:val="24"/>
              </w:rPr>
            </w:pPr>
          </w:p>
        </w:tc>
        <w:tc>
          <w:tcPr>
            <w:tcW w:w="3417" w:type="dxa"/>
            <w:vAlign w:val="center"/>
          </w:tcPr>
          <w:p w14:paraId="5F20DBD9">
            <w:pPr>
              <w:spacing w:line="360" w:lineRule="auto"/>
              <w:ind w:left="840"/>
              <w:jc w:val="center"/>
              <w:rPr>
                <w:rFonts w:ascii="宋体" w:hAnsi="宋体"/>
                <w:sz w:val="24"/>
                <w:szCs w:val="24"/>
              </w:rPr>
            </w:pPr>
          </w:p>
        </w:tc>
        <w:tc>
          <w:tcPr>
            <w:tcW w:w="1553" w:type="dxa"/>
            <w:vAlign w:val="center"/>
          </w:tcPr>
          <w:p w14:paraId="3141B6EE">
            <w:pPr>
              <w:spacing w:line="360" w:lineRule="auto"/>
              <w:ind w:left="840"/>
              <w:jc w:val="center"/>
              <w:rPr>
                <w:rFonts w:ascii="宋体" w:hAnsi="宋体"/>
                <w:sz w:val="24"/>
                <w:szCs w:val="24"/>
              </w:rPr>
            </w:pPr>
          </w:p>
        </w:tc>
        <w:tc>
          <w:tcPr>
            <w:tcW w:w="2394" w:type="dxa"/>
            <w:vAlign w:val="center"/>
          </w:tcPr>
          <w:p w14:paraId="21177060">
            <w:pPr>
              <w:spacing w:line="360" w:lineRule="auto"/>
              <w:ind w:left="840"/>
              <w:jc w:val="center"/>
              <w:rPr>
                <w:rFonts w:ascii="宋体" w:hAnsi="宋体"/>
                <w:sz w:val="24"/>
                <w:szCs w:val="24"/>
              </w:rPr>
            </w:pPr>
          </w:p>
        </w:tc>
      </w:tr>
      <w:tr w14:paraId="33599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5AEAD81B">
            <w:pPr>
              <w:spacing w:line="360" w:lineRule="auto"/>
              <w:ind w:left="840"/>
              <w:jc w:val="center"/>
              <w:rPr>
                <w:rFonts w:ascii="宋体" w:hAnsi="宋体"/>
                <w:sz w:val="24"/>
                <w:szCs w:val="24"/>
              </w:rPr>
            </w:pPr>
          </w:p>
        </w:tc>
        <w:tc>
          <w:tcPr>
            <w:tcW w:w="3417" w:type="dxa"/>
            <w:vAlign w:val="center"/>
          </w:tcPr>
          <w:p w14:paraId="556E1E2B">
            <w:pPr>
              <w:spacing w:line="360" w:lineRule="auto"/>
              <w:ind w:left="840"/>
              <w:jc w:val="center"/>
              <w:rPr>
                <w:rFonts w:ascii="宋体" w:hAnsi="宋体"/>
                <w:sz w:val="24"/>
                <w:szCs w:val="24"/>
              </w:rPr>
            </w:pPr>
          </w:p>
        </w:tc>
        <w:tc>
          <w:tcPr>
            <w:tcW w:w="1553" w:type="dxa"/>
            <w:vAlign w:val="center"/>
          </w:tcPr>
          <w:p w14:paraId="512F471C">
            <w:pPr>
              <w:spacing w:line="360" w:lineRule="auto"/>
              <w:ind w:left="840"/>
              <w:jc w:val="center"/>
              <w:rPr>
                <w:rFonts w:ascii="宋体" w:hAnsi="宋体"/>
                <w:sz w:val="24"/>
                <w:szCs w:val="24"/>
              </w:rPr>
            </w:pPr>
          </w:p>
        </w:tc>
        <w:tc>
          <w:tcPr>
            <w:tcW w:w="2394" w:type="dxa"/>
            <w:vAlign w:val="center"/>
          </w:tcPr>
          <w:p w14:paraId="2C21233A">
            <w:pPr>
              <w:spacing w:line="360" w:lineRule="auto"/>
              <w:ind w:left="840"/>
              <w:jc w:val="center"/>
              <w:rPr>
                <w:rFonts w:ascii="宋体" w:hAnsi="宋体"/>
                <w:sz w:val="24"/>
                <w:szCs w:val="24"/>
              </w:rPr>
            </w:pPr>
          </w:p>
        </w:tc>
      </w:tr>
      <w:tr w14:paraId="65624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5BF9BF21">
            <w:pPr>
              <w:spacing w:line="360" w:lineRule="auto"/>
              <w:ind w:left="840"/>
              <w:jc w:val="center"/>
              <w:rPr>
                <w:rFonts w:ascii="宋体" w:hAnsi="宋体"/>
                <w:sz w:val="24"/>
                <w:szCs w:val="24"/>
              </w:rPr>
            </w:pPr>
          </w:p>
        </w:tc>
        <w:tc>
          <w:tcPr>
            <w:tcW w:w="3417" w:type="dxa"/>
            <w:vAlign w:val="center"/>
          </w:tcPr>
          <w:p w14:paraId="35DE26F3">
            <w:pPr>
              <w:spacing w:line="360" w:lineRule="auto"/>
              <w:ind w:left="840"/>
              <w:jc w:val="center"/>
              <w:rPr>
                <w:rFonts w:ascii="宋体" w:hAnsi="宋体"/>
                <w:sz w:val="24"/>
                <w:szCs w:val="24"/>
              </w:rPr>
            </w:pPr>
          </w:p>
        </w:tc>
        <w:tc>
          <w:tcPr>
            <w:tcW w:w="1553" w:type="dxa"/>
            <w:vAlign w:val="center"/>
          </w:tcPr>
          <w:p w14:paraId="153416E8">
            <w:pPr>
              <w:spacing w:line="360" w:lineRule="auto"/>
              <w:ind w:left="840"/>
              <w:jc w:val="center"/>
              <w:rPr>
                <w:rFonts w:ascii="宋体" w:hAnsi="宋体"/>
                <w:sz w:val="24"/>
                <w:szCs w:val="24"/>
              </w:rPr>
            </w:pPr>
          </w:p>
        </w:tc>
        <w:tc>
          <w:tcPr>
            <w:tcW w:w="2394" w:type="dxa"/>
            <w:vAlign w:val="center"/>
          </w:tcPr>
          <w:p w14:paraId="5D6DE37F">
            <w:pPr>
              <w:spacing w:line="360" w:lineRule="auto"/>
              <w:ind w:left="840"/>
              <w:jc w:val="center"/>
              <w:rPr>
                <w:rFonts w:ascii="宋体" w:hAnsi="宋体"/>
                <w:sz w:val="24"/>
                <w:szCs w:val="24"/>
              </w:rPr>
            </w:pPr>
          </w:p>
        </w:tc>
      </w:tr>
      <w:tr w14:paraId="5D5D8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6B3C694F">
            <w:pPr>
              <w:spacing w:line="360" w:lineRule="auto"/>
              <w:ind w:left="840"/>
              <w:jc w:val="center"/>
              <w:rPr>
                <w:rFonts w:ascii="宋体" w:hAnsi="宋体"/>
                <w:sz w:val="24"/>
                <w:szCs w:val="24"/>
              </w:rPr>
            </w:pPr>
          </w:p>
        </w:tc>
        <w:tc>
          <w:tcPr>
            <w:tcW w:w="3417" w:type="dxa"/>
            <w:vAlign w:val="center"/>
          </w:tcPr>
          <w:p w14:paraId="417BC428">
            <w:pPr>
              <w:spacing w:line="360" w:lineRule="auto"/>
              <w:ind w:left="840"/>
              <w:jc w:val="center"/>
              <w:rPr>
                <w:rFonts w:ascii="宋体" w:hAnsi="宋体"/>
                <w:sz w:val="24"/>
                <w:szCs w:val="24"/>
              </w:rPr>
            </w:pPr>
          </w:p>
        </w:tc>
        <w:tc>
          <w:tcPr>
            <w:tcW w:w="1553" w:type="dxa"/>
            <w:vAlign w:val="center"/>
          </w:tcPr>
          <w:p w14:paraId="78D20A1F">
            <w:pPr>
              <w:spacing w:line="360" w:lineRule="auto"/>
              <w:ind w:left="840"/>
              <w:jc w:val="center"/>
              <w:rPr>
                <w:rFonts w:ascii="宋体" w:hAnsi="宋体"/>
                <w:sz w:val="24"/>
                <w:szCs w:val="24"/>
              </w:rPr>
            </w:pPr>
          </w:p>
        </w:tc>
        <w:tc>
          <w:tcPr>
            <w:tcW w:w="2394" w:type="dxa"/>
            <w:vAlign w:val="center"/>
          </w:tcPr>
          <w:p w14:paraId="107DDB52">
            <w:pPr>
              <w:spacing w:line="360" w:lineRule="auto"/>
              <w:ind w:left="840"/>
              <w:jc w:val="center"/>
              <w:rPr>
                <w:rFonts w:ascii="宋体" w:hAnsi="宋体"/>
                <w:sz w:val="24"/>
                <w:szCs w:val="24"/>
              </w:rPr>
            </w:pPr>
          </w:p>
        </w:tc>
      </w:tr>
      <w:tr w14:paraId="701B7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vAlign w:val="center"/>
          </w:tcPr>
          <w:p w14:paraId="3D1D57F6">
            <w:pPr>
              <w:spacing w:line="360" w:lineRule="auto"/>
              <w:ind w:left="840"/>
              <w:jc w:val="center"/>
              <w:rPr>
                <w:rFonts w:ascii="宋体" w:hAnsi="宋体"/>
                <w:sz w:val="24"/>
                <w:szCs w:val="24"/>
              </w:rPr>
            </w:pPr>
          </w:p>
        </w:tc>
        <w:tc>
          <w:tcPr>
            <w:tcW w:w="3417" w:type="dxa"/>
            <w:vAlign w:val="center"/>
          </w:tcPr>
          <w:p w14:paraId="16262587">
            <w:pPr>
              <w:spacing w:line="360" w:lineRule="auto"/>
              <w:ind w:left="840"/>
              <w:jc w:val="center"/>
              <w:rPr>
                <w:rFonts w:ascii="宋体" w:hAnsi="宋体"/>
                <w:sz w:val="24"/>
                <w:szCs w:val="24"/>
              </w:rPr>
            </w:pPr>
          </w:p>
        </w:tc>
        <w:tc>
          <w:tcPr>
            <w:tcW w:w="1553" w:type="dxa"/>
            <w:vAlign w:val="center"/>
          </w:tcPr>
          <w:p w14:paraId="50402F0F">
            <w:pPr>
              <w:spacing w:line="360" w:lineRule="auto"/>
              <w:ind w:left="840"/>
              <w:jc w:val="center"/>
              <w:rPr>
                <w:rFonts w:ascii="宋体" w:hAnsi="宋体"/>
                <w:sz w:val="24"/>
                <w:szCs w:val="24"/>
              </w:rPr>
            </w:pPr>
          </w:p>
        </w:tc>
        <w:tc>
          <w:tcPr>
            <w:tcW w:w="2394" w:type="dxa"/>
            <w:vAlign w:val="center"/>
          </w:tcPr>
          <w:p w14:paraId="540535F5">
            <w:pPr>
              <w:spacing w:line="360" w:lineRule="auto"/>
              <w:ind w:left="840"/>
              <w:jc w:val="center"/>
              <w:rPr>
                <w:rFonts w:ascii="宋体" w:hAnsi="宋体"/>
                <w:sz w:val="24"/>
                <w:szCs w:val="24"/>
              </w:rPr>
            </w:pPr>
          </w:p>
        </w:tc>
      </w:tr>
      <w:tr w14:paraId="4DB6B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tcBorders>
              <w:bottom w:val="single" w:color="auto" w:sz="6" w:space="0"/>
            </w:tcBorders>
            <w:vAlign w:val="center"/>
          </w:tcPr>
          <w:p w14:paraId="35AA0501">
            <w:pPr>
              <w:spacing w:line="360" w:lineRule="auto"/>
              <w:ind w:left="840"/>
              <w:jc w:val="center"/>
              <w:rPr>
                <w:rFonts w:ascii="宋体" w:hAnsi="宋体"/>
                <w:sz w:val="24"/>
                <w:szCs w:val="24"/>
              </w:rPr>
            </w:pPr>
          </w:p>
        </w:tc>
        <w:tc>
          <w:tcPr>
            <w:tcW w:w="3417" w:type="dxa"/>
            <w:tcBorders>
              <w:bottom w:val="single" w:color="auto" w:sz="6" w:space="0"/>
            </w:tcBorders>
            <w:vAlign w:val="center"/>
          </w:tcPr>
          <w:p w14:paraId="585005D3">
            <w:pPr>
              <w:spacing w:line="360" w:lineRule="auto"/>
              <w:ind w:left="840"/>
              <w:jc w:val="center"/>
              <w:rPr>
                <w:rFonts w:ascii="宋体" w:hAnsi="宋体"/>
                <w:sz w:val="24"/>
                <w:szCs w:val="24"/>
              </w:rPr>
            </w:pPr>
          </w:p>
        </w:tc>
        <w:tc>
          <w:tcPr>
            <w:tcW w:w="1553" w:type="dxa"/>
            <w:tcBorders>
              <w:bottom w:val="single" w:color="auto" w:sz="6" w:space="0"/>
            </w:tcBorders>
            <w:vAlign w:val="center"/>
          </w:tcPr>
          <w:p w14:paraId="11768104">
            <w:pPr>
              <w:spacing w:line="360" w:lineRule="auto"/>
              <w:ind w:left="840"/>
              <w:jc w:val="center"/>
              <w:rPr>
                <w:rFonts w:ascii="宋体" w:hAnsi="宋体"/>
                <w:sz w:val="24"/>
                <w:szCs w:val="24"/>
              </w:rPr>
            </w:pPr>
          </w:p>
        </w:tc>
        <w:tc>
          <w:tcPr>
            <w:tcW w:w="2394" w:type="dxa"/>
            <w:tcBorders>
              <w:bottom w:val="single" w:color="auto" w:sz="6" w:space="0"/>
            </w:tcBorders>
            <w:vAlign w:val="center"/>
          </w:tcPr>
          <w:p w14:paraId="67209BC6">
            <w:pPr>
              <w:spacing w:line="360" w:lineRule="auto"/>
              <w:ind w:left="840"/>
              <w:jc w:val="center"/>
              <w:rPr>
                <w:rFonts w:ascii="宋体" w:hAnsi="宋体"/>
                <w:sz w:val="24"/>
                <w:szCs w:val="24"/>
              </w:rPr>
            </w:pPr>
          </w:p>
        </w:tc>
      </w:tr>
      <w:tr w14:paraId="4ABA4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708" w:type="dxa"/>
            <w:tcBorders>
              <w:top w:val="single" w:color="auto" w:sz="6" w:space="0"/>
              <w:left w:val="single" w:color="auto" w:sz="12" w:space="0"/>
              <w:bottom w:val="single" w:color="auto" w:sz="12" w:space="0"/>
            </w:tcBorders>
            <w:vAlign w:val="center"/>
          </w:tcPr>
          <w:p w14:paraId="4974F1CB">
            <w:pPr>
              <w:spacing w:line="360" w:lineRule="auto"/>
              <w:ind w:left="840"/>
              <w:jc w:val="center"/>
              <w:rPr>
                <w:rFonts w:ascii="宋体" w:hAnsi="宋体"/>
                <w:sz w:val="24"/>
                <w:szCs w:val="24"/>
              </w:rPr>
            </w:pPr>
          </w:p>
        </w:tc>
        <w:tc>
          <w:tcPr>
            <w:tcW w:w="3417" w:type="dxa"/>
            <w:tcBorders>
              <w:top w:val="single" w:color="auto" w:sz="6" w:space="0"/>
              <w:bottom w:val="single" w:color="auto" w:sz="12" w:space="0"/>
            </w:tcBorders>
            <w:vAlign w:val="center"/>
          </w:tcPr>
          <w:p w14:paraId="44ABB810">
            <w:pPr>
              <w:spacing w:line="360" w:lineRule="auto"/>
              <w:ind w:left="840"/>
              <w:jc w:val="center"/>
              <w:rPr>
                <w:rFonts w:ascii="宋体" w:hAnsi="宋体"/>
                <w:sz w:val="24"/>
                <w:szCs w:val="24"/>
              </w:rPr>
            </w:pPr>
          </w:p>
        </w:tc>
        <w:tc>
          <w:tcPr>
            <w:tcW w:w="1553" w:type="dxa"/>
            <w:tcBorders>
              <w:top w:val="single" w:color="auto" w:sz="6" w:space="0"/>
              <w:bottom w:val="single" w:color="auto" w:sz="12" w:space="0"/>
            </w:tcBorders>
            <w:vAlign w:val="center"/>
          </w:tcPr>
          <w:p w14:paraId="66910B00">
            <w:pPr>
              <w:spacing w:line="360" w:lineRule="auto"/>
              <w:ind w:left="840"/>
              <w:jc w:val="center"/>
              <w:rPr>
                <w:rFonts w:ascii="宋体" w:hAnsi="宋体"/>
                <w:sz w:val="24"/>
                <w:szCs w:val="24"/>
              </w:rPr>
            </w:pPr>
          </w:p>
        </w:tc>
        <w:tc>
          <w:tcPr>
            <w:tcW w:w="2394" w:type="dxa"/>
            <w:tcBorders>
              <w:top w:val="single" w:color="auto" w:sz="6" w:space="0"/>
              <w:bottom w:val="single" w:color="auto" w:sz="12" w:space="0"/>
              <w:right w:val="single" w:color="auto" w:sz="12" w:space="0"/>
            </w:tcBorders>
            <w:vAlign w:val="center"/>
          </w:tcPr>
          <w:p w14:paraId="1B289092">
            <w:pPr>
              <w:spacing w:line="360" w:lineRule="auto"/>
              <w:ind w:left="840"/>
              <w:jc w:val="center"/>
              <w:rPr>
                <w:rFonts w:ascii="宋体" w:hAnsi="宋体"/>
                <w:sz w:val="24"/>
                <w:szCs w:val="24"/>
              </w:rPr>
            </w:pPr>
          </w:p>
        </w:tc>
      </w:tr>
    </w:tbl>
    <w:p w14:paraId="62F65C49">
      <w:pPr>
        <w:spacing w:line="360" w:lineRule="auto"/>
        <w:rPr>
          <w:rFonts w:ascii="宋体" w:hAnsi="宋体"/>
          <w:sz w:val="24"/>
          <w:szCs w:val="24"/>
        </w:rPr>
      </w:pPr>
      <w:r>
        <w:rPr>
          <w:rFonts w:hint="eastAsia" w:ascii="宋体" w:hAnsi="宋体"/>
          <w:sz w:val="24"/>
          <w:szCs w:val="24"/>
        </w:rPr>
        <w:t>注：招标人应在招标文件中规定若投标人在所投标标段中标需提供的主要机械设备和试验检测设备。招标人将在发出中标通知书之前要求中标人按照本表的最低要求填报为本标段配备的主要设备，在经招标人审批后作为投入本标段的主要设备且不允许更换。</w:t>
      </w:r>
      <w:r>
        <w:rPr>
          <w:rFonts w:hint="eastAsia" w:ascii="宋体" w:hAnsi="宋体"/>
          <w:sz w:val="24"/>
          <w:szCs w:val="24"/>
        </w:rPr>
        <w:br w:type="page"/>
      </w:r>
      <w:bookmarkStart w:id="507" w:name="_Toc234382949"/>
      <w:r>
        <w:rPr>
          <w:rFonts w:hint="eastAsia" w:ascii="宋体" w:hAnsi="宋体"/>
          <w:sz w:val="24"/>
          <w:szCs w:val="24"/>
        </w:rPr>
        <w:t>附件六   项目经理委托书</w:t>
      </w:r>
      <w:bookmarkEnd w:id="507"/>
    </w:p>
    <w:p w14:paraId="0BAFB68F">
      <w:pPr>
        <w:spacing w:line="360" w:lineRule="auto"/>
        <w:ind w:left="840"/>
        <w:rPr>
          <w:rFonts w:ascii="宋体" w:hAnsi="宋体"/>
          <w:sz w:val="24"/>
          <w:szCs w:val="24"/>
        </w:rPr>
      </w:pPr>
    </w:p>
    <w:p w14:paraId="10F75230">
      <w:pPr>
        <w:spacing w:line="360" w:lineRule="auto"/>
        <w:ind w:left="840"/>
        <w:jc w:val="center"/>
        <w:rPr>
          <w:rFonts w:ascii="宋体" w:hAnsi="宋体"/>
          <w:sz w:val="24"/>
          <w:szCs w:val="24"/>
          <w:u w:val="single"/>
        </w:rPr>
      </w:pPr>
      <w:r>
        <w:rPr>
          <w:rFonts w:hint="eastAsia" w:ascii="宋体" w:hAnsi="宋体"/>
          <w:sz w:val="24"/>
          <w:szCs w:val="24"/>
          <w:u w:val="single"/>
        </w:rPr>
        <w:t>（承包人全称）</w:t>
      </w:r>
    </w:p>
    <w:p w14:paraId="554E4EC2">
      <w:pPr>
        <w:spacing w:line="360" w:lineRule="auto"/>
        <w:ind w:left="840"/>
        <w:jc w:val="center"/>
        <w:rPr>
          <w:rFonts w:ascii="宋体" w:hAnsi="宋体"/>
          <w:sz w:val="24"/>
          <w:szCs w:val="24"/>
          <w:u w:val="single"/>
        </w:rPr>
      </w:pPr>
      <w:r>
        <w:rPr>
          <w:rFonts w:hint="eastAsia" w:ascii="宋体" w:hAnsi="宋体"/>
          <w:sz w:val="24"/>
          <w:szCs w:val="24"/>
          <w:u w:val="single"/>
        </w:rPr>
        <w:t>（合同工程名称）项目经理委任书</w:t>
      </w:r>
    </w:p>
    <w:p w14:paraId="1CB98A52">
      <w:pPr>
        <w:spacing w:line="360" w:lineRule="auto"/>
        <w:ind w:left="840"/>
        <w:rPr>
          <w:rFonts w:ascii="宋体" w:hAnsi="宋体"/>
          <w:sz w:val="24"/>
          <w:szCs w:val="24"/>
        </w:rPr>
      </w:pPr>
    </w:p>
    <w:p w14:paraId="74F33D31">
      <w:pPr>
        <w:spacing w:line="360" w:lineRule="auto"/>
        <w:ind w:left="840"/>
        <w:rPr>
          <w:rFonts w:ascii="宋体" w:hAnsi="宋体"/>
          <w:sz w:val="24"/>
          <w:szCs w:val="24"/>
        </w:rPr>
      </w:pPr>
      <w:r>
        <w:rPr>
          <w:rFonts w:hint="eastAsia" w:ascii="宋体" w:hAnsi="宋体"/>
          <w:sz w:val="24"/>
          <w:szCs w:val="24"/>
        </w:rPr>
        <w:t>致：</w:t>
      </w:r>
      <w:r>
        <w:rPr>
          <w:rFonts w:hint="eastAsia" w:ascii="宋体" w:hAnsi="宋体"/>
          <w:sz w:val="24"/>
          <w:szCs w:val="24"/>
          <w:u w:val="single"/>
        </w:rPr>
        <w:t>（发包人全称</w:t>
      </w:r>
      <w:r>
        <w:rPr>
          <w:rFonts w:hint="eastAsia" w:ascii="宋体" w:hAnsi="宋体"/>
          <w:sz w:val="24"/>
          <w:szCs w:val="24"/>
        </w:rPr>
        <w:t>）</w:t>
      </w:r>
    </w:p>
    <w:p w14:paraId="748FDB01">
      <w:pPr>
        <w:spacing w:line="360" w:lineRule="auto"/>
        <w:ind w:left="840" w:firstLine="480"/>
        <w:rPr>
          <w:rFonts w:ascii="宋体" w:hAnsi="宋体"/>
          <w:sz w:val="24"/>
          <w:szCs w:val="24"/>
        </w:rPr>
      </w:pPr>
      <w:r>
        <w:rPr>
          <w:rFonts w:hint="eastAsia" w:ascii="宋体" w:hAnsi="宋体"/>
          <w:sz w:val="24"/>
          <w:szCs w:val="24"/>
          <w:u w:val="single"/>
        </w:rPr>
        <w:t>（承包人全称）</w:t>
      </w:r>
      <w:r>
        <w:rPr>
          <w:rFonts w:hint="eastAsia" w:ascii="宋体" w:hAnsi="宋体"/>
          <w:sz w:val="24"/>
          <w:szCs w:val="24"/>
        </w:rPr>
        <w:t xml:space="preserve"> 法定代表人</w:t>
      </w:r>
      <w:r>
        <w:rPr>
          <w:rFonts w:hint="eastAsia" w:ascii="宋体" w:hAnsi="宋体"/>
          <w:sz w:val="24"/>
          <w:szCs w:val="24"/>
          <w:u w:val="single"/>
        </w:rPr>
        <w:t xml:space="preserve"> （职务、姓名）</w:t>
      </w:r>
      <w:r>
        <w:rPr>
          <w:rFonts w:hint="eastAsia" w:ascii="宋体" w:hAnsi="宋体"/>
          <w:sz w:val="24"/>
          <w:szCs w:val="24"/>
        </w:rPr>
        <w:t xml:space="preserve"> 代表本单位委任 </w:t>
      </w:r>
      <w:r>
        <w:rPr>
          <w:rFonts w:hint="eastAsia" w:ascii="宋体" w:hAnsi="宋体"/>
          <w:sz w:val="24"/>
          <w:szCs w:val="24"/>
          <w:u w:val="single"/>
        </w:rPr>
        <w:t>（职务、姓名）</w:t>
      </w:r>
      <w:r>
        <w:rPr>
          <w:rFonts w:hint="eastAsia" w:ascii="宋体" w:hAnsi="宋体"/>
          <w:sz w:val="24"/>
          <w:szCs w:val="24"/>
        </w:rPr>
        <w:t xml:space="preserve"> 为</w:t>
      </w:r>
      <w:r>
        <w:rPr>
          <w:rFonts w:hint="eastAsia" w:ascii="宋体" w:hAnsi="宋体"/>
          <w:sz w:val="24"/>
          <w:szCs w:val="24"/>
          <w:u w:val="single"/>
        </w:rPr>
        <w:t>（合同工程名称）</w:t>
      </w:r>
      <w:r>
        <w:rPr>
          <w:rFonts w:hint="eastAsia" w:ascii="宋体" w:hAnsi="宋体"/>
          <w:sz w:val="24"/>
          <w:szCs w:val="24"/>
        </w:rPr>
        <w:t>的项目经理。凡本合同执行中的有关技术、工程进度、现场管理、质量检验、结算与支付等方面工作，由</w:t>
      </w:r>
      <w:r>
        <w:rPr>
          <w:rFonts w:hint="eastAsia" w:ascii="宋体" w:hAnsi="宋体"/>
          <w:sz w:val="24"/>
          <w:szCs w:val="24"/>
          <w:u w:val="single"/>
        </w:rPr>
        <w:t xml:space="preserve"> （姓名） </w:t>
      </w:r>
      <w:r>
        <w:rPr>
          <w:rFonts w:hint="eastAsia" w:ascii="宋体" w:hAnsi="宋体"/>
          <w:sz w:val="24"/>
          <w:szCs w:val="24"/>
        </w:rPr>
        <w:t>代表本单位全面负责。</w:t>
      </w:r>
    </w:p>
    <w:p w14:paraId="6F86A4F7">
      <w:pPr>
        <w:spacing w:line="360" w:lineRule="auto"/>
        <w:ind w:left="840"/>
        <w:rPr>
          <w:rFonts w:ascii="宋体" w:hAnsi="宋体"/>
          <w:sz w:val="24"/>
          <w:szCs w:val="24"/>
        </w:rPr>
      </w:pPr>
    </w:p>
    <w:p w14:paraId="59845A5E">
      <w:pPr>
        <w:spacing w:line="360" w:lineRule="auto"/>
        <w:ind w:left="840" w:right="240"/>
        <w:jc w:val="right"/>
        <w:rPr>
          <w:rFonts w:ascii="宋体" w:hAnsi="宋体"/>
          <w:sz w:val="24"/>
          <w:szCs w:val="24"/>
        </w:rPr>
      </w:pPr>
      <w:r>
        <w:rPr>
          <w:rFonts w:hint="eastAsia" w:ascii="宋体" w:hAnsi="宋体"/>
          <w:sz w:val="24"/>
          <w:szCs w:val="24"/>
        </w:rPr>
        <w:t>承包人：</w:t>
      </w:r>
      <w:r>
        <w:rPr>
          <w:rFonts w:hint="eastAsia" w:ascii="宋体" w:hAnsi="宋体"/>
          <w:sz w:val="24"/>
          <w:szCs w:val="24"/>
          <w:u w:val="single"/>
        </w:rPr>
        <w:t xml:space="preserve">            </w:t>
      </w:r>
      <w:r>
        <w:rPr>
          <w:rFonts w:hint="eastAsia" w:ascii="宋体" w:hAnsi="宋体"/>
          <w:sz w:val="24"/>
          <w:szCs w:val="24"/>
        </w:rPr>
        <w:t>（盖单位章）</w:t>
      </w:r>
    </w:p>
    <w:p w14:paraId="58D6A365">
      <w:pPr>
        <w:spacing w:line="360" w:lineRule="auto"/>
        <w:ind w:left="840" w:right="480" w:firstLine="4440" w:firstLineChars="1850"/>
        <w:rPr>
          <w:rFonts w:ascii="宋体" w:hAnsi="宋体"/>
          <w:sz w:val="24"/>
          <w:szCs w:val="24"/>
          <w:u w:val="single"/>
        </w:rPr>
      </w:pPr>
      <w:r>
        <w:rPr>
          <w:rFonts w:hint="eastAsia" w:ascii="宋体" w:hAnsi="宋体"/>
          <w:sz w:val="24"/>
          <w:szCs w:val="24"/>
        </w:rPr>
        <w:t>法定代表人：</w:t>
      </w:r>
      <w:r>
        <w:rPr>
          <w:rFonts w:hint="eastAsia" w:ascii="宋体" w:hAnsi="宋体"/>
          <w:sz w:val="24"/>
          <w:szCs w:val="24"/>
          <w:u w:val="single"/>
        </w:rPr>
        <w:t xml:space="preserve">  （职务） </w:t>
      </w:r>
    </w:p>
    <w:p w14:paraId="0440A6FC">
      <w:pPr>
        <w:spacing w:line="360" w:lineRule="auto"/>
        <w:ind w:left="840" w:right="480" w:firstLine="5880" w:firstLineChars="2450"/>
        <w:rPr>
          <w:rFonts w:ascii="宋体" w:hAnsi="宋体"/>
          <w:sz w:val="24"/>
          <w:szCs w:val="24"/>
          <w:u w:val="single"/>
        </w:rPr>
      </w:pPr>
      <w:r>
        <w:rPr>
          <w:rFonts w:hint="eastAsia" w:ascii="宋体" w:hAnsi="宋体"/>
          <w:sz w:val="24"/>
          <w:szCs w:val="24"/>
          <w:u w:val="single"/>
        </w:rPr>
        <w:t xml:space="preserve">  （姓名） </w:t>
      </w:r>
    </w:p>
    <w:p w14:paraId="3065D499">
      <w:pPr>
        <w:spacing w:line="360" w:lineRule="auto"/>
        <w:ind w:left="840" w:right="480" w:firstLine="5880" w:firstLineChars="2450"/>
        <w:rPr>
          <w:rFonts w:ascii="宋体" w:hAnsi="宋体"/>
          <w:sz w:val="24"/>
          <w:szCs w:val="24"/>
          <w:u w:val="single"/>
        </w:rPr>
      </w:pPr>
      <w:r>
        <w:rPr>
          <w:rFonts w:hint="eastAsia" w:ascii="宋体" w:hAnsi="宋体"/>
          <w:sz w:val="24"/>
          <w:szCs w:val="24"/>
          <w:u w:val="single"/>
        </w:rPr>
        <w:t xml:space="preserve">  （签字） </w:t>
      </w:r>
    </w:p>
    <w:p w14:paraId="3110AA7F">
      <w:pPr>
        <w:spacing w:line="360" w:lineRule="auto"/>
        <w:ind w:left="840"/>
        <w:rPr>
          <w:rFonts w:ascii="宋体" w:hAnsi="宋体"/>
          <w:sz w:val="24"/>
          <w:szCs w:val="24"/>
        </w:rPr>
      </w:pPr>
    </w:p>
    <w:p w14:paraId="3D07FCCF">
      <w:pPr>
        <w:spacing w:line="360" w:lineRule="auto"/>
        <w:ind w:left="840" w:right="120"/>
        <w:jc w:val="righ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 xml:space="preserve"> 日</w:t>
      </w:r>
    </w:p>
    <w:p w14:paraId="0AC9C1CA">
      <w:pPr>
        <w:spacing w:line="360" w:lineRule="auto"/>
        <w:ind w:left="840"/>
        <w:rPr>
          <w:rFonts w:ascii="宋体" w:hAnsi="宋体"/>
          <w:sz w:val="24"/>
          <w:szCs w:val="24"/>
        </w:rPr>
      </w:pPr>
    </w:p>
    <w:p w14:paraId="11E86861">
      <w:pPr>
        <w:spacing w:line="360" w:lineRule="auto"/>
        <w:ind w:firstLine="6720" w:firstLineChars="2800"/>
        <w:rPr>
          <w:rFonts w:ascii="宋体" w:hAnsi="宋体"/>
          <w:sz w:val="24"/>
          <w:szCs w:val="24"/>
        </w:rPr>
      </w:pPr>
      <w:r>
        <w:rPr>
          <w:rFonts w:hint="eastAsia" w:ascii="宋体" w:hAnsi="宋体"/>
          <w:sz w:val="24"/>
          <w:szCs w:val="24"/>
        </w:rPr>
        <w:t>抄送：</w:t>
      </w:r>
      <w:r>
        <w:rPr>
          <w:rFonts w:hint="eastAsia" w:ascii="宋体" w:hAnsi="宋体"/>
          <w:sz w:val="24"/>
          <w:szCs w:val="24"/>
          <w:u w:val="single"/>
        </w:rPr>
        <w:t xml:space="preserve">  （监理人）</w:t>
      </w:r>
    </w:p>
    <w:p w14:paraId="6378D957">
      <w:pPr>
        <w:spacing w:line="360" w:lineRule="auto"/>
        <w:ind w:left="840"/>
        <w:rPr>
          <w:rFonts w:ascii="宋体" w:hAnsi="宋体"/>
          <w:sz w:val="24"/>
          <w:szCs w:val="24"/>
        </w:rPr>
      </w:pPr>
    </w:p>
    <w:p w14:paraId="5805AB23">
      <w:pPr>
        <w:spacing w:line="360" w:lineRule="auto"/>
        <w:ind w:left="840"/>
        <w:rPr>
          <w:rFonts w:ascii="宋体" w:hAnsi="宋体"/>
          <w:sz w:val="24"/>
          <w:szCs w:val="24"/>
        </w:rPr>
      </w:pPr>
    </w:p>
    <w:p w14:paraId="55B5C039">
      <w:pPr>
        <w:spacing w:line="360" w:lineRule="auto"/>
        <w:ind w:left="840"/>
        <w:rPr>
          <w:rFonts w:ascii="宋体" w:hAnsi="宋体"/>
          <w:sz w:val="24"/>
          <w:szCs w:val="24"/>
        </w:rPr>
      </w:pPr>
    </w:p>
    <w:p w14:paraId="5169BF46">
      <w:pPr>
        <w:spacing w:line="360" w:lineRule="auto"/>
        <w:ind w:left="840"/>
        <w:rPr>
          <w:rFonts w:ascii="宋体" w:hAnsi="宋体"/>
          <w:sz w:val="24"/>
          <w:szCs w:val="24"/>
        </w:rPr>
      </w:pPr>
    </w:p>
    <w:p w14:paraId="2218C23B">
      <w:pPr>
        <w:spacing w:line="360" w:lineRule="auto"/>
        <w:ind w:left="840"/>
        <w:rPr>
          <w:rFonts w:ascii="宋体" w:hAnsi="宋体"/>
          <w:sz w:val="24"/>
          <w:szCs w:val="24"/>
        </w:rPr>
      </w:pPr>
    </w:p>
    <w:p w14:paraId="285E0988">
      <w:pPr>
        <w:spacing w:line="360" w:lineRule="auto"/>
        <w:ind w:left="840"/>
        <w:rPr>
          <w:rFonts w:ascii="宋体" w:hAnsi="宋体"/>
          <w:sz w:val="24"/>
          <w:szCs w:val="24"/>
        </w:rPr>
      </w:pPr>
    </w:p>
    <w:p w14:paraId="69DCE13A">
      <w:pPr>
        <w:spacing w:line="360" w:lineRule="auto"/>
        <w:ind w:left="840"/>
        <w:rPr>
          <w:rFonts w:ascii="宋体" w:hAnsi="宋体"/>
          <w:sz w:val="24"/>
          <w:szCs w:val="24"/>
        </w:rPr>
      </w:pPr>
    </w:p>
    <w:p w14:paraId="15BEA5B6">
      <w:pPr>
        <w:spacing w:line="360" w:lineRule="auto"/>
        <w:ind w:left="840"/>
        <w:rPr>
          <w:rFonts w:ascii="宋体" w:hAnsi="宋体"/>
          <w:sz w:val="24"/>
          <w:szCs w:val="24"/>
        </w:rPr>
      </w:pPr>
    </w:p>
    <w:p w14:paraId="6479C262">
      <w:pPr>
        <w:spacing w:line="360" w:lineRule="auto"/>
        <w:ind w:left="840"/>
        <w:rPr>
          <w:rFonts w:ascii="宋体" w:hAnsi="宋体"/>
          <w:sz w:val="24"/>
          <w:szCs w:val="24"/>
        </w:rPr>
      </w:pPr>
    </w:p>
    <w:p w14:paraId="1C880F4E">
      <w:pPr>
        <w:pStyle w:val="18"/>
        <w:rPr>
          <w:rFonts w:ascii="宋体" w:hAnsi="宋体"/>
          <w:sz w:val="24"/>
          <w:szCs w:val="24"/>
        </w:rPr>
      </w:pPr>
    </w:p>
    <w:p w14:paraId="3D4B66B5">
      <w:pPr>
        <w:pStyle w:val="19"/>
      </w:pPr>
    </w:p>
    <w:p w14:paraId="529F9A29">
      <w:pPr>
        <w:spacing w:line="360" w:lineRule="auto"/>
        <w:ind w:left="840"/>
        <w:rPr>
          <w:rFonts w:ascii="宋体" w:hAnsi="宋体"/>
          <w:sz w:val="24"/>
          <w:szCs w:val="24"/>
        </w:rPr>
      </w:pPr>
    </w:p>
    <w:p w14:paraId="3692C424">
      <w:pPr>
        <w:spacing w:line="360" w:lineRule="auto"/>
        <w:rPr>
          <w:rFonts w:ascii="宋体" w:hAnsi="宋体"/>
          <w:sz w:val="24"/>
          <w:szCs w:val="24"/>
        </w:rPr>
      </w:pPr>
      <w:bookmarkStart w:id="508" w:name="_Toc234382950"/>
      <w:r>
        <w:rPr>
          <w:rFonts w:hint="eastAsia" w:ascii="宋体" w:hAnsi="宋体"/>
          <w:sz w:val="24"/>
          <w:szCs w:val="24"/>
        </w:rPr>
        <w:t>附件七   履约担保格式</w:t>
      </w:r>
      <w:bookmarkEnd w:id="508"/>
    </w:p>
    <w:p w14:paraId="21927B98">
      <w:pPr>
        <w:spacing w:line="360" w:lineRule="auto"/>
        <w:ind w:left="840"/>
        <w:jc w:val="center"/>
        <w:rPr>
          <w:rFonts w:ascii="宋体" w:hAnsi="宋体"/>
          <w:b/>
          <w:sz w:val="24"/>
          <w:szCs w:val="24"/>
        </w:rPr>
      </w:pPr>
      <w:r>
        <w:rPr>
          <w:rFonts w:hint="eastAsia" w:ascii="宋体" w:hAnsi="宋体"/>
          <w:b/>
          <w:sz w:val="24"/>
          <w:szCs w:val="24"/>
        </w:rPr>
        <w:t>履 约 担 保</w:t>
      </w:r>
    </w:p>
    <w:p w14:paraId="732AF0C7">
      <w:pPr>
        <w:spacing w:line="360" w:lineRule="auto"/>
        <w:ind w:left="840"/>
        <w:rPr>
          <w:rFonts w:ascii="宋体" w:hAnsi="宋体"/>
          <w:sz w:val="24"/>
          <w:szCs w:val="24"/>
        </w:rPr>
      </w:pPr>
    </w:p>
    <w:p w14:paraId="1AC66837">
      <w:pPr>
        <w:spacing w:line="360" w:lineRule="auto"/>
        <w:ind w:left="84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（发包人名称）：</w:t>
      </w:r>
    </w:p>
    <w:p w14:paraId="69DB26F6">
      <w:pPr>
        <w:spacing w:line="360" w:lineRule="auto"/>
        <w:ind w:left="840"/>
        <w:rPr>
          <w:rFonts w:ascii="宋体" w:hAnsi="宋体"/>
          <w:sz w:val="24"/>
          <w:szCs w:val="24"/>
        </w:rPr>
      </w:pPr>
    </w:p>
    <w:p w14:paraId="571F9EE8">
      <w:pPr>
        <w:spacing w:line="360" w:lineRule="auto"/>
        <w:ind w:left="840" w:firstLine="480"/>
        <w:rPr>
          <w:rFonts w:ascii="宋体" w:hAnsi="宋体"/>
          <w:sz w:val="24"/>
          <w:szCs w:val="24"/>
        </w:rPr>
      </w:pPr>
      <w:r>
        <w:rPr>
          <w:rFonts w:hint="eastAsia" w:ascii="宋体" w:hAnsi="宋体"/>
          <w:sz w:val="24"/>
          <w:szCs w:val="24"/>
        </w:rPr>
        <w:t>鉴于</w:t>
      </w:r>
      <w:r>
        <w:rPr>
          <w:rFonts w:hint="eastAsia" w:ascii="宋体" w:hAnsi="宋体"/>
          <w:sz w:val="24"/>
          <w:szCs w:val="24"/>
          <w:u w:val="single"/>
        </w:rPr>
        <w:t xml:space="preserve">        </w:t>
      </w:r>
      <w:r>
        <w:rPr>
          <w:rFonts w:hint="eastAsia" w:ascii="宋体" w:hAnsi="宋体"/>
          <w:sz w:val="24"/>
          <w:szCs w:val="24"/>
        </w:rPr>
        <w:t>（发包人名称，以下简称“发包人”）接受</w:t>
      </w:r>
      <w:r>
        <w:rPr>
          <w:rFonts w:hint="eastAsia" w:ascii="宋体" w:hAnsi="宋体"/>
          <w:sz w:val="24"/>
          <w:szCs w:val="24"/>
          <w:u w:val="single"/>
        </w:rPr>
        <w:t xml:space="preserve">        </w:t>
      </w:r>
      <w:r>
        <w:rPr>
          <w:rFonts w:hint="eastAsia" w:ascii="宋体" w:hAnsi="宋体"/>
          <w:sz w:val="24"/>
          <w:szCs w:val="24"/>
        </w:rPr>
        <w:t>（承包人名称）（以下称“承包人”）于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日参加</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施工的投标。我方愿意无条件地、不可撤销地就承包人履行与你方订立的合同，向你方提供担保。</w:t>
      </w:r>
    </w:p>
    <w:p w14:paraId="7E92C4CF">
      <w:pPr>
        <w:spacing w:line="360" w:lineRule="auto"/>
        <w:ind w:left="840" w:firstLine="480"/>
        <w:rPr>
          <w:rFonts w:ascii="宋体" w:hAnsi="宋体"/>
          <w:sz w:val="24"/>
          <w:szCs w:val="24"/>
        </w:rPr>
      </w:pPr>
      <w:r>
        <w:rPr>
          <w:rFonts w:hint="eastAsia" w:ascii="宋体" w:hAnsi="宋体"/>
          <w:sz w:val="24"/>
          <w:szCs w:val="24"/>
        </w:rPr>
        <w:t>1.担保金额人民币（大写）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w:t>
      </w:r>
    </w:p>
    <w:p w14:paraId="2570CEE4">
      <w:pPr>
        <w:spacing w:line="360" w:lineRule="auto"/>
        <w:ind w:left="840" w:firstLine="480"/>
        <w:rPr>
          <w:rFonts w:ascii="宋体" w:hAnsi="宋体"/>
          <w:sz w:val="24"/>
          <w:szCs w:val="24"/>
        </w:rPr>
      </w:pPr>
      <w:r>
        <w:rPr>
          <w:rFonts w:hint="eastAsia" w:ascii="宋体" w:hAnsi="宋体"/>
          <w:sz w:val="24"/>
          <w:szCs w:val="24"/>
        </w:rPr>
        <w:t>2.担保有效期自发包人与承包人签订的合同生效之日起至发包人签发工程接收交工验收证书之日止。</w:t>
      </w:r>
    </w:p>
    <w:p w14:paraId="1E943A17">
      <w:pPr>
        <w:spacing w:line="360" w:lineRule="auto"/>
        <w:ind w:left="840" w:firstLine="480"/>
        <w:rPr>
          <w:rFonts w:ascii="宋体" w:hAnsi="宋体"/>
          <w:sz w:val="24"/>
          <w:szCs w:val="24"/>
        </w:rPr>
      </w:pPr>
      <w:r>
        <w:rPr>
          <w:rFonts w:hint="eastAsia" w:ascii="宋体" w:hAnsi="宋体"/>
          <w:sz w:val="24"/>
          <w:szCs w:val="24"/>
        </w:rPr>
        <w:t>3.在本担保有效期内，因承包人违反合同约定的义务给你方造成经济损失时，我方在收到你方以书面形式提出的在担保金额内的赔偿要求后，在7天内无条件支付，无须你方出具证明或陈述理由。</w:t>
      </w:r>
    </w:p>
    <w:p w14:paraId="5CF5B5F2">
      <w:pPr>
        <w:spacing w:line="360" w:lineRule="auto"/>
        <w:ind w:left="840" w:firstLine="480"/>
        <w:rPr>
          <w:rFonts w:ascii="宋体" w:hAnsi="宋体"/>
          <w:sz w:val="24"/>
          <w:szCs w:val="24"/>
        </w:rPr>
      </w:pPr>
      <w:r>
        <w:rPr>
          <w:rFonts w:hint="eastAsia" w:ascii="宋体" w:hAnsi="宋体"/>
          <w:sz w:val="24"/>
          <w:szCs w:val="24"/>
        </w:rPr>
        <w:t>4.发包人和承包人按合同条款第15条变更合同时，我方承担本担保规定的义务不变。</w:t>
      </w:r>
    </w:p>
    <w:p w14:paraId="000E4750">
      <w:pPr>
        <w:spacing w:line="360" w:lineRule="auto"/>
        <w:ind w:left="840"/>
        <w:rPr>
          <w:rFonts w:ascii="宋体" w:hAnsi="宋体"/>
          <w:sz w:val="24"/>
          <w:szCs w:val="24"/>
        </w:rPr>
      </w:pPr>
    </w:p>
    <w:p w14:paraId="613E7B8D">
      <w:pPr>
        <w:spacing w:line="360" w:lineRule="auto"/>
        <w:ind w:left="840"/>
        <w:rPr>
          <w:rFonts w:ascii="宋体" w:hAnsi="宋体"/>
          <w:sz w:val="24"/>
          <w:szCs w:val="24"/>
        </w:rPr>
      </w:pPr>
      <w:r>
        <w:rPr>
          <w:rFonts w:hint="eastAsia" w:ascii="宋体" w:hAnsi="宋体"/>
          <w:sz w:val="24"/>
          <w:szCs w:val="24"/>
        </w:rPr>
        <w:t xml:space="preserve">                                 担 保 人：</w:t>
      </w:r>
      <w:r>
        <w:rPr>
          <w:rFonts w:hint="eastAsia" w:ascii="宋体" w:hAnsi="宋体"/>
          <w:sz w:val="24"/>
          <w:szCs w:val="24"/>
          <w:u w:val="single"/>
        </w:rPr>
        <w:t xml:space="preserve">                  </w:t>
      </w:r>
      <w:r>
        <w:rPr>
          <w:rFonts w:hint="eastAsia" w:ascii="宋体" w:hAnsi="宋体"/>
          <w:sz w:val="24"/>
          <w:szCs w:val="24"/>
        </w:rPr>
        <w:t>（盖单位章）</w:t>
      </w:r>
    </w:p>
    <w:p w14:paraId="641470FB">
      <w:pPr>
        <w:spacing w:line="360" w:lineRule="auto"/>
        <w:ind w:left="840"/>
        <w:rPr>
          <w:rFonts w:ascii="宋体" w:hAnsi="宋体"/>
          <w:sz w:val="24"/>
          <w:szCs w:val="24"/>
        </w:rPr>
      </w:pPr>
      <w:r>
        <w:rPr>
          <w:rFonts w:hint="eastAsia" w:ascii="宋体" w:hAnsi="宋体"/>
          <w:sz w:val="24"/>
          <w:szCs w:val="24"/>
        </w:rPr>
        <w:t xml:space="preserve">                                 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153F02A8">
      <w:pPr>
        <w:spacing w:line="360" w:lineRule="auto"/>
        <w:ind w:left="840"/>
        <w:rPr>
          <w:rFonts w:ascii="宋体" w:hAnsi="宋体"/>
          <w:sz w:val="24"/>
          <w:szCs w:val="24"/>
        </w:rPr>
      </w:pPr>
      <w:r>
        <w:rPr>
          <w:rFonts w:hint="eastAsia" w:ascii="宋体" w:hAnsi="宋体"/>
          <w:sz w:val="24"/>
          <w:szCs w:val="24"/>
        </w:rPr>
        <w:t xml:space="preserve">                                 地    址：</w:t>
      </w:r>
      <w:r>
        <w:rPr>
          <w:rFonts w:hint="eastAsia" w:ascii="宋体" w:hAnsi="宋体"/>
          <w:sz w:val="24"/>
          <w:szCs w:val="24"/>
          <w:u w:val="single"/>
        </w:rPr>
        <w:t xml:space="preserve">                              </w:t>
      </w:r>
    </w:p>
    <w:p w14:paraId="37BCF8C2">
      <w:pPr>
        <w:spacing w:line="360" w:lineRule="auto"/>
        <w:ind w:left="840"/>
        <w:rPr>
          <w:rFonts w:ascii="宋体" w:hAnsi="宋体"/>
          <w:sz w:val="24"/>
          <w:szCs w:val="24"/>
        </w:rPr>
      </w:pPr>
      <w:r>
        <w:rPr>
          <w:rFonts w:hint="eastAsia" w:ascii="宋体" w:hAnsi="宋体"/>
          <w:sz w:val="24"/>
          <w:szCs w:val="24"/>
        </w:rPr>
        <w:t xml:space="preserve">                                 邮政编码：</w:t>
      </w:r>
      <w:r>
        <w:rPr>
          <w:rFonts w:hint="eastAsia" w:ascii="宋体" w:hAnsi="宋体"/>
          <w:sz w:val="24"/>
          <w:szCs w:val="24"/>
          <w:u w:val="single"/>
        </w:rPr>
        <w:t xml:space="preserve">                              </w:t>
      </w:r>
    </w:p>
    <w:p w14:paraId="32B98713">
      <w:pPr>
        <w:spacing w:line="360" w:lineRule="auto"/>
        <w:ind w:left="840"/>
        <w:rPr>
          <w:rFonts w:ascii="宋体" w:hAnsi="宋体"/>
          <w:sz w:val="24"/>
          <w:szCs w:val="24"/>
        </w:rPr>
      </w:pPr>
      <w:r>
        <w:rPr>
          <w:rFonts w:hint="eastAsia" w:ascii="宋体" w:hAnsi="宋体"/>
          <w:sz w:val="24"/>
          <w:szCs w:val="24"/>
        </w:rPr>
        <w:t xml:space="preserve">                                 电    话：</w:t>
      </w:r>
      <w:r>
        <w:rPr>
          <w:rFonts w:hint="eastAsia" w:ascii="宋体" w:hAnsi="宋体"/>
          <w:sz w:val="24"/>
          <w:szCs w:val="24"/>
          <w:u w:val="single"/>
        </w:rPr>
        <w:t xml:space="preserve">                              </w:t>
      </w:r>
    </w:p>
    <w:p w14:paraId="3D54C69C">
      <w:pPr>
        <w:spacing w:line="360" w:lineRule="auto"/>
        <w:ind w:left="840"/>
        <w:rPr>
          <w:rFonts w:ascii="宋体" w:hAnsi="宋体"/>
          <w:sz w:val="24"/>
          <w:szCs w:val="24"/>
        </w:rPr>
      </w:pPr>
      <w:r>
        <w:rPr>
          <w:rFonts w:hint="eastAsia" w:ascii="宋体" w:hAnsi="宋体"/>
          <w:sz w:val="24"/>
          <w:szCs w:val="24"/>
        </w:rPr>
        <w:t xml:space="preserve">                                 传    真：</w:t>
      </w:r>
      <w:r>
        <w:rPr>
          <w:rFonts w:hint="eastAsia" w:ascii="宋体" w:hAnsi="宋体"/>
          <w:sz w:val="24"/>
          <w:szCs w:val="24"/>
          <w:u w:val="single"/>
        </w:rPr>
        <w:t xml:space="preserve">                              </w:t>
      </w:r>
    </w:p>
    <w:p w14:paraId="22FE6640">
      <w:pPr>
        <w:spacing w:line="360" w:lineRule="auto"/>
        <w:ind w:left="840"/>
        <w:rPr>
          <w:rFonts w:ascii="宋体" w:hAnsi="宋体"/>
          <w:sz w:val="24"/>
          <w:szCs w:val="24"/>
        </w:rPr>
      </w:pPr>
    </w:p>
    <w:p w14:paraId="697E31E9">
      <w:pPr>
        <w:spacing w:line="360" w:lineRule="auto"/>
        <w:ind w:left="840"/>
        <w:rPr>
          <w:rFonts w:ascii="宋体" w:hAnsi="宋体"/>
          <w:sz w:val="24"/>
          <w:szCs w:val="24"/>
        </w:rPr>
      </w:pPr>
    </w:p>
    <w:p w14:paraId="179492AA">
      <w:pPr>
        <w:spacing w:line="360" w:lineRule="auto"/>
        <w:ind w:left="840"/>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E1A9C34">
      <w:pPr>
        <w:spacing w:line="360" w:lineRule="auto"/>
        <w:ind w:left="840"/>
        <w:rPr>
          <w:rFonts w:ascii="宋体" w:hAnsi="宋体"/>
          <w:sz w:val="24"/>
          <w:szCs w:val="24"/>
        </w:rPr>
      </w:pPr>
    </w:p>
    <w:p w14:paraId="4049A396">
      <w:pPr>
        <w:spacing w:line="360" w:lineRule="auto"/>
        <w:ind w:left="840"/>
        <w:rPr>
          <w:rFonts w:ascii="宋体" w:hAnsi="宋体"/>
          <w:sz w:val="24"/>
          <w:szCs w:val="24"/>
        </w:rPr>
      </w:pPr>
    </w:p>
    <w:p w14:paraId="2FB8FE88">
      <w:pPr>
        <w:spacing w:line="360" w:lineRule="auto"/>
        <w:rPr>
          <w:rFonts w:ascii="宋体" w:hAnsi="宋体"/>
          <w:sz w:val="24"/>
          <w:szCs w:val="24"/>
        </w:rPr>
      </w:pPr>
      <w:bookmarkStart w:id="509" w:name="_Toc234382951"/>
      <w:r>
        <w:rPr>
          <w:rFonts w:hint="eastAsia" w:ascii="宋体" w:hAnsi="宋体"/>
          <w:sz w:val="24"/>
          <w:szCs w:val="24"/>
        </w:rPr>
        <w:t>附件八   预付款担保格式</w:t>
      </w:r>
      <w:bookmarkEnd w:id="509"/>
    </w:p>
    <w:p w14:paraId="54048448">
      <w:pPr>
        <w:spacing w:line="360" w:lineRule="auto"/>
        <w:ind w:left="840"/>
        <w:rPr>
          <w:rFonts w:ascii="宋体" w:hAnsi="宋体"/>
          <w:sz w:val="24"/>
          <w:szCs w:val="24"/>
        </w:rPr>
      </w:pPr>
    </w:p>
    <w:p w14:paraId="5FEC544D">
      <w:pPr>
        <w:spacing w:line="360" w:lineRule="auto"/>
        <w:ind w:left="840"/>
        <w:jc w:val="center"/>
        <w:rPr>
          <w:rFonts w:ascii="宋体" w:hAnsi="宋体"/>
          <w:b/>
          <w:sz w:val="24"/>
          <w:szCs w:val="24"/>
        </w:rPr>
      </w:pPr>
      <w:r>
        <w:rPr>
          <w:rFonts w:hint="eastAsia" w:ascii="宋体" w:hAnsi="宋体"/>
          <w:b/>
          <w:sz w:val="24"/>
          <w:szCs w:val="24"/>
        </w:rPr>
        <w:t>预 付 款 担 保</w:t>
      </w:r>
    </w:p>
    <w:p w14:paraId="1CBC8CEE">
      <w:pPr>
        <w:spacing w:line="360" w:lineRule="auto"/>
        <w:ind w:left="840"/>
        <w:rPr>
          <w:rFonts w:ascii="宋体" w:hAnsi="宋体"/>
          <w:sz w:val="24"/>
          <w:szCs w:val="24"/>
        </w:rPr>
      </w:pPr>
    </w:p>
    <w:p w14:paraId="627B3B13">
      <w:pPr>
        <w:spacing w:line="360" w:lineRule="auto"/>
        <w:ind w:left="84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（发包人名称）：</w:t>
      </w:r>
    </w:p>
    <w:p w14:paraId="746C545C">
      <w:pPr>
        <w:spacing w:line="360" w:lineRule="auto"/>
        <w:ind w:left="840"/>
        <w:rPr>
          <w:rFonts w:ascii="宋体" w:hAnsi="宋体"/>
          <w:sz w:val="24"/>
          <w:szCs w:val="24"/>
        </w:rPr>
      </w:pPr>
    </w:p>
    <w:p w14:paraId="2CD8DA7E">
      <w:pPr>
        <w:spacing w:line="360" w:lineRule="auto"/>
        <w:ind w:left="840" w:firstLine="480"/>
        <w:rPr>
          <w:rFonts w:ascii="宋体" w:hAnsi="宋体"/>
          <w:sz w:val="24"/>
          <w:szCs w:val="24"/>
        </w:rPr>
      </w:pPr>
      <w:r>
        <w:rPr>
          <w:rFonts w:hint="eastAsia" w:ascii="宋体" w:hAnsi="宋体"/>
          <w:sz w:val="24"/>
          <w:szCs w:val="24"/>
        </w:rPr>
        <w:t>根据</w:t>
      </w:r>
      <w:r>
        <w:rPr>
          <w:rFonts w:hint="eastAsia" w:ascii="宋体" w:hAnsi="宋体"/>
          <w:sz w:val="24"/>
          <w:szCs w:val="24"/>
          <w:u w:val="single"/>
        </w:rPr>
        <w:t xml:space="preserve">        </w:t>
      </w:r>
      <w:r>
        <w:rPr>
          <w:rFonts w:hint="eastAsia" w:ascii="宋体" w:hAnsi="宋体"/>
          <w:sz w:val="24"/>
          <w:szCs w:val="24"/>
        </w:rPr>
        <w:t>（承包人名称）（以下称“承包人”）与</w:t>
      </w:r>
      <w:r>
        <w:rPr>
          <w:rFonts w:hint="eastAsia" w:ascii="宋体" w:hAnsi="宋体"/>
          <w:sz w:val="24"/>
          <w:szCs w:val="24"/>
          <w:u w:val="single"/>
        </w:rPr>
        <w:t xml:space="preserve">      </w:t>
      </w:r>
      <w:r>
        <w:rPr>
          <w:rFonts w:hint="eastAsia" w:ascii="宋体" w:hAnsi="宋体"/>
          <w:sz w:val="24"/>
          <w:szCs w:val="24"/>
        </w:rPr>
        <w:t>（发包人名称）（以下简称“发包人”）于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日签订的</w:t>
      </w:r>
      <w:r>
        <w:rPr>
          <w:rFonts w:hint="eastAsia" w:ascii="宋体" w:hAnsi="宋体"/>
          <w:sz w:val="24"/>
          <w:szCs w:val="24"/>
          <w:u w:val="single"/>
        </w:rPr>
        <w:t xml:space="preserve">        </w:t>
      </w:r>
      <w:r>
        <w:rPr>
          <w:rFonts w:hint="eastAsia" w:ascii="宋体" w:hAnsi="宋体"/>
          <w:sz w:val="24"/>
          <w:szCs w:val="24"/>
        </w:rPr>
        <w:t>（项目名称）</w:t>
      </w:r>
      <w:r>
        <w:rPr>
          <w:rFonts w:hint="eastAsia" w:ascii="宋体" w:hAnsi="宋体"/>
          <w:sz w:val="24"/>
          <w:szCs w:val="24"/>
          <w:u w:val="single"/>
        </w:rPr>
        <w:t xml:space="preserve">    </w:t>
      </w:r>
      <w:r>
        <w:rPr>
          <w:rFonts w:hint="eastAsia" w:ascii="宋体" w:hAnsi="宋体"/>
          <w:sz w:val="24"/>
          <w:szCs w:val="24"/>
        </w:rPr>
        <w:t>施工承包合同，承包人按约定的金额向发包人提交一份预付款担保，即有权得到发包人支付相等金额的预付款。我方愿意就你方提供给承包人的预付款提供担保。</w:t>
      </w:r>
    </w:p>
    <w:p w14:paraId="4FD2AA26">
      <w:pPr>
        <w:spacing w:line="360" w:lineRule="auto"/>
        <w:ind w:left="840" w:firstLine="480"/>
        <w:rPr>
          <w:rFonts w:ascii="宋体" w:hAnsi="宋体"/>
          <w:sz w:val="24"/>
          <w:szCs w:val="24"/>
        </w:rPr>
      </w:pPr>
      <w:r>
        <w:rPr>
          <w:rFonts w:hint="eastAsia" w:ascii="宋体" w:hAnsi="宋体"/>
          <w:sz w:val="24"/>
          <w:szCs w:val="24"/>
        </w:rPr>
        <w:t>1.担保金额人民币（大写）</w:t>
      </w:r>
      <w:r>
        <w:rPr>
          <w:rFonts w:hint="eastAsia" w:ascii="宋体" w:hAnsi="宋体"/>
          <w:sz w:val="24"/>
          <w:szCs w:val="24"/>
          <w:u w:val="single"/>
        </w:rPr>
        <w:t xml:space="preserve">      </w:t>
      </w:r>
      <w:r>
        <w:rPr>
          <w:rFonts w:hint="eastAsia" w:ascii="宋体" w:hAnsi="宋体"/>
          <w:sz w:val="24"/>
          <w:szCs w:val="24"/>
        </w:rPr>
        <w:t>元（¥</w:t>
      </w:r>
      <w:r>
        <w:rPr>
          <w:rFonts w:hint="eastAsia" w:ascii="宋体" w:hAnsi="宋体"/>
          <w:sz w:val="24"/>
          <w:szCs w:val="24"/>
          <w:u w:val="single"/>
        </w:rPr>
        <w:t xml:space="preserve">      </w:t>
      </w:r>
      <w:r>
        <w:rPr>
          <w:rFonts w:hint="eastAsia" w:ascii="宋体" w:hAnsi="宋体"/>
          <w:sz w:val="24"/>
          <w:szCs w:val="24"/>
        </w:rPr>
        <w:t>）。</w:t>
      </w:r>
    </w:p>
    <w:p w14:paraId="3F9E47D3">
      <w:pPr>
        <w:spacing w:line="360" w:lineRule="auto"/>
        <w:ind w:left="840" w:firstLine="480"/>
        <w:rPr>
          <w:rFonts w:ascii="宋体" w:hAnsi="宋体"/>
          <w:sz w:val="24"/>
          <w:szCs w:val="24"/>
        </w:rPr>
      </w:pPr>
      <w:r>
        <w:rPr>
          <w:rFonts w:hint="eastAsia" w:ascii="宋体" w:hAnsi="宋体"/>
          <w:sz w:val="24"/>
          <w:szCs w:val="24"/>
        </w:rPr>
        <w:t>2.担保有效期自预付款支付给承包人起生效，至发包人签发的进度付款证书说明已完全扣清止。</w:t>
      </w:r>
    </w:p>
    <w:p w14:paraId="3D33B133">
      <w:pPr>
        <w:spacing w:line="360" w:lineRule="auto"/>
        <w:ind w:left="840" w:firstLine="480"/>
        <w:rPr>
          <w:rFonts w:ascii="宋体" w:hAnsi="宋体"/>
          <w:sz w:val="24"/>
          <w:szCs w:val="24"/>
        </w:rPr>
      </w:pPr>
      <w:r>
        <w:rPr>
          <w:rFonts w:hint="eastAsia" w:ascii="宋体" w:hAnsi="宋体"/>
          <w:sz w:val="24"/>
          <w:szCs w:val="24"/>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551E064">
      <w:pPr>
        <w:spacing w:line="360" w:lineRule="auto"/>
        <w:ind w:left="840" w:firstLine="480"/>
        <w:rPr>
          <w:rFonts w:ascii="宋体" w:hAnsi="宋体"/>
          <w:sz w:val="24"/>
          <w:szCs w:val="24"/>
        </w:rPr>
      </w:pPr>
      <w:r>
        <w:rPr>
          <w:rFonts w:hint="eastAsia" w:ascii="宋体" w:hAnsi="宋体"/>
          <w:sz w:val="24"/>
          <w:szCs w:val="24"/>
        </w:rPr>
        <w:t>4.发包人和承包人按合同条款第 15 条变更合同时，我方承担本保函规定的义务不变。</w:t>
      </w:r>
    </w:p>
    <w:p w14:paraId="61EE4668">
      <w:pPr>
        <w:spacing w:line="360" w:lineRule="auto"/>
        <w:ind w:left="840"/>
        <w:rPr>
          <w:rFonts w:ascii="宋体" w:hAnsi="宋体"/>
          <w:sz w:val="24"/>
          <w:szCs w:val="24"/>
        </w:rPr>
      </w:pPr>
    </w:p>
    <w:p w14:paraId="7F02A552">
      <w:pPr>
        <w:spacing w:line="360" w:lineRule="auto"/>
        <w:ind w:left="840"/>
        <w:rPr>
          <w:rFonts w:ascii="宋体" w:hAnsi="宋体"/>
          <w:sz w:val="24"/>
          <w:szCs w:val="24"/>
        </w:rPr>
      </w:pPr>
      <w:r>
        <w:rPr>
          <w:rFonts w:hint="eastAsia" w:ascii="宋体" w:hAnsi="宋体"/>
          <w:sz w:val="24"/>
          <w:szCs w:val="24"/>
        </w:rPr>
        <w:t xml:space="preserve">                               担 保 人：</w:t>
      </w:r>
      <w:r>
        <w:rPr>
          <w:rFonts w:hint="eastAsia" w:ascii="宋体" w:hAnsi="宋体"/>
          <w:sz w:val="24"/>
          <w:szCs w:val="24"/>
          <w:u w:val="single"/>
        </w:rPr>
        <w:t xml:space="preserve">                  </w:t>
      </w:r>
      <w:r>
        <w:rPr>
          <w:rFonts w:hint="eastAsia" w:ascii="宋体" w:hAnsi="宋体"/>
          <w:sz w:val="24"/>
          <w:szCs w:val="24"/>
        </w:rPr>
        <w:t>（盖单位章）</w:t>
      </w:r>
    </w:p>
    <w:p w14:paraId="71B13DC0">
      <w:pPr>
        <w:spacing w:line="360" w:lineRule="auto"/>
        <w:ind w:left="840"/>
        <w:rPr>
          <w:rFonts w:ascii="宋体" w:hAnsi="宋体"/>
          <w:sz w:val="24"/>
          <w:szCs w:val="24"/>
        </w:rPr>
      </w:pPr>
      <w:r>
        <w:rPr>
          <w:rFonts w:hint="eastAsia" w:ascii="宋体" w:hAnsi="宋体"/>
          <w:sz w:val="24"/>
          <w:szCs w:val="24"/>
        </w:rPr>
        <w:t xml:space="preserve">                               法定代表人或其委托代理人：</w:t>
      </w:r>
      <w:r>
        <w:rPr>
          <w:rFonts w:hint="eastAsia" w:ascii="宋体" w:hAnsi="宋体"/>
          <w:sz w:val="24"/>
          <w:szCs w:val="24"/>
          <w:u w:val="single"/>
        </w:rPr>
        <w:t xml:space="preserve">      </w:t>
      </w:r>
      <w:r>
        <w:rPr>
          <w:rFonts w:hint="eastAsia" w:ascii="宋体" w:hAnsi="宋体"/>
          <w:sz w:val="24"/>
          <w:szCs w:val="24"/>
        </w:rPr>
        <w:t>（签字）</w:t>
      </w:r>
    </w:p>
    <w:p w14:paraId="2886BAD4">
      <w:pPr>
        <w:spacing w:line="360" w:lineRule="auto"/>
        <w:ind w:left="840"/>
        <w:rPr>
          <w:rFonts w:ascii="宋体" w:hAnsi="宋体"/>
          <w:sz w:val="24"/>
          <w:szCs w:val="24"/>
        </w:rPr>
      </w:pPr>
      <w:r>
        <w:rPr>
          <w:rFonts w:hint="eastAsia" w:ascii="宋体" w:hAnsi="宋体"/>
          <w:sz w:val="24"/>
          <w:szCs w:val="24"/>
        </w:rPr>
        <w:t xml:space="preserve">                               地    址：</w:t>
      </w:r>
      <w:r>
        <w:rPr>
          <w:rFonts w:hint="eastAsia" w:ascii="宋体" w:hAnsi="宋体"/>
          <w:sz w:val="24"/>
          <w:szCs w:val="24"/>
          <w:u w:val="single"/>
        </w:rPr>
        <w:t xml:space="preserve">                              </w:t>
      </w:r>
    </w:p>
    <w:p w14:paraId="0FF034D1">
      <w:pPr>
        <w:spacing w:line="360" w:lineRule="auto"/>
        <w:ind w:left="840"/>
        <w:rPr>
          <w:rFonts w:ascii="宋体" w:hAnsi="宋体"/>
          <w:sz w:val="24"/>
          <w:szCs w:val="24"/>
        </w:rPr>
      </w:pPr>
      <w:r>
        <w:rPr>
          <w:rFonts w:hint="eastAsia" w:ascii="宋体" w:hAnsi="宋体"/>
          <w:sz w:val="24"/>
          <w:szCs w:val="24"/>
        </w:rPr>
        <w:t xml:space="preserve">                               邮政编码：</w:t>
      </w:r>
      <w:r>
        <w:rPr>
          <w:rFonts w:hint="eastAsia" w:ascii="宋体" w:hAnsi="宋体"/>
          <w:sz w:val="24"/>
          <w:szCs w:val="24"/>
          <w:u w:val="single"/>
        </w:rPr>
        <w:t xml:space="preserve">                              </w:t>
      </w:r>
    </w:p>
    <w:p w14:paraId="1A2D5122">
      <w:pPr>
        <w:spacing w:line="360" w:lineRule="auto"/>
        <w:ind w:left="840"/>
        <w:rPr>
          <w:rFonts w:ascii="宋体" w:hAnsi="宋体"/>
          <w:sz w:val="24"/>
          <w:szCs w:val="24"/>
        </w:rPr>
      </w:pPr>
      <w:r>
        <w:rPr>
          <w:rFonts w:hint="eastAsia" w:ascii="宋体" w:hAnsi="宋体"/>
          <w:sz w:val="24"/>
          <w:szCs w:val="24"/>
        </w:rPr>
        <w:t xml:space="preserve">                               电    话：</w:t>
      </w:r>
      <w:r>
        <w:rPr>
          <w:rFonts w:hint="eastAsia" w:ascii="宋体" w:hAnsi="宋体"/>
          <w:sz w:val="24"/>
          <w:szCs w:val="24"/>
          <w:u w:val="single"/>
        </w:rPr>
        <w:t xml:space="preserve">                              </w:t>
      </w:r>
    </w:p>
    <w:p w14:paraId="653E42FE">
      <w:pPr>
        <w:spacing w:line="360" w:lineRule="auto"/>
        <w:ind w:left="840"/>
        <w:rPr>
          <w:rFonts w:ascii="宋体" w:hAnsi="宋体"/>
          <w:sz w:val="24"/>
          <w:szCs w:val="24"/>
        </w:rPr>
      </w:pPr>
      <w:r>
        <w:rPr>
          <w:rFonts w:hint="eastAsia" w:ascii="宋体" w:hAnsi="宋体"/>
          <w:sz w:val="24"/>
          <w:szCs w:val="24"/>
        </w:rPr>
        <w:t xml:space="preserve">                               传    真：</w:t>
      </w:r>
      <w:r>
        <w:rPr>
          <w:rFonts w:hint="eastAsia" w:ascii="宋体" w:hAnsi="宋体"/>
          <w:sz w:val="24"/>
          <w:szCs w:val="24"/>
          <w:u w:val="single"/>
        </w:rPr>
        <w:t xml:space="preserve">                              </w:t>
      </w:r>
    </w:p>
    <w:p w14:paraId="4D6D9D7A">
      <w:pPr>
        <w:spacing w:line="360" w:lineRule="auto"/>
        <w:ind w:left="840"/>
        <w:rPr>
          <w:rFonts w:ascii="宋体" w:hAnsi="宋体"/>
          <w:sz w:val="24"/>
          <w:szCs w:val="24"/>
        </w:rPr>
      </w:pPr>
    </w:p>
    <w:p w14:paraId="5853C139">
      <w:pPr>
        <w:spacing w:line="360" w:lineRule="auto"/>
        <w:ind w:left="840"/>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E0C7491">
      <w:pPr>
        <w:spacing w:line="360" w:lineRule="auto"/>
        <w:ind w:left="840"/>
        <w:rPr>
          <w:rFonts w:ascii="宋体" w:hAnsi="宋体"/>
          <w:sz w:val="24"/>
          <w:szCs w:val="24"/>
        </w:rPr>
      </w:pPr>
    </w:p>
    <w:p w14:paraId="262EB5A7">
      <w:pPr>
        <w:spacing w:line="360" w:lineRule="auto"/>
        <w:rPr>
          <w:rFonts w:ascii="宋体" w:hAnsi="宋体"/>
          <w:sz w:val="24"/>
          <w:szCs w:val="24"/>
        </w:rPr>
      </w:pPr>
      <w:bookmarkStart w:id="510" w:name="_Toc234382952"/>
      <w:r>
        <w:rPr>
          <w:rFonts w:hint="eastAsia" w:ascii="宋体" w:hAnsi="宋体"/>
          <w:sz w:val="24"/>
          <w:szCs w:val="24"/>
        </w:rPr>
        <w:br w:type="page"/>
      </w:r>
      <w:r>
        <w:rPr>
          <w:rFonts w:hint="eastAsia" w:ascii="宋体" w:hAnsi="宋体"/>
          <w:sz w:val="24"/>
          <w:szCs w:val="24"/>
        </w:rPr>
        <w:t>附件九   工程资金监管协议格式</w:t>
      </w:r>
      <w:bookmarkEnd w:id="510"/>
    </w:p>
    <w:p w14:paraId="56654DA7">
      <w:pPr>
        <w:spacing w:line="360" w:lineRule="auto"/>
        <w:ind w:left="840" w:firstLine="480"/>
        <w:rPr>
          <w:rFonts w:ascii="宋体" w:hAnsi="宋体"/>
          <w:sz w:val="24"/>
          <w:szCs w:val="24"/>
        </w:rPr>
      </w:pPr>
      <w:r>
        <w:rPr>
          <w:rFonts w:hint="eastAsia" w:ascii="宋体" w:hAnsi="宋体"/>
          <w:sz w:val="24"/>
          <w:szCs w:val="24"/>
        </w:rPr>
        <w:t>（发包人与承包人签订合同协议书时应与发包人制订的银行签署工程资金监管协议，工程资金监管协议内容在保证本项目资金有效监管的前提下由三方共同商定）</w:t>
      </w:r>
    </w:p>
    <w:p w14:paraId="24F51160">
      <w:pPr>
        <w:spacing w:before="240" w:after="240" w:line="360" w:lineRule="auto"/>
        <w:ind w:left="840"/>
        <w:jc w:val="center"/>
        <w:rPr>
          <w:rFonts w:ascii="宋体" w:hAnsi="宋体"/>
          <w:b/>
          <w:sz w:val="24"/>
          <w:szCs w:val="24"/>
        </w:rPr>
      </w:pPr>
      <w:r>
        <w:rPr>
          <w:rFonts w:hint="eastAsia" w:ascii="宋体" w:hAnsi="宋体"/>
          <w:b/>
          <w:sz w:val="24"/>
          <w:szCs w:val="24"/>
        </w:rPr>
        <w:t>工程资金监管协议</w:t>
      </w:r>
    </w:p>
    <w:p w14:paraId="02304064">
      <w:pPr>
        <w:spacing w:line="360" w:lineRule="auto"/>
        <w:ind w:left="840"/>
        <w:rPr>
          <w:rFonts w:ascii="宋体" w:hAnsi="宋体"/>
          <w:sz w:val="24"/>
          <w:szCs w:val="24"/>
        </w:rPr>
      </w:pPr>
      <w:r>
        <w:rPr>
          <w:rFonts w:hint="eastAsia" w:ascii="宋体" w:hAnsi="宋体"/>
          <w:sz w:val="24"/>
          <w:szCs w:val="24"/>
        </w:rPr>
        <w:t>发 包 人：</w:t>
      </w:r>
      <w:r>
        <w:rPr>
          <w:rFonts w:hint="eastAsia" w:ascii="宋体" w:hAnsi="宋体"/>
          <w:sz w:val="24"/>
          <w:szCs w:val="24"/>
          <w:u w:val="single"/>
        </w:rPr>
        <w:t xml:space="preserve">              </w:t>
      </w:r>
      <w:r>
        <w:rPr>
          <w:rFonts w:hint="eastAsia" w:ascii="宋体" w:hAnsi="宋体"/>
          <w:sz w:val="24"/>
          <w:szCs w:val="24"/>
        </w:rPr>
        <w:t>（以下简称“甲方”）</w:t>
      </w:r>
    </w:p>
    <w:p w14:paraId="66271EE1">
      <w:pPr>
        <w:spacing w:line="360" w:lineRule="auto"/>
        <w:ind w:left="840"/>
        <w:rPr>
          <w:rFonts w:ascii="宋体" w:hAnsi="宋体"/>
          <w:sz w:val="24"/>
          <w:szCs w:val="24"/>
        </w:rPr>
      </w:pPr>
      <w:r>
        <w:rPr>
          <w:rFonts w:hint="eastAsia" w:ascii="宋体" w:hAnsi="宋体"/>
          <w:sz w:val="24"/>
          <w:szCs w:val="24"/>
        </w:rPr>
        <w:t>承 包 人：</w:t>
      </w:r>
      <w:r>
        <w:rPr>
          <w:rFonts w:hint="eastAsia" w:ascii="宋体" w:hAnsi="宋体"/>
          <w:sz w:val="24"/>
          <w:szCs w:val="24"/>
          <w:u w:val="single"/>
        </w:rPr>
        <w:t xml:space="preserve">              </w:t>
      </w:r>
      <w:r>
        <w:rPr>
          <w:rFonts w:hint="eastAsia" w:ascii="宋体" w:hAnsi="宋体"/>
          <w:sz w:val="24"/>
          <w:szCs w:val="24"/>
        </w:rPr>
        <w:t>（以下简称“乙方”）</w:t>
      </w:r>
    </w:p>
    <w:p w14:paraId="6B35599C">
      <w:pPr>
        <w:spacing w:line="360" w:lineRule="auto"/>
        <w:ind w:left="840"/>
        <w:rPr>
          <w:rFonts w:ascii="宋体" w:hAnsi="宋体"/>
          <w:sz w:val="24"/>
          <w:szCs w:val="24"/>
        </w:rPr>
      </w:pPr>
      <w:r>
        <w:rPr>
          <w:rFonts w:hint="eastAsia" w:ascii="宋体" w:hAnsi="宋体"/>
          <w:sz w:val="24"/>
          <w:szCs w:val="24"/>
        </w:rPr>
        <w:t>经办银行：</w:t>
      </w:r>
      <w:r>
        <w:rPr>
          <w:rFonts w:hint="eastAsia" w:ascii="宋体" w:hAnsi="宋体"/>
          <w:sz w:val="24"/>
          <w:szCs w:val="24"/>
          <w:u w:val="single"/>
        </w:rPr>
        <w:t xml:space="preserve">              </w:t>
      </w:r>
      <w:r>
        <w:rPr>
          <w:rFonts w:hint="eastAsia" w:ascii="宋体" w:hAnsi="宋体"/>
          <w:sz w:val="24"/>
          <w:szCs w:val="24"/>
        </w:rPr>
        <w:t>（以下简称“丙方”）</w:t>
      </w:r>
    </w:p>
    <w:p w14:paraId="7BAAF979">
      <w:pPr>
        <w:spacing w:line="360" w:lineRule="auto"/>
        <w:ind w:left="840" w:firstLine="480"/>
        <w:rPr>
          <w:rFonts w:ascii="宋体" w:hAnsi="宋体"/>
          <w:sz w:val="24"/>
          <w:szCs w:val="24"/>
        </w:rPr>
      </w:pPr>
      <w:r>
        <w:rPr>
          <w:rFonts w:hint="eastAsia" w:ascii="宋体" w:hAnsi="宋体"/>
          <w:sz w:val="24"/>
          <w:szCs w:val="24"/>
        </w:rPr>
        <w:t>为了促进</w:t>
      </w:r>
      <w:r>
        <w:rPr>
          <w:rFonts w:hint="eastAsia" w:ascii="宋体" w:hAnsi="宋体"/>
          <w:sz w:val="24"/>
          <w:szCs w:val="24"/>
          <w:u w:val="single"/>
        </w:rPr>
        <w:t xml:space="preserve">        </w:t>
      </w:r>
      <w:r>
        <w:rPr>
          <w:rFonts w:hint="eastAsia" w:ascii="宋体" w:hAnsi="宋体"/>
          <w:sz w:val="24"/>
          <w:szCs w:val="24"/>
        </w:rPr>
        <w:t>（项目名称）的顺利实施，管好用好建设资金，确保工程资金专款专用，同时为承包人提供便捷有效的银行业务服务，根据</w:t>
      </w:r>
      <w:r>
        <w:rPr>
          <w:rFonts w:hint="eastAsia" w:ascii="宋体" w:hAnsi="宋体"/>
          <w:sz w:val="24"/>
          <w:szCs w:val="24"/>
          <w:u w:val="single"/>
        </w:rPr>
        <w:t xml:space="preserve">     </w:t>
      </w:r>
      <w:r>
        <w:rPr>
          <w:rFonts w:hint="eastAsia" w:ascii="宋体" w:hAnsi="宋体"/>
          <w:sz w:val="24"/>
          <w:szCs w:val="24"/>
        </w:rPr>
        <w:t>（项目名称）合同条款有关规定，经甲、乙、丙三方协商，达成协议如下：</w:t>
      </w:r>
    </w:p>
    <w:p w14:paraId="38C45D11">
      <w:pPr>
        <w:spacing w:line="360" w:lineRule="auto"/>
        <w:ind w:left="840" w:firstLine="480"/>
        <w:rPr>
          <w:rFonts w:ascii="宋体" w:hAnsi="宋体"/>
          <w:sz w:val="24"/>
          <w:szCs w:val="24"/>
        </w:rPr>
      </w:pPr>
      <w:r>
        <w:rPr>
          <w:rFonts w:hint="eastAsia" w:ascii="宋体" w:hAnsi="宋体"/>
          <w:sz w:val="24"/>
          <w:szCs w:val="24"/>
        </w:rPr>
        <w:t>1.资金管理的内容</w:t>
      </w:r>
    </w:p>
    <w:p w14:paraId="21859D3F">
      <w:pPr>
        <w:spacing w:line="360" w:lineRule="auto"/>
        <w:ind w:left="840" w:firstLine="480"/>
        <w:rPr>
          <w:rFonts w:ascii="宋体" w:hAnsi="宋体"/>
          <w:sz w:val="24"/>
          <w:szCs w:val="24"/>
        </w:rPr>
      </w:pPr>
      <w:r>
        <w:rPr>
          <w:rFonts w:hint="eastAsia" w:ascii="宋体" w:hAnsi="宋体"/>
          <w:sz w:val="24"/>
          <w:szCs w:val="24"/>
        </w:rPr>
        <w:t>（1）乙方为完成</w:t>
      </w:r>
      <w:r>
        <w:rPr>
          <w:rFonts w:hint="eastAsia" w:ascii="宋体" w:hAnsi="宋体"/>
          <w:sz w:val="24"/>
          <w:szCs w:val="24"/>
          <w:u w:val="single"/>
        </w:rPr>
        <w:t xml:space="preserve">       </w:t>
      </w:r>
      <w:r>
        <w:rPr>
          <w:rFonts w:hint="eastAsia" w:ascii="宋体" w:hAnsi="宋体"/>
          <w:sz w:val="24"/>
          <w:szCs w:val="24"/>
        </w:rPr>
        <w:t>（项目名称）工程成立的项目经理部在丙方开设基本结算户；</w:t>
      </w:r>
    </w:p>
    <w:p w14:paraId="6203202B">
      <w:pPr>
        <w:spacing w:line="360" w:lineRule="auto"/>
        <w:ind w:left="840" w:firstLine="480"/>
        <w:rPr>
          <w:rFonts w:ascii="宋体" w:hAnsi="宋体"/>
          <w:sz w:val="24"/>
          <w:szCs w:val="24"/>
        </w:rPr>
      </w:pPr>
      <w:r>
        <w:rPr>
          <w:rFonts w:hint="eastAsia" w:ascii="宋体" w:hAnsi="宋体"/>
          <w:sz w:val="24"/>
          <w:szCs w:val="24"/>
        </w:rPr>
        <w:t>（2）甲方应将按合同规定将工程款（质量保证金除外）汇入乙方在丙方开设的账户；</w:t>
      </w:r>
    </w:p>
    <w:p w14:paraId="6A43A6D9">
      <w:pPr>
        <w:spacing w:line="360" w:lineRule="auto"/>
        <w:ind w:left="840" w:firstLine="480"/>
        <w:rPr>
          <w:rFonts w:ascii="宋体" w:hAnsi="宋体"/>
          <w:sz w:val="24"/>
          <w:szCs w:val="24"/>
        </w:rPr>
      </w:pPr>
      <w:r>
        <w:rPr>
          <w:rFonts w:hint="eastAsia" w:ascii="宋体" w:hAnsi="宋体"/>
          <w:sz w:val="24"/>
          <w:szCs w:val="24"/>
        </w:rPr>
        <w:t>（3）乙方应将流动资金及甲方所拨付资金专项用于</w:t>
      </w:r>
      <w:r>
        <w:rPr>
          <w:rFonts w:hint="eastAsia" w:ascii="宋体" w:hAnsi="宋体"/>
          <w:sz w:val="24"/>
          <w:szCs w:val="24"/>
          <w:u w:val="single"/>
        </w:rPr>
        <w:t xml:space="preserve">       </w:t>
      </w:r>
      <w:r>
        <w:rPr>
          <w:rFonts w:hint="eastAsia" w:ascii="宋体" w:hAnsi="宋体"/>
          <w:sz w:val="24"/>
          <w:szCs w:val="24"/>
        </w:rPr>
        <w:t>（项目名称）；</w:t>
      </w:r>
    </w:p>
    <w:p w14:paraId="13E86424">
      <w:pPr>
        <w:spacing w:line="360" w:lineRule="auto"/>
        <w:ind w:left="840" w:firstLine="480"/>
        <w:rPr>
          <w:rFonts w:ascii="宋体" w:hAnsi="宋体"/>
          <w:sz w:val="24"/>
          <w:szCs w:val="24"/>
        </w:rPr>
      </w:pPr>
      <w:r>
        <w:rPr>
          <w:rFonts w:hint="eastAsia" w:ascii="宋体" w:hAnsi="宋体"/>
          <w:sz w:val="24"/>
          <w:szCs w:val="24"/>
        </w:rPr>
        <w:t>（4）丙方应为乙方提供便捷有效的银行业务服务，并接受甲方委托对乙方在丙方开设的基本结算户资金使用情况进行监督。</w:t>
      </w:r>
    </w:p>
    <w:p w14:paraId="13C3BFD2">
      <w:pPr>
        <w:spacing w:line="360" w:lineRule="auto"/>
        <w:ind w:left="840" w:firstLine="480"/>
        <w:rPr>
          <w:rFonts w:ascii="宋体" w:hAnsi="宋体"/>
          <w:sz w:val="24"/>
          <w:szCs w:val="24"/>
        </w:rPr>
      </w:pPr>
      <w:r>
        <w:rPr>
          <w:rFonts w:hint="eastAsia" w:ascii="宋体" w:hAnsi="宋体"/>
          <w:sz w:val="24"/>
          <w:szCs w:val="24"/>
        </w:rPr>
        <w:t>2.甲方的权责</w:t>
      </w:r>
    </w:p>
    <w:p w14:paraId="6E5E5414">
      <w:pPr>
        <w:spacing w:line="360" w:lineRule="auto"/>
        <w:ind w:left="840" w:firstLine="480"/>
        <w:rPr>
          <w:rFonts w:ascii="宋体" w:hAnsi="宋体"/>
          <w:sz w:val="24"/>
          <w:szCs w:val="24"/>
        </w:rPr>
      </w:pPr>
      <w:r>
        <w:rPr>
          <w:rFonts w:hint="eastAsia" w:ascii="宋体" w:hAnsi="宋体"/>
          <w:sz w:val="24"/>
          <w:szCs w:val="24"/>
        </w:rPr>
        <w:t>（1）按照</w:t>
      </w:r>
      <w:r>
        <w:rPr>
          <w:rFonts w:hint="eastAsia" w:ascii="宋体" w:hAnsi="宋体"/>
          <w:sz w:val="24"/>
          <w:szCs w:val="24"/>
          <w:u w:val="single"/>
        </w:rPr>
        <w:t xml:space="preserve">       </w:t>
      </w:r>
      <w:r>
        <w:rPr>
          <w:rFonts w:hint="eastAsia" w:ascii="宋体" w:hAnsi="宋体"/>
          <w:sz w:val="24"/>
          <w:szCs w:val="24"/>
        </w:rPr>
        <w:t>（项目名称）合同有关条款规定的时间和方式，向乙方支付工程款；</w:t>
      </w:r>
    </w:p>
    <w:p w14:paraId="47067A91">
      <w:pPr>
        <w:spacing w:line="360" w:lineRule="auto"/>
        <w:ind w:left="840" w:firstLine="480"/>
        <w:rPr>
          <w:rFonts w:ascii="宋体" w:hAnsi="宋体"/>
          <w:sz w:val="24"/>
          <w:szCs w:val="24"/>
        </w:rPr>
      </w:pPr>
      <w:r>
        <w:rPr>
          <w:rFonts w:hint="eastAsia" w:ascii="宋体" w:hAnsi="宋体"/>
          <w:sz w:val="24"/>
          <w:szCs w:val="24"/>
        </w:rPr>
        <w:t>（2）在发现乙方将本项目资金挪用、转移时，甲方有权中止工程支付，直至乙方改正为止；</w:t>
      </w:r>
    </w:p>
    <w:p w14:paraId="3D71BA98">
      <w:pPr>
        <w:spacing w:line="360" w:lineRule="auto"/>
        <w:ind w:left="840" w:firstLine="480"/>
        <w:rPr>
          <w:rFonts w:ascii="宋体" w:hAnsi="宋体"/>
          <w:sz w:val="24"/>
          <w:szCs w:val="24"/>
        </w:rPr>
      </w:pPr>
      <w:r>
        <w:rPr>
          <w:rFonts w:hint="eastAsia" w:ascii="宋体" w:hAnsi="宋体"/>
          <w:sz w:val="24"/>
          <w:szCs w:val="24"/>
        </w:rPr>
        <w:t>（3）不定期审查丙方对乙方的资金使用监督情况，如丙方不能履行其责任，甲方有权随时终止本协议；</w:t>
      </w:r>
    </w:p>
    <w:p w14:paraId="57C11E6E">
      <w:pPr>
        <w:spacing w:line="360" w:lineRule="auto"/>
        <w:ind w:left="840" w:firstLine="480"/>
        <w:rPr>
          <w:rFonts w:ascii="宋体" w:hAnsi="宋体"/>
          <w:sz w:val="24"/>
          <w:szCs w:val="24"/>
        </w:rPr>
      </w:pPr>
      <w:r>
        <w:rPr>
          <w:rFonts w:hint="eastAsia" w:ascii="宋体" w:hAnsi="宋体"/>
          <w:sz w:val="24"/>
          <w:szCs w:val="24"/>
        </w:rPr>
        <w:t>（4）在乙、丙双方发生争议时，甲方应负责协调、解决。</w:t>
      </w:r>
    </w:p>
    <w:p w14:paraId="1FC67D8D">
      <w:pPr>
        <w:spacing w:line="360" w:lineRule="auto"/>
        <w:ind w:left="840" w:firstLine="480"/>
        <w:rPr>
          <w:rFonts w:ascii="宋体" w:hAnsi="宋体"/>
          <w:sz w:val="24"/>
          <w:szCs w:val="24"/>
        </w:rPr>
      </w:pPr>
      <w:r>
        <w:rPr>
          <w:rFonts w:hint="eastAsia" w:ascii="宋体" w:hAnsi="宋体"/>
          <w:sz w:val="24"/>
          <w:szCs w:val="24"/>
        </w:rPr>
        <w:t>3.乙方的权责</w:t>
      </w:r>
    </w:p>
    <w:p w14:paraId="44AA8182">
      <w:pPr>
        <w:spacing w:line="360" w:lineRule="auto"/>
        <w:ind w:left="840" w:firstLine="480"/>
        <w:rPr>
          <w:rFonts w:ascii="宋体" w:hAnsi="宋体"/>
          <w:sz w:val="24"/>
          <w:szCs w:val="24"/>
        </w:rPr>
      </w:pPr>
      <w:r>
        <w:rPr>
          <w:rFonts w:hint="eastAsia" w:ascii="宋体" w:hAnsi="宋体"/>
          <w:sz w:val="24"/>
          <w:szCs w:val="24"/>
        </w:rPr>
        <w:t>（1）项目经理部成立以后，乙方应尽快在丙方开设基本结算户；</w:t>
      </w:r>
    </w:p>
    <w:p w14:paraId="6F1D9842">
      <w:pPr>
        <w:spacing w:line="360" w:lineRule="auto"/>
        <w:ind w:left="840" w:firstLine="480"/>
        <w:rPr>
          <w:rFonts w:ascii="宋体" w:hAnsi="宋体"/>
          <w:sz w:val="24"/>
          <w:szCs w:val="24"/>
        </w:rPr>
      </w:pPr>
      <w:r>
        <w:rPr>
          <w:rFonts w:hint="eastAsia" w:ascii="宋体" w:hAnsi="宋体"/>
          <w:sz w:val="24"/>
          <w:szCs w:val="24"/>
        </w:rPr>
        <w:t>（2）确保本项目资金专款专用，不发生挪用、转移资金的现象；保证不通过权益转让、抵押、担保承担债务等任何其他方式使用基本结算户的资金；</w:t>
      </w:r>
    </w:p>
    <w:p w14:paraId="74138914">
      <w:pPr>
        <w:spacing w:line="360" w:lineRule="auto"/>
        <w:ind w:left="840" w:firstLine="480"/>
        <w:rPr>
          <w:rFonts w:ascii="宋体" w:hAnsi="宋体"/>
          <w:sz w:val="24"/>
          <w:szCs w:val="24"/>
        </w:rPr>
      </w:pPr>
      <w:r>
        <w:rPr>
          <w:rFonts w:hint="eastAsia" w:ascii="宋体" w:hAnsi="宋体"/>
          <w:sz w:val="24"/>
          <w:szCs w:val="24"/>
        </w:rPr>
        <w:t>（3）办理材料、设备等采购业务金额在</w:t>
      </w:r>
      <w:r>
        <w:rPr>
          <w:rFonts w:hint="eastAsia" w:ascii="宋体" w:hAnsi="宋体"/>
          <w:sz w:val="24"/>
          <w:szCs w:val="24"/>
          <w:u w:val="single"/>
        </w:rPr>
        <w:t xml:space="preserve">     </w:t>
      </w:r>
      <w:r>
        <w:rPr>
          <w:rFonts w:hint="eastAsia" w:ascii="宋体" w:hAnsi="宋体"/>
          <w:sz w:val="24"/>
          <w:szCs w:val="24"/>
        </w:rPr>
        <w:t>万元以上的，应出示购货合同、协议和发票；在办理总额超过</w:t>
      </w:r>
      <w:r>
        <w:rPr>
          <w:rFonts w:hint="eastAsia" w:ascii="宋体" w:hAnsi="宋体"/>
          <w:sz w:val="24"/>
          <w:szCs w:val="24"/>
          <w:u w:val="single"/>
        </w:rPr>
        <w:t xml:space="preserve">     </w:t>
      </w:r>
      <w:r>
        <w:rPr>
          <w:rFonts w:hint="eastAsia" w:ascii="宋体" w:hAnsi="宋体"/>
          <w:sz w:val="24"/>
          <w:szCs w:val="24"/>
        </w:rPr>
        <w:t>万元以上的采购业务时，应将合同、协议和发票复印件送丙方备案；购买应急材料、设备时可先办理支付手续，但事后必须补备有关资料；</w:t>
      </w:r>
    </w:p>
    <w:p w14:paraId="4C736760">
      <w:pPr>
        <w:spacing w:line="360" w:lineRule="auto"/>
        <w:ind w:left="840" w:firstLine="480"/>
        <w:rPr>
          <w:rFonts w:ascii="宋体" w:hAnsi="宋体"/>
          <w:sz w:val="24"/>
          <w:szCs w:val="24"/>
        </w:rPr>
      </w:pPr>
      <w:r>
        <w:rPr>
          <w:rFonts w:hint="eastAsia" w:ascii="宋体" w:hAnsi="宋体"/>
          <w:sz w:val="24"/>
          <w:szCs w:val="24"/>
        </w:rPr>
        <w:t>（4）用银行转账支票办理支付款项时，必须将转账支票送交丙方，由丙方负责办理支票转付手续；</w:t>
      </w:r>
    </w:p>
    <w:p w14:paraId="6DD09C73">
      <w:pPr>
        <w:spacing w:line="360" w:lineRule="auto"/>
        <w:ind w:left="840" w:firstLine="480"/>
        <w:rPr>
          <w:rFonts w:ascii="宋体" w:hAnsi="宋体"/>
          <w:sz w:val="24"/>
          <w:szCs w:val="24"/>
        </w:rPr>
      </w:pPr>
      <w:r>
        <w:rPr>
          <w:rFonts w:hint="eastAsia" w:ascii="宋体" w:hAnsi="宋体"/>
          <w:sz w:val="24"/>
          <w:szCs w:val="24"/>
        </w:rPr>
        <w:t>（5）向分包单位支付工程进度款时，应附甲方批准分包的文件；</w:t>
      </w:r>
    </w:p>
    <w:p w14:paraId="5DBF598C">
      <w:pPr>
        <w:spacing w:line="360" w:lineRule="auto"/>
        <w:ind w:left="840" w:firstLine="480"/>
        <w:rPr>
          <w:rFonts w:ascii="宋体" w:hAnsi="宋体"/>
          <w:sz w:val="24"/>
          <w:szCs w:val="24"/>
        </w:rPr>
      </w:pPr>
      <w:r>
        <w:rPr>
          <w:rFonts w:hint="eastAsia" w:ascii="宋体" w:hAnsi="宋体"/>
          <w:sz w:val="24"/>
          <w:szCs w:val="24"/>
        </w:rPr>
        <w:t>（6）向上级单位缴纳管理费、机械设备及周转材料租赁摊销费等款项时，应附上级单位出具的转账通知等有关资料，以确保资金专款专用。</w:t>
      </w:r>
    </w:p>
    <w:p w14:paraId="368234FB">
      <w:pPr>
        <w:spacing w:line="360" w:lineRule="auto"/>
        <w:ind w:left="840" w:firstLine="480"/>
        <w:rPr>
          <w:rFonts w:ascii="宋体" w:hAnsi="宋体"/>
          <w:sz w:val="24"/>
          <w:szCs w:val="24"/>
        </w:rPr>
      </w:pPr>
      <w:r>
        <w:rPr>
          <w:rFonts w:hint="eastAsia" w:ascii="宋体" w:hAnsi="宋体"/>
          <w:sz w:val="24"/>
          <w:szCs w:val="24"/>
        </w:rPr>
        <w:t>4.丙方的权责</w:t>
      </w:r>
    </w:p>
    <w:p w14:paraId="67A19013">
      <w:pPr>
        <w:spacing w:line="360" w:lineRule="auto"/>
        <w:ind w:left="840" w:firstLine="480"/>
        <w:rPr>
          <w:rFonts w:ascii="宋体" w:hAnsi="宋体"/>
          <w:sz w:val="24"/>
          <w:szCs w:val="24"/>
        </w:rPr>
      </w:pPr>
      <w:r>
        <w:rPr>
          <w:rFonts w:hint="eastAsia" w:ascii="宋体" w:hAnsi="宋体"/>
          <w:sz w:val="24"/>
          <w:szCs w:val="24"/>
        </w:rPr>
        <w:t>（1）成立</w:t>
      </w:r>
      <w:r>
        <w:rPr>
          <w:rFonts w:hint="eastAsia" w:ascii="宋体" w:hAnsi="宋体"/>
          <w:sz w:val="24"/>
          <w:szCs w:val="24"/>
          <w:u w:val="single"/>
        </w:rPr>
        <w:t xml:space="preserve">      </w:t>
      </w:r>
      <w:r>
        <w:rPr>
          <w:rFonts w:hint="eastAsia" w:ascii="宋体" w:hAnsi="宋体"/>
          <w:sz w:val="24"/>
          <w:szCs w:val="24"/>
        </w:rPr>
        <w:t>（项目名称）工程资金管理服务小组，明确业务流程，提高工作效率，杜绝“压票”现象；</w:t>
      </w:r>
    </w:p>
    <w:p w14:paraId="6696566E">
      <w:pPr>
        <w:spacing w:line="360" w:lineRule="auto"/>
        <w:ind w:left="840" w:firstLine="480"/>
        <w:rPr>
          <w:rFonts w:ascii="宋体" w:hAnsi="宋体"/>
          <w:sz w:val="24"/>
          <w:szCs w:val="24"/>
        </w:rPr>
      </w:pPr>
      <w:r>
        <w:rPr>
          <w:rFonts w:hint="eastAsia" w:ascii="宋体" w:hAnsi="宋体"/>
          <w:sz w:val="24"/>
          <w:szCs w:val="24"/>
        </w:rPr>
        <w:t>（2）根据乙方提供的购货合同、协议和发票，检查其所购材料、设备是否用于（项目名称）工程建设，对本标段以外的购货款项，有权拒绝办理，并及时报告甲方；</w:t>
      </w:r>
    </w:p>
    <w:p w14:paraId="11AE319F">
      <w:pPr>
        <w:spacing w:line="360" w:lineRule="auto"/>
        <w:ind w:left="840" w:firstLine="480"/>
        <w:rPr>
          <w:rFonts w:ascii="宋体" w:hAnsi="宋体"/>
          <w:sz w:val="24"/>
          <w:szCs w:val="24"/>
        </w:rPr>
      </w:pPr>
      <w:r>
        <w:rPr>
          <w:rFonts w:hint="eastAsia" w:ascii="宋体" w:hAnsi="宋体"/>
          <w:sz w:val="24"/>
          <w:szCs w:val="24"/>
        </w:rPr>
        <w:t>（3）根据乙方与分包单位签订的合同及支付文件，检查其支付款项是否符合有关条件，向分包单位以外单位的支付有权拒绝办理，并及时报告甲方；</w:t>
      </w:r>
    </w:p>
    <w:p w14:paraId="57AE1C78">
      <w:pPr>
        <w:spacing w:line="360" w:lineRule="auto"/>
        <w:ind w:left="840" w:firstLine="480"/>
        <w:rPr>
          <w:rFonts w:ascii="宋体" w:hAnsi="宋体"/>
          <w:sz w:val="24"/>
          <w:szCs w:val="24"/>
        </w:rPr>
      </w:pPr>
      <w:r>
        <w:rPr>
          <w:rFonts w:hint="eastAsia" w:ascii="宋体" w:hAnsi="宋体"/>
          <w:sz w:val="24"/>
          <w:szCs w:val="24"/>
        </w:rPr>
        <w:t>（4）根据乙方提供的上级单位出具的转账通知等有关资料，办理管理费、机械设备及周转材料租赁摊销费等款项的支付；对超出转账通知等有关资料以外的支付，有权拒绝办理，并及时转告甲方；</w:t>
      </w:r>
    </w:p>
    <w:p w14:paraId="51C286EA">
      <w:pPr>
        <w:spacing w:line="360" w:lineRule="auto"/>
        <w:ind w:left="840" w:firstLine="480"/>
        <w:rPr>
          <w:rFonts w:ascii="宋体" w:hAnsi="宋体"/>
          <w:sz w:val="24"/>
          <w:szCs w:val="24"/>
        </w:rPr>
      </w:pPr>
      <w:r>
        <w:rPr>
          <w:rFonts w:hint="eastAsia" w:ascii="宋体" w:hAnsi="宋体"/>
          <w:sz w:val="24"/>
          <w:szCs w:val="24"/>
        </w:rPr>
        <w:t>（5）定期将乙方前一个周期的支付情况，整理后书面报送甲方；乙方复印备案的材料一并送甲方。</w:t>
      </w:r>
    </w:p>
    <w:p w14:paraId="2F9FF59E">
      <w:pPr>
        <w:spacing w:line="360" w:lineRule="auto"/>
        <w:ind w:left="840" w:firstLine="480"/>
        <w:rPr>
          <w:rFonts w:ascii="宋体" w:hAnsi="宋体"/>
          <w:sz w:val="24"/>
          <w:szCs w:val="24"/>
        </w:rPr>
      </w:pPr>
      <w:r>
        <w:rPr>
          <w:rFonts w:hint="eastAsia" w:ascii="宋体" w:hAnsi="宋体"/>
          <w:sz w:val="24"/>
          <w:szCs w:val="24"/>
        </w:rPr>
        <w:t>5.甲、乙、丙三方都应履行保密责任，不得将其他两方的业务情况透露给三方以外的其他单位或个人。</w:t>
      </w:r>
    </w:p>
    <w:p w14:paraId="12E5633E">
      <w:pPr>
        <w:spacing w:line="360" w:lineRule="auto"/>
        <w:ind w:left="840" w:firstLine="480"/>
        <w:rPr>
          <w:rFonts w:ascii="宋体" w:hAnsi="宋体"/>
          <w:sz w:val="24"/>
          <w:szCs w:val="24"/>
        </w:rPr>
      </w:pPr>
      <w:r>
        <w:rPr>
          <w:rFonts w:hint="eastAsia" w:ascii="宋体" w:hAnsi="宋体"/>
          <w:sz w:val="24"/>
          <w:szCs w:val="24"/>
        </w:rPr>
        <w:t>6.本协议有效期自乙方在丙方开户起，至工程交工验收甲方向乙方颁发交工验收证书后结束。</w:t>
      </w:r>
    </w:p>
    <w:p w14:paraId="231695DF">
      <w:pPr>
        <w:spacing w:line="360" w:lineRule="auto"/>
        <w:ind w:left="840" w:firstLine="480"/>
        <w:rPr>
          <w:rFonts w:ascii="宋体" w:hAnsi="宋体"/>
          <w:sz w:val="24"/>
          <w:szCs w:val="24"/>
        </w:rPr>
      </w:pPr>
      <w:r>
        <w:rPr>
          <w:rFonts w:hint="eastAsia" w:ascii="宋体" w:hAnsi="宋体"/>
          <w:sz w:val="24"/>
          <w:szCs w:val="24"/>
        </w:rPr>
        <w:t>7.本协议未尽事宜，由甲方牵头，三方协商解决。</w:t>
      </w:r>
    </w:p>
    <w:p w14:paraId="7A4CC2EC">
      <w:pPr>
        <w:spacing w:line="360" w:lineRule="auto"/>
        <w:ind w:left="840" w:firstLine="480"/>
        <w:rPr>
          <w:rFonts w:ascii="宋体" w:hAnsi="宋体"/>
          <w:sz w:val="24"/>
          <w:szCs w:val="24"/>
        </w:rPr>
      </w:pPr>
      <w:r>
        <w:rPr>
          <w:rFonts w:hint="eastAsia" w:ascii="宋体" w:hAnsi="宋体"/>
          <w:sz w:val="24"/>
          <w:szCs w:val="24"/>
        </w:rPr>
        <w:t>8.本协议正本三份、副本</w:t>
      </w:r>
      <w:r>
        <w:rPr>
          <w:rFonts w:hint="eastAsia" w:ascii="宋体" w:hAnsi="宋体"/>
          <w:sz w:val="24"/>
          <w:szCs w:val="24"/>
          <w:u w:val="single"/>
        </w:rPr>
        <w:t xml:space="preserve">   </w:t>
      </w:r>
      <w:r>
        <w:rPr>
          <w:rFonts w:hint="eastAsia" w:ascii="宋体" w:hAnsi="宋体"/>
          <w:sz w:val="24"/>
          <w:szCs w:val="24"/>
        </w:rPr>
        <w:t>份。合同三方各执正本一份、副本</w:t>
      </w:r>
      <w:r>
        <w:rPr>
          <w:rFonts w:hint="eastAsia" w:ascii="宋体" w:hAnsi="宋体"/>
          <w:sz w:val="24"/>
          <w:szCs w:val="24"/>
          <w:u w:val="single"/>
        </w:rPr>
        <w:t xml:space="preserve">    </w:t>
      </w:r>
      <w:r>
        <w:rPr>
          <w:rFonts w:hint="eastAsia" w:ascii="宋体" w:hAnsi="宋体"/>
          <w:sz w:val="24"/>
          <w:szCs w:val="24"/>
        </w:rPr>
        <w:t>份，当正本与副本内容不一致时，以正本为准。</w:t>
      </w:r>
    </w:p>
    <w:p w14:paraId="71C72A0B">
      <w:pPr>
        <w:spacing w:line="360" w:lineRule="auto"/>
        <w:ind w:left="840"/>
        <w:rPr>
          <w:rFonts w:ascii="宋体" w:hAnsi="宋体"/>
          <w:sz w:val="24"/>
          <w:szCs w:val="24"/>
        </w:rPr>
      </w:pPr>
    </w:p>
    <w:p w14:paraId="342EA3CF">
      <w:pPr>
        <w:spacing w:line="360" w:lineRule="auto"/>
        <w:ind w:left="840" w:firstLine="465"/>
        <w:rPr>
          <w:rFonts w:ascii="宋体" w:hAnsi="宋体"/>
          <w:sz w:val="24"/>
          <w:szCs w:val="24"/>
        </w:rPr>
      </w:pPr>
      <w:r>
        <w:rPr>
          <w:rFonts w:hint="eastAsia" w:ascii="宋体" w:hAnsi="宋体"/>
          <w:sz w:val="24"/>
          <w:szCs w:val="24"/>
        </w:rPr>
        <w:t>发包人：</w:t>
      </w:r>
      <w:r>
        <w:rPr>
          <w:rFonts w:hint="eastAsia" w:ascii="宋体" w:hAnsi="宋体"/>
          <w:sz w:val="24"/>
          <w:szCs w:val="24"/>
          <w:u w:val="single"/>
        </w:rPr>
        <w:t xml:space="preserve">                      </w:t>
      </w:r>
      <w:r>
        <w:rPr>
          <w:rFonts w:hint="eastAsia" w:ascii="宋体" w:hAnsi="宋体"/>
          <w:sz w:val="24"/>
          <w:szCs w:val="24"/>
        </w:rPr>
        <w:t>（盖单位章）</w:t>
      </w:r>
    </w:p>
    <w:p w14:paraId="02605745">
      <w:pPr>
        <w:spacing w:line="360" w:lineRule="auto"/>
        <w:ind w:left="840" w:firstLine="465"/>
        <w:rPr>
          <w:rFonts w:ascii="宋体" w:hAnsi="宋体"/>
          <w:sz w:val="24"/>
          <w:szCs w:val="24"/>
        </w:rPr>
      </w:pPr>
      <w:r>
        <w:rPr>
          <w:rFonts w:hint="eastAsia" w:ascii="宋体" w:hAnsi="宋体"/>
          <w:sz w:val="24"/>
          <w:szCs w:val="24"/>
        </w:rPr>
        <w:t>法定人或代表其委托代理人：</w:t>
      </w:r>
      <w:r>
        <w:rPr>
          <w:rFonts w:hint="eastAsia" w:ascii="宋体" w:hAnsi="宋体"/>
          <w:sz w:val="24"/>
          <w:szCs w:val="24"/>
          <w:u w:val="single"/>
        </w:rPr>
        <w:t xml:space="preserve">        </w:t>
      </w:r>
      <w:r>
        <w:rPr>
          <w:rFonts w:hint="eastAsia" w:ascii="宋体" w:hAnsi="宋体"/>
          <w:sz w:val="24"/>
          <w:szCs w:val="24"/>
        </w:rPr>
        <w:t>（签字）</w:t>
      </w:r>
    </w:p>
    <w:p w14:paraId="15443696">
      <w:pPr>
        <w:spacing w:line="360" w:lineRule="auto"/>
        <w:ind w:left="840" w:firstLine="465"/>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3A1ECB4">
      <w:pPr>
        <w:spacing w:line="360" w:lineRule="auto"/>
        <w:ind w:left="840"/>
        <w:rPr>
          <w:rFonts w:ascii="宋体" w:hAnsi="宋体"/>
          <w:sz w:val="24"/>
          <w:szCs w:val="24"/>
        </w:rPr>
      </w:pPr>
      <w:r>
        <w:rPr>
          <w:rFonts w:hint="eastAsia" w:ascii="宋体" w:hAnsi="宋体"/>
          <w:sz w:val="24"/>
          <w:szCs w:val="24"/>
        </w:rPr>
        <w:t xml:space="preserve">                              </w:t>
      </w:r>
    </w:p>
    <w:p w14:paraId="7CD6A4D2">
      <w:pPr>
        <w:spacing w:line="360" w:lineRule="auto"/>
        <w:ind w:left="840" w:firstLine="465"/>
        <w:rPr>
          <w:rFonts w:ascii="宋体" w:hAnsi="宋体"/>
          <w:sz w:val="24"/>
          <w:szCs w:val="24"/>
        </w:rPr>
      </w:pPr>
      <w:r>
        <w:rPr>
          <w:rFonts w:hint="eastAsia" w:ascii="宋体" w:hAnsi="宋体"/>
          <w:sz w:val="24"/>
          <w:szCs w:val="24"/>
        </w:rPr>
        <w:t>承包人：</w:t>
      </w:r>
      <w:r>
        <w:rPr>
          <w:rFonts w:hint="eastAsia" w:ascii="宋体" w:hAnsi="宋体"/>
          <w:sz w:val="24"/>
          <w:szCs w:val="24"/>
          <w:u w:val="single"/>
        </w:rPr>
        <w:t xml:space="preserve">                      </w:t>
      </w:r>
      <w:r>
        <w:rPr>
          <w:rFonts w:hint="eastAsia" w:ascii="宋体" w:hAnsi="宋体"/>
          <w:sz w:val="24"/>
          <w:szCs w:val="24"/>
        </w:rPr>
        <w:t>（盖单位章）</w:t>
      </w:r>
    </w:p>
    <w:p w14:paraId="20BCFCAF">
      <w:pPr>
        <w:spacing w:line="360" w:lineRule="auto"/>
        <w:ind w:left="840" w:firstLine="465"/>
        <w:rPr>
          <w:rFonts w:ascii="宋体" w:hAnsi="宋体"/>
          <w:sz w:val="24"/>
          <w:szCs w:val="24"/>
        </w:rPr>
      </w:pPr>
      <w:r>
        <w:rPr>
          <w:rFonts w:hint="eastAsia" w:ascii="宋体" w:hAnsi="宋体"/>
          <w:sz w:val="24"/>
          <w:szCs w:val="24"/>
        </w:rPr>
        <w:t>法定人或代表其委托代理人：</w:t>
      </w:r>
      <w:r>
        <w:rPr>
          <w:rFonts w:hint="eastAsia" w:ascii="宋体" w:hAnsi="宋体"/>
          <w:sz w:val="24"/>
          <w:szCs w:val="24"/>
          <w:u w:val="single"/>
        </w:rPr>
        <w:t xml:space="preserve">        </w:t>
      </w:r>
      <w:r>
        <w:rPr>
          <w:rFonts w:hint="eastAsia" w:ascii="宋体" w:hAnsi="宋体"/>
          <w:sz w:val="24"/>
          <w:szCs w:val="24"/>
        </w:rPr>
        <w:t>（签字）</w:t>
      </w:r>
    </w:p>
    <w:p w14:paraId="0461924F">
      <w:pPr>
        <w:spacing w:line="360" w:lineRule="auto"/>
        <w:ind w:left="840" w:firstLine="465"/>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2B33528E">
      <w:pPr>
        <w:spacing w:line="360" w:lineRule="auto"/>
        <w:ind w:left="840"/>
        <w:rPr>
          <w:rFonts w:ascii="宋体" w:hAnsi="宋体"/>
          <w:sz w:val="24"/>
          <w:szCs w:val="24"/>
        </w:rPr>
      </w:pPr>
    </w:p>
    <w:p w14:paraId="6AB139CE">
      <w:pPr>
        <w:spacing w:line="360" w:lineRule="auto"/>
        <w:ind w:left="840" w:firstLine="465"/>
        <w:rPr>
          <w:rFonts w:ascii="宋体" w:hAnsi="宋体"/>
          <w:sz w:val="24"/>
          <w:szCs w:val="24"/>
        </w:rPr>
      </w:pPr>
      <w:r>
        <w:rPr>
          <w:rFonts w:hint="eastAsia" w:ascii="宋体" w:hAnsi="宋体"/>
          <w:sz w:val="24"/>
          <w:szCs w:val="24"/>
        </w:rPr>
        <w:t>经办银行：</w:t>
      </w:r>
      <w:r>
        <w:rPr>
          <w:rFonts w:hint="eastAsia" w:ascii="宋体" w:hAnsi="宋体"/>
          <w:sz w:val="24"/>
          <w:szCs w:val="24"/>
          <w:u w:val="single"/>
        </w:rPr>
        <w:t xml:space="preserve">                    </w:t>
      </w:r>
      <w:r>
        <w:rPr>
          <w:rFonts w:hint="eastAsia" w:ascii="宋体" w:hAnsi="宋体"/>
          <w:sz w:val="24"/>
          <w:szCs w:val="24"/>
        </w:rPr>
        <w:t>（盖单位章）</w:t>
      </w:r>
    </w:p>
    <w:p w14:paraId="7E708559">
      <w:pPr>
        <w:spacing w:line="360" w:lineRule="auto"/>
        <w:ind w:left="840" w:firstLine="465"/>
        <w:rPr>
          <w:rFonts w:ascii="宋体" w:hAnsi="宋体"/>
          <w:sz w:val="24"/>
          <w:szCs w:val="24"/>
        </w:rPr>
      </w:pPr>
      <w:r>
        <w:rPr>
          <w:rFonts w:hint="eastAsia" w:ascii="宋体" w:hAnsi="宋体"/>
          <w:sz w:val="24"/>
          <w:szCs w:val="24"/>
        </w:rPr>
        <w:t>法定人或代表其委托代理人：</w:t>
      </w:r>
      <w:r>
        <w:rPr>
          <w:rFonts w:hint="eastAsia" w:ascii="宋体" w:hAnsi="宋体"/>
          <w:sz w:val="24"/>
          <w:szCs w:val="24"/>
          <w:u w:val="single"/>
        </w:rPr>
        <w:t xml:space="preserve">        </w:t>
      </w:r>
      <w:r>
        <w:rPr>
          <w:rFonts w:hint="eastAsia" w:ascii="宋体" w:hAnsi="宋体"/>
          <w:sz w:val="24"/>
          <w:szCs w:val="24"/>
        </w:rPr>
        <w:t>（签字）</w:t>
      </w:r>
    </w:p>
    <w:p w14:paraId="51290FAB">
      <w:pPr>
        <w:spacing w:line="360" w:lineRule="auto"/>
        <w:ind w:right="150" w:firstLine="480" w:firstLineChars="200"/>
        <w:jc w:val="left"/>
        <w:rPr>
          <w:rFonts w:ascii="宋体" w:hAnsi="宋体"/>
          <w:sz w:val="24"/>
          <w:szCs w:val="24"/>
        </w:rPr>
      </w:pPr>
      <w:r>
        <w:rPr>
          <w:rFonts w:hint="eastAsia" w:ascii="宋体" w:hAnsi="宋体"/>
          <w:sz w:val="24"/>
          <w:szCs w:val="24"/>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09AEA8A4">
      <w:pPr>
        <w:spacing w:line="600" w:lineRule="exact"/>
        <w:rPr>
          <w:rFonts w:ascii="宋体" w:hAnsi="宋体"/>
          <w:b/>
          <w:bCs/>
          <w:kern w:val="44"/>
          <w:sz w:val="44"/>
          <w:szCs w:val="44"/>
        </w:rPr>
      </w:pPr>
    </w:p>
    <w:bookmarkEnd w:id="394"/>
    <w:bookmarkEnd w:id="395"/>
    <w:bookmarkEnd w:id="396"/>
    <w:bookmarkEnd w:id="397"/>
    <w:bookmarkEnd w:id="398"/>
    <w:bookmarkEnd w:id="399"/>
    <w:bookmarkEnd w:id="400"/>
    <w:bookmarkEnd w:id="401"/>
    <w:p w14:paraId="22C63C1B">
      <w:pPr>
        <w:pStyle w:val="2"/>
        <w:rPr>
          <w:rFonts w:ascii="宋体" w:hAnsi="宋体"/>
          <w:b/>
          <w:sz w:val="32"/>
          <w:szCs w:val="32"/>
        </w:rPr>
      </w:pPr>
      <w:bookmarkStart w:id="511" w:name="_Toc247096438"/>
      <w:bookmarkStart w:id="512" w:name="_Toc179632800"/>
      <w:bookmarkStart w:id="513" w:name="_Toc246996350"/>
      <w:bookmarkStart w:id="514" w:name="_Toc247085866"/>
      <w:bookmarkStart w:id="515" w:name="_Toc144974851"/>
      <w:bookmarkStart w:id="516" w:name="_Toc246997093"/>
      <w:bookmarkStart w:id="517" w:name="_Toc152042571"/>
      <w:bookmarkStart w:id="518" w:name="_Toc296602596"/>
      <w:bookmarkStart w:id="519" w:name="_Toc152045782"/>
      <w:r>
        <w:rPr>
          <w:rFonts w:ascii="宋体" w:hAnsi="宋体"/>
          <w:b/>
          <w:sz w:val="32"/>
          <w:szCs w:val="32"/>
        </w:rPr>
        <w:br w:type="page"/>
      </w:r>
      <w:bookmarkStart w:id="520" w:name="_Toc23377"/>
      <w:r>
        <w:rPr>
          <w:rFonts w:hint="eastAsia" w:ascii="宋体" w:hAnsi="宋体"/>
          <w:b/>
          <w:sz w:val="32"/>
          <w:szCs w:val="32"/>
        </w:rPr>
        <w:t xml:space="preserve"> </w:t>
      </w:r>
      <w:bookmarkStart w:id="521" w:name="_Toc20482"/>
      <w:r>
        <w:rPr>
          <w:rFonts w:hint="eastAsia" w:ascii="宋体" w:hAnsi="宋体"/>
          <w:b/>
          <w:sz w:val="32"/>
          <w:szCs w:val="32"/>
        </w:rPr>
        <w:t>第六章  工程量清单、招标控制价</w:t>
      </w:r>
      <w:bookmarkEnd w:id="521"/>
    </w:p>
    <w:p w14:paraId="641057C4">
      <w:pPr>
        <w:keepNext/>
        <w:keepLines/>
        <w:spacing w:before="340" w:after="330" w:line="360" w:lineRule="auto"/>
        <w:jc w:val="center"/>
        <w:rPr>
          <w:rFonts w:ascii="宋体" w:hAnsi="宋体"/>
          <w:b/>
          <w:bCs/>
          <w:kern w:val="44"/>
          <w:sz w:val="28"/>
          <w:szCs w:val="28"/>
        </w:rPr>
      </w:pPr>
      <w:r>
        <w:rPr>
          <w:rFonts w:hint="eastAsia" w:ascii="宋体" w:hAnsi="宋体"/>
          <w:b/>
          <w:bCs/>
          <w:kern w:val="44"/>
          <w:sz w:val="28"/>
          <w:szCs w:val="28"/>
        </w:rPr>
        <w:t>（另附）</w:t>
      </w:r>
    </w:p>
    <w:p w14:paraId="5DBF064A">
      <w:pPr>
        <w:spacing w:line="560" w:lineRule="exact"/>
        <w:ind w:firstLine="422" w:firstLineChars="175"/>
        <w:jc w:val="center"/>
        <w:rPr>
          <w:rFonts w:ascii="宋体" w:hAnsi="宋体"/>
          <w:b/>
          <w:sz w:val="32"/>
          <w:szCs w:val="32"/>
        </w:rPr>
      </w:pPr>
      <w:bookmarkStart w:id="522" w:name="_Toc4209"/>
      <w:r>
        <w:rPr>
          <w:rFonts w:hint="eastAsia" w:ascii="宋体" w:hAnsi="宋体"/>
          <w:b/>
          <w:bCs/>
          <w:sz w:val="24"/>
          <w:szCs w:val="24"/>
        </w:rPr>
        <w:t>工程量清单和招标控制价电子版作为附件从三门峡市公共资源交易中心网站点击下载。</w:t>
      </w:r>
    </w:p>
    <w:bookmarkEnd w:id="520"/>
    <w:bookmarkEnd w:id="522"/>
    <w:p w14:paraId="4B0D94CF">
      <w:pPr>
        <w:pStyle w:val="2"/>
        <w:jc w:val="both"/>
        <w:rPr>
          <w:b/>
          <w:bCs w:val="0"/>
          <w:sz w:val="32"/>
          <w:szCs w:val="32"/>
        </w:rPr>
      </w:pPr>
      <w:bookmarkStart w:id="523" w:name="_Toc20758"/>
      <w:bookmarkStart w:id="524" w:name="_Toc10706"/>
    </w:p>
    <w:p w14:paraId="70E98EB8">
      <w:pPr>
        <w:pStyle w:val="2"/>
        <w:rPr>
          <w:rFonts w:ascii="宋体" w:hAnsi="宋体"/>
          <w:b/>
        </w:rPr>
      </w:pPr>
      <w:r>
        <w:rPr>
          <w:rFonts w:hint="eastAsia"/>
          <w:b/>
          <w:bCs w:val="0"/>
          <w:sz w:val="32"/>
          <w:szCs w:val="32"/>
        </w:rPr>
        <w:t>第七章  图  纸</w:t>
      </w:r>
      <w:bookmarkEnd w:id="511"/>
      <w:bookmarkEnd w:id="512"/>
      <w:bookmarkEnd w:id="513"/>
      <w:bookmarkEnd w:id="514"/>
      <w:bookmarkEnd w:id="515"/>
      <w:bookmarkEnd w:id="516"/>
      <w:bookmarkEnd w:id="517"/>
      <w:bookmarkEnd w:id="518"/>
      <w:bookmarkEnd w:id="519"/>
      <w:bookmarkEnd w:id="523"/>
      <w:bookmarkEnd w:id="524"/>
    </w:p>
    <w:p w14:paraId="6F0D6A8B">
      <w:pPr>
        <w:pStyle w:val="2"/>
        <w:rPr>
          <w:rFonts w:ascii="宋体" w:hAnsi="宋体"/>
          <w:b/>
          <w:sz w:val="24"/>
          <w:szCs w:val="24"/>
        </w:rPr>
      </w:pPr>
      <w:bookmarkStart w:id="525" w:name="_Toc4134"/>
      <w:bookmarkStart w:id="526" w:name="_Toc179632804"/>
      <w:bookmarkStart w:id="527" w:name="_Toc296602599"/>
      <w:bookmarkStart w:id="528" w:name="_Toc152045785"/>
      <w:bookmarkStart w:id="529" w:name="_Toc152042574"/>
      <w:bookmarkStart w:id="530" w:name="_Toc246996353"/>
      <w:bookmarkStart w:id="531" w:name="_Toc144974854"/>
      <w:bookmarkStart w:id="532" w:name="_Toc247085870"/>
      <w:bookmarkStart w:id="533" w:name="_Toc246997096"/>
      <w:bookmarkStart w:id="534" w:name="_Toc16849"/>
      <w:r>
        <w:rPr>
          <w:rFonts w:hint="eastAsia" w:ascii="宋体" w:hAnsi="宋体"/>
          <w:b/>
          <w:sz w:val="24"/>
          <w:szCs w:val="24"/>
        </w:rPr>
        <w:t>（另附）</w:t>
      </w:r>
    </w:p>
    <w:p w14:paraId="4FBA62C0">
      <w:pPr>
        <w:pStyle w:val="2"/>
        <w:rPr>
          <w:rFonts w:ascii="宋体" w:hAnsi="宋体"/>
          <w:b/>
          <w:sz w:val="32"/>
          <w:szCs w:val="32"/>
        </w:rPr>
      </w:pPr>
      <w:r>
        <w:rPr>
          <w:rFonts w:hint="eastAsia" w:ascii="宋体" w:hAnsi="宋体"/>
          <w:b/>
          <w:sz w:val="24"/>
          <w:szCs w:val="24"/>
        </w:rPr>
        <w:t>从三门峡市公共资源交易中心网站点击下载。</w:t>
      </w:r>
    </w:p>
    <w:p w14:paraId="512A03E3">
      <w:pPr>
        <w:pStyle w:val="2"/>
        <w:rPr>
          <w:rFonts w:ascii="宋体" w:hAnsi="宋体"/>
          <w:b/>
          <w:sz w:val="32"/>
          <w:szCs w:val="32"/>
        </w:rPr>
      </w:pPr>
    </w:p>
    <w:p w14:paraId="79E5B2A1">
      <w:pPr>
        <w:pStyle w:val="2"/>
        <w:rPr>
          <w:rFonts w:ascii="宋体" w:hAnsi="宋体"/>
        </w:rPr>
      </w:pPr>
      <w:r>
        <w:rPr>
          <w:rFonts w:hint="eastAsia" w:ascii="宋体" w:hAnsi="宋体"/>
          <w:b/>
          <w:sz w:val="32"/>
          <w:szCs w:val="32"/>
        </w:rPr>
        <w:t>第八章  技术</w:t>
      </w:r>
      <w:bookmarkEnd w:id="525"/>
      <w:bookmarkEnd w:id="526"/>
      <w:bookmarkEnd w:id="527"/>
      <w:bookmarkEnd w:id="528"/>
      <w:bookmarkEnd w:id="529"/>
      <w:bookmarkEnd w:id="530"/>
      <w:bookmarkEnd w:id="531"/>
      <w:bookmarkEnd w:id="532"/>
      <w:bookmarkEnd w:id="533"/>
      <w:r>
        <w:rPr>
          <w:rFonts w:hint="eastAsia" w:ascii="宋体" w:hAnsi="宋体"/>
          <w:b/>
          <w:sz w:val="32"/>
          <w:szCs w:val="32"/>
        </w:rPr>
        <w:t>规范</w:t>
      </w:r>
      <w:bookmarkEnd w:id="534"/>
    </w:p>
    <w:p w14:paraId="7A4C097F">
      <w:pPr>
        <w:spacing w:line="360" w:lineRule="auto"/>
        <w:ind w:firstLine="480"/>
        <w:rPr>
          <w:rFonts w:ascii="宋体" w:hAnsi="宋体" w:cs="宋体"/>
          <w:sz w:val="24"/>
          <w:szCs w:val="24"/>
          <w:lang w:val="zh-CN"/>
        </w:rPr>
      </w:pPr>
      <w:r>
        <w:rPr>
          <w:rFonts w:hint="eastAsia" w:ascii="宋体" w:hAnsi="宋体" w:cs="宋体"/>
          <w:sz w:val="24"/>
          <w:szCs w:val="24"/>
          <w:lang w:val="zh-CN"/>
        </w:rPr>
        <w:t>技术规范参照中华人民共和国交通运输部《公路工程标准施工招标文件（2018年版）》和施工图纸总说明执行。</w:t>
      </w:r>
    </w:p>
    <w:p w14:paraId="7202E968">
      <w:pPr>
        <w:spacing w:line="360" w:lineRule="auto"/>
        <w:ind w:firstLine="480"/>
        <w:rPr>
          <w:rFonts w:ascii="宋体" w:hAnsi="宋体" w:cs="宋体"/>
          <w:sz w:val="24"/>
          <w:szCs w:val="24"/>
          <w:lang w:val="zh-CN"/>
        </w:rPr>
      </w:pPr>
    </w:p>
    <w:p w14:paraId="4DB1E60F">
      <w:pPr>
        <w:spacing w:line="360" w:lineRule="auto"/>
      </w:pPr>
      <w:r>
        <w:rPr>
          <w:rFonts w:hint="eastAsia" w:ascii="宋体" w:hAnsi="宋体" w:cs="宋体"/>
          <w:kern w:val="0"/>
          <w:sz w:val="24"/>
          <w:szCs w:val="24"/>
          <w:lang w:val="zh-CN"/>
        </w:rPr>
        <w:t xml:space="preserve">   </w:t>
      </w:r>
    </w:p>
    <w:p w14:paraId="363424BB">
      <w:pPr>
        <w:pStyle w:val="2"/>
        <w:rPr>
          <w:rFonts w:ascii="宋体" w:hAnsi="宋体"/>
          <w:b/>
          <w:sz w:val="32"/>
          <w:szCs w:val="32"/>
        </w:rPr>
      </w:pPr>
      <w:bookmarkStart w:id="535" w:name="_Toc21579"/>
      <w:bookmarkStart w:id="536" w:name="_Toc152045786"/>
      <w:bookmarkStart w:id="537" w:name="_Toc296602600"/>
      <w:bookmarkStart w:id="538" w:name="_Toc246996354"/>
      <w:bookmarkStart w:id="539" w:name="_Toc246997097"/>
      <w:bookmarkStart w:id="540" w:name="_Toc179632806"/>
      <w:bookmarkStart w:id="541" w:name="_Toc152042575"/>
      <w:bookmarkStart w:id="542" w:name="_Toc144974855"/>
      <w:bookmarkStart w:id="543" w:name="_Toc247085872"/>
      <w:bookmarkStart w:id="544" w:name="_Toc9736"/>
      <w:r>
        <w:rPr>
          <w:rFonts w:hint="eastAsia" w:ascii="宋体" w:hAnsi="宋体"/>
          <w:b/>
          <w:sz w:val="32"/>
          <w:szCs w:val="32"/>
        </w:rPr>
        <w:t>第九章 工程量清单计量规则</w:t>
      </w:r>
      <w:bookmarkEnd w:id="535"/>
    </w:p>
    <w:p w14:paraId="373BF6F8">
      <w:pPr>
        <w:spacing w:line="360" w:lineRule="auto"/>
        <w:ind w:firstLine="440" w:firstLineChars="200"/>
      </w:pPr>
      <w:r>
        <w:rPr>
          <w:sz w:val="22"/>
          <w:szCs w:val="24"/>
        </w:rPr>
        <w:t>参见中华人民共和国交通运输部《公路工程标准施工招标文件（2018年版）》</w:t>
      </w:r>
      <w:r>
        <w:rPr>
          <w:rFonts w:hint="eastAsia"/>
          <w:sz w:val="22"/>
          <w:szCs w:val="24"/>
        </w:rPr>
        <w:t xml:space="preserve"> </w:t>
      </w:r>
      <w:r>
        <w:rPr>
          <w:sz w:val="22"/>
          <w:szCs w:val="24"/>
        </w:rPr>
        <w:t>工程量清单计量规则</w:t>
      </w:r>
      <w:r>
        <w:rPr>
          <w:rFonts w:hint="eastAsia"/>
          <w:sz w:val="22"/>
          <w:szCs w:val="24"/>
        </w:rPr>
        <w:t>。</w:t>
      </w:r>
    </w:p>
    <w:p w14:paraId="089007EE">
      <w:pPr>
        <w:rPr>
          <w:rFonts w:ascii="宋体" w:hAnsi="宋体"/>
          <w:b/>
          <w:sz w:val="32"/>
          <w:szCs w:val="32"/>
        </w:rPr>
      </w:pPr>
      <w:bookmarkStart w:id="545" w:name="_Toc5947"/>
      <w:r>
        <w:rPr>
          <w:rFonts w:hint="eastAsia" w:ascii="宋体" w:hAnsi="宋体"/>
          <w:b/>
          <w:sz w:val="32"/>
          <w:szCs w:val="32"/>
        </w:rPr>
        <w:br w:type="page"/>
      </w:r>
    </w:p>
    <w:p w14:paraId="4D4A461A">
      <w:pPr>
        <w:pStyle w:val="2"/>
        <w:rPr>
          <w:rFonts w:ascii="宋体" w:hAnsi="宋体"/>
          <w:b/>
          <w:sz w:val="32"/>
          <w:szCs w:val="32"/>
        </w:rPr>
      </w:pPr>
      <w:r>
        <w:rPr>
          <w:rFonts w:hint="eastAsia" w:ascii="宋体" w:hAnsi="宋体"/>
          <w:b/>
          <w:sz w:val="32"/>
          <w:szCs w:val="32"/>
        </w:rPr>
        <w:t>第十章  投标文件格式</w:t>
      </w:r>
      <w:bookmarkEnd w:id="536"/>
      <w:bookmarkEnd w:id="537"/>
      <w:bookmarkEnd w:id="538"/>
      <w:bookmarkEnd w:id="539"/>
      <w:bookmarkEnd w:id="540"/>
      <w:bookmarkEnd w:id="541"/>
      <w:bookmarkEnd w:id="542"/>
      <w:bookmarkEnd w:id="543"/>
      <w:bookmarkEnd w:id="544"/>
      <w:bookmarkEnd w:id="545"/>
    </w:p>
    <w:p w14:paraId="176A1210">
      <w:pPr>
        <w:jc w:val="center"/>
        <w:rPr>
          <w:rFonts w:ascii="宋体" w:hAnsi="宋体"/>
          <w:b/>
          <w:sz w:val="24"/>
          <w:szCs w:val="24"/>
        </w:rPr>
      </w:pPr>
    </w:p>
    <w:p w14:paraId="4C3F07F2">
      <w:pPr>
        <w:pStyle w:val="3"/>
      </w:pPr>
      <w:bookmarkStart w:id="546" w:name="_Toc12118"/>
      <w:bookmarkStart w:id="547" w:name="_Toc2549"/>
      <w:bookmarkStart w:id="548" w:name="_Toc152042576"/>
      <w:bookmarkStart w:id="549" w:name="_Toc296602601"/>
      <w:bookmarkStart w:id="550" w:name="_Toc246997098"/>
      <w:bookmarkStart w:id="551" w:name="_Toc144974856"/>
      <w:bookmarkStart w:id="552" w:name="_Toc246996355"/>
      <w:bookmarkStart w:id="553" w:name="_Toc247085873"/>
      <w:bookmarkStart w:id="554" w:name="_Toc179632807"/>
      <w:bookmarkStart w:id="555" w:name="_Toc152045787"/>
      <w:r>
        <w:rPr>
          <w:rFonts w:hint="eastAsia"/>
        </w:rPr>
        <w:t>（第一个信封格式）</w:t>
      </w:r>
      <w:bookmarkEnd w:id="546"/>
      <w:bookmarkEnd w:id="547"/>
    </w:p>
    <w:p w14:paraId="3975ADCC">
      <w:pPr>
        <w:spacing w:line="400" w:lineRule="exact"/>
        <w:rPr>
          <w:rFonts w:ascii="宋体" w:hAnsi="宋体"/>
          <w:sz w:val="20"/>
          <w:szCs w:val="20"/>
        </w:rPr>
      </w:pPr>
    </w:p>
    <w:p w14:paraId="72A69C42">
      <w:pPr>
        <w:pStyle w:val="18"/>
        <w:jc w:val="center"/>
        <w:rPr>
          <w:rFonts w:ascii="宋体" w:hAnsi="宋体" w:eastAsia="宋体"/>
          <w:color w:val="auto"/>
          <w:u w:val="single"/>
        </w:rPr>
      </w:pPr>
      <w:r>
        <w:rPr>
          <w:rFonts w:hint="eastAsia" w:ascii="宋体" w:hAnsi="宋体" w:eastAsia="宋体"/>
          <w:b/>
          <w:bCs/>
          <w:sz w:val="44"/>
          <w:szCs w:val="40"/>
          <w:u w:val="single"/>
        </w:rPr>
        <w:t>（项目名称）</w:t>
      </w:r>
    </w:p>
    <w:p w14:paraId="02BE283B">
      <w:pPr>
        <w:spacing w:line="360" w:lineRule="auto"/>
        <w:ind w:left="74"/>
        <w:jc w:val="center"/>
        <w:outlineLvl w:val="1"/>
        <w:rPr>
          <w:b/>
          <w:bCs/>
          <w:sz w:val="28"/>
          <w:szCs w:val="32"/>
        </w:rPr>
      </w:pPr>
      <w:bookmarkStart w:id="556" w:name="_Toc2789"/>
      <w:bookmarkStart w:id="557" w:name="_Toc14051"/>
      <w:bookmarkStart w:id="558" w:name="_Toc30103"/>
      <w:bookmarkStart w:id="559" w:name="_Toc25609"/>
      <w:bookmarkStart w:id="560" w:name="_Toc5781"/>
      <w:bookmarkStart w:id="561" w:name="_Toc4768"/>
      <w:r>
        <w:rPr>
          <w:b/>
          <w:bCs/>
          <w:color w:val="030305"/>
          <w:spacing w:val="2"/>
          <w:sz w:val="28"/>
          <w:szCs w:val="32"/>
        </w:rPr>
        <w:t>商务及技术文件</w:t>
      </w:r>
      <w:bookmarkEnd w:id="556"/>
      <w:bookmarkEnd w:id="557"/>
      <w:bookmarkEnd w:id="558"/>
      <w:bookmarkEnd w:id="559"/>
      <w:bookmarkEnd w:id="560"/>
      <w:bookmarkEnd w:id="561"/>
      <w:r>
        <w:rPr>
          <w:rFonts w:hint="eastAsia"/>
          <w:b/>
          <w:bCs/>
          <w:color w:val="030305"/>
          <w:spacing w:val="2"/>
          <w:sz w:val="28"/>
          <w:szCs w:val="32"/>
        </w:rPr>
        <w:t>（第一信封）</w:t>
      </w:r>
    </w:p>
    <w:p w14:paraId="07D27668">
      <w:pPr>
        <w:jc w:val="center"/>
        <w:rPr>
          <w:rFonts w:ascii="宋体" w:hAnsi="宋体"/>
          <w:b/>
          <w:sz w:val="84"/>
          <w:szCs w:val="84"/>
        </w:rPr>
      </w:pPr>
    </w:p>
    <w:p w14:paraId="1F3FB903">
      <w:pPr>
        <w:jc w:val="center"/>
        <w:rPr>
          <w:rFonts w:ascii="宋体" w:hAnsi="宋体"/>
          <w:b/>
          <w:sz w:val="84"/>
          <w:szCs w:val="84"/>
        </w:rPr>
      </w:pPr>
      <w:r>
        <w:rPr>
          <w:rFonts w:ascii="宋体" w:hAnsi="宋体"/>
          <w:b/>
          <w:sz w:val="84"/>
          <w:szCs w:val="84"/>
        </w:rPr>
        <w:t>投  标  文  件</w:t>
      </w:r>
    </w:p>
    <w:p w14:paraId="35EB269E">
      <w:pPr>
        <w:rPr>
          <w:rFonts w:ascii="宋体" w:hAnsi="宋体"/>
          <w:sz w:val="28"/>
          <w:szCs w:val="28"/>
        </w:rPr>
      </w:pPr>
      <w:r>
        <w:rPr>
          <w:rFonts w:hint="eastAsia" w:ascii="宋体" w:hAnsi="宋体"/>
          <w:sz w:val="28"/>
          <w:szCs w:val="28"/>
        </w:rPr>
        <w:t xml:space="preserve">           </w:t>
      </w:r>
    </w:p>
    <w:p w14:paraId="63BE8951">
      <w:pPr>
        <w:spacing w:line="360" w:lineRule="auto"/>
        <w:ind w:left="1346" w:hanging="1346" w:hangingChars="419"/>
        <w:jc w:val="center"/>
        <w:rPr>
          <w:rFonts w:ascii="宋体" w:hAnsi="宋体"/>
          <w:b/>
          <w:sz w:val="30"/>
          <w:szCs w:val="30"/>
        </w:rPr>
      </w:pPr>
      <w:r>
        <w:rPr>
          <w:rFonts w:hint="eastAsia" w:ascii="宋体" w:hAnsi="宋体"/>
          <w:b/>
          <w:sz w:val="32"/>
          <w:szCs w:val="32"/>
        </w:rPr>
        <w:t>招标编号：</w:t>
      </w:r>
    </w:p>
    <w:p w14:paraId="1E740D9B">
      <w:pPr>
        <w:spacing w:line="360" w:lineRule="auto"/>
        <w:ind w:left="1178" w:hanging="1178" w:hangingChars="419"/>
        <w:jc w:val="center"/>
        <w:rPr>
          <w:rFonts w:ascii="宋体" w:hAnsi="宋体"/>
          <w:b/>
          <w:sz w:val="28"/>
          <w:szCs w:val="28"/>
        </w:rPr>
      </w:pPr>
    </w:p>
    <w:p w14:paraId="743E7676">
      <w:pPr>
        <w:jc w:val="center"/>
        <w:rPr>
          <w:rFonts w:ascii="宋体" w:hAnsi="宋体"/>
          <w:sz w:val="28"/>
          <w:szCs w:val="28"/>
        </w:rPr>
      </w:pPr>
    </w:p>
    <w:p w14:paraId="183466AF">
      <w:pPr>
        <w:rPr>
          <w:rFonts w:ascii="宋体" w:hAnsi="宋体"/>
          <w:sz w:val="28"/>
          <w:szCs w:val="28"/>
        </w:rPr>
      </w:pPr>
    </w:p>
    <w:p w14:paraId="13C70A3E">
      <w:pPr>
        <w:rPr>
          <w:rFonts w:ascii="宋体" w:hAnsi="宋体"/>
          <w:sz w:val="28"/>
          <w:szCs w:val="28"/>
        </w:rPr>
      </w:pPr>
    </w:p>
    <w:p w14:paraId="0446A17B">
      <w:pPr>
        <w:rPr>
          <w:rFonts w:ascii="宋体" w:hAnsi="宋体"/>
          <w:sz w:val="28"/>
          <w:szCs w:val="28"/>
        </w:rPr>
      </w:pPr>
    </w:p>
    <w:p w14:paraId="0F0AB197">
      <w:pPr>
        <w:ind w:firstLine="1841" w:firstLineChars="655"/>
        <w:rPr>
          <w:rFonts w:ascii="宋体" w:hAnsi="宋体"/>
          <w:b/>
          <w:sz w:val="28"/>
          <w:szCs w:val="28"/>
          <w:u w:val="single"/>
        </w:rPr>
      </w:pPr>
      <w:r>
        <w:rPr>
          <w:rFonts w:ascii="宋体" w:hAnsi="宋体"/>
          <w:b/>
          <w:sz w:val="28"/>
          <w:szCs w:val="28"/>
        </w:rPr>
        <w:t>投</w:t>
      </w:r>
      <w:r>
        <w:rPr>
          <w:rFonts w:hint="eastAsia" w:ascii="宋体" w:hAnsi="宋体"/>
          <w:b/>
          <w:sz w:val="28"/>
          <w:szCs w:val="28"/>
        </w:rPr>
        <w:t xml:space="preserve">  </w:t>
      </w:r>
      <w:r>
        <w:rPr>
          <w:rFonts w:ascii="宋体" w:hAnsi="宋体"/>
          <w:b/>
          <w:sz w:val="28"/>
          <w:szCs w:val="28"/>
        </w:rPr>
        <w:t>标</w:t>
      </w:r>
      <w:r>
        <w:rPr>
          <w:rFonts w:hint="eastAsia" w:ascii="宋体" w:hAnsi="宋体"/>
          <w:b/>
          <w:sz w:val="28"/>
          <w:szCs w:val="28"/>
        </w:rPr>
        <w:t xml:space="preserve">  </w:t>
      </w:r>
      <w:r>
        <w:rPr>
          <w:rFonts w:ascii="宋体" w:hAnsi="宋体"/>
          <w:b/>
          <w:sz w:val="28"/>
          <w:szCs w:val="28"/>
        </w:rPr>
        <w:t>人：</w:t>
      </w:r>
      <w:r>
        <w:rPr>
          <w:rFonts w:ascii="宋体" w:hAnsi="宋体"/>
          <w:b/>
          <w:sz w:val="28"/>
          <w:szCs w:val="28"/>
          <w:u w:val="single"/>
        </w:rPr>
        <w:t xml:space="preserve">                 </w:t>
      </w:r>
      <w:r>
        <w:rPr>
          <w:rFonts w:ascii="宋体" w:hAnsi="宋体"/>
          <w:b/>
          <w:sz w:val="28"/>
          <w:szCs w:val="28"/>
        </w:rPr>
        <w:t>（盖单位章）</w:t>
      </w:r>
    </w:p>
    <w:p w14:paraId="274D9444">
      <w:pPr>
        <w:rPr>
          <w:rFonts w:ascii="宋体" w:hAnsi="宋体"/>
          <w:b/>
          <w:sz w:val="28"/>
          <w:szCs w:val="28"/>
        </w:rPr>
      </w:pPr>
      <w:r>
        <w:rPr>
          <w:rFonts w:hint="eastAsia" w:ascii="宋体" w:hAnsi="宋体"/>
          <w:b/>
          <w:sz w:val="28"/>
          <w:szCs w:val="28"/>
        </w:rPr>
        <w:t xml:space="preserve">             </w:t>
      </w:r>
      <w:r>
        <w:rPr>
          <w:rFonts w:ascii="宋体" w:hAnsi="宋体"/>
          <w:b/>
          <w:sz w:val="28"/>
          <w:szCs w:val="28"/>
        </w:rPr>
        <w:t>法定代表人：</w:t>
      </w:r>
      <w:r>
        <w:rPr>
          <w:rFonts w:ascii="宋体" w:hAnsi="宋体"/>
          <w:b/>
          <w:sz w:val="28"/>
          <w:szCs w:val="28"/>
          <w:u w:val="single"/>
        </w:rPr>
        <w:t xml:space="preserve">       </w:t>
      </w:r>
      <w:r>
        <w:rPr>
          <w:rFonts w:hint="eastAsia" w:ascii="宋体" w:hAnsi="宋体"/>
          <w:b/>
          <w:sz w:val="28"/>
          <w:szCs w:val="28"/>
          <w:u w:val="single"/>
        </w:rPr>
        <w:t xml:space="preserve">           </w:t>
      </w:r>
      <w:r>
        <w:rPr>
          <w:rFonts w:ascii="宋体" w:hAnsi="宋体"/>
          <w:b/>
          <w:sz w:val="28"/>
          <w:szCs w:val="28"/>
          <w:u w:val="single"/>
        </w:rPr>
        <w:t xml:space="preserve">  </w:t>
      </w:r>
      <w:r>
        <w:rPr>
          <w:rFonts w:ascii="宋体" w:hAnsi="宋体"/>
          <w:b/>
          <w:sz w:val="28"/>
          <w:szCs w:val="28"/>
        </w:rPr>
        <w:t>（</w:t>
      </w:r>
      <w:r>
        <w:rPr>
          <w:rFonts w:hint="eastAsia" w:ascii="宋体" w:hAnsi="宋体"/>
          <w:b/>
          <w:sz w:val="28"/>
          <w:szCs w:val="28"/>
        </w:rPr>
        <w:t>签字或盖章</w:t>
      </w:r>
      <w:r>
        <w:rPr>
          <w:rFonts w:ascii="宋体" w:hAnsi="宋体"/>
          <w:b/>
          <w:sz w:val="28"/>
          <w:szCs w:val="28"/>
        </w:rPr>
        <w:t>）</w:t>
      </w:r>
    </w:p>
    <w:p w14:paraId="1DAEF314">
      <w:pPr>
        <w:rPr>
          <w:rFonts w:ascii="宋体" w:hAnsi="宋体"/>
          <w:b/>
          <w:sz w:val="28"/>
          <w:szCs w:val="28"/>
        </w:rPr>
      </w:pPr>
      <w:r>
        <w:rPr>
          <w:rFonts w:hint="eastAsia" w:ascii="宋体" w:hAnsi="宋体"/>
          <w:b/>
          <w:sz w:val="28"/>
          <w:szCs w:val="28"/>
        </w:rPr>
        <w:t xml:space="preserve">             日       期：</w:t>
      </w:r>
      <w:r>
        <w:rPr>
          <w:rFonts w:ascii="宋体" w:hAnsi="宋体"/>
          <w:b/>
          <w:sz w:val="28"/>
          <w:szCs w:val="28"/>
          <w:u w:val="single"/>
        </w:rPr>
        <w:t xml:space="preserve">        </w:t>
      </w:r>
      <w:r>
        <w:rPr>
          <w:rFonts w:ascii="宋体" w:hAnsi="宋体"/>
          <w:b/>
          <w:sz w:val="28"/>
          <w:szCs w:val="28"/>
        </w:rPr>
        <w:t>年</w:t>
      </w:r>
      <w:r>
        <w:rPr>
          <w:rFonts w:ascii="宋体" w:hAnsi="宋体"/>
          <w:b/>
          <w:sz w:val="28"/>
          <w:szCs w:val="28"/>
          <w:u w:val="single"/>
        </w:rPr>
        <w:t xml:space="preserve">        </w:t>
      </w:r>
      <w:r>
        <w:rPr>
          <w:rFonts w:ascii="宋体" w:hAnsi="宋体"/>
          <w:b/>
          <w:sz w:val="28"/>
          <w:szCs w:val="28"/>
        </w:rPr>
        <w:t>月</w:t>
      </w:r>
      <w:r>
        <w:rPr>
          <w:rFonts w:ascii="宋体" w:hAnsi="宋体"/>
          <w:b/>
          <w:sz w:val="28"/>
          <w:szCs w:val="28"/>
          <w:u w:val="single"/>
        </w:rPr>
        <w:t xml:space="preserve">        </w:t>
      </w:r>
      <w:r>
        <w:rPr>
          <w:rFonts w:ascii="宋体" w:hAnsi="宋体"/>
          <w:b/>
          <w:sz w:val="28"/>
          <w:szCs w:val="28"/>
        </w:rPr>
        <w:t>日</w:t>
      </w:r>
    </w:p>
    <w:p w14:paraId="2C130001">
      <w:pPr>
        <w:jc w:val="center"/>
        <w:rPr>
          <w:rFonts w:ascii="宋体" w:hAnsi="宋体"/>
          <w:sz w:val="44"/>
          <w:szCs w:val="44"/>
        </w:rPr>
      </w:pPr>
      <w:r>
        <w:rPr>
          <w:rFonts w:ascii="宋体" w:hAnsi="宋体"/>
        </w:rPr>
        <w:br w:type="page"/>
      </w:r>
      <w:bookmarkEnd w:id="548"/>
      <w:bookmarkEnd w:id="549"/>
      <w:bookmarkEnd w:id="550"/>
      <w:bookmarkEnd w:id="551"/>
      <w:bookmarkEnd w:id="552"/>
      <w:bookmarkEnd w:id="553"/>
      <w:bookmarkEnd w:id="554"/>
      <w:bookmarkEnd w:id="555"/>
      <w:r>
        <w:rPr>
          <w:rFonts w:hint="eastAsia" w:ascii="宋体" w:hAnsi="宋体"/>
          <w:sz w:val="44"/>
          <w:szCs w:val="44"/>
        </w:rPr>
        <w:t>目    录</w:t>
      </w:r>
    </w:p>
    <w:p w14:paraId="58A03336">
      <w:pPr>
        <w:spacing w:line="540" w:lineRule="exact"/>
        <w:rPr>
          <w:rFonts w:ascii="宋体" w:hAnsi="宋体"/>
        </w:rPr>
      </w:pPr>
    </w:p>
    <w:p w14:paraId="061DEB51">
      <w:pPr>
        <w:jc w:val="center"/>
        <w:rPr>
          <w:rFonts w:hint="eastAsia" w:ascii="宋体" w:hAnsi="宋体" w:eastAsia="宋体"/>
          <w:sz w:val="28"/>
          <w:szCs w:val="28"/>
          <w:lang w:val="en-US" w:eastAsia="zh-CN"/>
        </w:rPr>
      </w:pPr>
      <w:r>
        <w:rPr>
          <w:rFonts w:hint="eastAsia" w:ascii="宋体" w:hAnsi="宋体"/>
          <w:sz w:val="28"/>
          <w:szCs w:val="28"/>
          <w:lang w:val="en-US" w:eastAsia="zh-CN"/>
        </w:rPr>
        <w:t>格式自拟</w:t>
      </w:r>
    </w:p>
    <w:p w14:paraId="466E8EF9">
      <w:pPr>
        <w:spacing w:line="540" w:lineRule="exact"/>
        <w:rPr>
          <w:rFonts w:ascii="宋体" w:hAnsi="宋体"/>
          <w:sz w:val="20"/>
          <w:szCs w:val="20"/>
        </w:rPr>
      </w:pPr>
    </w:p>
    <w:p w14:paraId="7B2E9AE1">
      <w:pPr>
        <w:spacing w:line="540" w:lineRule="exact"/>
        <w:rPr>
          <w:rFonts w:ascii="宋体" w:hAnsi="宋体"/>
          <w:sz w:val="20"/>
          <w:szCs w:val="20"/>
        </w:rPr>
      </w:pPr>
    </w:p>
    <w:p w14:paraId="2FF78DB3">
      <w:pPr>
        <w:spacing w:line="540" w:lineRule="exact"/>
        <w:rPr>
          <w:rFonts w:ascii="宋体" w:hAnsi="宋体"/>
          <w:sz w:val="20"/>
          <w:szCs w:val="20"/>
        </w:rPr>
      </w:pPr>
    </w:p>
    <w:p w14:paraId="5B998FF9">
      <w:pPr>
        <w:spacing w:line="540" w:lineRule="exact"/>
        <w:rPr>
          <w:rFonts w:ascii="宋体" w:hAnsi="宋体"/>
          <w:sz w:val="20"/>
          <w:szCs w:val="20"/>
        </w:rPr>
      </w:pPr>
    </w:p>
    <w:p w14:paraId="2F020FCD">
      <w:pPr>
        <w:spacing w:line="540" w:lineRule="exact"/>
        <w:rPr>
          <w:rFonts w:ascii="宋体" w:hAnsi="宋体"/>
          <w:sz w:val="20"/>
          <w:szCs w:val="20"/>
        </w:rPr>
      </w:pPr>
    </w:p>
    <w:p w14:paraId="1DF77310">
      <w:pPr>
        <w:spacing w:line="540" w:lineRule="exact"/>
        <w:rPr>
          <w:rFonts w:ascii="宋体" w:hAnsi="宋体"/>
          <w:sz w:val="20"/>
          <w:szCs w:val="20"/>
        </w:rPr>
      </w:pPr>
    </w:p>
    <w:p w14:paraId="50F3A47C">
      <w:pPr>
        <w:spacing w:line="540" w:lineRule="exact"/>
        <w:rPr>
          <w:rFonts w:ascii="宋体" w:hAnsi="宋体"/>
          <w:sz w:val="20"/>
          <w:szCs w:val="20"/>
        </w:rPr>
      </w:pPr>
    </w:p>
    <w:p w14:paraId="3DDCACE6">
      <w:pPr>
        <w:spacing w:line="540" w:lineRule="exact"/>
        <w:rPr>
          <w:rFonts w:ascii="宋体" w:hAnsi="宋体"/>
          <w:sz w:val="20"/>
          <w:szCs w:val="20"/>
        </w:rPr>
      </w:pPr>
    </w:p>
    <w:p w14:paraId="38465FBE">
      <w:pPr>
        <w:pStyle w:val="3"/>
        <w:jc w:val="center"/>
        <w:rPr>
          <w:rFonts w:ascii="宋体" w:hAnsi="宋体"/>
        </w:rPr>
      </w:pPr>
      <w:bookmarkStart w:id="562" w:name="_Toc247085875"/>
      <w:bookmarkStart w:id="563" w:name="_Toc246997100"/>
      <w:bookmarkStart w:id="564" w:name="_Toc296602603"/>
      <w:bookmarkStart w:id="565" w:name="_Toc179632809"/>
      <w:bookmarkStart w:id="566" w:name="_Toc152045789"/>
      <w:bookmarkStart w:id="567" w:name="_Toc246996357"/>
      <w:bookmarkStart w:id="568" w:name="_Toc152042578"/>
      <w:bookmarkStart w:id="569" w:name="_Toc144974858"/>
      <w:r>
        <w:rPr>
          <w:rFonts w:ascii="宋体" w:hAnsi="宋体"/>
        </w:rPr>
        <w:br w:type="page"/>
      </w:r>
      <w:bookmarkStart w:id="570" w:name="_Toc17396"/>
      <w:bookmarkStart w:id="571" w:name="_Toc20641"/>
      <w:r>
        <w:rPr>
          <w:rFonts w:hint="eastAsia" w:ascii="宋体" w:hAnsi="宋体"/>
        </w:rPr>
        <w:t>1、投标函</w:t>
      </w:r>
      <w:bookmarkEnd w:id="562"/>
      <w:bookmarkEnd w:id="563"/>
      <w:bookmarkEnd w:id="564"/>
      <w:bookmarkEnd w:id="565"/>
      <w:bookmarkEnd w:id="566"/>
      <w:bookmarkEnd w:id="567"/>
      <w:bookmarkEnd w:id="568"/>
      <w:bookmarkEnd w:id="569"/>
      <w:bookmarkEnd w:id="570"/>
      <w:bookmarkEnd w:id="571"/>
    </w:p>
    <w:p w14:paraId="0494C078">
      <w:pPr>
        <w:pStyle w:val="7"/>
        <w:tabs>
          <w:tab w:val="left" w:pos="5015"/>
        </w:tabs>
        <w:spacing w:line="360" w:lineRule="auto"/>
        <w:ind w:right="193"/>
        <w:rPr>
          <w:sz w:val="21"/>
        </w:rPr>
      </w:pPr>
      <w:r>
        <w:rPr>
          <w:rFonts w:hint="eastAsia"/>
          <w:sz w:val="21"/>
          <w:u w:val="single"/>
        </w:rPr>
        <w:t xml:space="preserve">                  </w:t>
      </w:r>
      <w:r>
        <w:rPr>
          <w:rFonts w:hint="eastAsia"/>
          <w:sz w:val="21"/>
        </w:rPr>
        <w:t>（招标人名称）：</w:t>
      </w:r>
    </w:p>
    <w:p w14:paraId="172C735E">
      <w:pPr>
        <w:pStyle w:val="7"/>
        <w:numPr>
          <w:ilvl w:val="0"/>
          <w:numId w:val="1"/>
        </w:numPr>
        <w:tabs>
          <w:tab w:val="left" w:pos="5015"/>
        </w:tabs>
        <w:spacing w:line="360" w:lineRule="auto"/>
        <w:ind w:firstLine="420" w:firstLineChars="200"/>
        <w:rPr>
          <w:sz w:val="21"/>
          <w:szCs w:val="21"/>
        </w:rPr>
      </w:pPr>
      <w:r>
        <w:rPr>
          <w:rFonts w:hint="eastAsia"/>
          <w:sz w:val="21"/>
        </w:rPr>
        <w:t>我方已仔细研究</w:t>
      </w:r>
      <w:r>
        <w:rPr>
          <w:rFonts w:hint="eastAsia"/>
          <w:sz w:val="21"/>
          <w:u w:val="single"/>
        </w:rPr>
        <w:t xml:space="preserve">             </w:t>
      </w:r>
      <w:r>
        <w:rPr>
          <w:rFonts w:hint="eastAsia"/>
          <w:sz w:val="21"/>
        </w:rPr>
        <w:t>（项目名称）招标文</w:t>
      </w:r>
      <w:r>
        <w:rPr>
          <w:rFonts w:hint="eastAsia"/>
          <w:sz w:val="21"/>
          <w:szCs w:val="21"/>
        </w:rPr>
        <w:t>件的全部内容，愿意以第二个信封“报价文件”中的投标总报价，按合同约定实施和完成承包工程，修补工程中的任何缺陷、</w:t>
      </w:r>
      <w:r>
        <w:rPr>
          <w:rFonts w:hint="eastAsia" w:cs="宋体"/>
          <w:sz w:val="21"/>
          <w:szCs w:val="21"/>
        </w:rPr>
        <w:t>工期、安全目标、质量要求</w:t>
      </w:r>
      <w:r>
        <w:rPr>
          <w:rFonts w:hint="eastAsia"/>
          <w:sz w:val="21"/>
          <w:szCs w:val="21"/>
        </w:rPr>
        <w:t>。</w:t>
      </w:r>
    </w:p>
    <w:p w14:paraId="3CD32401">
      <w:pPr>
        <w:pStyle w:val="7"/>
        <w:spacing w:line="360" w:lineRule="auto"/>
        <w:ind w:firstLine="420" w:firstLineChars="200"/>
        <w:rPr>
          <w:sz w:val="21"/>
        </w:rPr>
      </w:pPr>
      <w:r>
        <w:rPr>
          <w:rFonts w:hint="eastAsia"/>
          <w:sz w:val="21"/>
        </w:rPr>
        <w:t>2. 我方承诺在招标文件规定的投标有效期内不撤销投标文件。</w:t>
      </w:r>
    </w:p>
    <w:p w14:paraId="468B9BA5">
      <w:pPr>
        <w:wordWrap w:val="0"/>
        <w:spacing w:line="360" w:lineRule="auto"/>
        <w:ind w:firstLine="420" w:firstLineChars="200"/>
        <w:rPr>
          <w:szCs w:val="21"/>
        </w:rPr>
      </w:pPr>
      <w:r>
        <w:rPr>
          <w:rFonts w:hint="eastAsia"/>
        </w:rPr>
        <w:t>3. 工程质量：</w:t>
      </w:r>
      <w:r>
        <w:rPr>
          <w:rFonts w:hint="eastAsia"/>
          <w:u w:val="single"/>
        </w:rPr>
        <w:t xml:space="preserve">   </w:t>
      </w:r>
      <w:r>
        <w:rPr>
          <w:rFonts w:hint="eastAsia"/>
          <w:szCs w:val="21"/>
          <w:u w:val="single"/>
        </w:rPr>
        <w:t xml:space="preserve">         </w:t>
      </w:r>
      <w:r>
        <w:rPr>
          <w:rFonts w:hint="eastAsia"/>
          <w:szCs w:val="21"/>
        </w:rPr>
        <w:t>，安全目标：</w:t>
      </w:r>
      <w:r>
        <w:rPr>
          <w:rFonts w:hint="eastAsia"/>
          <w:szCs w:val="21"/>
          <w:u w:val="single"/>
        </w:rPr>
        <w:t xml:space="preserve">               </w:t>
      </w:r>
      <w:r>
        <w:rPr>
          <w:rFonts w:hint="eastAsia"/>
          <w:szCs w:val="21"/>
        </w:rPr>
        <w:t>，工期：</w:t>
      </w:r>
      <w:r>
        <w:rPr>
          <w:rFonts w:hint="eastAsia"/>
          <w:szCs w:val="21"/>
          <w:u w:val="single"/>
        </w:rPr>
        <w:t xml:space="preserve">          </w:t>
      </w:r>
      <w:r>
        <w:rPr>
          <w:rFonts w:hint="eastAsia"/>
          <w:szCs w:val="21"/>
        </w:rPr>
        <w:t>，</w:t>
      </w:r>
      <w:r>
        <w:rPr>
          <w:rFonts w:hint="eastAsia" w:ascii="宋体" w:hAnsi="宋体" w:cs="宋体"/>
          <w:szCs w:val="21"/>
        </w:rPr>
        <w:t>随同本投标函提交投标保证金一份，金额为人民币（大写）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p w14:paraId="6E7306FE">
      <w:pPr>
        <w:pStyle w:val="7"/>
        <w:spacing w:line="360" w:lineRule="auto"/>
        <w:ind w:firstLine="420" w:firstLineChars="200"/>
        <w:rPr>
          <w:sz w:val="21"/>
        </w:rPr>
      </w:pPr>
      <w:r>
        <w:rPr>
          <w:rFonts w:hint="eastAsia"/>
          <w:sz w:val="21"/>
        </w:rPr>
        <w:t>4. 如我方中标，我方承诺：</w:t>
      </w:r>
    </w:p>
    <w:p w14:paraId="3F9159D1">
      <w:pPr>
        <w:pStyle w:val="7"/>
        <w:spacing w:line="360" w:lineRule="auto"/>
        <w:ind w:firstLine="420" w:firstLineChars="200"/>
        <w:rPr>
          <w:sz w:val="21"/>
        </w:rPr>
      </w:pPr>
      <w:r>
        <w:rPr>
          <w:rFonts w:hint="eastAsia"/>
          <w:sz w:val="21"/>
        </w:rPr>
        <w:t>(1）在收到中标通知书后，在中标通知书规定的期限内与你方签订合同；</w:t>
      </w:r>
    </w:p>
    <w:p w14:paraId="7A53FAD1">
      <w:pPr>
        <w:pStyle w:val="7"/>
        <w:spacing w:line="360" w:lineRule="auto"/>
        <w:ind w:firstLine="420" w:firstLineChars="200"/>
        <w:rPr>
          <w:sz w:val="21"/>
        </w:rPr>
      </w:pPr>
      <w:r>
        <w:rPr>
          <w:rFonts w:hint="eastAsia"/>
          <w:sz w:val="21"/>
        </w:rPr>
        <w:t>(2）在签订合同时不向你方提出附加条件；</w:t>
      </w:r>
    </w:p>
    <w:p w14:paraId="2D212AD8">
      <w:pPr>
        <w:pStyle w:val="7"/>
        <w:spacing w:line="360" w:lineRule="auto"/>
        <w:ind w:firstLine="420" w:firstLineChars="200"/>
        <w:rPr>
          <w:sz w:val="21"/>
        </w:rPr>
      </w:pPr>
      <w:r>
        <w:rPr>
          <w:rFonts w:hint="eastAsia"/>
          <w:sz w:val="21"/>
        </w:rPr>
        <w:t>(3）在合同约定的期限内完成合同规定的全部义务；</w:t>
      </w:r>
    </w:p>
    <w:p w14:paraId="2D0EB6AC">
      <w:pPr>
        <w:pStyle w:val="7"/>
        <w:spacing w:line="360" w:lineRule="auto"/>
        <w:ind w:firstLine="420" w:firstLineChars="200"/>
        <w:rPr>
          <w:sz w:val="21"/>
        </w:rPr>
      </w:pPr>
      <w:r>
        <w:rPr>
          <w:rFonts w:hint="eastAsia"/>
          <w:sz w:val="21"/>
        </w:rPr>
        <w:t>5. 我方在此声明，所递交的投标文件及有关资料内容完整、真实和准确。</w:t>
      </w:r>
    </w:p>
    <w:p w14:paraId="3728A0D6">
      <w:pPr>
        <w:pStyle w:val="7"/>
        <w:spacing w:line="360" w:lineRule="auto"/>
        <w:ind w:firstLine="420" w:firstLineChars="200"/>
        <w:rPr>
          <w:sz w:val="21"/>
        </w:rPr>
      </w:pPr>
      <w:r>
        <w:rPr>
          <w:rFonts w:hint="eastAsia"/>
          <w:sz w:val="21"/>
        </w:rPr>
        <w:t>6.在合同协议书正式签署生效之前，本投标函连同你方的中标通知书将构成我们双方之间共同遵守的文件，对双方具有约束力。</w:t>
      </w:r>
    </w:p>
    <w:p w14:paraId="4F52AB4B">
      <w:pPr>
        <w:pStyle w:val="7"/>
        <w:spacing w:line="360" w:lineRule="auto"/>
        <w:ind w:firstLine="420" w:firstLineChars="200"/>
        <w:rPr>
          <w:sz w:val="21"/>
        </w:rPr>
      </w:pPr>
      <w:r>
        <w:rPr>
          <w:rFonts w:hint="eastAsia"/>
          <w:sz w:val="21"/>
        </w:rPr>
        <w:t>7.投标有效期：。</w:t>
      </w:r>
    </w:p>
    <w:p w14:paraId="64C43E6B">
      <w:pPr>
        <w:pStyle w:val="7"/>
        <w:spacing w:line="360" w:lineRule="auto"/>
        <w:ind w:firstLine="420" w:firstLineChars="200"/>
        <w:rPr>
          <w:sz w:val="21"/>
        </w:rPr>
      </w:pPr>
      <w:r>
        <w:rPr>
          <w:rFonts w:hint="eastAsia"/>
          <w:sz w:val="21"/>
        </w:rPr>
        <w:t>8.（其他补充说明）。</w:t>
      </w:r>
    </w:p>
    <w:p w14:paraId="032E91D5">
      <w:pPr>
        <w:wordWrap w:val="0"/>
        <w:autoSpaceDE w:val="0"/>
        <w:autoSpaceDN w:val="0"/>
        <w:spacing w:line="480" w:lineRule="auto"/>
        <w:ind w:firstLine="2520" w:firstLineChars="1050"/>
        <w:rPr>
          <w:rFonts w:ascii="宋体" w:hAnsi="宋体" w:cs="宋体"/>
          <w:sz w:val="24"/>
          <w:lang w:val="zh-CN" w:bidi="zh-CN"/>
        </w:rPr>
      </w:pPr>
    </w:p>
    <w:p w14:paraId="47D7ACDE">
      <w:pPr>
        <w:wordWrap w:val="0"/>
        <w:autoSpaceDE w:val="0"/>
        <w:autoSpaceDN w:val="0"/>
        <w:spacing w:line="480" w:lineRule="auto"/>
        <w:ind w:firstLine="2520" w:firstLineChars="1050"/>
        <w:rPr>
          <w:rFonts w:ascii="宋体" w:hAnsi="宋体" w:cs="宋体"/>
          <w:sz w:val="24"/>
          <w:lang w:val="zh-CN" w:bidi="zh-CN"/>
        </w:rPr>
      </w:pPr>
    </w:p>
    <w:p w14:paraId="13CCE5BA">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投标人：</w:t>
      </w:r>
      <w:r>
        <w:rPr>
          <w:rFonts w:hint="eastAsia" w:ascii="宋体" w:hAnsi="宋体" w:cs="宋体"/>
          <w:sz w:val="24"/>
          <w:u w:val="single"/>
          <w:lang w:val="zh-CN" w:bidi="zh-CN"/>
        </w:rPr>
        <w:t xml:space="preserve">                   </w:t>
      </w:r>
      <w:r>
        <w:rPr>
          <w:rFonts w:hint="eastAsia" w:ascii="宋体" w:hAnsi="宋体" w:cs="宋体"/>
          <w:sz w:val="24"/>
          <w:lang w:val="zh-CN" w:bidi="zh-CN"/>
        </w:rPr>
        <w:t>（单位电子签章）</w:t>
      </w:r>
    </w:p>
    <w:p w14:paraId="2A8330C2">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（签字或盖章）</w:t>
      </w:r>
    </w:p>
    <w:p w14:paraId="6E27F5DC">
      <w:pPr>
        <w:tabs>
          <w:tab w:val="left" w:pos="5380"/>
          <w:tab w:val="left" w:pos="6520"/>
          <w:tab w:val="left" w:pos="7680"/>
        </w:tabs>
        <w:autoSpaceDE w:val="0"/>
        <w:autoSpaceDN w:val="0"/>
        <w:adjustRightInd w:val="0"/>
        <w:spacing w:line="360" w:lineRule="auto"/>
        <w:ind w:left="2520" w:leftChars="1200" w:right="-23"/>
        <w:rPr>
          <w:rFonts w:ascii="宋体" w:hAnsi="宋体" w:cs="宋体"/>
          <w:color w:val="000000"/>
          <w:szCs w:val="21"/>
        </w:rPr>
      </w:pPr>
      <w:r>
        <w:rPr>
          <w:rFonts w:hint="eastAsia" w:ascii="宋体" w:hAnsi="宋体" w:cs="宋体"/>
          <w:sz w:val="24"/>
          <w:lang w:val="zh-CN" w:bidi="zh-CN"/>
        </w:rPr>
        <w:t>日期：</w:t>
      </w:r>
      <w:r>
        <w:rPr>
          <w:rFonts w:hint="eastAsia" w:ascii="宋体" w:hAnsi="宋体" w:cs="宋体"/>
          <w:sz w:val="24"/>
          <w:u w:val="single"/>
          <w:lang w:val="zh-CN" w:bidi="zh-CN"/>
        </w:rPr>
        <w:t xml:space="preserve">       </w:t>
      </w:r>
      <w:r>
        <w:rPr>
          <w:rFonts w:hint="eastAsia" w:ascii="宋体" w:hAnsi="宋体" w:cs="宋体"/>
          <w:sz w:val="24"/>
          <w:lang w:val="zh-CN" w:bidi="zh-CN"/>
        </w:rPr>
        <w:t>年</w:t>
      </w:r>
      <w:r>
        <w:rPr>
          <w:rFonts w:hint="eastAsia" w:ascii="宋体" w:hAnsi="宋体" w:cs="宋体"/>
          <w:sz w:val="24"/>
          <w:u w:val="single"/>
          <w:lang w:val="zh-CN" w:bidi="zh-CN"/>
        </w:rPr>
        <w:t xml:space="preserve">      </w:t>
      </w:r>
      <w:r>
        <w:rPr>
          <w:rFonts w:hint="eastAsia" w:ascii="宋体" w:hAnsi="宋体" w:cs="宋体"/>
          <w:sz w:val="24"/>
          <w:lang w:val="zh-CN" w:bidi="zh-CN"/>
        </w:rPr>
        <w:t>月</w:t>
      </w:r>
      <w:r>
        <w:rPr>
          <w:rFonts w:hint="eastAsia" w:ascii="宋体" w:hAnsi="宋体" w:cs="宋体"/>
          <w:sz w:val="24"/>
          <w:u w:val="single"/>
          <w:lang w:val="zh-CN" w:bidi="zh-CN"/>
        </w:rPr>
        <w:t xml:space="preserve">      </w:t>
      </w:r>
      <w:r>
        <w:rPr>
          <w:rFonts w:hint="eastAsia" w:ascii="宋体" w:hAnsi="宋体" w:cs="宋体"/>
          <w:sz w:val="24"/>
          <w:lang w:val="zh-CN" w:bidi="zh-CN"/>
        </w:rPr>
        <w:t>日</w:t>
      </w:r>
    </w:p>
    <w:p w14:paraId="704F15D9">
      <w:pPr>
        <w:wordWrap w:val="0"/>
        <w:spacing w:line="360" w:lineRule="exact"/>
        <w:ind w:left="840"/>
        <w:rPr>
          <w:rFonts w:ascii="宋体" w:hAnsi="宋体"/>
          <w:sz w:val="24"/>
          <w:szCs w:val="24"/>
        </w:rPr>
      </w:pPr>
    </w:p>
    <w:p w14:paraId="147D93B9">
      <w:pPr>
        <w:pStyle w:val="19"/>
        <w:rPr>
          <w:rFonts w:ascii="宋体" w:hAnsi="宋体"/>
          <w:sz w:val="24"/>
          <w:szCs w:val="24"/>
        </w:rPr>
      </w:pPr>
    </w:p>
    <w:p w14:paraId="157693EF">
      <w:pPr>
        <w:pStyle w:val="3"/>
        <w:jc w:val="center"/>
      </w:pPr>
      <w:bookmarkStart w:id="572" w:name="_Toc246997101"/>
      <w:bookmarkStart w:id="573" w:name="_Toc152042579"/>
      <w:bookmarkStart w:id="574" w:name="_Toc247085876"/>
      <w:bookmarkStart w:id="575" w:name="_Toc179632810"/>
      <w:bookmarkStart w:id="576" w:name="_Toc152045790"/>
      <w:bookmarkStart w:id="577" w:name="_Toc144974859"/>
      <w:bookmarkStart w:id="578" w:name="_Toc246996358"/>
      <w:bookmarkStart w:id="579" w:name="_Toc296602604"/>
      <w:bookmarkStart w:id="580" w:name="_Toc20231"/>
      <w:bookmarkStart w:id="581" w:name="_Toc27749"/>
      <w:r>
        <w:rPr>
          <w:rFonts w:hint="eastAsia"/>
        </w:rPr>
        <w:t>2、</w:t>
      </w:r>
      <w:bookmarkEnd w:id="572"/>
      <w:bookmarkEnd w:id="573"/>
      <w:bookmarkEnd w:id="574"/>
      <w:bookmarkEnd w:id="575"/>
      <w:bookmarkEnd w:id="576"/>
      <w:bookmarkEnd w:id="577"/>
      <w:bookmarkEnd w:id="578"/>
      <w:bookmarkEnd w:id="579"/>
      <w:bookmarkStart w:id="582" w:name="_Toc144974860"/>
      <w:bookmarkStart w:id="583" w:name="_Toc179632811"/>
      <w:bookmarkStart w:id="584" w:name="_Toc152045791"/>
      <w:bookmarkStart w:id="585" w:name="_Toc247085877"/>
      <w:bookmarkStart w:id="586" w:name="_Toc246996359"/>
      <w:bookmarkStart w:id="587" w:name="_Toc246997102"/>
      <w:bookmarkStart w:id="588" w:name="_Toc152042580"/>
      <w:bookmarkStart w:id="589" w:name="_Toc296602605"/>
      <w:r>
        <w:rPr>
          <w:rFonts w:hint="eastAsia"/>
        </w:rPr>
        <w:t>投标函附录</w:t>
      </w:r>
      <w:bookmarkEnd w:id="580"/>
      <w:bookmarkEnd w:id="581"/>
    </w:p>
    <w:tbl>
      <w:tblPr>
        <w:tblStyle w:val="20"/>
        <w:tblW w:w="8962" w:type="dxa"/>
        <w:jc w:val="center"/>
        <w:tblLayout w:type="fixed"/>
        <w:tblCellMar>
          <w:top w:w="0" w:type="dxa"/>
          <w:left w:w="108" w:type="dxa"/>
          <w:bottom w:w="0" w:type="dxa"/>
          <w:right w:w="108" w:type="dxa"/>
        </w:tblCellMar>
      </w:tblPr>
      <w:tblGrid>
        <w:gridCol w:w="2072"/>
        <w:gridCol w:w="2552"/>
        <w:gridCol w:w="2012"/>
        <w:gridCol w:w="2326"/>
      </w:tblGrid>
      <w:tr w14:paraId="46242256">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5B736170">
            <w:pPr>
              <w:wordWrap w:val="0"/>
              <w:jc w:val="center"/>
              <w:rPr>
                <w:rFonts w:ascii="宋体" w:hAnsi="宋体" w:cs="宋体"/>
                <w:kern w:val="1"/>
                <w:sz w:val="24"/>
              </w:rPr>
            </w:pPr>
            <w:r>
              <w:rPr>
                <w:rFonts w:hint="eastAsia" w:ascii="宋体" w:hAnsi="宋体" w:cs="宋体"/>
                <w:kern w:val="1"/>
                <w:sz w:val="24"/>
              </w:rPr>
              <w:t>项目名称</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71C56BE1">
            <w:pPr>
              <w:wordWrap w:val="0"/>
              <w:jc w:val="center"/>
              <w:rPr>
                <w:rFonts w:ascii="宋体" w:hAnsi="宋体" w:cs="宋体"/>
                <w:kern w:val="1"/>
                <w:sz w:val="24"/>
              </w:rPr>
            </w:pPr>
          </w:p>
        </w:tc>
      </w:tr>
      <w:tr w14:paraId="52078A52">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6C3C3B53">
            <w:pPr>
              <w:wordWrap w:val="0"/>
              <w:jc w:val="center"/>
              <w:rPr>
                <w:rFonts w:ascii="宋体" w:hAnsi="宋体" w:cs="宋体"/>
                <w:kern w:val="1"/>
                <w:sz w:val="24"/>
              </w:rPr>
            </w:pPr>
            <w:r>
              <w:rPr>
                <w:rFonts w:hint="eastAsia" w:ascii="宋体" w:hAnsi="宋体" w:cs="宋体"/>
                <w:kern w:val="1"/>
                <w:sz w:val="24"/>
              </w:rPr>
              <w:t>项目编号</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395EC6A1">
            <w:pPr>
              <w:wordWrap w:val="0"/>
              <w:jc w:val="center"/>
              <w:rPr>
                <w:rFonts w:ascii="宋体" w:hAnsi="宋体" w:cs="宋体"/>
                <w:kern w:val="1"/>
                <w:sz w:val="24"/>
              </w:rPr>
            </w:pPr>
          </w:p>
        </w:tc>
      </w:tr>
      <w:tr w14:paraId="621D8741">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58AAFC98">
            <w:pPr>
              <w:wordWrap w:val="0"/>
              <w:jc w:val="center"/>
              <w:rPr>
                <w:rFonts w:ascii="宋体" w:hAnsi="宋体" w:cs="宋体"/>
                <w:kern w:val="1"/>
                <w:sz w:val="24"/>
              </w:rPr>
            </w:pPr>
            <w:r>
              <w:rPr>
                <w:rFonts w:hint="eastAsia" w:ascii="宋体" w:hAnsi="宋体" w:cs="宋体"/>
                <w:kern w:val="1"/>
                <w:sz w:val="24"/>
              </w:rPr>
              <w:t>投标人名称</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7237CB6B">
            <w:pPr>
              <w:wordWrap w:val="0"/>
              <w:jc w:val="center"/>
              <w:rPr>
                <w:rFonts w:ascii="宋体" w:hAnsi="宋体" w:cs="宋体"/>
                <w:kern w:val="1"/>
                <w:sz w:val="24"/>
              </w:rPr>
            </w:pPr>
          </w:p>
        </w:tc>
      </w:tr>
      <w:tr w14:paraId="6BA1535C">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06A133CF">
            <w:pPr>
              <w:wordWrap w:val="0"/>
              <w:jc w:val="center"/>
              <w:rPr>
                <w:rFonts w:ascii="宋体" w:hAnsi="宋体" w:cs="宋体"/>
                <w:kern w:val="1"/>
                <w:sz w:val="24"/>
              </w:rPr>
            </w:pPr>
            <w:r>
              <w:rPr>
                <w:rFonts w:hint="eastAsia" w:ascii="宋体" w:hAnsi="宋体" w:cs="宋体"/>
                <w:kern w:val="1"/>
                <w:sz w:val="24"/>
              </w:rPr>
              <w:t>企业资质等级</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37C41570">
            <w:pPr>
              <w:wordWrap w:val="0"/>
              <w:jc w:val="center"/>
              <w:rPr>
                <w:rFonts w:ascii="宋体" w:hAnsi="宋体" w:cs="宋体"/>
                <w:kern w:val="1"/>
                <w:sz w:val="24"/>
              </w:rPr>
            </w:pPr>
          </w:p>
        </w:tc>
      </w:tr>
      <w:tr w14:paraId="64016DD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1CC8FA00">
            <w:pPr>
              <w:wordWrap w:val="0"/>
              <w:jc w:val="center"/>
              <w:rPr>
                <w:rFonts w:ascii="宋体" w:hAnsi="宋体" w:cs="宋体"/>
                <w:kern w:val="1"/>
                <w:sz w:val="24"/>
              </w:rPr>
            </w:pPr>
            <w:r>
              <w:rPr>
                <w:rFonts w:hint="eastAsia" w:ascii="宋体" w:hAnsi="宋体" w:cs="宋体"/>
                <w:kern w:val="1"/>
                <w:sz w:val="24"/>
              </w:rPr>
              <w:t>企业营业执照编号</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3337C771">
            <w:pPr>
              <w:wordWrap w:val="0"/>
              <w:jc w:val="center"/>
              <w:rPr>
                <w:rFonts w:ascii="宋体" w:hAnsi="宋体" w:cs="宋体"/>
                <w:kern w:val="1"/>
                <w:sz w:val="24"/>
              </w:rPr>
            </w:pPr>
          </w:p>
        </w:tc>
      </w:tr>
      <w:tr w14:paraId="17C509FC">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09D315BE">
            <w:pPr>
              <w:wordWrap w:val="0"/>
              <w:jc w:val="center"/>
              <w:rPr>
                <w:rFonts w:ascii="宋体" w:hAnsi="宋体" w:cs="宋体"/>
                <w:kern w:val="1"/>
                <w:sz w:val="24"/>
              </w:rPr>
            </w:pPr>
            <w:r>
              <w:rPr>
                <w:rFonts w:hint="eastAsia" w:ascii="宋体" w:hAnsi="宋体" w:cs="宋体"/>
                <w:kern w:val="1"/>
                <w:sz w:val="24"/>
              </w:rPr>
              <w:t>企业联系人及手机号码</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475A0C92">
            <w:pPr>
              <w:wordWrap w:val="0"/>
              <w:jc w:val="center"/>
              <w:rPr>
                <w:rFonts w:ascii="宋体" w:hAnsi="宋体" w:cs="宋体"/>
                <w:kern w:val="1"/>
                <w:sz w:val="24"/>
              </w:rPr>
            </w:pPr>
          </w:p>
        </w:tc>
      </w:tr>
      <w:tr w14:paraId="262C9C1E">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1D95DD5A">
            <w:pPr>
              <w:wordWrap w:val="0"/>
              <w:jc w:val="center"/>
              <w:rPr>
                <w:rFonts w:ascii="宋体" w:hAnsi="宋体" w:cs="宋体"/>
                <w:kern w:val="1"/>
                <w:sz w:val="24"/>
              </w:rPr>
            </w:pPr>
            <w:r>
              <w:rPr>
                <w:rFonts w:hint="eastAsia" w:ascii="宋体" w:hAnsi="宋体" w:cs="宋体"/>
                <w:kern w:val="1"/>
                <w:sz w:val="24"/>
              </w:rPr>
              <w:t>企业地址</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172CDA20">
            <w:pPr>
              <w:wordWrap w:val="0"/>
              <w:jc w:val="center"/>
              <w:rPr>
                <w:rFonts w:ascii="宋体" w:hAnsi="宋体" w:cs="宋体"/>
                <w:kern w:val="1"/>
                <w:sz w:val="24"/>
              </w:rPr>
            </w:pPr>
          </w:p>
        </w:tc>
      </w:tr>
      <w:tr w14:paraId="1ACD6484">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41068301">
            <w:pPr>
              <w:wordWrap w:val="0"/>
              <w:jc w:val="center"/>
              <w:rPr>
                <w:rFonts w:ascii="宋体" w:hAnsi="宋体" w:cs="宋体"/>
                <w:kern w:val="1"/>
                <w:sz w:val="24"/>
              </w:rPr>
            </w:pPr>
            <w:r>
              <w:rPr>
                <w:rFonts w:hint="eastAsia" w:ascii="宋体" w:hAnsi="宋体" w:cs="宋体"/>
                <w:kern w:val="1"/>
                <w:sz w:val="24"/>
              </w:rPr>
              <w:t>项目经理</w:t>
            </w:r>
          </w:p>
        </w:tc>
        <w:tc>
          <w:tcPr>
            <w:tcW w:w="2552" w:type="dxa"/>
            <w:tcBorders>
              <w:top w:val="single" w:color="000000" w:sz="4" w:space="0"/>
              <w:left w:val="single" w:color="000000" w:sz="4" w:space="0"/>
              <w:bottom w:val="single" w:color="000000" w:sz="4" w:space="0"/>
              <w:right w:val="single" w:color="000000" w:sz="4" w:space="0"/>
            </w:tcBorders>
            <w:vAlign w:val="center"/>
          </w:tcPr>
          <w:p w14:paraId="43725895">
            <w:pPr>
              <w:wordWrap w:val="0"/>
              <w:jc w:val="center"/>
              <w:rPr>
                <w:rFonts w:ascii="宋体" w:hAnsi="宋体" w:cs="宋体"/>
                <w:kern w:val="1"/>
                <w:sz w:val="24"/>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943F079">
            <w:pPr>
              <w:wordWrap w:val="0"/>
              <w:jc w:val="center"/>
              <w:rPr>
                <w:rFonts w:ascii="宋体" w:hAnsi="宋体" w:cs="宋体"/>
                <w:kern w:val="1"/>
                <w:sz w:val="24"/>
              </w:rPr>
            </w:pPr>
            <w:r>
              <w:rPr>
                <w:rFonts w:hint="eastAsia" w:ascii="宋体" w:hAnsi="宋体" w:cs="宋体"/>
                <w:kern w:val="1"/>
                <w:sz w:val="24"/>
              </w:rPr>
              <w:t>证书名称及编号</w:t>
            </w:r>
          </w:p>
        </w:tc>
        <w:tc>
          <w:tcPr>
            <w:tcW w:w="2326" w:type="dxa"/>
            <w:tcBorders>
              <w:top w:val="single" w:color="000000" w:sz="4" w:space="0"/>
              <w:left w:val="single" w:color="000000" w:sz="4" w:space="0"/>
              <w:bottom w:val="single" w:color="000000" w:sz="4" w:space="0"/>
              <w:right w:val="single" w:color="000000" w:sz="4" w:space="0"/>
            </w:tcBorders>
            <w:vAlign w:val="center"/>
          </w:tcPr>
          <w:p w14:paraId="4807555D">
            <w:pPr>
              <w:wordWrap w:val="0"/>
              <w:jc w:val="center"/>
              <w:rPr>
                <w:rFonts w:ascii="宋体" w:hAnsi="宋体" w:cs="宋体"/>
                <w:kern w:val="1"/>
                <w:sz w:val="24"/>
              </w:rPr>
            </w:pPr>
          </w:p>
        </w:tc>
      </w:tr>
      <w:tr w14:paraId="17D04D05">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5FA0A5DA">
            <w:pPr>
              <w:wordWrap w:val="0"/>
              <w:jc w:val="center"/>
              <w:rPr>
                <w:rFonts w:ascii="宋体" w:hAnsi="宋体" w:cs="宋体"/>
                <w:kern w:val="1"/>
                <w:sz w:val="24"/>
              </w:rPr>
            </w:pPr>
            <w:r>
              <w:rPr>
                <w:rFonts w:hint="eastAsia" w:ascii="宋体" w:hAnsi="宋体" w:cs="宋体"/>
                <w:kern w:val="1"/>
                <w:sz w:val="24"/>
              </w:rPr>
              <w:t>技术负责人</w:t>
            </w:r>
          </w:p>
        </w:tc>
        <w:tc>
          <w:tcPr>
            <w:tcW w:w="2552" w:type="dxa"/>
            <w:tcBorders>
              <w:top w:val="single" w:color="000000" w:sz="4" w:space="0"/>
              <w:left w:val="single" w:color="000000" w:sz="4" w:space="0"/>
              <w:bottom w:val="single" w:color="000000" w:sz="4" w:space="0"/>
              <w:right w:val="single" w:color="000000" w:sz="4" w:space="0"/>
            </w:tcBorders>
            <w:vAlign w:val="center"/>
          </w:tcPr>
          <w:p w14:paraId="2A34A116">
            <w:pPr>
              <w:wordWrap w:val="0"/>
              <w:jc w:val="center"/>
              <w:rPr>
                <w:rFonts w:ascii="宋体" w:hAnsi="宋体" w:cs="宋体"/>
                <w:kern w:val="1"/>
                <w:sz w:val="24"/>
              </w:rPr>
            </w:pPr>
          </w:p>
        </w:tc>
        <w:tc>
          <w:tcPr>
            <w:tcW w:w="2012" w:type="dxa"/>
            <w:tcBorders>
              <w:top w:val="single" w:color="000000" w:sz="4" w:space="0"/>
              <w:left w:val="single" w:color="000000" w:sz="4" w:space="0"/>
              <w:bottom w:val="single" w:color="000000" w:sz="4" w:space="0"/>
              <w:right w:val="single" w:color="000000" w:sz="4" w:space="0"/>
            </w:tcBorders>
            <w:vAlign w:val="center"/>
          </w:tcPr>
          <w:p w14:paraId="1F7761F3">
            <w:pPr>
              <w:wordWrap w:val="0"/>
              <w:jc w:val="center"/>
              <w:rPr>
                <w:rFonts w:ascii="宋体" w:hAnsi="宋体" w:cs="宋体"/>
                <w:kern w:val="1"/>
                <w:sz w:val="24"/>
              </w:rPr>
            </w:pPr>
            <w:r>
              <w:rPr>
                <w:rFonts w:hint="eastAsia" w:ascii="宋体" w:hAnsi="宋体" w:cs="宋体"/>
                <w:kern w:val="1"/>
                <w:sz w:val="24"/>
              </w:rPr>
              <w:t>证书名称及编号</w:t>
            </w:r>
          </w:p>
        </w:tc>
        <w:tc>
          <w:tcPr>
            <w:tcW w:w="2326" w:type="dxa"/>
            <w:tcBorders>
              <w:top w:val="single" w:color="000000" w:sz="4" w:space="0"/>
              <w:left w:val="single" w:color="000000" w:sz="4" w:space="0"/>
              <w:bottom w:val="single" w:color="000000" w:sz="4" w:space="0"/>
              <w:right w:val="single" w:color="000000" w:sz="4" w:space="0"/>
            </w:tcBorders>
            <w:vAlign w:val="center"/>
          </w:tcPr>
          <w:p w14:paraId="549DF99B">
            <w:pPr>
              <w:wordWrap w:val="0"/>
              <w:jc w:val="center"/>
              <w:rPr>
                <w:rFonts w:ascii="宋体" w:hAnsi="宋体" w:cs="宋体"/>
                <w:kern w:val="1"/>
                <w:sz w:val="24"/>
              </w:rPr>
            </w:pPr>
          </w:p>
        </w:tc>
      </w:tr>
      <w:tr w14:paraId="4A39BF54">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6472B499">
            <w:pPr>
              <w:wordWrap w:val="0"/>
              <w:jc w:val="center"/>
              <w:rPr>
                <w:rFonts w:ascii="宋体" w:hAnsi="宋体" w:cs="宋体"/>
                <w:kern w:val="1"/>
                <w:sz w:val="24"/>
              </w:rPr>
            </w:pPr>
            <w:r>
              <w:rPr>
                <w:rFonts w:hint="eastAsia" w:ascii="宋体" w:hAnsi="宋体" w:cs="宋体"/>
                <w:kern w:val="1"/>
                <w:sz w:val="24"/>
              </w:rPr>
              <w:t>投标工期</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6214F1AF">
            <w:pPr>
              <w:wordWrap w:val="0"/>
              <w:jc w:val="center"/>
              <w:rPr>
                <w:rFonts w:ascii="宋体" w:hAnsi="宋体" w:cs="宋体"/>
                <w:kern w:val="1"/>
                <w:sz w:val="24"/>
              </w:rPr>
            </w:pPr>
          </w:p>
        </w:tc>
      </w:tr>
      <w:tr w14:paraId="166253B1">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7B9826DE">
            <w:pPr>
              <w:wordWrap w:val="0"/>
              <w:jc w:val="center"/>
              <w:rPr>
                <w:rFonts w:ascii="宋体" w:hAnsi="宋体" w:cs="宋体"/>
                <w:kern w:val="1"/>
                <w:sz w:val="24"/>
              </w:rPr>
            </w:pPr>
            <w:r>
              <w:rPr>
                <w:rFonts w:hint="eastAsia" w:ascii="宋体" w:hAnsi="宋体" w:cs="宋体"/>
                <w:kern w:val="1"/>
                <w:sz w:val="24"/>
              </w:rPr>
              <w:t>投标质量</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6828EE74">
            <w:pPr>
              <w:wordWrap w:val="0"/>
              <w:jc w:val="center"/>
              <w:rPr>
                <w:rFonts w:ascii="宋体" w:hAnsi="宋体" w:cs="宋体"/>
                <w:kern w:val="1"/>
                <w:sz w:val="24"/>
              </w:rPr>
            </w:pPr>
          </w:p>
        </w:tc>
      </w:tr>
      <w:tr w14:paraId="4A97D140">
        <w:tblPrEx>
          <w:tblCellMar>
            <w:top w:w="0" w:type="dxa"/>
            <w:left w:w="108" w:type="dxa"/>
            <w:bottom w:w="0" w:type="dxa"/>
            <w:right w:w="108" w:type="dxa"/>
          </w:tblCellMar>
        </w:tblPrEx>
        <w:trPr>
          <w:trHeight w:val="737" w:hRule="atLeast"/>
          <w:jc w:val="center"/>
        </w:trPr>
        <w:tc>
          <w:tcPr>
            <w:tcW w:w="2072" w:type="dxa"/>
            <w:tcBorders>
              <w:top w:val="single" w:color="000000" w:sz="4" w:space="0"/>
              <w:left w:val="single" w:color="000000" w:sz="4" w:space="0"/>
              <w:bottom w:val="single" w:color="000000" w:sz="4" w:space="0"/>
              <w:right w:val="single" w:color="000000" w:sz="4" w:space="0"/>
            </w:tcBorders>
            <w:vAlign w:val="center"/>
          </w:tcPr>
          <w:p w14:paraId="62BFC8DC">
            <w:pPr>
              <w:wordWrap w:val="0"/>
              <w:jc w:val="center"/>
              <w:rPr>
                <w:rFonts w:ascii="宋体" w:hAnsi="宋体" w:cs="宋体"/>
                <w:kern w:val="1"/>
                <w:sz w:val="24"/>
              </w:rPr>
            </w:pPr>
            <w:r>
              <w:rPr>
                <w:rFonts w:hint="eastAsia" w:ascii="宋体" w:hAnsi="宋体" w:cs="宋体"/>
                <w:kern w:val="1"/>
                <w:sz w:val="24"/>
              </w:rPr>
              <w:t>投标有效期</w:t>
            </w:r>
          </w:p>
        </w:tc>
        <w:tc>
          <w:tcPr>
            <w:tcW w:w="6890" w:type="dxa"/>
            <w:gridSpan w:val="3"/>
            <w:tcBorders>
              <w:top w:val="single" w:color="000000" w:sz="4" w:space="0"/>
              <w:left w:val="single" w:color="000000" w:sz="4" w:space="0"/>
              <w:bottom w:val="single" w:color="000000" w:sz="4" w:space="0"/>
              <w:right w:val="single" w:color="000000" w:sz="4" w:space="0"/>
            </w:tcBorders>
            <w:vAlign w:val="center"/>
          </w:tcPr>
          <w:p w14:paraId="694D6710">
            <w:pPr>
              <w:wordWrap w:val="0"/>
              <w:spacing w:line="360" w:lineRule="auto"/>
              <w:jc w:val="center"/>
              <w:textAlignment w:val="center"/>
              <w:rPr>
                <w:rFonts w:ascii="宋体" w:hAnsi="宋体"/>
                <w:sz w:val="24"/>
                <w:u w:val="single"/>
              </w:rPr>
            </w:pPr>
          </w:p>
        </w:tc>
      </w:tr>
      <w:tr w14:paraId="6CA8AD7D">
        <w:tblPrEx>
          <w:tblCellMar>
            <w:top w:w="0" w:type="dxa"/>
            <w:left w:w="108" w:type="dxa"/>
            <w:bottom w:w="0" w:type="dxa"/>
            <w:right w:w="108" w:type="dxa"/>
          </w:tblCellMar>
        </w:tblPrEx>
        <w:trPr>
          <w:trHeight w:val="737" w:hRule="atLeast"/>
          <w:jc w:val="center"/>
        </w:trPr>
        <w:tc>
          <w:tcPr>
            <w:tcW w:w="8962" w:type="dxa"/>
            <w:gridSpan w:val="4"/>
            <w:tcBorders>
              <w:top w:val="single" w:color="000000" w:sz="4" w:space="0"/>
              <w:left w:val="single" w:color="000000" w:sz="4" w:space="0"/>
              <w:bottom w:val="single" w:color="000000" w:sz="4" w:space="0"/>
              <w:right w:val="single" w:color="000000" w:sz="4" w:space="0"/>
            </w:tcBorders>
            <w:vAlign w:val="center"/>
          </w:tcPr>
          <w:p w14:paraId="6C6A295F">
            <w:pPr>
              <w:wordWrap w:val="0"/>
              <w:jc w:val="left"/>
              <w:rPr>
                <w:rFonts w:ascii="宋体" w:hAnsi="宋体" w:cs="宋体"/>
                <w:kern w:val="1"/>
                <w:sz w:val="24"/>
              </w:rPr>
            </w:pPr>
            <w:r>
              <w:rPr>
                <w:rFonts w:hint="eastAsia" w:ascii="宋体" w:hAnsi="宋体" w:cs="宋体"/>
                <w:sz w:val="24"/>
              </w:rPr>
              <w:t>填表说明：投标函附表中内容不允许缺项</w:t>
            </w:r>
          </w:p>
        </w:tc>
      </w:tr>
    </w:tbl>
    <w:p w14:paraId="17AD4405">
      <w:pPr>
        <w:widowControl/>
        <w:adjustRightInd w:val="0"/>
        <w:spacing w:line="600" w:lineRule="exact"/>
        <w:jc w:val="left"/>
        <w:rPr>
          <w:rFonts w:ascii="宋体" w:hAnsi="宋体" w:cs="宋体"/>
          <w:kern w:val="0"/>
          <w:sz w:val="24"/>
          <w:szCs w:val="24"/>
        </w:rPr>
      </w:pPr>
    </w:p>
    <w:p w14:paraId="36D8D445">
      <w:pPr>
        <w:widowControl/>
        <w:adjustRightInd w:val="0"/>
        <w:spacing w:line="320" w:lineRule="exact"/>
        <w:ind w:firstLine="3578" w:firstLineChars="1491"/>
        <w:jc w:val="left"/>
        <w:rPr>
          <w:rFonts w:ascii="宋体" w:hAnsi="宋体" w:cs="宋体"/>
          <w:kern w:val="0"/>
          <w:sz w:val="24"/>
          <w:szCs w:val="24"/>
        </w:rPr>
      </w:pPr>
      <w:r>
        <w:rPr>
          <w:rFonts w:hint="eastAsia" w:ascii="宋体" w:hAnsi="宋体" w:cs="宋体"/>
          <w:kern w:val="0"/>
          <w:sz w:val="24"/>
          <w:szCs w:val="24"/>
        </w:rPr>
        <w:t>投</w:t>
      </w:r>
      <w:r>
        <w:rPr>
          <w:rFonts w:ascii="宋体" w:hAnsi="宋体" w:cs="宋体"/>
          <w:kern w:val="0"/>
          <w:sz w:val="24"/>
          <w:szCs w:val="24"/>
        </w:rPr>
        <w:t xml:space="preserve"> </w:t>
      </w:r>
      <w:r>
        <w:rPr>
          <w:rFonts w:hint="eastAsia" w:ascii="宋体" w:hAnsi="宋体" w:cs="宋体"/>
          <w:kern w:val="0"/>
          <w:sz w:val="24"/>
          <w:szCs w:val="24"/>
        </w:rPr>
        <w:t>标</w:t>
      </w:r>
      <w:r>
        <w:rPr>
          <w:rFonts w:ascii="宋体" w:hAnsi="宋体" w:cs="宋体"/>
          <w:kern w:val="0"/>
          <w:sz w:val="24"/>
          <w:szCs w:val="24"/>
        </w:rPr>
        <w:t xml:space="preserve"> </w:t>
      </w:r>
      <w:r>
        <w:rPr>
          <w:rFonts w:hint="eastAsia" w:ascii="宋体" w:hAnsi="宋体" w:cs="宋体"/>
          <w:kern w:val="0"/>
          <w:sz w:val="24"/>
          <w:szCs w:val="24"/>
        </w:rPr>
        <w:t>人：</w:t>
      </w:r>
      <w:r>
        <w:rPr>
          <w:rFonts w:ascii="宋体" w:hAnsi="宋体" w:cs="宋体"/>
          <w:kern w:val="0"/>
          <w:sz w:val="24"/>
          <w:szCs w:val="24"/>
          <w:u w:val="single"/>
        </w:rPr>
        <w:t xml:space="preserve">                   </w:t>
      </w:r>
      <w:r>
        <w:rPr>
          <w:rFonts w:hint="eastAsia" w:ascii="宋体" w:hAnsi="宋体" w:cs="宋体"/>
          <w:kern w:val="0"/>
          <w:sz w:val="24"/>
          <w:szCs w:val="24"/>
        </w:rPr>
        <w:t>（盖单位公章）</w:t>
      </w:r>
    </w:p>
    <w:p w14:paraId="4B35199F">
      <w:pPr>
        <w:widowControl/>
        <w:adjustRightInd w:val="0"/>
        <w:spacing w:line="320" w:lineRule="exact"/>
        <w:ind w:firstLine="3578" w:firstLineChars="1491"/>
        <w:jc w:val="left"/>
        <w:rPr>
          <w:rFonts w:ascii="宋体" w:hAnsi="宋体" w:cs="宋体"/>
          <w:kern w:val="0"/>
          <w:sz w:val="24"/>
          <w:szCs w:val="24"/>
        </w:rPr>
      </w:pPr>
      <w:r>
        <w:rPr>
          <w:rFonts w:ascii="宋体" w:hAnsi="宋体" w:cs="宋体"/>
          <w:kern w:val="0"/>
          <w:sz w:val="24"/>
          <w:szCs w:val="24"/>
        </w:rPr>
        <w:t xml:space="preserve">                                 </w:t>
      </w:r>
    </w:p>
    <w:p w14:paraId="26100133">
      <w:pPr>
        <w:widowControl/>
        <w:adjustRightInd w:val="0"/>
        <w:spacing w:line="320" w:lineRule="exact"/>
        <w:ind w:firstLine="3578" w:firstLineChars="1491"/>
        <w:jc w:val="left"/>
        <w:rPr>
          <w:rFonts w:ascii="宋体" w:hAnsi="宋体" w:cs="宋体"/>
          <w:kern w:val="0"/>
          <w:sz w:val="24"/>
          <w:szCs w:val="24"/>
        </w:rPr>
      </w:pPr>
      <w:r>
        <w:rPr>
          <w:rFonts w:hint="eastAsia" w:ascii="宋体" w:hAnsi="宋体" w:cs="宋体"/>
          <w:kern w:val="0"/>
          <w:sz w:val="24"/>
          <w:szCs w:val="24"/>
        </w:rPr>
        <w:t>法定代表人：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（签字或盖章）</w:t>
      </w:r>
    </w:p>
    <w:p w14:paraId="24819635">
      <w:pPr>
        <w:widowControl/>
        <w:adjustRightInd w:val="0"/>
        <w:spacing w:line="320" w:lineRule="exact"/>
        <w:ind w:firstLine="3578" w:firstLineChars="1491"/>
        <w:jc w:val="left"/>
        <w:rPr>
          <w:rFonts w:ascii="宋体" w:hAnsi="宋体" w:cs="宋体"/>
          <w:kern w:val="0"/>
          <w:sz w:val="24"/>
          <w:szCs w:val="24"/>
          <w:u w:val="single"/>
        </w:rPr>
      </w:pPr>
      <w:r>
        <w:rPr>
          <w:rFonts w:ascii="宋体" w:hAnsi="宋体" w:cs="宋体"/>
          <w:kern w:val="0"/>
          <w:sz w:val="24"/>
          <w:szCs w:val="24"/>
        </w:rPr>
        <w:t xml:space="preserve">           </w:t>
      </w:r>
    </w:p>
    <w:p w14:paraId="6C7DBED2">
      <w:pPr>
        <w:spacing w:line="440" w:lineRule="exact"/>
        <w:ind w:firstLine="3578" w:firstLineChars="1491"/>
        <w:rPr>
          <w:rFonts w:ascii="宋体" w:hAnsi="宋体" w:cs="宋体"/>
          <w:b/>
          <w:sz w:val="24"/>
          <w:szCs w:val="24"/>
        </w:rPr>
      </w:pPr>
      <w:r>
        <w:rPr>
          <w:rFonts w:hint="eastAsia" w:ascii="宋体" w:hAnsi="宋体" w:cs="宋体"/>
          <w:kern w:val="0"/>
          <w:sz w:val="24"/>
          <w:szCs w:val="24"/>
        </w:rPr>
        <w:t>日     期：</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年</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月</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日</w:t>
      </w:r>
    </w:p>
    <w:p w14:paraId="569186C2">
      <w:pPr>
        <w:pStyle w:val="3"/>
        <w:numPr>
          <w:ilvl w:val="0"/>
          <w:numId w:val="2"/>
        </w:numPr>
        <w:jc w:val="center"/>
        <w:rPr>
          <w:rFonts w:ascii="宋体" w:hAnsi="宋体"/>
        </w:rPr>
      </w:pPr>
      <w:r>
        <w:rPr>
          <w:rFonts w:ascii="宋体" w:hAnsi="宋体"/>
        </w:rPr>
        <w:br w:type="page"/>
      </w:r>
      <w:bookmarkStart w:id="590" w:name="_Toc3740"/>
      <w:bookmarkStart w:id="591" w:name="_Toc12192"/>
      <w:bookmarkStart w:id="592" w:name="_Toc3452"/>
      <w:r>
        <w:rPr>
          <w:rFonts w:ascii="宋体" w:hAnsi="宋体"/>
        </w:rPr>
        <w:t>法定代表人身份证明</w:t>
      </w:r>
      <w:bookmarkEnd w:id="582"/>
      <w:bookmarkEnd w:id="583"/>
      <w:bookmarkEnd w:id="584"/>
      <w:bookmarkEnd w:id="585"/>
      <w:bookmarkEnd w:id="586"/>
      <w:bookmarkEnd w:id="587"/>
      <w:bookmarkEnd w:id="588"/>
      <w:bookmarkEnd w:id="589"/>
      <w:bookmarkEnd w:id="590"/>
      <w:r>
        <w:rPr>
          <w:rFonts w:hint="eastAsia" w:ascii="宋体" w:hAnsi="宋体"/>
        </w:rPr>
        <w:t>及</w:t>
      </w:r>
      <w:r>
        <w:rPr>
          <w:rFonts w:cs="Arial"/>
        </w:rPr>
        <w:t>授权委托书</w:t>
      </w:r>
      <w:bookmarkEnd w:id="591"/>
      <w:bookmarkEnd w:id="592"/>
    </w:p>
    <w:p w14:paraId="655BD7EC">
      <w:pPr>
        <w:pStyle w:val="3"/>
        <w:jc w:val="center"/>
        <w:rPr>
          <w:rFonts w:ascii="宋体" w:hAnsi="宋体" w:cs="宋体"/>
        </w:rPr>
      </w:pPr>
      <w:bookmarkStart w:id="593" w:name="_Toc11390"/>
      <w:bookmarkStart w:id="594" w:name="_Toc18956"/>
      <w:r>
        <w:rPr>
          <w:rFonts w:hint="eastAsia" w:ascii="宋体" w:hAnsi="宋体" w:cs="宋体"/>
        </w:rPr>
        <w:t>（一）法定代表人身份证明</w:t>
      </w:r>
      <w:bookmarkEnd w:id="593"/>
      <w:bookmarkEnd w:id="594"/>
    </w:p>
    <w:p w14:paraId="0365CE77">
      <w:pPr>
        <w:spacing w:line="480" w:lineRule="auto"/>
        <w:rPr>
          <w:rFonts w:ascii="宋体" w:hAnsi="宋体"/>
          <w:sz w:val="24"/>
        </w:rPr>
      </w:pPr>
      <w:r>
        <w:rPr>
          <w:rFonts w:ascii="宋体" w:hAnsi="宋体"/>
          <w:sz w:val="24"/>
        </w:rPr>
        <w:t>投标人名称：</w:t>
      </w:r>
      <w:r>
        <w:rPr>
          <w:rFonts w:ascii="宋体" w:hAnsi="宋体"/>
          <w:sz w:val="24"/>
          <w:u w:val="single"/>
        </w:rPr>
        <w:t xml:space="preserve">                            </w:t>
      </w:r>
      <w:r>
        <w:rPr>
          <w:rFonts w:ascii="宋体" w:hAnsi="宋体"/>
          <w:sz w:val="24"/>
        </w:rPr>
        <w:t xml:space="preserve"> </w:t>
      </w:r>
    </w:p>
    <w:p w14:paraId="7397952C">
      <w:pPr>
        <w:spacing w:line="480" w:lineRule="auto"/>
        <w:rPr>
          <w:rFonts w:ascii="宋体" w:hAnsi="宋体"/>
          <w:sz w:val="24"/>
        </w:rPr>
      </w:pPr>
      <w:r>
        <w:rPr>
          <w:rFonts w:ascii="宋体" w:hAnsi="宋体"/>
          <w:sz w:val="24"/>
        </w:rPr>
        <w:t>单位性质：</w:t>
      </w:r>
      <w:r>
        <w:rPr>
          <w:rFonts w:ascii="宋体" w:hAnsi="宋体"/>
          <w:sz w:val="24"/>
          <w:u w:val="single"/>
        </w:rPr>
        <w:t xml:space="preserve">                               </w:t>
      </w:r>
      <w:r>
        <w:rPr>
          <w:rFonts w:ascii="宋体" w:hAnsi="宋体"/>
          <w:sz w:val="24"/>
        </w:rPr>
        <w:t xml:space="preserve"> </w:t>
      </w:r>
    </w:p>
    <w:p w14:paraId="3082694C">
      <w:pPr>
        <w:spacing w:line="480" w:lineRule="auto"/>
        <w:rPr>
          <w:rFonts w:ascii="宋体" w:hAnsi="宋体"/>
          <w:sz w:val="24"/>
        </w:rPr>
      </w:pPr>
      <w:r>
        <w:rPr>
          <w:rFonts w:ascii="宋体" w:hAnsi="宋体"/>
          <w:sz w:val="24"/>
        </w:rPr>
        <w:t>地址：</w:t>
      </w:r>
      <w:r>
        <w:rPr>
          <w:rFonts w:ascii="宋体" w:hAnsi="宋体"/>
          <w:sz w:val="24"/>
          <w:u w:val="single"/>
        </w:rPr>
        <w:t xml:space="preserve">                                   </w:t>
      </w:r>
    </w:p>
    <w:p w14:paraId="7E37B78A">
      <w:pPr>
        <w:spacing w:line="480" w:lineRule="auto"/>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002B9C0E">
      <w:pPr>
        <w:spacing w:line="480" w:lineRule="auto"/>
        <w:rPr>
          <w:rFonts w:ascii="宋体" w:hAnsi="宋体"/>
          <w:sz w:val="24"/>
        </w:rPr>
      </w:pPr>
      <w:r>
        <w:rPr>
          <w:rFonts w:ascii="宋体" w:hAnsi="宋体"/>
          <w:sz w:val="24"/>
        </w:rPr>
        <w:t>经营期限：</w:t>
      </w:r>
      <w:r>
        <w:rPr>
          <w:rFonts w:ascii="宋体" w:hAnsi="宋体"/>
          <w:sz w:val="24"/>
          <w:u w:val="single"/>
        </w:rPr>
        <w:t xml:space="preserve">                               </w:t>
      </w:r>
    </w:p>
    <w:p w14:paraId="16B5BC41">
      <w:pPr>
        <w:spacing w:line="480" w:lineRule="auto"/>
        <w:rPr>
          <w:rFonts w:ascii="宋体" w:hAnsi="宋体"/>
          <w:sz w:val="24"/>
        </w:rPr>
      </w:pPr>
      <w:r>
        <w:rPr>
          <w:rFonts w:ascii="宋体" w:hAnsi="宋体"/>
          <w:sz w:val="24"/>
        </w:rPr>
        <w:t>姓名：</w:t>
      </w:r>
      <w:r>
        <w:rPr>
          <w:rFonts w:ascii="宋体" w:hAnsi="宋体"/>
          <w:sz w:val="24"/>
          <w:u w:val="single"/>
        </w:rPr>
        <w:t xml:space="preserve">        </w:t>
      </w:r>
      <w:r>
        <w:rPr>
          <w:rFonts w:hint="eastAsia" w:ascii="宋体" w:hAnsi="宋体"/>
          <w:sz w:val="24"/>
          <w:u w:val="single"/>
        </w:rPr>
        <w:t xml:space="preserve"> </w:t>
      </w:r>
      <w:r>
        <w:rPr>
          <w:rFonts w:ascii="宋体" w:hAnsi="宋体"/>
          <w:sz w:val="24"/>
        </w:rPr>
        <w:t xml:space="preserve"> 性别：</w:t>
      </w:r>
      <w:r>
        <w:rPr>
          <w:rFonts w:ascii="宋体" w:hAnsi="宋体"/>
          <w:sz w:val="24"/>
          <w:u w:val="single"/>
        </w:rPr>
        <w:t xml:space="preserve">         </w:t>
      </w:r>
      <w:r>
        <w:rPr>
          <w:rFonts w:ascii="宋体" w:hAnsi="宋体"/>
          <w:sz w:val="24"/>
        </w:rPr>
        <w:t>年龄：</w:t>
      </w:r>
      <w:r>
        <w:rPr>
          <w:rFonts w:ascii="宋体" w:hAnsi="宋体"/>
          <w:sz w:val="24"/>
          <w:u w:val="single"/>
        </w:rPr>
        <w:t xml:space="preserve">        </w:t>
      </w:r>
      <w:r>
        <w:rPr>
          <w:rFonts w:ascii="宋体" w:hAnsi="宋体"/>
          <w:sz w:val="24"/>
        </w:rPr>
        <w:t>职务：</w:t>
      </w:r>
      <w:r>
        <w:rPr>
          <w:rFonts w:ascii="宋体" w:hAnsi="宋体"/>
          <w:sz w:val="24"/>
          <w:u w:val="single"/>
        </w:rPr>
        <w:t xml:space="preserve">        </w:t>
      </w:r>
    </w:p>
    <w:p w14:paraId="25AD144B">
      <w:pPr>
        <w:spacing w:line="480" w:lineRule="auto"/>
        <w:rPr>
          <w:rFonts w:ascii="宋体" w:hAnsi="宋体"/>
          <w:sz w:val="24"/>
        </w:rPr>
      </w:pPr>
      <w:r>
        <w:rPr>
          <w:rFonts w:ascii="宋体" w:hAnsi="宋体"/>
          <w:sz w:val="24"/>
        </w:rPr>
        <w:t>系</w:t>
      </w:r>
      <w:r>
        <w:rPr>
          <w:rFonts w:ascii="宋体" w:hAnsi="宋体"/>
          <w:sz w:val="24"/>
          <w:u w:val="single"/>
        </w:rPr>
        <w:t xml:space="preserve">                             </w:t>
      </w:r>
      <w:r>
        <w:rPr>
          <w:rFonts w:ascii="宋体" w:hAnsi="宋体"/>
          <w:sz w:val="24"/>
        </w:rPr>
        <w:t xml:space="preserve"> </w:t>
      </w:r>
      <w:r>
        <w:rPr>
          <w:rFonts w:hint="eastAsia" w:ascii="宋体" w:hAnsi="宋体"/>
          <w:sz w:val="24"/>
        </w:rPr>
        <w:t>（</w:t>
      </w:r>
      <w:r>
        <w:rPr>
          <w:rFonts w:ascii="宋体" w:hAnsi="宋体"/>
          <w:sz w:val="24"/>
        </w:rPr>
        <w:t>投标人名称</w:t>
      </w:r>
      <w:r>
        <w:rPr>
          <w:rFonts w:hint="eastAsia" w:ascii="宋体" w:hAnsi="宋体"/>
          <w:sz w:val="24"/>
        </w:rPr>
        <w:t>）</w:t>
      </w:r>
      <w:r>
        <w:rPr>
          <w:rFonts w:ascii="宋体" w:hAnsi="宋体"/>
          <w:sz w:val="24"/>
        </w:rPr>
        <w:t>的法定代表人。</w:t>
      </w:r>
    </w:p>
    <w:p w14:paraId="34E05BC3">
      <w:pPr>
        <w:spacing w:line="480" w:lineRule="auto"/>
        <w:ind w:firstLine="480" w:firstLineChars="200"/>
        <w:rPr>
          <w:rFonts w:ascii="宋体" w:hAnsi="宋体"/>
          <w:sz w:val="24"/>
        </w:rPr>
      </w:pPr>
      <w:r>
        <w:rPr>
          <w:rFonts w:ascii="宋体" w:hAnsi="宋体"/>
          <w:sz w:val="24"/>
        </w:rPr>
        <w:t>特此证明。</w:t>
      </w:r>
    </w:p>
    <w:p w14:paraId="0CAF82F6">
      <w:pPr>
        <w:spacing w:line="480" w:lineRule="auto"/>
        <w:rPr>
          <w:rFonts w:ascii="宋体" w:hAnsi="宋体"/>
          <w:sz w:val="24"/>
        </w:rPr>
      </w:pPr>
    </w:p>
    <w:p w14:paraId="3A138FA9">
      <w:pPr>
        <w:spacing w:line="480" w:lineRule="auto"/>
        <w:rPr>
          <w:rFonts w:ascii="宋体" w:hAnsi="宋体"/>
          <w:sz w:val="24"/>
        </w:rPr>
      </w:pPr>
    </w:p>
    <w:p w14:paraId="7979848F">
      <w:pPr>
        <w:spacing w:line="480" w:lineRule="auto"/>
        <w:rPr>
          <w:rFonts w:ascii="宋体" w:hAnsi="宋体"/>
          <w:sz w:val="24"/>
        </w:rPr>
      </w:pPr>
      <w:r>
        <w:rPr>
          <w:rFonts w:ascii="宋体" w:hAnsi="宋体"/>
          <w:sz w:val="24"/>
        </w:rPr>
        <w:t xml:space="preserve">                          投标人：</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（盖单位</w:t>
      </w:r>
      <w:r>
        <w:rPr>
          <w:rFonts w:hint="eastAsia" w:ascii="宋体" w:hAnsi="宋体"/>
          <w:sz w:val="24"/>
        </w:rPr>
        <w:t>公</w:t>
      </w:r>
      <w:r>
        <w:rPr>
          <w:rFonts w:ascii="宋体" w:hAnsi="宋体"/>
          <w:sz w:val="24"/>
        </w:rPr>
        <w:t>章）</w:t>
      </w:r>
    </w:p>
    <w:p w14:paraId="16D52E65">
      <w:pPr>
        <w:adjustRightInd w:val="0"/>
        <w:spacing w:line="480" w:lineRule="auto"/>
        <w:rPr>
          <w:rFonts w:ascii="宋体" w:hAnsi="宋体"/>
          <w:sz w:val="24"/>
        </w:rPr>
      </w:pPr>
      <w:r>
        <w:rPr>
          <w:rFonts w:ascii="宋体" w:hAnsi="宋体"/>
          <w:sz w:val="24"/>
        </w:rPr>
        <w:t xml:space="preserve">                          </w:t>
      </w:r>
      <w:r>
        <w:rPr>
          <w:rFonts w:hint="eastAsia" w:ascii="宋体" w:hAnsi="宋体"/>
          <w:sz w:val="24"/>
        </w:rPr>
        <w:t>日  期：</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 xml:space="preserve">日           </w:t>
      </w:r>
    </w:p>
    <w:p w14:paraId="31774236">
      <w:pPr>
        <w:adjustRightInd w:val="0"/>
        <w:spacing w:line="440" w:lineRule="exact"/>
        <w:jc w:val="center"/>
        <w:rPr>
          <w:rFonts w:ascii="宋体" w:hAnsi="宋体"/>
          <w:sz w:val="20"/>
          <w:szCs w:val="20"/>
        </w:rPr>
      </w:pPr>
    </w:p>
    <w:p w14:paraId="4A4D1973">
      <w:pPr>
        <w:spacing w:before="312" w:beforeLines="100" w:after="156" w:afterLines="50"/>
        <w:jc w:val="center"/>
        <w:rPr>
          <w:rFonts w:ascii="宋体" w:hAnsi="宋体"/>
          <w:b/>
          <w:sz w:val="28"/>
          <w:szCs w:val="28"/>
        </w:rPr>
      </w:pPr>
      <w:r>
        <w:rPr>
          <w:rFonts w:hint="eastAsia" w:ascii="宋体" w:hAnsi="宋体"/>
          <w:b/>
          <w:sz w:val="28"/>
          <w:szCs w:val="28"/>
        </w:rPr>
        <w:t>（后附法定代表人身份证正反面扫描件）</w:t>
      </w:r>
    </w:p>
    <w:p w14:paraId="046AE599">
      <w:pPr>
        <w:adjustRightInd w:val="0"/>
        <w:spacing w:line="440" w:lineRule="exact"/>
        <w:jc w:val="center"/>
        <w:rPr>
          <w:rFonts w:ascii="宋体" w:hAnsi="宋体"/>
          <w:sz w:val="20"/>
          <w:szCs w:val="20"/>
        </w:rPr>
      </w:pPr>
    </w:p>
    <w:p w14:paraId="1F672E9B">
      <w:pPr>
        <w:adjustRightInd w:val="0"/>
        <w:spacing w:line="440" w:lineRule="exact"/>
        <w:jc w:val="center"/>
        <w:rPr>
          <w:rFonts w:ascii="宋体" w:hAnsi="宋体"/>
          <w:sz w:val="20"/>
          <w:szCs w:val="20"/>
        </w:rPr>
      </w:pPr>
    </w:p>
    <w:p w14:paraId="07F19C3E">
      <w:pPr>
        <w:adjustRightInd w:val="0"/>
        <w:spacing w:line="440" w:lineRule="exact"/>
        <w:jc w:val="center"/>
        <w:rPr>
          <w:rFonts w:ascii="宋体" w:hAnsi="宋体"/>
          <w:sz w:val="20"/>
          <w:szCs w:val="20"/>
        </w:rPr>
      </w:pPr>
    </w:p>
    <w:p w14:paraId="7145F088">
      <w:pPr>
        <w:adjustRightInd w:val="0"/>
        <w:spacing w:line="440" w:lineRule="exact"/>
        <w:jc w:val="center"/>
        <w:rPr>
          <w:rFonts w:ascii="宋体" w:hAnsi="宋体"/>
          <w:sz w:val="20"/>
          <w:szCs w:val="20"/>
        </w:rPr>
      </w:pPr>
    </w:p>
    <w:p w14:paraId="5382A319">
      <w:pPr>
        <w:adjustRightInd w:val="0"/>
        <w:spacing w:line="440" w:lineRule="exact"/>
        <w:jc w:val="center"/>
        <w:rPr>
          <w:rFonts w:ascii="宋体" w:hAnsi="宋体"/>
          <w:sz w:val="20"/>
          <w:szCs w:val="20"/>
        </w:rPr>
      </w:pPr>
    </w:p>
    <w:p w14:paraId="02AD1BA8">
      <w:pPr>
        <w:adjustRightInd w:val="0"/>
        <w:spacing w:line="440" w:lineRule="exact"/>
        <w:jc w:val="center"/>
        <w:rPr>
          <w:rFonts w:ascii="宋体" w:hAnsi="宋体"/>
          <w:sz w:val="20"/>
          <w:szCs w:val="20"/>
        </w:rPr>
      </w:pPr>
    </w:p>
    <w:p w14:paraId="73BAF7B2">
      <w:pPr>
        <w:pStyle w:val="19"/>
        <w:ind w:firstLine="0"/>
        <w:rPr>
          <w:rFonts w:ascii="宋体" w:hAnsi="宋体" w:eastAsia="宋体"/>
          <w:color w:val="auto"/>
        </w:rPr>
      </w:pPr>
      <w:bookmarkStart w:id="595" w:name="_Toc246997105"/>
      <w:bookmarkStart w:id="596" w:name="_Toc247085880"/>
      <w:bookmarkStart w:id="597" w:name="_Toc246996362"/>
      <w:bookmarkStart w:id="598" w:name="_Toc144974862"/>
      <w:bookmarkStart w:id="599" w:name="_Toc152042583"/>
      <w:bookmarkStart w:id="600" w:name="_Toc179632814"/>
      <w:bookmarkStart w:id="601" w:name="_Toc152045794"/>
      <w:bookmarkStart w:id="602" w:name="_Toc296602607"/>
    </w:p>
    <w:p w14:paraId="586DDC73">
      <w:pPr>
        <w:pStyle w:val="3"/>
        <w:jc w:val="center"/>
        <w:rPr>
          <w:rFonts w:ascii="宋体" w:hAnsi="宋体" w:cs="宋体"/>
        </w:rPr>
      </w:pPr>
      <w:bookmarkStart w:id="603" w:name="_Toc3423"/>
      <w:bookmarkStart w:id="604" w:name="_Toc5124"/>
      <w:bookmarkStart w:id="605" w:name="_Toc5983"/>
      <w:bookmarkStart w:id="606" w:name="_Toc11236"/>
      <w:r>
        <w:rPr>
          <w:rFonts w:hint="eastAsia" w:ascii="宋体" w:hAnsi="宋体" w:cs="宋体"/>
        </w:rPr>
        <w:t>（二）授权委托书</w:t>
      </w:r>
      <w:bookmarkEnd w:id="603"/>
      <w:bookmarkEnd w:id="604"/>
      <w:bookmarkEnd w:id="605"/>
    </w:p>
    <w:p w14:paraId="5ABF21DB">
      <w:pPr>
        <w:spacing w:line="500" w:lineRule="exact"/>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 修改</w:t>
      </w:r>
      <w:r>
        <w:rPr>
          <w:rFonts w:hint="eastAsia" w:ascii="宋体" w:hAnsi="宋体" w:cs="宋体"/>
          <w:sz w:val="24"/>
          <w:u w:val="single"/>
        </w:rPr>
        <w:t xml:space="preserve">              </w:t>
      </w:r>
      <w:r>
        <w:rPr>
          <w:rFonts w:hint="eastAsia" w:ascii="宋体" w:hAnsi="宋体" w:cs="宋体"/>
          <w:sz w:val="24"/>
        </w:rPr>
        <w:t>（项目名称）投标文件、签订合同和处理有关事宜，其法律后果由我方承担。</w:t>
      </w:r>
    </w:p>
    <w:p w14:paraId="2BA7A52C">
      <w:pPr>
        <w:spacing w:line="500" w:lineRule="exact"/>
        <w:ind w:firstLine="480" w:firstLineChars="200"/>
        <w:rPr>
          <w:rFonts w:ascii="宋体" w:hAnsi="宋体" w:cs="宋体"/>
          <w:sz w:val="24"/>
        </w:rPr>
      </w:pPr>
      <w:r>
        <w:rPr>
          <w:rFonts w:hint="eastAsia" w:ascii="宋体" w:hAnsi="宋体" w:cs="宋体"/>
          <w:sz w:val="24"/>
        </w:rPr>
        <w:t xml:space="preserve">委托期限： </w:t>
      </w:r>
    </w:p>
    <w:p w14:paraId="18D5B080">
      <w:pPr>
        <w:spacing w:line="500" w:lineRule="exact"/>
        <w:ind w:firstLine="480" w:firstLineChars="200"/>
        <w:rPr>
          <w:rFonts w:ascii="宋体" w:hAnsi="宋体" w:cs="宋体"/>
          <w:sz w:val="24"/>
        </w:rPr>
      </w:pPr>
      <w:r>
        <w:rPr>
          <w:rFonts w:hint="eastAsia" w:ascii="宋体" w:hAnsi="宋体" w:cs="宋体"/>
          <w:sz w:val="24"/>
        </w:rPr>
        <w:t xml:space="preserve">代理人无转委托权。 </w:t>
      </w:r>
    </w:p>
    <w:p w14:paraId="4886F2A1">
      <w:pPr>
        <w:spacing w:line="500" w:lineRule="exact"/>
        <w:ind w:firstLine="480" w:firstLineChars="200"/>
        <w:rPr>
          <w:rFonts w:ascii="宋体" w:hAnsi="宋体" w:cs="宋体"/>
          <w:sz w:val="24"/>
        </w:rPr>
      </w:pPr>
      <w:r>
        <w:rPr>
          <w:rFonts w:hint="eastAsia" w:ascii="宋体" w:hAnsi="宋体" w:cs="宋体"/>
          <w:sz w:val="24"/>
        </w:rPr>
        <w:t>附：法定代表人身份证明及委托人身份证明</w:t>
      </w:r>
    </w:p>
    <w:p w14:paraId="58D43C1C">
      <w:pPr>
        <w:spacing w:line="500" w:lineRule="exact"/>
        <w:ind w:firstLine="480" w:firstLineChars="200"/>
        <w:rPr>
          <w:rFonts w:ascii="宋体" w:hAnsi="宋体" w:cs="宋体"/>
          <w:sz w:val="24"/>
        </w:rPr>
      </w:pPr>
    </w:p>
    <w:p w14:paraId="5E874927">
      <w:pPr>
        <w:spacing w:line="500" w:lineRule="exact"/>
        <w:ind w:firstLine="480" w:firstLineChars="200"/>
        <w:rPr>
          <w:rFonts w:ascii="宋体" w:hAnsi="宋体" w:cs="宋体"/>
          <w:sz w:val="24"/>
        </w:rPr>
      </w:pPr>
    </w:p>
    <w:p w14:paraId="46686FEE">
      <w:pPr>
        <w:spacing w:line="500" w:lineRule="exact"/>
        <w:ind w:firstLine="480" w:firstLineChars="200"/>
        <w:rPr>
          <w:rFonts w:ascii="宋体" w:hAnsi="宋体" w:cs="宋体"/>
          <w:sz w:val="24"/>
        </w:rPr>
      </w:pPr>
    </w:p>
    <w:p w14:paraId="78F3D4FA">
      <w:pPr>
        <w:spacing w:line="500" w:lineRule="exact"/>
        <w:ind w:firstLine="480" w:firstLineChars="200"/>
        <w:rPr>
          <w:rFonts w:ascii="宋体" w:hAnsi="宋体" w:cs="宋体"/>
          <w:sz w:val="24"/>
        </w:rPr>
      </w:pPr>
    </w:p>
    <w:p w14:paraId="2FD18F97">
      <w:pPr>
        <w:spacing w:line="500" w:lineRule="exact"/>
        <w:ind w:firstLine="480" w:firstLineChars="2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14:paraId="43449A74">
      <w:pPr>
        <w:spacing w:line="500" w:lineRule="exact"/>
        <w:ind w:firstLine="480" w:firstLineChars="2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w:t>
      </w:r>
      <w:r>
        <w:rPr>
          <w:rFonts w:hint="eastAsia" w:ascii="宋体" w:hAnsi="宋体"/>
          <w:kern w:val="0"/>
          <w:sz w:val="24"/>
        </w:rPr>
        <w:t>签字或盖章</w:t>
      </w:r>
      <w:r>
        <w:rPr>
          <w:rFonts w:hint="eastAsia" w:ascii="宋体" w:hAnsi="宋体" w:cs="宋体"/>
          <w:sz w:val="24"/>
        </w:rPr>
        <w:t>）</w:t>
      </w:r>
    </w:p>
    <w:p w14:paraId="23A7D055">
      <w:pPr>
        <w:spacing w:line="500" w:lineRule="exact"/>
        <w:ind w:firstLine="480" w:firstLineChars="20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425C337">
      <w:pPr>
        <w:spacing w:line="500" w:lineRule="exact"/>
        <w:ind w:firstLine="480" w:firstLineChars="200"/>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w:t>
      </w:r>
      <w:r>
        <w:rPr>
          <w:rFonts w:hint="eastAsia" w:ascii="宋体" w:hAnsi="宋体"/>
          <w:kern w:val="0"/>
          <w:sz w:val="24"/>
        </w:rPr>
        <w:t>签字或盖章</w:t>
      </w:r>
      <w:r>
        <w:rPr>
          <w:rFonts w:hint="eastAsia" w:ascii="宋体" w:hAnsi="宋体" w:cs="宋体"/>
          <w:sz w:val="24"/>
        </w:rPr>
        <w:t>）</w:t>
      </w:r>
    </w:p>
    <w:p w14:paraId="61FCA412">
      <w:pPr>
        <w:spacing w:line="500" w:lineRule="exact"/>
        <w:ind w:firstLine="480" w:firstLineChars="2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6BCBD76">
      <w:pPr>
        <w:spacing w:line="500" w:lineRule="exact"/>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5E2EB17">
      <w:pPr>
        <w:pStyle w:val="7"/>
        <w:spacing w:line="500" w:lineRule="exact"/>
        <w:ind w:firstLine="480" w:firstLineChars="200"/>
        <w:rPr>
          <w:rFonts w:ascii="宋体" w:hAnsi="宋体" w:cs="宋体"/>
          <w:sz w:val="24"/>
        </w:rPr>
      </w:pPr>
    </w:p>
    <w:p w14:paraId="19480F20">
      <w:pPr>
        <w:pStyle w:val="7"/>
        <w:rPr>
          <w:rFonts w:ascii="宋体" w:hAnsi="宋体" w:cs="宋体"/>
          <w:sz w:val="24"/>
        </w:rPr>
      </w:pPr>
    </w:p>
    <w:p w14:paraId="0699CF52">
      <w:pPr>
        <w:pStyle w:val="7"/>
        <w:rPr>
          <w:rFonts w:ascii="宋体" w:hAnsi="宋体" w:cs="宋体"/>
          <w:sz w:val="24"/>
        </w:rPr>
      </w:pPr>
    </w:p>
    <w:p w14:paraId="755006AA">
      <w:pPr>
        <w:pStyle w:val="7"/>
        <w:rPr>
          <w:rFonts w:ascii="宋体" w:hAnsi="宋体" w:cs="宋体"/>
          <w:sz w:val="24"/>
        </w:rPr>
      </w:pPr>
    </w:p>
    <w:p w14:paraId="5291AC5B">
      <w:pPr>
        <w:pStyle w:val="18"/>
        <w:rPr>
          <w:rFonts w:hint="eastAsia" w:ascii="宋体" w:hAnsi="宋体" w:cs="宋体"/>
          <w:b/>
          <w:bCs/>
          <w:sz w:val="24"/>
        </w:rPr>
      </w:pPr>
    </w:p>
    <w:p w14:paraId="55493C1C">
      <w:pPr>
        <w:pStyle w:val="19"/>
      </w:pPr>
    </w:p>
    <w:p w14:paraId="0F5BE3C0">
      <w:pPr>
        <w:pStyle w:val="3"/>
        <w:keepNext w:val="0"/>
        <w:keepLines w:val="0"/>
        <w:jc w:val="center"/>
        <w:rPr>
          <w:rFonts w:ascii="宋体" w:hAnsi="宋体"/>
        </w:rPr>
      </w:pPr>
      <w:bookmarkStart w:id="607" w:name="_Toc16080"/>
      <w:bookmarkStart w:id="608" w:name="_Toc21694"/>
      <w:r>
        <w:rPr>
          <w:rFonts w:hint="eastAsia" w:ascii="宋体" w:hAnsi="宋体"/>
        </w:rPr>
        <w:t>4、</w:t>
      </w:r>
      <w:r>
        <w:rPr>
          <w:rFonts w:ascii="宋体" w:hAnsi="宋体"/>
        </w:rPr>
        <w:t>投标保证金</w:t>
      </w:r>
      <w:bookmarkEnd w:id="595"/>
      <w:bookmarkEnd w:id="596"/>
      <w:bookmarkEnd w:id="597"/>
      <w:bookmarkEnd w:id="598"/>
      <w:bookmarkEnd w:id="599"/>
      <w:bookmarkEnd w:id="600"/>
      <w:bookmarkEnd w:id="601"/>
      <w:bookmarkEnd w:id="602"/>
      <w:bookmarkEnd w:id="606"/>
      <w:bookmarkEnd w:id="607"/>
      <w:bookmarkEnd w:id="608"/>
    </w:p>
    <w:p w14:paraId="07DB53ED">
      <w:pPr>
        <w:spacing w:line="440" w:lineRule="exact"/>
        <w:rPr>
          <w:rFonts w:ascii="宋体" w:hAnsi="宋体"/>
          <w:szCs w:val="21"/>
        </w:rPr>
      </w:pPr>
    </w:p>
    <w:p w14:paraId="7ADE7FE4">
      <w:pPr>
        <w:spacing w:before="312" w:beforeLines="100" w:after="156" w:afterLines="50"/>
        <w:jc w:val="center"/>
        <w:rPr>
          <w:rFonts w:ascii="宋体" w:hAnsi="宋体"/>
          <w:sz w:val="24"/>
        </w:rPr>
      </w:pPr>
      <w:bookmarkStart w:id="609" w:name="_Toc152042584"/>
      <w:bookmarkStart w:id="610" w:name="_Toc246997106"/>
      <w:bookmarkStart w:id="611" w:name="_Toc296602608"/>
      <w:bookmarkStart w:id="612" w:name="_Toc179632815"/>
      <w:bookmarkStart w:id="613" w:name="_Toc144974863"/>
      <w:bookmarkStart w:id="614" w:name="_Toc247085881"/>
      <w:bookmarkStart w:id="615" w:name="_Toc152045795"/>
      <w:bookmarkStart w:id="616" w:name="_Toc246996363"/>
      <w:r>
        <w:rPr>
          <w:rFonts w:hint="eastAsia" w:ascii="宋体" w:hAnsi="宋体"/>
          <w:sz w:val="24"/>
        </w:rPr>
        <w:t xml:space="preserve">                 </w:t>
      </w:r>
    </w:p>
    <w:p w14:paraId="545265B1">
      <w:pPr>
        <w:spacing w:before="312" w:beforeLines="100" w:after="156" w:afterLines="50"/>
        <w:jc w:val="center"/>
        <w:rPr>
          <w:rFonts w:ascii="宋体" w:hAnsi="宋体"/>
          <w:szCs w:val="21"/>
        </w:rPr>
      </w:pPr>
      <w:r>
        <w:rPr>
          <w:rFonts w:hint="eastAsia" w:ascii="宋体" w:hAnsi="宋体"/>
          <w:sz w:val="24"/>
        </w:rPr>
        <w:t xml:space="preserve">          </w:t>
      </w:r>
    </w:p>
    <w:tbl>
      <w:tblPr>
        <w:tblStyle w:val="20"/>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8204"/>
      </w:tblGrid>
      <w:tr w14:paraId="59C6880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2994" w:hRule="atLeast"/>
          <w:jc w:val="center"/>
        </w:trPr>
        <w:tc>
          <w:tcPr>
            <w:tcW w:w="8204" w:type="dxa"/>
            <w:vAlign w:val="center"/>
          </w:tcPr>
          <w:p w14:paraId="4E2FEB57">
            <w:pPr>
              <w:spacing w:line="360" w:lineRule="auto"/>
              <w:jc w:val="center"/>
              <w:rPr>
                <w:rFonts w:ascii="宋体" w:hAnsi="宋体" w:cs="宋体"/>
                <w:szCs w:val="21"/>
              </w:rPr>
            </w:pPr>
            <w:r>
              <w:rPr>
                <w:rFonts w:hint="eastAsia" w:ascii="宋体" w:hAnsi="宋体" w:cs="宋体"/>
                <w:b/>
                <w:bCs/>
                <w:szCs w:val="21"/>
              </w:rPr>
              <w:t>附：可以将系统生成的回执单图片制作在投标文件中，或附投标保函相关证明材料</w:t>
            </w:r>
          </w:p>
          <w:p w14:paraId="49FB064A">
            <w:pPr>
              <w:spacing w:before="312" w:beforeLines="100" w:after="156" w:afterLines="50"/>
              <w:jc w:val="center"/>
              <w:rPr>
                <w:rFonts w:ascii="宋体" w:hAnsi="宋体"/>
                <w:sz w:val="28"/>
                <w:szCs w:val="28"/>
              </w:rPr>
            </w:pPr>
          </w:p>
        </w:tc>
      </w:tr>
    </w:tbl>
    <w:p w14:paraId="653AF0D1">
      <w:pPr>
        <w:spacing w:before="312" w:beforeLines="100" w:after="156" w:afterLines="50"/>
        <w:jc w:val="center"/>
        <w:rPr>
          <w:rFonts w:ascii="宋体" w:hAnsi="宋体"/>
          <w:sz w:val="28"/>
          <w:szCs w:val="28"/>
        </w:rPr>
      </w:pPr>
    </w:p>
    <w:p w14:paraId="23DFBB13">
      <w:pPr>
        <w:spacing w:before="312" w:beforeLines="100" w:after="156" w:afterLines="50"/>
        <w:jc w:val="center"/>
        <w:rPr>
          <w:rFonts w:ascii="宋体" w:hAnsi="宋体"/>
          <w:sz w:val="28"/>
          <w:szCs w:val="28"/>
        </w:rPr>
      </w:pPr>
    </w:p>
    <w:p w14:paraId="19540D49">
      <w:pPr>
        <w:wordWrap w:val="0"/>
        <w:spacing w:line="500" w:lineRule="exact"/>
        <w:jc w:val="center"/>
        <w:rPr>
          <w:rFonts w:ascii="宋体" w:hAnsi="宋体"/>
          <w:sz w:val="24"/>
          <w:szCs w:val="24"/>
        </w:rPr>
      </w:pPr>
      <w:r>
        <w:rPr>
          <w:rFonts w:hint="eastAsia" w:ascii="宋体" w:hAnsi="宋体"/>
          <w:szCs w:val="21"/>
        </w:rPr>
        <w:t xml:space="preserve">                            </w:t>
      </w:r>
      <w:r>
        <w:rPr>
          <w:rFonts w:hint="eastAsia" w:ascii="宋体" w:hAnsi="宋体"/>
          <w:sz w:val="24"/>
          <w:szCs w:val="24"/>
        </w:rPr>
        <w:t xml:space="preserve">     投标人：</w:t>
      </w:r>
      <w:r>
        <w:rPr>
          <w:rFonts w:hint="eastAsia" w:ascii="宋体" w:hAnsi="宋体"/>
          <w:sz w:val="24"/>
          <w:szCs w:val="24"/>
          <w:u w:val="single"/>
        </w:rPr>
        <w:t xml:space="preserve">                      </w:t>
      </w:r>
      <w:r>
        <w:rPr>
          <w:rFonts w:hint="eastAsia" w:ascii="宋体" w:hAnsi="宋体"/>
          <w:sz w:val="24"/>
          <w:szCs w:val="24"/>
        </w:rPr>
        <w:t>（盖单位公章）</w:t>
      </w:r>
    </w:p>
    <w:p w14:paraId="436767E0">
      <w:pPr>
        <w:wordWrap w:val="0"/>
        <w:spacing w:line="500" w:lineRule="exact"/>
        <w:rPr>
          <w:rFonts w:ascii="宋体" w:hAnsi="宋体"/>
          <w:sz w:val="24"/>
          <w:szCs w:val="24"/>
        </w:rPr>
      </w:pPr>
      <w:r>
        <w:rPr>
          <w:rFonts w:hint="eastAsia" w:ascii="宋体" w:hAnsi="宋体"/>
          <w:sz w:val="24"/>
          <w:szCs w:val="24"/>
        </w:rPr>
        <w:t xml:space="preserve">                                 法定代表人：</w:t>
      </w:r>
      <w:r>
        <w:rPr>
          <w:rFonts w:hint="eastAsia" w:ascii="宋体" w:hAnsi="宋体"/>
          <w:sz w:val="24"/>
          <w:szCs w:val="24"/>
          <w:u w:val="single"/>
        </w:rPr>
        <w:t xml:space="preserve">             </w:t>
      </w:r>
      <w:r>
        <w:rPr>
          <w:rFonts w:hint="eastAsia" w:ascii="宋体" w:hAnsi="宋体"/>
          <w:sz w:val="24"/>
          <w:szCs w:val="24"/>
        </w:rPr>
        <w:t>（签字或签章）</w:t>
      </w:r>
    </w:p>
    <w:p w14:paraId="63F09E75">
      <w:pPr>
        <w:wordWrap w:val="0"/>
        <w:spacing w:line="500" w:lineRule="exact"/>
        <w:jc w:val="center"/>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195AD462">
      <w:pPr>
        <w:spacing w:before="312" w:beforeLines="100" w:after="156" w:afterLines="50"/>
        <w:rPr>
          <w:rFonts w:ascii="宋体" w:hAnsi="宋体"/>
          <w:sz w:val="28"/>
          <w:szCs w:val="28"/>
        </w:rPr>
      </w:pPr>
    </w:p>
    <w:p w14:paraId="4D8629DD"/>
    <w:p w14:paraId="7D7B51C0"/>
    <w:p w14:paraId="38FD6F81"/>
    <w:p w14:paraId="29C46B97">
      <w:pPr>
        <w:rPr>
          <w:rFonts w:ascii="宋体" w:hAnsi="宋体"/>
        </w:rPr>
      </w:pPr>
    </w:p>
    <w:p w14:paraId="0097E4BF">
      <w:pPr>
        <w:pStyle w:val="3"/>
        <w:jc w:val="center"/>
        <w:rPr>
          <w:rFonts w:ascii="宋体" w:hAnsi="宋体"/>
        </w:rPr>
      </w:pPr>
      <w:r>
        <w:rPr>
          <w:rFonts w:ascii="宋体" w:hAnsi="宋体"/>
        </w:rPr>
        <w:br w:type="page"/>
      </w:r>
      <w:bookmarkStart w:id="617" w:name="_Toc25936"/>
      <w:bookmarkStart w:id="618" w:name="_Toc10928"/>
      <w:bookmarkStart w:id="619" w:name="_Toc7647"/>
      <w:r>
        <w:rPr>
          <w:rFonts w:hint="eastAsia" w:ascii="宋体" w:hAnsi="宋体"/>
        </w:rPr>
        <w:t>5、资格审查资料</w:t>
      </w:r>
    </w:p>
    <w:p w14:paraId="0E5B1A83">
      <w:pPr>
        <w:spacing w:line="440" w:lineRule="exact"/>
        <w:jc w:val="center"/>
        <w:rPr>
          <w:rFonts w:ascii="宋体" w:hAnsi="宋体"/>
          <w:szCs w:val="21"/>
        </w:rPr>
      </w:pPr>
    </w:p>
    <w:p w14:paraId="404E6E0B"/>
    <w:p w14:paraId="208375F7">
      <w:pPr>
        <w:rPr>
          <w:rFonts w:ascii="宋体" w:hAnsi="宋体"/>
          <w:b/>
          <w:bCs/>
          <w:sz w:val="24"/>
          <w:szCs w:val="24"/>
        </w:rPr>
      </w:pPr>
    </w:p>
    <w:p w14:paraId="2B03767E">
      <w:pPr>
        <w:pStyle w:val="18"/>
        <w:rPr>
          <w:rFonts w:ascii="宋体" w:hAnsi="宋体"/>
          <w:b/>
          <w:bCs/>
          <w:sz w:val="24"/>
          <w:szCs w:val="24"/>
        </w:rPr>
      </w:pPr>
    </w:p>
    <w:p w14:paraId="4B653855">
      <w:pPr>
        <w:pStyle w:val="19"/>
        <w:rPr>
          <w:rFonts w:ascii="宋体" w:hAnsi="宋体"/>
          <w:b/>
          <w:bCs/>
          <w:sz w:val="24"/>
          <w:szCs w:val="24"/>
        </w:rPr>
      </w:pPr>
    </w:p>
    <w:p w14:paraId="4EED1D68">
      <w:pPr>
        <w:rPr>
          <w:rFonts w:ascii="宋体" w:hAnsi="宋体"/>
          <w:b/>
          <w:bCs/>
          <w:sz w:val="24"/>
          <w:szCs w:val="24"/>
        </w:rPr>
      </w:pPr>
    </w:p>
    <w:p w14:paraId="5FFB7FA4">
      <w:pPr>
        <w:pStyle w:val="18"/>
        <w:rPr>
          <w:rFonts w:ascii="宋体" w:hAnsi="宋体"/>
          <w:b/>
          <w:bCs/>
          <w:sz w:val="24"/>
          <w:szCs w:val="24"/>
        </w:rPr>
      </w:pPr>
    </w:p>
    <w:p w14:paraId="6437D175">
      <w:pPr>
        <w:rPr>
          <w:rFonts w:ascii="宋体" w:hAnsi="宋体"/>
          <w:b/>
          <w:bCs/>
          <w:sz w:val="24"/>
          <w:szCs w:val="24"/>
        </w:rPr>
      </w:pPr>
      <w:r>
        <w:rPr>
          <w:rFonts w:hint="eastAsia" w:ascii="宋体" w:hAnsi="宋体"/>
          <w:b/>
          <w:bCs/>
          <w:sz w:val="24"/>
          <w:szCs w:val="24"/>
        </w:rPr>
        <w:br w:type="page"/>
      </w:r>
    </w:p>
    <w:p w14:paraId="5042FEDD">
      <w:pPr>
        <w:pStyle w:val="3"/>
        <w:jc w:val="center"/>
        <w:rPr>
          <w:rFonts w:ascii="宋体" w:hAnsi="宋体"/>
        </w:rPr>
      </w:pPr>
      <w:r>
        <w:rPr>
          <w:rFonts w:hint="eastAsia" w:ascii="宋体" w:hAnsi="宋体"/>
          <w:bCs w:val="0"/>
          <w:sz w:val="30"/>
          <w:szCs w:val="30"/>
        </w:rPr>
        <w:t>6、</w:t>
      </w:r>
      <w:bookmarkEnd w:id="609"/>
      <w:bookmarkEnd w:id="610"/>
      <w:bookmarkEnd w:id="611"/>
      <w:bookmarkEnd w:id="612"/>
      <w:bookmarkEnd w:id="613"/>
      <w:bookmarkEnd w:id="614"/>
      <w:bookmarkEnd w:id="615"/>
      <w:bookmarkEnd w:id="616"/>
      <w:bookmarkStart w:id="620" w:name="_Toc152045796"/>
      <w:bookmarkStart w:id="621" w:name="_Toc246997107"/>
      <w:bookmarkStart w:id="622" w:name="_Toc152042585"/>
      <w:bookmarkStart w:id="623" w:name="_Toc144974864"/>
      <w:bookmarkStart w:id="624" w:name="_Toc247085882"/>
      <w:bookmarkStart w:id="625" w:name="_Toc296602609"/>
      <w:bookmarkStart w:id="626" w:name="_Toc246996364"/>
      <w:bookmarkStart w:id="627" w:name="_Toc179632816"/>
      <w:r>
        <w:rPr>
          <w:rFonts w:hint="eastAsia" w:ascii="宋体" w:hAnsi="宋体"/>
          <w:bCs w:val="0"/>
          <w:sz w:val="30"/>
          <w:szCs w:val="30"/>
        </w:rPr>
        <w:t>施工组织设计</w:t>
      </w:r>
      <w:bookmarkEnd w:id="617"/>
      <w:bookmarkEnd w:id="618"/>
      <w:bookmarkEnd w:id="619"/>
      <w:bookmarkEnd w:id="620"/>
      <w:bookmarkEnd w:id="621"/>
      <w:bookmarkEnd w:id="622"/>
      <w:bookmarkEnd w:id="623"/>
      <w:bookmarkEnd w:id="624"/>
      <w:bookmarkEnd w:id="625"/>
      <w:bookmarkEnd w:id="626"/>
      <w:bookmarkEnd w:id="627"/>
    </w:p>
    <w:p w14:paraId="6CFA2ED5">
      <w:pPr>
        <w:spacing w:line="360" w:lineRule="auto"/>
        <w:ind w:firstLine="420" w:firstLineChars="200"/>
        <w:rPr>
          <w:rFonts w:hint="eastAsia" w:ascii="宋体" w:hAnsi="宋体" w:eastAsia="宋体" w:cs="宋体"/>
        </w:rPr>
      </w:pPr>
      <w:bookmarkStart w:id="628" w:name="_Toc246997108"/>
      <w:bookmarkStart w:id="629" w:name="_Toc179632817"/>
      <w:bookmarkStart w:id="630" w:name="_Toc247085883"/>
      <w:bookmarkStart w:id="631" w:name="_Toc246996365"/>
      <w:bookmarkStart w:id="632" w:name="_Toc152045797"/>
      <w:bookmarkStart w:id="633" w:name="_Toc144974865"/>
      <w:bookmarkStart w:id="634" w:name="_Toc152042586"/>
      <w:bookmarkStart w:id="635" w:name="_Toc296602610"/>
      <w:r>
        <w:rPr>
          <w:rFonts w:hint="eastAsia" w:ascii="宋体" w:hAnsi="宋体" w:eastAsia="宋体" w:cs="宋体"/>
        </w:rPr>
        <w:t>（1）投标人应按以下要点编制施工组织设计（文字宜精炼、内容具有针对性）；</w:t>
      </w:r>
    </w:p>
    <w:p w14:paraId="28D65A67">
      <w:pPr>
        <w:spacing w:line="360" w:lineRule="auto"/>
        <w:ind w:firstLine="420" w:firstLineChars="200"/>
        <w:rPr>
          <w:rFonts w:hint="eastAsia" w:ascii="宋体" w:hAnsi="宋体" w:eastAsia="宋体" w:cs="宋体"/>
        </w:rPr>
      </w:pPr>
      <w:r>
        <w:rPr>
          <w:rFonts w:hint="eastAsia" w:ascii="宋体" w:hAnsi="宋体" w:eastAsia="宋体" w:cs="宋体"/>
        </w:rPr>
        <w:t>1.总体施工组织布置及规划</w:t>
      </w:r>
    </w:p>
    <w:p w14:paraId="128DF365">
      <w:pPr>
        <w:spacing w:line="360" w:lineRule="auto"/>
        <w:ind w:firstLine="420" w:firstLineChars="200"/>
        <w:rPr>
          <w:rFonts w:hint="eastAsia" w:ascii="宋体" w:hAnsi="宋体" w:eastAsia="宋体" w:cs="宋体"/>
        </w:rPr>
      </w:pPr>
      <w:r>
        <w:rPr>
          <w:rFonts w:hint="eastAsia" w:ascii="宋体" w:hAnsi="宋体" w:eastAsia="宋体" w:cs="宋体"/>
        </w:rPr>
        <w:t>2.工程项目的施工方案</w:t>
      </w:r>
    </w:p>
    <w:p w14:paraId="6AA18111">
      <w:pPr>
        <w:spacing w:line="360" w:lineRule="auto"/>
        <w:ind w:firstLine="424" w:firstLineChars="200"/>
        <w:rPr>
          <w:rFonts w:hint="eastAsia" w:ascii="宋体" w:hAnsi="宋体" w:eastAsia="宋体" w:cs="宋体"/>
        </w:rPr>
      </w:pPr>
      <w:r>
        <w:rPr>
          <w:rFonts w:hint="eastAsia" w:ascii="宋体" w:hAnsi="宋体" w:eastAsia="宋体" w:cs="宋体"/>
          <w:spacing w:val="1"/>
          <w:szCs w:val="21"/>
        </w:rPr>
        <w:t>3.应急施工方案</w:t>
      </w:r>
    </w:p>
    <w:p w14:paraId="1F1E7975">
      <w:pPr>
        <w:spacing w:line="360" w:lineRule="auto"/>
        <w:ind w:firstLine="420" w:firstLineChars="200"/>
        <w:rPr>
          <w:rFonts w:hint="eastAsia" w:ascii="宋体" w:hAnsi="宋体" w:eastAsia="宋体" w:cs="宋体"/>
        </w:rPr>
      </w:pPr>
      <w:r>
        <w:rPr>
          <w:rFonts w:hint="eastAsia" w:ascii="宋体" w:hAnsi="宋体" w:eastAsia="宋体" w:cs="宋体"/>
        </w:rPr>
        <w:t>4.质量管理</w:t>
      </w:r>
    </w:p>
    <w:p w14:paraId="20FDA2EF">
      <w:pPr>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rPr>
        <w:t>5.安全管理</w:t>
      </w:r>
    </w:p>
    <w:p w14:paraId="6BCBCFA6">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6.文明施工</w:t>
      </w:r>
    </w:p>
    <w:p w14:paraId="679542F1">
      <w:pPr>
        <w:spacing w:line="360" w:lineRule="auto"/>
        <w:ind w:firstLine="420" w:firstLineChars="200"/>
        <w:rPr>
          <w:rFonts w:hint="eastAsia" w:ascii="宋体" w:hAnsi="宋体" w:eastAsia="宋体" w:cs="宋体"/>
          <w:kern w:val="0"/>
          <w:szCs w:val="21"/>
          <w:lang w:val="zh-CN"/>
        </w:rPr>
      </w:pPr>
      <w:r>
        <w:rPr>
          <w:rFonts w:hint="eastAsia" w:ascii="宋体" w:hAnsi="宋体" w:eastAsia="宋体" w:cs="宋体"/>
          <w:kern w:val="0"/>
          <w:szCs w:val="21"/>
        </w:rPr>
        <w:t>7</w:t>
      </w:r>
      <w:r>
        <w:rPr>
          <w:rFonts w:hint="eastAsia" w:ascii="宋体" w:hAnsi="宋体" w:eastAsia="宋体" w:cs="宋体"/>
          <w:kern w:val="0"/>
          <w:szCs w:val="21"/>
          <w:lang w:val="zh-CN"/>
        </w:rPr>
        <w:t>.环境保护</w:t>
      </w:r>
    </w:p>
    <w:p w14:paraId="0475FA63">
      <w:pPr>
        <w:autoSpaceDE w:val="0"/>
        <w:autoSpaceDN w:val="0"/>
        <w:adjustRightIn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8.工期保证</w:t>
      </w:r>
    </w:p>
    <w:p w14:paraId="6595100F">
      <w:pPr>
        <w:autoSpaceDE w:val="0"/>
        <w:autoSpaceDN w:val="0"/>
        <w:adjustRightInd w:val="0"/>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9.拟投入资源配备计划</w:t>
      </w:r>
    </w:p>
    <w:p w14:paraId="2FEBBC85">
      <w:pPr>
        <w:autoSpaceDE w:val="0"/>
        <w:autoSpaceDN w:val="0"/>
        <w:adjustRightInd w:val="0"/>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10.施工进度表或施工网络图</w:t>
      </w:r>
    </w:p>
    <w:p w14:paraId="7802F85D">
      <w:pPr>
        <w:autoSpaceDE w:val="0"/>
        <w:autoSpaceDN w:val="0"/>
        <w:adjustRightInd w:val="0"/>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11.施工总平面布置图</w:t>
      </w:r>
    </w:p>
    <w:p w14:paraId="4A110672">
      <w:pPr>
        <w:autoSpaceDE w:val="0"/>
        <w:autoSpaceDN w:val="0"/>
        <w:adjustRightInd w:val="0"/>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12.创新应用实施方案</w:t>
      </w:r>
    </w:p>
    <w:p w14:paraId="48F143E3">
      <w:pPr>
        <w:autoSpaceDE w:val="0"/>
        <w:autoSpaceDN w:val="0"/>
        <w:adjustRightIn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13.施工现场实施信息化监控和数据处理</w:t>
      </w:r>
    </w:p>
    <w:p w14:paraId="52D7990F">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（2） 施工组织设计除采用文字表述外可附下列图表，图表及格式要求附后。</w:t>
      </w:r>
    </w:p>
    <w:p w14:paraId="601D6151">
      <w:pPr>
        <w:autoSpaceDE w:val="0"/>
        <w:autoSpaceDN w:val="0"/>
        <w:adjustRightInd w:val="0"/>
        <w:spacing w:line="360" w:lineRule="auto"/>
        <w:ind w:firstLine="420" w:firstLineChars="200"/>
        <w:rPr>
          <w:rFonts w:hint="eastAsia" w:ascii="宋体" w:hAnsi="宋体" w:eastAsia="宋体" w:cs="宋体"/>
        </w:rPr>
      </w:pPr>
      <w:bookmarkStart w:id="636" w:name="_Toc28134"/>
      <w:bookmarkStart w:id="637" w:name="_Toc21259"/>
      <w:r>
        <w:rPr>
          <w:rFonts w:hint="eastAsia" w:ascii="宋体" w:hAnsi="宋体" w:eastAsia="宋体" w:cs="宋体"/>
        </w:rPr>
        <w:t>附表一 拟投入本项目的主要施工设备表</w:t>
      </w:r>
    </w:p>
    <w:p w14:paraId="392F1981">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 xml:space="preserve">附表二 </w:t>
      </w:r>
      <w:bookmarkEnd w:id="636"/>
      <w:bookmarkEnd w:id="637"/>
      <w:r>
        <w:rPr>
          <w:rFonts w:hint="eastAsia" w:ascii="宋体" w:hAnsi="宋体" w:eastAsia="宋体" w:cs="宋体"/>
        </w:rPr>
        <w:t>施工总体进度计划表</w:t>
      </w:r>
    </w:p>
    <w:p w14:paraId="7CE0D9CB">
      <w:pPr>
        <w:autoSpaceDE w:val="0"/>
        <w:autoSpaceDN w:val="0"/>
        <w:adjustRightInd w:val="0"/>
        <w:spacing w:line="360" w:lineRule="auto"/>
        <w:ind w:firstLine="420" w:firstLineChars="200"/>
        <w:rPr>
          <w:rFonts w:hint="eastAsia" w:ascii="宋体" w:hAnsi="宋体" w:eastAsia="宋体" w:cs="宋体"/>
        </w:rPr>
      </w:pPr>
      <w:bookmarkStart w:id="638" w:name="_Toc7126"/>
      <w:bookmarkStart w:id="639" w:name="_Toc15770"/>
      <w:bookmarkStart w:id="640" w:name="_Toc31409"/>
      <w:r>
        <w:rPr>
          <w:rFonts w:hint="eastAsia" w:ascii="宋体" w:hAnsi="宋体" w:eastAsia="宋体" w:cs="宋体"/>
        </w:rPr>
        <w:t>附表三 施工总平面图</w:t>
      </w:r>
      <w:bookmarkEnd w:id="638"/>
      <w:bookmarkEnd w:id="639"/>
      <w:bookmarkEnd w:id="640"/>
    </w:p>
    <w:p w14:paraId="5D5F7F2F">
      <w:pPr>
        <w:autoSpaceDE w:val="0"/>
        <w:autoSpaceDN w:val="0"/>
        <w:adjustRightInd w:val="0"/>
        <w:spacing w:line="360" w:lineRule="auto"/>
        <w:ind w:firstLine="420" w:firstLineChars="200"/>
        <w:rPr>
          <w:rFonts w:hint="eastAsia" w:ascii="宋体" w:hAnsi="宋体" w:eastAsia="宋体" w:cs="宋体"/>
        </w:rPr>
      </w:pPr>
      <w:bookmarkStart w:id="641" w:name="_Toc30601"/>
      <w:bookmarkStart w:id="642" w:name="_Toc20752"/>
      <w:bookmarkStart w:id="643" w:name="_Toc6703"/>
      <w:r>
        <w:rPr>
          <w:rFonts w:hint="eastAsia" w:ascii="宋体" w:hAnsi="宋体" w:eastAsia="宋体" w:cs="宋体"/>
        </w:rPr>
        <w:t>附表四 劳动力计划表</w:t>
      </w:r>
      <w:bookmarkEnd w:id="641"/>
      <w:bookmarkEnd w:id="642"/>
      <w:bookmarkEnd w:id="643"/>
    </w:p>
    <w:p w14:paraId="64AFD47E">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附表五 临时占地计划表</w:t>
      </w:r>
    </w:p>
    <w:p w14:paraId="2816589E">
      <w:pPr>
        <w:autoSpaceDE w:val="0"/>
        <w:autoSpaceDN w:val="0"/>
        <w:adjustRightInd w:val="0"/>
        <w:spacing w:line="360" w:lineRule="auto"/>
        <w:ind w:firstLine="420" w:firstLineChars="200"/>
        <w:rPr>
          <w:rFonts w:ascii="宋体" w:hAnsi="宋体" w:cs="宋体"/>
          <w:szCs w:val="21"/>
        </w:rPr>
      </w:pPr>
    </w:p>
    <w:p w14:paraId="48997E8B"/>
    <w:p w14:paraId="38FDBF5D">
      <w:pPr>
        <w:wordWrap w:val="0"/>
        <w:autoSpaceDE w:val="0"/>
        <w:autoSpaceDN w:val="0"/>
        <w:spacing w:line="480" w:lineRule="auto"/>
        <w:ind w:firstLine="4200" w:firstLineChars="1750"/>
        <w:rPr>
          <w:rFonts w:ascii="宋体" w:hAnsi="宋体" w:cs="宋体"/>
          <w:sz w:val="24"/>
          <w:lang w:val="zh-CN" w:bidi="zh-CN"/>
        </w:rPr>
      </w:pPr>
      <w:r>
        <w:rPr>
          <w:rFonts w:hint="eastAsia" w:ascii="宋体" w:hAnsi="宋体" w:cs="宋体"/>
          <w:sz w:val="24"/>
          <w:lang w:val="zh-CN" w:bidi="zh-CN"/>
        </w:rPr>
        <w:t>投标人：</w:t>
      </w:r>
      <w:r>
        <w:rPr>
          <w:rFonts w:hint="eastAsia" w:ascii="宋体" w:hAnsi="宋体" w:cs="宋体"/>
          <w:sz w:val="24"/>
          <w:u w:val="single"/>
          <w:lang w:val="zh-CN" w:bidi="zh-CN"/>
        </w:rPr>
        <w:t xml:space="preserve">                   </w:t>
      </w:r>
      <w:r>
        <w:rPr>
          <w:rFonts w:hint="eastAsia" w:ascii="宋体" w:hAnsi="宋体" w:cs="宋体"/>
          <w:sz w:val="24"/>
          <w:lang w:val="zh-CN" w:bidi="zh-CN"/>
        </w:rPr>
        <w:t>（单位电子签章）</w:t>
      </w:r>
    </w:p>
    <w:p w14:paraId="65E33F91">
      <w:pPr>
        <w:wordWrap w:val="0"/>
        <w:autoSpaceDE w:val="0"/>
        <w:autoSpaceDN w:val="0"/>
        <w:spacing w:line="480" w:lineRule="auto"/>
        <w:ind w:firstLine="4200" w:firstLineChars="1750"/>
        <w:rPr>
          <w:rFonts w:ascii="宋体" w:hAnsi="宋体" w:cs="宋体"/>
          <w:sz w:val="24"/>
          <w:lang w:val="zh-CN" w:bidi="zh-CN"/>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w:t>
      </w:r>
      <w:r>
        <w:rPr>
          <w:rFonts w:hint="eastAsia" w:ascii="宋体" w:hAnsi="宋体"/>
          <w:kern w:val="0"/>
          <w:sz w:val="24"/>
        </w:rPr>
        <w:t>签字或盖章</w:t>
      </w:r>
      <w:r>
        <w:rPr>
          <w:rFonts w:hint="eastAsia" w:ascii="宋体" w:hAnsi="宋体" w:cs="宋体"/>
          <w:sz w:val="24"/>
          <w:lang w:val="zh-CN" w:bidi="zh-CN"/>
        </w:rPr>
        <w:t>）</w:t>
      </w:r>
    </w:p>
    <w:p w14:paraId="00FEC7E5">
      <w:pPr>
        <w:spacing w:line="480" w:lineRule="auto"/>
        <w:ind w:firstLine="4200" w:firstLineChars="1750"/>
      </w:pPr>
      <w:r>
        <w:rPr>
          <w:rFonts w:hint="eastAsia" w:ascii="宋体" w:hAnsi="宋体" w:cs="宋体"/>
          <w:sz w:val="24"/>
          <w:lang w:val="zh-CN" w:bidi="zh-CN"/>
        </w:rPr>
        <w:t>日期：</w:t>
      </w:r>
      <w:r>
        <w:rPr>
          <w:rFonts w:hint="eastAsia" w:ascii="宋体" w:hAnsi="宋体" w:cs="宋体"/>
          <w:sz w:val="24"/>
          <w:u w:val="single"/>
          <w:lang w:val="zh-CN" w:bidi="zh-CN"/>
        </w:rPr>
        <w:t xml:space="preserve">       </w:t>
      </w:r>
      <w:r>
        <w:rPr>
          <w:rFonts w:hint="eastAsia" w:ascii="宋体" w:hAnsi="宋体" w:cs="宋体"/>
          <w:sz w:val="24"/>
          <w:lang w:val="zh-CN" w:bidi="zh-CN"/>
        </w:rPr>
        <w:t>年</w:t>
      </w:r>
      <w:r>
        <w:rPr>
          <w:rFonts w:hint="eastAsia" w:ascii="宋体" w:hAnsi="宋体" w:cs="宋体"/>
          <w:sz w:val="24"/>
          <w:u w:val="single"/>
          <w:lang w:val="zh-CN" w:bidi="zh-CN"/>
        </w:rPr>
        <w:t xml:space="preserve">      </w:t>
      </w:r>
      <w:r>
        <w:rPr>
          <w:rFonts w:hint="eastAsia" w:ascii="宋体" w:hAnsi="宋体" w:cs="宋体"/>
          <w:sz w:val="24"/>
          <w:lang w:val="zh-CN" w:bidi="zh-CN"/>
        </w:rPr>
        <w:t>月</w:t>
      </w:r>
      <w:r>
        <w:rPr>
          <w:rFonts w:hint="eastAsia" w:ascii="宋体" w:hAnsi="宋体" w:cs="宋体"/>
          <w:sz w:val="24"/>
          <w:u w:val="single"/>
          <w:lang w:val="zh-CN" w:bidi="zh-CN"/>
        </w:rPr>
        <w:t xml:space="preserve">      </w:t>
      </w:r>
      <w:r>
        <w:rPr>
          <w:rFonts w:hint="eastAsia" w:ascii="宋体" w:hAnsi="宋体" w:cs="宋体"/>
          <w:sz w:val="24"/>
          <w:lang w:val="zh-CN" w:bidi="zh-CN"/>
        </w:rPr>
        <w:t>日</w:t>
      </w:r>
    </w:p>
    <w:p w14:paraId="1D69AB7B"/>
    <w:p w14:paraId="2D3300E3">
      <w:pPr>
        <w:pStyle w:val="18"/>
      </w:pPr>
    </w:p>
    <w:p w14:paraId="24BD6444">
      <w:pPr>
        <w:pStyle w:val="5"/>
      </w:pPr>
      <w:r>
        <w:rPr>
          <w:rFonts w:hint="eastAsia"/>
        </w:rPr>
        <w:t>附表一：拟投入本</w:t>
      </w:r>
      <w:r>
        <w:rPr>
          <w:rFonts w:hint="eastAsia" w:ascii="宋体" w:hAnsi="宋体"/>
          <w:szCs w:val="21"/>
        </w:rPr>
        <w:t>项目</w:t>
      </w:r>
      <w:r>
        <w:rPr>
          <w:rFonts w:hint="eastAsia"/>
        </w:rPr>
        <w:t>的主要施工设备表</w:t>
      </w:r>
    </w:p>
    <w:p w14:paraId="2B1991EC">
      <w:pPr>
        <w:spacing w:line="360" w:lineRule="auto"/>
        <w:rPr>
          <w:rFonts w:ascii="宋体" w:hAnsi="宋体"/>
          <w:szCs w:val="21"/>
        </w:rPr>
      </w:pPr>
    </w:p>
    <w:tbl>
      <w:tblPr>
        <w:tblStyle w:val="20"/>
        <w:tblW w:w="9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14:paraId="4B3B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vAlign w:val="center"/>
          </w:tcPr>
          <w:p w14:paraId="4636FDEC">
            <w:pPr>
              <w:spacing w:line="360" w:lineRule="auto"/>
              <w:jc w:val="center"/>
              <w:rPr>
                <w:rFonts w:ascii="宋体" w:hAnsi="宋体"/>
                <w:szCs w:val="21"/>
              </w:rPr>
            </w:pPr>
            <w:r>
              <w:rPr>
                <w:rFonts w:hint="eastAsia" w:ascii="宋体" w:hAnsi="宋体"/>
                <w:szCs w:val="21"/>
              </w:rPr>
              <w:t>序号</w:t>
            </w:r>
          </w:p>
        </w:tc>
        <w:tc>
          <w:tcPr>
            <w:tcW w:w="1185" w:type="dxa"/>
            <w:vAlign w:val="center"/>
          </w:tcPr>
          <w:p w14:paraId="32E467E1">
            <w:pPr>
              <w:spacing w:line="360" w:lineRule="auto"/>
              <w:jc w:val="center"/>
              <w:rPr>
                <w:rFonts w:ascii="宋体" w:hAnsi="宋体"/>
                <w:szCs w:val="21"/>
              </w:rPr>
            </w:pPr>
            <w:r>
              <w:rPr>
                <w:rFonts w:hint="eastAsia" w:ascii="宋体" w:hAnsi="宋体"/>
                <w:szCs w:val="21"/>
              </w:rPr>
              <w:t>设备名称</w:t>
            </w:r>
          </w:p>
        </w:tc>
        <w:tc>
          <w:tcPr>
            <w:tcW w:w="795" w:type="dxa"/>
            <w:vAlign w:val="center"/>
          </w:tcPr>
          <w:p w14:paraId="47C4DE64">
            <w:pPr>
              <w:spacing w:line="360" w:lineRule="auto"/>
              <w:jc w:val="center"/>
              <w:rPr>
                <w:rFonts w:ascii="宋体" w:hAnsi="宋体"/>
                <w:szCs w:val="21"/>
              </w:rPr>
            </w:pPr>
            <w:r>
              <w:rPr>
                <w:rFonts w:hint="eastAsia" w:ascii="宋体" w:hAnsi="宋体"/>
                <w:szCs w:val="21"/>
              </w:rPr>
              <w:t>型号</w:t>
            </w:r>
          </w:p>
          <w:p w14:paraId="2E473DC9">
            <w:pPr>
              <w:spacing w:line="360" w:lineRule="auto"/>
              <w:jc w:val="center"/>
              <w:rPr>
                <w:rFonts w:ascii="宋体" w:hAnsi="宋体"/>
                <w:szCs w:val="21"/>
              </w:rPr>
            </w:pPr>
            <w:r>
              <w:rPr>
                <w:rFonts w:hint="eastAsia" w:ascii="宋体" w:hAnsi="宋体"/>
                <w:szCs w:val="21"/>
              </w:rPr>
              <w:t>规格</w:t>
            </w:r>
          </w:p>
        </w:tc>
        <w:tc>
          <w:tcPr>
            <w:tcW w:w="816" w:type="dxa"/>
            <w:vAlign w:val="center"/>
          </w:tcPr>
          <w:p w14:paraId="6C6347B3">
            <w:pPr>
              <w:spacing w:line="360" w:lineRule="auto"/>
              <w:jc w:val="center"/>
              <w:rPr>
                <w:rFonts w:ascii="宋体" w:hAnsi="宋体"/>
                <w:szCs w:val="21"/>
              </w:rPr>
            </w:pPr>
            <w:r>
              <w:rPr>
                <w:rFonts w:hint="eastAsia" w:ascii="宋体" w:hAnsi="宋体"/>
                <w:szCs w:val="21"/>
              </w:rPr>
              <w:t>数量</w:t>
            </w:r>
          </w:p>
        </w:tc>
        <w:tc>
          <w:tcPr>
            <w:tcW w:w="816" w:type="dxa"/>
            <w:vAlign w:val="center"/>
          </w:tcPr>
          <w:p w14:paraId="2428E5C6">
            <w:pPr>
              <w:spacing w:line="360" w:lineRule="auto"/>
              <w:jc w:val="center"/>
              <w:rPr>
                <w:rFonts w:ascii="宋体" w:hAnsi="宋体"/>
                <w:szCs w:val="21"/>
              </w:rPr>
            </w:pPr>
            <w:r>
              <w:rPr>
                <w:rFonts w:hint="eastAsia" w:ascii="宋体" w:hAnsi="宋体"/>
                <w:szCs w:val="21"/>
              </w:rPr>
              <w:t>国别</w:t>
            </w:r>
          </w:p>
          <w:p w14:paraId="2D672D17">
            <w:pPr>
              <w:spacing w:line="360" w:lineRule="auto"/>
              <w:jc w:val="center"/>
              <w:rPr>
                <w:rFonts w:ascii="宋体" w:hAnsi="宋体"/>
                <w:szCs w:val="21"/>
              </w:rPr>
            </w:pPr>
            <w:r>
              <w:rPr>
                <w:rFonts w:hint="eastAsia" w:ascii="宋体" w:hAnsi="宋体"/>
                <w:szCs w:val="21"/>
              </w:rPr>
              <w:t>产地</w:t>
            </w:r>
          </w:p>
        </w:tc>
        <w:tc>
          <w:tcPr>
            <w:tcW w:w="1080" w:type="dxa"/>
            <w:vAlign w:val="center"/>
          </w:tcPr>
          <w:p w14:paraId="74A715C1">
            <w:pPr>
              <w:spacing w:line="360" w:lineRule="auto"/>
              <w:jc w:val="center"/>
              <w:rPr>
                <w:rFonts w:ascii="宋体" w:hAnsi="宋体"/>
                <w:szCs w:val="21"/>
              </w:rPr>
            </w:pPr>
            <w:r>
              <w:rPr>
                <w:rFonts w:hint="eastAsia" w:ascii="宋体" w:hAnsi="宋体"/>
                <w:szCs w:val="21"/>
              </w:rPr>
              <w:t>制造</w:t>
            </w:r>
          </w:p>
          <w:p w14:paraId="7F99BEE2">
            <w:pPr>
              <w:spacing w:line="360" w:lineRule="auto"/>
              <w:jc w:val="center"/>
              <w:rPr>
                <w:rFonts w:ascii="宋体" w:hAnsi="宋体"/>
                <w:szCs w:val="21"/>
              </w:rPr>
            </w:pPr>
            <w:r>
              <w:rPr>
                <w:rFonts w:hint="eastAsia" w:ascii="宋体" w:hAnsi="宋体"/>
                <w:szCs w:val="21"/>
              </w:rPr>
              <w:t>年份</w:t>
            </w:r>
          </w:p>
        </w:tc>
        <w:tc>
          <w:tcPr>
            <w:tcW w:w="1260" w:type="dxa"/>
            <w:vAlign w:val="center"/>
          </w:tcPr>
          <w:p w14:paraId="4FBF93C5">
            <w:pPr>
              <w:spacing w:line="360" w:lineRule="auto"/>
              <w:jc w:val="center"/>
              <w:rPr>
                <w:rFonts w:ascii="宋体" w:hAnsi="宋体"/>
                <w:szCs w:val="21"/>
              </w:rPr>
            </w:pPr>
            <w:r>
              <w:rPr>
                <w:rFonts w:hint="eastAsia" w:ascii="宋体" w:hAnsi="宋体"/>
                <w:szCs w:val="21"/>
              </w:rPr>
              <w:t>额定功率</w:t>
            </w:r>
          </w:p>
          <w:p w14:paraId="76131B7C">
            <w:pPr>
              <w:spacing w:line="360" w:lineRule="auto"/>
              <w:jc w:val="center"/>
              <w:rPr>
                <w:rFonts w:ascii="宋体" w:hAnsi="宋体"/>
                <w:szCs w:val="21"/>
              </w:rPr>
            </w:pPr>
            <w:r>
              <w:rPr>
                <w:rFonts w:hint="eastAsia" w:ascii="宋体" w:hAnsi="宋体"/>
                <w:szCs w:val="21"/>
              </w:rPr>
              <w:t>( KW )</w:t>
            </w:r>
          </w:p>
        </w:tc>
        <w:tc>
          <w:tcPr>
            <w:tcW w:w="973" w:type="dxa"/>
            <w:vAlign w:val="center"/>
          </w:tcPr>
          <w:p w14:paraId="27B915D4">
            <w:pPr>
              <w:spacing w:line="360" w:lineRule="auto"/>
              <w:jc w:val="center"/>
              <w:rPr>
                <w:rFonts w:ascii="宋体" w:hAnsi="宋体"/>
                <w:szCs w:val="21"/>
              </w:rPr>
            </w:pPr>
            <w:r>
              <w:rPr>
                <w:rFonts w:hint="eastAsia" w:ascii="宋体" w:hAnsi="宋体"/>
                <w:szCs w:val="21"/>
              </w:rPr>
              <w:t>生产</w:t>
            </w:r>
          </w:p>
          <w:p w14:paraId="65BE0B06">
            <w:pPr>
              <w:spacing w:line="360" w:lineRule="auto"/>
              <w:jc w:val="center"/>
              <w:rPr>
                <w:rFonts w:ascii="宋体" w:hAnsi="宋体"/>
                <w:szCs w:val="21"/>
              </w:rPr>
            </w:pPr>
            <w:r>
              <w:rPr>
                <w:rFonts w:hint="eastAsia" w:ascii="宋体" w:hAnsi="宋体"/>
                <w:szCs w:val="21"/>
              </w:rPr>
              <w:t>能力</w:t>
            </w:r>
          </w:p>
        </w:tc>
        <w:tc>
          <w:tcPr>
            <w:tcW w:w="1080" w:type="dxa"/>
            <w:vAlign w:val="center"/>
          </w:tcPr>
          <w:p w14:paraId="151DD240">
            <w:pPr>
              <w:spacing w:line="360" w:lineRule="auto"/>
              <w:rPr>
                <w:rFonts w:ascii="宋体" w:hAnsi="宋体"/>
                <w:szCs w:val="21"/>
              </w:rPr>
            </w:pPr>
            <w:r>
              <w:rPr>
                <w:rFonts w:hint="eastAsia" w:ascii="宋体" w:hAnsi="宋体"/>
                <w:szCs w:val="21"/>
              </w:rPr>
              <w:t>用于施</w:t>
            </w:r>
          </w:p>
          <w:p w14:paraId="32576C93">
            <w:pPr>
              <w:spacing w:line="360" w:lineRule="auto"/>
              <w:rPr>
                <w:rFonts w:ascii="宋体" w:hAnsi="宋体"/>
                <w:szCs w:val="21"/>
              </w:rPr>
            </w:pPr>
            <w:r>
              <w:rPr>
                <w:rFonts w:hint="eastAsia" w:ascii="宋体" w:hAnsi="宋体"/>
                <w:szCs w:val="21"/>
              </w:rPr>
              <w:t>工部位</w:t>
            </w:r>
          </w:p>
        </w:tc>
        <w:tc>
          <w:tcPr>
            <w:tcW w:w="1080" w:type="dxa"/>
            <w:vAlign w:val="center"/>
          </w:tcPr>
          <w:p w14:paraId="5DD6DEC0">
            <w:pPr>
              <w:spacing w:line="360" w:lineRule="auto"/>
              <w:rPr>
                <w:rFonts w:ascii="宋体" w:hAnsi="宋体"/>
                <w:szCs w:val="21"/>
              </w:rPr>
            </w:pPr>
            <w:r>
              <w:rPr>
                <w:rFonts w:hint="eastAsia" w:ascii="宋体" w:hAnsi="宋体"/>
                <w:szCs w:val="21"/>
              </w:rPr>
              <w:t>备注</w:t>
            </w:r>
          </w:p>
        </w:tc>
      </w:tr>
      <w:tr w14:paraId="5FB2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D3FDD4B">
            <w:pPr>
              <w:spacing w:line="360" w:lineRule="auto"/>
              <w:rPr>
                <w:rFonts w:ascii="宋体" w:hAnsi="宋体"/>
                <w:szCs w:val="21"/>
              </w:rPr>
            </w:pPr>
          </w:p>
        </w:tc>
        <w:tc>
          <w:tcPr>
            <w:tcW w:w="1185" w:type="dxa"/>
          </w:tcPr>
          <w:p w14:paraId="7FE065A2">
            <w:pPr>
              <w:spacing w:line="360" w:lineRule="auto"/>
              <w:ind w:firstLine="420" w:firstLineChars="200"/>
              <w:rPr>
                <w:rFonts w:ascii="宋体" w:hAnsi="宋体"/>
                <w:szCs w:val="21"/>
              </w:rPr>
            </w:pPr>
          </w:p>
        </w:tc>
        <w:tc>
          <w:tcPr>
            <w:tcW w:w="795" w:type="dxa"/>
          </w:tcPr>
          <w:p w14:paraId="0EA3F13E">
            <w:pPr>
              <w:spacing w:line="360" w:lineRule="auto"/>
              <w:rPr>
                <w:rFonts w:ascii="宋体" w:hAnsi="宋体"/>
                <w:szCs w:val="21"/>
              </w:rPr>
            </w:pPr>
          </w:p>
        </w:tc>
        <w:tc>
          <w:tcPr>
            <w:tcW w:w="816" w:type="dxa"/>
          </w:tcPr>
          <w:p w14:paraId="475C7A24">
            <w:pPr>
              <w:spacing w:line="360" w:lineRule="auto"/>
              <w:rPr>
                <w:rFonts w:ascii="宋体" w:hAnsi="宋体"/>
                <w:szCs w:val="21"/>
              </w:rPr>
            </w:pPr>
          </w:p>
        </w:tc>
        <w:tc>
          <w:tcPr>
            <w:tcW w:w="816" w:type="dxa"/>
          </w:tcPr>
          <w:p w14:paraId="2DDD402B">
            <w:pPr>
              <w:spacing w:line="360" w:lineRule="auto"/>
              <w:rPr>
                <w:rFonts w:ascii="宋体" w:hAnsi="宋体"/>
                <w:szCs w:val="21"/>
              </w:rPr>
            </w:pPr>
          </w:p>
        </w:tc>
        <w:tc>
          <w:tcPr>
            <w:tcW w:w="1080" w:type="dxa"/>
          </w:tcPr>
          <w:p w14:paraId="42F8C8E0">
            <w:pPr>
              <w:spacing w:line="360" w:lineRule="auto"/>
              <w:rPr>
                <w:rFonts w:ascii="宋体" w:hAnsi="宋体"/>
                <w:szCs w:val="21"/>
              </w:rPr>
            </w:pPr>
          </w:p>
        </w:tc>
        <w:tc>
          <w:tcPr>
            <w:tcW w:w="1260" w:type="dxa"/>
          </w:tcPr>
          <w:p w14:paraId="662889D5">
            <w:pPr>
              <w:spacing w:line="360" w:lineRule="auto"/>
              <w:rPr>
                <w:rFonts w:ascii="宋体" w:hAnsi="宋体"/>
                <w:szCs w:val="21"/>
              </w:rPr>
            </w:pPr>
          </w:p>
        </w:tc>
        <w:tc>
          <w:tcPr>
            <w:tcW w:w="973" w:type="dxa"/>
          </w:tcPr>
          <w:p w14:paraId="26292FD6">
            <w:pPr>
              <w:spacing w:line="360" w:lineRule="auto"/>
              <w:rPr>
                <w:rFonts w:ascii="宋体" w:hAnsi="宋体"/>
                <w:szCs w:val="21"/>
              </w:rPr>
            </w:pPr>
          </w:p>
        </w:tc>
        <w:tc>
          <w:tcPr>
            <w:tcW w:w="1080" w:type="dxa"/>
          </w:tcPr>
          <w:p w14:paraId="58958363">
            <w:pPr>
              <w:spacing w:line="360" w:lineRule="auto"/>
              <w:rPr>
                <w:rFonts w:ascii="宋体" w:hAnsi="宋体"/>
                <w:szCs w:val="21"/>
              </w:rPr>
            </w:pPr>
          </w:p>
        </w:tc>
        <w:tc>
          <w:tcPr>
            <w:tcW w:w="1080" w:type="dxa"/>
          </w:tcPr>
          <w:p w14:paraId="30EB8228">
            <w:pPr>
              <w:spacing w:line="360" w:lineRule="auto"/>
              <w:rPr>
                <w:rFonts w:ascii="宋体" w:hAnsi="宋体"/>
                <w:szCs w:val="21"/>
              </w:rPr>
            </w:pPr>
          </w:p>
        </w:tc>
      </w:tr>
      <w:tr w14:paraId="095F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15AD635">
            <w:pPr>
              <w:spacing w:line="360" w:lineRule="auto"/>
              <w:rPr>
                <w:rFonts w:ascii="宋体" w:hAnsi="宋体"/>
                <w:szCs w:val="21"/>
              </w:rPr>
            </w:pPr>
          </w:p>
        </w:tc>
        <w:tc>
          <w:tcPr>
            <w:tcW w:w="1185" w:type="dxa"/>
          </w:tcPr>
          <w:p w14:paraId="45D7828E">
            <w:pPr>
              <w:spacing w:line="360" w:lineRule="auto"/>
              <w:rPr>
                <w:rFonts w:ascii="宋体" w:hAnsi="宋体"/>
                <w:szCs w:val="21"/>
              </w:rPr>
            </w:pPr>
          </w:p>
        </w:tc>
        <w:tc>
          <w:tcPr>
            <w:tcW w:w="795" w:type="dxa"/>
          </w:tcPr>
          <w:p w14:paraId="2B5EC5B8">
            <w:pPr>
              <w:spacing w:line="360" w:lineRule="auto"/>
              <w:rPr>
                <w:rFonts w:ascii="宋体" w:hAnsi="宋体"/>
                <w:szCs w:val="21"/>
              </w:rPr>
            </w:pPr>
          </w:p>
        </w:tc>
        <w:tc>
          <w:tcPr>
            <w:tcW w:w="816" w:type="dxa"/>
          </w:tcPr>
          <w:p w14:paraId="576F672D">
            <w:pPr>
              <w:spacing w:line="360" w:lineRule="auto"/>
              <w:rPr>
                <w:rFonts w:ascii="宋体" w:hAnsi="宋体"/>
                <w:szCs w:val="21"/>
              </w:rPr>
            </w:pPr>
          </w:p>
        </w:tc>
        <w:tc>
          <w:tcPr>
            <w:tcW w:w="816" w:type="dxa"/>
          </w:tcPr>
          <w:p w14:paraId="21ACF238">
            <w:pPr>
              <w:spacing w:line="360" w:lineRule="auto"/>
              <w:rPr>
                <w:rFonts w:ascii="宋体" w:hAnsi="宋体"/>
                <w:szCs w:val="21"/>
              </w:rPr>
            </w:pPr>
          </w:p>
        </w:tc>
        <w:tc>
          <w:tcPr>
            <w:tcW w:w="1080" w:type="dxa"/>
          </w:tcPr>
          <w:p w14:paraId="3053F233">
            <w:pPr>
              <w:spacing w:line="360" w:lineRule="auto"/>
              <w:rPr>
                <w:rFonts w:ascii="宋体" w:hAnsi="宋体"/>
                <w:szCs w:val="21"/>
              </w:rPr>
            </w:pPr>
          </w:p>
        </w:tc>
        <w:tc>
          <w:tcPr>
            <w:tcW w:w="1260" w:type="dxa"/>
          </w:tcPr>
          <w:p w14:paraId="690EE8EE">
            <w:pPr>
              <w:spacing w:line="360" w:lineRule="auto"/>
              <w:rPr>
                <w:rFonts w:ascii="宋体" w:hAnsi="宋体"/>
                <w:szCs w:val="21"/>
              </w:rPr>
            </w:pPr>
          </w:p>
        </w:tc>
        <w:tc>
          <w:tcPr>
            <w:tcW w:w="973" w:type="dxa"/>
          </w:tcPr>
          <w:p w14:paraId="7429554C">
            <w:pPr>
              <w:spacing w:line="360" w:lineRule="auto"/>
              <w:rPr>
                <w:rFonts w:ascii="宋体" w:hAnsi="宋体"/>
                <w:szCs w:val="21"/>
              </w:rPr>
            </w:pPr>
          </w:p>
        </w:tc>
        <w:tc>
          <w:tcPr>
            <w:tcW w:w="1080" w:type="dxa"/>
          </w:tcPr>
          <w:p w14:paraId="5BA4A483">
            <w:pPr>
              <w:spacing w:line="360" w:lineRule="auto"/>
              <w:rPr>
                <w:rFonts w:ascii="宋体" w:hAnsi="宋体"/>
                <w:szCs w:val="21"/>
              </w:rPr>
            </w:pPr>
          </w:p>
        </w:tc>
        <w:tc>
          <w:tcPr>
            <w:tcW w:w="1080" w:type="dxa"/>
          </w:tcPr>
          <w:p w14:paraId="7E68AEC9">
            <w:pPr>
              <w:spacing w:line="360" w:lineRule="auto"/>
              <w:rPr>
                <w:rFonts w:ascii="宋体" w:hAnsi="宋体"/>
                <w:szCs w:val="21"/>
              </w:rPr>
            </w:pPr>
          </w:p>
        </w:tc>
      </w:tr>
      <w:tr w14:paraId="1805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5320CC6">
            <w:pPr>
              <w:spacing w:line="360" w:lineRule="auto"/>
              <w:rPr>
                <w:rFonts w:ascii="宋体" w:hAnsi="宋体"/>
                <w:szCs w:val="21"/>
              </w:rPr>
            </w:pPr>
          </w:p>
        </w:tc>
        <w:tc>
          <w:tcPr>
            <w:tcW w:w="1185" w:type="dxa"/>
          </w:tcPr>
          <w:p w14:paraId="3DB6C45D">
            <w:pPr>
              <w:spacing w:line="360" w:lineRule="auto"/>
              <w:rPr>
                <w:rFonts w:ascii="宋体" w:hAnsi="宋体"/>
                <w:szCs w:val="21"/>
              </w:rPr>
            </w:pPr>
          </w:p>
        </w:tc>
        <w:tc>
          <w:tcPr>
            <w:tcW w:w="795" w:type="dxa"/>
          </w:tcPr>
          <w:p w14:paraId="39367541">
            <w:pPr>
              <w:spacing w:line="360" w:lineRule="auto"/>
              <w:rPr>
                <w:rFonts w:ascii="宋体" w:hAnsi="宋体"/>
                <w:szCs w:val="21"/>
              </w:rPr>
            </w:pPr>
          </w:p>
        </w:tc>
        <w:tc>
          <w:tcPr>
            <w:tcW w:w="816" w:type="dxa"/>
          </w:tcPr>
          <w:p w14:paraId="4ADA7DAC">
            <w:pPr>
              <w:spacing w:line="360" w:lineRule="auto"/>
              <w:rPr>
                <w:rFonts w:ascii="宋体" w:hAnsi="宋体"/>
                <w:szCs w:val="21"/>
              </w:rPr>
            </w:pPr>
          </w:p>
        </w:tc>
        <w:tc>
          <w:tcPr>
            <w:tcW w:w="816" w:type="dxa"/>
          </w:tcPr>
          <w:p w14:paraId="6F297712">
            <w:pPr>
              <w:spacing w:line="360" w:lineRule="auto"/>
              <w:rPr>
                <w:rFonts w:ascii="宋体" w:hAnsi="宋体"/>
                <w:szCs w:val="21"/>
              </w:rPr>
            </w:pPr>
          </w:p>
        </w:tc>
        <w:tc>
          <w:tcPr>
            <w:tcW w:w="1080" w:type="dxa"/>
          </w:tcPr>
          <w:p w14:paraId="7F9E0486">
            <w:pPr>
              <w:spacing w:line="360" w:lineRule="auto"/>
              <w:rPr>
                <w:rFonts w:ascii="宋体" w:hAnsi="宋体"/>
                <w:szCs w:val="21"/>
              </w:rPr>
            </w:pPr>
          </w:p>
        </w:tc>
        <w:tc>
          <w:tcPr>
            <w:tcW w:w="1260" w:type="dxa"/>
          </w:tcPr>
          <w:p w14:paraId="12EF15F9">
            <w:pPr>
              <w:spacing w:line="360" w:lineRule="auto"/>
              <w:rPr>
                <w:rFonts w:ascii="宋体" w:hAnsi="宋体"/>
                <w:szCs w:val="21"/>
              </w:rPr>
            </w:pPr>
          </w:p>
        </w:tc>
        <w:tc>
          <w:tcPr>
            <w:tcW w:w="973" w:type="dxa"/>
          </w:tcPr>
          <w:p w14:paraId="4BF6FF95">
            <w:pPr>
              <w:spacing w:line="360" w:lineRule="auto"/>
              <w:rPr>
                <w:rFonts w:ascii="宋体" w:hAnsi="宋体"/>
                <w:szCs w:val="21"/>
              </w:rPr>
            </w:pPr>
          </w:p>
        </w:tc>
        <w:tc>
          <w:tcPr>
            <w:tcW w:w="1080" w:type="dxa"/>
          </w:tcPr>
          <w:p w14:paraId="78347EE4">
            <w:pPr>
              <w:spacing w:line="360" w:lineRule="auto"/>
              <w:rPr>
                <w:rFonts w:ascii="宋体" w:hAnsi="宋体"/>
                <w:szCs w:val="21"/>
              </w:rPr>
            </w:pPr>
          </w:p>
        </w:tc>
        <w:tc>
          <w:tcPr>
            <w:tcW w:w="1080" w:type="dxa"/>
          </w:tcPr>
          <w:p w14:paraId="74AB61B0">
            <w:pPr>
              <w:spacing w:line="360" w:lineRule="auto"/>
              <w:rPr>
                <w:rFonts w:ascii="宋体" w:hAnsi="宋体"/>
                <w:szCs w:val="21"/>
              </w:rPr>
            </w:pPr>
          </w:p>
        </w:tc>
      </w:tr>
      <w:tr w14:paraId="3201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5C892FA4">
            <w:pPr>
              <w:spacing w:line="360" w:lineRule="auto"/>
              <w:rPr>
                <w:rFonts w:ascii="宋体" w:hAnsi="宋体"/>
                <w:szCs w:val="21"/>
              </w:rPr>
            </w:pPr>
          </w:p>
        </w:tc>
        <w:tc>
          <w:tcPr>
            <w:tcW w:w="1185" w:type="dxa"/>
          </w:tcPr>
          <w:p w14:paraId="6E3C012E">
            <w:pPr>
              <w:spacing w:line="360" w:lineRule="auto"/>
              <w:rPr>
                <w:rFonts w:ascii="宋体" w:hAnsi="宋体"/>
                <w:szCs w:val="21"/>
              </w:rPr>
            </w:pPr>
          </w:p>
        </w:tc>
        <w:tc>
          <w:tcPr>
            <w:tcW w:w="795" w:type="dxa"/>
          </w:tcPr>
          <w:p w14:paraId="6F5BD952">
            <w:pPr>
              <w:spacing w:line="360" w:lineRule="auto"/>
              <w:rPr>
                <w:rFonts w:ascii="宋体" w:hAnsi="宋体"/>
                <w:szCs w:val="21"/>
              </w:rPr>
            </w:pPr>
          </w:p>
        </w:tc>
        <w:tc>
          <w:tcPr>
            <w:tcW w:w="816" w:type="dxa"/>
          </w:tcPr>
          <w:p w14:paraId="371F4D5D">
            <w:pPr>
              <w:spacing w:line="360" w:lineRule="auto"/>
              <w:rPr>
                <w:rFonts w:ascii="宋体" w:hAnsi="宋体"/>
                <w:szCs w:val="21"/>
              </w:rPr>
            </w:pPr>
          </w:p>
        </w:tc>
        <w:tc>
          <w:tcPr>
            <w:tcW w:w="816" w:type="dxa"/>
          </w:tcPr>
          <w:p w14:paraId="56E67FFF">
            <w:pPr>
              <w:spacing w:line="360" w:lineRule="auto"/>
              <w:rPr>
                <w:rFonts w:ascii="宋体" w:hAnsi="宋体"/>
                <w:szCs w:val="21"/>
              </w:rPr>
            </w:pPr>
          </w:p>
        </w:tc>
        <w:tc>
          <w:tcPr>
            <w:tcW w:w="1080" w:type="dxa"/>
          </w:tcPr>
          <w:p w14:paraId="7FE41714">
            <w:pPr>
              <w:spacing w:line="360" w:lineRule="auto"/>
              <w:rPr>
                <w:rFonts w:ascii="宋体" w:hAnsi="宋体"/>
                <w:szCs w:val="21"/>
              </w:rPr>
            </w:pPr>
          </w:p>
        </w:tc>
        <w:tc>
          <w:tcPr>
            <w:tcW w:w="1260" w:type="dxa"/>
          </w:tcPr>
          <w:p w14:paraId="1AD11255">
            <w:pPr>
              <w:spacing w:line="360" w:lineRule="auto"/>
              <w:rPr>
                <w:rFonts w:ascii="宋体" w:hAnsi="宋体"/>
                <w:szCs w:val="21"/>
              </w:rPr>
            </w:pPr>
          </w:p>
        </w:tc>
        <w:tc>
          <w:tcPr>
            <w:tcW w:w="973" w:type="dxa"/>
          </w:tcPr>
          <w:p w14:paraId="3A906AB5">
            <w:pPr>
              <w:spacing w:line="360" w:lineRule="auto"/>
              <w:rPr>
                <w:rFonts w:ascii="宋体" w:hAnsi="宋体"/>
                <w:szCs w:val="21"/>
              </w:rPr>
            </w:pPr>
          </w:p>
        </w:tc>
        <w:tc>
          <w:tcPr>
            <w:tcW w:w="1080" w:type="dxa"/>
          </w:tcPr>
          <w:p w14:paraId="51D400B8">
            <w:pPr>
              <w:spacing w:line="360" w:lineRule="auto"/>
              <w:rPr>
                <w:rFonts w:ascii="宋体" w:hAnsi="宋体"/>
                <w:szCs w:val="21"/>
              </w:rPr>
            </w:pPr>
          </w:p>
        </w:tc>
        <w:tc>
          <w:tcPr>
            <w:tcW w:w="1080" w:type="dxa"/>
          </w:tcPr>
          <w:p w14:paraId="22A8CEA7">
            <w:pPr>
              <w:spacing w:line="360" w:lineRule="auto"/>
              <w:rPr>
                <w:rFonts w:ascii="宋体" w:hAnsi="宋体"/>
                <w:szCs w:val="21"/>
              </w:rPr>
            </w:pPr>
          </w:p>
        </w:tc>
      </w:tr>
      <w:tr w14:paraId="735A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287E1EC">
            <w:pPr>
              <w:spacing w:line="360" w:lineRule="auto"/>
              <w:rPr>
                <w:rFonts w:ascii="宋体" w:hAnsi="宋体"/>
                <w:szCs w:val="21"/>
              </w:rPr>
            </w:pPr>
          </w:p>
        </w:tc>
        <w:tc>
          <w:tcPr>
            <w:tcW w:w="1185" w:type="dxa"/>
          </w:tcPr>
          <w:p w14:paraId="0E66EFC8">
            <w:pPr>
              <w:spacing w:line="360" w:lineRule="auto"/>
              <w:rPr>
                <w:rFonts w:ascii="宋体" w:hAnsi="宋体"/>
                <w:szCs w:val="21"/>
              </w:rPr>
            </w:pPr>
          </w:p>
        </w:tc>
        <w:tc>
          <w:tcPr>
            <w:tcW w:w="795" w:type="dxa"/>
          </w:tcPr>
          <w:p w14:paraId="6FF8AD1D">
            <w:pPr>
              <w:spacing w:line="360" w:lineRule="auto"/>
              <w:rPr>
                <w:rFonts w:ascii="宋体" w:hAnsi="宋体"/>
                <w:szCs w:val="21"/>
              </w:rPr>
            </w:pPr>
          </w:p>
        </w:tc>
        <w:tc>
          <w:tcPr>
            <w:tcW w:w="816" w:type="dxa"/>
          </w:tcPr>
          <w:p w14:paraId="7E95B952">
            <w:pPr>
              <w:spacing w:line="360" w:lineRule="auto"/>
              <w:rPr>
                <w:rFonts w:ascii="宋体" w:hAnsi="宋体"/>
                <w:szCs w:val="21"/>
              </w:rPr>
            </w:pPr>
          </w:p>
        </w:tc>
        <w:tc>
          <w:tcPr>
            <w:tcW w:w="816" w:type="dxa"/>
          </w:tcPr>
          <w:p w14:paraId="4E9CB5E2">
            <w:pPr>
              <w:spacing w:line="360" w:lineRule="auto"/>
              <w:rPr>
                <w:rFonts w:ascii="宋体" w:hAnsi="宋体"/>
                <w:szCs w:val="21"/>
              </w:rPr>
            </w:pPr>
          </w:p>
        </w:tc>
        <w:tc>
          <w:tcPr>
            <w:tcW w:w="1080" w:type="dxa"/>
          </w:tcPr>
          <w:p w14:paraId="33384255">
            <w:pPr>
              <w:spacing w:line="360" w:lineRule="auto"/>
              <w:rPr>
                <w:rFonts w:ascii="宋体" w:hAnsi="宋体"/>
                <w:szCs w:val="21"/>
              </w:rPr>
            </w:pPr>
          </w:p>
        </w:tc>
        <w:tc>
          <w:tcPr>
            <w:tcW w:w="1260" w:type="dxa"/>
          </w:tcPr>
          <w:p w14:paraId="39B5A869">
            <w:pPr>
              <w:spacing w:line="360" w:lineRule="auto"/>
              <w:rPr>
                <w:rFonts w:ascii="宋体" w:hAnsi="宋体"/>
                <w:szCs w:val="21"/>
              </w:rPr>
            </w:pPr>
          </w:p>
        </w:tc>
        <w:tc>
          <w:tcPr>
            <w:tcW w:w="973" w:type="dxa"/>
          </w:tcPr>
          <w:p w14:paraId="41DB06AE">
            <w:pPr>
              <w:spacing w:line="360" w:lineRule="auto"/>
              <w:rPr>
                <w:rFonts w:ascii="宋体" w:hAnsi="宋体"/>
                <w:szCs w:val="21"/>
              </w:rPr>
            </w:pPr>
          </w:p>
        </w:tc>
        <w:tc>
          <w:tcPr>
            <w:tcW w:w="1080" w:type="dxa"/>
          </w:tcPr>
          <w:p w14:paraId="0B973356">
            <w:pPr>
              <w:spacing w:line="360" w:lineRule="auto"/>
              <w:rPr>
                <w:rFonts w:ascii="宋体" w:hAnsi="宋体"/>
                <w:szCs w:val="21"/>
              </w:rPr>
            </w:pPr>
          </w:p>
        </w:tc>
        <w:tc>
          <w:tcPr>
            <w:tcW w:w="1080" w:type="dxa"/>
          </w:tcPr>
          <w:p w14:paraId="0CCD093F">
            <w:pPr>
              <w:spacing w:line="360" w:lineRule="auto"/>
              <w:rPr>
                <w:rFonts w:ascii="宋体" w:hAnsi="宋体"/>
                <w:szCs w:val="21"/>
              </w:rPr>
            </w:pPr>
          </w:p>
        </w:tc>
      </w:tr>
      <w:tr w14:paraId="6E7A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2602A9F1">
            <w:pPr>
              <w:spacing w:line="360" w:lineRule="auto"/>
              <w:rPr>
                <w:rFonts w:ascii="宋体" w:hAnsi="宋体"/>
                <w:szCs w:val="21"/>
              </w:rPr>
            </w:pPr>
          </w:p>
        </w:tc>
        <w:tc>
          <w:tcPr>
            <w:tcW w:w="1185" w:type="dxa"/>
          </w:tcPr>
          <w:p w14:paraId="112DEDC0">
            <w:pPr>
              <w:spacing w:line="360" w:lineRule="auto"/>
              <w:rPr>
                <w:rFonts w:ascii="宋体" w:hAnsi="宋体"/>
                <w:szCs w:val="21"/>
              </w:rPr>
            </w:pPr>
          </w:p>
        </w:tc>
        <w:tc>
          <w:tcPr>
            <w:tcW w:w="795" w:type="dxa"/>
          </w:tcPr>
          <w:p w14:paraId="67EFD1CB">
            <w:pPr>
              <w:spacing w:line="360" w:lineRule="auto"/>
              <w:rPr>
                <w:rFonts w:ascii="宋体" w:hAnsi="宋体"/>
                <w:szCs w:val="21"/>
              </w:rPr>
            </w:pPr>
          </w:p>
        </w:tc>
        <w:tc>
          <w:tcPr>
            <w:tcW w:w="816" w:type="dxa"/>
          </w:tcPr>
          <w:p w14:paraId="080942F0">
            <w:pPr>
              <w:spacing w:line="360" w:lineRule="auto"/>
              <w:rPr>
                <w:rFonts w:ascii="宋体" w:hAnsi="宋体"/>
                <w:szCs w:val="21"/>
              </w:rPr>
            </w:pPr>
          </w:p>
        </w:tc>
        <w:tc>
          <w:tcPr>
            <w:tcW w:w="816" w:type="dxa"/>
          </w:tcPr>
          <w:p w14:paraId="2729443D">
            <w:pPr>
              <w:spacing w:line="360" w:lineRule="auto"/>
              <w:rPr>
                <w:rFonts w:ascii="宋体" w:hAnsi="宋体"/>
                <w:szCs w:val="21"/>
              </w:rPr>
            </w:pPr>
          </w:p>
        </w:tc>
        <w:tc>
          <w:tcPr>
            <w:tcW w:w="1080" w:type="dxa"/>
          </w:tcPr>
          <w:p w14:paraId="236F021E">
            <w:pPr>
              <w:spacing w:line="360" w:lineRule="auto"/>
              <w:rPr>
                <w:rFonts w:ascii="宋体" w:hAnsi="宋体"/>
                <w:szCs w:val="21"/>
              </w:rPr>
            </w:pPr>
          </w:p>
        </w:tc>
        <w:tc>
          <w:tcPr>
            <w:tcW w:w="1260" w:type="dxa"/>
          </w:tcPr>
          <w:p w14:paraId="18FA4274">
            <w:pPr>
              <w:spacing w:line="360" w:lineRule="auto"/>
              <w:rPr>
                <w:rFonts w:ascii="宋体" w:hAnsi="宋体"/>
                <w:szCs w:val="21"/>
              </w:rPr>
            </w:pPr>
          </w:p>
        </w:tc>
        <w:tc>
          <w:tcPr>
            <w:tcW w:w="973" w:type="dxa"/>
          </w:tcPr>
          <w:p w14:paraId="65E87833">
            <w:pPr>
              <w:spacing w:line="360" w:lineRule="auto"/>
              <w:rPr>
                <w:rFonts w:ascii="宋体" w:hAnsi="宋体"/>
                <w:szCs w:val="21"/>
              </w:rPr>
            </w:pPr>
          </w:p>
        </w:tc>
        <w:tc>
          <w:tcPr>
            <w:tcW w:w="1080" w:type="dxa"/>
          </w:tcPr>
          <w:p w14:paraId="16BCB8A8">
            <w:pPr>
              <w:spacing w:line="360" w:lineRule="auto"/>
              <w:rPr>
                <w:rFonts w:ascii="宋体" w:hAnsi="宋体"/>
                <w:szCs w:val="21"/>
              </w:rPr>
            </w:pPr>
          </w:p>
        </w:tc>
        <w:tc>
          <w:tcPr>
            <w:tcW w:w="1080" w:type="dxa"/>
          </w:tcPr>
          <w:p w14:paraId="36D10285">
            <w:pPr>
              <w:spacing w:line="360" w:lineRule="auto"/>
              <w:rPr>
                <w:rFonts w:ascii="宋体" w:hAnsi="宋体"/>
                <w:szCs w:val="21"/>
              </w:rPr>
            </w:pPr>
          </w:p>
        </w:tc>
      </w:tr>
      <w:tr w14:paraId="18195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6066F852">
            <w:pPr>
              <w:spacing w:line="360" w:lineRule="auto"/>
              <w:rPr>
                <w:rFonts w:ascii="宋体" w:hAnsi="宋体"/>
                <w:szCs w:val="21"/>
              </w:rPr>
            </w:pPr>
          </w:p>
        </w:tc>
        <w:tc>
          <w:tcPr>
            <w:tcW w:w="1185" w:type="dxa"/>
          </w:tcPr>
          <w:p w14:paraId="642D3DC7">
            <w:pPr>
              <w:spacing w:line="360" w:lineRule="auto"/>
              <w:rPr>
                <w:rFonts w:ascii="宋体" w:hAnsi="宋体"/>
                <w:szCs w:val="21"/>
              </w:rPr>
            </w:pPr>
          </w:p>
        </w:tc>
        <w:tc>
          <w:tcPr>
            <w:tcW w:w="795" w:type="dxa"/>
          </w:tcPr>
          <w:p w14:paraId="0258E4DF">
            <w:pPr>
              <w:spacing w:line="360" w:lineRule="auto"/>
              <w:rPr>
                <w:rFonts w:ascii="宋体" w:hAnsi="宋体"/>
                <w:szCs w:val="21"/>
              </w:rPr>
            </w:pPr>
          </w:p>
        </w:tc>
        <w:tc>
          <w:tcPr>
            <w:tcW w:w="816" w:type="dxa"/>
          </w:tcPr>
          <w:p w14:paraId="71CA1371">
            <w:pPr>
              <w:spacing w:line="360" w:lineRule="auto"/>
              <w:rPr>
                <w:rFonts w:ascii="宋体" w:hAnsi="宋体"/>
                <w:szCs w:val="21"/>
              </w:rPr>
            </w:pPr>
          </w:p>
        </w:tc>
        <w:tc>
          <w:tcPr>
            <w:tcW w:w="816" w:type="dxa"/>
          </w:tcPr>
          <w:p w14:paraId="2C56CAB5">
            <w:pPr>
              <w:spacing w:line="360" w:lineRule="auto"/>
              <w:rPr>
                <w:rFonts w:ascii="宋体" w:hAnsi="宋体"/>
                <w:szCs w:val="21"/>
              </w:rPr>
            </w:pPr>
          </w:p>
        </w:tc>
        <w:tc>
          <w:tcPr>
            <w:tcW w:w="1080" w:type="dxa"/>
          </w:tcPr>
          <w:p w14:paraId="34ACBDD7">
            <w:pPr>
              <w:spacing w:line="360" w:lineRule="auto"/>
              <w:rPr>
                <w:rFonts w:ascii="宋体" w:hAnsi="宋体"/>
                <w:szCs w:val="21"/>
              </w:rPr>
            </w:pPr>
          </w:p>
        </w:tc>
        <w:tc>
          <w:tcPr>
            <w:tcW w:w="1260" w:type="dxa"/>
          </w:tcPr>
          <w:p w14:paraId="0C659A0D">
            <w:pPr>
              <w:spacing w:line="360" w:lineRule="auto"/>
              <w:rPr>
                <w:rFonts w:ascii="宋体" w:hAnsi="宋体"/>
                <w:szCs w:val="21"/>
              </w:rPr>
            </w:pPr>
          </w:p>
        </w:tc>
        <w:tc>
          <w:tcPr>
            <w:tcW w:w="973" w:type="dxa"/>
          </w:tcPr>
          <w:p w14:paraId="24EADD45">
            <w:pPr>
              <w:spacing w:line="360" w:lineRule="auto"/>
              <w:rPr>
                <w:rFonts w:ascii="宋体" w:hAnsi="宋体"/>
                <w:szCs w:val="21"/>
              </w:rPr>
            </w:pPr>
          </w:p>
        </w:tc>
        <w:tc>
          <w:tcPr>
            <w:tcW w:w="1080" w:type="dxa"/>
          </w:tcPr>
          <w:p w14:paraId="28C64F37">
            <w:pPr>
              <w:spacing w:line="360" w:lineRule="auto"/>
              <w:rPr>
                <w:rFonts w:ascii="宋体" w:hAnsi="宋体"/>
                <w:szCs w:val="21"/>
              </w:rPr>
            </w:pPr>
          </w:p>
        </w:tc>
        <w:tc>
          <w:tcPr>
            <w:tcW w:w="1080" w:type="dxa"/>
          </w:tcPr>
          <w:p w14:paraId="649391E2">
            <w:pPr>
              <w:spacing w:line="360" w:lineRule="auto"/>
              <w:rPr>
                <w:rFonts w:ascii="宋体" w:hAnsi="宋体"/>
                <w:szCs w:val="21"/>
              </w:rPr>
            </w:pPr>
          </w:p>
        </w:tc>
      </w:tr>
      <w:tr w14:paraId="6766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Pr>
          <w:p w14:paraId="29D42552">
            <w:pPr>
              <w:spacing w:line="360" w:lineRule="auto"/>
              <w:rPr>
                <w:rFonts w:ascii="宋体" w:hAnsi="宋体"/>
                <w:szCs w:val="21"/>
              </w:rPr>
            </w:pPr>
          </w:p>
        </w:tc>
        <w:tc>
          <w:tcPr>
            <w:tcW w:w="1185" w:type="dxa"/>
          </w:tcPr>
          <w:p w14:paraId="2495C810">
            <w:pPr>
              <w:spacing w:line="360" w:lineRule="auto"/>
              <w:rPr>
                <w:rFonts w:ascii="宋体" w:hAnsi="宋体"/>
                <w:szCs w:val="21"/>
              </w:rPr>
            </w:pPr>
          </w:p>
        </w:tc>
        <w:tc>
          <w:tcPr>
            <w:tcW w:w="795" w:type="dxa"/>
          </w:tcPr>
          <w:p w14:paraId="4DD194F4">
            <w:pPr>
              <w:spacing w:line="360" w:lineRule="auto"/>
              <w:rPr>
                <w:rFonts w:ascii="宋体" w:hAnsi="宋体"/>
                <w:szCs w:val="21"/>
              </w:rPr>
            </w:pPr>
          </w:p>
        </w:tc>
        <w:tc>
          <w:tcPr>
            <w:tcW w:w="816" w:type="dxa"/>
          </w:tcPr>
          <w:p w14:paraId="05C473C8">
            <w:pPr>
              <w:spacing w:line="360" w:lineRule="auto"/>
              <w:rPr>
                <w:rFonts w:ascii="宋体" w:hAnsi="宋体"/>
                <w:szCs w:val="21"/>
              </w:rPr>
            </w:pPr>
          </w:p>
        </w:tc>
        <w:tc>
          <w:tcPr>
            <w:tcW w:w="816" w:type="dxa"/>
          </w:tcPr>
          <w:p w14:paraId="69C5AF4D">
            <w:pPr>
              <w:spacing w:line="360" w:lineRule="auto"/>
              <w:rPr>
                <w:rFonts w:ascii="宋体" w:hAnsi="宋体"/>
                <w:szCs w:val="21"/>
              </w:rPr>
            </w:pPr>
          </w:p>
        </w:tc>
        <w:tc>
          <w:tcPr>
            <w:tcW w:w="1080" w:type="dxa"/>
          </w:tcPr>
          <w:p w14:paraId="10CC460D">
            <w:pPr>
              <w:spacing w:line="360" w:lineRule="auto"/>
              <w:rPr>
                <w:rFonts w:ascii="宋体" w:hAnsi="宋体"/>
                <w:szCs w:val="21"/>
              </w:rPr>
            </w:pPr>
          </w:p>
        </w:tc>
        <w:tc>
          <w:tcPr>
            <w:tcW w:w="1260" w:type="dxa"/>
          </w:tcPr>
          <w:p w14:paraId="08EDB56E">
            <w:pPr>
              <w:spacing w:line="360" w:lineRule="auto"/>
              <w:rPr>
                <w:rFonts w:ascii="宋体" w:hAnsi="宋体"/>
                <w:szCs w:val="21"/>
              </w:rPr>
            </w:pPr>
          </w:p>
        </w:tc>
        <w:tc>
          <w:tcPr>
            <w:tcW w:w="973" w:type="dxa"/>
          </w:tcPr>
          <w:p w14:paraId="5042AF2E">
            <w:pPr>
              <w:spacing w:line="360" w:lineRule="auto"/>
              <w:rPr>
                <w:rFonts w:ascii="宋体" w:hAnsi="宋体"/>
                <w:szCs w:val="21"/>
              </w:rPr>
            </w:pPr>
          </w:p>
        </w:tc>
        <w:tc>
          <w:tcPr>
            <w:tcW w:w="1080" w:type="dxa"/>
          </w:tcPr>
          <w:p w14:paraId="3A009C7D">
            <w:pPr>
              <w:spacing w:line="360" w:lineRule="auto"/>
              <w:rPr>
                <w:rFonts w:ascii="宋体" w:hAnsi="宋体"/>
                <w:szCs w:val="21"/>
              </w:rPr>
            </w:pPr>
          </w:p>
        </w:tc>
        <w:tc>
          <w:tcPr>
            <w:tcW w:w="1080" w:type="dxa"/>
          </w:tcPr>
          <w:p w14:paraId="62F6A70E">
            <w:pPr>
              <w:spacing w:line="360" w:lineRule="auto"/>
              <w:rPr>
                <w:rFonts w:ascii="宋体" w:hAnsi="宋体"/>
                <w:szCs w:val="21"/>
              </w:rPr>
            </w:pPr>
          </w:p>
        </w:tc>
      </w:tr>
      <w:tr w14:paraId="4AF2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7CF03B72">
            <w:pPr>
              <w:spacing w:line="360" w:lineRule="auto"/>
              <w:rPr>
                <w:rFonts w:ascii="宋体" w:hAnsi="宋体"/>
                <w:szCs w:val="21"/>
              </w:rPr>
            </w:pPr>
          </w:p>
        </w:tc>
        <w:tc>
          <w:tcPr>
            <w:tcW w:w="1185" w:type="dxa"/>
          </w:tcPr>
          <w:p w14:paraId="3AC96123">
            <w:pPr>
              <w:spacing w:line="360" w:lineRule="auto"/>
              <w:rPr>
                <w:rFonts w:ascii="宋体" w:hAnsi="宋体"/>
                <w:szCs w:val="21"/>
              </w:rPr>
            </w:pPr>
          </w:p>
        </w:tc>
        <w:tc>
          <w:tcPr>
            <w:tcW w:w="795" w:type="dxa"/>
          </w:tcPr>
          <w:p w14:paraId="74EC6002">
            <w:pPr>
              <w:spacing w:line="360" w:lineRule="auto"/>
              <w:rPr>
                <w:rFonts w:ascii="宋体" w:hAnsi="宋体"/>
                <w:szCs w:val="21"/>
              </w:rPr>
            </w:pPr>
          </w:p>
        </w:tc>
        <w:tc>
          <w:tcPr>
            <w:tcW w:w="816" w:type="dxa"/>
          </w:tcPr>
          <w:p w14:paraId="682FAE46">
            <w:pPr>
              <w:spacing w:line="360" w:lineRule="auto"/>
              <w:rPr>
                <w:rFonts w:ascii="宋体" w:hAnsi="宋体"/>
                <w:szCs w:val="21"/>
              </w:rPr>
            </w:pPr>
          </w:p>
        </w:tc>
        <w:tc>
          <w:tcPr>
            <w:tcW w:w="816" w:type="dxa"/>
          </w:tcPr>
          <w:p w14:paraId="0B737587">
            <w:pPr>
              <w:spacing w:line="360" w:lineRule="auto"/>
              <w:rPr>
                <w:rFonts w:ascii="宋体" w:hAnsi="宋体"/>
                <w:szCs w:val="21"/>
              </w:rPr>
            </w:pPr>
          </w:p>
        </w:tc>
        <w:tc>
          <w:tcPr>
            <w:tcW w:w="1080" w:type="dxa"/>
          </w:tcPr>
          <w:p w14:paraId="2F7EF8EA">
            <w:pPr>
              <w:spacing w:line="360" w:lineRule="auto"/>
              <w:rPr>
                <w:rFonts w:ascii="宋体" w:hAnsi="宋体"/>
                <w:szCs w:val="21"/>
              </w:rPr>
            </w:pPr>
          </w:p>
        </w:tc>
        <w:tc>
          <w:tcPr>
            <w:tcW w:w="1260" w:type="dxa"/>
          </w:tcPr>
          <w:p w14:paraId="119FDF76">
            <w:pPr>
              <w:spacing w:line="360" w:lineRule="auto"/>
              <w:rPr>
                <w:rFonts w:ascii="宋体" w:hAnsi="宋体"/>
                <w:szCs w:val="21"/>
              </w:rPr>
            </w:pPr>
          </w:p>
        </w:tc>
        <w:tc>
          <w:tcPr>
            <w:tcW w:w="973" w:type="dxa"/>
          </w:tcPr>
          <w:p w14:paraId="530A1257">
            <w:pPr>
              <w:spacing w:line="360" w:lineRule="auto"/>
              <w:rPr>
                <w:rFonts w:ascii="宋体" w:hAnsi="宋体"/>
                <w:szCs w:val="21"/>
              </w:rPr>
            </w:pPr>
          </w:p>
        </w:tc>
        <w:tc>
          <w:tcPr>
            <w:tcW w:w="1080" w:type="dxa"/>
          </w:tcPr>
          <w:p w14:paraId="7BD70AF8">
            <w:pPr>
              <w:spacing w:line="360" w:lineRule="auto"/>
              <w:rPr>
                <w:rFonts w:ascii="宋体" w:hAnsi="宋体"/>
                <w:szCs w:val="21"/>
              </w:rPr>
            </w:pPr>
          </w:p>
        </w:tc>
        <w:tc>
          <w:tcPr>
            <w:tcW w:w="1080" w:type="dxa"/>
          </w:tcPr>
          <w:p w14:paraId="10627B68">
            <w:pPr>
              <w:spacing w:line="360" w:lineRule="auto"/>
              <w:rPr>
                <w:rFonts w:ascii="宋体" w:hAnsi="宋体"/>
                <w:szCs w:val="21"/>
              </w:rPr>
            </w:pPr>
          </w:p>
        </w:tc>
      </w:tr>
      <w:tr w14:paraId="002B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Pr>
          <w:p w14:paraId="5F515B74">
            <w:pPr>
              <w:spacing w:line="360" w:lineRule="auto"/>
              <w:rPr>
                <w:rFonts w:ascii="宋体" w:hAnsi="宋体"/>
                <w:szCs w:val="21"/>
              </w:rPr>
            </w:pPr>
          </w:p>
        </w:tc>
        <w:tc>
          <w:tcPr>
            <w:tcW w:w="1185" w:type="dxa"/>
          </w:tcPr>
          <w:p w14:paraId="6158F676">
            <w:pPr>
              <w:spacing w:line="360" w:lineRule="auto"/>
              <w:rPr>
                <w:rFonts w:ascii="宋体" w:hAnsi="宋体"/>
                <w:szCs w:val="21"/>
              </w:rPr>
            </w:pPr>
          </w:p>
        </w:tc>
        <w:tc>
          <w:tcPr>
            <w:tcW w:w="795" w:type="dxa"/>
          </w:tcPr>
          <w:p w14:paraId="55671770">
            <w:pPr>
              <w:spacing w:line="360" w:lineRule="auto"/>
              <w:rPr>
                <w:rFonts w:ascii="宋体" w:hAnsi="宋体"/>
                <w:szCs w:val="21"/>
              </w:rPr>
            </w:pPr>
          </w:p>
        </w:tc>
        <w:tc>
          <w:tcPr>
            <w:tcW w:w="816" w:type="dxa"/>
          </w:tcPr>
          <w:p w14:paraId="140B63F6">
            <w:pPr>
              <w:spacing w:line="360" w:lineRule="auto"/>
              <w:rPr>
                <w:rFonts w:ascii="宋体" w:hAnsi="宋体"/>
                <w:szCs w:val="21"/>
              </w:rPr>
            </w:pPr>
          </w:p>
        </w:tc>
        <w:tc>
          <w:tcPr>
            <w:tcW w:w="816" w:type="dxa"/>
          </w:tcPr>
          <w:p w14:paraId="08AABECE">
            <w:pPr>
              <w:spacing w:line="360" w:lineRule="auto"/>
              <w:rPr>
                <w:rFonts w:ascii="宋体" w:hAnsi="宋体"/>
                <w:szCs w:val="21"/>
              </w:rPr>
            </w:pPr>
          </w:p>
        </w:tc>
        <w:tc>
          <w:tcPr>
            <w:tcW w:w="1080" w:type="dxa"/>
          </w:tcPr>
          <w:p w14:paraId="0DB08297">
            <w:pPr>
              <w:spacing w:line="360" w:lineRule="auto"/>
              <w:rPr>
                <w:rFonts w:ascii="宋体" w:hAnsi="宋体"/>
                <w:szCs w:val="21"/>
              </w:rPr>
            </w:pPr>
          </w:p>
        </w:tc>
        <w:tc>
          <w:tcPr>
            <w:tcW w:w="1260" w:type="dxa"/>
          </w:tcPr>
          <w:p w14:paraId="663D17D6">
            <w:pPr>
              <w:spacing w:line="360" w:lineRule="auto"/>
              <w:rPr>
                <w:rFonts w:ascii="宋体" w:hAnsi="宋体"/>
                <w:szCs w:val="21"/>
              </w:rPr>
            </w:pPr>
          </w:p>
        </w:tc>
        <w:tc>
          <w:tcPr>
            <w:tcW w:w="973" w:type="dxa"/>
          </w:tcPr>
          <w:p w14:paraId="12F4B4EB">
            <w:pPr>
              <w:spacing w:line="360" w:lineRule="auto"/>
              <w:rPr>
                <w:rFonts w:ascii="宋体" w:hAnsi="宋体"/>
                <w:szCs w:val="21"/>
              </w:rPr>
            </w:pPr>
          </w:p>
        </w:tc>
        <w:tc>
          <w:tcPr>
            <w:tcW w:w="1080" w:type="dxa"/>
          </w:tcPr>
          <w:p w14:paraId="7F75A0B3">
            <w:pPr>
              <w:spacing w:line="360" w:lineRule="auto"/>
              <w:rPr>
                <w:rFonts w:ascii="宋体" w:hAnsi="宋体"/>
                <w:szCs w:val="21"/>
              </w:rPr>
            </w:pPr>
          </w:p>
        </w:tc>
        <w:tc>
          <w:tcPr>
            <w:tcW w:w="1080" w:type="dxa"/>
          </w:tcPr>
          <w:p w14:paraId="424601A8">
            <w:pPr>
              <w:spacing w:line="360" w:lineRule="auto"/>
              <w:rPr>
                <w:rFonts w:ascii="宋体" w:hAnsi="宋体"/>
                <w:szCs w:val="21"/>
              </w:rPr>
            </w:pPr>
          </w:p>
        </w:tc>
      </w:tr>
    </w:tbl>
    <w:p w14:paraId="0A25EAE2">
      <w:pPr>
        <w:spacing w:line="360" w:lineRule="auto"/>
        <w:ind w:firstLine="420" w:firstLineChars="200"/>
        <w:rPr>
          <w:rFonts w:ascii="宋体" w:hAnsi="宋体"/>
          <w:szCs w:val="21"/>
        </w:rPr>
        <w:sectPr>
          <w:pgSz w:w="11906" w:h="16838"/>
          <w:pgMar w:top="1418" w:right="1134" w:bottom="1418" w:left="1134" w:header="851" w:footer="992" w:gutter="0"/>
          <w:cols w:space="720" w:num="1"/>
          <w:docGrid w:type="lines" w:linePitch="312" w:charSpace="0"/>
        </w:sectPr>
      </w:pPr>
    </w:p>
    <w:p w14:paraId="4953C118">
      <w:pPr>
        <w:pStyle w:val="5"/>
      </w:pPr>
      <w:r>
        <w:rPr>
          <w:rFonts w:hint="eastAsia"/>
        </w:rPr>
        <w:t>附表二：施工总体进度计划表</w:t>
      </w:r>
    </w:p>
    <w:p w14:paraId="36674521"/>
    <w:p w14:paraId="016D6FB5">
      <w:pPr>
        <w:spacing w:line="360" w:lineRule="auto"/>
        <w:ind w:left="101"/>
        <w:rPr>
          <w:rFonts w:ascii="宋体" w:hAnsi="宋体" w:cs="宋体"/>
          <w:sz w:val="2"/>
          <w:szCs w:val="2"/>
        </w:rPr>
      </w:pPr>
    </w:p>
    <w:p w14:paraId="66A60C8C">
      <w:pPr>
        <w:pStyle w:val="18"/>
        <w:rPr>
          <w:rFonts w:ascii="宋体" w:hAnsi="宋体" w:cs="宋体"/>
          <w:sz w:val="2"/>
          <w:szCs w:val="2"/>
        </w:rPr>
      </w:pPr>
    </w:p>
    <w:p w14:paraId="1A520FEA">
      <w:pPr>
        <w:pStyle w:val="4"/>
      </w:pPr>
      <w:bookmarkStart w:id="644" w:name="_Toc15322"/>
      <w:bookmarkStart w:id="645" w:name="_Toc19870"/>
      <w:bookmarkStart w:id="646" w:name="_Toc32549"/>
      <w:bookmarkStart w:id="647" w:name="_Toc13980"/>
      <w:bookmarkStart w:id="648" w:name="_Toc20762"/>
      <w:bookmarkStart w:id="649" w:name="_Toc16358"/>
      <w:bookmarkStart w:id="650" w:name="_Toc3459"/>
      <w:bookmarkStart w:id="651" w:name="_Toc3970"/>
      <w:bookmarkStart w:id="652" w:name="_Toc26714"/>
    </w:p>
    <w:p w14:paraId="5F2C9E5D">
      <w:pPr>
        <w:pStyle w:val="4"/>
      </w:pPr>
    </w:p>
    <w:p w14:paraId="28505C75">
      <w:pPr>
        <w:pStyle w:val="4"/>
        <w:rPr>
          <w:sz w:val="26"/>
          <w:szCs w:val="26"/>
        </w:rPr>
      </w:pPr>
      <w:r>
        <w:t>附表</w:t>
      </w:r>
      <w:r>
        <w:rPr>
          <w:rFonts w:hint="eastAsia"/>
        </w:rPr>
        <w:t>三</w:t>
      </w:r>
      <w:r>
        <w:t>：施工总平面图</w:t>
      </w:r>
      <w:bookmarkEnd w:id="644"/>
      <w:bookmarkEnd w:id="645"/>
      <w:bookmarkEnd w:id="646"/>
      <w:bookmarkEnd w:id="647"/>
      <w:bookmarkEnd w:id="648"/>
      <w:bookmarkEnd w:id="649"/>
      <w:bookmarkEnd w:id="650"/>
      <w:bookmarkEnd w:id="651"/>
      <w:bookmarkEnd w:id="652"/>
    </w:p>
    <w:p w14:paraId="02E9CDCC">
      <w:pPr>
        <w:tabs>
          <w:tab w:val="left" w:pos="4520"/>
          <w:tab w:val="left" w:pos="5480"/>
          <w:tab w:val="left" w:pos="6420"/>
        </w:tabs>
        <w:autoSpaceDE w:val="0"/>
        <w:autoSpaceDN w:val="0"/>
        <w:adjustRightInd w:val="0"/>
        <w:spacing w:line="360" w:lineRule="auto"/>
        <w:ind w:right="-23" w:firstLine="420" w:firstLineChars="200"/>
        <w:rPr>
          <w:rFonts w:ascii="宋体" w:hAnsi="宋体" w:cs="宋体"/>
          <w:szCs w:val="21"/>
        </w:rPr>
        <w:sectPr>
          <w:footerReference r:id="rId7" w:type="default"/>
          <w:pgSz w:w="11911" w:h="16838"/>
          <w:pgMar w:top="1440" w:right="1080" w:bottom="1440" w:left="1080" w:header="777" w:footer="1077" w:gutter="0"/>
          <w:cols w:space="720" w:num="1"/>
        </w:sectPr>
      </w:pPr>
      <w:r>
        <w:rPr>
          <w:rFonts w:hint="eastAsia" w:ascii="宋体" w:hAnsi="宋体" w:cs="宋体"/>
          <w:szCs w:val="21"/>
        </w:rPr>
        <w:t>投标人应递交一份施工总平面图，绘出现场临时设施布置图表并附文字说明，说明施工营地、料场、临时设施、加工车间、现场办公、设备及仓储、供电、供水、卫生、生活、道路、消防等设施的情况和布置。</w:t>
      </w:r>
    </w:p>
    <w:p w14:paraId="0B8CB1EF">
      <w:pPr>
        <w:pStyle w:val="4"/>
      </w:pPr>
      <w:bookmarkStart w:id="653" w:name="_Toc11896"/>
      <w:bookmarkStart w:id="654" w:name="_Toc1792"/>
      <w:bookmarkStart w:id="655" w:name="_Toc14964"/>
      <w:bookmarkStart w:id="656" w:name="_Toc250"/>
      <w:bookmarkStart w:id="657" w:name="_Toc7723"/>
      <w:bookmarkStart w:id="658" w:name="_Toc24622"/>
      <w:bookmarkStart w:id="659" w:name="_Toc19599"/>
      <w:bookmarkStart w:id="660" w:name="_Toc12908"/>
      <w:bookmarkStart w:id="661" w:name="_Toc7205"/>
      <w:bookmarkStart w:id="662" w:name="_Toc19587"/>
      <w:r>
        <w:t>附表</w:t>
      </w:r>
      <w:r>
        <w:rPr>
          <w:rFonts w:hint="eastAsia"/>
        </w:rPr>
        <w:t>四</w:t>
      </w:r>
      <w:r>
        <w:t>：劳动力计划表</w:t>
      </w:r>
      <w:bookmarkEnd w:id="653"/>
      <w:bookmarkEnd w:id="654"/>
      <w:bookmarkEnd w:id="655"/>
      <w:bookmarkEnd w:id="656"/>
      <w:bookmarkEnd w:id="657"/>
      <w:bookmarkEnd w:id="658"/>
      <w:bookmarkEnd w:id="659"/>
      <w:bookmarkEnd w:id="660"/>
      <w:bookmarkEnd w:id="661"/>
      <w:bookmarkEnd w:id="662"/>
    </w:p>
    <w:p w14:paraId="1F51B630">
      <w:pPr>
        <w:spacing w:line="360" w:lineRule="auto"/>
        <w:ind w:firstLine="7800" w:firstLineChars="3700"/>
        <w:rPr>
          <w:b/>
          <w:bCs/>
          <w:szCs w:val="21"/>
        </w:rPr>
      </w:pPr>
      <w:bookmarkStart w:id="663" w:name="_Toc12840"/>
      <w:bookmarkStart w:id="664" w:name="_Toc17215"/>
      <w:r>
        <w:rPr>
          <w:rFonts w:hint="eastAsia"/>
          <w:b/>
          <w:bCs/>
          <w:szCs w:val="21"/>
        </w:rPr>
        <w:t>单位：人</w:t>
      </w:r>
      <w:bookmarkEnd w:id="663"/>
      <w:bookmarkEnd w:id="664"/>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422"/>
        <w:gridCol w:w="1162"/>
        <w:gridCol w:w="1161"/>
        <w:gridCol w:w="1162"/>
        <w:gridCol w:w="1162"/>
        <w:gridCol w:w="1161"/>
        <w:gridCol w:w="1160"/>
      </w:tblGrid>
      <w:tr w14:paraId="31EF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3AEA8429">
            <w:pPr>
              <w:spacing w:line="360" w:lineRule="auto"/>
              <w:jc w:val="center"/>
              <w:rPr>
                <w:szCs w:val="21"/>
              </w:rPr>
            </w:pPr>
            <w:r>
              <w:rPr>
                <w:szCs w:val="21"/>
              </w:rPr>
              <w:t>工种</w:t>
            </w:r>
          </w:p>
        </w:tc>
        <w:tc>
          <w:tcPr>
            <w:tcW w:w="8390" w:type="dxa"/>
            <w:gridSpan w:val="7"/>
            <w:vAlign w:val="center"/>
          </w:tcPr>
          <w:p w14:paraId="5ADB16B2">
            <w:pPr>
              <w:spacing w:line="360" w:lineRule="auto"/>
              <w:jc w:val="center"/>
              <w:rPr>
                <w:szCs w:val="21"/>
              </w:rPr>
            </w:pPr>
            <w:r>
              <w:rPr>
                <w:szCs w:val="21"/>
              </w:rPr>
              <w:t>按工程施工阶段投入劳动力情况</w:t>
            </w:r>
          </w:p>
        </w:tc>
      </w:tr>
      <w:tr w14:paraId="7B2A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6BF93627">
            <w:pPr>
              <w:spacing w:line="360" w:lineRule="auto"/>
              <w:jc w:val="center"/>
              <w:rPr>
                <w:szCs w:val="21"/>
              </w:rPr>
            </w:pPr>
          </w:p>
        </w:tc>
        <w:tc>
          <w:tcPr>
            <w:tcW w:w="1422" w:type="dxa"/>
            <w:vAlign w:val="center"/>
          </w:tcPr>
          <w:p w14:paraId="6A853E21">
            <w:pPr>
              <w:spacing w:line="360" w:lineRule="auto"/>
              <w:jc w:val="center"/>
              <w:rPr>
                <w:szCs w:val="21"/>
              </w:rPr>
            </w:pPr>
          </w:p>
        </w:tc>
        <w:tc>
          <w:tcPr>
            <w:tcW w:w="1162" w:type="dxa"/>
            <w:vAlign w:val="center"/>
          </w:tcPr>
          <w:p w14:paraId="734CE3D9">
            <w:pPr>
              <w:spacing w:line="360" w:lineRule="auto"/>
              <w:jc w:val="center"/>
              <w:rPr>
                <w:szCs w:val="21"/>
              </w:rPr>
            </w:pPr>
          </w:p>
        </w:tc>
        <w:tc>
          <w:tcPr>
            <w:tcW w:w="1161" w:type="dxa"/>
            <w:vAlign w:val="center"/>
          </w:tcPr>
          <w:p w14:paraId="79600747">
            <w:pPr>
              <w:spacing w:line="360" w:lineRule="auto"/>
              <w:jc w:val="center"/>
              <w:rPr>
                <w:szCs w:val="21"/>
              </w:rPr>
            </w:pPr>
          </w:p>
        </w:tc>
        <w:tc>
          <w:tcPr>
            <w:tcW w:w="1162" w:type="dxa"/>
            <w:vAlign w:val="center"/>
          </w:tcPr>
          <w:p w14:paraId="07368D12">
            <w:pPr>
              <w:spacing w:line="360" w:lineRule="auto"/>
              <w:jc w:val="center"/>
              <w:rPr>
                <w:szCs w:val="21"/>
              </w:rPr>
            </w:pPr>
          </w:p>
        </w:tc>
        <w:tc>
          <w:tcPr>
            <w:tcW w:w="1162" w:type="dxa"/>
            <w:vAlign w:val="center"/>
          </w:tcPr>
          <w:p w14:paraId="0533A630">
            <w:pPr>
              <w:spacing w:line="360" w:lineRule="auto"/>
              <w:jc w:val="center"/>
              <w:rPr>
                <w:szCs w:val="21"/>
              </w:rPr>
            </w:pPr>
          </w:p>
        </w:tc>
        <w:tc>
          <w:tcPr>
            <w:tcW w:w="1161" w:type="dxa"/>
            <w:vAlign w:val="center"/>
          </w:tcPr>
          <w:p w14:paraId="265EC115">
            <w:pPr>
              <w:spacing w:line="360" w:lineRule="auto"/>
              <w:jc w:val="center"/>
              <w:rPr>
                <w:szCs w:val="21"/>
              </w:rPr>
            </w:pPr>
          </w:p>
        </w:tc>
        <w:tc>
          <w:tcPr>
            <w:tcW w:w="1160" w:type="dxa"/>
            <w:vAlign w:val="center"/>
          </w:tcPr>
          <w:p w14:paraId="19FF5A2E">
            <w:pPr>
              <w:spacing w:line="360" w:lineRule="auto"/>
              <w:jc w:val="center"/>
              <w:rPr>
                <w:szCs w:val="21"/>
              </w:rPr>
            </w:pPr>
          </w:p>
        </w:tc>
      </w:tr>
      <w:tr w14:paraId="7335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CE7B4AA">
            <w:pPr>
              <w:spacing w:line="360" w:lineRule="auto"/>
              <w:jc w:val="center"/>
              <w:rPr>
                <w:szCs w:val="21"/>
              </w:rPr>
            </w:pPr>
          </w:p>
        </w:tc>
        <w:tc>
          <w:tcPr>
            <w:tcW w:w="1422" w:type="dxa"/>
            <w:vAlign w:val="center"/>
          </w:tcPr>
          <w:p w14:paraId="759A318A">
            <w:pPr>
              <w:spacing w:line="360" w:lineRule="auto"/>
              <w:jc w:val="center"/>
              <w:rPr>
                <w:szCs w:val="21"/>
              </w:rPr>
            </w:pPr>
          </w:p>
        </w:tc>
        <w:tc>
          <w:tcPr>
            <w:tcW w:w="1162" w:type="dxa"/>
            <w:vAlign w:val="center"/>
          </w:tcPr>
          <w:p w14:paraId="08EC7255">
            <w:pPr>
              <w:spacing w:line="360" w:lineRule="auto"/>
              <w:jc w:val="center"/>
              <w:rPr>
                <w:szCs w:val="21"/>
              </w:rPr>
            </w:pPr>
          </w:p>
        </w:tc>
        <w:tc>
          <w:tcPr>
            <w:tcW w:w="1161" w:type="dxa"/>
            <w:vAlign w:val="center"/>
          </w:tcPr>
          <w:p w14:paraId="69CA0CAD">
            <w:pPr>
              <w:spacing w:line="360" w:lineRule="auto"/>
              <w:jc w:val="center"/>
              <w:rPr>
                <w:szCs w:val="21"/>
              </w:rPr>
            </w:pPr>
          </w:p>
        </w:tc>
        <w:tc>
          <w:tcPr>
            <w:tcW w:w="1162" w:type="dxa"/>
            <w:vAlign w:val="center"/>
          </w:tcPr>
          <w:p w14:paraId="1A8D6DE2">
            <w:pPr>
              <w:spacing w:line="360" w:lineRule="auto"/>
              <w:jc w:val="center"/>
              <w:rPr>
                <w:szCs w:val="21"/>
              </w:rPr>
            </w:pPr>
          </w:p>
        </w:tc>
        <w:tc>
          <w:tcPr>
            <w:tcW w:w="1162" w:type="dxa"/>
            <w:vAlign w:val="center"/>
          </w:tcPr>
          <w:p w14:paraId="408F0513">
            <w:pPr>
              <w:spacing w:line="360" w:lineRule="auto"/>
              <w:jc w:val="center"/>
              <w:rPr>
                <w:szCs w:val="21"/>
              </w:rPr>
            </w:pPr>
          </w:p>
        </w:tc>
        <w:tc>
          <w:tcPr>
            <w:tcW w:w="1161" w:type="dxa"/>
            <w:vAlign w:val="center"/>
          </w:tcPr>
          <w:p w14:paraId="255AC683">
            <w:pPr>
              <w:spacing w:line="360" w:lineRule="auto"/>
              <w:jc w:val="center"/>
              <w:rPr>
                <w:szCs w:val="21"/>
              </w:rPr>
            </w:pPr>
          </w:p>
        </w:tc>
        <w:tc>
          <w:tcPr>
            <w:tcW w:w="1160" w:type="dxa"/>
            <w:vAlign w:val="center"/>
          </w:tcPr>
          <w:p w14:paraId="0FEE9694">
            <w:pPr>
              <w:spacing w:line="360" w:lineRule="auto"/>
              <w:jc w:val="center"/>
              <w:rPr>
                <w:szCs w:val="21"/>
              </w:rPr>
            </w:pPr>
          </w:p>
        </w:tc>
      </w:tr>
      <w:tr w14:paraId="3C2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126741B3">
            <w:pPr>
              <w:spacing w:line="360" w:lineRule="auto"/>
              <w:jc w:val="center"/>
              <w:rPr>
                <w:szCs w:val="21"/>
              </w:rPr>
            </w:pPr>
          </w:p>
        </w:tc>
        <w:tc>
          <w:tcPr>
            <w:tcW w:w="1422" w:type="dxa"/>
            <w:vAlign w:val="center"/>
          </w:tcPr>
          <w:p w14:paraId="72C98B2B">
            <w:pPr>
              <w:spacing w:line="360" w:lineRule="auto"/>
              <w:jc w:val="center"/>
              <w:rPr>
                <w:szCs w:val="21"/>
              </w:rPr>
            </w:pPr>
          </w:p>
        </w:tc>
        <w:tc>
          <w:tcPr>
            <w:tcW w:w="1162" w:type="dxa"/>
            <w:vAlign w:val="center"/>
          </w:tcPr>
          <w:p w14:paraId="583B6B25">
            <w:pPr>
              <w:spacing w:line="360" w:lineRule="auto"/>
              <w:jc w:val="center"/>
              <w:rPr>
                <w:szCs w:val="21"/>
              </w:rPr>
            </w:pPr>
          </w:p>
        </w:tc>
        <w:tc>
          <w:tcPr>
            <w:tcW w:w="1161" w:type="dxa"/>
            <w:vAlign w:val="center"/>
          </w:tcPr>
          <w:p w14:paraId="56250FC6">
            <w:pPr>
              <w:spacing w:line="360" w:lineRule="auto"/>
              <w:jc w:val="center"/>
              <w:rPr>
                <w:szCs w:val="21"/>
              </w:rPr>
            </w:pPr>
          </w:p>
        </w:tc>
        <w:tc>
          <w:tcPr>
            <w:tcW w:w="1162" w:type="dxa"/>
            <w:vAlign w:val="center"/>
          </w:tcPr>
          <w:p w14:paraId="6B9347A5">
            <w:pPr>
              <w:spacing w:line="360" w:lineRule="auto"/>
              <w:jc w:val="center"/>
              <w:rPr>
                <w:szCs w:val="21"/>
              </w:rPr>
            </w:pPr>
          </w:p>
        </w:tc>
        <w:tc>
          <w:tcPr>
            <w:tcW w:w="1162" w:type="dxa"/>
            <w:vAlign w:val="center"/>
          </w:tcPr>
          <w:p w14:paraId="0AF04AA0">
            <w:pPr>
              <w:spacing w:line="360" w:lineRule="auto"/>
              <w:jc w:val="center"/>
              <w:rPr>
                <w:szCs w:val="21"/>
              </w:rPr>
            </w:pPr>
          </w:p>
        </w:tc>
        <w:tc>
          <w:tcPr>
            <w:tcW w:w="1161" w:type="dxa"/>
            <w:vAlign w:val="center"/>
          </w:tcPr>
          <w:p w14:paraId="4090C944">
            <w:pPr>
              <w:spacing w:line="360" w:lineRule="auto"/>
              <w:jc w:val="center"/>
              <w:rPr>
                <w:szCs w:val="21"/>
              </w:rPr>
            </w:pPr>
          </w:p>
        </w:tc>
        <w:tc>
          <w:tcPr>
            <w:tcW w:w="1160" w:type="dxa"/>
            <w:vAlign w:val="center"/>
          </w:tcPr>
          <w:p w14:paraId="3D9AD68C">
            <w:pPr>
              <w:spacing w:line="360" w:lineRule="auto"/>
              <w:jc w:val="center"/>
              <w:rPr>
                <w:szCs w:val="21"/>
              </w:rPr>
            </w:pPr>
          </w:p>
        </w:tc>
      </w:tr>
      <w:tr w14:paraId="6850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156D99ED">
            <w:pPr>
              <w:spacing w:line="360" w:lineRule="auto"/>
              <w:jc w:val="center"/>
              <w:rPr>
                <w:szCs w:val="21"/>
              </w:rPr>
            </w:pPr>
          </w:p>
        </w:tc>
        <w:tc>
          <w:tcPr>
            <w:tcW w:w="1422" w:type="dxa"/>
            <w:vAlign w:val="center"/>
          </w:tcPr>
          <w:p w14:paraId="7B1B13C5">
            <w:pPr>
              <w:spacing w:line="360" w:lineRule="auto"/>
              <w:jc w:val="center"/>
              <w:rPr>
                <w:szCs w:val="21"/>
              </w:rPr>
            </w:pPr>
          </w:p>
        </w:tc>
        <w:tc>
          <w:tcPr>
            <w:tcW w:w="1162" w:type="dxa"/>
            <w:vAlign w:val="center"/>
          </w:tcPr>
          <w:p w14:paraId="27F9F71D">
            <w:pPr>
              <w:spacing w:line="360" w:lineRule="auto"/>
              <w:jc w:val="center"/>
              <w:rPr>
                <w:szCs w:val="21"/>
              </w:rPr>
            </w:pPr>
          </w:p>
        </w:tc>
        <w:tc>
          <w:tcPr>
            <w:tcW w:w="1161" w:type="dxa"/>
            <w:vAlign w:val="center"/>
          </w:tcPr>
          <w:p w14:paraId="3774946E">
            <w:pPr>
              <w:spacing w:line="360" w:lineRule="auto"/>
              <w:jc w:val="center"/>
              <w:rPr>
                <w:szCs w:val="21"/>
              </w:rPr>
            </w:pPr>
          </w:p>
        </w:tc>
        <w:tc>
          <w:tcPr>
            <w:tcW w:w="1162" w:type="dxa"/>
            <w:vAlign w:val="center"/>
          </w:tcPr>
          <w:p w14:paraId="3F861480">
            <w:pPr>
              <w:spacing w:line="360" w:lineRule="auto"/>
              <w:jc w:val="center"/>
              <w:rPr>
                <w:szCs w:val="21"/>
              </w:rPr>
            </w:pPr>
          </w:p>
        </w:tc>
        <w:tc>
          <w:tcPr>
            <w:tcW w:w="1162" w:type="dxa"/>
            <w:vAlign w:val="center"/>
          </w:tcPr>
          <w:p w14:paraId="2E9D923C">
            <w:pPr>
              <w:spacing w:line="360" w:lineRule="auto"/>
              <w:jc w:val="center"/>
              <w:rPr>
                <w:szCs w:val="21"/>
              </w:rPr>
            </w:pPr>
          </w:p>
        </w:tc>
        <w:tc>
          <w:tcPr>
            <w:tcW w:w="1161" w:type="dxa"/>
            <w:vAlign w:val="center"/>
          </w:tcPr>
          <w:p w14:paraId="5FECBD82">
            <w:pPr>
              <w:spacing w:line="360" w:lineRule="auto"/>
              <w:jc w:val="center"/>
              <w:rPr>
                <w:szCs w:val="21"/>
              </w:rPr>
            </w:pPr>
          </w:p>
        </w:tc>
        <w:tc>
          <w:tcPr>
            <w:tcW w:w="1160" w:type="dxa"/>
            <w:vAlign w:val="center"/>
          </w:tcPr>
          <w:p w14:paraId="43BF382D">
            <w:pPr>
              <w:spacing w:line="360" w:lineRule="auto"/>
              <w:jc w:val="center"/>
              <w:rPr>
                <w:szCs w:val="21"/>
              </w:rPr>
            </w:pPr>
          </w:p>
        </w:tc>
      </w:tr>
      <w:tr w14:paraId="74AE9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88D827C">
            <w:pPr>
              <w:spacing w:line="360" w:lineRule="auto"/>
              <w:jc w:val="center"/>
              <w:rPr>
                <w:szCs w:val="21"/>
              </w:rPr>
            </w:pPr>
          </w:p>
        </w:tc>
        <w:tc>
          <w:tcPr>
            <w:tcW w:w="1422" w:type="dxa"/>
            <w:vAlign w:val="center"/>
          </w:tcPr>
          <w:p w14:paraId="42822396">
            <w:pPr>
              <w:spacing w:line="360" w:lineRule="auto"/>
              <w:jc w:val="center"/>
              <w:rPr>
                <w:szCs w:val="21"/>
              </w:rPr>
            </w:pPr>
          </w:p>
        </w:tc>
        <w:tc>
          <w:tcPr>
            <w:tcW w:w="1162" w:type="dxa"/>
            <w:vAlign w:val="center"/>
          </w:tcPr>
          <w:p w14:paraId="61A6F501">
            <w:pPr>
              <w:spacing w:line="360" w:lineRule="auto"/>
              <w:jc w:val="center"/>
              <w:rPr>
                <w:szCs w:val="21"/>
              </w:rPr>
            </w:pPr>
          </w:p>
        </w:tc>
        <w:tc>
          <w:tcPr>
            <w:tcW w:w="1161" w:type="dxa"/>
            <w:vAlign w:val="center"/>
          </w:tcPr>
          <w:p w14:paraId="7914BDEF">
            <w:pPr>
              <w:spacing w:line="360" w:lineRule="auto"/>
              <w:jc w:val="center"/>
              <w:rPr>
                <w:szCs w:val="21"/>
              </w:rPr>
            </w:pPr>
          </w:p>
        </w:tc>
        <w:tc>
          <w:tcPr>
            <w:tcW w:w="1162" w:type="dxa"/>
            <w:vAlign w:val="center"/>
          </w:tcPr>
          <w:p w14:paraId="6A84F0FF">
            <w:pPr>
              <w:spacing w:line="360" w:lineRule="auto"/>
              <w:jc w:val="center"/>
              <w:rPr>
                <w:szCs w:val="21"/>
              </w:rPr>
            </w:pPr>
          </w:p>
        </w:tc>
        <w:tc>
          <w:tcPr>
            <w:tcW w:w="1162" w:type="dxa"/>
            <w:vAlign w:val="center"/>
          </w:tcPr>
          <w:p w14:paraId="385F33D0">
            <w:pPr>
              <w:spacing w:line="360" w:lineRule="auto"/>
              <w:jc w:val="center"/>
              <w:rPr>
                <w:szCs w:val="21"/>
              </w:rPr>
            </w:pPr>
          </w:p>
        </w:tc>
        <w:tc>
          <w:tcPr>
            <w:tcW w:w="1161" w:type="dxa"/>
            <w:vAlign w:val="center"/>
          </w:tcPr>
          <w:p w14:paraId="0D841C02">
            <w:pPr>
              <w:spacing w:line="360" w:lineRule="auto"/>
              <w:jc w:val="center"/>
              <w:rPr>
                <w:szCs w:val="21"/>
              </w:rPr>
            </w:pPr>
          </w:p>
        </w:tc>
        <w:tc>
          <w:tcPr>
            <w:tcW w:w="1160" w:type="dxa"/>
            <w:vAlign w:val="center"/>
          </w:tcPr>
          <w:p w14:paraId="159E469D">
            <w:pPr>
              <w:spacing w:line="360" w:lineRule="auto"/>
              <w:jc w:val="center"/>
              <w:rPr>
                <w:szCs w:val="21"/>
              </w:rPr>
            </w:pPr>
          </w:p>
        </w:tc>
      </w:tr>
      <w:tr w14:paraId="0F41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C57447D">
            <w:pPr>
              <w:spacing w:line="360" w:lineRule="auto"/>
              <w:jc w:val="center"/>
              <w:rPr>
                <w:szCs w:val="21"/>
              </w:rPr>
            </w:pPr>
          </w:p>
        </w:tc>
        <w:tc>
          <w:tcPr>
            <w:tcW w:w="1422" w:type="dxa"/>
            <w:vAlign w:val="center"/>
          </w:tcPr>
          <w:p w14:paraId="58A02A30">
            <w:pPr>
              <w:spacing w:line="360" w:lineRule="auto"/>
              <w:jc w:val="center"/>
              <w:rPr>
                <w:szCs w:val="21"/>
              </w:rPr>
            </w:pPr>
          </w:p>
        </w:tc>
        <w:tc>
          <w:tcPr>
            <w:tcW w:w="1162" w:type="dxa"/>
            <w:vAlign w:val="center"/>
          </w:tcPr>
          <w:p w14:paraId="6546D69F">
            <w:pPr>
              <w:spacing w:line="360" w:lineRule="auto"/>
              <w:jc w:val="center"/>
              <w:rPr>
                <w:szCs w:val="21"/>
              </w:rPr>
            </w:pPr>
          </w:p>
        </w:tc>
        <w:tc>
          <w:tcPr>
            <w:tcW w:w="1161" w:type="dxa"/>
            <w:vAlign w:val="center"/>
          </w:tcPr>
          <w:p w14:paraId="29B58956">
            <w:pPr>
              <w:spacing w:line="360" w:lineRule="auto"/>
              <w:jc w:val="center"/>
              <w:rPr>
                <w:szCs w:val="21"/>
              </w:rPr>
            </w:pPr>
          </w:p>
        </w:tc>
        <w:tc>
          <w:tcPr>
            <w:tcW w:w="1162" w:type="dxa"/>
            <w:vAlign w:val="center"/>
          </w:tcPr>
          <w:p w14:paraId="3F1F0823">
            <w:pPr>
              <w:spacing w:line="360" w:lineRule="auto"/>
              <w:jc w:val="center"/>
              <w:rPr>
                <w:szCs w:val="21"/>
              </w:rPr>
            </w:pPr>
          </w:p>
        </w:tc>
        <w:tc>
          <w:tcPr>
            <w:tcW w:w="1162" w:type="dxa"/>
            <w:vAlign w:val="center"/>
          </w:tcPr>
          <w:p w14:paraId="4E4D39CA">
            <w:pPr>
              <w:spacing w:line="360" w:lineRule="auto"/>
              <w:jc w:val="center"/>
              <w:rPr>
                <w:szCs w:val="21"/>
              </w:rPr>
            </w:pPr>
          </w:p>
        </w:tc>
        <w:tc>
          <w:tcPr>
            <w:tcW w:w="1161" w:type="dxa"/>
            <w:vAlign w:val="center"/>
          </w:tcPr>
          <w:p w14:paraId="72DE3405">
            <w:pPr>
              <w:spacing w:line="360" w:lineRule="auto"/>
              <w:jc w:val="center"/>
              <w:rPr>
                <w:szCs w:val="21"/>
              </w:rPr>
            </w:pPr>
          </w:p>
        </w:tc>
        <w:tc>
          <w:tcPr>
            <w:tcW w:w="1160" w:type="dxa"/>
            <w:vAlign w:val="center"/>
          </w:tcPr>
          <w:p w14:paraId="4CEFB9B6">
            <w:pPr>
              <w:spacing w:line="360" w:lineRule="auto"/>
              <w:jc w:val="center"/>
              <w:rPr>
                <w:szCs w:val="21"/>
              </w:rPr>
            </w:pPr>
          </w:p>
        </w:tc>
      </w:tr>
      <w:tr w14:paraId="519A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7803ED33">
            <w:pPr>
              <w:spacing w:line="360" w:lineRule="auto"/>
              <w:jc w:val="center"/>
              <w:rPr>
                <w:szCs w:val="21"/>
              </w:rPr>
            </w:pPr>
          </w:p>
        </w:tc>
        <w:tc>
          <w:tcPr>
            <w:tcW w:w="1422" w:type="dxa"/>
            <w:vAlign w:val="center"/>
          </w:tcPr>
          <w:p w14:paraId="3A220425">
            <w:pPr>
              <w:spacing w:line="360" w:lineRule="auto"/>
              <w:jc w:val="center"/>
              <w:rPr>
                <w:szCs w:val="21"/>
              </w:rPr>
            </w:pPr>
          </w:p>
        </w:tc>
        <w:tc>
          <w:tcPr>
            <w:tcW w:w="1162" w:type="dxa"/>
            <w:vAlign w:val="center"/>
          </w:tcPr>
          <w:p w14:paraId="4507573B">
            <w:pPr>
              <w:spacing w:line="360" w:lineRule="auto"/>
              <w:jc w:val="center"/>
              <w:rPr>
                <w:szCs w:val="21"/>
              </w:rPr>
            </w:pPr>
          </w:p>
        </w:tc>
        <w:tc>
          <w:tcPr>
            <w:tcW w:w="1161" w:type="dxa"/>
            <w:vAlign w:val="center"/>
          </w:tcPr>
          <w:p w14:paraId="14EE1281">
            <w:pPr>
              <w:spacing w:line="360" w:lineRule="auto"/>
              <w:jc w:val="center"/>
              <w:rPr>
                <w:szCs w:val="21"/>
              </w:rPr>
            </w:pPr>
          </w:p>
        </w:tc>
        <w:tc>
          <w:tcPr>
            <w:tcW w:w="1162" w:type="dxa"/>
            <w:vAlign w:val="center"/>
          </w:tcPr>
          <w:p w14:paraId="0C8C2196">
            <w:pPr>
              <w:spacing w:line="360" w:lineRule="auto"/>
              <w:jc w:val="center"/>
              <w:rPr>
                <w:szCs w:val="21"/>
              </w:rPr>
            </w:pPr>
          </w:p>
        </w:tc>
        <w:tc>
          <w:tcPr>
            <w:tcW w:w="1162" w:type="dxa"/>
            <w:vAlign w:val="center"/>
          </w:tcPr>
          <w:p w14:paraId="39C82197">
            <w:pPr>
              <w:spacing w:line="360" w:lineRule="auto"/>
              <w:jc w:val="center"/>
              <w:rPr>
                <w:szCs w:val="21"/>
              </w:rPr>
            </w:pPr>
          </w:p>
        </w:tc>
        <w:tc>
          <w:tcPr>
            <w:tcW w:w="1161" w:type="dxa"/>
            <w:vAlign w:val="center"/>
          </w:tcPr>
          <w:p w14:paraId="2DBE0278">
            <w:pPr>
              <w:spacing w:line="360" w:lineRule="auto"/>
              <w:jc w:val="center"/>
              <w:rPr>
                <w:szCs w:val="21"/>
              </w:rPr>
            </w:pPr>
          </w:p>
        </w:tc>
        <w:tc>
          <w:tcPr>
            <w:tcW w:w="1160" w:type="dxa"/>
            <w:vAlign w:val="center"/>
          </w:tcPr>
          <w:p w14:paraId="2B9A19FA">
            <w:pPr>
              <w:spacing w:line="360" w:lineRule="auto"/>
              <w:jc w:val="center"/>
              <w:rPr>
                <w:szCs w:val="21"/>
              </w:rPr>
            </w:pPr>
          </w:p>
        </w:tc>
      </w:tr>
      <w:tr w14:paraId="4622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632B422B">
            <w:pPr>
              <w:spacing w:line="360" w:lineRule="auto"/>
              <w:jc w:val="center"/>
              <w:rPr>
                <w:szCs w:val="21"/>
              </w:rPr>
            </w:pPr>
          </w:p>
        </w:tc>
        <w:tc>
          <w:tcPr>
            <w:tcW w:w="1422" w:type="dxa"/>
            <w:vAlign w:val="center"/>
          </w:tcPr>
          <w:p w14:paraId="6252E681">
            <w:pPr>
              <w:spacing w:line="360" w:lineRule="auto"/>
              <w:jc w:val="center"/>
              <w:rPr>
                <w:szCs w:val="21"/>
              </w:rPr>
            </w:pPr>
          </w:p>
        </w:tc>
        <w:tc>
          <w:tcPr>
            <w:tcW w:w="1162" w:type="dxa"/>
            <w:vAlign w:val="center"/>
          </w:tcPr>
          <w:p w14:paraId="73136513">
            <w:pPr>
              <w:spacing w:line="360" w:lineRule="auto"/>
              <w:jc w:val="center"/>
              <w:rPr>
                <w:szCs w:val="21"/>
              </w:rPr>
            </w:pPr>
          </w:p>
        </w:tc>
        <w:tc>
          <w:tcPr>
            <w:tcW w:w="1161" w:type="dxa"/>
            <w:vAlign w:val="center"/>
          </w:tcPr>
          <w:p w14:paraId="461ECF91">
            <w:pPr>
              <w:spacing w:line="360" w:lineRule="auto"/>
              <w:jc w:val="center"/>
              <w:rPr>
                <w:szCs w:val="21"/>
              </w:rPr>
            </w:pPr>
          </w:p>
        </w:tc>
        <w:tc>
          <w:tcPr>
            <w:tcW w:w="1162" w:type="dxa"/>
            <w:vAlign w:val="center"/>
          </w:tcPr>
          <w:p w14:paraId="62CB25EF">
            <w:pPr>
              <w:spacing w:line="360" w:lineRule="auto"/>
              <w:jc w:val="center"/>
              <w:rPr>
                <w:szCs w:val="21"/>
              </w:rPr>
            </w:pPr>
          </w:p>
        </w:tc>
        <w:tc>
          <w:tcPr>
            <w:tcW w:w="1162" w:type="dxa"/>
            <w:vAlign w:val="center"/>
          </w:tcPr>
          <w:p w14:paraId="1CF789EE">
            <w:pPr>
              <w:spacing w:line="360" w:lineRule="auto"/>
              <w:jc w:val="center"/>
              <w:rPr>
                <w:szCs w:val="21"/>
              </w:rPr>
            </w:pPr>
          </w:p>
        </w:tc>
        <w:tc>
          <w:tcPr>
            <w:tcW w:w="1161" w:type="dxa"/>
            <w:vAlign w:val="center"/>
          </w:tcPr>
          <w:p w14:paraId="0B7F578D">
            <w:pPr>
              <w:spacing w:line="360" w:lineRule="auto"/>
              <w:jc w:val="center"/>
              <w:rPr>
                <w:szCs w:val="21"/>
              </w:rPr>
            </w:pPr>
          </w:p>
        </w:tc>
        <w:tc>
          <w:tcPr>
            <w:tcW w:w="1160" w:type="dxa"/>
            <w:vAlign w:val="center"/>
          </w:tcPr>
          <w:p w14:paraId="55B397AD">
            <w:pPr>
              <w:spacing w:line="360" w:lineRule="auto"/>
              <w:jc w:val="center"/>
              <w:rPr>
                <w:szCs w:val="21"/>
              </w:rPr>
            </w:pPr>
          </w:p>
        </w:tc>
      </w:tr>
      <w:tr w14:paraId="0724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27ABB469">
            <w:pPr>
              <w:spacing w:line="360" w:lineRule="auto"/>
              <w:jc w:val="center"/>
              <w:rPr>
                <w:szCs w:val="21"/>
              </w:rPr>
            </w:pPr>
          </w:p>
        </w:tc>
        <w:tc>
          <w:tcPr>
            <w:tcW w:w="1422" w:type="dxa"/>
            <w:vAlign w:val="center"/>
          </w:tcPr>
          <w:p w14:paraId="2ED7DB9D">
            <w:pPr>
              <w:spacing w:line="360" w:lineRule="auto"/>
              <w:jc w:val="center"/>
              <w:rPr>
                <w:szCs w:val="21"/>
              </w:rPr>
            </w:pPr>
          </w:p>
        </w:tc>
        <w:tc>
          <w:tcPr>
            <w:tcW w:w="1162" w:type="dxa"/>
            <w:vAlign w:val="center"/>
          </w:tcPr>
          <w:p w14:paraId="189358AF">
            <w:pPr>
              <w:spacing w:line="360" w:lineRule="auto"/>
              <w:jc w:val="center"/>
              <w:rPr>
                <w:szCs w:val="21"/>
              </w:rPr>
            </w:pPr>
          </w:p>
        </w:tc>
        <w:tc>
          <w:tcPr>
            <w:tcW w:w="1161" w:type="dxa"/>
            <w:vAlign w:val="center"/>
          </w:tcPr>
          <w:p w14:paraId="75E4452F">
            <w:pPr>
              <w:spacing w:line="360" w:lineRule="auto"/>
              <w:jc w:val="center"/>
              <w:rPr>
                <w:szCs w:val="21"/>
              </w:rPr>
            </w:pPr>
          </w:p>
        </w:tc>
        <w:tc>
          <w:tcPr>
            <w:tcW w:w="1162" w:type="dxa"/>
            <w:vAlign w:val="center"/>
          </w:tcPr>
          <w:p w14:paraId="40582633">
            <w:pPr>
              <w:spacing w:line="360" w:lineRule="auto"/>
              <w:jc w:val="center"/>
              <w:rPr>
                <w:szCs w:val="21"/>
              </w:rPr>
            </w:pPr>
          </w:p>
        </w:tc>
        <w:tc>
          <w:tcPr>
            <w:tcW w:w="1162" w:type="dxa"/>
            <w:vAlign w:val="center"/>
          </w:tcPr>
          <w:p w14:paraId="46FC7901">
            <w:pPr>
              <w:spacing w:line="360" w:lineRule="auto"/>
              <w:jc w:val="center"/>
              <w:rPr>
                <w:szCs w:val="21"/>
              </w:rPr>
            </w:pPr>
          </w:p>
        </w:tc>
        <w:tc>
          <w:tcPr>
            <w:tcW w:w="1161" w:type="dxa"/>
            <w:vAlign w:val="center"/>
          </w:tcPr>
          <w:p w14:paraId="2B89B25C">
            <w:pPr>
              <w:spacing w:line="360" w:lineRule="auto"/>
              <w:jc w:val="center"/>
              <w:rPr>
                <w:szCs w:val="21"/>
              </w:rPr>
            </w:pPr>
          </w:p>
        </w:tc>
        <w:tc>
          <w:tcPr>
            <w:tcW w:w="1160" w:type="dxa"/>
            <w:vAlign w:val="center"/>
          </w:tcPr>
          <w:p w14:paraId="57CC1E1E">
            <w:pPr>
              <w:spacing w:line="360" w:lineRule="auto"/>
              <w:jc w:val="center"/>
              <w:rPr>
                <w:szCs w:val="21"/>
              </w:rPr>
            </w:pPr>
          </w:p>
        </w:tc>
      </w:tr>
      <w:tr w14:paraId="5AC6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4491AFC2">
            <w:pPr>
              <w:spacing w:line="360" w:lineRule="auto"/>
              <w:jc w:val="center"/>
              <w:rPr>
                <w:szCs w:val="21"/>
              </w:rPr>
            </w:pPr>
          </w:p>
        </w:tc>
        <w:tc>
          <w:tcPr>
            <w:tcW w:w="1422" w:type="dxa"/>
            <w:vAlign w:val="center"/>
          </w:tcPr>
          <w:p w14:paraId="46DF85FB">
            <w:pPr>
              <w:spacing w:line="360" w:lineRule="auto"/>
              <w:jc w:val="center"/>
              <w:rPr>
                <w:szCs w:val="21"/>
              </w:rPr>
            </w:pPr>
          </w:p>
        </w:tc>
        <w:tc>
          <w:tcPr>
            <w:tcW w:w="1162" w:type="dxa"/>
            <w:vAlign w:val="center"/>
          </w:tcPr>
          <w:p w14:paraId="1B58325C">
            <w:pPr>
              <w:spacing w:line="360" w:lineRule="auto"/>
              <w:jc w:val="center"/>
              <w:rPr>
                <w:szCs w:val="21"/>
              </w:rPr>
            </w:pPr>
          </w:p>
        </w:tc>
        <w:tc>
          <w:tcPr>
            <w:tcW w:w="1161" w:type="dxa"/>
            <w:vAlign w:val="center"/>
          </w:tcPr>
          <w:p w14:paraId="6BC0D5BE">
            <w:pPr>
              <w:spacing w:line="360" w:lineRule="auto"/>
              <w:jc w:val="center"/>
              <w:rPr>
                <w:szCs w:val="21"/>
              </w:rPr>
            </w:pPr>
          </w:p>
        </w:tc>
        <w:tc>
          <w:tcPr>
            <w:tcW w:w="1162" w:type="dxa"/>
            <w:vAlign w:val="center"/>
          </w:tcPr>
          <w:p w14:paraId="30C2856E">
            <w:pPr>
              <w:spacing w:line="360" w:lineRule="auto"/>
              <w:jc w:val="center"/>
              <w:rPr>
                <w:szCs w:val="21"/>
              </w:rPr>
            </w:pPr>
          </w:p>
        </w:tc>
        <w:tc>
          <w:tcPr>
            <w:tcW w:w="1162" w:type="dxa"/>
            <w:vAlign w:val="center"/>
          </w:tcPr>
          <w:p w14:paraId="7E4C31BB">
            <w:pPr>
              <w:spacing w:line="360" w:lineRule="auto"/>
              <w:jc w:val="center"/>
              <w:rPr>
                <w:szCs w:val="21"/>
              </w:rPr>
            </w:pPr>
          </w:p>
        </w:tc>
        <w:tc>
          <w:tcPr>
            <w:tcW w:w="1161" w:type="dxa"/>
            <w:vAlign w:val="center"/>
          </w:tcPr>
          <w:p w14:paraId="42F35D9D">
            <w:pPr>
              <w:spacing w:line="360" w:lineRule="auto"/>
              <w:jc w:val="center"/>
              <w:rPr>
                <w:szCs w:val="21"/>
              </w:rPr>
            </w:pPr>
          </w:p>
        </w:tc>
        <w:tc>
          <w:tcPr>
            <w:tcW w:w="1160" w:type="dxa"/>
            <w:vAlign w:val="center"/>
          </w:tcPr>
          <w:p w14:paraId="3D3168F3">
            <w:pPr>
              <w:spacing w:line="360" w:lineRule="auto"/>
              <w:jc w:val="center"/>
              <w:rPr>
                <w:szCs w:val="21"/>
              </w:rPr>
            </w:pPr>
          </w:p>
        </w:tc>
      </w:tr>
      <w:tr w14:paraId="2F85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76F7E38E">
            <w:pPr>
              <w:spacing w:line="360" w:lineRule="auto"/>
              <w:jc w:val="center"/>
              <w:rPr>
                <w:szCs w:val="21"/>
              </w:rPr>
            </w:pPr>
          </w:p>
        </w:tc>
        <w:tc>
          <w:tcPr>
            <w:tcW w:w="1422" w:type="dxa"/>
            <w:vAlign w:val="center"/>
          </w:tcPr>
          <w:p w14:paraId="5DBFE4D8">
            <w:pPr>
              <w:spacing w:line="360" w:lineRule="auto"/>
              <w:jc w:val="center"/>
              <w:rPr>
                <w:szCs w:val="21"/>
              </w:rPr>
            </w:pPr>
          </w:p>
        </w:tc>
        <w:tc>
          <w:tcPr>
            <w:tcW w:w="1162" w:type="dxa"/>
            <w:vAlign w:val="center"/>
          </w:tcPr>
          <w:p w14:paraId="415B886B">
            <w:pPr>
              <w:spacing w:line="360" w:lineRule="auto"/>
              <w:jc w:val="center"/>
              <w:rPr>
                <w:szCs w:val="21"/>
              </w:rPr>
            </w:pPr>
          </w:p>
        </w:tc>
        <w:tc>
          <w:tcPr>
            <w:tcW w:w="1161" w:type="dxa"/>
            <w:vAlign w:val="center"/>
          </w:tcPr>
          <w:p w14:paraId="32E06035">
            <w:pPr>
              <w:spacing w:line="360" w:lineRule="auto"/>
              <w:jc w:val="center"/>
              <w:rPr>
                <w:szCs w:val="21"/>
              </w:rPr>
            </w:pPr>
          </w:p>
        </w:tc>
        <w:tc>
          <w:tcPr>
            <w:tcW w:w="1162" w:type="dxa"/>
            <w:vAlign w:val="center"/>
          </w:tcPr>
          <w:p w14:paraId="23FC6D0D">
            <w:pPr>
              <w:spacing w:line="360" w:lineRule="auto"/>
              <w:jc w:val="center"/>
              <w:rPr>
                <w:szCs w:val="21"/>
              </w:rPr>
            </w:pPr>
          </w:p>
        </w:tc>
        <w:tc>
          <w:tcPr>
            <w:tcW w:w="1162" w:type="dxa"/>
            <w:vAlign w:val="center"/>
          </w:tcPr>
          <w:p w14:paraId="15996606">
            <w:pPr>
              <w:spacing w:line="360" w:lineRule="auto"/>
              <w:jc w:val="center"/>
              <w:rPr>
                <w:szCs w:val="21"/>
              </w:rPr>
            </w:pPr>
          </w:p>
        </w:tc>
        <w:tc>
          <w:tcPr>
            <w:tcW w:w="1161" w:type="dxa"/>
            <w:vAlign w:val="center"/>
          </w:tcPr>
          <w:p w14:paraId="2E9F1931">
            <w:pPr>
              <w:spacing w:line="360" w:lineRule="auto"/>
              <w:jc w:val="center"/>
              <w:rPr>
                <w:szCs w:val="21"/>
              </w:rPr>
            </w:pPr>
          </w:p>
        </w:tc>
        <w:tc>
          <w:tcPr>
            <w:tcW w:w="1160" w:type="dxa"/>
            <w:vAlign w:val="center"/>
          </w:tcPr>
          <w:p w14:paraId="48884AE6">
            <w:pPr>
              <w:spacing w:line="360" w:lineRule="auto"/>
              <w:jc w:val="center"/>
              <w:rPr>
                <w:szCs w:val="21"/>
              </w:rPr>
            </w:pPr>
          </w:p>
        </w:tc>
      </w:tr>
      <w:tr w14:paraId="0D16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050F49F4">
            <w:pPr>
              <w:spacing w:line="360" w:lineRule="auto"/>
              <w:jc w:val="center"/>
              <w:rPr>
                <w:szCs w:val="21"/>
              </w:rPr>
            </w:pPr>
          </w:p>
        </w:tc>
        <w:tc>
          <w:tcPr>
            <w:tcW w:w="1422" w:type="dxa"/>
            <w:vAlign w:val="center"/>
          </w:tcPr>
          <w:p w14:paraId="2D6B0EA7">
            <w:pPr>
              <w:spacing w:line="360" w:lineRule="auto"/>
              <w:jc w:val="center"/>
              <w:rPr>
                <w:szCs w:val="21"/>
              </w:rPr>
            </w:pPr>
          </w:p>
        </w:tc>
        <w:tc>
          <w:tcPr>
            <w:tcW w:w="1162" w:type="dxa"/>
            <w:vAlign w:val="center"/>
          </w:tcPr>
          <w:p w14:paraId="710E546A">
            <w:pPr>
              <w:spacing w:line="360" w:lineRule="auto"/>
              <w:jc w:val="center"/>
              <w:rPr>
                <w:szCs w:val="21"/>
              </w:rPr>
            </w:pPr>
          </w:p>
        </w:tc>
        <w:tc>
          <w:tcPr>
            <w:tcW w:w="1161" w:type="dxa"/>
            <w:vAlign w:val="center"/>
          </w:tcPr>
          <w:p w14:paraId="150D5BF6">
            <w:pPr>
              <w:spacing w:line="360" w:lineRule="auto"/>
              <w:jc w:val="center"/>
              <w:rPr>
                <w:szCs w:val="21"/>
              </w:rPr>
            </w:pPr>
          </w:p>
        </w:tc>
        <w:tc>
          <w:tcPr>
            <w:tcW w:w="1162" w:type="dxa"/>
            <w:vAlign w:val="center"/>
          </w:tcPr>
          <w:p w14:paraId="2BD37E48">
            <w:pPr>
              <w:spacing w:line="360" w:lineRule="auto"/>
              <w:jc w:val="center"/>
              <w:rPr>
                <w:szCs w:val="21"/>
              </w:rPr>
            </w:pPr>
          </w:p>
        </w:tc>
        <w:tc>
          <w:tcPr>
            <w:tcW w:w="1162" w:type="dxa"/>
            <w:vAlign w:val="center"/>
          </w:tcPr>
          <w:p w14:paraId="089DAC90">
            <w:pPr>
              <w:spacing w:line="360" w:lineRule="auto"/>
              <w:jc w:val="center"/>
              <w:rPr>
                <w:szCs w:val="21"/>
              </w:rPr>
            </w:pPr>
          </w:p>
        </w:tc>
        <w:tc>
          <w:tcPr>
            <w:tcW w:w="1161" w:type="dxa"/>
            <w:vAlign w:val="center"/>
          </w:tcPr>
          <w:p w14:paraId="595417FB">
            <w:pPr>
              <w:spacing w:line="360" w:lineRule="auto"/>
              <w:jc w:val="center"/>
              <w:rPr>
                <w:szCs w:val="21"/>
              </w:rPr>
            </w:pPr>
          </w:p>
        </w:tc>
        <w:tc>
          <w:tcPr>
            <w:tcW w:w="1160" w:type="dxa"/>
            <w:vAlign w:val="center"/>
          </w:tcPr>
          <w:p w14:paraId="5AAC692B">
            <w:pPr>
              <w:spacing w:line="360" w:lineRule="auto"/>
              <w:jc w:val="center"/>
              <w:rPr>
                <w:szCs w:val="21"/>
              </w:rPr>
            </w:pPr>
          </w:p>
        </w:tc>
      </w:tr>
      <w:tr w14:paraId="7E64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64F0F612">
            <w:pPr>
              <w:spacing w:line="360" w:lineRule="auto"/>
              <w:jc w:val="center"/>
              <w:rPr>
                <w:szCs w:val="21"/>
              </w:rPr>
            </w:pPr>
          </w:p>
        </w:tc>
        <w:tc>
          <w:tcPr>
            <w:tcW w:w="1422" w:type="dxa"/>
            <w:vAlign w:val="center"/>
          </w:tcPr>
          <w:p w14:paraId="5D150259">
            <w:pPr>
              <w:spacing w:line="360" w:lineRule="auto"/>
              <w:jc w:val="center"/>
              <w:rPr>
                <w:szCs w:val="21"/>
              </w:rPr>
            </w:pPr>
          </w:p>
        </w:tc>
        <w:tc>
          <w:tcPr>
            <w:tcW w:w="1162" w:type="dxa"/>
            <w:vAlign w:val="center"/>
          </w:tcPr>
          <w:p w14:paraId="02C3ADC6">
            <w:pPr>
              <w:spacing w:line="360" w:lineRule="auto"/>
              <w:jc w:val="center"/>
              <w:rPr>
                <w:szCs w:val="21"/>
              </w:rPr>
            </w:pPr>
          </w:p>
        </w:tc>
        <w:tc>
          <w:tcPr>
            <w:tcW w:w="1161" w:type="dxa"/>
            <w:vAlign w:val="center"/>
          </w:tcPr>
          <w:p w14:paraId="6933455E">
            <w:pPr>
              <w:spacing w:line="360" w:lineRule="auto"/>
              <w:jc w:val="center"/>
              <w:rPr>
                <w:szCs w:val="21"/>
              </w:rPr>
            </w:pPr>
          </w:p>
        </w:tc>
        <w:tc>
          <w:tcPr>
            <w:tcW w:w="1162" w:type="dxa"/>
            <w:vAlign w:val="center"/>
          </w:tcPr>
          <w:p w14:paraId="11575C3D">
            <w:pPr>
              <w:spacing w:line="360" w:lineRule="auto"/>
              <w:jc w:val="center"/>
              <w:rPr>
                <w:szCs w:val="21"/>
              </w:rPr>
            </w:pPr>
          </w:p>
        </w:tc>
        <w:tc>
          <w:tcPr>
            <w:tcW w:w="1162" w:type="dxa"/>
            <w:vAlign w:val="center"/>
          </w:tcPr>
          <w:p w14:paraId="3EE5311E">
            <w:pPr>
              <w:spacing w:line="360" w:lineRule="auto"/>
              <w:jc w:val="center"/>
              <w:rPr>
                <w:szCs w:val="21"/>
              </w:rPr>
            </w:pPr>
          </w:p>
        </w:tc>
        <w:tc>
          <w:tcPr>
            <w:tcW w:w="1161" w:type="dxa"/>
            <w:vAlign w:val="center"/>
          </w:tcPr>
          <w:p w14:paraId="3A083FA7">
            <w:pPr>
              <w:spacing w:line="360" w:lineRule="auto"/>
              <w:jc w:val="center"/>
              <w:rPr>
                <w:szCs w:val="21"/>
              </w:rPr>
            </w:pPr>
          </w:p>
        </w:tc>
        <w:tc>
          <w:tcPr>
            <w:tcW w:w="1160" w:type="dxa"/>
            <w:vAlign w:val="center"/>
          </w:tcPr>
          <w:p w14:paraId="4916EC10">
            <w:pPr>
              <w:spacing w:line="360" w:lineRule="auto"/>
              <w:jc w:val="center"/>
              <w:rPr>
                <w:szCs w:val="21"/>
              </w:rPr>
            </w:pPr>
          </w:p>
        </w:tc>
      </w:tr>
      <w:tr w14:paraId="5373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14:paraId="7D7D88E5">
            <w:pPr>
              <w:spacing w:line="360" w:lineRule="auto"/>
              <w:jc w:val="center"/>
              <w:rPr>
                <w:szCs w:val="21"/>
              </w:rPr>
            </w:pPr>
          </w:p>
        </w:tc>
        <w:tc>
          <w:tcPr>
            <w:tcW w:w="1422" w:type="dxa"/>
            <w:vAlign w:val="center"/>
          </w:tcPr>
          <w:p w14:paraId="3B43DA5E">
            <w:pPr>
              <w:spacing w:line="360" w:lineRule="auto"/>
              <w:jc w:val="center"/>
              <w:rPr>
                <w:szCs w:val="21"/>
              </w:rPr>
            </w:pPr>
          </w:p>
        </w:tc>
        <w:tc>
          <w:tcPr>
            <w:tcW w:w="1162" w:type="dxa"/>
            <w:vAlign w:val="center"/>
          </w:tcPr>
          <w:p w14:paraId="2E216EC0">
            <w:pPr>
              <w:spacing w:line="360" w:lineRule="auto"/>
              <w:jc w:val="center"/>
              <w:rPr>
                <w:szCs w:val="21"/>
              </w:rPr>
            </w:pPr>
          </w:p>
        </w:tc>
        <w:tc>
          <w:tcPr>
            <w:tcW w:w="1161" w:type="dxa"/>
            <w:vAlign w:val="center"/>
          </w:tcPr>
          <w:p w14:paraId="346262F1">
            <w:pPr>
              <w:spacing w:line="360" w:lineRule="auto"/>
              <w:jc w:val="center"/>
              <w:rPr>
                <w:szCs w:val="21"/>
              </w:rPr>
            </w:pPr>
          </w:p>
        </w:tc>
        <w:tc>
          <w:tcPr>
            <w:tcW w:w="1162" w:type="dxa"/>
            <w:vAlign w:val="center"/>
          </w:tcPr>
          <w:p w14:paraId="095DB44B">
            <w:pPr>
              <w:spacing w:line="360" w:lineRule="auto"/>
              <w:jc w:val="center"/>
              <w:rPr>
                <w:szCs w:val="21"/>
              </w:rPr>
            </w:pPr>
          </w:p>
        </w:tc>
        <w:tc>
          <w:tcPr>
            <w:tcW w:w="1162" w:type="dxa"/>
            <w:vAlign w:val="center"/>
          </w:tcPr>
          <w:p w14:paraId="30869595">
            <w:pPr>
              <w:spacing w:line="360" w:lineRule="auto"/>
              <w:jc w:val="center"/>
              <w:rPr>
                <w:szCs w:val="21"/>
              </w:rPr>
            </w:pPr>
          </w:p>
        </w:tc>
        <w:tc>
          <w:tcPr>
            <w:tcW w:w="1161" w:type="dxa"/>
            <w:vAlign w:val="center"/>
          </w:tcPr>
          <w:p w14:paraId="2E72F1D8">
            <w:pPr>
              <w:spacing w:line="360" w:lineRule="auto"/>
              <w:jc w:val="center"/>
              <w:rPr>
                <w:szCs w:val="21"/>
              </w:rPr>
            </w:pPr>
          </w:p>
        </w:tc>
        <w:tc>
          <w:tcPr>
            <w:tcW w:w="1160" w:type="dxa"/>
            <w:vAlign w:val="center"/>
          </w:tcPr>
          <w:p w14:paraId="2DCF106A">
            <w:pPr>
              <w:spacing w:line="360" w:lineRule="auto"/>
              <w:jc w:val="center"/>
              <w:rPr>
                <w:szCs w:val="21"/>
              </w:rPr>
            </w:pPr>
          </w:p>
        </w:tc>
      </w:tr>
    </w:tbl>
    <w:p w14:paraId="0E127B85">
      <w:pPr>
        <w:spacing w:line="360" w:lineRule="auto"/>
      </w:pPr>
    </w:p>
    <w:p w14:paraId="5568E815">
      <w:pPr>
        <w:spacing w:before="9" w:line="360" w:lineRule="auto"/>
        <w:rPr>
          <w:rFonts w:ascii="宋体" w:hAnsi="宋体" w:cs="宋体"/>
          <w:sz w:val="9"/>
          <w:szCs w:val="9"/>
        </w:rPr>
      </w:pPr>
    </w:p>
    <w:p w14:paraId="1333212A">
      <w:pPr>
        <w:pStyle w:val="4"/>
      </w:pPr>
      <w:bookmarkStart w:id="665" w:name="_Toc12434"/>
      <w:bookmarkStart w:id="666" w:name="_Toc31887"/>
      <w:bookmarkStart w:id="667" w:name="_Toc11916"/>
      <w:bookmarkStart w:id="668" w:name="_Toc12585"/>
      <w:bookmarkStart w:id="669" w:name="_Toc31032"/>
      <w:bookmarkStart w:id="670" w:name="_Toc3778"/>
      <w:bookmarkStart w:id="671" w:name="_Toc20073"/>
      <w:bookmarkStart w:id="672" w:name="_Toc8885"/>
      <w:bookmarkStart w:id="673" w:name="_Toc27086"/>
      <w:bookmarkStart w:id="674" w:name="_Toc21297"/>
    </w:p>
    <w:p w14:paraId="500C2AE1">
      <w:pPr>
        <w:pStyle w:val="4"/>
      </w:pPr>
      <w:r>
        <w:t>附表</w:t>
      </w:r>
      <w:r>
        <w:rPr>
          <w:rFonts w:hint="eastAsia"/>
        </w:rPr>
        <w:t>五</w:t>
      </w:r>
      <w:r>
        <w:t>：</w:t>
      </w:r>
      <w:r>
        <w:rPr>
          <w:rFonts w:hint="eastAsia"/>
        </w:rPr>
        <w:t>临时</w:t>
      </w:r>
      <w:r>
        <w:t>占地计划表</w:t>
      </w:r>
      <w:bookmarkEnd w:id="665"/>
      <w:bookmarkEnd w:id="666"/>
      <w:bookmarkEnd w:id="667"/>
      <w:bookmarkEnd w:id="668"/>
      <w:bookmarkEnd w:id="669"/>
      <w:bookmarkEnd w:id="670"/>
      <w:bookmarkEnd w:id="671"/>
      <w:bookmarkEnd w:id="672"/>
      <w:bookmarkEnd w:id="673"/>
      <w:bookmarkEnd w:id="674"/>
    </w:p>
    <w:p w14:paraId="7F3F1D32"/>
    <w:p w14:paraId="4F80F9C1"/>
    <w:p w14:paraId="2EC072EE">
      <w:r>
        <w:br w:type="page"/>
      </w:r>
    </w:p>
    <w:bookmarkEnd w:id="628"/>
    <w:bookmarkEnd w:id="629"/>
    <w:bookmarkEnd w:id="630"/>
    <w:bookmarkEnd w:id="631"/>
    <w:bookmarkEnd w:id="632"/>
    <w:bookmarkEnd w:id="633"/>
    <w:bookmarkEnd w:id="634"/>
    <w:bookmarkEnd w:id="635"/>
    <w:p w14:paraId="3D27934F">
      <w:pPr>
        <w:pStyle w:val="3"/>
        <w:jc w:val="center"/>
        <w:rPr>
          <w:rFonts w:ascii="宋体" w:hAnsi="宋体"/>
          <w:bCs w:val="0"/>
          <w:sz w:val="30"/>
          <w:szCs w:val="30"/>
        </w:rPr>
      </w:pPr>
      <w:bookmarkStart w:id="675" w:name="_Toc3324"/>
      <w:bookmarkStart w:id="676" w:name="_Toc20260"/>
      <w:bookmarkStart w:id="677" w:name="_Toc23063"/>
      <w:r>
        <w:rPr>
          <w:rFonts w:hint="eastAsia" w:ascii="宋体" w:hAnsi="宋体"/>
          <w:bCs w:val="0"/>
          <w:sz w:val="30"/>
          <w:szCs w:val="30"/>
        </w:rPr>
        <w:t>7、项目管理机构</w:t>
      </w:r>
      <w:bookmarkEnd w:id="675"/>
      <w:bookmarkEnd w:id="676"/>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3"/>
      </w:tblGrid>
      <w:tr w14:paraId="780C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9293" w:type="dxa"/>
          </w:tcPr>
          <w:p w14:paraId="00FA66A6">
            <w:pPr>
              <w:spacing w:line="360" w:lineRule="auto"/>
            </w:pPr>
            <w:r>
              <w:rPr>
                <w:rFonts w:hint="eastAsia"/>
              </w:rPr>
              <w:t>拟为承包本工程设立组织机构以框图方式表示。</w:t>
            </w:r>
          </w:p>
        </w:tc>
      </w:tr>
      <w:tr w14:paraId="7886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9293" w:type="dxa"/>
          </w:tcPr>
          <w:p w14:paraId="520B5B5A">
            <w:pPr>
              <w:spacing w:line="360" w:lineRule="auto"/>
            </w:pPr>
            <w:r>
              <w:rPr>
                <w:rFonts w:hint="eastAsia"/>
              </w:rPr>
              <w:t>说明</w:t>
            </w:r>
          </w:p>
        </w:tc>
      </w:tr>
    </w:tbl>
    <w:p w14:paraId="42966025"/>
    <w:p w14:paraId="53D7011D">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投标人：</w:t>
      </w:r>
      <w:r>
        <w:rPr>
          <w:rFonts w:hint="eastAsia" w:ascii="宋体" w:hAnsi="宋体" w:cs="宋体"/>
          <w:sz w:val="24"/>
          <w:u w:val="single"/>
          <w:lang w:val="zh-CN" w:bidi="zh-CN"/>
        </w:rPr>
        <w:t xml:space="preserve">                   </w:t>
      </w:r>
      <w:r>
        <w:rPr>
          <w:rFonts w:hint="eastAsia" w:ascii="宋体" w:hAnsi="宋体" w:cs="宋体"/>
          <w:sz w:val="24"/>
          <w:lang w:val="zh-CN" w:bidi="zh-CN"/>
        </w:rPr>
        <w:t>（单位电子签章）</w:t>
      </w:r>
    </w:p>
    <w:p w14:paraId="40937274">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w:t>
      </w:r>
      <w:r>
        <w:rPr>
          <w:rFonts w:hint="eastAsia" w:ascii="宋体" w:hAnsi="宋体"/>
          <w:kern w:val="0"/>
          <w:sz w:val="24"/>
        </w:rPr>
        <w:t>签字或盖章</w:t>
      </w:r>
      <w:r>
        <w:rPr>
          <w:rFonts w:hint="eastAsia" w:ascii="宋体" w:hAnsi="宋体" w:cs="宋体"/>
          <w:sz w:val="24"/>
          <w:lang w:val="zh-CN" w:bidi="zh-CN"/>
        </w:rPr>
        <w:t>）</w:t>
      </w:r>
    </w:p>
    <w:p w14:paraId="2038B2E6">
      <w:pPr>
        <w:wordWrap w:val="0"/>
        <w:autoSpaceDE w:val="0"/>
        <w:autoSpaceDN w:val="0"/>
        <w:spacing w:line="480" w:lineRule="auto"/>
        <w:ind w:firstLine="2520" w:firstLineChars="1050"/>
        <w:rPr>
          <w:rFonts w:ascii="宋体" w:hAnsi="宋体" w:cs="宋体"/>
          <w:sz w:val="24"/>
          <w:lang w:val="zh-CN" w:bidi="zh-CN"/>
        </w:rPr>
      </w:pPr>
      <w:r>
        <w:rPr>
          <w:rFonts w:hint="eastAsia" w:ascii="宋体" w:hAnsi="宋体" w:cs="宋体"/>
          <w:sz w:val="24"/>
          <w:lang w:val="zh-CN" w:bidi="zh-CN"/>
        </w:rPr>
        <w:t>日期：</w:t>
      </w:r>
      <w:r>
        <w:rPr>
          <w:rFonts w:hint="eastAsia" w:ascii="宋体" w:hAnsi="宋体" w:cs="宋体"/>
          <w:sz w:val="24"/>
          <w:u w:val="single"/>
          <w:lang w:val="zh-CN" w:bidi="zh-CN"/>
        </w:rPr>
        <w:t xml:space="preserve">       </w:t>
      </w:r>
      <w:r>
        <w:rPr>
          <w:rFonts w:hint="eastAsia" w:ascii="宋体" w:hAnsi="宋体" w:cs="宋体"/>
          <w:sz w:val="24"/>
          <w:lang w:val="zh-CN" w:bidi="zh-CN"/>
        </w:rPr>
        <w:t>年</w:t>
      </w:r>
      <w:r>
        <w:rPr>
          <w:rFonts w:hint="eastAsia" w:ascii="宋体" w:hAnsi="宋体" w:cs="宋体"/>
          <w:sz w:val="24"/>
          <w:u w:val="single"/>
          <w:lang w:val="zh-CN" w:bidi="zh-CN"/>
        </w:rPr>
        <w:t xml:space="preserve">      </w:t>
      </w:r>
      <w:r>
        <w:rPr>
          <w:rFonts w:hint="eastAsia" w:ascii="宋体" w:hAnsi="宋体" w:cs="宋体"/>
          <w:sz w:val="24"/>
          <w:lang w:val="zh-CN" w:bidi="zh-CN"/>
        </w:rPr>
        <w:t>月</w:t>
      </w:r>
      <w:r>
        <w:rPr>
          <w:rFonts w:hint="eastAsia" w:ascii="宋体" w:hAnsi="宋体" w:cs="宋体"/>
          <w:sz w:val="24"/>
          <w:u w:val="single"/>
          <w:lang w:val="zh-CN" w:bidi="zh-CN"/>
        </w:rPr>
        <w:t xml:space="preserve">      </w:t>
      </w:r>
      <w:r>
        <w:rPr>
          <w:rFonts w:hint="eastAsia" w:ascii="宋体" w:hAnsi="宋体" w:cs="宋体"/>
          <w:sz w:val="24"/>
          <w:lang w:val="zh-CN" w:bidi="zh-CN"/>
        </w:rPr>
        <w:t>日</w:t>
      </w:r>
    </w:p>
    <w:p w14:paraId="1FA470D5">
      <w:pPr>
        <w:rPr>
          <w:rFonts w:ascii="宋体" w:hAnsi="宋体" w:cs="宋体"/>
          <w:sz w:val="24"/>
          <w:lang w:val="zh-CN" w:bidi="zh-CN"/>
        </w:rPr>
      </w:pPr>
      <w:r>
        <w:rPr>
          <w:rFonts w:hint="eastAsia" w:ascii="宋体" w:hAnsi="宋体" w:cs="宋体"/>
          <w:sz w:val="24"/>
          <w:lang w:val="zh-CN" w:bidi="zh-CN"/>
        </w:rPr>
        <w:br w:type="page"/>
      </w:r>
    </w:p>
    <w:p w14:paraId="490FF528">
      <w:pPr>
        <w:pStyle w:val="3"/>
        <w:jc w:val="center"/>
        <w:rPr>
          <w:rFonts w:ascii="宋体" w:hAnsi="宋体"/>
        </w:rPr>
      </w:pPr>
      <w:bookmarkStart w:id="678" w:name="_Toc23258"/>
      <w:bookmarkStart w:id="679" w:name="_Toc15740"/>
      <w:r>
        <w:rPr>
          <w:rFonts w:hint="eastAsia" w:ascii="宋体" w:hAnsi="宋体"/>
        </w:rPr>
        <w:t>8、投标人基本情况表</w:t>
      </w:r>
      <w:bookmarkEnd w:id="677"/>
      <w:bookmarkEnd w:id="678"/>
      <w:bookmarkEnd w:id="679"/>
    </w:p>
    <w:p w14:paraId="77B4FE92">
      <w:pPr>
        <w:pStyle w:val="4"/>
        <w:jc w:val="center"/>
        <w:rPr>
          <w:rFonts w:ascii="宋体" w:hAnsi="宋体"/>
          <w:sz w:val="24"/>
        </w:rPr>
      </w:pPr>
      <w:bookmarkStart w:id="680" w:name="_Toc7482"/>
      <w:bookmarkStart w:id="681" w:name="_Toc28565"/>
      <w:bookmarkStart w:id="682" w:name="_Toc25483"/>
      <w:r>
        <w:rPr>
          <w:rStyle w:val="26"/>
          <w:rFonts w:hint="eastAsia"/>
          <w:b/>
          <w:bCs/>
        </w:rPr>
        <w:t>（一）投标人基本情况表</w:t>
      </w:r>
      <w:bookmarkEnd w:id="680"/>
      <w:bookmarkEnd w:id="681"/>
      <w:bookmarkEnd w:id="682"/>
    </w:p>
    <w:tbl>
      <w:tblPr>
        <w:tblStyle w:val="20"/>
        <w:tblW w:w="963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942"/>
        <w:gridCol w:w="1010"/>
        <w:gridCol w:w="1070"/>
        <w:gridCol w:w="1416"/>
        <w:gridCol w:w="350"/>
        <w:gridCol w:w="1212"/>
        <w:gridCol w:w="557"/>
        <w:gridCol w:w="966"/>
        <w:gridCol w:w="1116"/>
      </w:tblGrid>
      <w:tr w14:paraId="45F1C0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415EB170">
            <w:pPr>
              <w:autoSpaceDE w:val="0"/>
              <w:autoSpaceDN w:val="0"/>
              <w:adjustRightInd w:val="0"/>
              <w:jc w:val="center"/>
              <w:rPr>
                <w:rFonts w:ascii="宋体" w:hAnsi="宋体"/>
                <w:kern w:val="0"/>
                <w:szCs w:val="21"/>
              </w:rPr>
            </w:pPr>
            <w:r>
              <w:rPr>
                <w:rFonts w:hint="eastAsia" w:ascii="宋体" w:hAnsi="宋体" w:cs="MingLiU"/>
                <w:kern w:val="0"/>
                <w:szCs w:val="21"/>
              </w:rPr>
              <w:t>投标人名称</w:t>
            </w:r>
          </w:p>
        </w:tc>
        <w:tc>
          <w:tcPr>
            <w:tcW w:w="7697" w:type="dxa"/>
            <w:gridSpan w:val="8"/>
            <w:vAlign w:val="center"/>
          </w:tcPr>
          <w:p w14:paraId="2B40441C">
            <w:pPr>
              <w:autoSpaceDE w:val="0"/>
              <w:autoSpaceDN w:val="0"/>
              <w:adjustRightInd w:val="0"/>
              <w:ind w:left="840"/>
              <w:jc w:val="center"/>
              <w:rPr>
                <w:rFonts w:ascii="宋体" w:hAnsi="宋体"/>
                <w:kern w:val="0"/>
                <w:szCs w:val="21"/>
              </w:rPr>
            </w:pPr>
          </w:p>
        </w:tc>
      </w:tr>
      <w:tr w14:paraId="7CA5EB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11B85360">
            <w:pPr>
              <w:autoSpaceDE w:val="0"/>
              <w:autoSpaceDN w:val="0"/>
              <w:adjustRightInd w:val="0"/>
              <w:jc w:val="center"/>
              <w:rPr>
                <w:rFonts w:ascii="宋体" w:hAnsi="宋体"/>
                <w:kern w:val="0"/>
                <w:szCs w:val="21"/>
              </w:rPr>
            </w:pPr>
            <w:r>
              <w:rPr>
                <w:rFonts w:hint="eastAsia" w:ascii="宋体" w:hAnsi="宋体" w:cs="MingLiU"/>
                <w:kern w:val="0"/>
                <w:szCs w:val="21"/>
              </w:rPr>
              <w:t>注册地址</w:t>
            </w:r>
          </w:p>
        </w:tc>
        <w:tc>
          <w:tcPr>
            <w:tcW w:w="3846" w:type="dxa"/>
            <w:gridSpan w:val="4"/>
            <w:vAlign w:val="center"/>
          </w:tcPr>
          <w:p w14:paraId="460B44BD">
            <w:pPr>
              <w:autoSpaceDE w:val="0"/>
              <w:autoSpaceDN w:val="0"/>
              <w:adjustRightInd w:val="0"/>
              <w:ind w:left="840"/>
              <w:jc w:val="center"/>
              <w:rPr>
                <w:rFonts w:ascii="宋体" w:hAnsi="宋体"/>
                <w:kern w:val="0"/>
                <w:szCs w:val="21"/>
              </w:rPr>
            </w:pPr>
          </w:p>
        </w:tc>
        <w:tc>
          <w:tcPr>
            <w:tcW w:w="1212" w:type="dxa"/>
            <w:vAlign w:val="center"/>
          </w:tcPr>
          <w:p w14:paraId="05DFCCC7">
            <w:pPr>
              <w:autoSpaceDE w:val="0"/>
              <w:autoSpaceDN w:val="0"/>
              <w:adjustRightInd w:val="0"/>
              <w:jc w:val="center"/>
              <w:rPr>
                <w:rFonts w:ascii="宋体" w:hAnsi="宋体"/>
                <w:kern w:val="0"/>
                <w:szCs w:val="21"/>
              </w:rPr>
            </w:pPr>
            <w:r>
              <w:rPr>
                <w:rFonts w:hint="eastAsia" w:ascii="宋体" w:hAnsi="宋体" w:cs="MingLiU"/>
                <w:kern w:val="0"/>
                <w:szCs w:val="21"/>
              </w:rPr>
              <w:t>邮政编码</w:t>
            </w:r>
          </w:p>
        </w:tc>
        <w:tc>
          <w:tcPr>
            <w:tcW w:w="2639" w:type="dxa"/>
            <w:gridSpan w:val="3"/>
            <w:vAlign w:val="center"/>
          </w:tcPr>
          <w:p w14:paraId="02764795">
            <w:pPr>
              <w:autoSpaceDE w:val="0"/>
              <w:autoSpaceDN w:val="0"/>
              <w:adjustRightInd w:val="0"/>
              <w:ind w:left="840"/>
              <w:jc w:val="center"/>
              <w:rPr>
                <w:rFonts w:ascii="宋体" w:hAnsi="宋体"/>
                <w:kern w:val="0"/>
                <w:szCs w:val="21"/>
              </w:rPr>
            </w:pPr>
          </w:p>
        </w:tc>
      </w:tr>
      <w:tr w14:paraId="53906F3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Merge w:val="restart"/>
            <w:vAlign w:val="center"/>
          </w:tcPr>
          <w:p w14:paraId="26016955">
            <w:pPr>
              <w:autoSpaceDE w:val="0"/>
              <w:autoSpaceDN w:val="0"/>
              <w:adjustRightInd w:val="0"/>
              <w:jc w:val="center"/>
              <w:rPr>
                <w:rFonts w:ascii="宋体" w:hAnsi="宋体"/>
                <w:kern w:val="0"/>
                <w:szCs w:val="21"/>
              </w:rPr>
            </w:pPr>
            <w:r>
              <w:rPr>
                <w:rFonts w:hint="eastAsia" w:ascii="宋体" w:hAnsi="宋体" w:cs="MingLiU"/>
                <w:kern w:val="0"/>
                <w:szCs w:val="21"/>
              </w:rPr>
              <w:t>联系方式</w:t>
            </w:r>
          </w:p>
        </w:tc>
        <w:tc>
          <w:tcPr>
            <w:tcW w:w="1010" w:type="dxa"/>
            <w:vAlign w:val="center"/>
          </w:tcPr>
          <w:p w14:paraId="2870C15F">
            <w:pPr>
              <w:autoSpaceDE w:val="0"/>
              <w:autoSpaceDN w:val="0"/>
              <w:adjustRightInd w:val="0"/>
              <w:jc w:val="center"/>
              <w:rPr>
                <w:rFonts w:ascii="宋体" w:hAnsi="宋体"/>
                <w:kern w:val="0"/>
                <w:szCs w:val="21"/>
              </w:rPr>
            </w:pPr>
            <w:r>
              <w:rPr>
                <w:rFonts w:hint="eastAsia" w:ascii="宋体" w:hAnsi="宋体" w:cs="MingLiU"/>
                <w:kern w:val="0"/>
                <w:szCs w:val="21"/>
              </w:rPr>
              <w:t>联系人</w:t>
            </w:r>
          </w:p>
        </w:tc>
        <w:tc>
          <w:tcPr>
            <w:tcW w:w="2836" w:type="dxa"/>
            <w:gridSpan w:val="3"/>
            <w:vAlign w:val="center"/>
          </w:tcPr>
          <w:p w14:paraId="7A11D573">
            <w:pPr>
              <w:autoSpaceDE w:val="0"/>
              <w:autoSpaceDN w:val="0"/>
              <w:adjustRightInd w:val="0"/>
              <w:ind w:left="840"/>
              <w:jc w:val="center"/>
              <w:rPr>
                <w:rFonts w:ascii="宋体" w:hAnsi="宋体"/>
                <w:kern w:val="0"/>
                <w:szCs w:val="21"/>
              </w:rPr>
            </w:pPr>
          </w:p>
        </w:tc>
        <w:tc>
          <w:tcPr>
            <w:tcW w:w="1212" w:type="dxa"/>
            <w:vAlign w:val="center"/>
          </w:tcPr>
          <w:p w14:paraId="2544D631">
            <w:pPr>
              <w:autoSpaceDE w:val="0"/>
              <w:autoSpaceDN w:val="0"/>
              <w:adjustRightInd w:val="0"/>
              <w:jc w:val="center"/>
              <w:rPr>
                <w:rFonts w:ascii="宋体" w:hAnsi="宋体"/>
                <w:kern w:val="0"/>
                <w:szCs w:val="21"/>
              </w:rPr>
            </w:pPr>
            <w:r>
              <w:rPr>
                <w:rFonts w:hint="eastAsia" w:ascii="宋体" w:hAnsi="宋体" w:cs="MingLiU"/>
                <w:kern w:val="0"/>
                <w:szCs w:val="21"/>
              </w:rPr>
              <w:t>电</w:t>
            </w:r>
            <w:r>
              <w:rPr>
                <w:rFonts w:hint="eastAsia" w:ascii="宋体" w:hAnsi="宋体"/>
                <w:kern w:val="0"/>
                <w:szCs w:val="21"/>
              </w:rPr>
              <w:t xml:space="preserve"> </w:t>
            </w:r>
            <w:r>
              <w:rPr>
                <w:rFonts w:hint="eastAsia" w:ascii="宋体" w:hAnsi="宋体" w:cs="MingLiU"/>
                <w:kern w:val="0"/>
                <w:szCs w:val="21"/>
              </w:rPr>
              <w:t>话</w:t>
            </w:r>
          </w:p>
        </w:tc>
        <w:tc>
          <w:tcPr>
            <w:tcW w:w="2639" w:type="dxa"/>
            <w:gridSpan w:val="3"/>
            <w:vAlign w:val="center"/>
          </w:tcPr>
          <w:p w14:paraId="1B62AC5E">
            <w:pPr>
              <w:autoSpaceDE w:val="0"/>
              <w:autoSpaceDN w:val="0"/>
              <w:adjustRightInd w:val="0"/>
              <w:ind w:left="840"/>
              <w:jc w:val="center"/>
              <w:rPr>
                <w:rFonts w:ascii="宋体" w:hAnsi="宋体"/>
                <w:kern w:val="0"/>
                <w:szCs w:val="21"/>
              </w:rPr>
            </w:pPr>
          </w:p>
        </w:tc>
      </w:tr>
      <w:tr w14:paraId="7940B4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Merge w:val="continue"/>
            <w:vAlign w:val="center"/>
          </w:tcPr>
          <w:p w14:paraId="60A8942B">
            <w:pPr>
              <w:autoSpaceDE w:val="0"/>
              <w:autoSpaceDN w:val="0"/>
              <w:adjustRightInd w:val="0"/>
              <w:ind w:left="840"/>
              <w:jc w:val="center"/>
              <w:rPr>
                <w:rFonts w:ascii="宋体" w:hAnsi="宋体"/>
                <w:kern w:val="0"/>
                <w:szCs w:val="21"/>
              </w:rPr>
            </w:pPr>
          </w:p>
        </w:tc>
        <w:tc>
          <w:tcPr>
            <w:tcW w:w="1010" w:type="dxa"/>
            <w:vAlign w:val="center"/>
          </w:tcPr>
          <w:p w14:paraId="34DF9772">
            <w:pPr>
              <w:tabs>
                <w:tab w:val="left" w:pos="540"/>
              </w:tabs>
              <w:autoSpaceDE w:val="0"/>
              <w:autoSpaceDN w:val="0"/>
              <w:adjustRightInd w:val="0"/>
              <w:jc w:val="center"/>
              <w:rPr>
                <w:rFonts w:ascii="宋体" w:hAnsi="宋体"/>
                <w:kern w:val="0"/>
                <w:szCs w:val="21"/>
              </w:rPr>
            </w:pPr>
            <w:r>
              <w:rPr>
                <w:rFonts w:hint="eastAsia" w:ascii="宋体" w:hAnsi="宋体" w:cs="MingLiU"/>
                <w:kern w:val="0"/>
                <w:szCs w:val="21"/>
              </w:rPr>
              <w:t>传</w:t>
            </w:r>
            <w:r>
              <w:rPr>
                <w:rFonts w:hint="eastAsia" w:ascii="宋体" w:hAnsi="宋体"/>
                <w:kern w:val="0"/>
                <w:szCs w:val="21"/>
              </w:rPr>
              <w:t xml:space="preserve"> </w:t>
            </w:r>
            <w:r>
              <w:rPr>
                <w:rFonts w:hint="eastAsia" w:ascii="宋体" w:hAnsi="宋体" w:cs="MingLiU"/>
                <w:kern w:val="0"/>
                <w:szCs w:val="21"/>
              </w:rPr>
              <w:t>真</w:t>
            </w:r>
          </w:p>
        </w:tc>
        <w:tc>
          <w:tcPr>
            <w:tcW w:w="2836" w:type="dxa"/>
            <w:gridSpan w:val="3"/>
            <w:vAlign w:val="center"/>
          </w:tcPr>
          <w:p w14:paraId="3517370F">
            <w:pPr>
              <w:autoSpaceDE w:val="0"/>
              <w:autoSpaceDN w:val="0"/>
              <w:adjustRightInd w:val="0"/>
              <w:ind w:left="840"/>
              <w:jc w:val="center"/>
              <w:rPr>
                <w:rFonts w:ascii="宋体" w:hAnsi="宋体"/>
                <w:kern w:val="0"/>
                <w:szCs w:val="21"/>
              </w:rPr>
            </w:pPr>
          </w:p>
        </w:tc>
        <w:tc>
          <w:tcPr>
            <w:tcW w:w="1212" w:type="dxa"/>
            <w:vAlign w:val="center"/>
          </w:tcPr>
          <w:p w14:paraId="10F09F1F">
            <w:pPr>
              <w:autoSpaceDE w:val="0"/>
              <w:autoSpaceDN w:val="0"/>
              <w:adjustRightInd w:val="0"/>
              <w:jc w:val="center"/>
              <w:rPr>
                <w:rFonts w:ascii="宋体" w:hAnsi="宋体"/>
                <w:kern w:val="0"/>
                <w:szCs w:val="21"/>
              </w:rPr>
            </w:pPr>
            <w:r>
              <w:rPr>
                <w:rFonts w:hint="eastAsia" w:ascii="宋体" w:hAnsi="宋体" w:cs="MingLiU"/>
                <w:kern w:val="0"/>
                <w:szCs w:val="21"/>
              </w:rPr>
              <w:t>电子邮件</w:t>
            </w:r>
          </w:p>
        </w:tc>
        <w:tc>
          <w:tcPr>
            <w:tcW w:w="2639" w:type="dxa"/>
            <w:gridSpan w:val="3"/>
            <w:vAlign w:val="center"/>
          </w:tcPr>
          <w:p w14:paraId="690B6C80">
            <w:pPr>
              <w:autoSpaceDE w:val="0"/>
              <w:autoSpaceDN w:val="0"/>
              <w:adjustRightInd w:val="0"/>
              <w:ind w:left="840"/>
              <w:jc w:val="center"/>
              <w:rPr>
                <w:rFonts w:ascii="宋体" w:hAnsi="宋体"/>
                <w:kern w:val="0"/>
                <w:szCs w:val="21"/>
              </w:rPr>
            </w:pPr>
          </w:p>
        </w:tc>
      </w:tr>
      <w:tr w14:paraId="599D2B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0D8E7974">
            <w:pPr>
              <w:autoSpaceDE w:val="0"/>
              <w:autoSpaceDN w:val="0"/>
              <w:adjustRightInd w:val="0"/>
              <w:jc w:val="center"/>
              <w:rPr>
                <w:rFonts w:ascii="宋体" w:hAnsi="宋体"/>
                <w:kern w:val="0"/>
                <w:szCs w:val="21"/>
              </w:rPr>
            </w:pPr>
            <w:r>
              <w:rPr>
                <w:rFonts w:hint="eastAsia" w:ascii="宋体" w:hAnsi="宋体" w:cs="MingLiU"/>
                <w:kern w:val="0"/>
                <w:szCs w:val="21"/>
              </w:rPr>
              <w:t>法定代表人</w:t>
            </w:r>
          </w:p>
        </w:tc>
        <w:tc>
          <w:tcPr>
            <w:tcW w:w="1010" w:type="dxa"/>
            <w:vAlign w:val="center"/>
          </w:tcPr>
          <w:p w14:paraId="1595520F">
            <w:pPr>
              <w:autoSpaceDE w:val="0"/>
              <w:autoSpaceDN w:val="0"/>
              <w:adjustRightInd w:val="0"/>
              <w:jc w:val="center"/>
              <w:rPr>
                <w:rFonts w:ascii="宋体" w:hAnsi="宋体"/>
                <w:kern w:val="0"/>
                <w:szCs w:val="21"/>
              </w:rPr>
            </w:pPr>
            <w:r>
              <w:rPr>
                <w:rFonts w:hint="eastAsia" w:ascii="宋体" w:hAnsi="宋体" w:cs="MingLiU"/>
                <w:kern w:val="0"/>
                <w:szCs w:val="21"/>
              </w:rPr>
              <w:t>姓名</w:t>
            </w:r>
          </w:p>
        </w:tc>
        <w:tc>
          <w:tcPr>
            <w:tcW w:w="1070" w:type="dxa"/>
            <w:vAlign w:val="center"/>
          </w:tcPr>
          <w:p w14:paraId="6DB144D0">
            <w:pPr>
              <w:autoSpaceDE w:val="0"/>
              <w:autoSpaceDN w:val="0"/>
              <w:adjustRightInd w:val="0"/>
              <w:ind w:left="840"/>
              <w:jc w:val="center"/>
              <w:rPr>
                <w:rFonts w:ascii="宋体" w:hAnsi="宋体"/>
                <w:kern w:val="0"/>
                <w:szCs w:val="21"/>
              </w:rPr>
            </w:pPr>
          </w:p>
        </w:tc>
        <w:tc>
          <w:tcPr>
            <w:tcW w:w="1416" w:type="dxa"/>
            <w:vAlign w:val="center"/>
          </w:tcPr>
          <w:p w14:paraId="1CC4F590">
            <w:pPr>
              <w:autoSpaceDE w:val="0"/>
              <w:autoSpaceDN w:val="0"/>
              <w:adjustRightInd w:val="0"/>
              <w:jc w:val="center"/>
              <w:rPr>
                <w:rFonts w:ascii="宋体" w:hAnsi="宋体"/>
                <w:kern w:val="0"/>
                <w:szCs w:val="21"/>
              </w:rPr>
            </w:pPr>
            <w:r>
              <w:rPr>
                <w:rFonts w:hint="eastAsia" w:ascii="宋体" w:hAnsi="宋体" w:cs="MingLiU"/>
                <w:kern w:val="0"/>
                <w:szCs w:val="21"/>
              </w:rPr>
              <w:t>技术职称</w:t>
            </w:r>
          </w:p>
        </w:tc>
        <w:tc>
          <w:tcPr>
            <w:tcW w:w="2119" w:type="dxa"/>
            <w:gridSpan w:val="3"/>
            <w:vAlign w:val="center"/>
          </w:tcPr>
          <w:p w14:paraId="47425EE4">
            <w:pPr>
              <w:autoSpaceDE w:val="0"/>
              <w:autoSpaceDN w:val="0"/>
              <w:adjustRightInd w:val="0"/>
              <w:ind w:left="840"/>
              <w:jc w:val="center"/>
              <w:rPr>
                <w:rFonts w:ascii="宋体" w:hAnsi="宋体"/>
                <w:kern w:val="0"/>
                <w:szCs w:val="21"/>
              </w:rPr>
            </w:pPr>
          </w:p>
        </w:tc>
        <w:tc>
          <w:tcPr>
            <w:tcW w:w="966" w:type="dxa"/>
            <w:vAlign w:val="center"/>
          </w:tcPr>
          <w:p w14:paraId="5A7D0DBE">
            <w:pPr>
              <w:autoSpaceDE w:val="0"/>
              <w:autoSpaceDN w:val="0"/>
              <w:adjustRightInd w:val="0"/>
              <w:jc w:val="center"/>
              <w:rPr>
                <w:rFonts w:ascii="宋体" w:hAnsi="宋体"/>
                <w:kern w:val="0"/>
                <w:szCs w:val="21"/>
              </w:rPr>
            </w:pPr>
            <w:r>
              <w:rPr>
                <w:rFonts w:hint="eastAsia" w:ascii="宋体" w:hAnsi="宋体" w:cs="MingLiU"/>
                <w:kern w:val="0"/>
                <w:szCs w:val="21"/>
              </w:rPr>
              <w:t>电话</w:t>
            </w:r>
          </w:p>
        </w:tc>
        <w:tc>
          <w:tcPr>
            <w:tcW w:w="1116" w:type="dxa"/>
            <w:vAlign w:val="center"/>
          </w:tcPr>
          <w:p w14:paraId="0984F5DF">
            <w:pPr>
              <w:autoSpaceDE w:val="0"/>
              <w:autoSpaceDN w:val="0"/>
              <w:adjustRightInd w:val="0"/>
              <w:ind w:left="840"/>
              <w:jc w:val="center"/>
              <w:rPr>
                <w:rFonts w:ascii="宋体" w:hAnsi="宋体"/>
                <w:kern w:val="0"/>
                <w:szCs w:val="21"/>
              </w:rPr>
            </w:pPr>
          </w:p>
        </w:tc>
      </w:tr>
      <w:tr w14:paraId="7ABCBE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71F123FB">
            <w:pPr>
              <w:autoSpaceDE w:val="0"/>
              <w:autoSpaceDN w:val="0"/>
              <w:adjustRightInd w:val="0"/>
              <w:jc w:val="center"/>
              <w:rPr>
                <w:rFonts w:ascii="宋体" w:hAnsi="宋体"/>
                <w:kern w:val="0"/>
                <w:szCs w:val="21"/>
              </w:rPr>
            </w:pPr>
            <w:r>
              <w:rPr>
                <w:rFonts w:hint="eastAsia" w:ascii="宋体" w:hAnsi="宋体" w:cs="MingLiU"/>
                <w:kern w:val="0"/>
                <w:szCs w:val="21"/>
              </w:rPr>
              <w:t>技术负责人</w:t>
            </w:r>
          </w:p>
        </w:tc>
        <w:tc>
          <w:tcPr>
            <w:tcW w:w="1010" w:type="dxa"/>
            <w:vAlign w:val="center"/>
          </w:tcPr>
          <w:p w14:paraId="6C2E5C2D">
            <w:pPr>
              <w:autoSpaceDE w:val="0"/>
              <w:autoSpaceDN w:val="0"/>
              <w:adjustRightInd w:val="0"/>
              <w:jc w:val="center"/>
              <w:rPr>
                <w:rFonts w:ascii="宋体" w:hAnsi="宋体"/>
                <w:kern w:val="0"/>
                <w:szCs w:val="21"/>
              </w:rPr>
            </w:pPr>
            <w:r>
              <w:rPr>
                <w:rFonts w:hint="eastAsia" w:ascii="宋体" w:hAnsi="宋体" w:cs="MingLiU"/>
                <w:kern w:val="0"/>
                <w:szCs w:val="21"/>
              </w:rPr>
              <w:t>姓名</w:t>
            </w:r>
          </w:p>
        </w:tc>
        <w:tc>
          <w:tcPr>
            <w:tcW w:w="1070" w:type="dxa"/>
            <w:vAlign w:val="center"/>
          </w:tcPr>
          <w:p w14:paraId="07ACC411">
            <w:pPr>
              <w:autoSpaceDE w:val="0"/>
              <w:autoSpaceDN w:val="0"/>
              <w:adjustRightInd w:val="0"/>
              <w:ind w:left="840"/>
              <w:jc w:val="center"/>
              <w:rPr>
                <w:rFonts w:ascii="宋体" w:hAnsi="宋体"/>
                <w:kern w:val="0"/>
                <w:szCs w:val="21"/>
              </w:rPr>
            </w:pPr>
          </w:p>
        </w:tc>
        <w:tc>
          <w:tcPr>
            <w:tcW w:w="1416" w:type="dxa"/>
            <w:vAlign w:val="center"/>
          </w:tcPr>
          <w:p w14:paraId="7151E17B">
            <w:pPr>
              <w:autoSpaceDE w:val="0"/>
              <w:autoSpaceDN w:val="0"/>
              <w:adjustRightInd w:val="0"/>
              <w:jc w:val="center"/>
              <w:rPr>
                <w:rFonts w:ascii="宋体" w:hAnsi="宋体"/>
                <w:kern w:val="0"/>
                <w:szCs w:val="21"/>
              </w:rPr>
            </w:pPr>
            <w:r>
              <w:rPr>
                <w:rFonts w:hint="eastAsia" w:ascii="宋体" w:hAnsi="宋体" w:cs="MingLiU"/>
                <w:kern w:val="0"/>
                <w:szCs w:val="21"/>
              </w:rPr>
              <w:t>技术职称</w:t>
            </w:r>
          </w:p>
        </w:tc>
        <w:tc>
          <w:tcPr>
            <w:tcW w:w="2119" w:type="dxa"/>
            <w:gridSpan w:val="3"/>
            <w:vAlign w:val="center"/>
          </w:tcPr>
          <w:p w14:paraId="3C48B7E1">
            <w:pPr>
              <w:autoSpaceDE w:val="0"/>
              <w:autoSpaceDN w:val="0"/>
              <w:adjustRightInd w:val="0"/>
              <w:ind w:left="840"/>
              <w:jc w:val="center"/>
              <w:rPr>
                <w:rFonts w:ascii="宋体" w:hAnsi="宋体"/>
                <w:kern w:val="0"/>
                <w:szCs w:val="21"/>
              </w:rPr>
            </w:pPr>
          </w:p>
        </w:tc>
        <w:tc>
          <w:tcPr>
            <w:tcW w:w="966" w:type="dxa"/>
            <w:vAlign w:val="center"/>
          </w:tcPr>
          <w:p w14:paraId="1B207166">
            <w:pPr>
              <w:autoSpaceDE w:val="0"/>
              <w:autoSpaceDN w:val="0"/>
              <w:adjustRightInd w:val="0"/>
              <w:jc w:val="center"/>
              <w:rPr>
                <w:rFonts w:ascii="宋体" w:hAnsi="宋体"/>
                <w:kern w:val="0"/>
                <w:szCs w:val="21"/>
              </w:rPr>
            </w:pPr>
            <w:r>
              <w:rPr>
                <w:rFonts w:hint="eastAsia" w:ascii="宋体" w:hAnsi="宋体" w:cs="MingLiU"/>
                <w:kern w:val="0"/>
                <w:szCs w:val="21"/>
              </w:rPr>
              <w:t>电话</w:t>
            </w:r>
          </w:p>
        </w:tc>
        <w:tc>
          <w:tcPr>
            <w:tcW w:w="1116" w:type="dxa"/>
            <w:vAlign w:val="center"/>
          </w:tcPr>
          <w:p w14:paraId="335CB123">
            <w:pPr>
              <w:autoSpaceDE w:val="0"/>
              <w:autoSpaceDN w:val="0"/>
              <w:adjustRightInd w:val="0"/>
              <w:ind w:left="840"/>
              <w:jc w:val="center"/>
              <w:rPr>
                <w:rFonts w:ascii="宋体" w:hAnsi="宋体"/>
                <w:kern w:val="0"/>
                <w:szCs w:val="21"/>
              </w:rPr>
            </w:pPr>
          </w:p>
        </w:tc>
      </w:tr>
      <w:tr w14:paraId="7F21B79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27C51D4C">
            <w:pPr>
              <w:autoSpaceDE w:val="0"/>
              <w:autoSpaceDN w:val="0"/>
              <w:adjustRightInd w:val="0"/>
              <w:jc w:val="center"/>
              <w:rPr>
                <w:rFonts w:ascii="宋体" w:hAnsi="宋体"/>
                <w:kern w:val="0"/>
                <w:szCs w:val="21"/>
              </w:rPr>
            </w:pPr>
            <w:r>
              <w:rPr>
                <w:rFonts w:hint="eastAsia" w:ascii="宋体" w:hAnsi="宋体" w:cs="MingLiU"/>
                <w:kern w:val="0"/>
                <w:szCs w:val="21"/>
              </w:rPr>
              <w:t>成立时间</w:t>
            </w:r>
          </w:p>
        </w:tc>
        <w:tc>
          <w:tcPr>
            <w:tcW w:w="2080" w:type="dxa"/>
            <w:gridSpan w:val="2"/>
            <w:vAlign w:val="center"/>
          </w:tcPr>
          <w:p w14:paraId="0440510A">
            <w:pPr>
              <w:autoSpaceDE w:val="0"/>
              <w:autoSpaceDN w:val="0"/>
              <w:adjustRightInd w:val="0"/>
              <w:ind w:left="840"/>
              <w:jc w:val="center"/>
              <w:rPr>
                <w:rFonts w:ascii="宋体" w:hAnsi="宋体"/>
                <w:kern w:val="0"/>
                <w:szCs w:val="21"/>
              </w:rPr>
            </w:pPr>
          </w:p>
        </w:tc>
        <w:tc>
          <w:tcPr>
            <w:tcW w:w="5617" w:type="dxa"/>
            <w:gridSpan w:val="6"/>
            <w:vAlign w:val="center"/>
          </w:tcPr>
          <w:p w14:paraId="633772AD">
            <w:pPr>
              <w:autoSpaceDE w:val="0"/>
              <w:autoSpaceDN w:val="0"/>
              <w:adjustRightInd w:val="0"/>
              <w:ind w:left="840"/>
              <w:jc w:val="center"/>
              <w:rPr>
                <w:rFonts w:ascii="宋体" w:hAnsi="宋体"/>
                <w:kern w:val="0"/>
                <w:szCs w:val="21"/>
                <w:u w:val="single"/>
              </w:rPr>
            </w:pPr>
            <w:r>
              <w:rPr>
                <w:rFonts w:hint="eastAsia" w:ascii="宋体" w:hAnsi="宋体" w:cs="MingLiU"/>
                <w:kern w:val="0"/>
                <w:szCs w:val="21"/>
              </w:rPr>
              <w:t>员工总人数：</w:t>
            </w:r>
          </w:p>
        </w:tc>
      </w:tr>
      <w:tr w14:paraId="7C3011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2F395B67">
            <w:pPr>
              <w:autoSpaceDE w:val="0"/>
              <w:autoSpaceDN w:val="0"/>
              <w:adjustRightInd w:val="0"/>
              <w:jc w:val="center"/>
              <w:rPr>
                <w:rFonts w:ascii="宋体" w:hAnsi="宋体"/>
                <w:kern w:val="0"/>
                <w:szCs w:val="21"/>
              </w:rPr>
            </w:pPr>
            <w:r>
              <w:rPr>
                <w:rFonts w:hint="eastAsia" w:ascii="宋体" w:hAnsi="宋体" w:cs="MingLiU"/>
                <w:kern w:val="0"/>
                <w:szCs w:val="21"/>
              </w:rPr>
              <w:t>企业资质等级</w:t>
            </w:r>
          </w:p>
        </w:tc>
        <w:tc>
          <w:tcPr>
            <w:tcW w:w="2080" w:type="dxa"/>
            <w:gridSpan w:val="2"/>
            <w:vAlign w:val="center"/>
          </w:tcPr>
          <w:p w14:paraId="4BBA5548">
            <w:pPr>
              <w:autoSpaceDE w:val="0"/>
              <w:autoSpaceDN w:val="0"/>
              <w:adjustRightInd w:val="0"/>
              <w:ind w:left="840"/>
              <w:jc w:val="center"/>
              <w:rPr>
                <w:rFonts w:ascii="宋体" w:hAnsi="宋体"/>
                <w:kern w:val="0"/>
                <w:szCs w:val="21"/>
              </w:rPr>
            </w:pPr>
          </w:p>
        </w:tc>
        <w:tc>
          <w:tcPr>
            <w:tcW w:w="1416" w:type="dxa"/>
            <w:vMerge w:val="restart"/>
            <w:vAlign w:val="center"/>
          </w:tcPr>
          <w:p w14:paraId="4E5D2B04">
            <w:pPr>
              <w:autoSpaceDE w:val="0"/>
              <w:autoSpaceDN w:val="0"/>
              <w:adjustRightInd w:val="0"/>
              <w:jc w:val="center"/>
              <w:rPr>
                <w:rFonts w:ascii="宋体" w:hAnsi="宋体"/>
                <w:kern w:val="0"/>
                <w:szCs w:val="21"/>
              </w:rPr>
            </w:pPr>
            <w:r>
              <w:rPr>
                <w:rFonts w:hint="eastAsia" w:ascii="宋体" w:hAnsi="宋体" w:cs="MingLiU"/>
                <w:kern w:val="0"/>
                <w:szCs w:val="21"/>
              </w:rPr>
              <w:t>其中</w:t>
            </w:r>
          </w:p>
        </w:tc>
        <w:tc>
          <w:tcPr>
            <w:tcW w:w="2119" w:type="dxa"/>
            <w:gridSpan w:val="3"/>
            <w:vAlign w:val="center"/>
          </w:tcPr>
          <w:p w14:paraId="19C92B58">
            <w:pPr>
              <w:autoSpaceDE w:val="0"/>
              <w:autoSpaceDN w:val="0"/>
              <w:adjustRightInd w:val="0"/>
              <w:jc w:val="center"/>
              <w:rPr>
                <w:rFonts w:ascii="宋体" w:hAnsi="宋体"/>
                <w:kern w:val="0"/>
                <w:szCs w:val="21"/>
              </w:rPr>
            </w:pPr>
            <w:r>
              <w:rPr>
                <w:rFonts w:hint="eastAsia" w:ascii="宋体" w:hAnsi="宋体" w:cs="MingLiU"/>
                <w:kern w:val="0"/>
                <w:szCs w:val="21"/>
              </w:rPr>
              <w:t>项目经理</w:t>
            </w:r>
          </w:p>
        </w:tc>
        <w:tc>
          <w:tcPr>
            <w:tcW w:w="2082" w:type="dxa"/>
            <w:gridSpan w:val="2"/>
            <w:vAlign w:val="center"/>
          </w:tcPr>
          <w:p w14:paraId="7398D8B1">
            <w:pPr>
              <w:autoSpaceDE w:val="0"/>
              <w:autoSpaceDN w:val="0"/>
              <w:adjustRightInd w:val="0"/>
              <w:ind w:left="840"/>
              <w:jc w:val="center"/>
              <w:rPr>
                <w:rFonts w:ascii="宋体" w:hAnsi="宋体"/>
                <w:kern w:val="0"/>
                <w:szCs w:val="21"/>
              </w:rPr>
            </w:pPr>
          </w:p>
        </w:tc>
      </w:tr>
      <w:tr w14:paraId="555ECE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7E795069">
            <w:pPr>
              <w:autoSpaceDE w:val="0"/>
              <w:autoSpaceDN w:val="0"/>
              <w:adjustRightInd w:val="0"/>
              <w:jc w:val="center"/>
              <w:rPr>
                <w:rFonts w:ascii="宋体" w:hAnsi="宋体"/>
                <w:kern w:val="0"/>
                <w:szCs w:val="21"/>
              </w:rPr>
            </w:pPr>
            <w:r>
              <w:rPr>
                <w:rFonts w:hint="eastAsia" w:ascii="宋体" w:hAnsi="宋体" w:cs="MingLiU"/>
                <w:kern w:val="0"/>
                <w:szCs w:val="21"/>
              </w:rPr>
              <w:t>营业执照号</w:t>
            </w:r>
          </w:p>
        </w:tc>
        <w:tc>
          <w:tcPr>
            <w:tcW w:w="2080" w:type="dxa"/>
            <w:gridSpan w:val="2"/>
            <w:vAlign w:val="center"/>
          </w:tcPr>
          <w:p w14:paraId="4CB02E85">
            <w:pPr>
              <w:autoSpaceDE w:val="0"/>
              <w:autoSpaceDN w:val="0"/>
              <w:adjustRightInd w:val="0"/>
              <w:ind w:left="840"/>
              <w:jc w:val="center"/>
              <w:rPr>
                <w:rFonts w:ascii="宋体" w:hAnsi="宋体"/>
                <w:kern w:val="0"/>
                <w:szCs w:val="21"/>
              </w:rPr>
            </w:pPr>
          </w:p>
        </w:tc>
        <w:tc>
          <w:tcPr>
            <w:tcW w:w="1416" w:type="dxa"/>
            <w:vMerge w:val="continue"/>
            <w:vAlign w:val="center"/>
          </w:tcPr>
          <w:p w14:paraId="6C2CB99B">
            <w:pPr>
              <w:autoSpaceDE w:val="0"/>
              <w:autoSpaceDN w:val="0"/>
              <w:adjustRightInd w:val="0"/>
              <w:ind w:left="840"/>
              <w:jc w:val="center"/>
              <w:rPr>
                <w:rFonts w:ascii="宋体" w:hAnsi="宋体"/>
                <w:kern w:val="0"/>
                <w:szCs w:val="21"/>
              </w:rPr>
            </w:pPr>
          </w:p>
        </w:tc>
        <w:tc>
          <w:tcPr>
            <w:tcW w:w="2119" w:type="dxa"/>
            <w:gridSpan w:val="3"/>
            <w:vAlign w:val="center"/>
          </w:tcPr>
          <w:p w14:paraId="196C4242">
            <w:pPr>
              <w:autoSpaceDE w:val="0"/>
              <w:autoSpaceDN w:val="0"/>
              <w:adjustRightInd w:val="0"/>
              <w:jc w:val="center"/>
              <w:rPr>
                <w:rFonts w:ascii="宋体" w:hAnsi="宋体"/>
                <w:kern w:val="0"/>
                <w:szCs w:val="21"/>
              </w:rPr>
            </w:pPr>
            <w:r>
              <w:rPr>
                <w:rFonts w:hint="eastAsia" w:ascii="宋体" w:hAnsi="宋体" w:cs="MingLiU"/>
                <w:kern w:val="0"/>
                <w:szCs w:val="21"/>
              </w:rPr>
              <w:t>高级职称人员</w:t>
            </w:r>
          </w:p>
        </w:tc>
        <w:tc>
          <w:tcPr>
            <w:tcW w:w="2082" w:type="dxa"/>
            <w:gridSpan w:val="2"/>
            <w:vAlign w:val="center"/>
          </w:tcPr>
          <w:p w14:paraId="12D08373">
            <w:pPr>
              <w:autoSpaceDE w:val="0"/>
              <w:autoSpaceDN w:val="0"/>
              <w:adjustRightInd w:val="0"/>
              <w:ind w:left="840"/>
              <w:jc w:val="center"/>
              <w:rPr>
                <w:rFonts w:ascii="宋体" w:hAnsi="宋体"/>
                <w:kern w:val="0"/>
                <w:szCs w:val="21"/>
              </w:rPr>
            </w:pPr>
          </w:p>
        </w:tc>
      </w:tr>
      <w:tr w14:paraId="3140B6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723AA498">
            <w:pPr>
              <w:autoSpaceDE w:val="0"/>
              <w:autoSpaceDN w:val="0"/>
              <w:adjustRightInd w:val="0"/>
              <w:jc w:val="center"/>
              <w:rPr>
                <w:rFonts w:ascii="宋体" w:hAnsi="宋体"/>
                <w:kern w:val="0"/>
                <w:szCs w:val="21"/>
              </w:rPr>
            </w:pPr>
            <w:r>
              <w:rPr>
                <w:rFonts w:hint="eastAsia" w:ascii="宋体" w:hAnsi="宋体" w:cs="MingLiU"/>
                <w:kern w:val="0"/>
                <w:szCs w:val="21"/>
              </w:rPr>
              <w:t>注册资金</w:t>
            </w:r>
          </w:p>
        </w:tc>
        <w:tc>
          <w:tcPr>
            <w:tcW w:w="2080" w:type="dxa"/>
            <w:gridSpan w:val="2"/>
            <w:vAlign w:val="center"/>
          </w:tcPr>
          <w:p w14:paraId="25F2D4D9">
            <w:pPr>
              <w:autoSpaceDE w:val="0"/>
              <w:autoSpaceDN w:val="0"/>
              <w:adjustRightInd w:val="0"/>
              <w:ind w:left="840"/>
              <w:jc w:val="center"/>
              <w:rPr>
                <w:rFonts w:ascii="宋体" w:hAnsi="宋体"/>
                <w:kern w:val="0"/>
                <w:szCs w:val="21"/>
              </w:rPr>
            </w:pPr>
          </w:p>
        </w:tc>
        <w:tc>
          <w:tcPr>
            <w:tcW w:w="1416" w:type="dxa"/>
            <w:vMerge w:val="continue"/>
            <w:vAlign w:val="center"/>
          </w:tcPr>
          <w:p w14:paraId="212E028D">
            <w:pPr>
              <w:autoSpaceDE w:val="0"/>
              <w:autoSpaceDN w:val="0"/>
              <w:adjustRightInd w:val="0"/>
              <w:ind w:left="840"/>
              <w:jc w:val="center"/>
              <w:rPr>
                <w:rFonts w:ascii="宋体" w:hAnsi="宋体"/>
                <w:kern w:val="0"/>
                <w:szCs w:val="21"/>
              </w:rPr>
            </w:pPr>
          </w:p>
        </w:tc>
        <w:tc>
          <w:tcPr>
            <w:tcW w:w="2119" w:type="dxa"/>
            <w:gridSpan w:val="3"/>
            <w:vAlign w:val="center"/>
          </w:tcPr>
          <w:p w14:paraId="20617652">
            <w:pPr>
              <w:autoSpaceDE w:val="0"/>
              <w:autoSpaceDN w:val="0"/>
              <w:adjustRightInd w:val="0"/>
              <w:jc w:val="center"/>
              <w:rPr>
                <w:rFonts w:ascii="宋体" w:hAnsi="宋体"/>
                <w:kern w:val="0"/>
                <w:szCs w:val="21"/>
              </w:rPr>
            </w:pPr>
            <w:r>
              <w:rPr>
                <w:rFonts w:hint="eastAsia" w:ascii="宋体" w:hAnsi="宋体" w:cs="MingLiU"/>
                <w:kern w:val="0"/>
                <w:szCs w:val="21"/>
              </w:rPr>
              <w:t>中级职称人员</w:t>
            </w:r>
          </w:p>
        </w:tc>
        <w:tc>
          <w:tcPr>
            <w:tcW w:w="2082" w:type="dxa"/>
            <w:gridSpan w:val="2"/>
            <w:vAlign w:val="center"/>
          </w:tcPr>
          <w:p w14:paraId="13D3A6A3">
            <w:pPr>
              <w:autoSpaceDE w:val="0"/>
              <w:autoSpaceDN w:val="0"/>
              <w:adjustRightInd w:val="0"/>
              <w:ind w:left="840"/>
              <w:jc w:val="center"/>
              <w:rPr>
                <w:rFonts w:ascii="宋体" w:hAnsi="宋体"/>
                <w:kern w:val="0"/>
                <w:szCs w:val="21"/>
              </w:rPr>
            </w:pPr>
          </w:p>
        </w:tc>
      </w:tr>
      <w:tr w14:paraId="7F71E4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73222E38">
            <w:pPr>
              <w:autoSpaceDE w:val="0"/>
              <w:autoSpaceDN w:val="0"/>
              <w:adjustRightInd w:val="0"/>
              <w:jc w:val="center"/>
              <w:rPr>
                <w:rFonts w:ascii="宋体" w:hAnsi="宋体"/>
                <w:kern w:val="0"/>
                <w:szCs w:val="21"/>
              </w:rPr>
            </w:pPr>
            <w:r>
              <w:rPr>
                <w:rFonts w:hint="eastAsia" w:ascii="宋体" w:hAnsi="宋体" w:cs="MingLiU"/>
                <w:kern w:val="0"/>
                <w:szCs w:val="21"/>
              </w:rPr>
              <w:t>基本账户开户银行</w:t>
            </w:r>
          </w:p>
        </w:tc>
        <w:tc>
          <w:tcPr>
            <w:tcW w:w="2080" w:type="dxa"/>
            <w:gridSpan w:val="2"/>
            <w:vAlign w:val="center"/>
          </w:tcPr>
          <w:p w14:paraId="3AC7521E">
            <w:pPr>
              <w:autoSpaceDE w:val="0"/>
              <w:autoSpaceDN w:val="0"/>
              <w:adjustRightInd w:val="0"/>
              <w:ind w:left="840"/>
              <w:jc w:val="center"/>
              <w:rPr>
                <w:rFonts w:ascii="宋体" w:hAnsi="宋体"/>
                <w:kern w:val="0"/>
                <w:szCs w:val="21"/>
              </w:rPr>
            </w:pPr>
          </w:p>
        </w:tc>
        <w:tc>
          <w:tcPr>
            <w:tcW w:w="1416" w:type="dxa"/>
            <w:vMerge w:val="continue"/>
            <w:vAlign w:val="center"/>
          </w:tcPr>
          <w:p w14:paraId="1A946732">
            <w:pPr>
              <w:autoSpaceDE w:val="0"/>
              <w:autoSpaceDN w:val="0"/>
              <w:adjustRightInd w:val="0"/>
              <w:ind w:left="840"/>
              <w:jc w:val="center"/>
              <w:rPr>
                <w:rFonts w:ascii="宋体" w:hAnsi="宋体"/>
                <w:kern w:val="0"/>
                <w:szCs w:val="21"/>
              </w:rPr>
            </w:pPr>
          </w:p>
        </w:tc>
        <w:tc>
          <w:tcPr>
            <w:tcW w:w="2119" w:type="dxa"/>
            <w:gridSpan w:val="3"/>
            <w:vAlign w:val="center"/>
          </w:tcPr>
          <w:p w14:paraId="7FB7C679">
            <w:pPr>
              <w:autoSpaceDE w:val="0"/>
              <w:autoSpaceDN w:val="0"/>
              <w:adjustRightInd w:val="0"/>
              <w:jc w:val="center"/>
              <w:rPr>
                <w:rFonts w:ascii="宋体" w:hAnsi="宋体"/>
                <w:kern w:val="0"/>
                <w:szCs w:val="21"/>
              </w:rPr>
            </w:pPr>
            <w:r>
              <w:rPr>
                <w:rFonts w:hint="eastAsia" w:ascii="宋体" w:hAnsi="宋体" w:cs="MingLiU"/>
                <w:kern w:val="0"/>
                <w:szCs w:val="21"/>
              </w:rPr>
              <w:t>初级职称人员</w:t>
            </w:r>
          </w:p>
        </w:tc>
        <w:tc>
          <w:tcPr>
            <w:tcW w:w="2082" w:type="dxa"/>
            <w:gridSpan w:val="2"/>
            <w:vAlign w:val="center"/>
          </w:tcPr>
          <w:p w14:paraId="1A1EC7B3">
            <w:pPr>
              <w:autoSpaceDE w:val="0"/>
              <w:autoSpaceDN w:val="0"/>
              <w:adjustRightInd w:val="0"/>
              <w:ind w:left="840"/>
              <w:jc w:val="center"/>
              <w:rPr>
                <w:rFonts w:ascii="宋体" w:hAnsi="宋体"/>
                <w:kern w:val="0"/>
                <w:szCs w:val="21"/>
              </w:rPr>
            </w:pPr>
          </w:p>
        </w:tc>
      </w:tr>
      <w:tr w14:paraId="7EC96C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05895559">
            <w:pPr>
              <w:autoSpaceDE w:val="0"/>
              <w:autoSpaceDN w:val="0"/>
              <w:adjustRightInd w:val="0"/>
              <w:jc w:val="center"/>
              <w:rPr>
                <w:rFonts w:ascii="宋体" w:hAnsi="宋体"/>
                <w:kern w:val="0"/>
                <w:szCs w:val="21"/>
              </w:rPr>
            </w:pPr>
            <w:r>
              <w:rPr>
                <w:rFonts w:hint="eastAsia" w:ascii="宋体" w:hAnsi="宋体" w:cs="MingLiU"/>
                <w:kern w:val="0"/>
                <w:szCs w:val="21"/>
              </w:rPr>
              <w:t>基本账户账号</w:t>
            </w:r>
          </w:p>
        </w:tc>
        <w:tc>
          <w:tcPr>
            <w:tcW w:w="2080" w:type="dxa"/>
            <w:gridSpan w:val="2"/>
            <w:vAlign w:val="center"/>
          </w:tcPr>
          <w:p w14:paraId="5E5D94BD">
            <w:pPr>
              <w:autoSpaceDE w:val="0"/>
              <w:autoSpaceDN w:val="0"/>
              <w:adjustRightInd w:val="0"/>
              <w:ind w:left="840"/>
              <w:jc w:val="center"/>
              <w:rPr>
                <w:rFonts w:ascii="宋体" w:hAnsi="宋体"/>
                <w:kern w:val="0"/>
                <w:szCs w:val="21"/>
              </w:rPr>
            </w:pPr>
          </w:p>
        </w:tc>
        <w:tc>
          <w:tcPr>
            <w:tcW w:w="1416" w:type="dxa"/>
            <w:vMerge w:val="continue"/>
            <w:vAlign w:val="center"/>
          </w:tcPr>
          <w:p w14:paraId="5B12969D">
            <w:pPr>
              <w:autoSpaceDE w:val="0"/>
              <w:autoSpaceDN w:val="0"/>
              <w:adjustRightInd w:val="0"/>
              <w:ind w:left="840"/>
              <w:jc w:val="center"/>
              <w:rPr>
                <w:rFonts w:ascii="宋体" w:hAnsi="宋体"/>
                <w:kern w:val="0"/>
                <w:szCs w:val="21"/>
              </w:rPr>
            </w:pPr>
          </w:p>
        </w:tc>
        <w:tc>
          <w:tcPr>
            <w:tcW w:w="2119" w:type="dxa"/>
            <w:gridSpan w:val="3"/>
            <w:vAlign w:val="center"/>
          </w:tcPr>
          <w:p w14:paraId="427A8BE7">
            <w:pPr>
              <w:tabs>
                <w:tab w:val="left" w:pos="1240"/>
              </w:tabs>
              <w:autoSpaceDE w:val="0"/>
              <w:autoSpaceDN w:val="0"/>
              <w:adjustRightInd w:val="0"/>
              <w:spacing w:before="98"/>
              <w:jc w:val="center"/>
              <w:rPr>
                <w:rFonts w:ascii="宋体" w:hAnsi="宋体"/>
                <w:kern w:val="0"/>
                <w:szCs w:val="21"/>
              </w:rPr>
            </w:pPr>
            <w:r>
              <w:rPr>
                <w:rFonts w:hint="eastAsia" w:ascii="宋体" w:hAnsi="宋体" w:cs="MingLiU"/>
                <w:kern w:val="0"/>
                <w:szCs w:val="21"/>
              </w:rPr>
              <w:t>技工</w:t>
            </w:r>
          </w:p>
        </w:tc>
        <w:tc>
          <w:tcPr>
            <w:tcW w:w="2082" w:type="dxa"/>
            <w:gridSpan w:val="2"/>
            <w:vAlign w:val="center"/>
          </w:tcPr>
          <w:p w14:paraId="1336C159">
            <w:pPr>
              <w:autoSpaceDE w:val="0"/>
              <w:autoSpaceDN w:val="0"/>
              <w:adjustRightInd w:val="0"/>
              <w:ind w:left="840"/>
              <w:jc w:val="center"/>
              <w:rPr>
                <w:rFonts w:ascii="宋体" w:hAnsi="宋体"/>
                <w:kern w:val="0"/>
                <w:szCs w:val="21"/>
              </w:rPr>
            </w:pPr>
          </w:p>
        </w:tc>
      </w:tr>
      <w:tr w14:paraId="224AD9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01" w:hRule="exact"/>
          <w:jc w:val="center"/>
        </w:trPr>
        <w:tc>
          <w:tcPr>
            <w:tcW w:w="1942" w:type="dxa"/>
            <w:vAlign w:val="center"/>
          </w:tcPr>
          <w:p w14:paraId="6833612A">
            <w:pPr>
              <w:autoSpaceDE w:val="0"/>
              <w:autoSpaceDN w:val="0"/>
              <w:adjustRightInd w:val="0"/>
              <w:jc w:val="center"/>
              <w:rPr>
                <w:rFonts w:ascii="宋体" w:hAnsi="宋体"/>
                <w:kern w:val="0"/>
                <w:szCs w:val="21"/>
              </w:rPr>
            </w:pPr>
            <w:r>
              <w:rPr>
                <w:rFonts w:hint="eastAsia" w:ascii="宋体" w:hAnsi="宋体" w:cs="MingLiU"/>
                <w:kern w:val="0"/>
                <w:szCs w:val="21"/>
              </w:rPr>
              <w:t>经营范围</w:t>
            </w:r>
          </w:p>
        </w:tc>
        <w:tc>
          <w:tcPr>
            <w:tcW w:w="7697" w:type="dxa"/>
            <w:gridSpan w:val="8"/>
            <w:vAlign w:val="center"/>
          </w:tcPr>
          <w:p w14:paraId="24FEBDC8">
            <w:pPr>
              <w:autoSpaceDE w:val="0"/>
              <w:autoSpaceDN w:val="0"/>
              <w:adjustRightInd w:val="0"/>
              <w:ind w:left="840"/>
              <w:jc w:val="center"/>
              <w:rPr>
                <w:rFonts w:ascii="宋体" w:hAnsi="宋体"/>
                <w:kern w:val="0"/>
                <w:szCs w:val="21"/>
              </w:rPr>
            </w:pPr>
          </w:p>
        </w:tc>
      </w:tr>
      <w:tr w14:paraId="67C2A7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23" w:hRule="exact"/>
          <w:jc w:val="center"/>
        </w:trPr>
        <w:tc>
          <w:tcPr>
            <w:tcW w:w="1942" w:type="dxa"/>
            <w:vAlign w:val="center"/>
          </w:tcPr>
          <w:p w14:paraId="5F1ED525">
            <w:pPr>
              <w:autoSpaceDE w:val="0"/>
              <w:autoSpaceDN w:val="0"/>
              <w:adjustRightInd w:val="0"/>
              <w:jc w:val="center"/>
              <w:rPr>
                <w:rFonts w:ascii="宋体" w:hAnsi="宋体" w:cs="MingLiU"/>
                <w:kern w:val="0"/>
                <w:szCs w:val="21"/>
              </w:rPr>
            </w:pPr>
            <w:r>
              <w:rPr>
                <w:rFonts w:hint="eastAsia" w:ascii="宋体" w:hAnsi="宋体" w:cs="MingLiU"/>
                <w:kern w:val="0"/>
                <w:szCs w:val="21"/>
              </w:rPr>
              <w:t>资产构成情况及申请人投资参股的关联企业情况</w:t>
            </w:r>
          </w:p>
        </w:tc>
        <w:tc>
          <w:tcPr>
            <w:tcW w:w="7697" w:type="dxa"/>
            <w:gridSpan w:val="8"/>
            <w:vAlign w:val="center"/>
          </w:tcPr>
          <w:p w14:paraId="2DDE196B">
            <w:pPr>
              <w:autoSpaceDE w:val="0"/>
              <w:autoSpaceDN w:val="0"/>
              <w:adjustRightInd w:val="0"/>
              <w:ind w:left="840"/>
              <w:jc w:val="center"/>
              <w:rPr>
                <w:rFonts w:ascii="宋体" w:hAnsi="宋体"/>
                <w:kern w:val="0"/>
                <w:szCs w:val="21"/>
              </w:rPr>
            </w:pPr>
          </w:p>
        </w:tc>
      </w:tr>
      <w:tr w14:paraId="76AC5E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1942" w:type="dxa"/>
            <w:vAlign w:val="center"/>
          </w:tcPr>
          <w:p w14:paraId="617DB5DE">
            <w:pPr>
              <w:autoSpaceDE w:val="0"/>
              <w:autoSpaceDN w:val="0"/>
              <w:adjustRightInd w:val="0"/>
              <w:jc w:val="center"/>
              <w:rPr>
                <w:rFonts w:ascii="宋体" w:hAnsi="宋体"/>
                <w:kern w:val="0"/>
                <w:szCs w:val="21"/>
              </w:rPr>
            </w:pPr>
            <w:r>
              <w:rPr>
                <w:rFonts w:hint="eastAsia" w:ascii="宋体" w:hAnsi="宋体" w:cs="MingLiU"/>
                <w:kern w:val="0"/>
                <w:szCs w:val="21"/>
              </w:rPr>
              <w:t>备    注</w:t>
            </w:r>
          </w:p>
        </w:tc>
        <w:tc>
          <w:tcPr>
            <w:tcW w:w="7697" w:type="dxa"/>
            <w:gridSpan w:val="8"/>
            <w:vAlign w:val="center"/>
          </w:tcPr>
          <w:p w14:paraId="506C88CA">
            <w:pPr>
              <w:autoSpaceDE w:val="0"/>
              <w:autoSpaceDN w:val="0"/>
              <w:adjustRightInd w:val="0"/>
              <w:ind w:left="840"/>
              <w:jc w:val="center"/>
              <w:rPr>
                <w:rFonts w:ascii="宋体" w:hAnsi="宋体"/>
                <w:kern w:val="0"/>
                <w:szCs w:val="21"/>
              </w:rPr>
            </w:pPr>
          </w:p>
        </w:tc>
      </w:tr>
    </w:tbl>
    <w:p w14:paraId="1DA08890">
      <w:pPr>
        <w:tabs>
          <w:tab w:val="left" w:pos="4520"/>
          <w:tab w:val="left" w:pos="5480"/>
          <w:tab w:val="left" w:pos="6420"/>
        </w:tabs>
        <w:autoSpaceDE w:val="0"/>
        <w:autoSpaceDN w:val="0"/>
        <w:adjustRightInd w:val="0"/>
        <w:spacing w:line="360" w:lineRule="auto"/>
        <w:ind w:firstLine="360" w:firstLineChars="200"/>
        <w:rPr>
          <w:rFonts w:ascii="宋体" w:hAnsi="宋体" w:cs="宋体"/>
          <w:sz w:val="18"/>
          <w:szCs w:val="18"/>
        </w:rPr>
      </w:pPr>
    </w:p>
    <w:p w14:paraId="1EEDD6D2">
      <w:pPr>
        <w:spacing w:line="440" w:lineRule="exact"/>
        <w:rPr>
          <w:rFonts w:ascii="宋体" w:hAnsi="宋体"/>
          <w:sz w:val="24"/>
        </w:rPr>
      </w:pPr>
    </w:p>
    <w:p w14:paraId="0E0A1EC0"/>
    <w:p w14:paraId="11C456D5"/>
    <w:p w14:paraId="03C03A1F">
      <w:pPr>
        <w:pStyle w:val="19"/>
        <w:ind w:left="0" w:leftChars="0" w:firstLine="0"/>
        <w:rPr>
          <w:rFonts w:ascii="宋体" w:hAnsi="宋体"/>
          <w:b/>
          <w:sz w:val="24"/>
        </w:rPr>
      </w:pPr>
    </w:p>
    <w:p w14:paraId="5966ADE1">
      <w:pPr>
        <w:pStyle w:val="4"/>
        <w:jc w:val="center"/>
      </w:pPr>
      <w:bookmarkStart w:id="683" w:name="_Toc9524"/>
      <w:bookmarkStart w:id="684" w:name="_Toc23451"/>
      <w:bookmarkStart w:id="685" w:name="_Toc7303"/>
      <w:bookmarkStart w:id="686" w:name="_Toc6322"/>
      <w:bookmarkStart w:id="687" w:name="_Toc13252"/>
      <w:bookmarkStart w:id="688" w:name="_Toc19949"/>
      <w:bookmarkStart w:id="689" w:name="_Toc9616"/>
      <w:bookmarkStart w:id="690" w:name="_Toc5775"/>
      <w:bookmarkStart w:id="691" w:name="_Toc32051"/>
      <w:bookmarkStart w:id="692" w:name="_Toc25048"/>
      <w:bookmarkStart w:id="693" w:name="_Toc6146"/>
      <w:r>
        <w:t>（二）投标人企业组织机构框图</w:t>
      </w:r>
      <w:bookmarkEnd w:id="683"/>
      <w:bookmarkEnd w:id="684"/>
      <w:bookmarkEnd w:id="685"/>
      <w:bookmarkEnd w:id="686"/>
      <w:bookmarkEnd w:id="687"/>
      <w:bookmarkEnd w:id="688"/>
      <w:bookmarkEnd w:id="689"/>
      <w:bookmarkEnd w:id="690"/>
      <w:bookmarkEnd w:id="691"/>
      <w:bookmarkEnd w:id="692"/>
    </w:p>
    <w:p w14:paraId="3858E4A5">
      <w:pPr>
        <w:spacing w:line="360" w:lineRule="auto"/>
        <w:rPr>
          <w:rFonts w:ascii="宋体" w:hAnsi="宋体" w:cs="宋体"/>
          <w:sz w:val="20"/>
          <w:szCs w:val="20"/>
        </w:rPr>
      </w:pP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3"/>
      </w:tblGrid>
      <w:tr w14:paraId="47940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7" w:hRule="atLeast"/>
          <w:jc w:val="center"/>
        </w:trPr>
        <w:tc>
          <w:tcPr>
            <w:tcW w:w="9293" w:type="dxa"/>
          </w:tcPr>
          <w:p w14:paraId="51BA1661">
            <w:pPr>
              <w:spacing w:line="360" w:lineRule="auto"/>
            </w:pPr>
            <w:r>
              <w:rPr>
                <w:rFonts w:hint="eastAsia"/>
              </w:rPr>
              <w:t>以框图方式表示</w:t>
            </w:r>
          </w:p>
        </w:tc>
      </w:tr>
      <w:tr w14:paraId="224D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9" w:hRule="atLeast"/>
          <w:jc w:val="center"/>
        </w:trPr>
        <w:tc>
          <w:tcPr>
            <w:tcW w:w="9293" w:type="dxa"/>
          </w:tcPr>
          <w:p w14:paraId="543DC845">
            <w:pPr>
              <w:spacing w:line="360" w:lineRule="auto"/>
            </w:pPr>
            <w:r>
              <w:rPr>
                <w:rFonts w:hint="eastAsia"/>
              </w:rPr>
              <w:t>说明</w:t>
            </w:r>
          </w:p>
        </w:tc>
      </w:tr>
    </w:tbl>
    <w:p w14:paraId="6CE4B5C0">
      <w:pPr>
        <w:spacing w:line="360" w:lineRule="auto"/>
        <w:rPr>
          <w:rFonts w:ascii="宋体" w:hAnsi="宋体" w:cs="宋体"/>
          <w:sz w:val="20"/>
          <w:szCs w:val="20"/>
        </w:rPr>
      </w:pPr>
    </w:p>
    <w:p w14:paraId="171EBF30">
      <w:pPr>
        <w:spacing w:line="360" w:lineRule="auto"/>
        <w:rPr>
          <w:rFonts w:ascii="宋体" w:hAnsi="宋体" w:cs="宋体"/>
          <w:sz w:val="20"/>
          <w:szCs w:val="20"/>
        </w:rPr>
      </w:pPr>
    </w:p>
    <w:p w14:paraId="073C4C03">
      <w:pPr>
        <w:pStyle w:val="18"/>
      </w:pPr>
    </w:p>
    <w:p w14:paraId="787942E3">
      <w:pPr>
        <w:spacing w:line="360" w:lineRule="auto"/>
        <w:rPr>
          <w:rFonts w:ascii="宋体" w:hAnsi="宋体" w:cs="宋体"/>
          <w:sz w:val="20"/>
          <w:szCs w:val="20"/>
        </w:rPr>
      </w:pPr>
    </w:p>
    <w:p w14:paraId="7FACDCC0">
      <w:pPr>
        <w:pStyle w:val="7"/>
        <w:spacing w:line="360" w:lineRule="auto"/>
        <w:ind w:left="2740" w:right="3453"/>
        <w:jc w:val="center"/>
        <w:outlineLvl w:val="2"/>
        <w:rPr>
          <w:rStyle w:val="27"/>
        </w:rPr>
      </w:pPr>
      <w:bookmarkStart w:id="694" w:name="_Toc225"/>
      <w:bookmarkStart w:id="695" w:name="_Toc8569"/>
      <w:bookmarkStart w:id="696" w:name="_Toc21207"/>
      <w:bookmarkStart w:id="697" w:name="_Toc5576"/>
      <w:bookmarkStart w:id="698" w:name="_Toc8418"/>
      <w:bookmarkStart w:id="699" w:name="_Toc25728"/>
      <w:bookmarkStart w:id="700" w:name="_Toc17142"/>
      <w:bookmarkStart w:id="701" w:name="_Toc19452"/>
      <w:bookmarkStart w:id="702" w:name="_Toc13815"/>
      <w:bookmarkStart w:id="703" w:name="_Toc15954"/>
      <w:r>
        <w:rPr>
          <w:rStyle w:val="27"/>
        </w:rPr>
        <w:t>（三） 近年财务状况</w:t>
      </w:r>
      <w:bookmarkEnd w:id="694"/>
      <w:bookmarkEnd w:id="695"/>
      <w:bookmarkEnd w:id="696"/>
      <w:bookmarkEnd w:id="697"/>
      <w:bookmarkEnd w:id="698"/>
      <w:bookmarkEnd w:id="699"/>
      <w:bookmarkEnd w:id="700"/>
      <w:bookmarkEnd w:id="701"/>
      <w:bookmarkEnd w:id="702"/>
      <w:bookmarkEnd w:id="703"/>
    </w:p>
    <w:p w14:paraId="5C24A004">
      <w:pPr>
        <w:spacing w:line="360" w:lineRule="auto"/>
        <w:ind w:firstLine="420" w:firstLineChars="200"/>
        <w:rPr>
          <w:rFonts w:ascii="宋体" w:hAnsi="宋体" w:cs="宋体"/>
          <w:sz w:val="20"/>
          <w:szCs w:val="20"/>
        </w:rPr>
        <w:sectPr>
          <w:pgSz w:w="11911" w:h="16838"/>
          <w:pgMar w:top="1440" w:right="1080" w:bottom="1440" w:left="1080" w:header="777" w:footer="964" w:gutter="0"/>
          <w:cols w:space="720" w:num="1"/>
        </w:sectPr>
      </w:pPr>
      <w:r>
        <w:rPr>
          <w:rFonts w:hint="eastAsia"/>
        </w:rPr>
        <w:t>注：</w:t>
      </w:r>
      <w:r>
        <w:rPr>
          <w:rFonts w:hint="eastAsia" w:eastAsia="Calibri"/>
        </w:rPr>
        <w:t>投标人应根据招标文件第二章</w:t>
      </w:r>
      <w:r>
        <w:rPr>
          <w:rFonts w:hint="eastAsia"/>
        </w:rPr>
        <w:t>“</w:t>
      </w:r>
      <w:r>
        <w:rPr>
          <w:rFonts w:hint="eastAsia" w:eastAsia="Calibri"/>
        </w:rPr>
        <w:t>投标人须知</w:t>
      </w:r>
      <w:r>
        <w:rPr>
          <w:rFonts w:hint="eastAsia"/>
        </w:rPr>
        <w:t>”</w:t>
      </w:r>
      <w:r>
        <w:rPr>
          <w:rFonts w:hint="eastAsia" w:eastAsia="Calibri"/>
        </w:rPr>
        <w:t>的要求附相关证明材料</w:t>
      </w:r>
      <w:r>
        <w:rPr>
          <w:rFonts w:hint="eastAsia"/>
        </w:rPr>
        <w:t>。</w:t>
      </w:r>
    </w:p>
    <w:p w14:paraId="286A4CD9">
      <w:pPr>
        <w:pStyle w:val="4"/>
        <w:jc w:val="center"/>
      </w:pPr>
      <w:bookmarkStart w:id="704" w:name="_Toc4832"/>
      <w:bookmarkStart w:id="705" w:name="_Toc22816"/>
      <w:bookmarkStart w:id="706" w:name="_Toc31934"/>
      <w:bookmarkStart w:id="707" w:name="_Toc8365"/>
      <w:bookmarkStart w:id="708" w:name="_Toc18504"/>
      <w:bookmarkStart w:id="709" w:name="_Toc554"/>
      <w:bookmarkStart w:id="710" w:name="_Toc5733"/>
      <w:bookmarkStart w:id="711" w:name="_Toc9510"/>
      <w:bookmarkStart w:id="712" w:name="_Toc72"/>
      <w:bookmarkStart w:id="713" w:name="_Toc14065"/>
      <w:r>
        <w:t>（</w:t>
      </w:r>
      <w:r>
        <w:rPr>
          <w:rFonts w:hint="eastAsia"/>
        </w:rPr>
        <w:t>四</w:t>
      </w:r>
      <w:r>
        <w:t>）近年完成的类似</w:t>
      </w:r>
      <w:r>
        <w:rPr>
          <w:rFonts w:hint="eastAsia"/>
        </w:rPr>
        <w:t>企业业绩</w:t>
      </w:r>
      <w:bookmarkEnd w:id="704"/>
      <w:bookmarkEnd w:id="705"/>
      <w:bookmarkEnd w:id="706"/>
      <w:bookmarkEnd w:id="707"/>
      <w:bookmarkEnd w:id="708"/>
      <w:bookmarkEnd w:id="709"/>
      <w:bookmarkEnd w:id="710"/>
      <w:bookmarkEnd w:id="711"/>
      <w:bookmarkEnd w:id="712"/>
      <w:bookmarkEnd w:id="713"/>
    </w:p>
    <w:p w14:paraId="2FB75887">
      <w:pPr>
        <w:spacing w:before="3" w:line="360" w:lineRule="auto"/>
        <w:rPr>
          <w:rFonts w:ascii="宋体" w:hAnsi="宋体" w:cs="宋体"/>
          <w:sz w:val="5"/>
          <w:szCs w:val="5"/>
        </w:rPr>
      </w:pPr>
    </w:p>
    <w:tbl>
      <w:tblPr>
        <w:tblStyle w:val="20"/>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6819"/>
      </w:tblGrid>
      <w:tr w14:paraId="3564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74" w:type="dxa"/>
            <w:vAlign w:val="center"/>
          </w:tcPr>
          <w:p w14:paraId="7A515B71">
            <w:pPr>
              <w:topLinePunct/>
              <w:spacing w:line="360" w:lineRule="auto"/>
              <w:jc w:val="center"/>
              <w:rPr>
                <w:szCs w:val="21"/>
              </w:rPr>
            </w:pPr>
            <w:r>
              <w:rPr>
                <w:szCs w:val="21"/>
              </w:rPr>
              <w:t>项目名称</w:t>
            </w:r>
          </w:p>
        </w:tc>
        <w:tc>
          <w:tcPr>
            <w:tcW w:w="6819" w:type="dxa"/>
          </w:tcPr>
          <w:p w14:paraId="0ACE8948">
            <w:pPr>
              <w:topLinePunct/>
              <w:spacing w:line="360" w:lineRule="auto"/>
              <w:rPr>
                <w:szCs w:val="21"/>
              </w:rPr>
            </w:pPr>
          </w:p>
        </w:tc>
      </w:tr>
      <w:tr w14:paraId="35E7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74" w:type="dxa"/>
            <w:vAlign w:val="center"/>
          </w:tcPr>
          <w:p w14:paraId="639F6366">
            <w:pPr>
              <w:topLinePunct/>
              <w:spacing w:line="360" w:lineRule="auto"/>
              <w:jc w:val="center"/>
              <w:rPr>
                <w:szCs w:val="21"/>
              </w:rPr>
            </w:pPr>
            <w:r>
              <w:rPr>
                <w:szCs w:val="21"/>
              </w:rPr>
              <w:t>项目所在地</w:t>
            </w:r>
          </w:p>
        </w:tc>
        <w:tc>
          <w:tcPr>
            <w:tcW w:w="6819" w:type="dxa"/>
          </w:tcPr>
          <w:p w14:paraId="77FEB1CE">
            <w:pPr>
              <w:topLinePunct/>
              <w:spacing w:line="360" w:lineRule="auto"/>
              <w:rPr>
                <w:szCs w:val="21"/>
              </w:rPr>
            </w:pPr>
          </w:p>
        </w:tc>
      </w:tr>
      <w:tr w14:paraId="5EBF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74" w:type="dxa"/>
            <w:vAlign w:val="center"/>
          </w:tcPr>
          <w:p w14:paraId="30286CFB">
            <w:pPr>
              <w:topLinePunct/>
              <w:spacing w:line="360" w:lineRule="auto"/>
              <w:jc w:val="center"/>
              <w:rPr>
                <w:szCs w:val="21"/>
              </w:rPr>
            </w:pPr>
            <w:r>
              <w:rPr>
                <w:szCs w:val="21"/>
              </w:rPr>
              <w:t>发包人名称</w:t>
            </w:r>
          </w:p>
        </w:tc>
        <w:tc>
          <w:tcPr>
            <w:tcW w:w="6819" w:type="dxa"/>
          </w:tcPr>
          <w:p w14:paraId="7BDA13D5">
            <w:pPr>
              <w:topLinePunct/>
              <w:spacing w:line="360" w:lineRule="auto"/>
              <w:rPr>
                <w:szCs w:val="21"/>
              </w:rPr>
            </w:pPr>
          </w:p>
        </w:tc>
      </w:tr>
      <w:tr w14:paraId="5D4F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74" w:type="dxa"/>
            <w:vAlign w:val="center"/>
          </w:tcPr>
          <w:p w14:paraId="1FD226DC">
            <w:pPr>
              <w:topLinePunct/>
              <w:spacing w:line="360" w:lineRule="auto"/>
              <w:jc w:val="center"/>
              <w:rPr>
                <w:szCs w:val="21"/>
              </w:rPr>
            </w:pPr>
            <w:r>
              <w:rPr>
                <w:szCs w:val="21"/>
              </w:rPr>
              <w:t>发包人地址</w:t>
            </w:r>
          </w:p>
        </w:tc>
        <w:tc>
          <w:tcPr>
            <w:tcW w:w="6819" w:type="dxa"/>
          </w:tcPr>
          <w:p w14:paraId="642ED95E">
            <w:pPr>
              <w:topLinePunct/>
              <w:spacing w:line="360" w:lineRule="auto"/>
              <w:rPr>
                <w:szCs w:val="21"/>
              </w:rPr>
            </w:pPr>
          </w:p>
        </w:tc>
      </w:tr>
      <w:tr w14:paraId="60CD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74" w:type="dxa"/>
            <w:vAlign w:val="center"/>
          </w:tcPr>
          <w:p w14:paraId="109D9DC8">
            <w:pPr>
              <w:topLinePunct/>
              <w:spacing w:line="360" w:lineRule="auto"/>
              <w:jc w:val="center"/>
              <w:rPr>
                <w:szCs w:val="21"/>
              </w:rPr>
            </w:pPr>
            <w:r>
              <w:rPr>
                <w:szCs w:val="21"/>
              </w:rPr>
              <w:t>发包人电话</w:t>
            </w:r>
          </w:p>
        </w:tc>
        <w:tc>
          <w:tcPr>
            <w:tcW w:w="6819" w:type="dxa"/>
          </w:tcPr>
          <w:p w14:paraId="06D7774A">
            <w:pPr>
              <w:topLinePunct/>
              <w:spacing w:line="360" w:lineRule="auto"/>
              <w:rPr>
                <w:szCs w:val="21"/>
              </w:rPr>
            </w:pPr>
          </w:p>
        </w:tc>
      </w:tr>
      <w:tr w14:paraId="20FE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74" w:type="dxa"/>
            <w:vAlign w:val="center"/>
          </w:tcPr>
          <w:p w14:paraId="74F7DBBB">
            <w:pPr>
              <w:topLinePunct/>
              <w:spacing w:line="360" w:lineRule="auto"/>
              <w:jc w:val="center"/>
              <w:rPr>
                <w:szCs w:val="21"/>
              </w:rPr>
            </w:pPr>
            <w:r>
              <w:rPr>
                <w:szCs w:val="21"/>
              </w:rPr>
              <w:t>合同价格</w:t>
            </w:r>
          </w:p>
        </w:tc>
        <w:tc>
          <w:tcPr>
            <w:tcW w:w="6819" w:type="dxa"/>
          </w:tcPr>
          <w:p w14:paraId="5D74302D">
            <w:pPr>
              <w:topLinePunct/>
              <w:spacing w:line="360" w:lineRule="auto"/>
              <w:rPr>
                <w:szCs w:val="21"/>
              </w:rPr>
            </w:pPr>
          </w:p>
        </w:tc>
      </w:tr>
      <w:tr w14:paraId="4FD6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74" w:type="dxa"/>
            <w:vAlign w:val="center"/>
          </w:tcPr>
          <w:p w14:paraId="39E0571E">
            <w:pPr>
              <w:topLinePunct/>
              <w:spacing w:line="360" w:lineRule="auto"/>
              <w:jc w:val="center"/>
              <w:rPr>
                <w:szCs w:val="21"/>
              </w:rPr>
            </w:pPr>
            <w:r>
              <w:rPr>
                <w:szCs w:val="21"/>
              </w:rPr>
              <w:t>开工日期</w:t>
            </w:r>
          </w:p>
        </w:tc>
        <w:tc>
          <w:tcPr>
            <w:tcW w:w="6819" w:type="dxa"/>
          </w:tcPr>
          <w:p w14:paraId="6C816B1A">
            <w:pPr>
              <w:topLinePunct/>
              <w:spacing w:line="360" w:lineRule="auto"/>
              <w:rPr>
                <w:szCs w:val="21"/>
              </w:rPr>
            </w:pPr>
          </w:p>
        </w:tc>
      </w:tr>
      <w:tr w14:paraId="17DC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74" w:type="dxa"/>
            <w:vAlign w:val="center"/>
          </w:tcPr>
          <w:p w14:paraId="4FD01EF4">
            <w:pPr>
              <w:topLinePunct/>
              <w:spacing w:line="360" w:lineRule="auto"/>
              <w:jc w:val="center"/>
              <w:rPr>
                <w:szCs w:val="21"/>
              </w:rPr>
            </w:pPr>
            <w:r>
              <w:rPr>
                <w:rFonts w:hint="eastAsia"/>
              </w:rPr>
              <w:t>交工</w:t>
            </w:r>
            <w:r>
              <w:rPr>
                <w:szCs w:val="21"/>
              </w:rPr>
              <w:t>日期</w:t>
            </w:r>
          </w:p>
        </w:tc>
        <w:tc>
          <w:tcPr>
            <w:tcW w:w="6819" w:type="dxa"/>
          </w:tcPr>
          <w:p w14:paraId="6703AACE">
            <w:pPr>
              <w:topLinePunct/>
              <w:spacing w:line="360" w:lineRule="auto"/>
              <w:rPr>
                <w:szCs w:val="21"/>
              </w:rPr>
            </w:pPr>
          </w:p>
        </w:tc>
      </w:tr>
      <w:tr w14:paraId="5171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74" w:type="dxa"/>
            <w:vAlign w:val="center"/>
          </w:tcPr>
          <w:p w14:paraId="57F97300">
            <w:pPr>
              <w:topLinePunct/>
              <w:spacing w:line="360" w:lineRule="auto"/>
              <w:jc w:val="center"/>
              <w:rPr>
                <w:szCs w:val="21"/>
              </w:rPr>
            </w:pPr>
            <w:r>
              <w:rPr>
                <w:szCs w:val="21"/>
              </w:rPr>
              <w:t>承担的工作</w:t>
            </w:r>
          </w:p>
        </w:tc>
        <w:tc>
          <w:tcPr>
            <w:tcW w:w="6819" w:type="dxa"/>
          </w:tcPr>
          <w:p w14:paraId="6F720A6B">
            <w:pPr>
              <w:topLinePunct/>
              <w:spacing w:line="360" w:lineRule="auto"/>
              <w:rPr>
                <w:szCs w:val="21"/>
              </w:rPr>
            </w:pPr>
          </w:p>
        </w:tc>
      </w:tr>
      <w:tr w14:paraId="0099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474" w:type="dxa"/>
            <w:vAlign w:val="center"/>
          </w:tcPr>
          <w:p w14:paraId="1D331853">
            <w:pPr>
              <w:topLinePunct/>
              <w:spacing w:line="360" w:lineRule="auto"/>
              <w:jc w:val="center"/>
              <w:rPr>
                <w:szCs w:val="21"/>
              </w:rPr>
            </w:pPr>
            <w:r>
              <w:rPr>
                <w:szCs w:val="21"/>
              </w:rPr>
              <w:t>工程质量</w:t>
            </w:r>
          </w:p>
        </w:tc>
        <w:tc>
          <w:tcPr>
            <w:tcW w:w="6819" w:type="dxa"/>
          </w:tcPr>
          <w:p w14:paraId="7DE6D830">
            <w:pPr>
              <w:topLinePunct/>
              <w:spacing w:line="360" w:lineRule="auto"/>
              <w:rPr>
                <w:szCs w:val="21"/>
              </w:rPr>
            </w:pPr>
          </w:p>
        </w:tc>
      </w:tr>
      <w:tr w14:paraId="07F2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474" w:type="dxa"/>
            <w:vAlign w:val="center"/>
          </w:tcPr>
          <w:p w14:paraId="3D77D00C">
            <w:pPr>
              <w:topLinePunct/>
              <w:spacing w:line="360" w:lineRule="auto"/>
              <w:jc w:val="center"/>
              <w:rPr>
                <w:szCs w:val="21"/>
              </w:rPr>
            </w:pPr>
            <w:r>
              <w:rPr>
                <w:rFonts w:hint="eastAsia"/>
                <w:szCs w:val="21"/>
              </w:rPr>
              <w:t>项目经理</w:t>
            </w:r>
          </w:p>
        </w:tc>
        <w:tc>
          <w:tcPr>
            <w:tcW w:w="6819" w:type="dxa"/>
          </w:tcPr>
          <w:p w14:paraId="2E4CF3C2">
            <w:pPr>
              <w:topLinePunct/>
              <w:spacing w:line="360" w:lineRule="auto"/>
              <w:rPr>
                <w:szCs w:val="21"/>
              </w:rPr>
            </w:pPr>
          </w:p>
        </w:tc>
      </w:tr>
      <w:tr w14:paraId="74DB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474" w:type="dxa"/>
            <w:vAlign w:val="center"/>
          </w:tcPr>
          <w:p w14:paraId="0395BA38">
            <w:pPr>
              <w:topLinePunct/>
              <w:spacing w:line="360" w:lineRule="auto"/>
              <w:jc w:val="center"/>
              <w:rPr>
                <w:szCs w:val="21"/>
              </w:rPr>
            </w:pPr>
            <w:r>
              <w:rPr>
                <w:rFonts w:hint="eastAsia"/>
                <w:szCs w:val="21"/>
              </w:rPr>
              <w:t>技术负责人</w:t>
            </w:r>
          </w:p>
        </w:tc>
        <w:tc>
          <w:tcPr>
            <w:tcW w:w="6819" w:type="dxa"/>
          </w:tcPr>
          <w:p w14:paraId="5373B42D">
            <w:pPr>
              <w:topLinePunct/>
              <w:spacing w:line="360" w:lineRule="auto"/>
              <w:rPr>
                <w:szCs w:val="21"/>
              </w:rPr>
            </w:pPr>
          </w:p>
        </w:tc>
      </w:tr>
      <w:tr w14:paraId="60C9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74" w:type="dxa"/>
            <w:vAlign w:val="center"/>
          </w:tcPr>
          <w:p w14:paraId="5AD0F39B">
            <w:pPr>
              <w:topLinePunct/>
              <w:spacing w:line="360" w:lineRule="auto"/>
              <w:jc w:val="center"/>
              <w:rPr>
                <w:szCs w:val="21"/>
              </w:rPr>
            </w:pPr>
            <w:r>
              <w:rPr>
                <w:szCs w:val="21"/>
              </w:rPr>
              <w:t>总监理工程师及电话</w:t>
            </w:r>
          </w:p>
        </w:tc>
        <w:tc>
          <w:tcPr>
            <w:tcW w:w="6819" w:type="dxa"/>
          </w:tcPr>
          <w:p w14:paraId="69AB5F78">
            <w:pPr>
              <w:topLinePunct/>
              <w:spacing w:line="360" w:lineRule="auto"/>
              <w:rPr>
                <w:szCs w:val="21"/>
              </w:rPr>
            </w:pPr>
          </w:p>
        </w:tc>
      </w:tr>
      <w:tr w14:paraId="63D1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74" w:type="dxa"/>
            <w:vAlign w:val="center"/>
          </w:tcPr>
          <w:p w14:paraId="3662375C">
            <w:pPr>
              <w:topLinePunct/>
              <w:spacing w:line="360" w:lineRule="auto"/>
              <w:jc w:val="center"/>
              <w:rPr>
                <w:szCs w:val="21"/>
              </w:rPr>
            </w:pPr>
            <w:r>
              <w:rPr>
                <w:szCs w:val="21"/>
              </w:rPr>
              <w:t>项目描述</w:t>
            </w:r>
          </w:p>
        </w:tc>
        <w:tc>
          <w:tcPr>
            <w:tcW w:w="6819" w:type="dxa"/>
          </w:tcPr>
          <w:p w14:paraId="2D88B81E">
            <w:pPr>
              <w:topLinePunct/>
              <w:spacing w:line="360" w:lineRule="auto"/>
              <w:rPr>
                <w:szCs w:val="21"/>
              </w:rPr>
            </w:pPr>
          </w:p>
          <w:p w14:paraId="108FAAEC">
            <w:pPr>
              <w:topLinePunct/>
              <w:spacing w:line="360" w:lineRule="auto"/>
              <w:rPr>
                <w:szCs w:val="21"/>
              </w:rPr>
            </w:pPr>
          </w:p>
          <w:p w14:paraId="45D0C1DB">
            <w:pPr>
              <w:topLinePunct/>
              <w:spacing w:line="360" w:lineRule="auto"/>
              <w:rPr>
                <w:szCs w:val="21"/>
              </w:rPr>
            </w:pPr>
          </w:p>
          <w:p w14:paraId="0E3B891A">
            <w:pPr>
              <w:topLinePunct/>
              <w:spacing w:line="360" w:lineRule="auto"/>
              <w:rPr>
                <w:szCs w:val="21"/>
              </w:rPr>
            </w:pPr>
          </w:p>
          <w:p w14:paraId="358B9A68">
            <w:pPr>
              <w:topLinePunct/>
              <w:spacing w:line="360" w:lineRule="auto"/>
              <w:rPr>
                <w:szCs w:val="21"/>
              </w:rPr>
            </w:pPr>
          </w:p>
          <w:p w14:paraId="0C8FFB84">
            <w:pPr>
              <w:topLinePunct/>
              <w:spacing w:line="360" w:lineRule="auto"/>
              <w:rPr>
                <w:szCs w:val="21"/>
              </w:rPr>
            </w:pPr>
          </w:p>
          <w:p w14:paraId="4ADACD34">
            <w:pPr>
              <w:topLinePunct/>
              <w:spacing w:line="360" w:lineRule="auto"/>
              <w:rPr>
                <w:szCs w:val="21"/>
              </w:rPr>
            </w:pPr>
          </w:p>
        </w:tc>
      </w:tr>
      <w:tr w14:paraId="7CD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74" w:type="dxa"/>
            <w:vAlign w:val="center"/>
          </w:tcPr>
          <w:p w14:paraId="248CD07E">
            <w:pPr>
              <w:spacing w:line="360" w:lineRule="auto"/>
              <w:jc w:val="center"/>
              <w:rPr>
                <w:szCs w:val="21"/>
              </w:rPr>
            </w:pPr>
            <w:r>
              <w:rPr>
                <w:szCs w:val="21"/>
              </w:rPr>
              <w:t>备注</w:t>
            </w:r>
          </w:p>
        </w:tc>
        <w:tc>
          <w:tcPr>
            <w:tcW w:w="6819" w:type="dxa"/>
          </w:tcPr>
          <w:p w14:paraId="7A08A271">
            <w:pPr>
              <w:topLinePunct/>
              <w:spacing w:line="360" w:lineRule="auto"/>
              <w:rPr>
                <w:szCs w:val="21"/>
              </w:rPr>
            </w:pPr>
          </w:p>
        </w:tc>
      </w:tr>
    </w:tbl>
    <w:p w14:paraId="32CD7ADE">
      <w:pPr>
        <w:tabs>
          <w:tab w:val="left" w:pos="4520"/>
          <w:tab w:val="left" w:pos="5480"/>
          <w:tab w:val="left" w:pos="6420"/>
        </w:tabs>
        <w:autoSpaceDE w:val="0"/>
        <w:autoSpaceDN w:val="0"/>
        <w:adjustRightInd w:val="0"/>
        <w:spacing w:line="360" w:lineRule="auto"/>
        <w:ind w:firstLine="720" w:firstLineChars="400"/>
        <w:rPr>
          <w:rFonts w:ascii="宋体" w:hAnsi="宋体" w:cs="宋体"/>
          <w:sz w:val="18"/>
          <w:szCs w:val="18"/>
        </w:rPr>
      </w:pPr>
      <w:r>
        <w:rPr>
          <w:rFonts w:hint="eastAsia" w:ascii="宋体" w:hAnsi="宋体" w:cs="宋体"/>
          <w:sz w:val="18"/>
          <w:szCs w:val="18"/>
        </w:rPr>
        <w:t>注：1.每张表格只填写一个项目，并标明序号。</w:t>
      </w:r>
    </w:p>
    <w:p w14:paraId="74E43119">
      <w:pPr>
        <w:tabs>
          <w:tab w:val="left" w:pos="4520"/>
          <w:tab w:val="left" w:pos="5480"/>
          <w:tab w:val="left" w:pos="6420"/>
        </w:tabs>
        <w:autoSpaceDE w:val="0"/>
        <w:autoSpaceDN w:val="0"/>
        <w:adjustRightInd w:val="0"/>
        <w:spacing w:line="360" w:lineRule="auto"/>
        <w:ind w:firstLine="720" w:firstLineChars="400"/>
        <w:rPr>
          <w:rFonts w:ascii="宋体" w:hAnsi="宋体" w:cs="宋体"/>
          <w:sz w:val="18"/>
          <w:szCs w:val="18"/>
        </w:rPr>
      </w:pPr>
      <w:r>
        <w:rPr>
          <w:rFonts w:hint="eastAsia" w:ascii="宋体" w:hAnsi="宋体" w:cs="宋体"/>
          <w:sz w:val="18"/>
          <w:szCs w:val="18"/>
        </w:rPr>
        <w:t>2.投标人应根据招标文件第三章“评标办法”的要求在本表后附相关证明材料。</w:t>
      </w:r>
    </w:p>
    <w:p w14:paraId="736DDAD2">
      <w:pPr>
        <w:tabs>
          <w:tab w:val="left" w:pos="4520"/>
          <w:tab w:val="left" w:pos="5480"/>
          <w:tab w:val="left" w:pos="6420"/>
        </w:tabs>
        <w:autoSpaceDE w:val="0"/>
        <w:autoSpaceDN w:val="0"/>
        <w:adjustRightInd w:val="0"/>
        <w:spacing w:line="360" w:lineRule="auto"/>
        <w:ind w:firstLine="720" w:firstLineChars="400"/>
        <w:rPr>
          <w:rFonts w:ascii="宋体" w:hAnsi="宋体" w:cs="宋体"/>
          <w:sz w:val="18"/>
          <w:szCs w:val="18"/>
        </w:rPr>
      </w:pPr>
      <w:r>
        <w:rPr>
          <w:rFonts w:hint="eastAsia" w:ascii="宋体" w:hAnsi="宋体" w:cs="宋体"/>
          <w:sz w:val="18"/>
          <w:szCs w:val="18"/>
        </w:rPr>
        <w:t>3.如近年来，投标人法人机构发生合法变更或重组或法人名称变更时，应提供相关部门的合法批件或其他相关证明材料来证明其所附业绩的继承性。</w:t>
      </w:r>
    </w:p>
    <w:p w14:paraId="1D06779B">
      <w:pPr>
        <w:tabs>
          <w:tab w:val="left" w:pos="4520"/>
          <w:tab w:val="left" w:pos="5480"/>
          <w:tab w:val="left" w:pos="6420"/>
        </w:tabs>
        <w:autoSpaceDE w:val="0"/>
        <w:autoSpaceDN w:val="0"/>
        <w:adjustRightInd w:val="0"/>
        <w:spacing w:line="360" w:lineRule="auto"/>
        <w:ind w:firstLine="720" w:firstLineChars="400"/>
        <w:rPr>
          <w:rFonts w:ascii="宋体" w:hAnsi="宋体" w:cs="宋体"/>
          <w:sz w:val="18"/>
          <w:szCs w:val="18"/>
        </w:rPr>
        <w:sectPr>
          <w:pgSz w:w="11911" w:h="16838"/>
          <w:pgMar w:top="1440" w:right="1080" w:bottom="1440" w:left="1080" w:header="777" w:footer="850" w:gutter="0"/>
          <w:cols w:space="720" w:num="1"/>
        </w:sectPr>
      </w:pPr>
    </w:p>
    <w:p w14:paraId="40210A73">
      <w:pPr>
        <w:pStyle w:val="4"/>
        <w:jc w:val="center"/>
      </w:pPr>
      <w:bookmarkStart w:id="714" w:name="_Toc20793"/>
      <w:bookmarkStart w:id="715" w:name="_Toc29989"/>
      <w:bookmarkStart w:id="716" w:name="_Toc19044"/>
      <w:bookmarkStart w:id="717" w:name="_Toc20384"/>
      <w:bookmarkStart w:id="718" w:name="_Toc9175"/>
      <w:bookmarkStart w:id="719" w:name="_Toc5780"/>
      <w:bookmarkStart w:id="720" w:name="_Toc18527"/>
      <w:bookmarkStart w:id="721" w:name="_Toc31119"/>
      <w:bookmarkStart w:id="722" w:name="_Toc15906"/>
      <w:r>
        <w:t>（</w:t>
      </w:r>
      <w:r>
        <w:rPr>
          <w:rFonts w:hint="eastAsia"/>
        </w:rPr>
        <w:t>五</w:t>
      </w:r>
      <w:r>
        <w:t>）拟委任的</w:t>
      </w:r>
      <w:r>
        <w:rPr>
          <w:rFonts w:hint="eastAsia"/>
        </w:rPr>
        <w:t>项目经理和技术负责人简</w:t>
      </w:r>
      <w:r>
        <w:t>历表</w:t>
      </w:r>
      <w:bookmarkEnd w:id="714"/>
      <w:bookmarkEnd w:id="715"/>
      <w:bookmarkEnd w:id="716"/>
      <w:bookmarkEnd w:id="717"/>
      <w:bookmarkEnd w:id="718"/>
      <w:bookmarkEnd w:id="719"/>
      <w:bookmarkEnd w:id="720"/>
      <w:bookmarkEnd w:id="721"/>
      <w:bookmarkEnd w:id="722"/>
    </w:p>
    <w:p w14:paraId="5B506534">
      <w:pPr>
        <w:spacing w:before="9"/>
        <w:rPr>
          <w:rFonts w:ascii="宋体" w:hAnsi="宋体" w:cs="宋体"/>
          <w:sz w:val="10"/>
          <w:szCs w:val="10"/>
        </w:rPr>
      </w:pPr>
    </w:p>
    <w:tbl>
      <w:tblPr>
        <w:tblStyle w:val="20"/>
        <w:tblW w:w="9087" w:type="dxa"/>
        <w:jc w:val="center"/>
        <w:tblLayout w:type="fixed"/>
        <w:tblCellMar>
          <w:top w:w="0" w:type="dxa"/>
          <w:left w:w="0" w:type="dxa"/>
          <w:bottom w:w="0" w:type="dxa"/>
          <w:right w:w="0" w:type="dxa"/>
        </w:tblCellMar>
      </w:tblPr>
      <w:tblGrid>
        <w:gridCol w:w="1281"/>
        <w:gridCol w:w="1465"/>
        <w:gridCol w:w="107"/>
        <w:gridCol w:w="985"/>
        <w:gridCol w:w="1555"/>
        <w:gridCol w:w="352"/>
        <w:gridCol w:w="1606"/>
        <w:gridCol w:w="402"/>
        <w:gridCol w:w="1334"/>
      </w:tblGrid>
      <w:tr w14:paraId="3F8B7446">
        <w:tblPrEx>
          <w:tblCellMar>
            <w:top w:w="0" w:type="dxa"/>
            <w:left w:w="0" w:type="dxa"/>
            <w:bottom w:w="0" w:type="dxa"/>
            <w:right w:w="0" w:type="dxa"/>
          </w:tblCellMar>
        </w:tblPrEx>
        <w:trPr>
          <w:trHeight w:val="528" w:hRule="exact"/>
          <w:jc w:val="center"/>
        </w:trPr>
        <w:tc>
          <w:tcPr>
            <w:tcW w:w="1281" w:type="dxa"/>
            <w:tcBorders>
              <w:top w:val="single" w:color="000000" w:sz="4" w:space="0"/>
              <w:left w:val="single" w:color="000000" w:sz="4" w:space="0"/>
              <w:bottom w:val="single" w:color="000000" w:sz="4" w:space="0"/>
              <w:right w:val="single" w:color="000000" w:sz="4" w:space="0"/>
            </w:tcBorders>
            <w:vAlign w:val="center"/>
          </w:tcPr>
          <w:p w14:paraId="44DA8EA3">
            <w:pPr>
              <w:topLinePunct/>
              <w:spacing w:line="380" w:lineRule="exact"/>
              <w:jc w:val="center"/>
              <w:rPr>
                <w:rFonts w:ascii="宋体" w:hAnsi="宋体" w:cs="宋体"/>
                <w:szCs w:val="21"/>
              </w:rPr>
            </w:pPr>
            <w:r>
              <w:rPr>
                <w:rFonts w:hint="eastAsia" w:ascii="宋体" w:hAnsi="宋体" w:cs="宋体"/>
                <w:szCs w:val="21"/>
              </w:rPr>
              <w:t>姓</w:t>
            </w:r>
            <w:r>
              <w:rPr>
                <w:rFonts w:hint="eastAsia" w:ascii="宋体" w:hAnsi="宋体" w:cs="宋体"/>
                <w:szCs w:val="21"/>
              </w:rPr>
              <w:tab/>
            </w:r>
            <w:r>
              <w:rPr>
                <w:rFonts w:hint="eastAsia" w:ascii="宋体" w:hAnsi="宋体" w:cs="宋体"/>
                <w:szCs w:val="21"/>
              </w:rPr>
              <w:t>名</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14:paraId="3D89F405">
            <w:pPr>
              <w:topLinePunct/>
              <w:spacing w:line="380" w:lineRule="exact"/>
              <w:jc w:val="center"/>
              <w:rPr>
                <w:rFonts w:ascii="宋体" w:hAnsi="宋体" w:cs="宋体"/>
                <w:szCs w:val="21"/>
              </w:rPr>
            </w:pPr>
          </w:p>
        </w:tc>
        <w:tc>
          <w:tcPr>
            <w:tcW w:w="985" w:type="dxa"/>
            <w:tcBorders>
              <w:top w:val="single" w:color="000000" w:sz="4" w:space="0"/>
              <w:left w:val="single" w:color="000000" w:sz="4" w:space="0"/>
              <w:bottom w:val="single" w:color="000000" w:sz="4" w:space="0"/>
              <w:right w:val="single" w:color="030303" w:sz="2" w:space="0"/>
            </w:tcBorders>
            <w:vAlign w:val="center"/>
          </w:tcPr>
          <w:p w14:paraId="5BE37ED1">
            <w:pPr>
              <w:topLinePunct/>
              <w:spacing w:line="380" w:lineRule="exact"/>
              <w:jc w:val="center"/>
              <w:rPr>
                <w:rFonts w:ascii="宋体" w:hAnsi="宋体" w:cs="宋体"/>
                <w:szCs w:val="21"/>
              </w:rPr>
            </w:pPr>
            <w:r>
              <w:rPr>
                <w:rFonts w:hint="eastAsia" w:ascii="宋体" w:hAnsi="宋体" w:cs="宋体"/>
                <w:szCs w:val="21"/>
              </w:rPr>
              <w:t>年    龄</w:t>
            </w:r>
          </w:p>
        </w:tc>
        <w:tc>
          <w:tcPr>
            <w:tcW w:w="1555" w:type="dxa"/>
            <w:tcBorders>
              <w:top w:val="single" w:color="000000" w:sz="4" w:space="0"/>
              <w:left w:val="single" w:color="030303" w:sz="2" w:space="0"/>
              <w:bottom w:val="single" w:color="000000" w:sz="4" w:space="0"/>
              <w:right w:val="single" w:color="000000" w:sz="4" w:space="0"/>
            </w:tcBorders>
            <w:vAlign w:val="center"/>
          </w:tcPr>
          <w:p w14:paraId="5F1298EA">
            <w:pPr>
              <w:topLinePunct/>
              <w:spacing w:line="380" w:lineRule="exact"/>
              <w:jc w:val="center"/>
              <w:rPr>
                <w:rFonts w:ascii="宋体" w:hAnsi="宋体" w:cs="宋体"/>
                <w:szCs w:val="21"/>
              </w:rPr>
            </w:pPr>
          </w:p>
        </w:tc>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239E39DE">
            <w:pPr>
              <w:topLinePunct/>
              <w:spacing w:line="380" w:lineRule="exact"/>
              <w:jc w:val="center"/>
              <w:rPr>
                <w:rFonts w:ascii="宋体" w:hAnsi="宋体" w:cs="宋体"/>
                <w:szCs w:val="21"/>
              </w:rPr>
            </w:pPr>
            <w:r>
              <w:rPr>
                <w:rFonts w:hint="eastAsia" w:ascii="宋体" w:hAnsi="宋体" w:cs="宋体"/>
                <w:szCs w:val="21"/>
              </w:rPr>
              <w:t>专</w:t>
            </w:r>
            <w:r>
              <w:rPr>
                <w:rFonts w:hint="eastAsia" w:ascii="宋体" w:hAnsi="宋体" w:cs="宋体"/>
                <w:szCs w:val="21"/>
              </w:rPr>
              <w:tab/>
            </w:r>
            <w:r>
              <w:rPr>
                <w:rFonts w:hint="eastAsia" w:ascii="宋体" w:hAnsi="宋体" w:cs="宋体"/>
                <w:szCs w:val="21"/>
              </w:rPr>
              <w:t>业</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450EBA5F">
            <w:pPr>
              <w:topLinePunct/>
              <w:spacing w:line="380" w:lineRule="exact"/>
              <w:jc w:val="center"/>
              <w:rPr>
                <w:rFonts w:ascii="宋体" w:hAnsi="宋体" w:cs="宋体"/>
                <w:szCs w:val="21"/>
              </w:rPr>
            </w:pPr>
          </w:p>
        </w:tc>
      </w:tr>
      <w:tr w14:paraId="091C09AB">
        <w:tblPrEx>
          <w:tblCellMar>
            <w:top w:w="0" w:type="dxa"/>
            <w:left w:w="0" w:type="dxa"/>
            <w:bottom w:w="0" w:type="dxa"/>
            <w:right w:w="0" w:type="dxa"/>
          </w:tblCellMar>
        </w:tblPrEx>
        <w:trPr>
          <w:trHeight w:val="991" w:hRule="exact"/>
          <w:jc w:val="center"/>
        </w:trPr>
        <w:tc>
          <w:tcPr>
            <w:tcW w:w="1281" w:type="dxa"/>
            <w:tcBorders>
              <w:top w:val="single" w:color="000000" w:sz="4" w:space="0"/>
              <w:left w:val="single" w:color="000000" w:sz="4" w:space="0"/>
              <w:bottom w:val="single" w:color="000000" w:sz="4" w:space="0"/>
              <w:right w:val="single" w:color="000000" w:sz="4" w:space="0"/>
            </w:tcBorders>
            <w:vAlign w:val="center"/>
          </w:tcPr>
          <w:p w14:paraId="0FADA1A4">
            <w:pPr>
              <w:topLinePunct/>
              <w:spacing w:line="380" w:lineRule="exact"/>
              <w:jc w:val="center"/>
              <w:rPr>
                <w:rFonts w:ascii="宋体" w:hAnsi="宋体" w:cs="宋体"/>
                <w:szCs w:val="21"/>
              </w:rPr>
            </w:pPr>
            <w:r>
              <w:rPr>
                <w:rFonts w:hint="eastAsia" w:ascii="宋体" w:hAnsi="宋体" w:cs="宋体"/>
                <w:szCs w:val="21"/>
              </w:rPr>
              <w:t>技术职称</w:t>
            </w:r>
          </w:p>
        </w:tc>
        <w:tc>
          <w:tcPr>
            <w:tcW w:w="1572" w:type="dxa"/>
            <w:gridSpan w:val="2"/>
            <w:tcBorders>
              <w:top w:val="single" w:color="000000" w:sz="4" w:space="0"/>
              <w:left w:val="single" w:color="000000" w:sz="4" w:space="0"/>
              <w:bottom w:val="single" w:color="000000" w:sz="4" w:space="0"/>
              <w:right w:val="single" w:color="000000" w:sz="4" w:space="0"/>
            </w:tcBorders>
            <w:vAlign w:val="center"/>
          </w:tcPr>
          <w:p w14:paraId="3B72DEC5">
            <w:pPr>
              <w:topLinePunct/>
              <w:spacing w:line="380" w:lineRule="exact"/>
              <w:jc w:val="center"/>
              <w:rPr>
                <w:rFonts w:ascii="宋体" w:hAnsi="宋体" w:cs="宋体"/>
                <w:szCs w:val="21"/>
              </w:rPr>
            </w:pPr>
          </w:p>
        </w:tc>
        <w:tc>
          <w:tcPr>
            <w:tcW w:w="985" w:type="dxa"/>
            <w:tcBorders>
              <w:top w:val="single" w:color="000000" w:sz="4" w:space="0"/>
              <w:left w:val="single" w:color="000000" w:sz="4" w:space="0"/>
              <w:bottom w:val="single" w:color="000000" w:sz="4" w:space="0"/>
              <w:right w:val="single" w:color="000000" w:sz="6" w:space="0"/>
            </w:tcBorders>
            <w:vAlign w:val="center"/>
          </w:tcPr>
          <w:p w14:paraId="08E2F7FE">
            <w:pPr>
              <w:topLinePunct/>
              <w:spacing w:line="380" w:lineRule="exact"/>
              <w:jc w:val="center"/>
              <w:rPr>
                <w:rFonts w:ascii="宋体" w:hAnsi="宋体" w:cs="宋体"/>
                <w:szCs w:val="21"/>
              </w:rPr>
            </w:pPr>
            <w:r>
              <w:rPr>
                <w:rFonts w:hint="eastAsia" w:ascii="宋体" w:hAnsi="宋体" w:cs="宋体"/>
                <w:szCs w:val="21"/>
              </w:rPr>
              <w:t>学   历</w:t>
            </w:r>
          </w:p>
        </w:tc>
        <w:tc>
          <w:tcPr>
            <w:tcW w:w="1555" w:type="dxa"/>
            <w:tcBorders>
              <w:top w:val="single" w:color="000000" w:sz="4" w:space="0"/>
              <w:left w:val="single" w:color="000000" w:sz="6" w:space="0"/>
              <w:bottom w:val="single" w:color="000000" w:sz="4" w:space="0"/>
              <w:right w:val="single" w:color="000000" w:sz="4" w:space="0"/>
            </w:tcBorders>
            <w:vAlign w:val="center"/>
          </w:tcPr>
          <w:p w14:paraId="6A08B87F">
            <w:pPr>
              <w:topLinePunct/>
              <w:spacing w:line="380" w:lineRule="exact"/>
              <w:jc w:val="center"/>
              <w:rPr>
                <w:rFonts w:ascii="宋体" w:hAnsi="宋体" w:cs="宋体"/>
                <w:szCs w:val="21"/>
              </w:rPr>
            </w:pPr>
          </w:p>
        </w:tc>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467F7236">
            <w:pPr>
              <w:topLinePunct/>
              <w:spacing w:line="380" w:lineRule="exact"/>
              <w:jc w:val="center"/>
              <w:rPr>
                <w:rFonts w:ascii="宋体" w:hAnsi="宋体" w:cs="宋体"/>
                <w:szCs w:val="21"/>
              </w:rPr>
            </w:pPr>
            <w:r>
              <w:rPr>
                <w:rFonts w:hint="eastAsia" w:ascii="宋体" w:hAnsi="宋体" w:cs="宋体"/>
                <w:szCs w:val="21"/>
              </w:rPr>
              <w:t>拟在本工程任职</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1E751C28">
            <w:pPr>
              <w:topLinePunct/>
              <w:spacing w:line="380" w:lineRule="exact"/>
              <w:jc w:val="center"/>
              <w:rPr>
                <w:rFonts w:ascii="宋体" w:hAnsi="宋体" w:cs="宋体"/>
                <w:szCs w:val="21"/>
              </w:rPr>
            </w:pPr>
          </w:p>
        </w:tc>
      </w:tr>
      <w:tr w14:paraId="73797259">
        <w:tblPrEx>
          <w:tblCellMar>
            <w:top w:w="0" w:type="dxa"/>
            <w:left w:w="0" w:type="dxa"/>
            <w:bottom w:w="0" w:type="dxa"/>
            <w:right w:w="0" w:type="dxa"/>
          </w:tblCellMar>
        </w:tblPrEx>
        <w:trPr>
          <w:trHeight w:val="533" w:hRule="exact"/>
          <w:jc w:val="center"/>
        </w:trPr>
        <w:tc>
          <w:tcPr>
            <w:tcW w:w="1281" w:type="dxa"/>
            <w:tcBorders>
              <w:top w:val="single" w:color="000000" w:sz="4" w:space="0"/>
              <w:left w:val="single" w:color="000000" w:sz="4" w:space="0"/>
              <w:bottom w:val="single" w:color="000000" w:sz="4" w:space="0"/>
              <w:right w:val="single" w:color="000000" w:sz="4" w:space="0"/>
            </w:tcBorders>
            <w:vAlign w:val="center"/>
          </w:tcPr>
          <w:p w14:paraId="41FED95B">
            <w:pPr>
              <w:topLinePunct/>
              <w:spacing w:line="380" w:lineRule="exact"/>
              <w:jc w:val="center"/>
              <w:rPr>
                <w:rFonts w:ascii="宋体" w:hAnsi="宋体" w:cs="宋体"/>
                <w:szCs w:val="21"/>
              </w:rPr>
            </w:pPr>
            <w:r>
              <w:rPr>
                <w:rFonts w:hint="eastAsia" w:ascii="宋体" w:hAnsi="宋体" w:cs="宋体"/>
                <w:szCs w:val="21"/>
              </w:rPr>
              <w:t>工作年限</w:t>
            </w:r>
          </w:p>
        </w:tc>
        <w:tc>
          <w:tcPr>
            <w:tcW w:w="4112" w:type="dxa"/>
            <w:gridSpan w:val="4"/>
            <w:tcBorders>
              <w:top w:val="single" w:color="000000" w:sz="4" w:space="0"/>
              <w:left w:val="single" w:color="000000" w:sz="4" w:space="0"/>
              <w:bottom w:val="single" w:color="000000" w:sz="4" w:space="0"/>
              <w:right w:val="single" w:color="000000" w:sz="4" w:space="0"/>
            </w:tcBorders>
            <w:vAlign w:val="center"/>
          </w:tcPr>
          <w:p w14:paraId="4C2D9D93">
            <w:pPr>
              <w:topLinePunct/>
              <w:spacing w:line="380" w:lineRule="exact"/>
              <w:jc w:val="center"/>
              <w:rPr>
                <w:rFonts w:ascii="宋体" w:hAnsi="宋体" w:cs="宋体"/>
                <w:szCs w:val="21"/>
              </w:rPr>
            </w:pPr>
          </w:p>
        </w:tc>
        <w:tc>
          <w:tcPr>
            <w:tcW w:w="1958" w:type="dxa"/>
            <w:gridSpan w:val="2"/>
            <w:tcBorders>
              <w:top w:val="single" w:color="000000" w:sz="4" w:space="0"/>
              <w:left w:val="single" w:color="000000" w:sz="4" w:space="0"/>
              <w:bottom w:val="single" w:color="000000" w:sz="4" w:space="0"/>
              <w:right w:val="single" w:color="000000" w:sz="4" w:space="0"/>
            </w:tcBorders>
            <w:vAlign w:val="center"/>
          </w:tcPr>
          <w:p w14:paraId="51D16E69">
            <w:pPr>
              <w:topLinePunct/>
              <w:spacing w:line="380" w:lineRule="exact"/>
              <w:jc w:val="center"/>
              <w:rPr>
                <w:rFonts w:ascii="宋体" w:hAnsi="宋体" w:cs="宋体"/>
                <w:szCs w:val="21"/>
              </w:rPr>
            </w:pPr>
            <w:r>
              <w:rPr>
                <w:rFonts w:hint="eastAsia" w:ascii="宋体" w:hAnsi="宋体" w:cs="宋体"/>
                <w:szCs w:val="21"/>
              </w:rPr>
              <w:t>类似施工经验年限</w:t>
            </w:r>
          </w:p>
        </w:tc>
        <w:tc>
          <w:tcPr>
            <w:tcW w:w="1736" w:type="dxa"/>
            <w:gridSpan w:val="2"/>
            <w:tcBorders>
              <w:top w:val="single" w:color="000000" w:sz="4" w:space="0"/>
              <w:left w:val="single" w:color="000000" w:sz="4" w:space="0"/>
              <w:bottom w:val="single" w:color="000000" w:sz="4" w:space="0"/>
              <w:right w:val="single" w:color="000000" w:sz="4" w:space="0"/>
            </w:tcBorders>
            <w:vAlign w:val="center"/>
          </w:tcPr>
          <w:p w14:paraId="5E7FBB38">
            <w:pPr>
              <w:topLinePunct/>
              <w:spacing w:line="380" w:lineRule="exact"/>
              <w:jc w:val="center"/>
              <w:rPr>
                <w:rFonts w:ascii="宋体" w:hAnsi="宋体" w:cs="宋体"/>
                <w:szCs w:val="21"/>
              </w:rPr>
            </w:pPr>
          </w:p>
        </w:tc>
      </w:tr>
      <w:tr w14:paraId="685EA3D0">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4" w:space="0"/>
            </w:tcBorders>
            <w:vAlign w:val="center"/>
          </w:tcPr>
          <w:p w14:paraId="71425BA4">
            <w:pPr>
              <w:topLinePunct/>
              <w:spacing w:line="380" w:lineRule="exact"/>
              <w:jc w:val="center"/>
              <w:rPr>
                <w:rFonts w:ascii="宋体" w:hAnsi="宋体" w:cs="宋体"/>
                <w:szCs w:val="21"/>
              </w:rPr>
            </w:pPr>
            <w:r>
              <w:rPr>
                <w:rFonts w:hint="eastAsia" w:ascii="宋体" w:hAnsi="宋体" w:cs="宋体"/>
                <w:szCs w:val="21"/>
              </w:rPr>
              <w:t>毕业学校</w:t>
            </w:r>
          </w:p>
        </w:tc>
        <w:tc>
          <w:tcPr>
            <w:tcW w:w="7806" w:type="dxa"/>
            <w:gridSpan w:val="8"/>
            <w:tcBorders>
              <w:top w:val="single" w:color="000000" w:sz="4" w:space="0"/>
              <w:left w:val="single" w:color="000000" w:sz="4" w:space="0"/>
              <w:bottom w:val="single" w:color="000000" w:sz="4" w:space="0"/>
              <w:right w:val="single" w:color="000000" w:sz="4" w:space="0"/>
            </w:tcBorders>
            <w:vAlign w:val="center"/>
          </w:tcPr>
          <w:p w14:paraId="16FD39BD">
            <w:pPr>
              <w:topLinePunct/>
              <w:spacing w:line="38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月毕业于</w:t>
            </w:r>
            <w:r>
              <w:rPr>
                <w:rFonts w:hint="eastAsia" w:ascii="宋体" w:hAnsi="宋体" w:cs="宋体"/>
                <w:szCs w:val="21"/>
                <w:u w:val="single"/>
              </w:rPr>
              <w:t xml:space="preserve">                    </w:t>
            </w:r>
            <w:r>
              <w:rPr>
                <w:rFonts w:hint="eastAsia" w:ascii="宋体" w:hAnsi="宋体" w:cs="宋体"/>
                <w:szCs w:val="21"/>
              </w:rPr>
              <w:t xml:space="preserve">学校 </w:t>
            </w:r>
            <w:r>
              <w:rPr>
                <w:rFonts w:hint="eastAsia" w:ascii="宋体" w:hAnsi="宋体" w:cs="宋体"/>
                <w:szCs w:val="21"/>
                <w:u w:val="single"/>
              </w:rPr>
              <w:t xml:space="preserve">          </w:t>
            </w:r>
            <w:r>
              <w:rPr>
                <w:rFonts w:hint="eastAsia" w:ascii="宋体" w:hAnsi="宋体" w:cs="宋体"/>
                <w:szCs w:val="21"/>
              </w:rPr>
              <w:t>专业，学制</w:t>
            </w:r>
            <w:r>
              <w:rPr>
                <w:rFonts w:hint="eastAsia" w:ascii="宋体" w:hAnsi="宋体" w:cs="宋体"/>
                <w:szCs w:val="21"/>
                <w:u w:val="single"/>
              </w:rPr>
              <w:t xml:space="preserve">       </w:t>
            </w:r>
            <w:r>
              <w:rPr>
                <w:rFonts w:hint="eastAsia" w:ascii="宋体" w:hAnsi="宋体" w:cs="宋体"/>
                <w:szCs w:val="21"/>
              </w:rPr>
              <w:t>年</w:t>
            </w:r>
          </w:p>
        </w:tc>
      </w:tr>
      <w:tr w14:paraId="528A45D1">
        <w:tblPrEx>
          <w:tblCellMar>
            <w:top w:w="0" w:type="dxa"/>
            <w:left w:w="0" w:type="dxa"/>
            <w:bottom w:w="0" w:type="dxa"/>
            <w:right w:w="0" w:type="dxa"/>
          </w:tblCellMar>
        </w:tblPrEx>
        <w:trPr>
          <w:trHeight w:val="528" w:hRule="exact"/>
          <w:jc w:val="center"/>
        </w:trPr>
        <w:tc>
          <w:tcPr>
            <w:tcW w:w="9087" w:type="dxa"/>
            <w:gridSpan w:val="9"/>
            <w:tcBorders>
              <w:top w:val="single" w:color="000000" w:sz="4" w:space="0"/>
              <w:left w:val="single" w:color="000000" w:sz="4" w:space="0"/>
              <w:bottom w:val="single" w:color="000000" w:sz="4" w:space="0"/>
              <w:right w:val="single" w:color="000000" w:sz="4" w:space="0"/>
            </w:tcBorders>
            <w:vAlign w:val="center"/>
          </w:tcPr>
          <w:p w14:paraId="698FE8A7">
            <w:pPr>
              <w:topLinePunct/>
              <w:spacing w:line="380" w:lineRule="exact"/>
              <w:jc w:val="center"/>
              <w:rPr>
                <w:rFonts w:ascii="宋体" w:hAnsi="宋体" w:cs="宋体"/>
                <w:szCs w:val="21"/>
              </w:rPr>
            </w:pPr>
            <w:r>
              <w:rPr>
                <w:rFonts w:hint="eastAsia" w:ascii="宋体" w:hAnsi="宋体" w:cs="宋体"/>
                <w:szCs w:val="21"/>
              </w:rPr>
              <w:t>经        历</w:t>
            </w:r>
          </w:p>
        </w:tc>
      </w:tr>
      <w:tr w14:paraId="34060AA3">
        <w:tblPrEx>
          <w:tblCellMar>
            <w:top w:w="0" w:type="dxa"/>
            <w:left w:w="0" w:type="dxa"/>
            <w:bottom w:w="0" w:type="dxa"/>
            <w:right w:w="0" w:type="dxa"/>
          </w:tblCellMar>
        </w:tblPrEx>
        <w:trPr>
          <w:trHeight w:val="931"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69FE693C">
            <w:pPr>
              <w:topLinePunct/>
              <w:spacing w:line="380" w:lineRule="exact"/>
              <w:jc w:val="center"/>
              <w:rPr>
                <w:rFonts w:ascii="宋体" w:hAnsi="宋体" w:cs="宋体"/>
                <w:szCs w:val="21"/>
              </w:rPr>
            </w:pPr>
            <w:r>
              <w:rPr>
                <w:rFonts w:hint="eastAsia" w:ascii="宋体" w:hAnsi="宋体" w:cs="宋体"/>
                <w:szCs w:val="21"/>
              </w:rPr>
              <w:t>时</w:t>
            </w:r>
            <w:r>
              <w:rPr>
                <w:rFonts w:hint="eastAsia" w:ascii="宋体" w:hAnsi="宋体" w:cs="宋体"/>
                <w:szCs w:val="21"/>
              </w:rPr>
              <w:tab/>
            </w:r>
            <w:r>
              <w:rPr>
                <w:rFonts w:hint="eastAsia" w:ascii="宋体" w:hAnsi="宋体" w:cs="宋体"/>
                <w:szCs w:val="21"/>
              </w:rPr>
              <w:t>间</w:t>
            </w: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646D17A6">
            <w:pPr>
              <w:topLinePunct/>
              <w:spacing w:line="380" w:lineRule="exact"/>
              <w:jc w:val="center"/>
              <w:rPr>
                <w:rFonts w:ascii="宋体" w:hAnsi="宋体" w:cs="宋体"/>
                <w:szCs w:val="21"/>
              </w:rPr>
            </w:pPr>
            <w:r>
              <w:rPr>
                <w:rFonts w:hint="eastAsia" w:ascii="宋体" w:hAnsi="宋体" w:cs="宋体"/>
                <w:szCs w:val="21"/>
              </w:rPr>
              <w:t>参加过的类似工程项目名称</w:t>
            </w: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4CB55F5C">
            <w:pPr>
              <w:topLinePunct/>
              <w:spacing w:line="380" w:lineRule="exact"/>
              <w:jc w:val="center"/>
              <w:rPr>
                <w:rFonts w:ascii="宋体" w:hAnsi="宋体" w:cs="宋体"/>
                <w:szCs w:val="21"/>
              </w:rPr>
            </w:pPr>
            <w:r>
              <w:rPr>
                <w:rFonts w:hint="eastAsia" w:ascii="宋体" w:hAnsi="宋体" w:cs="宋体"/>
                <w:szCs w:val="21"/>
              </w:rPr>
              <w:t>担任职务</w:t>
            </w:r>
          </w:p>
        </w:tc>
        <w:tc>
          <w:tcPr>
            <w:tcW w:w="1334" w:type="dxa"/>
            <w:tcBorders>
              <w:top w:val="single" w:color="000000" w:sz="4" w:space="0"/>
              <w:left w:val="single" w:color="000000" w:sz="4" w:space="0"/>
              <w:bottom w:val="single" w:color="000000" w:sz="4" w:space="0"/>
              <w:right w:val="single" w:color="000000" w:sz="4" w:space="0"/>
            </w:tcBorders>
            <w:vAlign w:val="center"/>
          </w:tcPr>
          <w:p w14:paraId="38B90472">
            <w:pPr>
              <w:topLinePunct/>
              <w:spacing w:line="380" w:lineRule="exact"/>
              <w:jc w:val="center"/>
              <w:rPr>
                <w:rFonts w:ascii="宋体" w:hAnsi="宋体" w:cs="宋体"/>
                <w:szCs w:val="21"/>
              </w:rPr>
            </w:pPr>
            <w:r>
              <w:rPr>
                <w:rFonts w:hint="eastAsia" w:ascii="宋体" w:hAnsi="宋体" w:cs="宋体"/>
                <w:szCs w:val="21"/>
              </w:rPr>
              <w:t>发包人及联 系电话</w:t>
            </w:r>
          </w:p>
        </w:tc>
      </w:tr>
      <w:tr w14:paraId="5097C61D">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5AEB4A4F">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0182C20E">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082A85B3">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4ACDC773">
            <w:pPr>
              <w:topLinePunct/>
              <w:spacing w:line="380" w:lineRule="exact"/>
              <w:jc w:val="center"/>
              <w:rPr>
                <w:rFonts w:ascii="宋体" w:hAnsi="宋体" w:cs="宋体"/>
                <w:szCs w:val="21"/>
              </w:rPr>
            </w:pPr>
          </w:p>
        </w:tc>
      </w:tr>
      <w:tr w14:paraId="64F30F98">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7F980D93">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6E588E25">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4652E9C3">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17116C18">
            <w:pPr>
              <w:topLinePunct/>
              <w:spacing w:line="380" w:lineRule="exact"/>
              <w:jc w:val="center"/>
              <w:rPr>
                <w:rFonts w:ascii="宋体" w:hAnsi="宋体" w:cs="宋体"/>
                <w:szCs w:val="21"/>
              </w:rPr>
            </w:pPr>
          </w:p>
        </w:tc>
      </w:tr>
      <w:tr w14:paraId="6DE1E627">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63EBB4F5">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3322063B">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2D8DE276">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97F1009">
            <w:pPr>
              <w:topLinePunct/>
              <w:spacing w:line="380" w:lineRule="exact"/>
              <w:jc w:val="center"/>
              <w:rPr>
                <w:rFonts w:ascii="宋体" w:hAnsi="宋体" w:cs="宋体"/>
                <w:szCs w:val="21"/>
              </w:rPr>
            </w:pPr>
          </w:p>
        </w:tc>
      </w:tr>
      <w:tr w14:paraId="05B2EB0A">
        <w:tblPrEx>
          <w:tblCellMar>
            <w:top w:w="0" w:type="dxa"/>
            <w:left w:w="0" w:type="dxa"/>
            <w:bottom w:w="0" w:type="dxa"/>
            <w:right w:w="0" w:type="dxa"/>
          </w:tblCellMar>
        </w:tblPrEx>
        <w:trPr>
          <w:trHeight w:val="533"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03F902F9">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38E04C98">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2ED8DFD3">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983E416">
            <w:pPr>
              <w:topLinePunct/>
              <w:spacing w:line="380" w:lineRule="exact"/>
              <w:jc w:val="center"/>
              <w:rPr>
                <w:rFonts w:ascii="宋体" w:hAnsi="宋体" w:cs="宋体"/>
                <w:szCs w:val="21"/>
              </w:rPr>
            </w:pPr>
          </w:p>
        </w:tc>
      </w:tr>
      <w:tr w14:paraId="01A20677">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7074F0E6">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72956C99">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0217F38C">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6E55ECC8">
            <w:pPr>
              <w:topLinePunct/>
              <w:spacing w:line="380" w:lineRule="exact"/>
              <w:jc w:val="center"/>
              <w:rPr>
                <w:rFonts w:ascii="宋体" w:hAnsi="宋体" w:cs="宋体"/>
                <w:szCs w:val="21"/>
              </w:rPr>
            </w:pPr>
          </w:p>
        </w:tc>
      </w:tr>
      <w:tr w14:paraId="686A4F4B">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01A1CF0A">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206AA513">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2810FAAF">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59C93F8">
            <w:pPr>
              <w:topLinePunct/>
              <w:spacing w:line="380" w:lineRule="exact"/>
              <w:jc w:val="center"/>
              <w:rPr>
                <w:rFonts w:ascii="宋体" w:hAnsi="宋体" w:cs="宋体"/>
                <w:szCs w:val="21"/>
              </w:rPr>
            </w:pPr>
          </w:p>
        </w:tc>
      </w:tr>
      <w:tr w14:paraId="76DCE7D7">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6B3519A7">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7056A6D5">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35DDBC68">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5EEED409">
            <w:pPr>
              <w:topLinePunct/>
              <w:spacing w:line="380" w:lineRule="exact"/>
              <w:jc w:val="center"/>
              <w:rPr>
                <w:rFonts w:ascii="宋体" w:hAnsi="宋体" w:cs="宋体"/>
                <w:szCs w:val="21"/>
              </w:rPr>
            </w:pPr>
          </w:p>
        </w:tc>
      </w:tr>
      <w:tr w14:paraId="3D36338B">
        <w:tblPrEx>
          <w:tblCellMar>
            <w:top w:w="0" w:type="dxa"/>
            <w:left w:w="0" w:type="dxa"/>
            <w:bottom w:w="0" w:type="dxa"/>
            <w:right w:w="0" w:type="dxa"/>
          </w:tblCellMar>
        </w:tblPrEx>
        <w:trPr>
          <w:trHeight w:val="530"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7833A025">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229233DC">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23A90E83">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10DEAE13">
            <w:pPr>
              <w:topLinePunct/>
              <w:spacing w:line="380" w:lineRule="exact"/>
              <w:jc w:val="center"/>
              <w:rPr>
                <w:rFonts w:ascii="宋体" w:hAnsi="宋体" w:cs="宋体"/>
                <w:szCs w:val="21"/>
              </w:rPr>
            </w:pPr>
          </w:p>
        </w:tc>
      </w:tr>
      <w:tr w14:paraId="2CA86738">
        <w:tblPrEx>
          <w:tblCellMar>
            <w:top w:w="0" w:type="dxa"/>
            <w:left w:w="0" w:type="dxa"/>
            <w:bottom w:w="0" w:type="dxa"/>
            <w:right w:w="0" w:type="dxa"/>
          </w:tblCellMar>
        </w:tblPrEx>
        <w:trPr>
          <w:trHeight w:val="528" w:hRule="exact"/>
          <w:jc w:val="center"/>
        </w:trPr>
        <w:tc>
          <w:tcPr>
            <w:tcW w:w="1281" w:type="dxa"/>
            <w:tcBorders>
              <w:top w:val="single" w:color="000000" w:sz="4" w:space="0"/>
              <w:left w:val="single" w:color="000000" w:sz="4" w:space="0"/>
              <w:bottom w:val="single" w:color="000000" w:sz="4" w:space="0"/>
              <w:right w:val="single" w:color="000000" w:sz="2" w:space="0"/>
            </w:tcBorders>
            <w:vAlign w:val="center"/>
          </w:tcPr>
          <w:p w14:paraId="3A171D59">
            <w:pPr>
              <w:topLinePunct/>
              <w:spacing w:line="380" w:lineRule="exact"/>
              <w:jc w:val="center"/>
              <w:rPr>
                <w:rFonts w:ascii="宋体" w:hAnsi="宋体" w:cs="宋体"/>
                <w:szCs w:val="21"/>
              </w:rPr>
            </w:pPr>
          </w:p>
        </w:tc>
        <w:tc>
          <w:tcPr>
            <w:tcW w:w="4464" w:type="dxa"/>
            <w:gridSpan w:val="5"/>
            <w:tcBorders>
              <w:top w:val="single" w:color="000000" w:sz="4" w:space="0"/>
              <w:left w:val="single" w:color="000000" w:sz="2" w:space="0"/>
              <w:bottom w:val="single" w:color="000000" w:sz="4" w:space="0"/>
              <w:right w:val="single" w:color="000000" w:sz="4" w:space="0"/>
            </w:tcBorders>
            <w:vAlign w:val="center"/>
          </w:tcPr>
          <w:p w14:paraId="43C24509">
            <w:pPr>
              <w:topLinePunct/>
              <w:spacing w:line="380" w:lineRule="exact"/>
              <w:jc w:val="center"/>
              <w:rPr>
                <w:rFonts w:ascii="宋体" w:hAnsi="宋体" w:cs="宋体"/>
                <w:szCs w:val="21"/>
              </w:rPr>
            </w:pPr>
          </w:p>
        </w:tc>
        <w:tc>
          <w:tcPr>
            <w:tcW w:w="2008" w:type="dxa"/>
            <w:gridSpan w:val="2"/>
            <w:tcBorders>
              <w:top w:val="single" w:color="000000" w:sz="4" w:space="0"/>
              <w:left w:val="single" w:color="000000" w:sz="4" w:space="0"/>
              <w:bottom w:val="single" w:color="000000" w:sz="4" w:space="0"/>
              <w:right w:val="single" w:color="000000" w:sz="4" w:space="0"/>
            </w:tcBorders>
            <w:vAlign w:val="center"/>
          </w:tcPr>
          <w:p w14:paraId="37B6D1AB">
            <w:pPr>
              <w:topLinePunct/>
              <w:spacing w:line="380" w:lineRule="exact"/>
              <w:jc w:val="center"/>
              <w:rPr>
                <w:rFonts w:ascii="宋体" w:hAnsi="宋体" w:cs="宋体"/>
                <w:szCs w:val="21"/>
              </w:rPr>
            </w:pPr>
          </w:p>
        </w:tc>
        <w:tc>
          <w:tcPr>
            <w:tcW w:w="1334" w:type="dxa"/>
            <w:tcBorders>
              <w:top w:val="single" w:color="000000" w:sz="4" w:space="0"/>
              <w:left w:val="single" w:color="000000" w:sz="4" w:space="0"/>
              <w:bottom w:val="single" w:color="000000" w:sz="4" w:space="0"/>
              <w:right w:val="single" w:color="000000" w:sz="4" w:space="0"/>
            </w:tcBorders>
            <w:vAlign w:val="center"/>
          </w:tcPr>
          <w:p w14:paraId="6B0F182B">
            <w:pPr>
              <w:topLinePunct/>
              <w:spacing w:line="380" w:lineRule="exact"/>
              <w:jc w:val="center"/>
              <w:rPr>
                <w:rFonts w:ascii="宋体" w:hAnsi="宋体" w:cs="宋体"/>
                <w:szCs w:val="21"/>
              </w:rPr>
            </w:pPr>
          </w:p>
        </w:tc>
      </w:tr>
      <w:tr w14:paraId="399FF9B9">
        <w:tblPrEx>
          <w:tblCellMar>
            <w:top w:w="0" w:type="dxa"/>
            <w:left w:w="0" w:type="dxa"/>
            <w:bottom w:w="0" w:type="dxa"/>
            <w:right w:w="0" w:type="dxa"/>
          </w:tblCellMar>
        </w:tblPrEx>
        <w:trPr>
          <w:trHeight w:val="530" w:hRule="exact"/>
          <w:jc w:val="center"/>
        </w:trPr>
        <w:tc>
          <w:tcPr>
            <w:tcW w:w="2746" w:type="dxa"/>
            <w:gridSpan w:val="2"/>
            <w:tcBorders>
              <w:top w:val="single" w:color="000000" w:sz="4" w:space="0"/>
              <w:left w:val="single" w:color="000000" w:sz="4" w:space="0"/>
              <w:bottom w:val="single" w:color="000000" w:sz="4" w:space="0"/>
              <w:right w:val="single" w:color="000000" w:sz="4" w:space="0"/>
            </w:tcBorders>
            <w:vAlign w:val="center"/>
          </w:tcPr>
          <w:p w14:paraId="32381D1C">
            <w:pPr>
              <w:topLinePunct/>
              <w:spacing w:line="380" w:lineRule="exact"/>
              <w:jc w:val="center"/>
              <w:rPr>
                <w:rFonts w:ascii="宋体" w:hAnsi="宋体" w:cs="宋体"/>
                <w:szCs w:val="21"/>
              </w:rPr>
            </w:pPr>
            <w:r>
              <w:rPr>
                <w:rFonts w:hint="eastAsia" w:ascii="宋体" w:hAnsi="宋体" w:cs="宋体"/>
                <w:szCs w:val="21"/>
              </w:rPr>
              <w:t>获奖情况</w:t>
            </w:r>
          </w:p>
        </w:tc>
        <w:tc>
          <w:tcPr>
            <w:tcW w:w="6341" w:type="dxa"/>
            <w:gridSpan w:val="7"/>
            <w:tcBorders>
              <w:top w:val="single" w:color="000000" w:sz="4" w:space="0"/>
              <w:left w:val="single" w:color="000000" w:sz="4" w:space="0"/>
              <w:bottom w:val="single" w:color="000000" w:sz="4" w:space="0"/>
              <w:right w:val="single" w:color="000000" w:sz="4" w:space="0"/>
            </w:tcBorders>
            <w:vAlign w:val="center"/>
          </w:tcPr>
          <w:p w14:paraId="647B7FED">
            <w:pPr>
              <w:topLinePunct/>
              <w:spacing w:line="380" w:lineRule="exact"/>
              <w:jc w:val="center"/>
              <w:rPr>
                <w:rFonts w:ascii="宋体" w:hAnsi="宋体" w:cs="宋体"/>
                <w:szCs w:val="21"/>
              </w:rPr>
            </w:pPr>
          </w:p>
        </w:tc>
      </w:tr>
      <w:tr w14:paraId="0864D7FE">
        <w:tblPrEx>
          <w:tblCellMar>
            <w:top w:w="0" w:type="dxa"/>
            <w:left w:w="0" w:type="dxa"/>
            <w:bottom w:w="0" w:type="dxa"/>
            <w:right w:w="0" w:type="dxa"/>
          </w:tblCellMar>
        </w:tblPrEx>
        <w:trPr>
          <w:trHeight w:val="1612" w:hRule="exact"/>
          <w:jc w:val="center"/>
        </w:trPr>
        <w:tc>
          <w:tcPr>
            <w:tcW w:w="2746" w:type="dxa"/>
            <w:gridSpan w:val="2"/>
            <w:tcBorders>
              <w:top w:val="single" w:color="000000" w:sz="4" w:space="0"/>
              <w:left w:val="single" w:color="000000" w:sz="4" w:space="0"/>
              <w:bottom w:val="single" w:color="000000" w:sz="4" w:space="0"/>
              <w:right w:val="single" w:color="000000" w:sz="4" w:space="0"/>
            </w:tcBorders>
            <w:vAlign w:val="center"/>
          </w:tcPr>
          <w:p w14:paraId="76C99169">
            <w:pPr>
              <w:topLinePunct/>
              <w:spacing w:line="380" w:lineRule="exact"/>
              <w:jc w:val="center"/>
              <w:rPr>
                <w:rFonts w:ascii="宋体" w:hAnsi="宋体" w:cs="宋体"/>
                <w:szCs w:val="21"/>
              </w:rPr>
            </w:pPr>
            <w:r>
              <w:rPr>
                <w:rFonts w:hint="eastAsia" w:ascii="宋体" w:hAnsi="宋体" w:cs="宋体"/>
                <w:szCs w:val="21"/>
              </w:rPr>
              <w:t>说明在岗情况</w:t>
            </w:r>
          </w:p>
        </w:tc>
        <w:tc>
          <w:tcPr>
            <w:tcW w:w="6341" w:type="dxa"/>
            <w:gridSpan w:val="7"/>
            <w:tcBorders>
              <w:top w:val="single" w:color="000000" w:sz="4" w:space="0"/>
              <w:left w:val="single" w:color="000000" w:sz="4" w:space="0"/>
              <w:bottom w:val="single" w:color="000000" w:sz="6" w:space="0"/>
              <w:right w:val="single" w:color="000000" w:sz="4" w:space="0"/>
            </w:tcBorders>
            <w:vAlign w:val="center"/>
          </w:tcPr>
          <w:p w14:paraId="526ACAF5">
            <w:pPr>
              <w:topLinePunct/>
              <w:spacing w:line="380" w:lineRule="exact"/>
              <w:rPr>
                <w:rFonts w:ascii="宋体" w:hAnsi="宋体" w:cs="宋体"/>
                <w:szCs w:val="21"/>
              </w:rPr>
            </w:pPr>
            <w:r>
              <w:rPr>
                <w:rFonts w:hint="eastAsia" w:ascii="宋体" w:hAnsi="宋体" w:cs="宋体"/>
                <w:szCs w:val="21"/>
              </w:rPr>
              <w:t>□目前未在其他项目上任职，现从事工作为：</w:t>
            </w:r>
            <w:r>
              <w:rPr>
                <w:rFonts w:hint="eastAsia" w:ascii="宋体" w:hAnsi="宋体" w:cs="宋体"/>
                <w:szCs w:val="21"/>
                <w:u w:val="single"/>
              </w:rPr>
              <w:t xml:space="preserve">                 </w:t>
            </w:r>
            <w:r>
              <w:rPr>
                <w:rFonts w:hint="eastAsia" w:ascii="宋体" w:hAnsi="宋体" w:cs="宋体"/>
                <w:szCs w:val="21"/>
              </w:rPr>
              <w:t>。</w:t>
            </w:r>
          </w:p>
          <w:p w14:paraId="2DAE3A9F">
            <w:pPr>
              <w:topLinePunct/>
              <w:spacing w:line="380" w:lineRule="exact"/>
              <w:rPr>
                <w:rFonts w:ascii="宋体" w:hAnsi="宋体" w:cs="宋体"/>
                <w:szCs w:val="21"/>
              </w:rPr>
            </w:pPr>
            <w:r>
              <w:rPr>
                <w:rFonts w:hint="eastAsia" w:ascii="宋体" w:hAnsi="宋体" w:cs="宋体"/>
                <w:szCs w:val="21"/>
              </w:rPr>
              <w:t>□ 目前虽在其他项目上任职，但本项目中标后能够从该项目撤离，目前任职项目：</w:t>
            </w:r>
            <w:r>
              <w:rPr>
                <w:rFonts w:hint="eastAsia" w:ascii="宋体" w:hAnsi="宋体" w:cs="宋体"/>
                <w:szCs w:val="21"/>
                <w:u w:val="single"/>
              </w:rPr>
              <w:t xml:space="preserve">           </w:t>
            </w:r>
            <w:r>
              <w:rPr>
                <w:rFonts w:hint="eastAsia" w:ascii="宋体" w:hAnsi="宋体" w:cs="宋体"/>
                <w:szCs w:val="21"/>
              </w:rPr>
              <w:t xml:space="preserve"> ，担任职位：</w:t>
            </w:r>
            <w:r>
              <w:rPr>
                <w:rFonts w:hint="eastAsia" w:ascii="宋体" w:hAnsi="宋体" w:cs="宋体"/>
                <w:szCs w:val="21"/>
                <w:u w:val="single"/>
              </w:rPr>
              <w:t xml:space="preserve">                   </w:t>
            </w:r>
            <w:r>
              <w:rPr>
                <w:rFonts w:hint="eastAsia" w:ascii="宋体" w:hAnsi="宋体" w:cs="宋体"/>
                <w:szCs w:val="21"/>
              </w:rPr>
              <w:t>。</w:t>
            </w:r>
          </w:p>
        </w:tc>
      </w:tr>
      <w:tr w14:paraId="047BE928">
        <w:tblPrEx>
          <w:tblCellMar>
            <w:top w:w="0" w:type="dxa"/>
            <w:left w:w="0" w:type="dxa"/>
            <w:bottom w:w="0" w:type="dxa"/>
            <w:right w:w="0" w:type="dxa"/>
          </w:tblCellMar>
        </w:tblPrEx>
        <w:trPr>
          <w:trHeight w:val="656" w:hRule="exact"/>
          <w:jc w:val="center"/>
        </w:trPr>
        <w:tc>
          <w:tcPr>
            <w:tcW w:w="2746" w:type="dxa"/>
            <w:gridSpan w:val="2"/>
            <w:tcBorders>
              <w:top w:val="single" w:color="000000" w:sz="4" w:space="0"/>
              <w:left w:val="single" w:color="000000" w:sz="4" w:space="0"/>
              <w:bottom w:val="single" w:color="000000" w:sz="4" w:space="0"/>
              <w:right w:val="single" w:color="000000" w:sz="4" w:space="0"/>
            </w:tcBorders>
            <w:vAlign w:val="center"/>
          </w:tcPr>
          <w:p w14:paraId="5777A835">
            <w:pPr>
              <w:topLinePunct/>
              <w:spacing w:line="380" w:lineRule="exact"/>
              <w:jc w:val="center"/>
              <w:rPr>
                <w:rFonts w:ascii="宋体" w:hAnsi="宋体" w:cs="宋体"/>
                <w:szCs w:val="21"/>
              </w:rPr>
            </w:pPr>
            <w:r>
              <w:rPr>
                <w:rFonts w:hint="eastAsia" w:ascii="宋体" w:hAnsi="宋体" w:cs="宋体"/>
                <w:szCs w:val="21"/>
              </w:rPr>
              <w:t>备注</w:t>
            </w:r>
          </w:p>
        </w:tc>
        <w:tc>
          <w:tcPr>
            <w:tcW w:w="6341" w:type="dxa"/>
            <w:gridSpan w:val="7"/>
            <w:tcBorders>
              <w:top w:val="single" w:color="000000" w:sz="6" w:space="0"/>
              <w:left w:val="single" w:color="000000" w:sz="4" w:space="0"/>
              <w:bottom w:val="single" w:color="000000" w:sz="4" w:space="0"/>
              <w:right w:val="single" w:color="000000" w:sz="4" w:space="0"/>
            </w:tcBorders>
            <w:vAlign w:val="center"/>
          </w:tcPr>
          <w:p w14:paraId="1E9A8718">
            <w:pPr>
              <w:topLinePunct/>
              <w:spacing w:line="380" w:lineRule="exact"/>
              <w:jc w:val="center"/>
              <w:rPr>
                <w:rFonts w:ascii="宋体" w:hAnsi="宋体" w:cs="宋体"/>
                <w:szCs w:val="21"/>
              </w:rPr>
            </w:pPr>
          </w:p>
        </w:tc>
      </w:tr>
    </w:tbl>
    <w:p w14:paraId="6DE54CBF">
      <w:pPr>
        <w:tabs>
          <w:tab w:val="left" w:pos="4520"/>
          <w:tab w:val="left" w:pos="5480"/>
          <w:tab w:val="left" w:pos="6420"/>
        </w:tabs>
        <w:autoSpaceDE w:val="0"/>
        <w:autoSpaceDN w:val="0"/>
        <w:adjustRightInd w:val="0"/>
        <w:spacing w:line="360" w:lineRule="auto"/>
        <w:ind w:firstLine="720" w:firstLineChars="400"/>
        <w:rPr>
          <w:rFonts w:ascii="宋体" w:hAnsi="宋体" w:cs="宋体"/>
          <w:sz w:val="18"/>
          <w:szCs w:val="18"/>
        </w:rPr>
      </w:pPr>
      <w:r>
        <w:rPr>
          <w:rFonts w:hint="eastAsia" w:ascii="宋体" w:hAnsi="宋体" w:cs="宋体"/>
          <w:sz w:val="18"/>
          <w:szCs w:val="18"/>
        </w:rPr>
        <w:t>注：</w:t>
      </w:r>
      <w:r>
        <w:rPr>
          <w:rFonts w:hint="eastAsia" w:ascii="宋体" w:hAnsi="宋体" w:cs="宋体"/>
          <w:sz w:val="18"/>
          <w:szCs w:val="18"/>
          <w:lang w:val="en-US" w:eastAsia="zh-CN"/>
        </w:rPr>
        <w:t>1、</w:t>
      </w:r>
      <w:r>
        <w:rPr>
          <w:rFonts w:hint="eastAsia" w:ascii="宋体" w:hAnsi="宋体" w:cs="宋体"/>
          <w:sz w:val="18"/>
          <w:szCs w:val="18"/>
        </w:rPr>
        <w:t>投标人应根据招标文件第三章“评标办法”的要求在本表后附相关证明材料。</w:t>
      </w:r>
    </w:p>
    <w:p w14:paraId="65F289AF">
      <w:pPr>
        <w:tabs>
          <w:tab w:val="left" w:pos="4520"/>
          <w:tab w:val="left" w:pos="5480"/>
          <w:tab w:val="left" w:pos="6420"/>
        </w:tabs>
        <w:autoSpaceDE w:val="0"/>
        <w:autoSpaceDN w:val="0"/>
        <w:adjustRightInd w:val="0"/>
        <w:spacing w:line="360" w:lineRule="auto"/>
        <w:ind w:left="0" w:leftChars="0" w:firstLine="1058" w:firstLineChars="588"/>
        <w:rPr>
          <w:rFonts w:hint="eastAsia" w:ascii="宋体" w:hAnsi="宋体" w:eastAsia="宋体" w:cs="宋体"/>
          <w:color w:val="auto"/>
          <w:sz w:val="18"/>
          <w:szCs w:val="18"/>
          <w:lang w:val="en-US" w:eastAsia="zh-CN"/>
        </w:rPr>
        <w:sectPr>
          <w:pgSz w:w="11911" w:h="16838"/>
          <w:pgMar w:top="1440" w:right="1080" w:bottom="1440" w:left="1080" w:header="777" w:footer="641" w:gutter="0"/>
          <w:cols w:space="720" w:num="1"/>
        </w:sectPr>
      </w:pPr>
      <w:r>
        <w:rPr>
          <w:rFonts w:hint="eastAsia" w:ascii="宋体" w:hAnsi="宋体" w:cs="宋体"/>
          <w:color w:val="auto"/>
          <w:sz w:val="18"/>
          <w:szCs w:val="18"/>
          <w:lang w:val="en-US" w:eastAsia="zh-CN"/>
        </w:rPr>
        <w:t>2、其他主要人员应附身份证、相关专业的执业证或上岗证书扫描件，并出具本企业缴纳社会养老保险证明。</w:t>
      </w:r>
    </w:p>
    <w:bookmarkEnd w:id="693"/>
    <w:p w14:paraId="01406527">
      <w:pPr>
        <w:rPr>
          <w:rFonts w:ascii="宋体" w:hAnsi="宋体"/>
          <w:b/>
          <w:bCs/>
          <w:szCs w:val="21"/>
        </w:rPr>
      </w:pPr>
    </w:p>
    <w:p w14:paraId="666E3FAB">
      <w:pPr>
        <w:rPr>
          <w:rFonts w:ascii="宋体" w:hAnsi="宋体"/>
          <w:b/>
          <w:bCs/>
          <w:sz w:val="24"/>
        </w:rPr>
      </w:pPr>
      <w:r>
        <w:rPr>
          <w:rFonts w:hint="eastAsia" w:ascii="宋体" w:hAnsi="宋体"/>
          <w:b/>
          <w:bCs/>
          <w:sz w:val="24"/>
        </w:rPr>
        <w:t>附：项目经理无在建承诺书</w:t>
      </w:r>
    </w:p>
    <w:p w14:paraId="44D047F5">
      <w:pPr>
        <w:spacing w:before="312" w:beforeLines="100" w:after="312" w:afterLines="100"/>
        <w:jc w:val="center"/>
        <w:rPr>
          <w:rFonts w:ascii="宋体" w:hAnsi="宋体"/>
          <w:sz w:val="28"/>
          <w:szCs w:val="28"/>
        </w:rPr>
      </w:pPr>
      <w:r>
        <w:rPr>
          <w:rFonts w:hint="eastAsia" w:ascii="宋体" w:hAnsi="宋体"/>
          <w:sz w:val="28"/>
          <w:szCs w:val="28"/>
        </w:rPr>
        <w:t>项目经理无在建承诺书</w:t>
      </w:r>
    </w:p>
    <w:p w14:paraId="496E297B">
      <w:pPr>
        <w:spacing w:after="312" w:afterLines="100" w:line="440" w:lineRule="exact"/>
        <w:rPr>
          <w:rFonts w:ascii="宋体" w:hAnsi="宋体"/>
          <w:szCs w:val="21"/>
        </w:rPr>
      </w:pPr>
      <w:r>
        <w:rPr>
          <w:rFonts w:hint="eastAsia" w:ascii="宋体" w:hAnsi="宋体"/>
          <w:position w:val="-7"/>
          <w:szCs w:val="21"/>
        </w:rPr>
        <w:t xml:space="preserve"> ————————</w:t>
      </w:r>
      <w:r>
        <w:rPr>
          <w:rFonts w:hint="eastAsia" w:ascii="宋体" w:hAnsi="宋体"/>
          <w:szCs w:val="21"/>
        </w:rPr>
        <w:t>（招标人名称）：</w:t>
      </w:r>
    </w:p>
    <w:p w14:paraId="0192590F">
      <w:pPr>
        <w:spacing w:line="440" w:lineRule="exact"/>
        <w:ind w:firstLine="420" w:firstLineChars="200"/>
        <w:rPr>
          <w:rFonts w:ascii="宋体" w:hAnsi="宋体"/>
          <w:szCs w:val="21"/>
          <w:u w:val="single"/>
        </w:rPr>
      </w:pPr>
      <w:r>
        <w:rPr>
          <w:rFonts w:hint="eastAsia" w:ascii="宋体" w:hAnsi="宋体"/>
          <w:szCs w:val="21"/>
        </w:rPr>
        <w:t>我方在此声明，我方拟派往</w:t>
      </w:r>
      <w:r>
        <w:rPr>
          <w:rFonts w:hint="eastAsia" w:ascii="宋体" w:hAnsi="宋体"/>
          <w:szCs w:val="21"/>
          <w:u w:val="single"/>
        </w:rPr>
        <w:t xml:space="preserve">        </w:t>
      </w:r>
      <w:r>
        <w:rPr>
          <w:rFonts w:hint="eastAsia" w:ascii="宋体" w:hAnsi="宋体"/>
          <w:szCs w:val="21"/>
        </w:rPr>
        <w:t>（项目名称）（以下简称“本工程”）的项目经理</w:t>
      </w:r>
      <w:r>
        <w:rPr>
          <w:rFonts w:hint="eastAsia" w:ascii="宋体" w:hAnsi="宋体"/>
          <w:szCs w:val="21"/>
          <w:u w:val="single"/>
        </w:rPr>
        <w:t xml:space="preserve">         </w:t>
      </w:r>
    </w:p>
    <w:p w14:paraId="0C41D16F">
      <w:pPr>
        <w:spacing w:line="440" w:lineRule="exact"/>
        <w:rPr>
          <w:rFonts w:ascii="宋体" w:hAnsi="宋体"/>
          <w:szCs w:val="21"/>
        </w:rPr>
      </w:pPr>
      <w:r>
        <w:rPr>
          <w:rFonts w:hint="eastAsia" w:ascii="宋体" w:hAnsi="宋体"/>
          <w:szCs w:val="21"/>
          <w:u w:val="single"/>
        </w:rPr>
        <w:t xml:space="preserve">         </w:t>
      </w:r>
      <w:r>
        <w:rPr>
          <w:rFonts w:hint="eastAsia" w:ascii="宋体" w:hAnsi="宋体"/>
          <w:szCs w:val="21"/>
        </w:rPr>
        <w:t>（项目经理姓名）现阶段没有担任任何在施建设工程项目的项目经理。</w:t>
      </w:r>
    </w:p>
    <w:p w14:paraId="4A1BFD65">
      <w:pPr>
        <w:spacing w:line="440" w:lineRule="exact"/>
        <w:ind w:firstLine="420" w:firstLineChars="200"/>
        <w:rPr>
          <w:rFonts w:ascii="宋体" w:hAnsi="宋体"/>
          <w:szCs w:val="21"/>
        </w:rPr>
      </w:pPr>
      <w:r>
        <w:rPr>
          <w:rFonts w:hint="eastAsia" w:ascii="宋体" w:hAnsi="宋体"/>
          <w:szCs w:val="21"/>
        </w:rPr>
        <w:t>我方保证上述信息的真实和准确，并愿意承担因我方就此弄虚作假所引起的一切法律后果。</w:t>
      </w:r>
    </w:p>
    <w:p w14:paraId="3CCAB419">
      <w:pPr>
        <w:spacing w:line="440" w:lineRule="exact"/>
        <w:ind w:firstLine="420" w:firstLineChars="200"/>
        <w:rPr>
          <w:rFonts w:ascii="宋体" w:hAnsi="宋体"/>
          <w:szCs w:val="21"/>
        </w:rPr>
      </w:pPr>
    </w:p>
    <w:p w14:paraId="710B22D9">
      <w:pPr>
        <w:spacing w:line="440" w:lineRule="exact"/>
        <w:ind w:firstLine="420" w:firstLineChars="200"/>
        <w:rPr>
          <w:rFonts w:ascii="宋体" w:hAnsi="宋体"/>
          <w:szCs w:val="21"/>
        </w:rPr>
      </w:pPr>
    </w:p>
    <w:p w14:paraId="4D00303E">
      <w:pPr>
        <w:spacing w:line="440" w:lineRule="exact"/>
        <w:ind w:firstLine="420" w:firstLineChars="200"/>
        <w:rPr>
          <w:rFonts w:ascii="宋体" w:hAnsi="宋体"/>
          <w:szCs w:val="21"/>
          <w:highlight w:val="yellow"/>
        </w:rPr>
      </w:pPr>
      <w:r>
        <w:rPr>
          <w:rFonts w:hint="eastAsia" w:ascii="宋体" w:hAnsi="宋体"/>
          <w:szCs w:val="21"/>
        </w:rPr>
        <w:t>特此承诺。</w:t>
      </w:r>
    </w:p>
    <w:p w14:paraId="5D7A3F62">
      <w:pPr>
        <w:spacing w:line="440" w:lineRule="exact"/>
        <w:ind w:firstLine="420" w:firstLineChars="200"/>
        <w:rPr>
          <w:rFonts w:ascii="宋体" w:hAnsi="宋体"/>
          <w:szCs w:val="21"/>
          <w:highlight w:val="yellow"/>
        </w:rPr>
      </w:pPr>
    </w:p>
    <w:p w14:paraId="12AF0A34">
      <w:pPr>
        <w:spacing w:line="440" w:lineRule="exact"/>
        <w:ind w:firstLine="420" w:firstLineChars="200"/>
        <w:rPr>
          <w:rFonts w:ascii="宋体" w:hAnsi="宋体"/>
          <w:szCs w:val="21"/>
        </w:rPr>
      </w:pPr>
    </w:p>
    <w:p w14:paraId="7C96E44E">
      <w:pPr>
        <w:spacing w:line="440" w:lineRule="exact"/>
        <w:ind w:firstLine="420" w:firstLineChars="200"/>
        <w:rPr>
          <w:rFonts w:ascii="宋体" w:hAnsi="宋体"/>
          <w:szCs w:val="21"/>
        </w:rPr>
      </w:pPr>
    </w:p>
    <w:p w14:paraId="77E04698">
      <w:pPr>
        <w:spacing w:line="440" w:lineRule="exact"/>
        <w:ind w:firstLine="420" w:firstLineChars="200"/>
        <w:rPr>
          <w:rFonts w:ascii="宋体" w:hAnsi="宋体"/>
          <w:szCs w:val="21"/>
        </w:rPr>
      </w:pPr>
    </w:p>
    <w:p w14:paraId="778A5342">
      <w:pPr>
        <w:spacing w:line="440" w:lineRule="exact"/>
        <w:ind w:firstLine="4418" w:firstLineChars="2104"/>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（电子签章）</w:t>
      </w:r>
    </w:p>
    <w:p w14:paraId="2FAD06A2">
      <w:pPr>
        <w:spacing w:line="440" w:lineRule="exact"/>
        <w:ind w:firstLine="4418" w:firstLineChars="2104"/>
        <w:rPr>
          <w:rFonts w:ascii="宋体" w:hAnsi="宋体"/>
          <w:szCs w:val="21"/>
        </w:rPr>
      </w:pPr>
      <w:r>
        <w:rPr>
          <w:rFonts w:hint="eastAsia" w:ascii="宋体" w:hAnsi="宋体"/>
          <w:szCs w:val="21"/>
        </w:rPr>
        <w:t xml:space="preserve">                                     </w:t>
      </w:r>
    </w:p>
    <w:p w14:paraId="4BE8F1DD">
      <w:pPr>
        <w:ind w:firstLine="4418" w:firstLineChars="2104"/>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rPr>
        <w:br w:type="page"/>
      </w:r>
    </w:p>
    <w:p w14:paraId="698401CF">
      <w:pPr>
        <w:pStyle w:val="3"/>
        <w:jc w:val="center"/>
        <w:rPr>
          <w:rFonts w:ascii="宋体" w:hAnsi="宋体"/>
        </w:rPr>
      </w:pPr>
      <w:r>
        <w:rPr>
          <w:rFonts w:hint="eastAsia" w:ascii="宋体" w:hAnsi="宋体"/>
        </w:rPr>
        <w:t>9、履职尽责承诺及工程保修服务承诺</w:t>
      </w:r>
    </w:p>
    <w:p w14:paraId="16EB6E1E">
      <w:pPr>
        <w:rPr>
          <w:rFonts w:ascii="宋体" w:hAnsi="宋体"/>
          <w:b/>
          <w:sz w:val="24"/>
        </w:rPr>
      </w:pPr>
      <w:r>
        <w:rPr>
          <w:rFonts w:hint="eastAsia" w:ascii="宋体" w:hAnsi="宋体"/>
          <w:b/>
          <w:sz w:val="24"/>
        </w:rPr>
        <w:t>1）履职尽责承诺</w:t>
      </w:r>
    </w:p>
    <w:p w14:paraId="1FB9392B">
      <w:pPr>
        <w:pStyle w:val="18"/>
        <w:rPr>
          <w:rFonts w:ascii="宋体" w:hAnsi="宋体"/>
          <w:b/>
          <w:sz w:val="24"/>
        </w:rPr>
      </w:pPr>
    </w:p>
    <w:p w14:paraId="00307E6A">
      <w:pPr>
        <w:pStyle w:val="19"/>
        <w:rPr>
          <w:rFonts w:ascii="宋体" w:hAnsi="宋体"/>
          <w:b/>
          <w:sz w:val="24"/>
        </w:rPr>
      </w:pPr>
    </w:p>
    <w:p w14:paraId="3D3C9FE4">
      <w:pPr>
        <w:rPr>
          <w:rFonts w:ascii="宋体" w:hAnsi="宋体"/>
          <w:b/>
          <w:sz w:val="24"/>
        </w:rPr>
      </w:pPr>
    </w:p>
    <w:p w14:paraId="564B544E">
      <w:pPr>
        <w:pStyle w:val="18"/>
        <w:ind w:firstLine="0"/>
      </w:pPr>
      <w:r>
        <w:rPr>
          <w:rFonts w:hint="eastAsia" w:ascii="宋体" w:hAnsi="宋体"/>
          <w:b/>
          <w:sz w:val="24"/>
        </w:rPr>
        <w:t>2）工程保修服务承诺</w:t>
      </w:r>
    </w:p>
    <w:p w14:paraId="4CC92CA0">
      <w:pPr>
        <w:pStyle w:val="19"/>
        <w:rPr>
          <w:rFonts w:ascii="宋体" w:hAnsi="宋体"/>
          <w:b/>
          <w:sz w:val="24"/>
        </w:rPr>
      </w:pPr>
    </w:p>
    <w:p w14:paraId="295C07BD">
      <w:pPr>
        <w:rPr>
          <w:rFonts w:ascii="宋体" w:hAnsi="宋体"/>
          <w:b/>
          <w:sz w:val="24"/>
        </w:rPr>
      </w:pPr>
    </w:p>
    <w:p w14:paraId="32E3ECC2">
      <w:pPr>
        <w:pStyle w:val="18"/>
        <w:rPr>
          <w:rFonts w:ascii="宋体" w:hAnsi="宋体"/>
          <w:b/>
          <w:sz w:val="24"/>
        </w:rPr>
      </w:pPr>
    </w:p>
    <w:p w14:paraId="3A1668A0">
      <w:pPr>
        <w:pStyle w:val="19"/>
        <w:rPr>
          <w:rFonts w:ascii="宋体" w:hAnsi="宋体"/>
          <w:b/>
          <w:sz w:val="24"/>
        </w:rPr>
      </w:pPr>
    </w:p>
    <w:p w14:paraId="499EEBC2">
      <w:pPr>
        <w:rPr>
          <w:rFonts w:ascii="宋体" w:hAnsi="宋体"/>
          <w:b/>
          <w:sz w:val="24"/>
        </w:rPr>
      </w:pPr>
    </w:p>
    <w:p w14:paraId="7518AE65">
      <w:pPr>
        <w:pStyle w:val="18"/>
        <w:rPr>
          <w:rFonts w:ascii="宋体" w:hAnsi="宋体"/>
          <w:b/>
          <w:sz w:val="24"/>
        </w:rPr>
      </w:pPr>
    </w:p>
    <w:p w14:paraId="5FEC2217">
      <w:pPr>
        <w:pStyle w:val="19"/>
        <w:rPr>
          <w:rFonts w:ascii="宋体" w:hAnsi="宋体"/>
          <w:b/>
          <w:sz w:val="24"/>
        </w:rPr>
      </w:pPr>
    </w:p>
    <w:p w14:paraId="0E8912DC">
      <w:pPr>
        <w:rPr>
          <w:rFonts w:ascii="宋体" w:hAnsi="宋体"/>
          <w:b/>
          <w:sz w:val="24"/>
        </w:rPr>
      </w:pPr>
    </w:p>
    <w:p w14:paraId="7E9C1DF8">
      <w:pPr>
        <w:pStyle w:val="18"/>
        <w:rPr>
          <w:rFonts w:ascii="宋体" w:hAnsi="宋体"/>
          <w:b/>
          <w:sz w:val="24"/>
        </w:rPr>
      </w:pPr>
    </w:p>
    <w:p w14:paraId="41B28F31">
      <w:pPr>
        <w:pStyle w:val="19"/>
        <w:rPr>
          <w:rFonts w:ascii="宋体" w:hAnsi="宋体"/>
          <w:b/>
          <w:sz w:val="24"/>
        </w:rPr>
      </w:pPr>
    </w:p>
    <w:p w14:paraId="3B63EE8A">
      <w:pPr>
        <w:rPr>
          <w:rFonts w:ascii="宋体" w:hAnsi="宋体"/>
          <w:b/>
          <w:sz w:val="24"/>
        </w:rPr>
      </w:pPr>
    </w:p>
    <w:p w14:paraId="6532027B">
      <w:pPr>
        <w:pStyle w:val="18"/>
        <w:rPr>
          <w:rFonts w:ascii="宋体" w:hAnsi="宋体"/>
          <w:b/>
          <w:sz w:val="24"/>
        </w:rPr>
      </w:pPr>
    </w:p>
    <w:p w14:paraId="08E04C26">
      <w:pPr>
        <w:pStyle w:val="19"/>
        <w:rPr>
          <w:rFonts w:ascii="宋体" w:hAnsi="宋体"/>
          <w:b/>
          <w:sz w:val="24"/>
        </w:rPr>
      </w:pPr>
    </w:p>
    <w:p w14:paraId="119C028D">
      <w:pPr>
        <w:rPr>
          <w:rFonts w:ascii="宋体" w:hAnsi="宋体"/>
          <w:b/>
          <w:sz w:val="24"/>
        </w:rPr>
      </w:pPr>
    </w:p>
    <w:p w14:paraId="073423CB">
      <w:pPr>
        <w:rPr>
          <w:rFonts w:ascii="宋体" w:hAnsi="宋体"/>
          <w:b/>
          <w:bCs/>
          <w:szCs w:val="21"/>
        </w:rPr>
      </w:pPr>
    </w:p>
    <w:p w14:paraId="0723F3C9">
      <w:pPr>
        <w:rPr>
          <w:rFonts w:ascii="宋体" w:hAnsi="宋体"/>
        </w:rPr>
      </w:pPr>
      <w:bookmarkStart w:id="723" w:name="_Toc1679"/>
      <w:bookmarkStart w:id="724" w:name="_Toc20876"/>
      <w:r>
        <w:rPr>
          <w:rFonts w:hint="eastAsia" w:ascii="宋体" w:hAnsi="宋体"/>
        </w:rPr>
        <w:br w:type="page"/>
      </w:r>
    </w:p>
    <w:bookmarkEnd w:id="723"/>
    <w:bookmarkEnd w:id="724"/>
    <w:p w14:paraId="2DE46FAF">
      <w:pPr>
        <w:pStyle w:val="3"/>
        <w:jc w:val="center"/>
        <w:rPr>
          <w:rFonts w:ascii="宋体" w:hAnsi="宋体"/>
        </w:rPr>
      </w:pPr>
      <w:r>
        <w:rPr>
          <w:rFonts w:hint="eastAsia" w:ascii="宋体" w:hAnsi="宋体"/>
        </w:rPr>
        <w:t>1</w:t>
      </w:r>
      <w:r>
        <w:rPr>
          <w:rFonts w:hint="eastAsia" w:ascii="宋体" w:hAnsi="宋体"/>
          <w:lang w:val="en-US" w:eastAsia="zh-CN"/>
        </w:rPr>
        <w:t>0</w:t>
      </w:r>
      <w:r>
        <w:rPr>
          <w:rFonts w:hint="eastAsia" w:ascii="宋体" w:hAnsi="宋体"/>
        </w:rPr>
        <w:t>、投标人认为需要提供的其他资料</w:t>
      </w:r>
    </w:p>
    <w:p w14:paraId="5B04A57F"/>
    <w:p w14:paraId="1974D673">
      <w:pPr>
        <w:rPr>
          <w:rFonts w:ascii="宋体" w:hAnsi="宋体"/>
        </w:rPr>
      </w:pPr>
      <w:r>
        <w:rPr>
          <w:rFonts w:ascii="宋体" w:hAnsi="宋体"/>
        </w:rPr>
        <w:br w:type="page"/>
      </w:r>
    </w:p>
    <w:p w14:paraId="2E9AE2B4">
      <w:pPr>
        <w:pStyle w:val="7"/>
      </w:pPr>
    </w:p>
    <w:p w14:paraId="2A435F54">
      <w:pPr>
        <w:jc w:val="center"/>
      </w:pPr>
      <w:r>
        <w:rPr>
          <w:rFonts w:ascii="宋体" w:hAnsi="宋体"/>
        </w:rPr>
        <w:t xml:space="preserve"> </w:t>
      </w:r>
    </w:p>
    <w:p w14:paraId="5D352E5A">
      <w:pPr>
        <w:pStyle w:val="3"/>
      </w:pPr>
      <w:bookmarkStart w:id="725" w:name="_Toc21134"/>
      <w:bookmarkStart w:id="726" w:name="_Toc6845"/>
      <w:r>
        <w:rPr>
          <w:rFonts w:hint="eastAsia"/>
        </w:rPr>
        <w:t>（第二个信封格式）</w:t>
      </w:r>
      <w:bookmarkEnd w:id="725"/>
      <w:bookmarkEnd w:id="726"/>
    </w:p>
    <w:p w14:paraId="7B4FF8EA">
      <w:pPr>
        <w:pStyle w:val="7"/>
        <w:tabs>
          <w:tab w:val="left" w:pos="3320"/>
          <w:tab w:val="left" w:pos="5980"/>
        </w:tabs>
        <w:spacing w:line="360" w:lineRule="auto"/>
        <w:rPr>
          <w:rFonts w:ascii="黑体" w:eastAsia="黑体" w:cs="黑体"/>
          <w:b/>
          <w:bCs/>
          <w:sz w:val="44"/>
          <w:szCs w:val="44"/>
        </w:rPr>
      </w:pPr>
    </w:p>
    <w:p w14:paraId="02DE0D6D">
      <w:pPr>
        <w:spacing w:line="360" w:lineRule="auto"/>
        <w:jc w:val="center"/>
        <w:rPr>
          <w:rFonts w:ascii="宋体" w:hAnsi="宋体" w:cs="宋体"/>
          <w:sz w:val="22"/>
          <w:u w:val="single"/>
        </w:rPr>
      </w:pPr>
      <w:r>
        <w:rPr>
          <w:rFonts w:hint="eastAsia" w:cs="宋体"/>
          <w:b/>
          <w:bCs/>
          <w:sz w:val="52"/>
          <w:szCs w:val="52"/>
          <w:u w:val="single"/>
        </w:rPr>
        <w:t>（项目名称）</w:t>
      </w:r>
    </w:p>
    <w:p w14:paraId="25F97FC7">
      <w:pPr>
        <w:spacing w:line="360" w:lineRule="auto"/>
        <w:ind w:left="74"/>
        <w:jc w:val="center"/>
        <w:outlineLvl w:val="1"/>
        <w:rPr>
          <w:sz w:val="24"/>
          <w:szCs w:val="28"/>
        </w:rPr>
      </w:pPr>
      <w:bookmarkStart w:id="727" w:name="_Toc13459"/>
      <w:bookmarkStart w:id="728" w:name="_Toc7437"/>
      <w:bookmarkStart w:id="729" w:name="_Toc13388"/>
      <w:bookmarkStart w:id="730" w:name="_Toc31948"/>
      <w:bookmarkStart w:id="731" w:name="_Toc31393"/>
      <w:bookmarkStart w:id="732" w:name="_Toc1365"/>
      <w:r>
        <w:rPr>
          <w:rFonts w:hint="eastAsia"/>
          <w:color w:val="030305"/>
          <w:spacing w:val="4"/>
          <w:sz w:val="24"/>
          <w:szCs w:val="28"/>
        </w:rPr>
        <w:t>报价</w:t>
      </w:r>
      <w:r>
        <w:rPr>
          <w:color w:val="030305"/>
          <w:spacing w:val="2"/>
          <w:sz w:val="24"/>
          <w:szCs w:val="28"/>
        </w:rPr>
        <w:t>文件</w:t>
      </w:r>
      <w:bookmarkEnd w:id="727"/>
      <w:bookmarkEnd w:id="728"/>
      <w:bookmarkEnd w:id="729"/>
      <w:bookmarkEnd w:id="730"/>
      <w:bookmarkEnd w:id="731"/>
      <w:bookmarkEnd w:id="732"/>
      <w:r>
        <w:rPr>
          <w:rFonts w:hint="eastAsia"/>
          <w:color w:val="030305"/>
          <w:spacing w:val="2"/>
          <w:sz w:val="24"/>
          <w:szCs w:val="28"/>
        </w:rPr>
        <w:t>（第二信封）</w:t>
      </w:r>
    </w:p>
    <w:p w14:paraId="713C5A3E">
      <w:pPr>
        <w:spacing w:line="360" w:lineRule="auto"/>
        <w:rPr>
          <w:rFonts w:ascii="宋体" w:hAnsi="宋体" w:cs="宋体"/>
          <w:sz w:val="20"/>
          <w:szCs w:val="20"/>
        </w:rPr>
      </w:pPr>
    </w:p>
    <w:p w14:paraId="445B78D2">
      <w:pPr>
        <w:spacing w:line="360" w:lineRule="auto"/>
        <w:rPr>
          <w:rFonts w:ascii="宋体" w:hAnsi="宋体" w:cs="宋体"/>
          <w:sz w:val="20"/>
          <w:szCs w:val="20"/>
        </w:rPr>
      </w:pPr>
    </w:p>
    <w:p w14:paraId="40D5B2E6">
      <w:pPr>
        <w:spacing w:line="360" w:lineRule="auto"/>
        <w:rPr>
          <w:rFonts w:ascii="宋体" w:hAnsi="宋体" w:cs="宋体"/>
          <w:sz w:val="20"/>
          <w:szCs w:val="20"/>
        </w:rPr>
      </w:pPr>
    </w:p>
    <w:p w14:paraId="3C43CBE1">
      <w:pPr>
        <w:spacing w:line="360" w:lineRule="auto"/>
        <w:rPr>
          <w:rFonts w:ascii="宋体" w:hAnsi="宋体" w:cs="宋体"/>
          <w:sz w:val="20"/>
          <w:szCs w:val="20"/>
        </w:rPr>
      </w:pPr>
    </w:p>
    <w:p w14:paraId="037BA65B">
      <w:pPr>
        <w:spacing w:line="360" w:lineRule="auto"/>
        <w:jc w:val="center"/>
        <w:rPr>
          <w:rFonts w:ascii="宋体" w:hAnsi="宋体" w:cs="宋体"/>
          <w:b/>
          <w:bCs/>
          <w:sz w:val="72"/>
          <w:szCs w:val="72"/>
        </w:rPr>
      </w:pPr>
      <w:bookmarkStart w:id="733" w:name="_Toc1340"/>
      <w:bookmarkStart w:id="734" w:name="_Toc3140"/>
      <w:bookmarkStart w:id="735" w:name="_Toc11957"/>
      <w:bookmarkStart w:id="736" w:name="_Toc5907"/>
      <w:bookmarkStart w:id="737" w:name="_Toc6669"/>
      <w:bookmarkStart w:id="738" w:name="_Toc28313"/>
      <w:bookmarkStart w:id="739" w:name="_Toc12885"/>
      <w:r>
        <w:rPr>
          <w:rFonts w:hint="eastAsia" w:ascii="宋体" w:hAnsi="宋体" w:cs="宋体"/>
          <w:b/>
          <w:bCs/>
          <w:sz w:val="72"/>
          <w:szCs w:val="72"/>
        </w:rPr>
        <w:t>投 标 文 件</w:t>
      </w:r>
      <w:bookmarkEnd w:id="733"/>
      <w:bookmarkEnd w:id="734"/>
      <w:bookmarkEnd w:id="735"/>
      <w:bookmarkEnd w:id="736"/>
      <w:bookmarkEnd w:id="737"/>
      <w:bookmarkEnd w:id="738"/>
      <w:bookmarkEnd w:id="739"/>
    </w:p>
    <w:p w14:paraId="5CF6EE64">
      <w:pPr>
        <w:spacing w:line="360" w:lineRule="auto"/>
        <w:jc w:val="center"/>
        <w:rPr>
          <w:rFonts w:ascii="宋体" w:hAnsi="宋体" w:cs="宋体"/>
          <w:b/>
          <w:bCs/>
          <w:sz w:val="20"/>
          <w:szCs w:val="20"/>
        </w:rPr>
      </w:pPr>
      <w:r>
        <w:rPr>
          <w:rFonts w:hint="eastAsia" w:ascii="宋体" w:hAnsi="宋体" w:cs="宋体"/>
          <w:b/>
          <w:bCs/>
          <w:sz w:val="20"/>
          <w:szCs w:val="20"/>
        </w:rPr>
        <w:t>招标编号：</w:t>
      </w:r>
    </w:p>
    <w:p w14:paraId="6BBDDDF7">
      <w:pPr>
        <w:spacing w:line="360" w:lineRule="auto"/>
        <w:rPr>
          <w:rFonts w:ascii="宋体" w:hAnsi="宋体" w:cs="宋体"/>
          <w:sz w:val="20"/>
          <w:szCs w:val="20"/>
        </w:rPr>
      </w:pPr>
    </w:p>
    <w:p w14:paraId="51CAFF62">
      <w:pPr>
        <w:spacing w:line="360" w:lineRule="auto"/>
        <w:rPr>
          <w:rFonts w:ascii="宋体" w:hAnsi="宋体" w:cs="宋体"/>
          <w:sz w:val="20"/>
          <w:szCs w:val="20"/>
        </w:rPr>
      </w:pPr>
    </w:p>
    <w:p w14:paraId="40D7D5BB">
      <w:pPr>
        <w:spacing w:line="360" w:lineRule="auto"/>
        <w:rPr>
          <w:rFonts w:ascii="宋体" w:hAnsi="宋体" w:cs="宋体"/>
          <w:sz w:val="20"/>
          <w:szCs w:val="20"/>
        </w:rPr>
      </w:pPr>
    </w:p>
    <w:p w14:paraId="559BEF9B">
      <w:pPr>
        <w:spacing w:line="360" w:lineRule="auto"/>
        <w:rPr>
          <w:rFonts w:ascii="宋体" w:hAnsi="宋体" w:cs="宋体"/>
          <w:sz w:val="20"/>
          <w:szCs w:val="20"/>
        </w:rPr>
      </w:pPr>
    </w:p>
    <w:p w14:paraId="4C3C3E3F">
      <w:pPr>
        <w:spacing w:line="360" w:lineRule="auto"/>
        <w:rPr>
          <w:rFonts w:ascii="宋体" w:hAnsi="宋体" w:cs="宋体"/>
          <w:sz w:val="20"/>
          <w:szCs w:val="20"/>
        </w:rPr>
      </w:pPr>
    </w:p>
    <w:p w14:paraId="2CAD6807">
      <w:pPr>
        <w:spacing w:line="360" w:lineRule="auto"/>
        <w:rPr>
          <w:rFonts w:ascii="宋体" w:hAnsi="宋体" w:cs="宋体"/>
          <w:sz w:val="20"/>
          <w:szCs w:val="20"/>
        </w:rPr>
      </w:pPr>
    </w:p>
    <w:p w14:paraId="427AE78F">
      <w:pPr>
        <w:spacing w:line="360" w:lineRule="auto"/>
        <w:jc w:val="center"/>
        <w:rPr>
          <w:rFonts w:ascii="宋体" w:hAnsi="宋体" w:cs="宋体"/>
          <w:sz w:val="29"/>
          <w:szCs w:val="29"/>
        </w:rPr>
      </w:pPr>
    </w:p>
    <w:p w14:paraId="378BBAA8">
      <w:pPr>
        <w:tabs>
          <w:tab w:val="left" w:pos="6523"/>
        </w:tabs>
        <w:spacing w:line="360" w:lineRule="auto"/>
        <w:ind w:left="528"/>
        <w:jc w:val="center"/>
        <w:rPr>
          <w:rFonts w:ascii="宋体" w:hAnsi="宋体" w:cs="宋体"/>
          <w:color w:val="030305"/>
          <w:w w:val="105"/>
          <w:sz w:val="32"/>
          <w:szCs w:val="32"/>
        </w:rPr>
      </w:pPr>
      <w:bookmarkStart w:id="740" w:name="_Toc22017"/>
      <w:bookmarkStart w:id="741" w:name="_Toc22902"/>
      <w:bookmarkStart w:id="742" w:name="_Toc10501"/>
      <w:r>
        <w:rPr>
          <w:rFonts w:hint="eastAsia" w:ascii="宋体" w:hAnsi="宋体" w:cs="宋体"/>
          <w:color w:val="030305"/>
          <w:w w:val="105"/>
          <w:sz w:val="32"/>
          <w:szCs w:val="32"/>
        </w:rPr>
        <w:t>投标人</w:t>
      </w:r>
      <w:r>
        <w:rPr>
          <w:rFonts w:hint="eastAsia" w:ascii="宋体" w:hAnsi="宋体" w:cs="宋体"/>
          <w:color w:val="030305"/>
          <w:spacing w:val="-85"/>
          <w:w w:val="105"/>
          <w:sz w:val="32"/>
          <w:szCs w:val="32"/>
        </w:rPr>
        <w:t>：</w:t>
      </w:r>
      <w:r>
        <w:rPr>
          <w:rFonts w:hint="eastAsia" w:ascii="宋体" w:hAnsi="宋体" w:cs="宋体"/>
          <w:color w:val="030305"/>
          <w:w w:val="105"/>
          <w:sz w:val="32"/>
          <w:szCs w:val="32"/>
          <w:u w:val="single" w:color="000000"/>
        </w:rPr>
        <w:t xml:space="preserve">                     </w:t>
      </w:r>
      <w:bookmarkEnd w:id="740"/>
      <w:bookmarkEnd w:id="741"/>
      <w:bookmarkEnd w:id="742"/>
      <w:r>
        <w:rPr>
          <w:rFonts w:hint="eastAsia" w:ascii="宋体" w:hAnsi="宋体" w:cs="宋体"/>
          <w:color w:val="030305"/>
          <w:spacing w:val="-2"/>
          <w:w w:val="105"/>
          <w:sz w:val="32"/>
          <w:szCs w:val="32"/>
        </w:rPr>
        <w:t>（</w:t>
      </w:r>
      <w:r>
        <w:rPr>
          <w:rFonts w:hint="eastAsia" w:ascii="宋体" w:hAnsi="宋体" w:cs="宋体"/>
          <w:color w:val="030305"/>
          <w:w w:val="105"/>
          <w:sz w:val="32"/>
          <w:szCs w:val="32"/>
        </w:rPr>
        <w:t>盖单位章）</w:t>
      </w:r>
    </w:p>
    <w:p w14:paraId="391435EC">
      <w:pPr>
        <w:tabs>
          <w:tab w:val="left" w:pos="6523"/>
        </w:tabs>
        <w:spacing w:line="360" w:lineRule="auto"/>
        <w:ind w:left="528"/>
        <w:jc w:val="center"/>
        <w:rPr>
          <w:rFonts w:ascii="宋体" w:hAnsi="宋体" w:cs="宋体"/>
          <w:sz w:val="32"/>
          <w:szCs w:val="32"/>
        </w:rPr>
      </w:pPr>
      <w:r>
        <w:rPr>
          <w:rFonts w:hint="eastAsia" w:ascii="宋体" w:hAnsi="宋体" w:cs="宋体"/>
          <w:color w:val="030305"/>
          <w:w w:val="105"/>
          <w:sz w:val="32"/>
          <w:szCs w:val="32"/>
        </w:rPr>
        <w:t>法定代表人：</w:t>
      </w:r>
      <w:r>
        <w:rPr>
          <w:rFonts w:hint="eastAsia" w:ascii="宋体" w:hAnsi="宋体" w:cs="宋体"/>
          <w:color w:val="030305"/>
          <w:w w:val="105"/>
          <w:sz w:val="32"/>
          <w:szCs w:val="32"/>
          <w:u w:val="single"/>
        </w:rPr>
        <w:t xml:space="preserve">              </w:t>
      </w:r>
      <w:r>
        <w:rPr>
          <w:rFonts w:hint="eastAsia" w:ascii="宋体" w:hAnsi="宋体" w:cs="宋体"/>
          <w:color w:val="030305"/>
          <w:w w:val="105"/>
          <w:sz w:val="32"/>
          <w:szCs w:val="32"/>
        </w:rPr>
        <w:t>（签字或盖章）</w:t>
      </w:r>
    </w:p>
    <w:p w14:paraId="516A5393">
      <w:pPr>
        <w:spacing w:line="360" w:lineRule="auto"/>
        <w:ind w:firstLine="1760" w:firstLineChars="550"/>
        <w:rPr>
          <w:rFonts w:ascii="宋体" w:hAnsi="宋体" w:cs="宋体"/>
          <w:color w:val="000000"/>
          <w:sz w:val="32"/>
          <w:szCs w:val="32"/>
        </w:rPr>
      </w:pPr>
      <w:r>
        <w:rPr>
          <w:rFonts w:hint="eastAsia" w:ascii="宋体" w:hAnsi="宋体" w:cs="宋体"/>
          <w:color w:val="000000"/>
          <w:sz w:val="32"/>
          <w:szCs w:val="32"/>
        </w:rPr>
        <w:t>日期：</w:t>
      </w:r>
      <w:r>
        <w:rPr>
          <w:rFonts w:hint="eastAsia" w:ascii="宋体" w:hAnsi="宋体" w:cs="宋体"/>
          <w:color w:val="000000"/>
          <w:sz w:val="32"/>
          <w:szCs w:val="32"/>
          <w:u w:val="single"/>
        </w:rPr>
        <w:t xml:space="preserve">         </w:t>
      </w:r>
      <w:bookmarkStart w:id="743" w:name="_Toc17072"/>
      <w:bookmarkStart w:id="744" w:name="_Toc20003"/>
      <w:bookmarkStart w:id="745" w:name="_Toc30932"/>
      <w:r>
        <w:rPr>
          <w:rFonts w:hint="eastAsia" w:ascii="宋体" w:hAnsi="宋体" w:cs="宋体"/>
          <w:color w:val="000000"/>
          <w:sz w:val="32"/>
          <w:szCs w:val="32"/>
        </w:rPr>
        <w:t>年</w:t>
      </w:r>
      <w:r>
        <w:rPr>
          <w:rFonts w:hint="eastAsia" w:ascii="宋体" w:hAnsi="宋体" w:cs="宋体"/>
          <w:color w:val="000000"/>
          <w:sz w:val="32"/>
          <w:szCs w:val="32"/>
          <w:u w:val="single"/>
        </w:rPr>
        <w:t xml:space="preserve">       </w:t>
      </w:r>
      <w:r>
        <w:rPr>
          <w:rFonts w:hint="eastAsia" w:ascii="宋体" w:hAnsi="宋体" w:cs="宋体"/>
          <w:color w:val="000000"/>
          <w:sz w:val="32"/>
          <w:szCs w:val="32"/>
        </w:rPr>
        <w:t>月</w:t>
      </w:r>
      <w:r>
        <w:rPr>
          <w:rFonts w:hint="eastAsia" w:ascii="宋体" w:hAnsi="宋体" w:cs="宋体"/>
          <w:color w:val="000000"/>
          <w:sz w:val="32"/>
          <w:szCs w:val="32"/>
          <w:u w:val="single"/>
        </w:rPr>
        <w:t xml:space="preserve">      </w:t>
      </w:r>
      <w:r>
        <w:rPr>
          <w:rFonts w:hint="eastAsia" w:ascii="宋体" w:hAnsi="宋体" w:cs="宋体"/>
          <w:color w:val="000000"/>
          <w:sz w:val="32"/>
          <w:szCs w:val="32"/>
        </w:rPr>
        <w:t>日</w:t>
      </w:r>
      <w:bookmarkEnd w:id="743"/>
      <w:bookmarkEnd w:id="744"/>
      <w:bookmarkEnd w:id="745"/>
    </w:p>
    <w:p w14:paraId="039DF306">
      <w:pPr>
        <w:pStyle w:val="3"/>
        <w:jc w:val="center"/>
        <w:rPr>
          <w:sz w:val="30"/>
          <w:szCs w:val="30"/>
        </w:rPr>
      </w:pPr>
      <w:bookmarkStart w:id="746" w:name="_Toc29580"/>
      <w:bookmarkStart w:id="747" w:name="_Toc12846"/>
      <w:bookmarkStart w:id="748" w:name="_Toc4573"/>
      <w:bookmarkStart w:id="749" w:name="_Toc9695"/>
      <w:bookmarkStart w:id="750" w:name="_Toc32393"/>
      <w:bookmarkStart w:id="751" w:name="_Toc15513"/>
      <w:bookmarkStart w:id="752" w:name="_Toc4625"/>
      <w:bookmarkStart w:id="753" w:name="_Toc9319"/>
      <w:bookmarkStart w:id="754" w:name="_Toc1022"/>
      <w:bookmarkStart w:id="755" w:name="_Toc24562"/>
      <w:bookmarkStart w:id="756" w:name="_Toc12395"/>
      <w:bookmarkStart w:id="757" w:name="_Toc13554"/>
      <w:bookmarkStart w:id="758" w:name="_Toc19905"/>
      <w:bookmarkStart w:id="759" w:name="_Toc27587"/>
      <w:r>
        <w:rPr>
          <w:rFonts w:hint="eastAsia"/>
        </w:rPr>
        <w:t>目   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0A296476">
      <w:pPr>
        <w:spacing w:line="360" w:lineRule="auto"/>
        <w:rPr>
          <w:rFonts w:ascii="宋体" w:hAnsi="宋体" w:cs="宋体"/>
          <w:color w:val="1C1C1F"/>
          <w:w w:val="105"/>
        </w:rPr>
      </w:pPr>
    </w:p>
    <w:p w14:paraId="19223760">
      <w:pPr>
        <w:tabs>
          <w:tab w:val="left" w:pos="4900"/>
          <w:tab w:val="left" w:pos="6527"/>
        </w:tabs>
        <w:spacing w:line="360" w:lineRule="auto"/>
        <w:ind w:firstLine="420" w:firstLineChars="200"/>
        <w:rPr>
          <w:rFonts w:ascii="宋体" w:hAnsi="宋体"/>
          <w:szCs w:val="23"/>
        </w:rPr>
      </w:pPr>
      <w:bookmarkStart w:id="760" w:name="_Toc10551"/>
      <w:bookmarkStart w:id="761" w:name="_Toc10963"/>
      <w:bookmarkStart w:id="762" w:name="_Toc3289"/>
      <w:r>
        <w:rPr>
          <w:rFonts w:hint="eastAsia" w:ascii="宋体" w:hAnsi="宋体"/>
          <w:szCs w:val="23"/>
        </w:rPr>
        <w:t>一、投标函</w:t>
      </w:r>
      <w:bookmarkEnd w:id="760"/>
      <w:bookmarkEnd w:id="761"/>
      <w:bookmarkEnd w:id="762"/>
      <w:r>
        <w:rPr>
          <w:rFonts w:hint="eastAsia" w:ascii="宋体" w:hAnsi="宋体"/>
          <w:szCs w:val="23"/>
        </w:rPr>
        <w:t xml:space="preserve"> </w:t>
      </w:r>
    </w:p>
    <w:p w14:paraId="3C301F9F">
      <w:pPr>
        <w:tabs>
          <w:tab w:val="left" w:pos="4900"/>
          <w:tab w:val="left" w:pos="6527"/>
        </w:tabs>
        <w:spacing w:line="360" w:lineRule="auto"/>
        <w:ind w:firstLine="420" w:firstLineChars="200"/>
        <w:rPr>
          <w:rFonts w:ascii="宋体" w:hAnsi="宋体"/>
          <w:szCs w:val="23"/>
        </w:rPr>
      </w:pPr>
      <w:bookmarkStart w:id="763" w:name="_Toc17910"/>
      <w:bookmarkStart w:id="764" w:name="_Toc14827"/>
      <w:bookmarkStart w:id="765" w:name="_Toc7534"/>
      <w:r>
        <w:rPr>
          <w:rFonts w:hint="eastAsia" w:ascii="宋体" w:hAnsi="宋体"/>
          <w:szCs w:val="23"/>
        </w:rPr>
        <w:t>二、已标价工程量清单</w:t>
      </w:r>
      <w:bookmarkEnd w:id="763"/>
      <w:bookmarkEnd w:id="764"/>
      <w:bookmarkEnd w:id="765"/>
    </w:p>
    <w:p w14:paraId="3B709A99">
      <w:pPr>
        <w:spacing w:line="360" w:lineRule="auto"/>
        <w:rPr>
          <w:rFonts w:ascii="宋体" w:hAnsi="宋体" w:cs="宋体"/>
          <w:sz w:val="18"/>
          <w:szCs w:val="18"/>
        </w:rPr>
      </w:pPr>
    </w:p>
    <w:p w14:paraId="47C4C7EE">
      <w:pPr>
        <w:pStyle w:val="19"/>
        <w:rPr>
          <w:rFonts w:ascii="宋体" w:hAnsi="宋体" w:eastAsia="宋体" w:cs="宋体"/>
          <w:sz w:val="18"/>
          <w:szCs w:val="18"/>
        </w:rPr>
      </w:pPr>
    </w:p>
    <w:p w14:paraId="320C3E95">
      <w:pPr>
        <w:pStyle w:val="19"/>
        <w:rPr>
          <w:rFonts w:ascii="宋体" w:hAnsi="宋体" w:eastAsia="宋体" w:cs="宋体"/>
          <w:sz w:val="18"/>
          <w:szCs w:val="18"/>
        </w:rPr>
      </w:pPr>
    </w:p>
    <w:p w14:paraId="3F326110">
      <w:pPr>
        <w:pStyle w:val="19"/>
        <w:rPr>
          <w:rFonts w:ascii="宋体" w:hAnsi="宋体" w:eastAsia="宋体" w:cs="宋体"/>
          <w:sz w:val="18"/>
          <w:szCs w:val="18"/>
        </w:rPr>
      </w:pPr>
    </w:p>
    <w:p w14:paraId="7AACEBB4">
      <w:pPr>
        <w:pStyle w:val="19"/>
        <w:rPr>
          <w:rFonts w:ascii="宋体" w:hAnsi="宋体" w:eastAsia="宋体" w:cs="宋体"/>
          <w:sz w:val="18"/>
          <w:szCs w:val="18"/>
        </w:rPr>
      </w:pPr>
    </w:p>
    <w:p w14:paraId="26E52567">
      <w:pPr>
        <w:pStyle w:val="19"/>
        <w:rPr>
          <w:rFonts w:ascii="宋体" w:hAnsi="宋体" w:eastAsia="宋体" w:cs="宋体"/>
          <w:sz w:val="18"/>
          <w:szCs w:val="18"/>
        </w:rPr>
      </w:pPr>
    </w:p>
    <w:p w14:paraId="617888E3">
      <w:pPr>
        <w:pStyle w:val="19"/>
        <w:rPr>
          <w:rFonts w:ascii="宋体" w:hAnsi="宋体" w:eastAsia="宋体" w:cs="宋体"/>
          <w:sz w:val="18"/>
          <w:szCs w:val="18"/>
        </w:rPr>
      </w:pPr>
    </w:p>
    <w:p w14:paraId="71484917">
      <w:pPr>
        <w:pStyle w:val="19"/>
        <w:rPr>
          <w:rFonts w:ascii="宋体" w:hAnsi="宋体" w:eastAsia="宋体" w:cs="宋体"/>
          <w:sz w:val="18"/>
          <w:szCs w:val="18"/>
        </w:rPr>
      </w:pPr>
    </w:p>
    <w:p w14:paraId="1A6EC22B">
      <w:pPr>
        <w:pStyle w:val="19"/>
        <w:rPr>
          <w:rFonts w:ascii="宋体" w:hAnsi="宋体" w:eastAsia="宋体" w:cs="宋体"/>
          <w:sz w:val="18"/>
          <w:szCs w:val="18"/>
        </w:rPr>
      </w:pPr>
    </w:p>
    <w:p w14:paraId="44778C9C">
      <w:pPr>
        <w:pStyle w:val="19"/>
        <w:rPr>
          <w:rFonts w:ascii="宋体" w:hAnsi="宋体" w:eastAsia="宋体" w:cs="宋体"/>
          <w:sz w:val="18"/>
          <w:szCs w:val="18"/>
        </w:rPr>
      </w:pPr>
    </w:p>
    <w:p w14:paraId="2BE43A77">
      <w:pPr>
        <w:pStyle w:val="19"/>
        <w:rPr>
          <w:rFonts w:ascii="宋体" w:hAnsi="宋体" w:eastAsia="宋体" w:cs="宋体"/>
          <w:sz w:val="18"/>
          <w:szCs w:val="18"/>
        </w:rPr>
      </w:pPr>
    </w:p>
    <w:p w14:paraId="0E6D7DE3">
      <w:pPr>
        <w:pStyle w:val="19"/>
        <w:rPr>
          <w:rFonts w:ascii="宋体" w:hAnsi="宋体" w:eastAsia="宋体" w:cs="宋体"/>
          <w:sz w:val="18"/>
          <w:szCs w:val="18"/>
        </w:rPr>
      </w:pPr>
    </w:p>
    <w:p w14:paraId="48869E57">
      <w:pPr>
        <w:pStyle w:val="19"/>
        <w:rPr>
          <w:rFonts w:ascii="宋体" w:hAnsi="宋体" w:eastAsia="宋体" w:cs="宋体"/>
          <w:sz w:val="18"/>
          <w:szCs w:val="18"/>
        </w:rPr>
      </w:pPr>
    </w:p>
    <w:p w14:paraId="16A29421">
      <w:pPr>
        <w:pStyle w:val="19"/>
        <w:rPr>
          <w:rFonts w:ascii="宋体" w:hAnsi="宋体" w:eastAsia="宋体" w:cs="宋体"/>
          <w:sz w:val="18"/>
          <w:szCs w:val="18"/>
        </w:rPr>
      </w:pPr>
    </w:p>
    <w:p w14:paraId="678EC4A0">
      <w:pPr>
        <w:pStyle w:val="3"/>
        <w:jc w:val="center"/>
      </w:pPr>
      <w:bookmarkStart w:id="766" w:name="_Toc8031"/>
      <w:bookmarkStart w:id="767" w:name="_Toc17036"/>
      <w:bookmarkStart w:id="768" w:name="_Toc26973"/>
      <w:bookmarkStart w:id="769" w:name="_Toc30069"/>
      <w:bookmarkStart w:id="770" w:name="_Toc29445"/>
      <w:bookmarkStart w:id="771" w:name="_Toc18456"/>
      <w:bookmarkStart w:id="772" w:name="_Toc18578"/>
      <w:bookmarkStart w:id="773" w:name="_Toc1250"/>
      <w:bookmarkStart w:id="774" w:name="_Toc9608"/>
      <w:bookmarkStart w:id="775" w:name="_Toc6942"/>
      <w:bookmarkStart w:id="776" w:name="_Toc30646"/>
      <w:bookmarkStart w:id="777" w:name="_Toc22147"/>
      <w:r>
        <w:rPr>
          <w:rFonts w:hint="eastAsia"/>
        </w:rPr>
        <w:t>一</w:t>
      </w:r>
      <w:r>
        <w:t>、投标函</w:t>
      </w:r>
      <w:bookmarkEnd w:id="766"/>
      <w:bookmarkEnd w:id="767"/>
      <w:bookmarkEnd w:id="768"/>
      <w:bookmarkEnd w:id="769"/>
      <w:bookmarkEnd w:id="770"/>
      <w:bookmarkEnd w:id="771"/>
      <w:bookmarkEnd w:id="772"/>
      <w:bookmarkEnd w:id="773"/>
      <w:bookmarkEnd w:id="774"/>
      <w:bookmarkEnd w:id="775"/>
      <w:bookmarkEnd w:id="776"/>
      <w:bookmarkEnd w:id="777"/>
    </w:p>
    <w:p w14:paraId="025AB27C">
      <w:pPr>
        <w:spacing w:before="7" w:line="360" w:lineRule="auto"/>
        <w:rPr>
          <w:rFonts w:ascii="宋体" w:hAnsi="宋体" w:cs="宋体"/>
          <w:sz w:val="25"/>
          <w:szCs w:val="25"/>
        </w:rPr>
      </w:pPr>
    </w:p>
    <w:p w14:paraId="397A006A">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（招标人名称）：</w:t>
      </w:r>
    </w:p>
    <w:p w14:paraId="6D1297BB">
      <w:pPr>
        <w:spacing w:line="360" w:lineRule="auto"/>
        <w:ind w:firstLine="420" w:firstLineChars="200"/>
        <w:rPr>
          <w:rFonts w:ascii="宋体" w:hAnsi="宋体"/>
          <w:szCs w:val="21"/>
        </w:rPr>
      </w:pPr>
      <w:r>
        <w:rPr>
          <w:rFonts w:hint="eastAsia" w:ascii="宋体" w:hAnsi="宋体"/>
          <w:szCs w:val="21"/>
        </w:rPr>
        <w:t>1. 我方已仔细研究</w:t>
      </w:r>
      <w:r>
        <w:rPr>
          <w:rFonts w:hint="eastAsia" w:ascii="宋体" w:hAnsi="宋体"/>
          <w:szCs w:val="21"/>
          <w:u w:val="single"/>
        </w:rPr>
        <w:t xml:space="preserve">                 </w:t>
      </w:r>
      <w:r>
        <w:rPr>
          <w:rFonts w:hint="eastAsia" w:ascii="宋体" w:hAnsi="宋体"/>
          <w:szCs w:val="21"/>
        </w:rPr>
        <w:t>（项目名称）招标文件的全部内容，在考察工程现场后，愿意以人民币（大写）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）的投标总报价，按合同约定实施和完成承包工程，修补工程中的任何缺陷。</w:t>
      </w:r>
    </w:p>
    <w:p w14:paraId="32CD5FA2">
      <w:pPr>
        <w:spacing w:line="360" w:lineRule="auto"/>
        <w:ind w:firstLine="420" w:firstLineChars="200"/>
        <w:rPr>
          <w:rFonts w:ascii="宋体" w:hAnsi="宋体"/>
          <w:szCs w:val="21"/>
        </w:rPr>
      </w:pPr>
      <w:r>
        <w:rPr>
          <w:rFonts w:hint="eastAsia" w:ascii="宋体" w:hAnsi="宋体"/>
          <w:szCs w:val="21"/>
        </w:rPr>
        <w:t>2. 在合同协议书正式签署生效之前，本投标函连同你方的中标通知书将构成我们双方之间共同遵守的文件，对双方具有约束力。</w:t>
      </w:r>
    </w:p>
    <w:p w14:paraId="6EC9AFE7">
      <w:pPr>
        <w:spacing w:line="360" w:lineRule="auto"/>
        <w:ind w:firstLine="420" w:firstLineChars="200"/>
        <w:rPr>
          <w:rFonts w:ascii="宋体" w:hAnsi="宋体"/>
          <w:szCs w:val="21"/>
        </w:rPr>
      </w:pPr>
      <w:r>
        <w:rPr>
          <w:rFonts w:hint="eastAsia" w:ascii="宋体" w:hAnsi="宋体"/>
          <w:szCs w:val="21"/>
        </w:rPr>
        <w:t xml:space="preserve">3. </w:t>
      </w:r>
      <w:r>
        <w:rPr>
          <w:rFonts w:hint="eastAsia" w:ascii="宋体" w:hAnsi="宋体"/>
          <w:szCs w:val="21"/>
          <w:u w:val="single"/>
        </w:rPr>
        <w:t xml:space="preserve">                           </w:t>
      </w:r>
      <w:r>
        <w:rPr>
          <w:rFonts w:hint="eastAsia" w:ascii="宋体" w:hAnsi="宋体"/>
          <w:szCs w:val="21"/>
        </w:rPr>
        <w:t>（其他补充说明）。</w:t>
      </w:r>
    </w:p>
    <w:p w14:paraId="3B9A1A2D">
      <w:pPr>
        <w:spacing w:before="1" w:line="360" w:lineRule="auto"/>
        <w:rPr>
          <w:rFonts w:ascii="宋体" w:hAnsi="宋体" w:cs="宋体"/>
          <w:sz w:val="35"/>
          <w:szCs w:val="35"/>
        </w:rPr>
      </w:pPr>
    </w:p>
    <w:p w14:paraId="44413396">
      <w:pPr>
        <w:wordWrap w:val="0"/>
        <w:autoSpaceDE w:val="0"/>
        <w:autoSpaceDN w:val="0"/>
        <w:spacing w:line="480" w:lineRule="auto"/>
        <w:ind w:firstLine="3780" w:firstLineChars="1800"/>
        <w:rPr>
          <w:rFonts w:ascii="宋体" w:hAnsi="宋体" w:cs="宋体"/>
          <w:szCs w:val="21"/>
          <w:lang w:val="zh-CN" w:bidi="zh-CN"/>
        </w:rPr>
      </w:pPr>
      <w:r>
        <w:rPr>
          <w:rFonts w:hint="eastAsia" w:ascii="宋体" w:hAnsi="宋体" w:cs="宋体"/>
          <w:szCs w:val="21"/>
          <w:lang w:val="zh-CN" w:bidi="zh-CN"/>
        </w:rPr>
        <w:t>投标人：</w:t>
      </w:r>
      <w:r>
        <w:rPr>
          <w:rFonts w:hint="eastAsia" w:ascii="宋体" w:hAnsi="宋体" w:cs="宋体"/>
          <w:szCs w:val="21"/>
          <w:u w:val="single"/>
          <w:lang w:val="zh-CN" w:bidi="zh-CN"/>
        </w:rPr>
        <w:t xml:space="preserve">                   </w:t>
      </w:r>
      <w:r>
        <w:rPr>
          <w:rFonts w:hint="eastAsia" w:ascii="宋体" w:hAnsi="宋体" w:cs="宋体"/>
          <w:szCs w:val="21"/>
          <w:lang w:val="zh-CN" w:bidi="zh-CN"/>
        </w:rPr>
        <w:t>（单位电子签章）</w:t>
      </w:r>
    </w:p>
    <w:p w14:paraId="53E51EA5">
      <w:pPr>
        <w:wordWrap w:val="0"/>
        <w:autoSpaceDE w:val="0"/>
        <w:autoSpaceDN w:val="0"/>
        <w:spacing w:line="480" w:lineRule="auto"/>
        <w:ind w:firstLine="3780" w:firstLineChars="1800"/>
        <w:rPr>
          <w:rFonts w:ascii="宋体" w:hAnsi="宋体" w:cs="宋体"/>
          <w:szCs w:val="21"/>
          <w:lang w:val="zh-CN" w:bidi="zh-CN"/>
        </w:rPr>
      </w:pPr>
      <w:r>
        <w:rPr>
          <w:rFonts w:hint="eastAsia" w:ascii="宋体" w:hAnsi="宋体" w:cs="宋体"/>
          <w:szCs w:val="21"/>
          <w:lang w:val="zh-CN" w:bidi="zh-CN"/>
        </w:rPr>
        <w:t>法定代表人：</w:t>
      </w:r>
      <w:r>
        <w:rPr>
          <w:rFonts w:hint="eastAsia" w:ascii="宋体" w:hAnsi="宋体" w:cs="宋体"/>
          <w:szCs w:val="21"/>
          <w:u w:val="single"/>
          <w:lang w:val="zh-CN" w:bidi="zh-CN"/>
        </w:rPr>
        <w:t xml:space="preserve">               </w:t>
      </w:r>
      <w:r>
        <w:rPr>
          <w:rFonts w:hint="eastAsia" w:ascii="宋体" w:hAnsi="宋体" w:cs="宋体"/>
          <w:szCs w:val="21"/>
          <w:lang w:val="zh-CN" w:bidi="zh-CN"/>
        </w:rPr>
        <w:t>（法人电子签章）</w:t>
      </w:r>
    </w:p>
    <w:p w14:paraId="6CDC521F">
      <w:pPr>
        <w:tabs>
          <w:tab w:val="left" w:pos="5380"/>
          <w:tab w:val="left" w:pos="6520"/>
          <w:tab w:val="left" w:pos="7680"/>
        </w:tabs>
        <w:autoSpaceDE w:val="0"/>
        <w:autoSpaceDN w:val="0"/>
        <w:adjustRightInd w:val="0"/>
        <w:spacing w:line="360" w:lineRule="auto"/>
        <w:ind w:right="-23" w:firstLine="3780" w:firstLineChars="1800"/>
        <w:rPr>
          <w:rFonts w:ascii="宋体" w:hAnsi="宋体" w:cs="宋体"/>
          <w:color w:val="000000"/>
          <w:szCs w:val="21"/>
        </w:rPr>
      </w:pPr>
      <w:r>
        <w:rPr>
          <w:rFonts w:hint="eastAsia" w:ascii="宋体" w:hAnsi="宋体" w:cs="宋体"/>
          <w:szCs w:val="21"/>
          <w:lang w:val="zh-CN" w:bidi="zh-CN"/>
        </w:rPr>
        <w:t>日期：</w:t>
      </w:r>
      <w:r>
        <w:rPr>
          <w:rFonts w:hint="eastAsia" w:ascii="宋体" w:hAnsi="宋体" w:cs="宋体"/>
          <w:szCs w:val="21"/>
          <w:u w:val="single"/>
          <w:lang w:val="zh-CN" w:bidi="zh-CN"/>
        </w:rPr>
        <w:t xml:space="preserve">       </w:t>
      </w:r>
      <w:r>
        <w:rPr>
          <w:rFonts w:hint="eastAsia" w:ascii="宋体" w:hAnsi="宋体" w:cs="宋体"/>
          <w:szCs w:val="21"/>
          <w:lang w:val="zh-CN" w:bidi="zh-CN"/>
        </w:rPr>
        <w:t>年</w:t>
      </w:r>
      <w:r>
        <w:rPr>
          <w:rFonts w:hint="eastAsia" w:ascii="宋体" w:hAnsi="宋体" w:cs="宋体"/>
          <w:szCs w:val="21"/>
          <w:u w:val="single"/>
          <w:lang w:val="zh-CN" w:bidi="zh-CN"/>
        </w:rPr>
        <w:t xml:space="preserve">      </w:t>
      </w:r>
      <w:r>
        <w:rPr>
          <w:rFonts w:hint="eastAsia" w:ascii="宋体" w:hAnsi="宋体" w:cs="宋体"/>
          <w:szCs w:val="21"/>
          <w:lang w:val="zh-CN" w:bidi="zh-CN"/>
        </w:rPr>
        <w:t>月</w:t>
      </w:r>
      <w:r>
        <w:rPr>
          <w:rFonts w:hint="eastAsia" w:ascii="宋体" w:hAnsi="宋体" w:cs="宋体"/>
          <w:szCs w:val="21"/>
          <w:u w:val="single"/>
          <w:lang w:val="zh-CN" w:bidi="zh-CN"/>
        </w:rPr>
        <w:t xml:space="preserve">      </w:t>
      </w:r>
      <w:r>
        <w:rPr>
          <w:rFonts w:hint="eastAsia" w:ascii="宋体" w:hAnsi="宋体" w:cs="宋体"/>
          <w:szCs w:val="21"/>
          <w:lang w:val="zh-CN" w:bidi="zh-CN"/>
        </w:rPr>
        <w:t>日</w:t>
      </w:r>
    </w:p>
    <w:p w14:paraId="149F77EB">
      <w:pPr>
        <w:spacing w:line="360" w:lineRule="auto"/>
        <w:rPr>
          <w:rFonts w:ascii="宋体" w:hAnsi="宋体" w:cs="宋体"/>
          <w:sz w:val="20"/>
          <w:szCs w:val="20"/>
        </w:rPr>
      </w:pPr>
    </w:p>
    <w:p w14:paraId="2B4C6878">
      <w:pPr>
        <w:spacing w:line="360" w:lineRule="auto"/>
        <w:rPr>
          <w:rFonts w:ascii="宋体" w:hAnsi="宋体" w:cs="宋体"/>
          <w:sz w:val="20"/>
          <w:szCs w:val="20"/>
        </w:rPr>
      </w:pPr>
    </w:p>
    <w:p w14:paraId="3A0EF5EA">
      <w:pPr>
        <w:spacing w:line="360" w:lineRule="auto"/>
        <w:rPr>
          <w:rFonts w:ascii="宋体" w:hAnsi="宋体" w:cs="宋体"/>
          <w:sz w:val="20"/>
          <w:szCs w:val="20"/>
        </w:rPr>
      </w:pPr>
    </w:p>
    <w:p w14:paraId="0224739A">
      <w:pPr>
        <w:spacing w:line="360" w:lineRule="auto"/>
        <w:rPr>
          <w:rFonts w:ascii="宋体" w:hAnsi="宋体" w:cs="宋体"/>
          <w:sz w:val="20"/>
          <w:szCs w:val="20"/>
        </w:rPr>
      </w:pPr>
    </w:p>
    <w:p w14:paraId="60EEEA00">
      <w:pPr>
        <w:spacing w:line="360" w:lineRule="auto"/>
        <w:rPr>
          <w:rFonts w:ascii="宋体" w:hAnsi="宋体" w:cs="宋体"/>
          <w:sz w:val="20"/>
          <w:szCs w:val="20"/>
        </w:rPr>
      </w:pPr>
    </w:p>
    <w:p w14:paraId="29E69356">
      <w:pPr>
        <w:spacing w:line="360" w:lineRule="auto"/>
        <w:rPr>
          <w:rFonts w:ascii="宋体" w:hAnsi="宋体" w:cs="宋体"/>
          <w:sz w:val="20"/>
          <w:szCs w:val="20"/>
        </w:rPr>
      </w:pPr>
    </w:p>
    <w:p w14:paraId="5F464D39">
      <w:pPr>
        <w:spacing w:line="360" w:lineRule="auto"/>
        <w:rPr>
          <w:rFonts w:ascii="宋体" w:hAnsi="宋体" w:cs="宋体"/>
          <w:sz w:val="20"/>
          <w:szCs w:val="20"/>
        </w:rPr>
      </w:pPr>
    </w:p>
    <w:p w14:paraId="6140A978">
      <w:pPr>
        <w:spacing w:line="360" w:lineRule="auto"/>
        <w:rPr>
          <w:rFonts w:ascii="宋体" w:hAnsi="宋体" w:cs="宋体"/>
          <w:sz w:val="20"/>
          <w:szCs w:val="20"/>
        </w:rPr>
      </w:pPr>
    </w:p>
    <w:p w14:paraId="6F7BE552">
      <w:pPr>
        <w:spacing w:line="360" w:lineRule="auto"/>
        <w:rPr>
          <w:rFonts w:ascii="宋体" w:hAnsi="宋体" w:cs="宋体"/>
          <w:sz w:val="20"/>
          <w:szCs w:val="20"/>
        </w:rPr>
      </w:pPr>
    </w:p>
    <w:p w14:paraId="38930595">
      <w:pPr>
        <w:spacing w:line="360" w:lineRule="auto"/>
        <w:rPr>
          <w:rFonts w:ascii="宋体" w:hAnsi="宋体" w:cs="宋体"/>
          <w:sz w:val="20"/>
          <w:szCs w:val="20"/>
        </w:rPr>
      </w:pPr>
    </w:p>
    <w:p w14:paraId="42FCB3C9">
      <w:bookmarkStart w:id="778" w:name="_Toc13732"/>
      <w:bookmarkStart w:id="779" w:name="_Toc30608"/>
      <w:bookmarkStart w:id="780" w:name="_Toc32412"/>
      <w:bookmarkStart w:id="781" w:name="_Toc27819"/>
      <w:bookmarkStart w:id="782" w:name="_Toc13462"/>
      <w:bookmarkStart w:id="783" w:name="_Toc23266"/>
      <w:bookmarkStart w:id="784" w:name="_Toc6504"/>
      <w:bookmarkStart w:id="785" w:name="_Toc21966"/>
      <w:bookmarkStart w:id="786" w:name="_Toc30503"/>
      <w:bookmarkStart w:id="787" w:name="_Toc26988"/>
      <w:bookmarkStart w:id="788" w:name="_Toc28738"/>
      <w:bookmarkStart w:id="789" w:name="_Toc15071"/>
      <w:r>
        <w:br w:type="page"/>
      </w:r>
    </w:p>
    <w:p w14:paraId="21672BDE">
      <w:pPr>
        <w:pStyle w:val="3"/>
        <w:jc w:val="center"/>
      </w:pPr>
      <w:r>
        <w:t>二、已标价工程量清单</w:t>
      </w:r>
      <w:bookmarkEnd w:id="778"/>
      <w:bookmarkEnd w:id="779"/>
      <w:bookmarkEnd w:id="780"/>
      <w:bookmarkEnd w:id="781"/>
      <w:bookmarkEnd w:id="782"/>
      <w:bookmarkEnd w:id="783"/>
      <w:bookmarkEnd w:id="784"/>
      <w:bookmarkEnd w:id="785"/>
      <w:bookmarkEnd w:id="786"/>
      <w:bookmarkEnd w:id="787"/>
      <w:bookmarkEnd w:id="788"/>
      <w:bookmarkEnd w:id="789"/>
    </w:p>
    <w:p w14:paraId="51988CCA">
      <w:pPr>
        <w:rPr>
          <w:highlight w:val="yellow"/>
        </w:rPr>
      </w:pPr>
    </w:p>
    <w:sectPr>
      <w:headerReference r:id="rId9" w:type="first"/>
      <w:headerReference r:id="rId8" w:type="default"/>
      <w:footerReference r:id="rId10" w:type="default"/>
      <w:pgSz w:w="11906" w:h="16838"/>
      <w:pgMar w:top="1440" w:right="1134"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8BA1">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C283E0">
                          <w:pPr>
                            <w:pStyle w:val="12"/>
                          </w:pPr>
                          <w:r>
                            <w:fldChar w:fldCharType="begin"/>
                          </w:r>
                          <w:r>
                            <w:instrText xml:space="preserve"> PAGE  \* MERGEFORMAT </w:instrText>
                          </w:r>
                          <w:r>
                            <w:fldChar w:fldCharType="separate"/>
                          </w:r>
                          <w:r>
                            <w:t>52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EC283E0">
                    <w:pPr>
                      <w:pStyle w:val="12"/>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6EB6">
    <w:pPr>
      <w:pStyle w:val="12"/>
      <w:jc w:val="center"/>
    </w:pPr>
    <w:r>
      <w:fldChar w:fldCharType="begin"/>
    </w:r>
    <w:r>
      <w:instrText xml:space="preserve"> PAGE   \* MERGEFORMAT </w:instrText>
    </w:r>
    <w:r>
      <w:fldChar w:fldCharType="separate"/>
    </w:r>
    <w:r>
      <w:rPr>
        <w:lang w:val="zh-CN"/>
      </w:rPr>
      <w:t>53</w:t>
    </w:r>
    <w:r>
      <w:fldChar w:fldCharType="end"/>
    </w:r>
  </w:p>
  <w:p w14:paraId="5619B32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0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CB5C1">
                          <w:pPr>
                            <w:pStyle w:val="12"/>
                            <w:jc w:val="center"/>
                          </w:pPr>
                          <w:r>
                            <w:fldChar w:fldCharType="begin"/>
                          </w:r>
                          <w:r>
                            <w:instrText xml:space="preserve"> PAGE   \* MERGEFORMAT </w:instrText>
                          </w:r>
                          <w:r>
                            <w:fldChar w:fldCharType="separate"/>
                          </w:r>
                          <w:r>
                            <w:rPr>
                              <w:lang w:val="zh-CN"/>
                            </w:rP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58CB5C1">
                    <w:pPr>
                      <w:pStyle w:val="12"/>
                      <w:jc w:val="center"/>
                    </w:pPr>
                    <w:r>
                      <w:fldChar w:fldCharType="begin"/>
                    </w:r>
                    <w:r>
                      <w:instrText xml:space="preserve"> PAGE   \* MERGEFORMAT </w:instrText>
                    </w:r>
                    <w:r>
                      <w:fldChar w:fldCharType="separate"/>
                    </w:r>
                    <w:r>
                      <w:rPr>
                        <w:lang w:val="zh-CN"/>
                      </w:rPr>
                      <w:t>111</w:t>
                    </w:r>
                    <w:r>
                      <w:fldChar w:fldCharType="end"/>
                    </w:r>
                  </w:p>
                </w:txbxContent>
              </v:textbox>
            </v:shape>
          </w:pict>
        </mc:Fallback>
      </mc:AlternateContent>
    </w:r>
  </w:p>
  <w:p w14:paraId="1468A4AE">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89397">
    <w:pPr>
      <w:pStyle w:val="1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1C299">
                          <w:pPr>
                            <w:pStyle w:val="12"/>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481C299">
                    <w:pPr>
                      <w:pStyle w:val="12"/>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97FB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B1DB41">
                          <w:pPr>
                            <w:pStyle w:val="12"/>
                          </w:pPr>
                          <w:r>
                            <w:fldChar w:fldCharType="begin"/>
                          </w:r>
                          <w:r>
                            <w:instrText xml:space="preserve"> PAGE  \* MERGEFORMAT </w:instrText>
                          </w:r>
                          <w:r>
                            <w:fldChar w:fldCharType="separate"/>
                          </w:r>
                          <w:r>
                            <w:t>124</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2EB1DB41">
                    <w:pPr>
                      <w:pStyle w:val="12"/>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6B89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14217">
    <w:pPr>
      <w:jc w:val="right"/>
      <w:rPr>
        <w:rFonts w:ascii="黑体" w:eastAsia="黑体"/>
        <w:color w:val="000000"/>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A2DD">
    <w:pPr>
      <w:pStyle w:val="13"/>
      <w:pBdr>
        <w:bottom w:val="single" w:color="auto" w:sz="6"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4BBFA8"/>
    <w:multiLevelType w:val="singleLevel"/>
    <w:tmpl w:val="DA4BBFA8"/>
    <w:lvl w:ilvl="0" w:tentative="0">
      <w:start w:val="3"/>
      <w:numFmt w:val="decimal"/>
      <w:suff w:val="nothing"/>
      <w:lvlText w:val="%1、"/>
      <w:lvlJc w:val="left"/>
    </w:lvl>
  </w:abstractNum>
  <w:abstractNum w:abstractNumId="1">
    <w:nsid w:val="44E28C4A"/>
    <w:multiLevelType w:val="singleLevel"/>
    <w:tmpl w:val="44E28C4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2A"/>
    <w:rsid w:val="000F69B0"/>
    <w:rsid w:val="00342C95"/>
    <w:rsid w:val="00830EAB"/>
    <w:rsid w:val="00C50153"/>
    <w:rsid w:val="00CE642A"/>
    <w:rsid w:val="00DB4F97"/>
    <w:rsid w:val="00E44628"/>
    <w:rsid w:val="03E71B2A"/>
    <w:rsid w:val="0411789A"/>
    <w:rsid w:val="0455562B"/>
    <w:rsid w:val="06262B43"/>
    <w:rsid w:val="075C6AA6"/>
    <w:rsid w:val="08E35B6E"/>
    <w:rsid w:val="09DF58E1"/>
    <w:rsid w:val="0AF50259"/>
    <w:rsid w:val="0B1277B9"/>
    <w:rsid w:val="0DBA040E"/>
    <w:rsid w:val="0F82629E"/>
    <w:rsid w:val="1233761F"/>
    <w:rsid w:val="12570EC0"/>
    <w:rsid w:val="14BB6070"/>
    <w:rsid w:val="14C1280F"/>
    <w:rsid w:val="155A1428"/>
    <w:rsid w:val="161D28E1"/>
    <w:rsid w:val="16584A7E"/>
    <w:rsid w:val="17063852"/>
    <w:rsid w:val="193B50D8"/>
    <w:rsid w:val="19676A15"/>
    <w:rsid w:val="19D26674"/>
    <w:rsid w:val="1A9D09A5"/>
    <w:rsid w:val="1C61250F"/>
    <w:rsid w:val="1D1861C0"/>
    <w:rsid w:val="1DA54219"/>
    <w:rsid w:val="1E242636"/>
    <w:rsid w:val="1E316492"/>
    <w:rsid w:val="206F560B"/>
    <w:rsid w:val="24DB75D6"/>
    <w:rsid w:val="25563B26"/>
    <w:rsid w:val="261F79FA"/>
    <w:rsid w:val="27B45CFE"/>
    <w:rsid w:val="299C33C3"/>
    <w:rsid w:val="2A7F3893"/>
    <w:rsid w:val="2B4520FF"/>
    <w:rsid w:val="2B6A77D5"/>
    <w:rsid w:val="2BAC1A10"/>
    <w:rsid w:val="2BC43FD2"/>
    <w:rsid w:val="2C624BCB"/>
    <w:rsid w:val="2F44153E"/>
    <w:rsid w:val="2F7F000F"/>
    <w:rsid w:val="32005937"/>
    <w:rsid w:val="33307107"/>
    <w:rsid w:val="34EB7A84"/>
    <w:rsid w:val="34FC74CD"/>
    <w:rsid w:val="353752C8"/>
    <w:rsid w:val="355F18D8"/>
    <w:rsid w:val="367C6A4C"/>
    <w:rsid w:val="36873967"/>
    <w:rsid w:val="37632D90"/>
    <w:rsid w:val="37A10C9D"/>
    <w:rsid w:val="37D01583"/>
    <w:rsid w:val="387478CC"/>
    <w:rsid w:val="387A5F8A"/>
    <w:rsid w:val="3B261EAA"/>
    <w:rsid w:val="3CE1364E"/>
    <w:rsid w:val="3E913087"/>
    <w:rsid w:val="3F5C18E5"/>
    <w:rsid w:val="3F8967F5"/>
    <w:rsid w:val="40E761CB"/>
    <w:rsid w:val="421B37B0"/>
    <w:rsid w:val="42B132DF"/>
    <w:rsid w:val="43A7763B"/>
    <w:rsid w:val="4514417C"/>
    <w:rsid w:val="45F140DF"/>
    <w:rsid w:val="48812F13"/>
    <w:rsid w:val="4A415B7F"/>
    <w:rsid w:val="4C1173A6"/>
    <w:rsid w:val="4CEA57B7"/>
    <w:rsid w:val="4DB21F9D"/>
    <w:rsid w:val="4E4C150B"/>
    <w:rsid w:val="50693CF4"/>
    <w:rsid w:val="540939FA"/>
    <w:rsid w:val="57707A82"/>
    <w:rsid w:val="58C93758"/>
    <w:rsid w:val="5A6E430F"/>
    <w:rsid w:val="5C0763AB"/>
    <w:rsid w:val="5EAF580A"/>
    <w:rsid w:val="60BB47DF"/>
    <w:rsid w:val="60D44950"/>
    <w:rsid w:val="61763CA7"/>
    <w:rsid w:val="64A53FA6"/>
    <w:rsid w:val="69BC7B03"/>
    <w:rsid w:val="6B5F54AE"/>
    <w:rsid w:val="6DE50BDD"/>
    <w:rsid w:val="6EC3549A"/>
    <w:rsid w:val="715156F1"/>
    <w:rsid w:val="726A1C94"/>
    <w:rsid w:val="744D54B2"/>
    <w:rsid w:val="76320737"/>
    <w:rsid w:val="781C1423"/>
    <w:rsid w:val="78B54CF2"/>
    <w:rsid w:val="79C14424"/>
    <w:rsid w:val="79E63B93"/>
    <w:rsid w:val="7B9A4A9E"/>
    <w:rsid w:val="7BBB063A"/>
    <w:rsid w:val="7DC03647"/>
    <w:rsid w:val="7E4577B8"/>
    <w:rsid w:val="7EAF1400"/>
    <w:rsid w:val="7F2E7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Calibri" w:hAnsi="Calibri"/>
      <w:bCs/>
      <w:kern w:val="44"/>
      <w:sz w:val="44"/>
      <w:szCs w:val="44"/>
    </w:rPr>
  </w:style>
  <w:style w:type="paragraph" w:styleId="3">
    <w:name w:val="heading 2"/>
    <w:basedOn w:val="1"/>
    <w:next w:val="1"/>
    <w:link w:val="26"/>
    <w:qFormat/>
    <w:uiPriority w:val="0"/>
    <w:pPr>
      <w:keepNext/>
      <w:keepLines/>
      <w:spacing w:before="260" w:after="260"/>
      <w:jc w:val="left"/>
      <w:outlineLvl w:val="1"/>
    </w:pPr>
    <w:rPr>
      <w:rFonts w:ascii="Arial" w:hAnsi="Arial"/>
      <w:b/>
      <w:bCs/>
      <w:kern w:val="0"/>
      <w:sz w:val="32"/>
      <w:szCs w:val="32"/>
    </w:rPr>
  </w:style>
  <w:style w:type="paragraph" w:styleId="4">
    <w:name w:val="heading 3"/>
    <w:basedOn w:val="1"/>
    <w:next w:val="1"/>
    <w:link w:val="27"/>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kern w:val="0"/>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w:basedOn w:val="1"/>
    <w:unhideWhenUsed/>
    <w:qFormat/>
    <w:uiPriority w:val="99"/>
    <w:pPr>
      <w:spacing w:after="120"/>
    </w:pPr>
    <w:rPr>
      <w:rFonts w:ascii="Calibri" w:hAnsi="Calibri"/>
      <w:kern w:val="0"/>
      <w:sz w:val="20"/>
      <w:szCs w:val="20"/>
    </w:rPr>
  </w:style>
  <w:style w:type="paragraph" w:styleId="8">
    <w:name w:val="Body Text Indent"/>
    <w:basedOn w:val="1"/>
    <w:next w:val="9"/>
    <w:unhideWhenUsed/>
    <w:qFormat/>
    <w:uiPriority w:val="0"/>
    <w:pPr>
      <w:spacing w:after="120"/>
      <w:ind w:left="420" w:leftChars="200"/>
    </w:pPr>
    <w:rPr>
      <w:rFonts w:ascii="Calibri" w:hAnsi="Calibri"/>
      <w:kern w:val="0"/>
      <w:sz w:val="20"/>
      <w:szCs w:val="20"/>
    </w:rPr>
  </w:style>
  <w:style w:type="paragraph" w:customStyle="1" w:styleId="9">
    <w:name w:val="Default"/>
    <w:basedOn w:val="10"/>
    <w:qFormat/>
    <w:uiPriority w:val="0"/>
    <w:pPr>
      <w:autoSpaceDE w:val="0"/>
      <w:autoSpaceDN w:val="0"/>
      <w:adjustRightInd w:val="0"/>
    </w:pPr>
    <w:rPr>
      <w:rFonts w:ascii="宋体" w:hAnsi="Times New Roman" w:cs="宋体"/>
      <w:color w:val="000000"/>
      <w:sz w:val="24"/>
      <w:szCs w:val="24"/>
    </w:rPr>
  </w:style>
  <w:style w:type="paragraph" w:styleId="10">
    <w:name w:val="Plain Text"/>
    <w:basedOn w:val="1"/>
    <w:next w:val="7"/>
    <w:qFormat/>
    <w:uiPriority w:val="0"/>
    <w:rPr>
      <w:rFonts w:ascii="Courier New" w:hAnsi="Courier New"/>
      <w:kern w:val="0"/>
      <w:sz w:val="20"/>
      <w:szCs w:val="20"/>
    </w:rPr>
  </w:style>
  <w:style w:type="paragraph" w:styleId="11">
    <w:name w:val="Body Text Indent 2"/>
    <w:basedOn w:val="1"/>
    <w:qFormat/>
    <w:uiPriority w:val="0"/>
    <w:pPr>
      <w:tabs>
        <w:tab w:val="left" w:pos="468"/>
        <w:tab w:val="left" w:pos="936"/>
      </w:tabs>
      <w:spacing w:line="620" w:lineRule="exact"/>
      <w:ind w:firstLine="537" w:firstLineChars="200"/>
    </w:pPr>
    <w:rPr>
      <w:rFonts w:ascii="宋体" w:hAnsi="宋体"/>
      <w:sz w:val="28"/>
    </w:rPr>
  </w:style>
  <w:style w:type="paragraph" w:styleId="12">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99"/>
    <w:pP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39"/>
    <w:pPr>
      <w:spacing w:line="360" w:lineRule="auto"/>
      <w:jc w:val="left"/>
    </w:pPr>
    <w:rPr>
      <w:rFonts w:ascii="楷体_GB2312" w:hAnsi="华文楷体" w:eastAsia="楷体_GB2312"/>
      <w:szCs w:val="24"/>
    </w:rPr>
  </w:style>
  <w:style w:type="paragraph" w:styleId="15">
    <w:name w:val="footnote text"/>
    <w:basedOn w:val="1"/>
    <w:qFormat/>
    <w:uiPriority w:val="0"/>
    <w:pPr>
      <w:snapToGrid w:val="0"/>
      <w:spacing w:line="360" w:lineRule="auto"/>
      <w:jc w:val="left"/>
    </w:pPr>
    <w:rPr>
      <w:rFonts w:ascii="楷体_GB2312" w:hAnsi="华文楷体" w:eastAsia="楷体_GB2312"/>
      <w:sz w:val="18"/>
      <w:szCs w:val="18"/>
    </w:rPr>
  </w:style>
  <w:style w:type="paragraph" w:styleId="16">
    <w:name w:val="Body Text 2"/>
    <w:basedOn w:val="1"/>
    <w:next w:val="10"/>
    <w:qFormat/>
    <w:uiPriority w:val="0"/>
    <w:pPr>
      <w:spacing w:line="360" w:lineRule="auto"/>
      <w:jc w:val="left"/>
    </w:pPr>
    <w:rPr>
      <w:rFonts w:ascii="宋体" w:hAnsi="宋体"/>
      <w:kern w:val="0"/>
      <w:sz w:val="28"/>
      <w:szCs w:val="24"/>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sz w:val="24"/>
      <w:szCs w:val="24"/>
    </w:rPr>
  </w:style>
  <w:style w:type="paragraph" w:styleId="18">
    <w:name w:val="Body Text First Indent"/>
    <w:basedOn w:val="1"/>
    <w:next w:val="19"/>
    <w:qFormat/>
    <w:uiPriority w:val="0"/>
    <w:pPr>
      <w:spacing w:line="360" w:lineRule="auto"/>
      <w:ind w:firstLine="420"/>
    </w:pPr>
    <w:rPr>
      <w:rFonts w:ascii="Calibri" w:hAnsi="Calibri" w:eastAsia="Arial Unicode MS"/>
      <w:color w:val="000000"/>
      <w:kern w:val="0"/>
      <w:sz w:val="28"/>
      <w:szCs w:val="28"/>
    </w:rPr>
  </w:style>
  <w:style w:type="paragraph" w:styleId="19">
    <w:name w:val="Body Text First Indent 2"/>
    <w:basedOn w:val="8"/>
    <w:next w:val="1"/>
    <w:qFormat/>
    <w:uiPriority w:val="0"/>
    <w:pPr>
      <w:spacing w:before="100" w:beforeAutospacing="1" w:line="360" w:lineRule="auto"/>
      <w:ind w:firstLine="420"/>
    </w:pPr>
    <w:rPr>
      <w:rFonts w:eastAsia="Arial Unicode MS"/>
      <w:color w:val="000000"/>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qFormat/>
    <w:uiPriority w:val="99"/>
    <w:rPr>
      <w:color w:val="666666"/>
      <w:u w:val="none"/>
    </w:rPr>
  </w:style>
  <w:style w:type="paragraph" w:customStyle="1" w:styleId="24">
    <w:name w:val="p0"/>
    <w:basedOn w:val="1"/>
    <w:qFormat/>
    <w:uiPriority w:val="0"/>
    <w:pPr>
      <w:widowControl/>
      <w:spacing w:line="365" w:lineRule="atLeast"/>
      <w:ind w:left="1"/>
    </w:pPr>
    <w:rPr>
      <w:kern w:val="0"/>
      <w:sz w:val="20"/>
      <w:szCs w:val="20"/>
    </w:rPr>
  </w:style>
  <w:style w:type="paragraph" w:customStyle="1" w:styleId="25">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26">
    <w:name w:val="标题 2 Char"/>
    <w:link w:val="3"/>
    <w:qFormat/>
    <w:uiPriority w:val="0"/>
    <w:rPr>
      <w:rFonts w:ascii="Arial" w:hAnsi="Arial" w:eastAsia="宋体"/>
      <w:b/>
      <w:bCs/>
      <w:kern w:val="0"/>
      <w:sz w:val="32"/>
      <w:szCs w:val="32"/>
    </w:rPr>
  </w:style>
  <w:style w:type="character" w:customStyle="1" w:styleId="27">
    <w:name w:val="标题 3 Char"/>
    <w:link w:val="4"/>
    <w:qFormat/>
    <w:uiPriority w:val="9"/>
    <w:rPr>
      <w:rFonts w:ascii="Calibri" w:hAnsi="Calibri"/>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5952</Words>
  <Characters>7132</Characters>
  <Lines>510</Lines>
  <Paragraphs>143</Paragraphs>
  <TotalTime>380</TotalTime>
  <ScaleCrop>false</ScaleCrop>
  <LinksUpToDate>false</LinksUpToDate>
  <CharactersWithSpaces>7230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2025-05-13T10:43:00Z</dcterms:created>
  <dc:creator>Administrator</dc:creator>
  <cp:lastModifiedBy>棒棒糖</cp:lastModifiedBy>
  <dcterms:modified xsi:type="dcterms:W3CDTF">2026-04-29T08:10:46Z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eyJoZGlkIjoiN2Q5YzVhYjI4YjNjMDk2OGI5ZjdjYjA2MGEyZWUxOWYiLCJ1c2VySWQiOiIzOTMwMzI5NzAifQ==</vt:lpwstr>
  </property>
  <property fmtid="{D5CDD505-2E9C-101B-9397-08002B2CF9AE}" pid="4" name="ICV">
    <vt:lpwstr>C8048CAB7CB34E68BB21E22D617AACA6_13</vt:lpwstr>
  </property>
</Properties>
</file>