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42EB">
      <w:pPr>
        <w:pStyle w:val="14"/>
        <w:ind w:left="0" w:leftChars="0" w:firstLine="0" w:firstLineChars="0"/>
        <w:rPr>
          <w:rFonts w:hint="eastAsia" w:eastAsia="宋体"/>
          <w:lang w:val="en-US" w:eastAsia="zh-CN"/>
        </w:rPr>
      </w:pPr>
    </w:p>
    <w:p w14:paraId="28EF2A2C">
      <w:pPr>
        <w:wordWrap w:val="0"/>
        <w:topLinePunct/>
        <w:spacing w:line="360" w:lineRule="auto"/>
        <w:jc w:val="center"/>
        <w:rPr>
          <w:rFonts w:hint="eastAsia" w:ascii="宋体" w:hAnsi="宋体" w:eastAsia="宋体" w:cs="宋体"/>
          <w:b/>
          <w:sz w:val="56"/>
          <w:szCs w:val="56"/>
        </w:rPr>
      </w:pPr>
      <w:r>
        <w:rPr>
          <w:rFonts w:hint="eastAsia" w:ascii="宋体" w:hAnsi="宋体" w:eastAsia="宋体" w:cs="宋体"/>
          <w:b/>
          <w:bCs/>
          <w:sz w:val="48"/>
          <w:szCs w:val="48"/>
          <w:lang w:eastAsia="zh-CN"/>
        </w:rPr>
        <w:t>卢氏县2026年度国土空间总体规划动态调整完善工作项目</w:t>
      </w:r>
    </w:p>
    <w:p w14:paraId="47F1690C">
      <w:pPr>
        <w:wordWrap w:val="0"/>
        <w:topLinePunct/>
        <w:spacing w:line="360" w:lineRule="auto"/>
        <w:jc w:val="center"/>
        <w:rPr>
          <w:rFonts w:hint="eastAsia" w:ascii="宋体" w:hAnsi="宋体" w:eastAsia="宋体" w:cs="宋体"/>
          <w:b/>
          <w:sz w:val="56"/>
          <w:szCs w:val="56"/>
        </w:rPr>
      </w:pPr>
    </w:p>
    <w:p w14:paraId="5F092E51">
      <w:pPr>
        <w:wordWrap w:val="0"/>
        <w:topLinePunct/>
        <w:spacing w:line="360" w:lineRule="auto"/>
        <w:jc w:val="center"/>
        <w:rPr>
          <w:rFonts w:ascii="宋体" w:hAnsi="宋体" w:eastAsia="宋体" w:cs="宋体"/>
          <w:b/>
          <w:sz w:val="56"/>
          <w:szCs w:val="56"/>
        </w:rPr>
      </w:pPr>
      <w:r>
        <w:rPr>
          <w:rFonts w:hint="eastAsia" w:ascii="宋体" w:hAnsi="宋体" w:eastAsia="宋体" w:cs="宋体"/>
          <w:b/>
          <w:sz w:val="56"/>
          <w:szCs w:val="56"/>
        </w:rPr>
        <w:t>竞争性磋商文件</w:t>
      </w:r>
    </w:p>
    <w:p w14:paraId="60509AD5">
      <w:pPr>
        <w:wordWrap w:val="0"/>
        <w:spacing w:before="268"/>
        <w:jc w:val="center"/>
        <w:outlineLvl w:val="0"/>
        <w:rPr>
          <w:rFonts w:hint="eastAsia" w:ascii="Times New Roman" w:hAnsi="Times New Roman" w:cs="Times New Roman" w:eastAsiaTheme="minorEastAsia"/>
          <w:b/>
          <w:color w:val="000000"/>
          <w:sz w:val="32"/>
          <w:szCs w:val="32"/>
          <w:lang w:val="en-US" w:eastAsia="zh-CN"/>
        </w:rPr>
      </w:pPr>
      <w:r>
        <w:rPr>
          <w:rFonts w:hint="eastAsia" w:ascii="宋体" w:hAnsi="宋体" w:eastAsia="宋体" w:cs="宋体"/>
          <w:b/>
          <w:sz w:val="32"/>
          <w:szCs w:val="32"/>
        </w:rPr>
        <w:t xml:space="preserve">   </w:t>
      </w:r>
      <w:r>
        <w:rPr>
          <w:rFonts w:hint="eastAsia"/>
          <w:b/>
          <w:color w:val="000000"/>
          <w:sz w:val="32"/>
          <w:szCs w:val="32"/>
          <w:lang w:val="en-US"/>
        </w:rPr>
        <w:t>项目编号：三卢竞磋采购-</w:t>
      </w:r>
      <w:r>
        <w:rPr>
          <w:rFonts w:hint="eastAsia" w:ascii="宋体" w:hAnsi="宋体" w:eastAsia="宋体" w:cs="宋体"/>
          <w:b/>
          <w:color w:val="000000"/>
          <w:sz w:val="32"/>
          <w:szCs w:val="32"/>
          <w:lang w:val="en-US"/>
        </w:rPr>
        <w:t>2026-34</w:t>
      </w:r>
      <w:r>
        <w:rPr>
          <w:rFonts w:hint="eastAsia" w:ascii="宋体" w:hAnsi="宋体" w:eastAsia="宋体" w:cs="宋体"/>
          <w:b/>
          <w:color w:val="000000"/>
          <w:sz w:val="32"/>
          <w:szCs w:val="32"/>
          <w:lang w:val="en-US" w:eastAsia="zh-CN"/>
        </w:rPr>
        <w:t>、LSGZ[2026]091-ZC067</w:t>
      </w:r>
    </w:p>
    <w:p w14:paraId="5EF3FA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right="0"/>
        <w:jc w:val="center"/>
        <w:rPr>
          <w:rFonts w:hint="eastAsia" w:ascii="宋体" w:hAnsi="宋体" w:eastAsia="宋体" w:cs="宋体"/>
          <w:color w:val="3D4B64"/>
          <w:sz w:val="21"/>
          <w:szCs w:val="21"/>
        </w:rPr>
      </w:pPr>
    </w:p>
    <w:p w14:paraId="1402A78D">
      <w:pPr>
        <w:wordWrap w:val="0"/>
        <w:topLinePunct/>
        <w:spacing w:line="360" w:lineRule="auto"/>
        <w:ind w:firstLine="1606" w:firstLineChars="500"/>
        <w:rPr>
          <w:rFonts w:ascii="宋体" w:hAnsi="宋体" w:eastAsia="宋体" w:cs="宋体"/>
          <w:szCs w:val="21"/>
        </w:rPr>
      </w:pPr>
      <w:r>
        <w:rPr>
          <w:rFonts w:hint="eastAsia" w:ascii="宋体" w:hAnsi="宋体" w:eastAsia="宋体" w:cs="宋体"/>
          <w:b/>
          <w:sz w:val="32"/>
          <w:szCs w:val="32"/>
        </w:rPr>
        <w:t xml:space="preserve">    </w:t>
      </w:r>
    </w:p>
    <w:p w14:paraId="75AAACA6">
      <w:pPr>
        <w:wordWrap w:val="0"/>
        <w:topLinePunct/>
        <w:rPr>
          <w:rFonts w:ascii="宋体" w:hAnsi="宋体" w:eastAsia="宋体" w:cs="宋体"/>
          <w:szCs w:val="21"/>
        </w:rPr>
      </w:pPr>
    </w:p>
    <w:p w14:paraId="0CF1427A">
      <w:pPr>
        <w:wordWrap w:val="0"/>
        <w:topLinePunct/>
        <w:spacing w:line="360" w:lineRule="auto"/>
        <w:jc w:val="center"/>
        <w:rPr>
          <w:rFonts w:ascii="宋体" w:hAnsi="宋体" w:eastAsia="宋体" w:cs="宋体"/>
          <w:sz w:val="24"/>
          <w:szCs w:val="21"/>
        </w:rPr>
      </w:pPr>
    </w:p>
    <w:p w14:paraId="69884AD5">
      <w:pPr>
        <w:wordWrap w:val="0"/>
        <w:topLinePunct/>
        <w:spacing w:line="360" w:lineRule="auto"/>
        <w:jc w:val="center"/>
        <w:rPr>
          <w:rFonts w:hint="eastAsia" w:ascii="黑体" w:hAnsi="Times New Roman" w:eastAsia="黑体"/>
          <w:sz w:val="28"/>
          <w:lang w:eastAsia="zh-CN"/>
        </w:rPr>
      </w:pPr>
      <w:r>
        <w:rPr>
          <w:rFonts w:hint="eastAsia" w:ascii="黑体" w:hAnsi="Times New Roman" w:eastAsia="黑体"/>
          <w:sz w:val="28"/>
          <w:lang w:eastAsia="zh-CN"/>
        </w:rPr>
        <w:drawing>
          <wp:inline distT="0" distB="0" distL="114300" distR="114300">
            <wp:extent cx="4232910" cy="1057910"/>
            <wp:effectExtent l="0" t="0" r="0" b="0"/>
            <wp:docPr id="1" name="图片 1" descr="765b398fd2150f981932be539afa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5b398fd2150f981932be539afa6ef"/>
                    <pic:cNvPicPr>
                      <a:picLocks noChangeAspect="1"/>
                    </pic:cNvPicPr>
                  </pic:nvPicPr>
                  <pic:blipFill>
                    <a:blip r:embed="rId9"/>
                    <a:srcRect l="17331" t="-1031" r="15309"/>
                    <a:stretch>
                      <a:fillRect/>
                    </a:stretch>
                  </pic:blipFill>
                  <pic:spPr>
                    <a:xfrm>
                      <a:off x="0" y="0"/>
                      <a:ext cx="4232910" cy="1057910"/>
                    </a:xfrm>
                    <a:prstGeom prst="rect">
                      <a:avLst/>
                    </a:prstGeom>
                    <a:noFill/>
                    <a:ln>
                      <a:noFill/>
                    </a:ln>
                  </pic:spPr>
                </pic:pic>
              </a:graphicData>
            </a:graphic>
          </wp:inline>
        </w:drawing>
      </w:r>
    </w:p>
    <w:p w14:paraId="4F2165D8">
      <w:pPr>
        <w:pStyle w:val="9"/>
        <w:jc w:val="both"/>
        <w:rPr>
          <w:rFonts w:hint="eastAsia" w:ascii="黑体" w:hAnsi="Times New Roman" w:eastAsia="黑体"/>
          <w:sz w:val="28"/>
          <w:lang w:eastAsia="zh-CN"/>
        </w:rPr>
      </w:pPr>
    </w:p>
    <w:p w14:paraId="60A48189">
      <w:pPr>
        <w:jc w:val="center"/>
        <w:rPr>
          <w:color w:val="000000" w:themeColor="text1"/>
          <w14:textFill>
            <w14:solidFill>
              <w14:schemeClr w14:val="tx1"/>
            </w14:solidFill>
          </w14:textFill>
        </w:rPr>
      </w:pPr>
    </w:p>
    <w:p w14:paraId="4176E4B2">
      <w:pPr>
        <w:jc w:val="center"/>
        <w:rPr>
          <w:rFonts w:ascii="黑体" w:hAnsi="黑体" w:eastAsia="黑体"/>
          <w:bCs/>
          <w:color w:val="000000" w:themeColor="text1"/>
          <w:sz w:val="28"/>
          <w:szCs w:val="28"/>
          <w14:textFill>
            <w14:solidFill>
              <w14:schemeClr w14:val="tx1"/>
            </w14:solidFill>
          </w14:textFill>
        </w:rPr>
      </w:pPr>
    </w:p>
    <w:p w14:paraId="5DFFFED4">
      <w:pPr>
        <w:jc w:val="center"/>
        <w:rPr>
          <w:rFonts w:ascii="黑体" w:hAnsi="黑体" w:eastAsia="黑体"/>
          <w:bCs/>
          <w:color w:val="000000" w:themeColor="text1"/>
          <w:sz w:val="28"/>
          <w:szCs w:val="28"/>
          <w14:textFill>
            <w14:solidFill>
              <w14:schemeClr w14:val="tx1"/>
            </w14:solidFill>
          </w14:textFill>
        </w:rPr>
      </w:pPr>
    </w:p>
    <w:p w14:paraId="6D38A3F1">
      <w:pPr>
        <w:spacing w:line="480" w:lineRule="auto"/>
        <w:rPr>
          <w:rFonts w:hint="eastAsia" w:ascii="宋体" w:hAnsi="宋体" w:cs="宋体"/>
          <w:b/>
          <w:bCs/>
          <w:color w:val="000000" w:themeColor="text1"/>
          <w:sz w:val="28"/>
          <w:szCs w:val="28"/>
          <w14:textFill>
            <w14:solidFill>
              <w14:schemeClr w14:val="tx1"/>
            </w14:solidFill>
          </w14:textFill>
        </w:rPr>
      </w:pPr>
    </w:p>
    <w:p w14:paraId="5DDCEC23">
      <w:pPr>
        <w:spacing w:line="480" w:lineRule="auto"/>
        <w:ind w:firstLine="1405" w:firstLineChars="500"/>
        <w:jc w:val="both"/>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采</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购</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cs="宋体"/>
          <w:b/>
          <w:bCs/>
          <w:color w:val="000000" w:themeColor="text1"/>
          <w:sz w:val="28"/>
          <w:szCs w:val="28"/>
          <w14:textFill>
            <w14:solidFill>
              <w14:schemeClr w14:val="tx1"/>
            </w14:solidFill>
          </w14:textFill>
        </w:rPr>
        <w:t>人：</w:t>
      </w:r>
      <w:r>
        <w:rPr>
          <w:rFonts w:hint="eastAsia" w:ascii="宋体" w:hAnsi="宋体" w:cs="宋体"/>
          <w:b/>
          <w:bCs/>
          <w:color w:val="000000" w:themeColor="text1"/>
          <w:sz w:val="28"/>
          <w:szCs w:val="28"/>
          <w:lang w:eastAsia="zh-CN"/>
          <w14:textFill>
            <w14:solidFill>
              <w14:schemeClr w14:val="tx1"/>
            </w14:solidFill>
          </w14:textFill>
        </w:rPr>
        <w:t xml:space="preserve">卢氏县自然资源局 </w:t>
      </w:r>
    </w:p>
    <w:p w14:paraId="5352BAE5">
      <w:pPr>
        <w:spacing w:line="480" w:lineRule="auto"/>
        <w:ind w:firstLine="1405" w:firstLineChars="500"/>
        <w:jc w:val="both"/>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代 理 机 构：中赞国际项目管理有限公司</w:t>
      </w:r>
    </w:p>
    <w:p w14:paraId="5B9CFC97">
      <w:pPr>
        <w:spacing w:line="480" w:lineRule="auto"/>
        <w:ind w:firstLine="1405" w:firstLineChars="500"/>
        <w:jc w:val="both"/>
        <w:rPr>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日        期：二〇二</w:t>
      </w:r>
      <w:r>
        <w:rPr>
          <w:rFonts w:hint="eastAsia" w:ascii="宋体" w:hAnsi="宋体" w:cs="宋体"/>
          <w:b/>
          <w:bCs/>
          <w:color w:val="000000" w:themeColor="text1"/>
          <w:sz w:val="28"/>
          <w:szCs w:val="28"/>
          <w:lang w:eastAsia="zh-CN"/>
          <w14:textFill>
            <w14:solidFill>
              <w14:schemeClr w14:val="tx1"/>
            </w14:solidFill>
          </w14:textFill>
        </w:rPr>
        <w:t>六</w:t>
      </w:r>
      <w:r>
        <w:rPr>
          <w:rFonts w:hint="eastAsia" w:ascii="宋体" w:hAnsi="宋体" w:cs="宋体"/>
          <w:b/>
          <w:bCs/>
          <w:color w:val="000000" w:themeColor="text1"/>
          <w:sz w:val="28"/>
          <w:szCs w:val="28"/>
          <w14:textFill>
            <w14:solidFill>
              <w14:schemeClr w14:val="tx1"/>
            </w14:solidFill>
          </w14:textFill>
        </w:rPr>
        <w:t>年</w:t>
      </w:r>
      <w:r>
        <w:rPr>
          <w:rFonts w:hint="eastAsia" w:ascii="宋体" w:hAnsi="宋体" w:cs="宋体"/>
          <w:b/>
          <w:bCs/>
          <w:color w:val="000000" w:themeColor="text1"/>
          <w:sz w:val="28"/>
          <w:szCs w:val="28"/>
          <w:lang w:val="en-US" w:eastAsia="zh-CN"/>
          <w14:textFill>
            <w14:solidFill>
              <w14:schemeClr w14:val="tx1"/>
            </w14:solidFill>
          </w14:textFill>
        </w:rPr>
        <w:t>五</w:t>
      </w:r>
      <w:r>
        <w:rPr>
          <w:rFonts w:hint="eastAsia" w:ascii="宋体" w:hAnsi="宋体" w:cs="宋体"/>
          <w:b/>
          <w:bCs/>
          <w:color w:val="000000" w:themeColor="text1"/>
          <w:sz w:val="28"/>
          <w:szCs w:val="28"/>
          <w14:textFill>
            <w14:solidFill>
              <w14:schemeClr w14:val="tx1"/>
            </w14:solidFill>
          </w14:textFill>
        </w:rPr>
        <w:t>月</w:t>
      </w:r>
    </w:p>
    <w:p w14:paraId="060F32DC">
      <w:pPr>
        <w:wordWrap w:val="0"/>
        <w:topLinePunct/>
        <w:spacing w:before="240" w:beforeLines="100" w:after="240" w:afterLines="100" w:line="300" w:lineRule="auto"/>
        <w:jc w:val="center"/>
        <w:rPr>
          <w:rFonts w:hint="eastAsia" w:ascii="宋体" w:hAnsi="宋体" w:eastAsia="宋体" w:cs="Courier New"/>
          <w:b/>
          <w:bCs/>
          <w:sz w:val="40"/>
          <w:szCs w:val="40"/>
        </w:rPr>
        <w:sectPr>
          <w:headerReference r:id="rId3" w:type="default"/>
          <w:footerReference r:id="rId4" w:type="default"/>
          <w:pgSz w:w="11906" w:h="16838"/>
          <w:pgMar w:top="1440" w:right="1274" w:bottom="1440" w:left="1800" w:header="851" w:footer="992" w:gutter="0"/>
          <w:cols w:space="720" w:num="1"/>
          <w:docGrid w:type="lines" w:linePitch="312" w:charSpace="0"/>
        </w:sectPr>
      </w:pPr>
    </w:p>
    <w:p w14:paraId="2380F8BE">
      <w:pPr>
        <w:wordWrap w:val="0"/>
        <w:topLinePunct/>
        <w:spacing w:before="240" w:beforeLines="100" w:after="240" w:afterLines="100" w:line="300" w:lineRule="auto"/>
        <w:jc w:val="center"/>
        <w:rPr>
          <w:rFonts w:ascii="宋体" w:hAnsi="宋体" w:eastAsia="宋体" w:cs="Courier New"/>
          <w:b/>
          <w:bCs/>
          <w:sz w:val="32"/>
          <w:szCs w:val="32"/>
        </w:rPr>
      </w:pPr>
      <w:r>
        <w:rPr>
          <w:rFonts w:hint="eastAsia" w:ascii="宋体" w:hAnsi="宋体" w:eastAsia="宋体" w:cs="Courier New"/>
          <w:b/>
          <w:bCs/>
          <w:sz w:val="40"/>
          <w:szCs w:val="40"/>
        </w:rPr>
        <w:t>目  录</w:t>
      </w:r>
    </w:p>
    <w:p w14:paraId="160816B8">
      <w:pPr>
        <w:tabs>
          <w:tab w:val="left" w:pos="1050"/>
          <w:tab w:val="right" w:leader="dot" w:pos="9629"/>
        </w:tabs>
        <w:wordWrap w:val="0"/>
        <w:topLinePunct/>
        <w:spacing w:line="480" w:lineRule="auto"/>
        <w:jc w:val="both"/>
        <w:rPr>
          <w:rFonts w:ascii="宋体" w:hAnsi="宋体" w:eastAsia="宋体" w:cs="Times New Roman"/>
          <w:sz w:val="28"/>
          <w:szCs w:val="28"/>
        </w:rPr>
      </w:pPr>
      <w:bookmarkStart w:id="0" w:name="_Toc15390"/>
      <w:r>
        <w:rPr>
          <w:rFonts w:ascii="宋体" w:hAnsi="宋体" w:eastAsia="宋体" w:cs="宋体"/>
          <w:sz w:val="28"/>
          <w:szCs w:val="28"/>
        </w:rPr>
        <w:fldChar w:fldCharType="begin"/>
      </w:r>
      <w:r>
        <w:rPr>
          <w:rFonts w:ascii="宋体" w:hAnsi="宋体" w:eastAsia="宋体" w:cs="宋体"/>
          <w:sz w:val="28"/>
          <w:szCs w:val="28"/>
        </w:rPr>
        <w:instrText xml:space="preserve">TOC \o "1-2" \h \u </w:instrText>
      </w:r>
      <w:r>
        <w:rPr>
          <w:rFonts w:ascii="宋体" w:hAnsi="宋体" w:eastAsia="宋体" w:cs="宋体"/>
          <w:sz w:val="28"/>
          <w:szCs w:val="28"/>
        </w:rPr>
        <w:fldChar w:fldCharType="separate"/>
      </w:r>
      <w:r>
        <w:fldChar w:fldCharType="begin"/>
      </w:r>
      <w:r>
        <w:instrText xml:space="preserve"> HYPERLINK \l "_Toc23774424" </w:instrText>
      </w:r>
      <w:r>
        <w:fldChar w:fldCharType="separate"/>
      </w:r>
      <w:r>
        <w:rPr>
          <w:rFonts w:hint="eastAsia" w:ascii="宋体" w:hAnsi="宋体" w:eastAsia="宋体" w:cs="宋体"/>
          <w:b/>
          <w:sz w:val="28"/>
          <w:szCs w:val="28"/>
        </w:rPr>
        <w:t>第一章</w:t>
      </w:r>
      <w:r>
        <w:rPr>
          <w:rFonts w:ascii="宋体" w:hAnsi="宋体" w:eastAsia="宋体" w:cs="Times New Roman"/>
          <w:sz w:val="28"/>
          <w:szCs w:val="28"/>
        </w:rPr>
        <w:tab/>
      </w:r>
      <w:r>
        <w:rPr>
          <w:rFonts w:hint="eastAsia" w:ascii="宋体" w:hAnsi="宋体" w:eastAsia="宋体" w:cs="Times New Roman"/>
          <w:b/>
          <w:bCs/>
          <w:sz w:val="28"/>
          <w:szCs w:val="28"/>
        </w:rPr>
        <w:t>竞争性磋商公告</w:t>
      </w:r>
      <w:r>
        <w:rPr>
          <w:rFonts w:ascii="宋体" w:hAnsi="宋体" w:eastAsia="宋体" w:cs="宋体"/>
          <w:sz w:val="28"/>
          <w:szCs w:val="28"/>
        </w:rPr>
        <w:tab/>
      </w:r>
      <w:r>
        <w:rPr>
          <w:rFonts w:ascii="宋体" w:hAnsi="宋体" w:eastAsia="宋体" w:cs="宋体"/>
          <w:sz w:val="28"/>
          <w:szCs w:val="28"/>
        </w:rPr>
        <w:fldChar w:fldCharType="begin"/>
      </w:r>
      <w:r>
        <w:rPr>
          <w:rFonts w:ascii="宋体" w:hAnsi="宋体" w:eastAsia="宋体" w:cs="宋体"/>
          <w:sz w:val="28"/>
          <w:szCs w:val="28"/>
        </w:rPr>
        <w:instrText xml:space="preserve"> PAGEREF _Toc23774424 \h </w:instrText>
      </w:r>
      <w:r>
        <w:rPr>
          <w:rFonts w:ascii="宋体" w:hAnsi="宋体" w:eastAsia="宋体" w:cs="宋体"/>
          <w:sz w:val="28"/>
          <w:szCs w:val="28"/>
        </w:rPr>
        <w:fldChar w:fldCharType="separate"/>
      </w:r>
      <w:r>
        <w:rPr>
          <w:rFonts w:ascii="宋体" w:hAnsi="宋体" w:eastAsia="宋体" w:cs="宋体"/>
          <w:sz w:val="28"/>
          <w:szCs w:val="28"/>
        </w:rPr>
        <w:t>2</w:t>
      </w:r>
      <w:r>
        <w:rPr>
          <w:rFonts w:ascii="宋体" w:hAnsi="宋体" w:eastAsia="宋体" w:cs="宋体"/>
          <w:sz w:val="28"/>
          <w:szCs w:val="28"/>
        </w:rPr>
        <w:fldChar w:fldCharType="end"/>
      </w:r>
      <w:r>
        <w:rPr>
          <w:rFonts w:ascii="宋体" w:hAnsi="宋体" w:eastAsia="宋体" w:cs="宋体"/>
          <w:sz w:val="28"/>
          <w:szCs w:val="28"/>
        </w:rPr>
        <w:fldChar w:fldCharType="end"/>
      </w:r>
    </w:p>
    <w:p w14:paraId="5EAEA84B">
      <w:pPr>
        <w:tabs>
          <w:tab w:val="left" w:pos="1050"/>
          <w:tab w:val="right" w:leader="dot" w:pos="9629"/>
        </w:tabs>
        <w:wordWrap w:val="0"/>
        <w:topLinePunct/>
        <w:spacing w:line="480" w:lineRule="auto"/>
        <w:jc w:val="both"/>
        <w:rPr>
          <w:rFonts w:ascii="宋体" w:hAnsi="宋体" w:eastAsia="宋体" w:cs="宋体"/>
          <w:sz w:val="28"/>
          <w:szCs w:val="28"/>
        </w:rPr>
      </w:pPr>
      <w:r>
        <w:fldChar w:fldCharType="begin"/>
      </w:r>
      <w:r>
        <w:instrText xml:space="preserve"> HYPERLINK \l "_Toc23774425" </w:instrText>
      </w:r>
      <w:r>
        <w:fldChar w:fldCharType="separate"/>
      </w:r>
      <w:r>
        <w:rPr>
          <w:rFonts w:hint="eastAsia" w:ascii="宋体" w:hAnsi="宋体" w:eastAsia="宋体" w:cs="宋体"/>
          <w:b/>
          <w:sz w:val="28"/>
          <w:szCs w:val="28"/>
        </w:rPr>
        <w:t>第二章</w:t>
      </w:r>
      <w:r>
        <w:rPr>
          <w:rFonts w:ascii="宋体" w:hAnsi="宋体" w:eastAsia="宋体" w:cs="Times New Roman"/>
          <w:sz w:val="28"/>
          <w:szCs w:val="28"/>
        </w:rPr>
        <w:tab/>
      </w:r>
      <w:r>
        <w:rPr>
          <w:rFonts w:hint="eastAsia" w:ascii="宋体" w:hAnsi="宋体" w:eastAsia="宋体" w:cs="宋体"/>
          <w:b/>
          <w:bCs/>
          <w:sz w:val="28"/>
          <w:szCs w:val="28"/>
        </w:rPr>
        <w:t>供应商须知</w:t>
      </w:r>
      <w:r>
        <w:rPr>
          <w:rFonts w:ascii="宋体" w:hAnsi="宋体" w:eastAsia="宋体" w:cs="宋体"/>
          <w:sz w:val="28"/>
          <w:szCs w:val="28"/>
        </w:rPr>
        <w:tab/>
      </w:r>
      <w:r>
        <w:rPr>
          <w:rFonts w:ascii="宋体" w:hAnsi="宋体" w:eastAsia="宋体" w:cs="宋体"/>
          <w:sz w:val="28"/>
          <w:szCs w:val="28"/>
        </w:rPr>
        <w:t>7</w:t>
      </w:r>
      <w:r>
        <w:rPr>
          <w:rFonts w:ascii="宋体" w:hAnsi="宋体" w:eastAsia="宋体" w:cs="宋体"/>
          <w:sz w:val="28"/>
          <w:szCs w:val="28"/>
        </w:rPr>
        <w:fldChar w:fldCharType="end"/>
      </w:r>
    </w:p>
    <w:p w14:paraId="56D9F42A">
      <w:pPr>
        <w:tabs>
          <w:tab w:val="left" w:pos="1050"/>
          <w:tab w:val="right" w:leader="dot" w:pos="9629"/>
        </w:tabs>
        <w:wordWrap w:val="0"/>
        <w:topLinePunct/>
        <w:spacing w:line="480" w:lineRule="auto"/>
        <w:jc w:val="both"/>
        <w:rPr>
          <w:rFonts w:hint="eastAsia" w:eastAsia="宋体"/>
          <w:lang w:val="en-US" w:eastAsia="zh-CN"/>
        </w:rPr>
      </w:pPr>
      <w:r>
        <w:fldChar w:fldCharType="begin"/>
      </w:r>
      <w:r>
        <w:instrText xml:space="preserve"> HYPERLINK \l "_Toc23774436" </w:instrText>
      </w:r>
      <w:r>
        <w:fldChar w:fldCharType="separate"/>
      </w:r>
      <w:r>
        <w:rPr>
          <w:rFonts w:hint="eastAsia" w:ascii="宋体" w:hAnsi="宋体" w:eastAsia="宋体" w:cs="宋体"/>
          <w:b/>
          <w:bCs/>
          <w:sz w:val="28"/>
          <w:szCs w:val="28"/>
        </w:rPr>
        <w:t>第三章</w:t>
      </w:r>
      <w:r>
        <w:rPr>
          <w:rFonts w:ascii="宋体" w:hAnsi="宋体" w:eastAsia="宋体" w:cs="Times New Roman"/>
          <w:sz w:val="28"/>
          <w:szCs w:val="28"/>
        </w:rPr>
        <w:tab/>
      </w:r>
      <w:r>
        <w:rPr>
          <w:rFonts w:hint="eastAsia" w:ascii="宋体" w:hAnsi="宋体" w:eastAsia="宋体" w:cs="宋体"/>
          <w:b/>
          <w:bCs/>
          <w:sz w:val="28"/>
          <w:szCs w:val="28"/>
        </w:rPr>
        <w:t>服务内容及技术要求</w:t>
      </w:r>
      <w:r>
        <w:rPr>
          <w:rFonts w:ascii="宋体" w:hAnsi="宋体" w:eastAsia="宋体" w:cs="宋体"/>
          <w:sz w:val="28"/>
          <w:szCs w:val="28"/>
        </w:rPr>
        <w:tab/>
      </w:r>
      <w:r>
        <w:rPr>
          <w:rFonts w:hint="eastAsia" w:ascii="宋体" w:hAnsi="宋体" w:eastAsia="宋体" w:cs="宋体"/>
          <w:sz w:val="28"/>
          <w:szCs w:val="28"/>
          <w:lang w:val="en-US" w:eastAsia="zh-CN"/>
        </w:rPr>
        <w:t>2</w:t>
      </w:r>
      <w:r>
        <w:rPr>
          <w:rFonts w:ascii="宋体" w:hAnsi="宋体" w:eastAsia="宋体" w:cs="宋体"/>
          <w:sz w:val="28"/>
          <w:szCs w:val="28"/>
        </w:rPr>
        <w:fldChar w:fldCharType="end"/>
      </w:r>
      <w:r>
        <w:rPr>
          <w:rFonts w:hint="eastAsia" w:ascii="宋体" w:hAnsi="宋体" w:eastAsia="宋体" w:cs="宋体"/>
          <w:sz w:val="28"/>
          <w:szCs w:val="28"/>
          <w:lang w:val="en-US" w:eastAsia="zh-CN"/>
        </w:rPr>
        <w:t>9</w:t>
      </w:r>
    </w:p>
    <w:p w14:paraId="49500A46">
      <w:pPr>
        <w:tabs>
          <w:tab w:val="left" w:pos="1050"/>
          <w:tab w:val="right" w:leader="dot" w:pos="9629"/>
        </w:tabs>
        <w:wordWrap w:val="0"/>
        <w:topLinePunct/>
        <w:spacing w:line="480" w:lineRule="auto"/>
        <w:jc w:val="both"/>
        <w:rPr>
          <w:rFonts w:hint="eastAsia" w:ascii="宋体" w:hAnsi="宋体" w:eastAsia="宋体" w:cs="Times New Roman"/>
          <w:sz w:val="28"/>
          <w:szCs w:val="28"/>
          <w:lang w:val="en-US" w:eastAsia="zh-CN"/>
        </w:rPr>
      </w:pPr>
      <w:r>
        <w:fldChar w:fldCharType="begin"/>
      </w:r>
      <w:r>
        <w:instrText xml:space="preserve"> HYPERLINK \l "_Toc23774436" </w:instrText>
      </w:r>
      <w: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四</w:t>
      </w:r>
      <w:r>
        <w:rPr>
          <w:rFonts w:hint="eastAsia" w:ascii="宋体" w:hAnsi="宋体" w:eastAsia="宋体" w:cs="宋体"/>
          <w:b/>
          <w:bCs/>
          <w:sz w:val="28"/>
          <w:szCs w:val="28"/>
        </w:rPr>
        <w:t>章</w:t>
      </w:r>
      <w:r>
        <w:rPr>
          <w:rFonts w:ascii="宋体" w:hAnsi="宋体" w:eastAsia="宋体" w:cs="Times New Roman"/>
          <w:sz w:val="28"/>
          <w:szCs w:val="28"/>
        </w:rPr>
        <w:tab/>
      </w:r>
      <w:r>
        <w:rPr>
          <w:rFonts w:hint="eastAsia" w:ascii="宋体" w:hAnsi="宋体" w:eastAsia="宋体" w:cs="宋体"/>
          <w:b/>
          <w:bCs/>
          <w:sz w:val="28"/>
          <w:szCs w:val="28"/>
        </w:rPr>
        <w:t>评审办法</w:t>
      </w:r>
      <w:r>
        <w:rPr>
          <w:rFonts w:ascii="宋体" w:hAnsi="宋体" w:eastAsia="宋体" w:cs="宋体"/>
          <w:sz w:val="28"/>
          <w:szCs w:val="28"/>
        </w:rPr>
        <w:tab/>
      </w:r>
      <w:r>
        <w:rPr>
          <w:rFonts w:hint="eastAsia" w:ascii="宋体" w:hAnsi="宋体" w:eastAsia="宋体" w:cs="宋体"/>
          <w:sz w:val="28"/>
          <w:szCs w:val="28"/>
          <w:lang w:val="en-US" w:eastAsia="zh-CN"/>
        </w:rPr>
        <w:t>3</w:t>
      </w:r>
      <w:r>
        <w:rPr>
          <w:rFonts w:ascii="宋体" w:hAnsi="宋体" w:eastAsia="宋体" w:cs="宋体"/>
          <w:sz w:val="28"/>
          <w:szCs w:val="28"/>
        </w:rPr>
        <w:fldChar w:fldCharType="end"/>
      </w:r>
      <w:r>
        <w:rPr>
          <w:rFonts w:hint="eastAsia" w:ascii="宋体" w:hAnsi="宋体" w:eastAsia="宋体" w:cs="宋体"/>
          <w:sz w:val="28"/>
          <w:szCs w:val="28"/>
          <w:lang w:val="en-US" w:eastAsia="zh-CN"/>
        </w:rPr>
        <w:t>0</w:t>
      </w:r>
    </w:p>
    <w:p w14:paraId="48DE67F3">
      <w:pPr>
        <w:tabs>
          <w:tab w:val="left" w:pos="1050"/>
          <w:tab w:val="right" w:leader="dot" w:pos="9629"/>
        </w:tabs>
        <w:wordWrap w:val="0"/>
        <w:topLinePunct/>
        <w:spacing w:line="480" w:lineRule="auto"/>
        <w:jc w:val="both"/>
        <w:rPr>
          <w:rFonts w:hint="eastAsia" w:ascii="宋体" w:hAnsi="宋体" w:eastAsia="宋体" w:cs="Times New Roman"/>
          <w:sz w:val="28"/>
          <w:szCs w:val="28"/>
          <w:lang w:val="en-US" w:eastAsia="zh-CN"/>
        </w:rPr>
      </w:pPr>
      <w:r>
        <w:fldChar w:fldCharType="begin"/>
      </w:r>
      <w:r>
        <w:instrText xml:space="preserve"> HYPERLINK \l "_Toc23774437" </w:instrText>
      </w:r>
      <w: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五</w:t>
      </w:r>
      <w:r>
        <w:rPr>
          <w:rFonts w:hint="eastAsia" w:ascii="宋体" w:hAnsi="宋体" w:eastAsia="宋体" w:cs="宋体"/>
          <w:b/>
          <w:bCs/>
          <w:sz w:val="28"/>
          <w:szCs w:val="28"/>
        </w:rPr>
        <w:t>章</w:t>
      </w:r>
      <w:r>
        <w:rPr>
          <w:rFonts w:ascii="宋体" w:hAnsi="宋体" w:eastAsia="宋体" w:cs="Times New Roman"/>
          <w:sz w:val="28"/>
          <w:szCs w:val="28"/>
        </w:rPr>
        <w:tab/>
      </w:r>
      <w:r>
        <w:rPr>
          <w:rFonts w:hint="eastAsia" w:ascii="宋体" w:hAnsi="宋体" w:eastAsia="宋体" w:cs="宋体"/>
          <w:b/>
          <w:bCs/>
          <w:sz w:val="28"/>
          <w:szCs w:val="28"/>
        </w:rPr>
        <w:t>合同条款及格式</w:t>
      </w:r>
      <w:r>
        <w:rPr>
          <w:rFonts w:ascii="宋体" w:hAnsi="宋体" w:eastAsia="宋体" w:cs="宋体"/>
          <w:sz w:val="28"/>
          <w:szCs w:val="28"/>
        </w:rPr>
        <w:tab/>
      </w:r>
      <w:r>
        <w:rPr>
          <w:rFonts w:hint="eastAsia" w:ascii="宋体" w:hAnsi="宋体" w:eastAsia="宋体" w:cs="宋体"/>
          <w:sz w:val="28"/>
          <w:szCs w:val="28"/>
          <w:lang w:val="en-US" w:eastAsia="zh-CN"/>
        </w:rPr>
        <w:t>3</w:t>
      </w:r>
      <w:r>
        <w:rPr>
          <w:rFonts w:ascii="宋体" w:hAnsi="宋体" w:eastAsia="宋体" w:cs="宋体"/>
          <w:sz w:val="28"/>
          <w:szCs w:val="28"/>
        </w:rPr>
        <w:fldChar w:fldCharType="end"/>
      </w:r>
      <w:r>
        <w:rPr>
          <w:rFonts w:hint="eastAsia" w:ascii="宋体" w:hAnsi="宋体" w:eastAsia="宋体" w:cs="宋体"/>
          <w:sz w:val="28"/>
          <w:szCs w:val="28"/>
          <w:lang w:val="en-US" w:eastAsia="zh-CN"/>
        </w:rPr>
        <w:t>9</w:t>
      </w:r>
    </w:p>
    <w:p w14:paraId="1C0FF579">
      <w:pPr>
        <w:tabs>
          <w:tab w:val="left" w:pos="1050"/>
          <w:tab w:val="right" w:leader="dot" w:pos="9629"/>
        </w:tabs>
        <w:wordWrap w:val="0"/>
        <w:topLinePunct/>
        <w:spacing w:line="480" w:lineRule="auto"/>
        <w:jc w:val="both"/>
        <w:rPr>
          <w:rFonts w:hint="eastAsia" w:ascii="宋体" w:hAnsi="宋体" w:eastAsia="宋体" w:cs="Times New Roman"/>
          <w:sz w:val="28"/>
          <w:szCs w:val="28"/>
          <w:lang w:val="en-US" w:eastAsia="zh-CN"/>
        </w:rPr>
      </w:pPr>
      <w:r>
        <w:fldChar w:fldCharType="begin"/>
      </w:r>
      <w:r>
        <w:instrText xml:space="preserve"> HYPERLINK \l "_Toc23774491" </w:instrText>
      </w:r>
      <w:r>
        <w:fldChar w:fldCharType="separate"/>
      </w:r>
      <w:r>
        <w:rPr>
          <w:rFonts w:hint="eastAsia" w:ascii="宋体" w:hAnsi="宋体" w:eastAsia="宋体" w:cs="宋体"/>
          <w:b/>
          <w:bCs/>
          <w:sz w:val="28"/>
          <w:szCs w:val="28"/>
        </w:rPr>
        <w:t>第</w:t>
      </w:r>
      <w:r>
        <w:rPr>
          <w:rFonts w:hint="eastAsia" w:ascii="宋体" w:hAnsi="宋体" w:eastAsia="宋体" w:cs="宋体"/>
          <w:b/>
          <w:bCs/>
          <w:sz w:val="28"/>
          <w:szCs w:val="28"/>
          <w:lang w:eastAsia="zh-CN"/>
        </w:rPr>
        <w:t>六</w:t>
      </w:r>
      <w:r>
        <w:rPr>
          <w:rFonts w:hint="eastAsia" w:ascii="宋体" w:hAnsi="宋体" w:eastAsia="宋体" w:cs="宋体"/>
          <w:b/>
          <w:bCs/>
          <w:sz w:val="28"/>
          <w:szCs w:val="28"/>
        </w:rPr>
        <w:t>章</w:t>
      </w:r>
      <w:r>
        <w:rPr>
          <w:rFonts w:ascii="宋体" w:hAnsi="宋体" w:eastAsia="宋体" w:cs="Times New Roman"/>
          <w:sz w:val="28"/>
          <w:szCs w:val="28"/>
        </w:rPr>
        <w:tab/>
      </w:r>
      <w:r>
        <w:rPr>
          <w:rFonts w:hint="eastAsia" w:ascii="宋体" w:hAnsi="宋体" w:eastAsia="宋体" w:cs="宋体"/>
          <w:b/>
          <w:bCs/>
          <w:sz w:val="28"/>
          <w:szCs w:val="28"/>
        </w:rPr>
        <w:t>响应文件格式</w:t>
      </w:r>
      <w:r>
        <w:rPr>
          <w:rFonts w:ascii="宋体" w:hAnsi="宋体" w:eastAsia="宋体" w:cs="宋体"/>
          <w:sz w:val="28"/>
          <w:szCs w:val="28"/>
        </w:rPr>
        <w:tab/>
      </w:r>
      <w:r>
        <w:rPr>
          <w:rFonts w:hint="eastAsia" w:ascii="宋体" w:hAnsi="宋体" w:eastAsia="宋体" w:cs="宋体"/>
          <w:sz w:val="28"/>
          <w:szCs w:val="28"/>
          <w:lang w:val="en-US" w:eastAsia="zh-CN"/>
        </w:rPr>
        <w:t>4</w:t>
      </w:r>
      <w:r>
        <w:rPr>
          <w:rFonts w:ascii="宋体" w:hAnsi="宋体" w:eastAsia="宋体" w:cs="宋体"/>
          <w:sz w:val="28"/>
          <w:szCs w:val="28"/>
        </w:rPr>
        <w:fldChar w:fldCharType="end"/>
      </w:r>
      <w:r>
        <w:rPr>
          <w:rFonts w:hint="eastAsia" w:ascii="宋体" w:hAnsi="宋体" w:eastAsia="宋体" w:cs="宋体"/>
          <w:sz w:val="28"/>
          <w:szCs w:val="28"/>
          <w:lang w:val="en-US" w:eastAsia="zh-CN"/>
        </w:rPr>
        <w:t>3</w:t>
      </w:r>
    </w:p>
    <w:p w14:paraId="6374582E">
      <w:pPr>
        <w:wordWrap w:val="0"/>
        <w:topLinePunct/>
        <w:spacing w:line="300" w:lineRule="auto"/>
        <w:jc w:val="left"/>
        <w:rPr>
          <w:rFonts w:ascii="宋体" w:hAnsi="宋体" w:eastAsia="宋体" w:cs="宋体"/>
          <w:szCs w:val="21"/>
        </w:rPr>
      </w:pPr>
      <w:r>
        <w:rPr>
          <w:rFonts w:ascii="宋体" w:hAnsi="宋体" w:eastAsia="宋体" w:cs="宋体"/>
          <w:sz w:val="28"/>
          <w:szCs w:val="28"/>
        </w:rPr>
        <w:fldChar w:fldCharType="end"/>
      </w:r>
    </w:p>
    <w:p w14:paraId="56AF1521">
      <w:pPr>
        <w:spacing w:line="348" w:lineRule="auto"/>
        <w:ind w:firstLine="643" w:firstLineChars="200"/>
        <w:jc w:val="center"/>
        <w:rPr>
          <w:rFonts w:ascii="宋体" w:hAnsi="宋体" w:eastAsia="宋体" w:cs="宋体"/>
          <w:b/>
          <w:sz w:val="24"/>
          <w:szCs w:val="24"/>
        </w:rPr>
      </w:pPr>
      <w:r>
        <w:rPr>
          <w:rFonts w:hint="eastAsia" w:ascii="宋体" w:hAnsi="宋体" w:eastAsia="宋体" w:cs="宋体"/>
          <w:b/>
          <w:bCs/>
          <w:sz w:val="32"/>
          <w:szCs w:val="32"/>
        </w:rPr>
        <w:br w:type="page"/>
      </w:r>
      <w:bookmarkEnd w:id="0"/>
      <w:bookmarkStart w:id="1" w:name="_Toc23774424"/>
      <w:bookmarkStart w:id="2" w:name="_Toc410126998"/>
      <w:r>
        <w:rPr>
          <w:rFonts w:hint="eastAsia" w:ascii="宋体" w:hAnsi="宋体" w:eastAsia="宋体" w:cs="宋体"/>
          <w:b/>
          <w:bCs/>
          <w:sz w:val="30"/>
          <w:szCs w:val="30"/>
        </w:rPr>
        <w:t xml:space="preserve">第一章  </w:t>
      </w:r>
      <w:r>
        <w:rPr>
          <w:rFonts w:hint="eastAsia" w:ascii="宋体" w:hAnsi="宋体" w:eastAsia="宋体" w:cs="宋体"/>
          <w:b/>
          <w:sz w:val="30"/>
          <w:szCs w:val="30"/>
        </w:rPr>
        <w:t>竞争性磋商公告</w:t>
      </w:r>
      <w:bookmarkEnd w:id="1"/>
    </w:p>
    <w:p w14:paraId="70DE19FC">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bookmarkStart w:id="3" w:name="OLE_LINK1"/>
      <w:r>
        <w:rPr>
          <w:rFonts w:hint="eastAsia" w:ascii="宋体" w:hAnsi="宋体" w:eastAsia="宋体" w:cs="宋体"/>
          <w:sz w:val="24"/>
          <w:szCs w:val="24"/>
          <w:lang w:eastAsia="zh-CN"/>
        </w:rPr>
        <w:t>卢氏县2026年度国土空间总体规划动态调整完善工作项目</w:t>
      </w:r>
      <w:r>
        <w:rPr>
          <w:rFonts w:hint="eastAsia" w:ascii="宋体" w:hAnsi="宋体" w:eastAsia="宋体" w:cs="宋体"/>
          <w:sz w:val="24"/>
          <w:szCs w:val="24"/>
        </w:rPr>
        <w:t>已经有关部门批准。本项目已具备招标条件，</w:t>
      </w:r>
      <w:r>
        <w:rPr>
          <w:rFonts w:hint="eastAsia" w:ascii="宋体" w:hAnsi="宋体" w:eastAsia="宋体" w:cs="宋体"/>
          <w:sz w:val="24"/>
          <w:szCs w:val="24"/>
          <w:lang w:eastAsia="zh-CN"/>
        </w:rPr>
        <w:t>中赞国际项目管理有限公司</w:t>
      </w:r>
      <w:r>
        <w:rPr>
          <w:rFonts w:hint="eastAsia" w:ascii="宋体" w:hAnsi="宋体" w:eastAsia="宋体" w:cs="宋体"/>
          <w:sz w:val="24"/>
          <w:szCs w:val="24"/>
        </w:rPr>
        <w:t>受</w:t>
      </w:r>
      <w:r>
        <w:rPr>
          <w:rFonts w:hint="eastAsia" w:ascii="宋体" w:hAnsi="宋体" w:eastAsia="宋体" w:cs="宋体"/>
          <w:sz w:val="24"/>
          <w:szCs w:val="24"/>
          <w:lang w:eastAsia="zh-CN"/>
        </w:rPr>
        <w:t>卢氏县自然资源局</w:t>
      </w:r>
      <w:r>
        <w:rPr>
          <w:rFonts w:hint="eastAsia" w:ascii="宋体" w:hAnsi="宋体" w:eastAsia="宋体" w:cs="宋体"/>
          <w:sz w:val="24"/>
          <w:szCs w:val="24"/>
        </w:rPr>
        <w:t>委托，现对该项目进行</w:t>
      </w:r>
      <w:r>
        <w:rPr>
          <w:rFonts w:hint="eastAsia" w:ascii="宋体" w:hAnsi="宋体" w:eastAsia="宋体" w:cs="宋体"/>
          <w:sz w:val="24"/>
          <w:szCs w:val="24"/>
          <w:lang w:eastAsia="zh-CN"/>
        </w:rPr>
        <w:t>竞争性磋商，</w:t>
      </w:r>
      <w:r>
        <w:rPr>
          <w:rFonts w:hint="eastAsia" w:ascii="宋体" w:hAnsi="宋体" w:eastAsia="宋体" w:cs="宋体"/>
          <w:sz w:val="24"/>
          <w:szCs w:val="24"/>
        </w:rPr>
        <w:t>欢迎符合条件的供应商参加。</w:t>
      </w:r>
    </w:p>
    <w:p w14:paraId="51026132">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、项目概况</w:t>
      </w:r>
    </w:p>
    <w:p w14:paraId="429F8C5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卢氏县2026年度国土空间总体规划动态调整完善工作项目</w:t>
      </w:r>
    </w:p>
    <w:p w14:paraId="20C2F775">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2、项目编号：三卢竞磋采购-2026-34、LSGZ[2026]091-ZC067</w:t>
      </w:r>
    </w:p>
    <w:p w14:paraId="248E50AC">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3、磋商</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对卢氏县</w:t>
      </w:r>
      <w:r>
        <w:rPr>
          <w:rFonts w:hint="eastAsia" w:ascii="宋体" w:hAnsi="宋体" w:eastAsia="宋体" w:cs="宋体"/>
          <w:color w:val="auto"/>
          <w:sz w:val="24"/>
          <w:szCs w:val="24"/>
          <w:lang w:val="en-US" w:eastAsia="zh-CN"/>
        </w:rPr>
        <w:t>2026年国土空间规划</w:t>
      </w:r>
      <w:r>
        <w:rPr>
          <w:rFonts w:hint="eastAsia" w:ascii="宋体" w:hAnsi="宋体" w:eastAsia="宋体" w:cs="宋体"/>
          <w:color w:val="auto"/>
          <w:sz w:val="24"/>
          <w:szCs w:val="24"/>
          <w:lang w:eastAsia="zh-CN"/>
        </w:rPr>
        <w:t>三条控制线动态调整、规划分区动态调整、中心城区用地规划布局动态调整、城市重要控制线动态调整等；</w:t>
      </w:r>
      <w:r>
        <w:rPr>
          <w:rFonts w:hint="eastAsia" w:ascii="宋体" w:hAnsi="宋体" w:eastAsia="宋体" w:cs="宋体"/>
          <w:sz w:val="24"/>
          <w:szCs w:val="24"/>
          <w:lang w:val="en-US" w:eastAsia="zh-CN"/>
        </w:rPr>
        <w:t>（详见磋商文件第三章服务内容及技术要求）</w:t>
      </w:r>
    </w:p>
    <w:p w14:paraId="687776E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4</w:t>
      </w: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r>
        <w:rPr>
          <w:rFonts w:hint="eastAsia" w:ascii="宋体" w:hAnsi="宋体" w:eastAsia="宋体" w:cs="宋体"/>
          <w:sz w:val="24"/>
          <w:szCs w:val="24"/>
        </w:rPr>
        <w:t>，已落实</w:t>
      </w:r>
      <w:r>
        <w:rPr>
          <w:rFonts w:hint="eastAsia" w:ascii="宋体" w:hAnsi="宋体" w:eastAsia="宋体" w:cs="宋体"/>
          <w:sz w:val="24"/>
          <w:szCs w:val="24"/>
          <w:lang w:eastAsia="zh-CN"/>
        </w:rPr>
        <w:t>；</w:t>
      </w:r>
    </w:p>
    <w:p w14:paraId="14832751">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、标段划分：本项目</w:t>
      </w:r>
      <w:r>
        <w:rPr>
          <w:rFonts w:hint="eastAsia" w:ascii="宋体" w:hAnsi="宋体" w:eastAsia="宋体" w:cs="宋体"/>
          <w:sz w:val="24"/>
          <w:szCs w:val="24"/>
          <w:lang w:eastAsia="zh-CN"/>
        </w:rPr>
        <w:t>不</w:t>
      </w:r>
      <w:r>
        <w:rPr>
          <w:rFonts w:hint="eastAsia" w:ascii="宋体" w:hAnsi="宋体" w:eastAsia="宋体" w:cs="宋体"/>
          <w:sz w:val="24"/>
          <w:szCs w:val="24"/>
        </w:rPr>
        <w:t>划分标段；</w:t>
      </w:r>
    </w:p>
    <w:p w14:paraId="38EF0EEA">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kern w:val="0"/>
          <w:sz w:val="24"/>
        </w:rPr>
        <w:t>预算金额：</w:t>
      </w:r>
      <w:r>
        <w:rPr>
          <w:rFonts w:hint="eastAsia" w:ascii="宋体" w:hAnsi="宋体"/>
          <w:sz w:val="24"/>
        </w:rPr>
        <w:t>￥</w:t>
      </w:r>
      <w:r>
        <w:rPr>
          <w:rFonts w:hint="eastAsia" w:ascii="宋体" w:hAnsi="宋体" w:cs="宋体"/>
          <w:kern w:val="0"/>
          <w:sz w:val="24"/>
          <w:lang w:val="en-US" w:eastAsia="zh-CN"/>
        </w:rPr>
        <w:t>856200.00</w:t>
      </w:r>
      <w:r>
        <w:rPr>
          <w:rFonts w:hint="eastAsia" w:ascii="宋体" w:hAnsi="宋体" w:cs="宋体"/>
          <w:sz w:val="24"/>
        </w:rPr>
        <w:t>元</w:t>
      </w:r>
    </w:p>
    <w:p w14:paraId="71ED8825">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服务</w:t>
      </w:r>
      <w:r>
        <w:rPr>
          <w:rFonts w:hint="eastAsia" w:ascii="宋体" w:hAnsi="宋体" w:eastAsia="宋体" w:cs="宋体"/>
          <w:sz w:val="24"/>
          <w:szCs w:val="24"/>
        </w:rPr>
        <w:t>地点：</w:t>
      </w:r>
      <w:r>
        <w:rPr>
          <w:rFonts w:hint="eastAsia" w:ascii="宋体" w:hAnsi="宋体" w:eastAsia="宋体" w:cs="宋体"/>
          <w:sz w:val="24"/>
          <w:szCs w:val="24"/>
          <w:lang w:eastAsia="zh-CN"/>
        </w:rPr>
        <w:t>采购人指定地点</w:t>
      </w:r>
      <w:r>
        <w:rPr>
          <w:rFonts w:hint="eastAsia" w:ascii="宋体" w:hAnsi="宋体" w:eastAsia="宋体" w:cs="宋体"/>
          <w:sz w:val="24"/>
          <w:szCs w:val="24"/>
        </w:rPr>
        <w:t>；</w:t>
      </w:r>
    </w:p>
    <w:p w14:paraId="5F3BB1A9">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服务期限</w:t>
      </w:r>
      <w:r>
        <w:rPr>
          <w:rFonts w:hint="eastAsia" w:ascii="宋体" w:hAnsi="宋体" w:eastAsia="宋体" w:cs="宋体"/>
          <w:sz w:val="24"/>
          <w:szCs w:val="24"/>
        </w:rPr>
        <w:t>：</w:t>
      </w:r>
      <w:r>
        <w:rPr>
          <w:rFonts w:hint="eastAsia" w:ascii="宋体" w:hAnsi="宋体" w:eastAsia="宋体" w:cs="宋体"/>
          <w:b w:val="0"/>
          <w:bCs w:val="0"/>
          <w:color w:val="000000" w:themeColor="text1"/>
          <w:kern w:val="0"/>
          <w:sz w:val="24"/>
          <w:szCs w:val="24"/>
          <w:shd w:val="clear" w:color="auto" w:fill="FFFFFF"/>
          <w:lang w:val="en-US" w:eastAsia="zh-CN"/>
          <w14:textFill>
            <w14:solidFill>
              <w14:schemeClr w14:val="tx1"/>
            </w14:solidFill>
          </w14:textFill>
        </w:rPr>
        <w:t>合同签订后45日历天内完成</w:t>
      </w:r>
      <w:r>
        <w:rPr>
          <w:rFonts w:hint="eastAsia" w:ascii="宋体" w:hAnsi="宋体" w:eastAsia="宋体" w:cs="宋体"/>
          <w:color w:val="000000" w:themeColor="text1"/>
          <w:sz w:val="24"/>
          <w:szCs w:val="24"/>
          <w:lang w:eastAsia="zh-CN"/>
          <w14:textFill>
            <w14:solidFill>
              <w14:schemeClr w14:val="tx1"/>
            </w14:solidFill>
          </w14:textFill>
        </w:rPr>
        <w:t>；</w:t>
      </w:r>
    </w:p>
    <w:p w14:paraId="6570A3B1">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质量要求</w:t>
      </w:r>
      <w:r>
        <w:rPr>
          <w:rFonts w:hint="eastAsia" w:ascii="宋体" w:hAnsi="宋体" w:eastAsia="宋体" w:cs="宋体"/>
          <w:sz w:val="24"/>
          <w:szCs w:val="24"/>
        </w:rPr>
        <w:t>：</w:t>
      </w:r>
      <w:r>
        <w:rPr>
          <w:rFonts w:hint="eastAsia" w:asciiTheme="minorEastAsia" w:hAnsiTheme="minorEastAsia" w:eastAsiaTheme="minorEastAsia" w:cstheme="minorEastAsia"/>
          <w:kern w:val="0"/>
          <w:sz w:val="24"/>
          <w:szCs w:val="24"/>
          <w:shd w:val="clear" w:color="auto" w:fill="FFFFFF"/>
        </w:rPr>
        <w:t>符合国家合格标准，且满足采购人要求</w:t>
      </w:r>
      <w:r>
        <w:rPr>
          <w:rFonts w:hint="eastAsia" w:ascii="宋体" w:hAnsi="宋体" w:eastAsia="宋体" w:cs="宋体"/>
          <w:sz w:val="24"/>
          <w:szCs w:val="24"/>
          <w:lang w:val="en-US" w:eastAsia="zh-CN"/>
        </w:rPr>
        <w:t>；</w:t>
      </w:r>
    </w:p>
    <w:p w14:paraId="5E7D48B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10、是否接受进口产品：否；</w:t>
      </w:r>
    </w:p>
    <w:p w14:paraId="7A4BF0DB">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11、是否专门面向中小企业：否；</w:t>
      </w:r>
    </w:p>
    <w:p w14:paraId="0061C96C">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sz w:val="24"/>
          <w:szCs w:val="24"/>
          <w:lang w:val="en-US" w:eastAsia="zh-CN"/>
        </w:rPr>
        <w:t>2、本项目是否接受联合体投标：是。</w:t>
      </w:r>
    </w:p>
    <w:p w14:paraId="58BEA01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themeColor="text1"/>
          <w:sz w:val="24"/>
          <w:szCs w:val="28"/>
          <w:highlight w:val="none"/>
          <w:lang w:val="en-US" w:eastAsia="zh-CN"/>
          <w14:textFill>
            <w14:solidFill>
              <w14:schemeClr w14:val="tx1"/>
            </w14:solidFill>
          </w14:textFill>
        </w:rPr>
      </w:pPr>
      <w:r>
        <w:rPr>
          <w:rFonts w:hint="eastAsia" w:ascii="宋体" w:hAnsi="宋体" w:eastAsia="宋体" w:cs="宋体"/>
          <w:bCs/>
          <w:color w:val="auto"/>
          <w:sz w:val="24"/>
          <w:szCs w:val="28"/>
          <w:highlight w:val="none"/>
          <w:lang w:val="en-US" w:eastAsia="zh-CN"/>
        </w:rPr>
        <w:t>2、落实政府采购政策满足的资格要求</w:t>
      </w:r>
      <w:r>
        <w:rPr>
          <w:rFonts w:hint="eastAsia" w:ascii="宋体" w:hAnsi="宋体" w:eastAsia="宋体" w:cs="宋体"/>
          <w:bCs/>
          <w:color w:val="000000" w:themeColor="text1"/>
          <w:sz w:val="24"/>
          <w:szCs w:val="28"/>
          <w:highlight w:val="none"/>
          <w:lang w:val="en-US" w:eastAsia="zh-CN"/>
          <w14:textFill>
            <w14:solidFill>
              <w14:schemeClr w14:val="tx1"/>
            </w14:solidFill>
          </w14:textFill>
        </w:rPr>
        <w:t>：本项目执行促进中小型企业发展政策（残疾人福利性企业、监狱企业视同小微企业）、优先采购节能环保产品等政府采购政策；</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7A61A97A">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3.1供应商具有独立承担民事责任的能力，具有效的营业执照或其他证明材料；</w:t>
      </w:r>
    </w:p>
    <w:p w14:paraId="0AE298B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3.2供应商须同时具备城乡规划编制甲级资质和土地规划编制乙级及以上资质</w:t>
      </w:r>
      <w:r>
        <w:rPr>
          <w:rFonts w:hint="eastAsia" w:ascii="宋体" w:hAnsi="宋体" w:eastAsia="宋体" w:cs="宋体"/>
          <w:color w:val="auto"/>
          <w:sz w:val="24"/>
          <w:szCs w:val="24"/>
          <w:lang w:val="en-US" w:eastAsia="zh-CN"/>
        </w:rPr>
        <w:t>（若投标人为联合体投标，联合体成员可分别具备以上资质要求），并在人员、设备、资金等方面具备相应的能力；</w:t>
      </w:r>
    </w:p>
    <w:p w14:paraId="39418ADC">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val="en-US" w:eastAsia="zh-CN"/>
        </w:rPr>
        <w:t>3.3项目负责人须具备相关专业高级及以上工程师和注册城乡规划师资格，为本单位员工，提供劳动合同及近期在本单位参加社会养老保险的证明材料；</w:t>
      </w:r>
    </w:p>
    <w:p w14:paraId="55DF9B6F">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3.4具有良好的财务状况且没有处于被责令停业：投标人须提供近三年任意一年的经第三方审计机构出具的审计报告或财务报表；</w:t>
      </w:r>
    </w:p>
    <w:p w14:paraId="58ACEE39">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3.5依法缴纳税收和社会保障资金；</w:t>
      </w:r>
    </w:p>
    <w:p w14:paraId="0D34FB3F">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参加政府采购活动前3年内无行贿犯罪记录（提供《中国裁判文书网》查询结果网页截图或企业自行承诺的无行贿犯罪承诺书，查询&lt;承诺&gt;对象为“企业，法定代表人、项目负责人”，查询日期必须在公告发布之日后）；</w:t>
      </w:r>
    </w:p>
    <w:p w14:paraId="205F5A7D">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3.7参加政府采购活动前3年内无商业贿赂、不正当竞争行为、骗取中标、严重违约及重大工程质量等问题（投标人须自行出具承诺书）；</w:t>
      </w:r>
    </w:p>
    <w:p w14:paraId="2710A2CC">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70069AF6">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3.9单位负责人为同一人或者存在直接控股、管理关系的不同供应商，不得参加同一合同项下的政府采购活动；</w:t>
      </w:r>
    </w:p>
    <w:p w14:paraId="1E4ED9A0">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3.10本次招标实行资格后审。</w:t>
      </w:r>
    </w:p>
    <w:p w14:paraId="274BA369">
      <w:pPr>
        <w:widowControl/>
        <w:spacing w:line="360" w:lineRule="auto"/>
        <w:ind w:firstLine="480" w:firstLineChars="200"/>
        <w:rPr>
          <w:rFonts w:hint="eastAsia" w:ascii="宋体" w:hAnsi="宋体" w:cs="宋体"/>
          <w:sz w:val="24"/>
          <w:szCs w:val="24"/>
        </w:rPr>
      </w:pPr>
      <w:r>
        <w:rPr>
          <w:rFonts w:hint="eastAsia" w:ascii="宋体" w:hAnsi="宋体" w:eastAsia="宋体" w:cs="宋体"/>
          <w:kern w:val="0"/>
          <w:sz w:val="24"/>
          <w:szCs w:val="24"/>
          <w:lang w:val="en-US" w:eastAsia="zh-CN"/>
        </w:rPr>
        <w:t>注：被列入失信被执行人及重大税收违法失信主体的企业做无效标处理。招标人或代理机构有权对投标人信用记录进行甄别和复查；</w:t>
      </w:r>
    </w:p>
    <w:p w14:paraId="4EF44ED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、磋商文件的获取方式</w:t>
      </w:r>
    </w:p>
    <w:bookmarkEnd w:id="3"/>
    <w:p w14:paraId="717CCBBC">
      <w:pPr>
        <w:widowControl/>
        <w:spacing w:line="360" w:lineRule="auto"/>
        <w:ind w:firstLine="480" w:firstLineChars="200"/>
        <w:rPr>
          <w:rFonts w:hint="eastAsia" w:ascii="宋体" w:hAnsi="宋体" w:eastAsia="宋体" w:cs="宋体"/>
          <w:color w:val="auto"/>
          <w:kern w:val="0"/>
          <w:sz w:val="24"/>
          <w:szCs w:val="24"/>
          <w:lang w:val="en-US" w:eastAsia="zh-CN"/>
        </w:rPr>
      </w:pPr>
      <w:bookmarkStart w:id="4" w:name="_Toc1254"/>
      <w:bookmarkStart w:id="5" w:name="_Toc23774425"/>
      <w:bookmarkStart w:id="6" w:name="_Toc270604573"/>
      <w:r>
        <w:rPr>
          <w:rFonts w:hint="eastAsia" w:ascii="宋体" w:hAnsi="宋体" w:eastAsia="宋体" w:cs="宋体"/>
          <w:color w:val="000000" w:themeColor="text1"/>
          <w:kern w:val="0"/>
          <w:sz w:val="24"/>
          <w:szCs w:val="24"/>
          <w:lang w:val="en-US" w:eastAsia="zh-CN"/>
          <w14:textFill>
            <w14:solidFill>
              <w14:schemeClr w14:val="tx1"/>
            </w14:solidFill>
          </w14:textFill>
        </w:rPr>
        <w:t>1、时间</w:t>
      </w:r>
      <w:r>
        <w:rPr>
          <w:rFonts w:hint="eastAsia" w:ascii="宋体" w:hAnsi="宋体" w:eastAsia="宋体" w:cs="宋体"/>
          <w:color w:val="auto"/>
          <w:kern w:val="0"/>
          <w:sz w:val="24"/>
          <w:szCs w:val="24"/>
          <w:lang w:val="en-US" w:eastAsia="zh-CN"/>
        </w:rPr>
        <w:t>：2026年05月26日08时00分至2026年06月05日08时40分；</w:t>
      </w:r>
    </w:p>
    <w:p w14:paraId="4DF55BCE">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2、地点：三门峡市公共资源交易中心电子交易系统；</w:t>
      </w:r>
    </w:p>
    <w:p w14:paraId="4D8B42E0">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3、方式：本项目没有报名环节，投标人凭CA数字证书通过三门峡市公共资源交易中心网（网址：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"http://gzjy.smx.gov.cn），点击交易平台选择\“市场主体登录\”，在所参与项目右侧点击参与投标，即可直接下载本项目招标文件；"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http://gzjy.smx.gov.cn），点击交易平台选择“市场主体登录”，在所参与项目右侧点击参与投标，即可直接下载本项目磋商文件；</w:t>
      </w:r>
      <w:r>
        <w:rPr>
          <w:rFonts w:hint="eastAsia" w:ascii="宋体" w:hAnsi="宋体" w:eastAsia="宋体" w:cs="宋体"/>
          <w:kern w:val="0"/>
          <w:sz w:val="24"/>
          <w:szCs w:val="24"/>
          <w:lang w:val="en-US" w:eastAsia="zh-CN"/>
        </w:rPr>
        <w:fldChar w:fldCharType="end"/>
      </w:r>
    </w:p>
    <w:p w14:paraId="0B1F7B11">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办理CA证书：http://gzjy.smx.gov.cn/fwzn/004003/20201019/a8fae6a0-baed-499b-bb50-8ecc8828a2ca.html</w:t>
      </w:r>
    </w:p>
    <w:p w14:paraId="67DEB0CE">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项目为不见面开标项目，开标当日，投标人无需到开标现场参加开标会议，供应商应当在投标截止时间前，登陆不见面开标大厅选择登陆三门峡市公共资源电子招投标系统进行登陆,在线准时参加开标活动并进行投标文件解密等。每位投标人的解密时间为开标时间起30分钟内完成。因投标人原因未能解密、解密失败或解密超时的将被拒绝；</w:t>
      </w:r>
    </w:p>
    <w:p w14:paraId="376F9500">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5、本项目为全电子招标，不再收取磋商文件费用。</w:t>
      </w:r>
    </w:p>
    <w:p w14:paraId="05191EB2">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四、投标资料的提交</w:t>
      </w:r>
    </w:p>
    <w:p w14:paraId="6DBC80B6">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项目实行资格后审，审查内容以投标截止时间前在三门峡市公共资源交易平台上传的投标文件为准。规定时间外上传或更改的信息不作为评标依据。投标人对投标文件信息的真实性、有效性、清晰可辩性负责，否则，由此造成应得分而未得分或资格审查不合格等情况的，由供应商承担责任。同时，投标人应及时完善主体库。</w:t>
      </w:r>
    </w:p>
    <w:p w14:paraId="35CB8400">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五、投标截止时间（开标时间）及地点</w:t>
      </w:r>
    </w:p>
    <w:p w14:paraId="18A382A0">
      <w:pPr>
        <w:widowControl/>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1、投标文件递交截止时</w:t>
      </w:r>
      <w:r>
        <w:rPr>
          <w:rFonts w:hint="eastAsia" w:ascii="宋体" w:hAnsi="宋体" w:eastAsia="宋体" w:cs="宋体"/>
          <w:color w:val="auto"/>
          <w:kern w:val="0"/>
          <w:sz w:val="24"/>
          <w:szCs w:val="24"/>
          <w:lang w:val="en-US" w:eastAsia="zh-CN"/>
        </w:rPr>
        <w:t>间及开标时间：</w:t>
      </w:r>
      <w:r>
        <w:rPr>
          <w:rFonts w:hint="eastAsia" w:ascii="宋体" w:hAnsi="宋体" w:eastAsia="宋体" w:cs="宋体"/>
          <w:color w:val="000000" w:themeColor="text1"/>
          <w:kern w:val="0"/>
          <w:sz w:val="24"/>
          <w:szCs w:val="24"/>
          <w:lang w:val="en-US" w:eastAsia="zh-CN"/>
          <w14:textFill>
            <w14:solidFill>
              <w14:schemeClr w14:val="tx1"/>
            </w14:solidFill>
          </w14:textFill>
        </w:rPr>
        <w:t>2026年06月05日08时40分；</w:t>
      </w:r>
    </w:p>
    <w:p w14:paraId="6499CEAF">
      <w:pPr>
        <w:widowControl/>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2、开标地点：卢氏县公共资源交易中心四楼第二开标室</w:t>
      </w:r>
    </w:p>
    <w:p w14:paraId="7A8D2DE5">
      <w:pPr>
        <w:widowControl/>
        <w:spacing w:line="360" w:lineRule="auto"/>
        <w:ind w:firstLine="480" w:firstLineChars="200"/>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3、评标地点：卢氏县公共资源交易中心二楼第二评标室</w:t>
      </w:r>
      <w:r>
        <w:rPr>
          <w:rFonts w:hint="eastAsia" w:ascii="宋体" w:hAnsi="宋体" w:eastAsia="宋体" w:cs="宋体"/>
          <w:color w:val="000000" w:themeColor="text1"/>
          <w:kern w:val="0"/>
          <w:sz w:val="24"/>
          <w:szCs w:val="24"/>
          <w:lang w:val="en-US" w:eastAsia="zh-CN"/>
          <w14:textFill>
            <w14:solidFill>
              <w14:schemeClr w14:val="tx1"/>
            </w14:solidFill>
          </w14:textFill>
        </w:rPr>
        <w:tab/>
      </w:r>
    </w:p>
    <w:p w14:paraId="34FDF031">
      <w:pPr>
        <w:widowControl/>
        <w:spacing w:line="360" w:lineRule="auto"/>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六、其他事项</w:t>
      </w:r>
    </w:p>
    <w:p w14:paraId="1DCEEEF1">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投标人应仔细阅读操作手册，在本公告中要求的截止时间前完成投标保证金的缴纳、绑定、网上投标等工作。并充分考虑人为操作和银行异地跨行转账到账的时间等因素，因投标人操作不当等问题造成的无法下载磋商文件、无法投标、无法开标等一切后果，由投标人自行承担；</w:t>
      </w:r>
    </w:p>
    <w:p w14:paraId="78BF3E5C">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2、开标所发生的一切费用由各投标人自行承担，并承担相应的风险和责任；</w:t>
      </w:r>
    </w:p>
    <w:p w14:paraId="67E9A9AA">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3、投标人递交的资料和投标文件不论中标与否均不予退还；</w:t>
      </w:r>
    </w:p>
    <w:p w14:paraId="3A260C36">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温馨提示：本项目为电子化、无纸化交易项目，开标时不再接受任何纸质资料，为保证您能开标成功，请需仔细阅读磋商文件和三门峡市公共资源交易中心官网业务办理指南。</w:t>
      </w:r>
    </w:p>
    <w:p w14:paraId="33739724">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4、本次招标接受联合体投标。如为联合体投标，应满足以下要求：</w:t>
      </w:r>
    </w:p>
    <w:p w14:paraId="0E90AD02">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（1）联合体成员不超过2家（含联合体牵头人）；</w:t>
      </w:r>
    </w:p>
    <w:p w14:paraId="427E5203">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以联合体参加投标的，响应文件中应附联合体协议书，明确联合体牵头人和各方权利义务，并承诺就中标项目向采购人承担连带责任；联合体中有同类资质的供应商按照联合体分工承担相同工作的，应当按照资质等级较低的供应商确定资质等级。</w:t>
      </w:r>
    </w:p>
    <w:p w14:paraId="263FB2CD">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以联合体参加投标的，应以联合体牵头人的名义获取招标文件，并以联合体牵头人的名义递交响应文件；牵头人的法定代表人或其授权的委托代理人负责签署本次投标活动的相关资料，需要盖章的由牵头人加盖单位公章（或企业电子章）。</w:t>
      </w:r>
    </w:p>
    <w:p w14:paraId="220850B5">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（4）以联合体参加投标的，联合体各方不得再单独参加或与其他投标人另外组成联合体参加同一合同下的招投标活动；</w:t>
      </w:r>
    </w:p>
    <w:p w14:paraId="14B2F69A">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七、发布公告媒介</w:t>
      </w:r>
    </w:p>
    <w:p w14:paraId="2138C141">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本次招标公告同时在《河南省政府采购网》、《中国招标投标公共服务平台》、《三门峡市公共资源交易中心网》、</w:t>
      </w:r>
      <w:r>
        <w:rPr>
          <w:rFonts w:hint="eastAsia" w:asciiTheme="minorEastAsia" w:hAnsiTheme="minorEastAsia" w:cstheme="minorEastAsia"/>
          <w:kern w:val="0"/>
          <w:sz w:val="24"/>
          <w:szCs w:val="24"/>
          <w:shd w:val="clear" w:color="auto" w:fill="FFFFFF"/>
          <w:lang w:eastAsia="zh-CN"/>
        </w:rPr>
        <w:t>《中国采购与招标网》</w:t>
      </w:r>
      <w:r>
        <w:rPr>
          <w:rFonts w:hint="eastAsia" w:ascii="宋体" w:hAnsi="宋体" w:eastAsia="宋体" w:cs="宋体"/>
          <w:kern w:val="0"/>
          <w:sz w:val="24"/>
          <w:szCs w:val="24"/>
          <w:lang w:val="en-US" w:eastAsia="zh-CN"/>
        </w:rPr>
        <w:t>发布。</w:t>
      </w:r>
    </w:p>
    <w:p w14:paraId="400C271B">
      <w:pPr>
        <w:widowControl/>
        <w:numPr>
          <w:ilvl w:val="0"/>
          <w:numId w:val="1"/>
        </w:num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w:t>
      </w:r>
    </w:p>
    <w:p w14:paraId="6D6E3547">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监督单位：卢氏县政府采购办公室</w:t>
      </w:r>
    </w:p>
    <w:p w14:paraId="3A36945B">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联系人：郭亚楠</w:t>
      </w:r>
    </w:p>
    <w:p w14:paraId="703E2596">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电话：0398-7863556 </w:t>
      </w:r>
    </w:p>
    <w:p w14:paraId="5D64594B">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地址：卢氏县城关镇解放路中段</w:t>
      </w:r>
    </w:p>
    <w:p w14:paraId="4DD591ED">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监督单位：卢氏县自然资源局 </w:t>
      </w:r>
    </w:p>
    <w:p w14:paraId="77312C88">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联系人：朱永恒</w:t>
      </w:r>
    </w:p>
    <w:p w14:paraId="50562380">
      <w:pPr>
        <w:widowControl/>
        <w:spacing w:line="360"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电话：13949797111、0398-7872641</w:t>
      </w:r>
    </w:p>
    <w:p w14:paraId="0249ABF7">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地址：卢氏县解放路五街坊9号</w:t>
      </w:r>
    </w:p>
    <w:p w14:paraId="189576AA">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采购人：卢氏县自然资源局 </w:t>
      </w:r>
    </w:p>
    <w:p w14:paraId="167CE890">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联系人：袁锐</w:t>
      </w:r>
    </w:p>
    <w:p w14:paraId="4DB2E0BE">
      <w:pPr>
        <w:widowControl/>
        <w:spacing w:line="360"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电话：15239807160、0398-7872641</w:t>
      </w:r>
    </w:p>
    <w:p w14:paraId="39D59B32">
      <w:pPr>
        <w:widowControl/>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地址：卢氏县解放路五街坊9号</w:t>
      </w:r>
    </w:p>
    <w:p w14:paraId="2904600F">
      <w:pPr>
        <w:widowControl/>
        <w:spacing w:line="360" w:lineRule="auto"/>
        <w:ind w:firstLine="480" w:firstLineChars="200"/>
        <w:rPr>
          <w:rFonts w:hint="eastAsia" w:asciiTheme="minorEastAsia" w:hAnsiTheme="minorEastAsia" w:cstheme="minorEastAsia"/>
          <w:kern w:val="0"/>
          <w:sz w:val="24"/>
          <w:szCs w:val="24"/>
          <w:shd w:val="clear" w:color="auto" w:fill="FFFFFF"/>
          <w:lang w:eastAsia="zh-CN"/>
        </w:rPr>
      </w:pPr>
      <w:r>
        <w:rPr>
          <w:rFonts w:hint="eastAsia" w:ascii="宋体" w:hAnsi="宋体" w:eastAsia="宋体" w:cs="宋体"/>
          <w:color w:val="auto"/>
          <w:kern w:val="0"/>
          <w:sz w:val="24"/>
          <w:szCs w:val="24"/>
          <w:lang w:val="en-US" w:eastAsia="zh-CN"/>
        </w:rPr>
        <w:t>招标代理机</w:t>
      </w:r>
      <w:r>
        <w:rPr>
          <w:rFonts w:hint="eastAsia" w:asciiTheme="minorEastAsia" w:hAnsiTheme="minorEastAsia" w:eastAsiaTheme="minorEastAsia" w:cstheme="minorEastAsia"/>
          <w:kern w:val="0"/>
          <w:sz w:val="24"/>
          <w:szCs w:val="24"/>
          <w:shd w:val="clear" w:color="auto" w:fill="FFFFFF"/>
        </w:rPr>
        <w:t>构：</w:t>
      </w:r>
      <w:r>
        <w:rPr>
          <w:rFonts w:hint="eastAsia" w:asciiTheme="minorEastAsia" w:hAnsiTheme="minorEastAsia" w:cstheme="minorEastAsia"/>
          <w:kern w:val="0"/>
          <w:sz w:val="24"/>
          <w:szCs w:val="24"/>
          <w:shd w:val="clear" w:color="auto" w:fill="FFFFFF"/>
          <w:lang w:eastAsia="zh-CN"/>
        </w:rPr>
        <w:t>中赞国际项目管理有限公司</w:t>
      </w:r>
    </w:p>
    <w:p w14:paraId="1EDCF80C">
      <w:pPr>
        <w:wordWrap w:val="0"/>
        <w:topLinePunct/>
        <w:adjustRightInd w:val="0"/>
        <w:snapToGrid w:val="0"/>
        <w:spacing w:line="360" w:lineRule="auto"/>
        <w:ind w:firstLine="480" w:firstLineChars="200"/>
        <w:rPr>
          <w:rFonts w:hint="default" w:asciiTheme="minorEastAsia" w:hAnsiTheme="minorEastAsia" w:eastAsiaTheme="minorEastAsia" w:cstheme="minorEastAsia"/>
          <w:kern w:val="0"/>
          <w:sz w:val="24"/>
          <w:szCs w:val="24"/>
          <w:shd w:val="clear" w:color="auto" w:fill="FFFFFF"/>
          <w:lang w:val="en-US" w:eastAsia="zh-CN"/>
        </w:rPr>
      </w:pPr>
      <w:r>
        <w:rPr>
          <w:rFonts w:hint="eastAsia" w:asciiTheme="minorEastAsia" w:hAnsiTheme="minorEastAsia" w:eastAsiaTheme="minorEastAsia" w:cstheme="minorEastAsia"/>
          <w:kern w:val="0"/>
          <w:sz w:val="24"/>
          <w:szCs w:val="24"/>
          <w:shd w:val="clear" w:color="auto" w:fill="FFFFFF"/>
        </w:rPr>
        <w:t>联系人：</w:t>
      </w:r>
      <w:r>
        <w:rPr>
          <w:rFonts w:hint="eastAsia" w:asciiTheme="minorEastAsia" w:hAnsiTheme="minorEastAsia" w:cstheme="minorEastAsia"/>
          <w:kern w:val="0"/>
          <w:sz w:val="24"/>
          <w:szCs w:val="24"/>
          <w:shd w:val="clear" w:color="auto" w:fill="FFFFFF"/>
          <w:lang w:val="en-US" w:eastAsia="zh-CN"/>
        </w:rPr>
        <w:t>王珊</w:t>
      </w:r>
    </w:p>
    <w:p w14:paraId="6F0107C9">
      <w:pPr>
        <w:wordWrap w:val="0"/>
        <w:topLinePunct/>
        <w:adjustRightInd w:val="0"/>
        <w:snapToGrid w:val="0"/>
        <w:spacing w:line="360" w:lineRule="auto"/>
        <w:ind w:firstLine="480" w:firstLineChars="200"/>
        <w:rPr>
          <w:rFonts w:hint="default" w:asciiTheme="minorEastAsia" w:hAnsiTheme="minorEastAsia" w:eastAsiaTheme="minorEastAsia" w:cstheme="minorEastAsia"/>
          <w:kern w:val="0"/>
          <w:sz w:val="24"/>
          <w:szCs w:val="24"/>
          <w:shd w:val="clear" w:color="auto" w:fill="FFFFFF"/>
          <w:lang w:val="en-US" w:eastAsia="zh-CN"/>
        </w:rPr>
      </w:pPr>
      <w:r>
        <w:rPr>
          <w:rFonts w:hint="eastAsia" w:asciiTheme="minorEastAsia" w:hAnsiTheme="minorEastAsia" w:eastAsiaTheme="minorEastAsia" w:cstheme="minorEastAsia"/>
          <w:kern w:val="0"/>
          <w:sz w:val="24"/>
          <w:szCs w:val="24"/>
          <w:shd w:val="clear" w:color="auto" w:fill="FFFFFF"/>
        </w:rPr>
        <w:t>联系电话：</w:t>
      </w:r>
      <w:r>
        <w:rPr>
          <w:rFonts w:hint="eastAsia" w:asciiTheme="minorEastAsia" w:hAnsiTheme="minorEastAsia" w:cstheme="minorEastAsia"/>
          <w:kern w:val="0"/>
          <w:sz w:val="24"/>
          <w:szCs w:val="24"/>
          <w:shd w:val="clear" w:color="auto" w:fill="FFFFFF"/>
          <w:lang w:val="en-US" w:eastAsia="zh-CN"/>
        </w:rPr>
        <w:t>15139802041、13137979296</w:t>
      </w:r>
    </w:p>
    <w:p w14:paraId="247FE61A">
      <w:pPr>
        <w:ind w:firstLine="480" w:firstLineChars="200"/>
        <w:rPr>
          <w:rFonts w:ascii="宋体" w:hAnsi="宋体" w:eastAsia="宋体" w:cs="Courier New"/>
          <w:b/>
          <w:bCs/>
          <w:sz w:val="30"/>
          <w:szCs w:val="30"/>
        </w:rPr>
      </w:pPr>
      <w:r>
        <w:rPr>
          <w:rFonts w:hint="eastAsia" w:asciiTheme="minorEastAsia" w:hAnsiTheme="minorEastAsia" w:eastAsiaTheme="minorEastAsia" w:cstheme="minorEastAsia"/>
          <w:kern w:val="0"/>
          <w:sz w:val="24"/>
          <w:szCs w:val="24"/>
          <w:shd w:val="clear" w:color="auto" w:fill="FFFFFF"/>
          <w:lang w:val="en-US" w:eastAsia="zh-CN"/>
        </w:rPr>
        <w:t>地址：</w:t>
      </w:r>
      <w:r>
        <w:rPr>
          <w:rFonts w:hint="eastAsia" w:asciiTheme="minorEastAsia" w:hAnsiTheme="minorEastAsia" w:cstheme="minorEastAsia"/>
          <w:kern w:val="0"/>
          <w:sz w:val="24"/>
          <w:szCs w:val="24"/>
          <w:shd w:val="clear" w:color="auto" w:fill="FFFFFF"/>
          <w:lang w:val="en-US" w:eastAsia="zh-CN"/>
        </w:rPr>
        <w:t>陕西省西安市未央区未央路2号老三届首座大厦1幢12005号</w:t>
      </w:r>
    </w:p>
    <w:p w14:paraId="26F3013C">
      <w:pPr>
        <w:numPr>
          <w:ilvl w:val="0"/>
          <w:numId w:val="2"/>
        </w:numPr>
        <w:wordWrap w:val="0"/>
        <w:topLinePunct/>
        <w:spacing w:before="240" w:beforeLines="100" w:after="240" w:afterLines="100" w:line="400" w:lineRule="exact"/>
        <w:jc w:val="center"/>
        <w:outlineLvl w:val="0"/>
        <w:rPr>
          <w:rFonts w:ascii="宋体" w:hAnsi="宋体" w:eastAsia="宋体" w:cs="Courier New"/>
          <w:b/>
          <w:bCs/>
          <w:sz w:val="30"/>
          <w:szCs w:val="30"/>
        </w:rPr>
      </w:pPr>
      <w:r>
        <w:rPr>
          <w:rFonts w:hint="eastAsia" w:ascii="宋体" w:hAnsi="宋体" w:eastAsia="宋体" w:cs="Courier New"/>
          <w:b/>
          <w:bCs/>
          <w:sz w:val="30"/>
          <w:szCs w:val="30"/>
        </w:rPr>
        <w:t xml:space="preserve"> 供应商须知</w:t>
      </w:r>
      <w:bookmarkEnd w:id="2"/>
      <w:bookmarkEnd w:id="4"/>
      <w:bookmarkEnd w:id="5"/>
      <w:bookmarkEnd w:id="6"/>
      <w:bookmarkStart w:id="7" w:name="_Toc23774426"/>
      <w:bookmarkStart w:id="8" w:name="_Toc18978"/>
      <w:bookmarkStart w:id="9" w:name="_Toc13329"/>
    </w:p>
    <w:p w14:paraId="19AE48AA">
      <w:pPr>
        <w:wordWrap w:val="0"/>
        <w:topLinePunct/>
        <w:spacing w:before="240" w:beforeLines="100" w:after="240" w:afterLines="100" w:line="400" w:lineRule="exact"/>
        <w:jc w:val="center"/>
        <w:outlineLvl w:val="0"/>
        <w:rPr>
          <w:rFonts w:ascii="宋体" w:hAnsi="宋体" w:eastAsia="宋体" w:cs="宋体"/>
          <w:b/>
          <w:bCs/>
          <w:sz w:val="28"/>
          <w:szCs w:val="28"/>
        </w:rPr>
      </w:pPr>
      <w:r>
        <w:rPr>
          <w:rFonts w:hint="eastAsia" w:ascii="宋体" w:hAnsi="宋体" w:eastAsia="宋体" w:cs="Times New Roman"/>
          <w:kern w:val="44"/>
          <w:sz w:val="28"/>
          <w:szCs w:val="28"/>
        </w:rPr>
        <w:t>供应商须知前附表</w:t>
      </w:r>
      <w:bookmarkEnd w:id="7"/>
      <w:bookmarkEnd w:id="8"/>
      <w:bookmarkEnd w:id="9"/>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447"/>
      </w:tblGrid>
      <w:tr w14:paraId="35DA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1A3605E">
            <w:pPr>
              <w:spacing w:line="5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序号</w:t>
            </w:r>
          </w:p>
        </w:tc>
        <w:tc>
          <w:tcPr>
            <w:tcW w:w="2072" w:type="dxa"/>
            <w:vAlign w:val="center"/>
          </w:tcPr>
          <w:p w14:paraId="30ECAABC">
            <w:pPr>
              <w:spacing w:line="5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条 款 名 称</w:t>
            </w:r>
          </w:p>
        </w:tc>
        <w:tc>
          <w:tcPr>
            <w:tcW w:w="6447" w:type="dxa"/>
            <w:vAlign w:val="center"/>
          </w:tcPr>
          <w:p w14:paraId="0E93AAAE">
            <w:pPr>
              <w:spacing w:line="5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编 列 内 容</w:t>
            </w:r>
          </w:p>
        </w:tc>
      </w:tr>
      <w:tr w14:paraId="7D74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7C66F74">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2072" w:type="dxa"/>
            <w:vAlign w:val="center"/>
          </w:tcPr>
          <w:p w14:paraId="4082312B">
            <w:pPr>
              <w:spacing w:line="500" w:lineRule="exact"/>
              <w:jc w:val="center"/>
              <w:rPr>
                <w:rFonts w:hint="eastAsia" w:asciiTheme="minorEastAsia" w:hAnsiTheme="minorEastAsia" w:cstheme="minorEastAsia"/>
                <w:sz w:val="24"/>
                <w:szCs w:val="24"/>
              </w:rPr>
            </w:pPr>
            <w:r>
              <w:rPr>
                <w:rFonts w:hint="eastAsia"/>
                <w:sz w:val="24"/>
                <w:szCs w:val="24"/>
                <w:lang w:eastAsia="zh-CN"/>
              </w:rPr>
              <w:t>监督单位</w:t>
            </w:r>
          </w:p>
        </w:tc>
        <w:tc>
          <w:tcPr>
            <w:tcW w:w="6447" w:type="dxa"/>
            <w:vAlign w:val="center"/>
          </w:tcPr>
          <w:p w14:paraId="2D096225">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监督单位：卢氏县政府采购办公室</w:t>
            </w:r>
          </w:p>
          <w:p w14:paraId="7A9A2B85">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联系人：郭亚楠</w:t>
            </w:r>
          </w:p>
          <w:p w14:paraId="3E69F5D5">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电话：0398-7863556 </w:t>
            </w:r>
          </w:p>
          <w:p w14:paraId="14217E11">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地址：卢氏县城关镇解放路中段</w:t>
            </w:r>
          </w:p>
          <w:p w14:paraId="436C68BB">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监督单位：卢氏县自然资源局 </w:t>
            </w:r>
          </w:p>
          <w:p w14:paraId="151A01C4">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联系人：朱永恒</w:t>
            </w:r>
          </w:p>
          <w:p w14:paraId="130D30DB">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电话：13949797111、0398-7872641</w:t>
            </w:r>
          </w:p>
          <w:p w14:paraId="1B925E37">
            <w:pPr>
              <w:widowControl/>
              <w:spacing w:line="360" w:lineRule="auto"/>
              <w:rPr>
                <w:rFonts w:hint="eastAsia"/>
                <w:lang w:val="en-US" w:eastAsia="zh-CN"/>
              </w:rPr>
            </w:pPr>
            <w:r>
              <w:rPr>
                <w:rFonts w:hint="eastAsia" w:ascii="宋体" w:hAnsi="宋体" w:eastAsia="宋体" w:cs="宋体"/>
                <w:color w:val="auto"/>
                <w:kern w:val="0"/>
                <w:sz w:val="24"/>
                <w:szCs w:val="24"/>
                <w:lang w:val="en-US" w:eastAsia="zh-CN"/>
              </w:rPr>
              <w:t>地址：卢氏县解放路五街坊9号</w:t>
            </w:r>
          </w:p>
        </w:tc>
      </w:tr>
      <w:tr w14:paraId="253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BD1C68F">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p>
        </w:tc>
        <w:tc>
          <w:tcPr>
            <w:tcW w:w="2072" w:type="dxa"/>
            <w:vAlign w:val="center"/>
          </w:tcPr>
          <w:p w14:paraId="7B4C4CC5">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采购人</w:t>
            </w:r>
          </w:p>
        </w:tc>
        <w:tc>
          <w:tcPr>
            <w:tcW w:w="6447" w:type="dxa"/>
            <w:vAlign w:val="center"/>
          </w:tcPr>
          <w:p w14:paraId="4CB52F07">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采购人：卢氏县自然资源局 </w:t>
            </w:r>
          </w:p>
          <w:p w14:paraId="4A93CD74">
            <w:pPr>
              <w:widowControl/>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联系人：袁锐</w:t>
            </w:r>
          </w:p>
          <w:p w14:paraId="6176F762">
            <w:pPr>
              <w:widowControl/>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电话：15239807160、0398-7872641</w:t>
            </w:r>
          </w:p>
          <w:p w14:paraId="24FF6E31">
            <w:pPr>
              <w:spacing w:line="500" w:lineRule="exact"/>
              <w:rPr>
                <w:rFonts w:hint="default" w:asciiTheme="minorEastAsia" w:hAnsiTheme="minorEastAsia" w:eastAsiaTheme="minorEastAsia" w:cstheme="minorEastAsia"/>
                <w:sz w:val="24"/>
                <w:szCs w:val="24"/>
                <w:lang w:val="en-US" w:eastAsia="zh-CN"/>
              </w:rPr>
            </w:pPr>
            <w:r>
              <w:rPr>
                <w:rFonts w:hint="eastAsia" w:ascii="宋体" w:hAnsi="宋体" w:eastAsia="宋体" w:cs="宋体"/>
                <w:color w:val="auto"/>
                <w:kern w:val="0"/>
                <w:sz w:val="24"/>
                <w:szCs w:val="24"/>
                <w:lang w:val="en-US" w:eastAsia="zh-CN"/>
              </w:rPr>
              <w:t>地址：卢氏县解放路五街坊9号</w:t>
            </w:r>
          </w:p>
        </w:tc>
      </w:tr>
      <w:tr w14:paraId="4EDA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DD6E402">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p>
        </w:tc>
        <w:tc>
          <w:tcPr>
            <w:tcW w:w="2072" w:type="dxa"/>
            <w:vAlign w:val="center"/>
          </w:tcPr>
          <w:p w14:paraId="0197BA6F">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代理机构</w:t>
            </w:r>
          </w:p>
        </w:tc>
        <w:tc>
          <w:tcPr>
            <w:tcW w:w="6447" w:type="dxa"/>
            <w:vAlign w:val="center"/>
          </w:tcPr>
          <w:p w14:paraId="401DB2AD">
            <w:pPr>
              <w:spacing w:line="500" w:lineRule="exac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招标代理机构：</w:t>
            </w:r>
            <w:r>
              <w:rPr>
                <w:rFonts w:hint="eastAsia" w:asciiTheme="minorEastAsia" w:hAnsiTheme="minorEastAsia" w:cstheme="minorEastAsia"/>
                <w:sz w:val="24"/>
                <w:szCs w:val="24"/>
                <w:lang w:val="en-US" w:eastAsia="zh-CN"/>
              </w:rPr>
              <w:t>中赞国际项目管理有限公司</w:t>
            </w:r>
          </w:p>
          <w:p w14:paraId="10DC5A82">
            <w:pPr>
              <w:spacing w:line="500" w:lineRule="exact"/>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联系人：</w:t>
            </w:r>
            <w:r>
              <w:rPr>
                <w:rFonts w:hint="eastAsia" w:asciiTheme="minorEastAsia" w:hAnsiTheme="minorEastAsia" w:cstheme="minorEastAsia"/>
                <w:sz w:val="24"/>
                <w:szCs w:val="24"/>
                <w:lang w:val="en-US" w:eastAsia="zh-CN"/>
              </w:rPr>
              <w:t>王珊</w:t>
            </w:r>
          </w:p>
          <w:p w14:paraId="34FDE878">
            <w:pPr>
              <w:spacing w:line="500" w:lineRule="exact"/>
              <w:rPr>
                <w:rFonts w:hint="eastAsia" w:asciiTheme="minorEastAsia" w:hAnsiTheme="minorEastAsia" w:cstheme="minorEastAsia"/>
                <w:color w:val="FF0000"/>
                <w:sz w:val="24"/>
                <w:szCs w:val="24"/>
                <w:lang w:val="en-US" w:eastAsia="zh-CN"/>
              </w:rPr>
            </w:pPr>
            <w:r>
              <w:rPr>
                <w:rFonts w:hint="default" w:asciiTheme="minorEastAsia" w:hAnsiTheme="minorEastAsia" w:cstheme="minorEastAsia"/>
                <w:sz w:val="24"/>
                <w:szCs w:val="24"/>
                <w:lang w:val="en-US" w:eastAsia="zh-CN"/>
              </w:rPr>
              <w:t>电话</w:t>
            </w:r>
            <w:r>
              <w:rPr>
                <w:rFonts w:hint="default"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15139802041、13137979296</w:t>
            </w:r>
          </w:p>
          <w:p w14:paraId="2992D2FD">
            <w:pPr>
              <w:rPr>
                <w:rFonts w:asciiTheme="minorEastAsia" w:hAnsiTheme="minorEastAsia" w:cstheme="minorEastAsia"/>
                <w:sz w:val="24"/>
                <w:szCs w:val="24"/>
              </w:rPr>
            </w:pPr>
            <w:r>
              <w:rPr>
                <w:rFonts w:hint="default" w:asciiTheme="minorEastAsia" w:hAnsiTheme="minorEastAsia" w:cstheme="minorEastAsia"/>
                <w:sz w:val="24"/>
                <w:szCs w:val="24"/>
                <w:lang w:val="en-US" w:eastAsia="zh-CN"/>
              </w:rPr>
              <w:t>地址：</w:t>
            </w:r>
            <w:r>
              <w:rPr>
                <w:rFonts w:hint="eastAsia" w:asciiTheme="minorEastAsia" w:hAnsiTheme="minorEastAsia" w:cstheme="minorEastAsia"/>
                <w:kern w:val="0"/>
                <w:sz w:val="24"/>
                <w:szCs w:val="24"/>
                <w:shd w:val="clear" w:color="auto" w:fill="FFFFFF"/>
                <w:lang w:val="en-US" w:eastAsia="zh-CN"/>
              </w:rPr>
              <w:t>陕西省西安市未央区未央路2号老三届首座大厦1幢12005号</w:t>
            </w:r>
          </w:p>
        </w:tc>
      </w:tr>
      <w:tr w14:paraId="3856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61C137C1">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2072" w:type="dxa"/>
            <w:vAlign w:val="center"/>
          </w:tcPr>
          <w:p w14:paraId="30E4402E">
            <w:pPr>
              <w:spacing w:line="500" w:lineRule="exact"/>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6447" w:type="dxa"/>
            <w:vAlign w:val="center"/>
          </w:tcPr>
          <w:p w14:paraId="6B307A6A">
            <w:pPr>
              <w:keepNext w:val="0"/>
              <w:keepLines w:val="0"/>
              <w:pageBreakBefore w:val="0"/>
              <w:widowControl w:val="0"/>
              <w:kinsoku/>
              <w:overflowPunct/>
              <w:autoSpaceDE/>
              <w:autoSpaceDN/>
              <w:bidi w:val="0"/>
              <w:adjustRightInd/>
              <w:snapToGrid/>
              <w:spacing w:line="480" w:lineRule="exact"/>
              <w:textAlignment w:val="auto"/>
              <w:rPr>
                <w:rFonts w:hint="eastAsia" w:asciiTheme="minorEastAsia" w:hAnsiTheme="minorEastAsia" w:cstheme="minorEastAsia"/>
                <w:sz w:val="24"/>
                <w:szCs w:val="24"/>
              </w:rPr>
            </w:pPr>
            <w:r>
              <w:rPr>
                <w:rFonts w:hint="eastAsia" w:ascii="宋体" w:hAnsi="宋体" w:eastAsia="宋体" w:cs="宋体"/>
                <w:sz w:val="24"/>
                <w:szCs w:val="24"/>
                <w:lang w:eastAsia="zh-CN"/>
              </w:rPr>
              <w:t>卢氏县2026年度国土空间总体规划动态调整完善工作项目</w:t>
            </w:r>
          </w:p>
        </w:tc>
      </w:tr>
      <w:tr w14:paraId="005F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5E65196E">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p>
        </w:tc>
        <w:tc>
          <w:tcPr>
            <w:tcW w:w="2072" w:type="dxa"/>
            <w:vAlign w:val="center"/>
          </w:tcPr>
          <w:p w14:paraId="6AFCA59C">
            <w:pPr>
              <w:keepNext w:val="0"/>
              <w:keepLines w:val="0"/>
              <w:pageBreakBefore w:val="0"/>
              <w:widowControl w:val="0"/>
              <w:kinsoku/>
              <w:overflowPunct/>
              <w:autoSpaceDE/>
              <w:autoSpaceDN/>
              <w:bidi w:val="0"/>
              <w:adjustRightInd/>
              <w:snapToGrid/>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项目编号</w:t>
            </w:r>
          </w:p>
        </w:tc>
        <w:tc>
          <w:tcPr>
            <w:tcW w:w="6447" w:type="dxa"/>
            <w:vAlign w:val="center"/>
          </w:tcPr>
          <w:p w14:paraId="562373D5">
            <w:pPr>
              <w:keepNext w:val="0"/>
              <w:keepLines w:val="0"/>
              <w:pageBreakBefore w:val="0"/>
              <w:widowControl w:val="0"/>
              <w:kinsoku/>
              <w:overflowPunct/>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三卢竞磋采购-2026-34、LSGZ[2026]091-ZC067</w:t>
            </w:r>
          </w:p>
        </w:tc>
      </w:tr>
      <w:tr w14:paraId="7119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2410353E">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p>
        </w:tc>
        <w:tc>
          <w:tcPr>
            <w:tcW w:w="2072" w:type="dxa"/>
            <w:vAlign w:val="center"/>
          </w:tcPr>
          <w:p w14:paraId="74348DAB">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color w:val="000000" w:themeColor="text1"/>
                <w:sz w:val="24"/>
                <w:szCs w:val="24"/>
                <w:lang w:eastAsia="zh-CN"/>
                <w14:textFill>
                  <w14:solidFill>
                    <w14:schemeClr w14:val="tx1"/>
                  </w14:solidFill>
                </w14:textFill>
              </w:rPr>
              <w:t>磋商内容</w:t>
            </w:r>
          </w:p>
        </w:tc>
        <w:tc>
          <w:tcPr>
            <w:tcW w:w="6447" w:type="dxa"/>
            <w:vAlign w:val="center"/>
          </w:tcPr>
          <w:p w14:paraId="1D6ABA3B">
            <w:pPr>
              <w:keepNext w:val="0"/>
              <w:keepLines w:val="0"/>
              <w:pageBreakBefore w:val="0"/>
              <w:widowControl w:val="0"/>
              <w:kinsoku/>
              <w:overflowPunct/>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eastAsia="zh-CN"/>
              </w:rPr>
            </w:pPr>
            <w:r>
              <w:rPr>
                <w:rFonts w:hint="eastAsia" w:ascii="宋体" w:hAnsi="宋体" w:eastAsia="宋体" w:cs="宋体"/>
                <w:color w:val="auto"/>
                <w:sz w:val="24"/>
                <w:szCs w:val="24"/>
                <w:lang w:eastAsia="zh-CN"/>
              </w:rPr>
              <w:t>对卢氏县</w:t>
            </w:r>
            <w:r>
              <w:rPr>
                <w:rFonts w:hint="eastAsia" w:ascii="宋体" w:hAnsi="宋体" w:eastAsia="宋体" w:cs="宋体"/>
                <w:color w:val="auto"/>
                <w:sz w:val="24"/>
                <w:szCs w:val="24"/>
                <w:lang w:val="en-US" w:eastAsia="zh-CN"/>
              </w:rPr>
              <w:t>2026年国土空间规划</w:t>
            </w:r>
            <w:r>
              <w:rPr>
                <w:rFonts w:hint="eastAsia" w:ascii="宋体" w:hAnsi="宋体" w:eastAsia="宋体" w:cs="宋体"/>
                <w:color w:val="auto"/>
                <w:sz w:val="24"/>
                <w:szCs w:val="24"/>
                <w:lang w:eastAsia="zh-CN"/>
              </w:rPr>
              <w:t>三条控制线动态调整、规划分区动态调整、中心城区用地规划布局动态调整、城市重要控制线动态调整等；</w:t>
            </w:r>
            <w:r>
              <w:rPr>
                <w:rFonts w:hint="eastAsia" w:ascii="宋体" w:hAnsi="宋体" w:eastAsia="宋体" w:cs="宋体"/>
                <w:sz w:val="24"/>
                <w:szCs w:val="24"/>
                <w:lang w:val="en-US" w:eastAsia="zh-CN"/>
              </w:rPr>
              <w:t>（详见磋商文件第三章服务内容及技术要求）</w:t>
            </w:r>
          </w:p>
        </w:tc>
      </w:tr>
      <w:tr w14:paraId="01BD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vAlign w:val="center"/>
          </w:tcPr>
          <w:p w14:paraId="52BE264C">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p>
        </w:tc>
        <w:tc>
          <w:tcPr>
            <w:tcW w:w="2072" w:type="dxa"/>
            <w:vAlign w:val="center"/>
          </w:tcPr>
          <w:p w14:paraId="76561A0B">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资金来源</w:t>
            </w:r>
            <w:r>
              <w:rPr>
                <w:rFonts w:hint="eastAsia"/>
                <w:sz w:val="24"/>
                <w:szCs w:val="24"/>
                <w:lang w:eastAsia="zh-CN"/>
              </w:rPr>
              <w:t>及落实情况</w:t>
            </w:r>
          </w:p>
        </w:tc>
        <w:tc>
          <w:tcPr>
            <w:tcW w:w="6447" w:type="dxa"/>
            <w:vAlign w:val="center"/>
          </w:tcPr>
          <w:p w14:paraId="5E1A99AF">
            <w:p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财政资金，已落实</w:t>
            </w:r>
          </w:p>
        </w:tc>
      </w:tr>
      <w:tr w14:paraId="0E91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4263318">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p>
        </w:tc>
        <w:tc>
          <w:tcPr>
            <w:tcW w:w="2072" w:type="dxa"/>
            <w:vAlign w:val="center"/>
          </w:tcPr>
          <w:p w14:paraId="5D5DE219">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预算金额</w:t>
            </w:r>
          </w:p>
        </w:tc>
        <w:tc>
          <w:tcPr>
            <w:tcW w:w="6447" w:type="dxa"/>
            <w:vAlign w:val="center"/>
          </w:tcPr>
          <w:p w14:paraId="24B355C3">
            <w:pPr>
              <w:spacing w:line="360" w:lineRule="auto"/>
              <w:rPr>
                <w:rFonts w:hint="eastAsia" w:ascii="宋体" w:hAnsi="宋体" w:eastAsiaTheme="minorEastAsia"/>
                <w:sz w:val="24"/>
                <w:lang w:eastAsia="zh-CN"/>
              </w:rPr>
            </w:pPr>
            <w:r>
              <w:rPr>
                <w:rFonts w:hint="eastAsia" w:ascii="宋体" w:hAnsi="宋体"/>
                <w:sz w:val="24"/>
              </w:rPr>
              <w:t>￥</w:t>
            </w:r>
            <w:r>
              <w:rPr>
                <w:rFonts w:hint="eastAsia" w:ascii="宋体" w:hAnsi="宋体" w:cs="宋体"/>
                <w:kern w:val="0"/>
                <w:sz w:val="24"/>
                <w:lang w:val="en-US" w:eastAsia="zh-CN"/>
              </w:rPr>
              <w:t>856200.00</w:t>
            </w:r>
            <w:r>
              <w:rPr>
                <w:rFonts w:hint="eastAsia" w:ascii="宋体" w:hAnsi="宋体" w:cs="宋体"/>
                <w:sz w:val="24"/>
              </w:rPr>
              <w:t>元</w:t>
            </w:r>
            <w:r>
              <w:rPr>
                <w:rFonts w:hint="eastAsia" w:ascii="宋体" w:hAnsi="宋体" w:cs="宋体"/>
                <w:sz w:val="24"/>
                <w:lang w:eastAsia="zh-CN"/>
              </w:rPr>
              <w:t>；</w:t>
            </w:r>
          </w:p>
          <w:p w14:paraId="6F6B222A">
            <w:pPr>
              <w:spacing w:line="500" w:lineRule="exact"/>
              <w:rPr>
                <w:rFonts w:asciiTheme="minorEastAsia" w:hAnsiTheme="minorEastAsia" w:cstheme="minorEastAsia"/>
                <w:sz w:val="24"/>
                <w:szCs w:val="24"/>
              </w:rPr>
            </w:pPr>
            <w:r>
              <w:rPr>
                <w:rFonts w:hint="eastAsia" w:ascii="宋体" w:hAnsi="宋体"/>
                <w:kern w:val="0"/>
                <w:sz w:val="24"/>
              </w:rPr>
              <w:t>供应商报价不得超出采购预算，否则予以废标处理。若所有供应商的报价均超过预算价，则采购人有权重新组织采购。</w:t>
            </w:r>
          </w:p>
        </w:tc>
      </w:tr>
      <w:tr w14:paraId="1397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06BB0458">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9</w:t>
            </w:r>
          </w:p>
        </w:tc>
        <w:tc>
          <w:tcPr>
            <w:tcW w:w="2072" w:type="dxa"/>
            <w:vAlign w:val="center"/>
          </w:tcPr>
          <w:p w14:paraId="379A2BBF">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服务地点</w:t>
            </w:r>
          </w:p>
        </w:tc>
        <w:tc>
          <w:tcPr>
            <w:tcW w:w="6447" w:type="dxa"/>
          </w:tcPr>
          <w:p w14:paraId="1D8CAAD1">
            <w:pPr>
              <w:spacing w:line="500" w:lineRule="exact"/>
              <w:rPr>
                <w:rFonts w:asciiTheme="minorEastAsia" w:hAnsiTheme="minorEastAsia" w:cstheme="minorEastAsia"/>
                <w:sz w:val="24"/>
                <w:szCs w:val="24"/>
              </w:rPr>
            </w:pPr>
            <w:r>
              <w:rPr>
                <w:rFonts w:hint="eastAsia" w:ascii="宋体" w:hAnsi="宋体" w:eastAsia="宋体" w:cs="宋体"/>
                <w:sz w:val="24"/>
                <w:szCs w:val="24"/>
                <w:lang w:eastAsia="zh-CN"/>
              </w:rPr>
              <w:t>采购人指定地点；</w:t>
            </w:r>
          </w:p>
        </w:tc>
      </w:tr>
      <w:tr w14:paraId="5D54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276F0C5">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p>
        </w:tc>
        <w:tc>
          <w:tcPr>
            <w:tcW w:w="2072" w:type="dxa"/>
            <w:vAlign w:val="center"/>
          </w:tcPr>
          <w:p w14:paraId="689A5DA2">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服务期限</w:t>
            </w:r>
          </w:p>
        </w:tc>
        <w:tc>
          <w:tcPr>
            <w:tcW w:w="6447" w:type="dxa"/>
          </w:tcPr>
          <w:p w14:paraId="5D9351F9">
            <w:pPr>
              <w:spacing w:line="500" w:lineRule="exact"/>
              <w:rPr>
                <w:rFonts w:hint="eastAsia" w:asciiTheme="minorEastAsia" w:hAnsiTheme="minorEastAsia" w:cstheme="minorEastAsia"/>
                <w:color w:val="FF0000"/>
                <w:sz w:val="24"/>
                <w:szCs w:val="24"/>
              </w:rPr>
            </w:pPr>
            <w:r>
              <w:rPr>
                <w:rFonts w:hint="eastAsia" w:ascii="宋体" w:hAnsi="宋体" w:eastAsia="宋体" w:cs="宋体"/>
                <w:b w:val="0"/>
                <w:bCs w:val="0"/>
                <w:color w:val="000000" w:themeColor="text1"/>
                <w:kern w:val="0"/>
                <w:sz w:val="24"/>
                <w:szCs w:val="24"/>
                <w:shd w:val="clear" w:color="auto" w:fill="FFFFFF"/>
                <w:lang w:val="en-US" w:eastAsia="zh-CN"/>
                <w14:textFill>
                  <w14:solidFill>
                    <w14:schemeClr w14:val="tx1"/>
                  </w14:solidFill>
                </w14:textFill>
              </w:rPr>
              <w:t>合同签订后45日历天内完成；</w:t>
            </w:r>
          </w:p>
        </w:tc>
      </w:tr>
      <w:tr w14:paraId="357D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136C0001">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1</w:t>
            </w:r>
          </w:p>
        </w:tc>
        <w:tc>
          <w:tcPr>
            <w:tcW w:w="2072" w:type="dxa"/>
            <w:vAlign w:val="center"/>
          </w:tcPr>
          <w:p w14:paraId="672C75B5">
            <w:p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质量要求</w:t>
            </w:r>
          </w:p>
        </w:tc>
        <w:tc>
          <w:tcPr>
            <w:tcW w:w="6447" w:type="dxa"/>
            <w:vAlign w:val="bottom"/>
          </w:tcPr>
          <w:p w14:paraId="5DA43538">
            <w:pPr>
              <w:keepNext w:val="0"/>
              <w:keepLines w:val="0"/>
              <w:pageBreakBefore w:val="0"/>
              <w:widowControl w:val="0"/>
              <w:kinsoku/>
              <w:overflowPunct/>
              <w:autoSpaceDE/>
              <w:autoSpaceDN/>
              <w:bidi w:val="0"/>
              <w:adjustRightInd/>
              <w:snapToGrid/>
              <w:spacing w:line="480" w:lineRule="exact"/>
              <w:textAlignment w:val="auto"/>
              <w:rPr>
                <w:rFonts w:asciiTheme="minorEastAsia" w:hAnsiTheme="minorEastAsia" w:cstheme="minorEastAsia"/>
                <w:color w:val="FF0000"/>
                <w:sz w:val="24"/>
                <w:szCs w:val="24"/>
              </w:rPr>
            </w:pPr>
            <w:r>
              <w:rPr>
                <w:rFonts w:hint="eastAsia" w:asciiTheme="minorEastAsia" w:hAnsiTheme="minorEastAsia" w:eastAsiaTheme="minorEastAsia" w:cstheme="minorEastAsia"/>
                <w:kern w:val="0"/>
                <w:sz w:val="24"/>
                <w:szCs w:val="24"/>
                <w:shd w:val="clear" w:color="auto" w:fill="FFFFFF"/>
              </w:rPr>
              <w:t>符合国家合格标准，且满足采购人要求</w:t>
            </w:r>
            <w:r>
              <w:rPr>
                <w:rFonts w:hint="eastAsia" w:ascii="宋体" w:hAnsi="宋体" w:eastAsia="宋体" w:cs="宋体"/>
                <w:sz w:val="24"/>
                <w:szCs w:val="24"/>
                <w:lang w:val="en-US" w:eastAsia="zh-CN"/>
              </w:rPr>
              <w:t>；</w:t>
            </w:r>
          </w:p>
        </w:tc>
      </w:tr>
      <w:tr w14:paraId="7A86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11E5B89">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2</w:t>
            </w:r>
          </w:p>
        </w:tc>
        <w:tc>
          <w:tcPr>
            <w:tcW w:w="2072" w:type="dxa"/>
            <w:vAlign w:val="center"/>
          </w:tcPr>
          <w:p w14:paraId="27F7FBC9">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供应商资质条件</w:t>
            </w:r>
          </w:p>
        </w:tc>
        <w:tc>
          <w:tcPr>
            <w:tcW w:w="6447" w:type="dxa"/>
          </w:tcPr>
          <w:p w14:paraId="2032AFE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rPr>
              <w:t>供应商符合《中华人民共和国政府采购法》第二十二条规定条件</w:t>
            </w:r>
            <w:r>
              <w:rPr>
                <w:rFonts w:hint="eastAsia" w:ascii="宋体" w:hAnsi="宋体" w:eastAsia="宋体" w:cs="宋体"/>
                <w:bCs/>
                <w:color w:val="auto"/>
                <w:sz w:val="24"/>
                <w:szCs w:val="28"/>
                <w:highlight w:val="none"/>
                <w:lang w:eastAsia="zh-CN"/>
              </w:rPr>
              <w:t>；</w:t>
            </w:r>
          </w:p>
          <w:p w14:paraId="4E1E86F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FF0000"/>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w:t>
            </w:r>
            <w:r>
              <w:rPr>
                <w:rFonts w:hint="eastAsia" w:ascii="宋体" w:hAnsi="宋体" w:eastAsia="宋体" w:cs="宋体"/>
                <w:bCs/>
                <w:color w:val="FF0000"/>
                <w:sz w:val="24"/>
                <w:szCs w:val="28"/>
                <w:highlight w:val="none"/>
                <w:lang w:val="en-US" w:eastAsia="zh-CN"/>
              </w:rPr>
              <w:t>：</w:t>
            </w:r>
            <w:r>
              <w:rPr>
                <w:rFonts w:hint="eastAsia" w:ascii="宋体" w:hAnsi="宋体" w:eastAsia="宋体" w:cs="宋体"/>
                <w:bCs/>
                <w:color w:val="000000" w:themeColor="text1"/>
                <w:sz w:val="24"/>
                <w:szCs w:val="28"/>
                <w:highlight w:val="none"/>
                <w:lang w:val="en-US" w:eastAsia="zh-CN"/>
                <w14:textFill>
                  <w14:solidFill>
                    <w14:schemeClr w14:val="tx1"/>
                  </w14:solidFill>
                </w14:textFill>
              </w:rPr>
              <w:t>本项目执行促进中小型企业发展政策（残疾人福利性企业、监狱企业视同小微企业）、优先采购节能环保产品等政府采购政策；</w:t>
            </w:r>
          </w:p>
          <w:p w14:paraId="4D82572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75255D75">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3.1供应商具有独立承担民事责任的能力，具有效的营业执照或其他证明材料；</w:t>
            </w:r>
          </w:p>
          <w:p w14:paraId="38F549FA">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3.2供应商须同时具备城乡规划编制甲级资质和土地规划编制乙级及以上资质</w:t>
            </w:r>
            <w:r>
              <w:rPr>
                <w:rFonts w:hint="eastAsia" w:ascii="宋体" w:hAnsi="宋体" w:eastAsia="宋体" w:cs="宋体"/>
                <w:color w:val="auto"/>
                <w:sz w:val="24"/>
                <w:szCs w:val="24"/>
                <w:lang w:val="en-US" w:eastAsia="zh-CN"/>
              </w:rPr>
              <w:t>（若投标人为联合体投标，联合体成员可分别具备以上资质要求），并在人员、设备、资金等方面具备相应的能力；</w:t>
            </w:r>
          </w:p>
          <w:p w14:paraId="7572830D">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val="en-US" w:eastAsia="zh-CN"/>
              </w:rPr>
              <w:t>3.3项目负责人须具备相关专业高级及以上工程师和注册城乡规划师资格，为本单位员工，提供劳动合同及近期在本单位参加社会养老保险的证明材料；</w:t>
            </w:r>
          </w:p>
          <w:p w14:paraId="3BDA10D1">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3.4具有良好的财务状况且没有处于被责令停业：投标人须提供近三年任意一年的经第三方审计机构出具的审计报告或财务报表；</w:t>
            </w:r>
          </w:p>
          <w:p w14:paraId="399BDB10">
            <w:pPr>
              <w:widowControl/>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3.5依法缴纳税收和社会保障资金；</w:t>
            </w:r>
          </w:p>
          <w:p w14:paraId="5503FF72">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参加政府采购活动前3年内无行贿犯罪记录（提供《中国裁判文书网》查询结果网页截图或企业自行承诺的无行贿犯罪承诺书，查询&lt;承诺&gt;对象为“企业，法定代表人、项目负责人”，查询日期必须在公告发布之日后）；</w:t>
            </w:r>
          </w:p>
          <w:p w14:paraId="48E338B1">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3.7参加政府采购活动前3年内无商业贿赂、不正当竞争行为、骗取中标、严重违约及重大工程质量等问题（投标人须自行出具承诺书）；</w:t>
            </w:r>
          </w:p>
          <w:p w14:paraId="5D6B9125">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6D8C46D7">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3.9单位负责人为同一人或者存在直接控股、管理关系的不同供应商，不得参加同一合同项下的政府采购活动；</w:t>
            </w:r>
          </w:p>
          <w:p w14:paraId="62DD0B19">
            <w:pPr>
              <w:widowControl/>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3.10本次招标实行资格后审。</w:t>
            </w:r>
          </w:p>
          <w:p w14:paraId="2886AE0E">
            <w:pPr>
              <w:widowControl/>
              <w:spacing w:line="360" w:lineRule="auto"/>
              <w:ind w:firstLine="480" w:firstLineChars="200"/>
              <w:rPr>
                <w:rFonts w:hint="eastAsia" w:ascii="宋体" w:hAnsi="宋体" w:cs="宋体"/>
                <w:sz w:val="28"/>
                <w:szCs w:val="28"/>
              </w:rPr>
            </w:pPr>
            <w:r>
              <w:rPr>
                <w:rFonts w:hint="eastAsia" w:ascii="宋体" w:hAnsi="宋体" w:eastAsia="宋体" w:cs="宋体"/>
                <w:kern w:val="0"/>
                <w:sz w:val="24"/>
                <w:szCs w:val="24"/>
                <w:lang w:val="en-US" w:eastAsia="zh-CN"/>
              </w:rPr>
              <w:t>注：被列入失信被执行人及重大税收违法失信主体的企业做无效标处理。招标人或代理机构有权对投标人信用记录进行甄别和复查；</w:t>
            </w:r>
          </w:p>
        </w:tc>
      </w:tr>
      <w:tr w14:paraId="5EFF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8B033F8">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3</w:t>
            </w:r>
          </w:p>
        </w:tc>
        <w:tc>
          <w:tcPr>
            <w:tcW w:w="2072" w:type="dxa"/>
            <w:vAlign w:val="center"/>
          </w:tcPr>
          <w:p w14:paraId="6E9DF4B6">
            <w:pPr>
              <w:spacing w:line="500" w:lineRule="exact"/>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是否接受联合体</w:t>
            </w:r>
            <w:r>
              <w:rPr>
                <w:rFonts w:hint="eastAsia" w:asciiTheme="minorEastAsia" w:hAnsiTheme="minorEastAsia" w:cstheme="minorEastAsia"/>
                <w:sz w:val="24"/>
                <w:szCs w:val="24"/>
                <w:lang w:eastAsia="zh-CN"/>
              </w:rPr>
              <w:t>投标</w:t>
            </w:r>
          </w:p>
        </w:tc>
        <w:tc>
          <w:tcPr>
            <w:tcW w:w="6447" w:type="dxa"/>
            <w:vAlign w:val="center"/>
          </w:tcPr>
          <w:p w14:paraId="00245C7A">
            <w:pPr>
              <w:spacing w:line="50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是</w:t>
            </w:r>
          </w:p>
        </w:tc>
      </w:tr>
      <w:tr w14:paraId="1B5E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0F019FBD">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4</w:t>
            </w:r>
          </w:p>
        </w:tc>
        <w:tc>
          <w:tcPr>
            <w:tcW w:w="2072" w:type="dxa"/>
            <w:vAlign w:val="center"/>
          </w:tcPr>
          <w:p w14:paraId="0E37B858">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现场考察</w:t>
            </w:r>
          </w:p>
        </w:tc>
        <w:tc>
          <w:tcPr>
            <w:tcW w:w="6447" w:type="dxa"/>
            <w:vAlign w:val="center"/>
          </w:tcPr>
          <w:p w14:paraId="1968E7B2">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不组织</w:t>
            </w:r>
          </w:p>
        </w:tc>
      </w:tr>
      <w:tr w14:paraId="2089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36E31D37">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5</w:t>
            </w:r>
          </w:p>
        </w:tc>
        <w:tc>
          <w:tcPr>
            <w:tcW w:w="2072" w:type="dxa"/>
            <w:vAlign w:val="center"/>
          </w:tcPr>
          <w:p w14:paraId="22063DDD">
            <w:pPr>
              <w:spacing w:line="500" w:lineRule="exact"/>
              <w:ind w:left="38" w:leftChars="18"/>
              <w:jc w:val="center"/>
              <w:rPr>
                <w:rFonts w:asciiTheme="minorEastAsia" w:hAnsiTheme="minorEastAsia" w:cstheme="minorEastAsia"/>
                <w:sz w:val="24"/>
                <w:szCs w:val="24"/>
              </w:rPr>
            </w:pPr>
            <w:r>
              <w:rPr>
                <w:rFonts w:hint="eastAsia" w:asciiTheme="minorEastAsia" w:hAnsiTheme="minorEastAsia" w:cstheme="minorEastAsia"/>
                <w:sz w:val="24"/>
                <w:szCs w:val="24"/>
              </w:rPr>
              <w:t>答 疑 会</w:t>
            </w:r>
          </w:p>
        </w:tc>
        <w:tc>
          <w:tcPr>
            <w:tcW w:w="6447" w:type="dxa"/>
            <w:vAlign w:val="center"/>
          </w:tcPr>
          <w:p w14:paraId="69F58F7B">
            <w:pPr>
              <w:tabs>
                <w:tab w:val="left" w:pos="720"/>
                <w:tab w:val="left" w:pos="1904"/>
              </w:tabs>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不召开</w:t>
            </w:r>
          </w:p>
        </w:tc>
      </w:tr>
      <w:tr w14:paraId="04CC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80BEE0B">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6</w:t>
            </w:r>
          </w:p>
        </w:tc>
        <w:tc>
          <w:tcPr>
            <w:tcW w:w="2072" w:type="dxa"/>
            <w:vAlign w:val="center"/>
          </w:tcPr>
          <w:p w14:paraId="4A7D1425">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w:t>
            </w:r>
          </w:p>
        </w:tc>
        <w:tc>
          <w:tcPr>
            <w:tcW w:w="6447" w:type="dxa"/>
            <w:vAlign w:val="center"/>
          </w:tcPr>
          <w:p w14:paraId="466F01DE">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不允许</w:t>
            </w:r>
          </w:p>
        </w:tc>
      </w:tr>
      <w:tr w14:paraId="492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6C81AE60">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7</w:t>
            </w:r>
          </w:p>
        </w:tc>
        <w:tc>
          <w:tcPr>
            <w:tcW w:w="2072" w:type="dxa"/>
            <w:vAlign w:val="center"/>
          </w:tcPr>
          <w:p w14:paraId="7F427AE8">
            <w:pPr>
              <w:spacing w:line="500" w:lineRule="exact"/>
              <w:jc w:val="center"/>
              <w:rPr>
                <w:rFonts w:asciiTheme="minorEastAsia" w:hAnsiTheme="minorEastAsia" w:cstheme="minorEastAsia"/>
                <w:sz w:val="24"/>
                <w:szCs w:val="24"/>
              </w:rPr>
            </w:pPr>
            <w:r>
              <w:rPr>
                <w:rFonts w:hint="eastAsia" w:asciiTheme="minorEastAsia" w:hAnsiTheme="minorEastAsia" w:cstheme="minorEastAsia"/>
                <w:kern w:val="0"/>
                <w:sz w:val="24"/>
                <w:szCs w:val="24"/>
              </w:rPr>
              <w:t>实质性偏差</w:t>
            </w:r>
          </w:p>
        </w:tc>
        <w:tc>
          <w:tcPr>
            <w:tcW w:w="6447" w:type="dxa"/>
            <w:vAlign w:val="center"/>
          </w:tcPr>
          <w:p w14:paraId="2717A318">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不允许</w:t>
            </w:r>
          </w:p>
        </w:tc>
      </w:tr>
      <w:tr w14:paraId="153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9222EB1">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8</w:t>
            </w:r>
          </w:p>
        </w:tc>
        <w:tc>
          <w:tcPr>
            <w:tcW w:w="2072" w:type="dxa"/>
            <w:vAlign w:val="center"/>
          </w:tcPr>
          <w:p w14:paraId="51B25AB2">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是否接受选择性报价方案</w:t>
            </w:r>
          </w:p>
        </w:tc>
        <w:tc>
          <w:tcPr>
            <w:tcW w:w="6447" w:type="dxa"/>
            <w:vAlign w:val="center"/>
          </w:tcPr>
          <w:p w14:paraId="7C7BF4F9">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不接受：首次响应文件只允许一个报价方案</w:t>
            </w:r>
          </w:p>
        </w:tc>
      </w:tr>
      <w:tr w14:paraId="092D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24DDE3B1">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0</w:t>
            </w:r>
          </w:p>
        </w:tc>
        <w:tc>
          <w:tcPr>
            <w:tcW w:w="2072" w:type="dxa"/>
            <w:vAlign w:val="center"/>
          </w:tcPr>
          <w:p w14:paraId="3F9A11F8">
            <w:pPr>
              <w:pStyle w:val="51"/>
              <w:spacing w:line="360" w:lineRule="exact"/>
              <w:ind w:firstLine="240" w:firstLineChars="10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报价</w:t>
            </w:r>
          </w:p>
        </w:tc>
        <w:tc>
          <w:tcPr>
            <w:tcW w:w="6447" w:type="dxa"/>
            <w:vAlign w:val="center"/>
          </w:tcPr>
          <w:p w14:paraId="49954E28">
            <w:pPr>
              <w:pStyle w:val="51"/>
              <w:spacing w:line="360" w:lineRule="exact"/>
              <w:ind w:firstLine="240" w:firstLineChars="100"/>
              <w:jc w:val="both"/>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val="en-US" w:eastAsia="en-US" w:bidi="ar-SA"/>
              </w:rPr>
              <w:t>本次竞争性磋商采取两轮报价：第一轮报价直接填报于磋商响应文件中，开标后远程进行唱标，初步审查通过后进行第二轮报价，第二轮报价远程填报。供应商所报总价为履行本项目</w:t>
            </w:r>
            <w:r>
              <w:rPr>
                <w:rFonts w:hint="eastAsia" w:ascii="宋体" w:hAnsi="宋体" w:eastAsia="宋体" w:cs="宋体"/>
                <w:kern w:val="0"/>
                <w:sz w:val="24"/>
                <w:szCs w:val="24"/>
                <w:lang w:val="en-US" w:eastAsia="zh-CN" w:bidi="ar-SA"/>
              </w:rPr>
              <w:t>采购</w:t>
            </w:r>
            <w:r>
              <w:rPr>
                <w:rFonts w:hint="eastAsia" w:ascii="宋体" w:hAnsi="宋体" w:eastAsia="宋体" w:cs="宋体"/>
                <w:kern w:val="0"/>
                <w:sz w:val="24"/>
                <w:szCs w:val="24"/>
                <w:lang w:val="en-US" w:eastAsia="en-US" w:bidi="ar-SA"/>
              </w:rPr>
              <w:t>内容等所有费用。</w:t>
            </w:r>
          </w:p>
        </w:tc>
      </w:tr>
      <w:tr w14:paraId="4CA5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6A35D377">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1</w:t>
            </w:r>
          </w:p>
        </w:tc>
        <w:tc>
          <w:tcPr>
            <w:tcW w:w="2072" w:type="dxa"/>
            <w:vAlign w:val="center"/>
          </w:tcPr>
          <w:p w14:paraId="04220A5E">
            <w:pPr>
              <w:pStyle w:val="51"/>
              <w:spacing w:line="360" w:lineRule="exact"/>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构成竞争性磋商文件的其他材料</w:t>
            </w:r>
          </w:p>
        </w:tc>
        <w:tc>
          <w:tcPr>
            <w:tcW w:w="6447" w:type="dxa"/>
            <w:vAlign w:val="center"/>
          </w:tcPr>
          <w:p w14:paraId="01CA48DC">
            <w:pPr>
              <w:pStyle w:val="51"/>
              <w:spacing w:line="360" w:lineRule="exact"/>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采购人在招标期间发出的有编号的补遗书和其它有效正式函件等均是竞争性磋商文件的组成部分。</w:t>
            </w:r>
          </w:p>
        </w:tc>
      </w:tr>
      <w:tr w14:paraId="0043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Merge w:val="restart"/>
            <w:vAlign w:val="center"/>
          </w:tcPr>
          <w:p w14:paraId="28A29029">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2</w:t>
            </w:r>
          </w:p>
        </w:tc>
        <w:tc>
          <w:tcPr>
            <w:tcW w:w="2072" w:type="dxa"/>
            <w:vMerge w:val="restart"/>
            <w:vAlign w:val="center"/>
          </w:tcPr>
          <w:p w14:paraId="4BB3A6FF">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供应商要求澄清竞争性磋商文件</w:t>
            </w:r>
          </w:p>
        </w:tc>
        <w:tc>
          <w:tcPr>
            <w:tcW w:w="6447" w:type="dxa"/>
            <w:vAlign w:val="center"/>
          </w:tcPr>
          <w:p w14:paraId="2D1F9158">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时间：提交首次响应文件截止时间前</w:t>
            </w:r>
            <w:r>
              <w:rPr>
                <w:rFonts w:hint="eastAsia" w:asciiTheme="minorEastAsia" w:hAnsiTheme="minorEastAsia" w:cstheme="minorEastAsia"/>
                <w:sz w:val="24"/>
                <w:szCs w:val="24"/>
                <w:u w:val="single"/>
              </w:rPr>
              <w:t>5</w:t>
            </w:r>
            <w:r>
              <w:rPr>
                <w:rFonts w:hint="eastAsia" w:asciiTheme="minorEastAsia" w:hAnsiTheme="minorEastAsia" w:cstheme="minorEastAsia"/>
                <w:sz w:val="24"/>
                <w:szCs w:val="24"/>
              </w:rPr>
              <w:t>日</w:t>
            </w:r>
          </w:p>
        </w:tc>
      </w:tr>
      <w:tr w14:paraId="477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Merge w:val="continue"/>
            <w:vAlign w:val="center"/>
          </w:tcPr>
          <w:p w14:paraId="0B17C037">
            <w:pPr>
              <w:spacing w:line="500" w:lineRule="exact"/>
              <w:jc w:val="center"/>
              <w:rPr>
                <w:rFonts w:asciiTheme="minorEastAsia" w:hAnsiTheme="minorEastAsia" w:cstheme="minorEastAsia"/>
                <w:sz w:val="24"/>
                <w:szCs w:val="24"/>
              </w:rPr>
            </w:pPr>
          </w:p>
        </w:tc>
        <w:tc>
          <w:tcPr>
            <w:tcW w:w="2072" w:type="dxa"/>
            <w:vMerge w:val="continue"/>
            <w:vAlign w:val="center"/>
          </w:tcPr>
          <w:p w14:paraId="76DDD86D">
            <w:pPr>
              <w:spacing w:line="500" w:lineRule="exact"/>
              <w:jc w:val="center"/>
              <w:rPr>
                <w:rFonts w:asciiTheme="minorEastAsia" w:hAnsiTheme="minorEastAsia" w:cstheme="minorEastAsia"/>
                <w:sz w:val="24"/>
                <w:szCs w:val="24"/>
              </w:rPr>
            </w:pPr>
          </w:p>
        </w:tc>
        <w:tc>
          <w:tcPr>
            <w:tcW w:w="6447" w:type="dxa"/>
            <w:vAlign w:val="center"/>
          </w:tcPr>
          <w:p w14:paraId="2792778B">
            <w:pPr>
              <w:spacing w:line="500" w:lineRule="exact"/>
              <w:ind w:left="2280" w:hanging="2280" w:hangingChars="950"/>
              <w:jc w:val="left"/>
              <w:rPr>
                <w:rFonts w:asciiTheme="minorEastAsia" w:hAnsiTheme="minorEastAsia" w:cstheme="minorEastAsia"/>
                <w:sz w:val="24"/>
                <w:szCs w:val="24"/>
              </w:rPr>
            </w:pPr>
            <w:r>
              <w:rPr>
                <w:rFonts w:hint="eastAsia" w:asciiTheme="minorEastAsia" w:hAnsiTheme="minorEastAsia" w:cstheme="minorEastAsia"/>
                <w:sz w:val="24"/>
                <w:szCs w:val="24"/>
              </w:rPr>
              <w:t>形式：在三门峡市公共资源电子招标投标交易平台提出</w:t>
            </w:r>
          </w:p>
        </w:tc>
      </w:tr>
      <w:tr w14:paraId="0D4F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291BD7BD">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3</w:t>
            </w:r>
          </w:p>
        </w:tc>
        <w:tc>
          <w:tcPr>
            <w:tcW w:w="2072" w:type="dxa"/>
            <w:vMerge w:val="restart"/>
            <w:vAlign w:val="center"/>
          </w:tcPr>
          <w:p w14:paraId="1F10CE01">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供应商确认收到竞争性磋商文件澄清</w:t>
            </w:r>
          </w:p>
        </w:tc>
        <w:tc>
          <w:tcPr>
            <w:tcW w:w="6447" w:type="dxa"/>
            <w:vAlign w:val="center"/>
          </w:tcPr>
          <w:p w14:paraId="4854E671">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时间：在收到相应澄清文件后24小时内</w:t>
            </w:r>
          </w:p>
        </w:tc>
      </w:tr>
      <w:tr w14:paraId="3ECF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47B7D77A">
            <w:pPr>
              <w:spacing w:line="500" w:lineRule="exact"/>
              <w:jc w:val="center"/>
              <w:rPr>
                <w:rFonts w:asciiTheme="minorEastAsia" w:hAnsiTheme="minorEastAsia" w:cstheme="minorEastAsia"/>
                <w:sz w:val="24"/>
                <w:szCs w:val="24"/>
              </w:rPr>
            </w:pPr>
          </w:p>
        </w:tc>
        <w:tc>
          <w:tcPr>
            <w:tcW w:w="2072" w:type="dxa"/>
            <w:vMerge w:val="continue"/>
            <w:vAlign w:val="center"/>
          </w:tcPr>
          <w:p w14:paraId="517C0F21">
            <w:pPr>
              <w:spacing w:line="500" w:lineRule="exact"/>
              <w:jc w:val="center"/>
              <w:rPr>
                <w:rFonts w:asciiTheme="minorEastAsia" w:hAnsiTheme="minorEastAsia" w:cstheme="minorEastAsia"/>
                <w:sz w:val="24"/>
                <w:szCs w:val="24"/>
              </w:rPr>
            </w:pPr>
          </w:p>
        </w:tc>
        <w:tc>
          <w:tcPr>
            <w:tcW w:w="6447" w:type="dxa"/>
            <w:vAlign w:val="center"/>
          </w:tcPr>
          <w:p w14:paraId="1956B4CC">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形式：</w:t>
            </w:r>
            <w:r>
              <w:rPr>
                <w:rFonts w:hint="eastAsia" w:asciiTheme="minorEastAsia" w:hAnsiTheme="minorEastAsia" w:cstheme="minorEastAsia"/>
                <w:kern w:val="0"/>
                <w:sz w:val="24"/>
                <w:szCs w:val="24"/>
              </w:rPr>
              <w:t>在</w:t>
            </w:r>
            <w:r>
              <w:rPr>
                <w:rFonts w:hint="eastAsia" w:asciiTheme="minorEastAsia" w:hAnsiTheme="minorEastAsia" w:cstheme="minorEastAsia"/>
                <w:sz w:val="24"/>
                <w:szCs w:val="24"/>
              </w:rPr>
              <w:t>三门峡市公共资源电子招标投标交易平台</w:t>
            </w:r>
            <w:r>
              <w:rPr>
                <w:rFonts w:hint="eastAsia" w:asciiTheme="minorEastAsia" w:hAnsiTheme="minorEastAsia" w:cstheme="minorEastAsia"/>
                <w:kern w:val="0"/>
                <w:sz w:val="24"/>
                <w:szCs w:val="24"/>
              </w:rPr>
              <w:t>进行回复确认</w:t>
            </w:r>
          </w:p>
        </w:tc>
      </w:tr>
      <w:tr w14:paraId="3B5A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4E07BD33">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4</w:t>
            </w:r>
          </w:p>
        </w:tc>
        <w:tc>
          <w:tcPr>
            <w:tcW w:w="2072" w:type="dxa"/>
            <w:vMerge w:val="restart"/>
            <w:vAlign w:val="center"/>
          </w:tcPr>
          <w:p w14:paraId="41C629F4">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供应商确认收到竞争性磋商文件修改</w:t>
            </w:r>
          </w:p>
        </w:tc>
        <w:tc>
          <w:tcPr>
            <w:tcW w:w="6447" w:type="dxa"/>
            <w:vAlign w:val="center"/>
          </w:tcPr>
          <w:p w14:paraId="4CA218A7">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时间：在收到相应修改文件后24小时内</w:t>
            </w:r>
          </w:p>
        </w:tc>
      </w:tr>
      <w:tr w14:paraId="717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46AF3500">
            <w:pPr>
              <w:spacing w:line="500" w:lineRule="exact"/>
              <w:jc w:val="center"/>
              <w:rPr>
                <w:rFonts w:asciiTheme="minorEastAsia" w:hAnsiTheme="minorEastAsia" w:cstheme="minorEastAsia"/>
                <w:sz w:val="24"/>
                <w:szCs w:val="24"/>
              </w:rPr>
            </w:pPr>
          </w:p>
        </w:tc>
        <w:tc>
          <w:tcPr>
            <w:tcW w:w="2072" w:type="dxa"/>
            <w:vMerge w:val="continue"/>
            <w:vAlign w:val="center"/>
          </w:tcPr>
          <w:p w14:paraId="5D985948">
            <w:pPr>
              <w:spacing w:line="500" w:lineRule="exact"/>
              <w:jc w:val="center"/>
              <w:rPr>
                <w:rFonts w:asciiTheme="minorEastAsia" w:hAnsiTheme="minorEastAsia" w:cstheme="minorEastAsia"/>
                <w:sz w:val="24"/>
                <w:szCs w:val="24"/>
              </w:rPr>
            </w:pPr>
          </w:p>
        </w:tc>
        <w:tc>
          <w:tcPr>
            <w:tcW w:w="6447" w:type="dxa"/>
            <w:vAlign w:val="center"/>
          </w:tcPr>
          <w:p w14:paraId="491165C1">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形式：</w:t>
            </w:r>
            <w:r>
              <w:rPr>
                <w:rFonts w:hint="eastAsia" w:asciiTheme="minorEastAsia" w:hAnsiTheme="minorEastAsia" w:cstheme="minorEastAsia"/>
                <w:kern w:val="0"/>
                <w:sz w:val="24"/>
                <w:szCs w:val="24"/>
              </w:rPr>
              <w:t>在</w:t>
            </w:r>
            <w:r>
              <w:rPr>
                <w:rFonts w:hint="eastAsia" w:asciiTheme="minorEastAsia" w:hAnsiTheme="minorEastAsia" w:cstheme="minorEastAsia"/>
                <w:sz w:val="24"/>
                <w:szCs w:val="24"/>
              </w:rPr>
              <w:t>三门峡市公共资源电子招标投标交易平台</w:t>
            </w:r>
            <w:r>
              <w:rPr>
                <w:rFonts w:hint="eastAsia" w:asciiTheme="minorEastAsia" w:hAnsiTheme="minorEastAsia" w:cstheme="minorEastAsia"/>
                <w:kern w:val="0"/>
                <w:sz w:val="24"/>
                <w:szCs w:val="24"/>
              </w:rPr>
              <w:t>进行回复确认</w:t>
            </w:r>
          </w:p>
        </w:tc>
      </w:tr>
      <w:tr w14:paraId="4C92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4" w:type="dxa"/>
            <w:vAlign w:val="center"/>
          </w:tcPr>
          <w:p w14:paraId="032B4185">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5</w:t>
            </w:r>
          </w:p>
        </w:tc>
        <w:tc>
          <w:tcPr>
            <w:tcW w:w="2072" w:type="dxa"/>
            <w:vAlign w:val="center"/>
          </w:tcPr>
          <w:p w14:paraId="57845C1B">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磋商有效期</w:t>
            </w:r>
          </w:p>
        </w:tc>
        <w:tc>
          <w:tcPr>
            <w:tcW w:w="6447" w:type="dxa"/>
          </w:tcPr>
          <w:p w14:paraId="33971984">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响应文件递交截止之日起</w:t>
            </w:r>
            <w:r>
              <w:rPr>
                <w:rFonts w:hint="eastAsia" w:asciiTheme="minorEastAsia" w:hAnsiTheme="minorEastAsia" w:cstheme="minorEastAsia"/>
                <w:sz w:val="24"/>
                <w:szCs w:val="24"/>
                <w:u w:val="single"/>
              </w:rPr>
              <w:t xml:space="preserve"> 60</w:t>
            </w:r>
            <w:r>
              <w:rPr>
                <w:rFonts w:hint="eastAsia" w:asciiTheme="minorEastAsia" w:hAnsiTheme="minorEastAsia" w:cstheme="minorEastAsia"/>
                <w:sz w:val="24"/>
                <w:szCs w:val="24"/>
              </w:rPr>
              <w:t>日历天</w:t>
            </w:r>
          </w:p>
        </w:tc>
      </w:tr>
      <w:tr w14:paraId="7263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5B09E212">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6</w:t>
            </w:r>
          </w:p>
        </w:tc>
        <w:tc>
          <w:tcPr>
            <w:tcW w:w="2072" w:type="dxa"/>
            <w:vAlign w:val="center"/>
          </w:tcPr>
          <w:p w14:paraId="5C9ADC28">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磋商保证金</w:t>
            </w:r>
          </w:p>
        </w:tc>
        <w:tc>
          <w:tcPr>
            <w:tcW w:w="6447" w:type="dxa"/>
          </w:tcPr>
          <w:p w14:paraId="443FD132">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根据《河南省财政厅关于优化政府采购营商环境有关问题的通知》（豫财购[2020]4号）第6条的规定，磋商保证金不再收取。</w:t>
            </w:r>
          </w:p>
        </w:tc>
      </w:tr>
      <w:tr w14:paraId="097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0876FA7B">
            <w:pPr>
              <w:tabs>
                <w:tab w:val="left" w:pos="312"/>
              </w:tabs>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3.7</w:t>
            </w:r>
          </w:p>
        </w:tc>
        <w:tc>
          <w:tcPr>
            <w:tcW w:w="2072" w:type="dxa"/>
            <w:vAlign w:val="center"/>
          </w:tcPr>
          <w:p w14:paraId="569E6199">
            <w:pPr>
              <w:spacing w:line="460" w:lineRule="exact"/>
              <w:jc w:val="center"/>
              <w:rPr>
                <w:rFonts w:hint="eastAsia" w:asciiTheme="minorEastAsia" w:hAnsiTheme="minorEastAsia" w:cstheme="minorEastAsia"/>
                <w:sz w:val="24"/>
                <w:szCs w:val="24"/>
              </w:rPr>
            </w:pPr>
            <w:r>
              <w:rPr>
                <w:rFonts w:hint="eastAsia" w:ascii="宋体" w:hAnsi="宋体" w:cs="Arial"/>
                <w:sz w:val="24"/>
                <w:szCs w:val="24"/>
              </w:rPr>
              <w:t>所属行业</w:t>
            </w:r>
          </w:p>
        </w:tc>
        <w:tc>
          <w:tcPr>
            <w:tcW w:w="6447" w:type="dxa"/>
            <w:vAlign w:val="center"/>
          </w:tcPr>
          <w:p w14:paraId="57AAAE05">
            <w:pPr>
              <w:widowControl/>
              <w:spacing w:line="460" w:lineRule="exact"/>
              <w:jc w:val="left"/>
              <w:rPr>
                <w:rFonts w:hint="eastAsia" w:ascii="宋体" w:hAnsi="宋体" w:cs="宋体"/>
                <w:sz w:val="24"/>
                <w:szCs w:val="24"/>
              </w:rPr>
            </w:pPr>
            <w:r>
              <w:rPr>
                <w:rFonts w:hint="eastAsia" w:ascii="宋体" w:hAnsi="宋体" w:cs="宋体"/>
                <w:sz w:val="24"/>
                <w:szCs w:val="24"/>
              </w:rPr>
              <w:t>行业划定标准为：其他未列明行业</w:t>
            </w:r>
          </w:p>
          <w:p w14:paraId="6067EE2B">
            <w:pPr>
              <w:widowControl/>
              <w:spacing w:line="460" w:lineRule="exact"/>
              <w:jc w:val="left"/>
              <w:rPr>
                <w:rFonts w:hint="eastAsia" w:asciiTheme="minorEastAsia" w:hAnsiTheme="minorEastAsia" w:cstheme="minorEastAsia"/>
                <w:sz w:val="24"/>
                <w:szCs w:val="24"/>
              </w:rPr>
            </w:pPr>
            <w:r>
              <w:rPr>
                <w:rFonts w:hint="eastAsia" w:ascii="宋体" w:hAnsi="宋体" w:cs="宋体"/>
                <w:sz w:val="24"/>
                <w:szCs w:val="24"/>
              </w:rPr>
              <w:t>《工业和信息化部、国家统计局、国家发展和改革委员会、财政部关于印发&lt;中小企业划型标准规定的通知&gt;（工信部联企业〔2011〕300号）规定的划分标准为依据。</w:t>
            </w:r>
          </w:p>
        </w:tc>
      </w:tr>
      <w:tr w14:paraId="7CD3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7CD64A0A">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en-US" w:eastAsia="zh-CN"/>
              </w:rPr>
              <w:t>8</w:t>
            </w:r>
          </w:p>
        </w:tc>
        <w:tc>
          <w:tcPr>
            <w:tcW w:w="2072" w:type="dxa"/>
            <w:vAlign w:val="center"/>
          </w:tcPr>
          <w:p w14:paraId="50D044FA">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磋商文件费</w:t>
            </w:r>
          </w:p>
        </w:tc>
        <w:tc>
          <w:tcPr>
            <w:tcW w:w="6447" w:type="dxa"/>
            <w:vAlign w:val="center"/>
          </w:tcPr>
          <w:p w14:paraId="5D3498AC">
            <w:p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本项目为全电子采购，不再收取磋商文件费用</w:t>
            </w:r>
          </w:p>
        </w:tc>
      </w:tr>
      <w:tr w14:paraId="75E1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179E555">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3.9</w:t>
            </w:r>
          </w:p>
        </w:tc>
        <w:tc>
          <w:tcPr>
            <w:tcW w:w="2072" w:type="dxa"/>
            <w:vAlign w:val="center"/>
          </w:tcPr>
          <w:p w14:paraId="7A758BA3">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电子化响应文件的签章</w:t>
            </w:r>
          </w:p>
        </w:tc>
        <w:tc>
          <w:tcPr>
            <w:tcW w:w="6447" w:type="dxa"/>
            <w:vAlign w:val="center"/>
          </w:tcPr>
          <w:p w14:paraId="348BD4F3">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磋商响应供应商在进行电子化磋商响应文件签章时，竞争性磋商文件中要求磋商响应供应商盖章的，以签盖单位章为准；要求法定代表人签章的，以签盖法定代表人签章为准。</w:t>
            </w:r>
          </w:p>
        </w:tc>
      </w:tr>
      <w:tr w14:paraId="6CB2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0F1F307">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4.0</w:t>
            </w:r>
          </w:p>
        </w:tc>
        <w:tc>
          <w:tcPr>
            <w:tcW w:w="2072" w:type="dxa"/>
            <w:vAlign w:val="center"/>
          </w:tcPr>
          <w:p w14:paraId="193E8D72">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电子化响应文件的格式及上传投标</w:t>
            </w:r>
          </w:p>
        </w:tc>
        <w:tc>
          <w:tcPr>
            <w:tcW w:w="6447" w:type="dxa"/>
            <w:vAlign w:val="center"/>
          </w:tcPr>
          <w:p w14:paraId="38C3A3FF">
            <w:pPr>
              <w:wordWrap w:val="0"/>
              <w:topLinePunct/>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0729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CE0FFD6">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4.1</w:t>
            </w:r>
          </w:p>
        </w:tc>
        <w:tc>
          <w:tcPr>
            <w:tcW w:w="2072" w:type="dxa"/>
            <w:vAlign w:val="center"/>
          </w:tcPr>
          <w:p w14:paraId="4C085493">
            <w:pPr>
              <w:spacing w:line="500" w:lineRule="exact"/>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响应文件递交截止时间</w:t>
            </w:r>
          </w:p>
        </w:tc>
        <w:tc>
          <w:tcPr>
            <w:tcW w:w="6447" w:type="dxa"/>
            <w:vAlign w:val="center"/>
          </w:tcPr>
          <w:p w14:paraId="646A4613">
            <w:pPr>
              <w:spacing w:line="50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202</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cstheme="minorEastAsia"/>
                <w:color w:val="000000" w:themeColor="text1"/>
                <w:sz w:val="24"/>
                <w:szCs w:val="24"/>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06</w:t>
            </w:r>
            <w:r>
              <w:rPr>
                <w:rFonts w:hint="eastAsia" w:asciiTheme="minorEastAsia" w:hAnsi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05</w:t>
            </w:r>
            <w:r>
              <w:rPr>
                <w:rFonts w:hint="eastAsia" w:asciiTheme="minorEastAsia" w:hAnsiTheme="minorEastAsia" w:cstheme="minorEastAsia"/>
                <w:color w:val="000000" w:themeColor="text1"/>
                <w:sz w:val="24"/>
                <w:szCs w:val="24"/>
                <w14:textFill>
                  <w14:solidFill>
                    <w14:schemeClr w14:val="tx1"/>
                  </w14:solidFill>
                </w14:textFill>
              </w:rPr>
              <w:t>日</w:t>
            </w:r>
            <w:r>
              <w:rPr>
                <w:rFonts w:hint="eastAsia" w:asciiTheme="minorEastAsia" w:hAnsi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cstheme="minorEastAsia"/>
                <w:color w:val="000000" w:themeColor="text1"/>
                <w:sz w:val="24"/>
                <w:szCs w:val="24"/>
                <w14:textFill>
                  <w14:solidFill>
                    <w14:schemeClr w14:val="tx1"/>
                  </w14:solidFill>
                </w14:textFill>
              </w:rPr>
              <w:t>8时</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0分</w:t>
            </w:r>
            <w:r>
              <w:rPr>
                <w:rFonts w:hint="eastAsia" w:asciiTheme="minorEastAsia" w:hAnsiTheme="minorEastAsia" w:cstheme="minorEastAsia"/>
                <w:color w:val="000000" w:themeColor="text1"/>
                <w:sz w:val="24"/>
                <w:szCs w:val="24"/>
                <w:lang w:eastAsia="zh-CN"/>
                <w14:textFill>
                  <w14:solidFill>
                    <w14:schemeClr w14:val="tx1"/>
                  </w14:solidFill>
                </w14:textFill>
              </w:rPr>
              <w:t>。</w:t>
            </w:r>
          </w:p>
        </w:tc>
      </w:tr>
      <w:tr w14:paraId="746C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44A57D47">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4.2</w:t>
            </w:r>
          </w:p>
        </w:tc>
        <w:tc>
          <w:tcPr>
            <w:tcW w:w="2072" w:type="dxa"/>
            <w:vAlign w:val="center"/>
          </w:tcPr>
          <w:p w14:paraId="7B59F2A9">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响应文件递交地点</w:t>
            </w:r>
          </w:p>
        </w:tc>
        <w:tc>
          <w:tcPr>
            <w:tcW w:w="6447" w:type="dxa"/>
            <w:vAlign w:val="center"/>
          </w:tcPr>
          <w:p w14:paraId="5D5EB90D">
            <w:pPr>
              <w:spacing w:line="500" w:lineRule="exact"/>
              <w:jc w:val="left"/>
              <w:rPr>
                <w:rFonts w:asciiTheme="minorEastAsia" w:hAnsiTheme="minorEastAsia" w:cstheme="minorEastAsia"/>
                <w:sz w:val="24"/>
                <w:szCs w:val="24"/>
              </w:rPr>
            </w:pPr>
            <w:r>
              <w:rPr>
                <w:rFonts w:hint="eastAsia" w:asciiTheme="minorEastAsia" w:hAnsiTheme="minorEastAsia" w:cstheme="minorEastAsia"/>
                <w:bCs/>
                <w:sz w:val="24"/>
                <w:szCs w:val="24"/>
              </w:rPr>
              <w:t>上传至三门峡市公共资源交易中心系统</w:t>
            </w:r>
          </w:p>
        </w:tc>
      </w:tr>
      <w:tr w14:paraId="21BD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51B3EC84">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4.3</w:t>
            </w:r>
          </w:p>
        </w:tc>
        <w:tc>
          <w:tcPr>
            <w:tcW w:w="2072" w:type="dxa"/>
            <w:vAlign w:val="center"/>
          </w:tcPr>
          <w:p w14:paraId="08D8A5DC">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是否退还响应文件</w:t>
            </w:r>
          </w:p>
        </w:tc>
        <w:tc>
          <w:tcPr>
            <w:tcW w:w="6447" w:type="dxa"/>
            <w:vAlign w:val="center"/>
          </w:tcPr>
          <w:p w14:paraId="70B48FC5">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否</w:t>
            </w:r>
          </w:p>
        </w:tc>
      </w:tr>
      <w:tr w14:paraId="528D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70EC23E4">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4.4</w:t>
            </w:r>
          </w:p>
        </w:tc>
        <w:tc>
          <w:tcPr>
            <w:tcW w:w="2072" w:type="dxa"/>
            <w:vAlign w:val="center"/>
          </w:tcPr>
          <w:p w14:paraId="0C1B209C">
            <w:pPr>
              <w:spacing w:line="500" w:lineRule="exact"/>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近年完成的类似项目的年份要求</w:t>
            </w:r>
          </w:p>
        </w:tc>
        <w:tc>
          <w:tcPr>
            <w:tcW w:w="6447" w:type="dxa"/>
            <w:vAlign w:val="center"/>
          </w:tcPr>
          <w:p w14:paraId="276179BF">
            <w:pPr>
              <w:spacing w:line="500" w:lineRule="exact"/>
              <w:jc w:val="both"/>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en-US"/>
              </w:rPr>
              <w:t>近</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val="en-US" w:eastAsia="en-US"/>
              </w:rPr>
              <w:t>年（20</w:t>
            </w:r>
            <w:r>
              <w:rPr>
                <w:rFonts w:hint="eastAsia" w:asciiTheme="minorEastAsia" w:hAnsiTheme="minorEastAsia" w:cstheme="minorEastAsia"/>
                <w:sz w:val="24"/>
                <w:szCs w:val="24"/>
                <w:lang w:val="en-US" w:eastAsia="zh-CN"/>
              </w:rPr>
              <w:t>23</w:t>
            </w:r>
            <w:r>
              <w:rPr>
                <w:rFonts w:hint="eastAsia" w:asciiTheme="minorEastAsia" w:hAnsiTheme="minorEastAsia" w:cstheme="minorEastAsia"/>
                <w:sz w:val="24"/>
                <w:szCs w:val="24"/>
                <w:lang w:val="en-US" w:eastAsia="en-US"/>
              </w:rPr>
              <w:t>年1月1日至今）</w:t>
            </w:r>
          </w:p>
        </w:tc>
      </w:tr>
      <w:tr w14:paraId="34F3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0D81E670">
            <w:pPr>
              <w:widowControl/>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4.5</w:t>
            </w:r>
          </w:p>
        </w:tc>
        <w:tc>
          <w:tcPr>
            <w:tcW w:w="2072" w:type="dxa"/>
            <w:vAlign w:val="center"/>
          </w:tcPr>
          <w:p w14:paraId="11E38E9A">
            <w:pPr>
              <w:widowControl/>
              <w:spacing w:line="360" w:lineRule="auto"/>
              <w:rPr>
                <w:rFonts w:hint="eastAsia" w:asciiTheme="minorEastAsia" w:hAnsiTheme="minorEastAsia" w:cstheme="minorEastAsia"/>
                <w:sz w:val="24"/>
                <w:szCs w:val="24"/>
              </w:rPr>
            </w:pPr>
            <w:r>
              <w:rPr>
                <w:rFonts w:hint="eastAsia" w:ascii="宋体" w:hAnsi="宋体" w:eastAsia="宋体" w:cs="宋体"/>
                <w:kern w:val="0"/>
                <w:sz w:val="24"/>
                <w:szCs w:val="24"/>
                <w:lang w:val="en-US" w:eastAsia="zh-CN"/>
              </w:rPr>
              <w:t>近年财务状况的年份要求</w:t>
            </w:r>
          </w:p>
        </w:tc>
        <w:tc>
          <w:tcPr>
            <w:tcW w:w="6447" w:type="dxa"/>
            <w:vAlign w:val="center"/>
          </w:tcPr>
          <w:p w14:paraId="1C10728B">
            <w:pPr>
              <w:widowControl/>
              <w:spacing w:line="360" w:lineRule="auto"/>
              <w:rPr>
                <w:rFonts w:hint="eastAsia" w:asciiTheme="minorEastAsia" w:hAnsiTheme="minorEastAsia" w:cstheme="minorEastAsia"/>
                <w:sz w:val="24"/>
                <w:szCs w:val="24"/>
              </w:rPr>
            </w:pPr>
            <w:r>
              <w:rPr>
                <w:rFonts w:hint="eastAsia" w:ascii="宋体" w:hAnsi="宋体" w:eastAsia="宋体" w:cs="宋体"/>
                <w:kern w:val="0"/>
                <w:sz w:val="24"/>
                <w:szCs w:val="24"/>
                <w:lang w:val="en-US" w:eastAsia="zh-CN"/>
              </w:rPr>
              <w:t>近三年（2023年至2025年）任意一年</w:t>
            </w:r>
          </w:p>
        </w:tc>
      </w:tr>
      <w:tr w14:paraId="44D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E7484F7">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val="en-US" w:eastAsia="zh-CN"/>
              </w:rPr>
              <w:t>6</w:t>
            </w:r>
          </w:p>
        </w:tc>
        <w:tc>
          <w:tcPr>
            <w:tcW w:w="2072" w:type="dxa"/>
            <w:vAlign w:val="center"/>
          </w:tcPr>
          <w:p w14:paraId="03B135BB">
            <w:pPr>
              <w:spacing w:line="500" w:lineRule="exact"/>
              <w:jc w:val="center"/>
              <w:rPr>
                <w:rFonts w:asciiTheme="minorEastAsia" w:hAnsiTheme="minorEastAsia" w:cstheme="minorEastAsia"/>
                <w:color w:val="auto"/>
                <w:sz w:val="24"/>
                <w:szCs w:val="24"/>
              </w:rPr>
            </w:pPr>
            <w:r>
              <w:rPr>
                <w:rFonts w:hint="eastAsia" w:asciiTheme="minorEastAsia" w:hAnsiTheme="minorEastAsia" w:cstheme="minorEastAsia"/>
                <w:color w:val="auto"/>
                <w:kern w:val="0"/>
                <w:sz w:val="24"/>
                <w:szCs w:val="24"/>
              </w:rPr>
              <w:t>竞争性磋商时间和地点</w:t>
            </w:r>
          </w:p>
        </w:tc>
        <w:tc>
          <w:tcPr>
            <w:tcW w:w="6447" w:type="dxa"/>
          </w:tcPr>
          <w:p w14:paraId="3A40FD11">
            <w:pPr>
              <w:spacing w:line="500" w:lineRule="exact"/>
              <w:jc w:val="both"/>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auto"/>
                <w:kern w:val="0"/>
                <w:sz w:val="24"/>
                <w:szCs w:val="24"/>
              </w:rPr>
              <w:t>磋商时间：</w:t>
            </w:r>
            <w:r>
              <w:rPr>
                <w:rFonts w:hint="eastAsia" w:asciiTheme="minorEastAsia" w:hAnsiTheme="minorEastAsia" w:cstheme="minorEastAsia"/>
                <w:color w:val="000000" w:themeColor="text1"/>
                <w:kern w:val="0"/>
                <w:sz w:val="24"/>
                <w:szCs w:val="24"/>
                <w14:textFill>
                  <w14:solidFill>
                    <w14:schemeClr w14:val="tx1"/>
                  </w14:solidFill>
                </w14:textFill>
              </w:rPr>
              <w:t>202</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14:textFill>
                  <w14:solidFill>
                    <w14:schemeClr w14:val="tx1"/>
                  </w14:solidFill>
                </w14:textFill>
              </w:rPr>
              <w:t>年</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06</w:t>
            </w:r>
            <w:r>
              <w:rPr>
                <w:rFonts w:hint="eastAsia" w:asciiTheme="minorEastAsia" w:hAnsi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05</w:t>
            </w:r>
            <w:r>
              <w:rPr>
                <w:rFonts w:hint="eastAsia" w:asciiTheme="minorEastAsia" w:hAnsiTheme="minorEastAsia" w:cstheme="minorEastAsia"/>
                <w:color w:val="000000" w:themeColor="text1"/>
                <w:kern w:val="0"/>
                <w:sz w:val="24"/>
                <w:szCs w:val="24"/>
                <w14:textFill>
                  <w14:solidFill>
                    <w14:schemeClr w14:val="tx1"/>
                  </w14:solidFill>
                </w14:textFill>
              </w:rPr>
              <w:t>日</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0</w:t>
            </w:r>
            <w:r>
              <w:rPr>
                <w:rFonts w:hint="eastAsia" w:asciiTheme="minorEastAsia" w:hAnsiTheme="minorEastAsia" w:cstheme="minorEastAsia"/>
                <w:color w:val="000000" w:themeColor="text1"/>
                <w:kern w:val="0"/>
                <w:sz w:val="24"/>
                <w:szCs w:val="24"/>
                <w14:textFill>
                  <w14:solidFill>
                    <w14:schemeClr w14:val="tx1"/>
                  </w14:solidFill>
                </w14:textFill>
              </w:rPr>
              <w:t>8时</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cstheme="minorEastAsia"/>
                <w:color w:val="000000" w:themeColor="text1"/>
                <w:kern w:val="0"/>
                <w:sz w:val="24"/>
                <w:szCs w:val="24"/>
                <w14:textFill>
                  <w14:solidFill>
                    <w14:schemeClr w14:val="tx1"/>
                  </w14:solidFill>
                </w14:textFill>
              </w:rPr>
              <w:t>0分</w:t>
            </w:r>
          </w:p>
          <w:p w14:paraId="250D862C">
            <w:pPr>
              <w:spacing w:line="500" w:lineRule="exact"/>
              <w:jc w:val="both"/>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开标地点：卢氏县公共资源交易中心四楼第</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w:t>
            </w:r>
            <w:r>
              <w:rPr>
                <w:rFonts w:hint="eastAsia" w:asciiTheme="minorEastAsia" w:hAnsiTheme="minorEastAsia" w:cstheme="minorEastAsia"/>
                <w:color w:val="000000" w:themeColor="text1"/>
                <w:kern w:val="0"/>
                <w:sz w:val="24"/>
                <w:szCs w:val="24"/>
                <w14:textFill>
                  <w14:solidFill>
                    <w14:schemeClr w14:val="tx1"/>
                  </w14:solidFill>
                </w14:textFill>
              </w:rPr>
              <w:t>开标室；</w:t>
            </w:r>
          </w:p>
          <w:p w14:paraId="312AE107">
            <w:pPr>
              <w:spacing w:line="500" w:lineRule="exact"/>
              <w:jc w:val="both"/>
              <w:rPr>
                <w:rFonts w:asciiTheme="minorEastAsia" w:hAnsiTheme="minorEastAsia" w:cstheme="minorEastAsia"/>
                <w:color w:val="auto"/>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评标地点：卢氏县公共资源交易中心二楼第</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二</w:t>
            </w:r>
            <w:r>
              <w:rPr>
                <w:rFonts w:hint="eastAsia" w:asciiTheme="minorEastAsia" w:hAnsiTheme="minorEastAsia" w:cstheme="minorEastAsia"/>
                <w:color w:val="000000" w:themeColor="text1"/>
                <w:kern w:val="0"/>
                <w:sz w:val="24"/>
                <w:szCs w:val="24"/>
                <w14:textFill>
                  <w14:solidFill>
                    <w14:schemeClr w14:val="tx1"/>
                  </w14:solidFill>
                </w14:textFill>
              </w:rPr>
              <w:t>评标室。</w:t>
            </w:r>
          </w:p>
        </w:tc>
      </w:tr>
      <w:tr w14:paraId="0349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3E47453">
            <w:pPr>
              <w:spacing w:line="500" w:lineRule="exact"/>
              <w:jc w:val="center"/>
              <w:rPr>
                <w:rFonts w:hint="default" w:asciiTheme="minorEastAsia" w:hAnsiTheme="minorEastAsia" w:cstheme="minorEastAsia"/>
                <w:sz w:val="24"/>
                <w:szCs w:val="24"/>
                <w:lang w:val="en-US"/>
              </w:rPr>
            </w:pPr>
            <w:r>
              <w:rPr>
                <w:rFonts w:hint="eastAsia" w:asciiTheme="minorEastAsia" w:hAnsiTheme="minorEastAsia" w:cstheme="minorEastAsia"/>
                <w:sz w:val="24"/>
                <w:szCs w:val="24"/>
                <w:lang w:val="en-US" w:eastAsia="zh-CN"/>
              </w:rPr>
              <w:t>4.7</w:t>
            </w:r>
          </w:p>
        </w:tc>
        <w:tc>
          <w:tcPr>
            <w:tcW w:w="2072" w:type="dxa"/>
            <w:vAlign w:val="center"/>
          </w:tcPr>
          <w:p w14:paraId="60AC42A5">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磋商小组的组建</w:t>
            </w:r>
          </w:p>
        </w:tc>
        <w:tc>
          <w:tcPr>
            <w:tcW w:w="6447" w:type="dxa"/>
          </w:tcPr>
          <w:p w14:paraId="5DA7A235">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磋商小组由采购人代表和评审专家共3人以上单数组成，其中评审专家人数不得少于磋商小组成员总数的2/3。</w:t>
            </w:r>
          </w:p>
          <w:p w14:paraId="412A7068">
            <w:p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磋商小组组建方式：磋商小组成员为3人，采购人代表1人，其余专家2人从</w:t>
            </w:r>
            <w:r>
              <w:rPr>
                <w:rFonts w:hint="eastAsia" w:ascii="宋体" w:hAnsi="宋体" w:cs="宋体"/>
                <w:sz w:val="24"/>
                <w:szCs w:val="24"/>
              </w:rPr>
              <w:t>河南省政府采购评标专家库中随机抽取。（采购人代表无评标劳务费用）</w:t>
            </w:r>
            <w:r>
              <w:rPr>
                <w:rFonts w:hint="eastAsia" w:ascii="宋体" w:hAnsi="宋体" w:cs="宋体"/>
                <w:sz w:val="24"/>
                <w:szCs w:val="24"/>
                <w:lang w:eastAsia="zh-CN"/>
              </w:rPr>
              <w:t>。</w:t>
            </w:r>
          </w:p>
        </w:tc>
      </w:tr>
      <w:tr w14:paraId="1E6C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6238D5A">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val="en-US" w:eastAsia="zh-CN"/>
              </w:rPr>
              <w:t>8</w:t>
            </w:r>
          </w:p>
        </w:tc>
        <w:tc>
          <w:tcPr>
            <w:tcW w:w="2072" w:type="dxa"/>
            <w:vAlign w:val="center"/>
          </w:tcPr>
          <w:p w14:paraId="0D573239">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付款方式</w:t>
            </w:r>
          </w:p>
        </w:tc>
        <w:tc>
          <w:tcPr>
            <w:tcW w:w="6447" w:type="dxa"/>
          </w:tcPr>
          <w:p w14:paraId="3FD7E992">
            <w:pPr>
              <w:spacing w:line="500" w:lineRule="exact"/>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auto"/>
                <w:spacing w:val="6"/>
                <w:kern w:val="2"/>
                <w:sz w:val="24"/>
                <w:szCs w:val="24"/>
                <w:highlight w:val="none"/>
                <w:lang w:eastAsia="zh-CN"/>
              </w:rPr>
              <w:t>以《中华人民共和国</w:t>
            </w:r>
            <w:r>
              <w:rPr>
                <w:rFonts w:hint="eastAsia" w:ascii="宋体" w:hAnsi="宋体" w:eastAsia="宋体" w:cs="宋体"/>
                <w:color w:val="auto"/>
                <w:spacing w:val="6"/>
                <w:kern w:val="2"/>
                <w:sz w:val="24"/>
                <w:szCs w:val="24"/>
                <w:highlight w:val="none"/>
                <w:lang w:val="en-US" w:eastAsia="zh-CN"/>
              </w:rPr>
              <w:t>民法典</w:t>
            </w:r>
            <w:r>
              <w:rPr>
                <w:rFonts w:hint="eastAsia" w:ascii="宋体" w:hAnsi="宋体" w:eastAsia="宋体" w:cs="宋体"/>
                <w:color w:val="auto"/>
                <w:spacing w:val="6"/>
                <w:kern w:val="2"/>
                <w:sz w:val="24"/>
                <w:szCs w:val="24"/>
                <w:highlight w:val="none"/>
                <w:lang w:eastAsia="zh-CN"/>
              </w:rPr>
              <w:t>》等相关法律法规为准，甲乙双方协定。</w:t>
            </w:r>
          </w:p>
        </w:tc>
      </w:tr>
      <w:tr w14:paraId="5853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CB00CD4">
            <w:pPr>
              <w:spacing w:line="5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val="en-US" w:eastAsia="zh-CN"/>
              </w:rPr>
              <w:t>9</w:t>
            </w:r>
          </w:p>
        </w:tc>
        <w:tc>
          <w:tcPr>
            <w:tcW w:w="2072" w:type="dxa"/>
            <w:vAlign w:val="center"/>
          </w:tcPr>
          <w:p w14:paraId="1F0EE9C9">
            <w:pPr>
              <w:spacing w:line="5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是否授权磋商小组确定成交人</w:t>
            </w:r>
          </w:p>
        </w:tc>
        <w:tc>
          <w:tcPr>
            <w:tcW w:w="6447" w:type="dxa"/>
            <w:vAlign w:val="center"/>
          </w:tcPr>
          <w:p w14:paraId="59A5F351">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否，推荐的成交候选人数：3名</w:t>
            </w:r>
          </w:p>
        </w:tc>
      </w:tr>
      <w:tr w14:paraId="5382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jc w:val="center"/>
        </w:trPr>
        <w:tc>
          <w:tcPr>
            <w:tcW w:w="974" w:type="dxa"/>
            <w:vAlign w:val="center"/>
          </w:tcPr>
          <w:p w14:paraId="5194B25C">
            <w:pPr>
              <w:spacing w:line="50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5.0</w:t>
            </w:r>
          </w:p>
        </w:tc>
        <w:tc>
          <w:tcPr>
            <w:tcW w:w="8519" w:type="dxa"/>
            <w:gridSpan w:val="2"/>
            <w:vAlign w:val="center"/>
          </w:tcPr>
          <w:p w14:paraId="1CA57B07">
            <w:pPr>
              <w:wordWrap w:val="0"/>
              <w:topLinePunct/>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成交人与采购人签订合同后，将合同原件扫描件报采购代理机构备案。</w:t>
            </w:r>
          </w:p>
        </w:tc>
      </w:tr>
      <w:tr w14:paraId="3178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29B090CA">
            <w:pPr>
              <w:spacing w:line="5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5.1</w:t>
            </w:r>
          </w:p>
        </w:tc>
        <w:tc>
          <w:tcPr>
            <w:tcW w:w="2072" w:type="dxa"/>
            <w:vAlign w:val="center"/>
          </w:tcPr>
          <w:p w14:paraId="2D5C06DE">
            <w:pPr>
              <w:wordWrap w:val="0"/>
              <w:topLinePunct/>
              <w:spacing w:line="500" w:lineRule="exact"/>
              <w:jc w:val="center"/>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 xml:space="preserve">合同签订时间 </w:t>
            </w:r>
          </w:p>
        </w:tc>
        <w:tc>
          <w:tcPr>
            <w:tcW w:w="6447" w:type="dxa"/>
            <w:vAlign w:val="center"/>
          </w:tcPr>
          <w:p w14:paraId="0EC52A7D">
            <w:pPr>
              <w:spacing w:line="500" w:lineRule="exac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所签订的合同不得对竞争性磋商文件确定的事项和成交人响应文件作实质性修改。</w:t>
            </w:r>
          </w:p>
        </w:tc>
      </w:tr>
      <w:tr w14:paraId="409A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4F2C97AB">
            <w:pPr>
              <w:spacing w:line="50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lang w:val="en-US" w:eastAsia="zh-CN"/>
              </w:rPr>
              <w:t>5.2</w:t>
            </w:r>
          </w:p>
        </w:tc>
        <w:tc>
          <w:tcPr>
            <w:tcW w:w="2072" w:type="dxa"/>
            <w:vAlign w:val="center"/>
          </w:tcPr>
          <w:p w14:paraId="212952F7">
            <w:pPr>
              <w:wordWrap w:val="0"/>
              <w:topLinePunct/>
              <w:spacing w:line="500" w:lineRule="exact"/>
              <w:jc w:val="center"/>
              <w:rPr>
                <w:rFonts w:hint="eastAsia" w:asciiTheme="minorEastAsia" w:hAnsiTheme="minorEastAsia" w:cstheme="minorEastAsia"/>
                <w:sz w:val="24"/>
                <w:szCs w:val="24"/>
                <w:lang w:val="en-US" w:eastAsia="zh-CN"/>
              </w:rPr>
            </w:pPr>
            <w:r>
              <w:rPr>
                <w:rFonts w:hint="eastAsia" w:ascii="宋体" w:hAnsi="宋体" w:eastAsia="宋体" w:cs="宋体"/>
                <w:sz w:val="24"/>
                <w:szCs w:val="24"/>
                <w:highlight w:val="none"/>
              </w:rPr>
              <w:t>代理服务费</w:t>
            </w:r>
          </w:p>
        </w:tc>
        <w:tc>
          <w:tcPr>
            <w:tcW w:w="6447" w:type="dxa"/>
            <w:vAlign w:val="center"/>
          </w:tcPr>
          <w:p w14:paraId="41573476">
            <w:pPr>
              <w:spacing w:line="500" w:lineRule="exac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en-US"/>
              </w:rPr>
              <w:t>招标代理服务收费参照豫招协[2023]002号河南省招标投标协会关于印发《河南省招标代理服务收费指导意见》规定的收费标准收取</w:t>
            </w:r>
            <w:r>
              <w:rPr>
                <w:rFonts w:hint="eastAsia" w:asciiTheme="minorEastAsia" w:hAnsiTheme="minorEastAsia" w:cstheme="minorEastAsia"/>
                <w:sz w:val="24"/>
                <w:szCs w:val="24"/>
                <w:lang w:val="en-US" w:eastAsia="zh-CN"/>
              </w:rPr>
              <w:t>成交</w:t>
            </w:r>
            <w:r>
              <w:rPr>
                <w:rFonts w:hint="eastAsia" w:asciiTheme="minorEastAsia" w:hAnsiTheme="minorEastAsia" w:cstheme="minorEastAsia"/>
                <w:sz w:val="24"/>
                <w:szCs w:val="24"/>
                <w:lang w:val="en-US" w:eastAsia="en-US"/>
              </w:rPr>
              <w:t>服务费，领取</w:t>
            </w:r>
            <w:r>
              <w:rPr>
                <w:rFonts w:hint="eastAsia" w:asciiTheme="minorEastAsia" w:hAnsiTheme="minorEastAsia" w:cstheme="minorEastAsia"/>
                <w:sz w:val="24"/>
                <w:szCs w:val="24"/>
                <w:lang w:val="en-US" w:eastAsia="zh-CN"/>
              </w:rPr>
              <w:t>成交</w:t>
            </w:r>
            <w:r>
              <w:rPr>
                <w:rFonts w:hint="eastAsia" w:asciiTheme="minorEastAsia" w:hAnsiTheme="minorEastAsia" w:cstheme="minorEastAsia"/>
                <w:sz w:val="24"/>
                <w:szCs w:val="24"/>
                <w:lang w:val="en-US" w:eastAsia="en-US"/>
              </w:rPr>
              <w:t>通知书时</w:t>
            </w:r>
            <w:r>
              <w:rPr>
                <w:rFonts w:hint="eastAsia" w:asciiTheme="minorEastAsia" w:hAnsiTheme="minorEastAsia" w:cstheme="minorEastAsia"/>
                <w:sz w:val="24"/>
                <w:szCs w:val="24"/>
                <w:lang w:val="en-US" w:eastAsia="zh-CN"/>
              </w:rPr>
              <w:t>由成交（中标）人向代理机构</w:t>
            </w:r>
            <w:r>
              <w:rPr>
                <w:rFonts w:hint="eastAsia" w:asciiTheme="minorEastAsia" w:hAnsiTheme="minorEastAsia" w:cstheme="minorEastAsia"/>
                <w:sz w:val="24"/>
                <w:szCs w:val="24"/>
                <w:lang w:val="en-US" w:eastAsia="en-US"/>
              </w:rPr>
              <w:t>一次性支付。</w:t>
            </w:r>
          </w:p>
          <w:p w14:paraId="087A86EB">
            <w:pPr>
              <w:spacing w:line="500" w:lineRule="exac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2.中标（成交）供应商在领取中标通知书时，须提供投标文件（上传稿）纸质资料两套，需加盖单位公章，胶装成册。</w:t>
            </w:r>
          </w:p>
        </w:tc>
      </w:tr>
      <w:tr w14:paraId="6CA6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74" w:type="dxa"/>
            <w:vAlign w:val="center"/>
          </w:tcPr>
          <w:p w14:paraId="09B09374">
            <w:pPr>
              <w:pStyle w:val="51"/>
              <w:wordWrap w:val="0"/>
              <w:spacing w:line="36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5.3</w:t>
            </w:r>
          </w:p>
        </w:tc>
        <w:tc>
          <w:tcPr>
            <w:tcW w:w="2072" w:type="dxa"/>
            <w:vAlign w:val="center"/>
          </w:tcPr>
          <w:p w14:paraId="030C4321">
            <w:pPr>
              <w:pStyle w:val="51"/>
              <w:spacing w:line="360" w:lineRule="exact"/>
              <w:jc w:val="center"/>
              <w:rPr>
                <w:rFonts w:hint="eastAsia" w:asciiTheme="minorEastAsia" w:hAnsiTheme="minorEastAsia" w:eastAsiaTheme="minorEastAsia" w:cstheme="minorEastAsia"/>
                <w:kern w:val="2"/>
                <w:sz w:val="24"/>
                <w:szCs w:val="24"/>
                <w:lang w:val="en-US" w:eastAsia="en-US" w:bidi="ar-SA"/>
              </w:rPr>
            </w:pPr>
            <w:r>
              <w:rPr>
                <w:rFonts w:hint="eastAsia" w:asciiTheme="minorEastAsia" w:hAnsiTheme="minorEastAsia" w:eastAsiaTheme="minorEastAsia" w:cstheme="minorEastAsia"/>
                <w:kern w:val="2"/>
                <w:sz w:val="24"/>
                <w:szCs w:val="24"/>
                <w:lang w:val="en-US" w:eastAsia="en-US" w:bidi="ar-SA"/>
              </w:rPr>
              <w:t>需要补充的其他内容</w:t>
            </w:r>
          </w:p>
        </w:tc>
        <w:tc>
          <w:tcPr>
            <w:tcW w:w="6447" w:type="dxa"/>
            <w:vAlign w:val="center"/>
          </w:tcPr>
          <w:p w14:paraId="7379D381">
            <w:pPr>
              <w:spacing w:line="500" w:lineRule="exac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电子化</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val="en-US" w:eastAsia="en-US"/>
              </w:rPr>
              <w:t>响应文件应在投标截止时间前成功上传至三门峡市公共资源电子化交易系统。至投标截止时间止，仍未上传成功的电子化</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val="en-US" w:eastAsia="en-US"/>
              </w:rPr>
              <w:t>响应文件，将不予接受。</w:t>
            </w:r>
          </w:p>
        </w:tc>
      </w:tr>
      <w:tr w14:paraId="348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1EB019DA">
            <w:pPr>
              <w:pStyle w:val="51"/>
              <w:wordWrap w:val="0"/>
              <w:spacing w:line="360" w:lineRule="exact"/>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5.4</w:t>
            </w:r>
          </w:p>
        </w:tc>
        <w:tc>
          <w:tcPr>
            <w:tcW w:w="2072" w:type="dxa"/>
            <w:vAlign w:val="center"/>
          </w:tcPr>
          <w:p w14:paraId="3A572E77">
            <w:pPr>
              <w:pStyle w:val="51"/>
              <w:spacing w:line="360" w:lineRule="exact"/>
              <w:jc w:val="center"/>
              <w:rPr>
                <w:rFonts w:hint="eastAsia" w:asciiTheme="minorEastAsia" w:hAnsiTheme="minorEastAsia" w:eastAsiaTheme="minorEastAsia" w:cstheme="minorEastAsia"/>
                <w:kern w:val="2"/>
                <w:sz w:val="24"/>
                <w:szCs w:val="24"/>
                <w:lang w:val="en-US" w:eastAsia="en-US" w:bidi="ar-SA"/>
              </w:rPr>
            </w:pPr>
            <w:r>
              <w:rPr>
                <w:rFonts w:hint="eastAsia" w:asciiTheme="minorEastAsia" w:hAnsiTheme="minorEastAsia" w:eastAsiaTheme="minorEastAsia" w:cstheme="minorEastAsia"/>
                <w:kern w:val="2"/>
                <w:sz w:val="24"/>
                <w:szCs w:val="24"/>
                <w:lang w:val="en-US" w:eastAsia="en-US" w:bidi="ar-SA"/>
              </w:rPr>
              <w:t>是否实行计算机辅助评标</w:t>
            </w:r>
          </w:p>
        </w:tc>
        <w:tc>
          <w:tcPr>
            <w:tcW w:w="6447" w:type="dxa"/>
            <w:vAlign w:val="center"/>
          </w:tcPr>
          <w:p w14:paraId="210965F0">
            <w:pPr>
              <w:pStyle w:val="51"/>
              <w:spacing w:line="360" w:lineRule="exact"/>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en-US" w:bidi="ar-SA"/>
              </w:rPr>
              <w:t>是</w:t>
            </w:r>
          </w:p>
        </w:tc>
      </w:tr>
      <w:tr w14:paraId="03D0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24E9DD53">
            <w:pPr>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5.5</w:t>
            </w:r>
          </w:p>
        </w:tc>
        <w:tc>
          <w:tcPr>
            <w:tcW w:w="2072" w:type="dxa"/>
            <w:vAlign w:val="center"/>
          </w:tcPr>
          <w:p w14:paraId="0CDA6045">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供应商代表出席开标会</w:t>
            </w:r>
          </w:p>
        </w:tc>
        <w:tc>
          <w:tcPr>
            <w:tcW w:w="6447" w:type="dxa"/>
            <w:vAlign w:val="center"/>
          </w:tcPr>
          <w:p w14:paraId="349FE1F3">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投标文件解密等。每位供应商的解密时间为开标时间起30分钟内完成。未按时解密的其投标将被否决。因供应商原因未能解密、解密失败或解密超时的将被拒绝。</w:t>
            </w:r>
          </w:p>
        </w:tc>
      </w:tr>
      <w:tr w14:paraId="2482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7D2C593C">
            <w:pPr>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5.6</w:t>
            </w:r>
          </w:p>
        </w:tc>
        <w:tc>
          <w:tcPr>
            <w:tcW w:w="2072" w:type="dxa"/>
            <w:vAlign w:val="center"/>
          </w:tcPr>
          <w:p w14:paraId="37A5CE3E">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成交</w:t>
            </w:r>
            <w:r>
              <w:rPr>
                <w:rFonts w:hint="eastAsia" w:asciiTheme="minorEastAsia" w:hAnsiTheme="minorEastAsia" w:cstheme="minorEastAsia"/>
                <w:sz w:val="24"/>
                <w:szCs w:val="24"/>
              </w:rPr>
              <w:t>公</w:t>
            </w:r>
            <w:r>
              <w:rPr>
                <w:rFonts w:hint="eastAsia" w:asciiTheme="minorEastAsia" w:hAnsiTheme="minorEastAsia" w:cstheme="minorEastAsia"/>
                <w:sz w:val="24"/>
                <w:szCs w:val="24"/>
                <w:lang w:eastAsia="zh-CN"/>
              </w:rPr>
              <w:t>告</w:t>
            </w:r>
          </w:p>
        </w:tc>
        <w:tc>
          <w:tcPr>
            <w:tcW w:w="6447" w:type="dxa"/>
            <w:vAlign w:val="center"/>
          </w:tcPr>
          <w:p w14:paraId="4036876B">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在《河南省政府采购网》</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en-US"/>
              </w:rPr>
              <w:t>《三门峡市公共资源交易中心网》</w:t>
            </w:r>
            <w:r>
              <w:rPr>
                <w:rFonts w:hint="eastAsia" w:asciiTheme="minorEastAsia" w:hAnsiTheme="minorEastAsia" w:cstheme="minorEastAsia"/>
                <w:sz w:val="24"/>
                <w:szCs w:val="24"/>
                <w:lang w:val="en-US" w:eastAsia="zh-CN"/>
              </w:rPr>
              <w:t>、</w:t>
            </w:r>
            <w:r>
              <w:rPr>
                <w:rFonts w:hint="eastAsia" w:ascii="宋体" w:hAnsi="宋体" w:eastAsia="宋体" w:cs="宋体"/>
                <w:kern w:val="0"/>
                <w:sz w:val="24"/>
                <w:szCs w:val="24"/>
                <w:lang w:val="en-US" w:eastAsia="zh-CN"/>
              </w:rPr>
              <w:t>《中国招标投标公共服务平台》、《中国采购与招标网》</w:t>
            </w:r>
            <w:r>
              <w:rPr>
                <w:rFonts w:hint="eastAsia" w:asciiTheme="minorEastAsia" w:hAnsiTheme="minorEastAsia" w:cstheme="minorEastAsia"/>
                <w:sz w:val="24"/>
                <w:szCs w:val="24"/>
                <w:lang w:val="en-US" w:eastAsia="en-US"/>
              </w:rPr>
              <w:t>同时进行公告，公示期</w:t>
            </w:r>
            <w:r>
              <w:rPr>
                <w:rFonts w:hint="eastAsia" w:asciiTheme="minorEastAsia" w:hAnsiTheme="minorEastAsia" w:cstheme="minorEastAsia"/>
                <w:sz w:val="24"/>
                <w:szCs w:val="24"/>
                <w:lang w:val="en-US" w:eastAsia="zh-CN"/>
              </w:rPr>
              <w:t>为七</w:t>
            </w:r>
            <w:r>
              <w:rPr>
                <w:rFonts w:hint="eastAsia" w:asciiTheme="minorEastAsia" w:hAnsiTheme="minorEastAsia" w:cstheme="minorEastAsia"/>
                <w:sz w:val="24"/>
                <w:szCs w:val="24"/>
                <w:lang w:val="en-US" w:eastAsia="en-US"/>
              </w:rPr>
              <w:t>个工作日。</w:t>
            </w:r>
          </w:p>
        </w:tc>
      </w:tr>
      <w:tr w14:paraId="260C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7A438697">
            <w:pPr>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5.7</w:t>
            </w:r>
          </w:p>
        </w:tc>
        <w:tc>
          <w:tcPr>
            <w:tcW w:w="2072" w:type="dxa"/>
            <w:vAlign w:val="center"/>
          </w:tcPr>
          <w:p w14:paraId="53BA182A">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知识产权</w:t>
            </w:r>
          </w:p>
        </w:tc>
        <w:tc>
          <w:tcPr>
            <w:tcW w:w="6447" w:type="dxa"/>
            <w:vAlign w:val="center"/>
          </w:tcPr>
          <w:p w14:paraId="23410715">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构成本竞争性</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14:paraId="751E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4B0C2FB3">
            <w:pPr>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5.8</w:t>
            </w:r>
          </w:p>
        </w:tc>
        <w:tc>
          <w:tcPr>
            <w:tcW w:w="2072" w:type="dxa"/>
            <w:vAlign w:val="center"/>
          </w:tcPr>
          <w:p w14:paraId="0EDB74AD">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解释权</w:t>
            </w:r>
          </w:p>
        </w:tc>
        <w:tc>
          <w:tcPr>
            <w:tcW w:w="6447" w:type="dxa"/>
            <w:vAlign w:val="center"/>
          </w:tcPr>
          <w:p w14:paraId="65DD098E">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2E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6F4225A9">
            <w:pPr>
              <w:spacing w:line="500" w:lineRule="exact"/>
              <w:ind w:firstLine="240" w:firstLineChars="100"/>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5.9</w:t>
            </w:r>
          </w:p>
        </w:tc>
        <w:tc>
          <w:tcPr>
            <w:tcW w:w="2072" w:type="dxa"/>
            <w:vAlign w:val="center"/>
          </w:tcPr>
          <w:p w14:paraId="6279B4B0">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en-US"/>
              </w:rPr>
              <w:t>无效标条件</w:t>
            </w:r>
          </w:p>
        </w:tc>
        <w:tc>
          <w:tcPr>
            <w:tcW w:w="6447" w:type="dxa"/>
            <w:vAlign w:val="center"/>
          </w:tcPr>
          <w:p w14:paraId="7E61C6DB">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val="en-US" w:eastAsia="en-US"/>
              </w:rPr>
              <w:t>投标供应商资格条件不符合国家有关规定和</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val="en-US" w:eastAsia="en-US"/>
              </w:rPr>
              <w:t>文件要求的；</w:t>
            </w:r>
          </w:p>
          <w:p w14:paraId="04CE5B82">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2、没有按照</w:t>
            </w:r>
            <w:r>
              <w:rPr>
                <w:rFonts w:hint="eastAsia" w:asciiTheme="minorEastAsia" w:hAnsiTheme="minorEastAsia" w:cstheme="minorEastAsia"/>
                <w:sz w:val="24"/>
                <w:szCs w:val="24"/>
                <w:lang w:val="en-US" w:eastAsia="zh-CN"/>
              </w:rPr>
              <w:t>磋商文件</w:t>
            </w:r>
            <w:r>
              <w:rPr>
                <w:rFonts w:hint="eastAsia" w:asciiTheme="minorEastAsia" w:hAnsiTheme="minorEastAsia" w:cstheme="minorEastAsia"/>
                <w:sz w:val="24"/>
                <w:szCs w:val="24"/>
                <w:lang w:val="en-US" w:eastAsia="en-US"/>
              </w:rPr>
              <w:t>要求提供投标承诺函；</w:t>
            </w:r>
          </w:p>
          <w:p w14:paraId="6CD36180">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3、电子化投标文件附有采购人不能接受的条件的；</w:t>
            </w:r>
          </w:p>
          <w:p w14:paraId="0F700822">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4、投标报价低于成本、高于</w:t>
            </w:r>
            <w:r>
              <w:rPr>
                <w:rFonts w:hint="eastAsia" w:asciiTheme="minorEastAsia" w:hAnsiTheme="minorEastAsia" w:cstheme="minorEastAsia"/>
                <w:sz w:val="24"/>
                <w:szCs w:val="24"/>
                <w:lang w:val="en-US" w:eastAsia="zh-CN"/>
              </w:rPr>
              <w:t>磋商文件</w:t>
            </w:r>
            <w:r>
              <w:rPr>
                <w:rFonts w:hint="eastAsia" w:asciiTheme="minorEastAsia" w:hAnsiTheme="minorEastAsia" w:cstheme="minorEastAsia"/>
                <w:sz w:val="24"/>
                <w:szCs w:val="24"/>
                <w:lang w:val="en-US" w:eastAsia="en-US"/>
              </w:rPr>
              <w:t>设定的最高投标限价；</w:t>
            </w:r>
          </w:p>
          <w:p w14:paraId="1F77BFD9">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5、以他人的名义投标、串通投标、以行贿手段谋取中标或者以其他弄虚作假方式投标的；</w:t>
            </w:r>
          </w:p>
          <w:p w14:paraId="6828EB8C">
            <w:pPr>
              <w:spacing w:line="500" w:lineRule="exact"/>
              <w:jc w:val="left"/>
              <w:rPr>
                <w:rFonts w:hint="eastAsia" w:asciiTheme="minorEastAsia" w:hAnsiTheme="minorEastAsia" w:cstheme="minorEastAsia"/>
                <w:sz w:val="24"/>
                <w:szCs w:val="24"/>
                <w:lang w:val="en-US" w:eastAsia="en-US"/>
              </w:rPr>
            </w:pPr>
            <w:r>
              <w:rPr>
                <w:rFonts w:hint="eastAsia" w:asciiTheme="minorEastAsia" w:hAnsiTheme="minorEastAsia" w:cstheme="minorEastAsia"/>
                <w:sz w:val="24"/>
                <w:szCs w:val="24"/>
                <w:lang w:val="en-US" w:eastAsia="en-US"/>
              </w:rPr>
              <w:t>6、采取不正当手段谋取中标的；</w:t>
            </w:r>
          </w:p>
          <w:p w14:paraId="73F714E2">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 xml:space="preserve">7、法律、法规规定的其他情况。 </w:t>
            </w:r>
          </w:p>
        </w:tc>
      </w:tr>
      <w:tr w14:paraId="0B12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1F4FC76B">
            <w:pPr>
              <w:spacing w:line="500" w:lineRule="exact"/>
              <w:ind w:firstLine="240" w:firstLineChars="1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6.0</w:t>
            </w:r>
          </w:p>
        </w:tc>
        <w:tc>
          <w:tcPr>
            <w:tcW w:w="2072" w:type="dxa"/>
            <w:vAlign w:val="center"/>
          </w:tcPr>
          <w:p w14:paraId="06DDCB82">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重新招标的其他情形</w:t>
            </w:r>
          </w:p>
        </w:tc>
        <w:tc>
          <w:tcPr>
            <w:tcW w:w="6447" w:type="dxa"/>
            <w:vAlign w:val="center"/>
          </w:tcPr>
          <w:p w14:paraId="2D504EFD">
            <w:pPr>
              <w:spacing w:line="500" w:lineRule="exact"/>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en-US"/>
              </w:rPr>
              <w:t>除响应人须知正文规定的情形外，除非已经产生</w:t>
            </w:r>
            <w:r>
              <w:rPr>
                <w:rFonts w:hint="eastAsia" w:asciiTheme="minorEastAsia" w:hAnsiTheme="minorEastAsia" w:cstheme="minorEastAsia"/>
                <w:sz w:val="24"/>
                <w:szCs w:val="24"/>
                <w:lang w:val="en-US" w:eastAsia="zh-CN"/>
              </w:rPr>
              <w:t>成交</w:t>
            </w:r>
            <w:r>
              <w:rPr>
                <w:rFonts w:hint="eastAsia" w:asciiTheme="minorEastAsia" w:hAnsiTheme="minorEastAsia" w:cstheme="minorEastAsia"/>
                <w:sz w:val="24"/>
                <w:szCs w:val="24"/>
                <w:lang w:val="en-US" w:eastAsia="en-US"/>
              </w:rPr>
              <w:t>候选人，在磋商有效期内同意延长磋商有效期的响应人少于三个的，采购人应当依法重新招标。</w:t>
            </w:r>
          </w:p>
        </w:tc>
      </w:tr>
      <w:tr w14:paraId="278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493" w:type="dxa"/>
            <w:gridSpan w:val="3"/>
            <w:vAlign w:val="center"/>
          </w:tcPr>
          <w:p w14:paraId="6B8399CA">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7DB01B05">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电子化磋商响应文件具体制作教材请供应商通过CA证书登录三门峡市公共资源电子化交易系统在 “交易智库”中下载操作流程。</w:t>
            </w:r>
          </w:p>
          <w:p w14:paraId="5D414F61">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温馨提示：本项目为电子化、无纸化交易项目，投标时不接受任何纸质资料，为保证您能投标成功，请需仔细阅读以下条款。</w:t>
            </w:r>
          </w:p>
          <w:p w14:paraId="3916AF86">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一、电子化投标</w:t>
            </w:r>
          </w:p>
          <w:p w14:paraId="7226ADAA">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（一）电子化磋商响应文件的签章</w:t>
            </w:r>
          </w:p>
          <w:p w14:paraId="0F9884CB">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1、供应商在生成电子化磋商响应文件后，应对电子化磋商响应文件进行签章，未进行签章的视为无效投标。</w:t>
            </w:r>
          </w:p>
          <w:p w14:paraId="729CCDDC">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磋商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57D488E6">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（二）电子化磋商响应文件的格式及上传投标</w:t>
            </w:r>
          </w:p>
          <w:p w14:paraId="4DF69B0B">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12B5ACB2">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注：供应商投报多个标段的，需要每个标段单独制作电子磋商响应文件。</w:t>
            </w:r>
          </w:p>
          <w:p w14:paraId="2CFFEFEB">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2、电子化磋商响应文件应在投标截止时间前成功上传至三门峡市公共资源电子化交易系统。至投标截止时间止，仍未上传成功的电子化磋商响应文件将不予接收。</w:t>
            </w:r>
          </w:p>
          <w:p w14:paraId="33C43BFE">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3F60CF0E">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技术联系电话：400-998-0000</w:t>
            </w:r>
          </w:p>
          <w:p w14:paraId="6197619B">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（三）电子化项目开标、解密、唱标、评标</w:t>
            </w:r>
          </w:p>
          <w:p w14:paraId="242001D9">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151AA5A4">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w:t>
            </w:r>
          </w:p>
          <w:p w14:paraId="199C8335">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3、电子化磋商响应文件解密异常的处理</w:t>
            </w:r>
          </w:p>
          <w:p w14:paraId="35BA5BF7">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如出现供应商的电子磋商响应文件无法解密等异常情况，供应商应及时致电中介服务机构说明。磋商响应文件异常，按以下步骤进行处理：</w:t>
            </w:r>
          </w:p>
          <w:p w14:paraId="29A646CD">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（1）首先由技术人员进行问题排查。</w:t>
            </w:r>
          </w:p>
          <w:p w14:paraId="54F76F1A">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（2）经技术人员排查后，是供应商文件自身问题导致磋商响应文件无法解密的，该磋商响应文件将不予接收、解密和唱标。开标会议继续进行。</w:t>
            </w:r>
          </w:p>
          <w:p w14:paraId="3A092042">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47F2F23">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4、待所有供应商磋商响应文件解密完成后，由中介服务机构操作，对所有已解密磋商响应文件进行唱标。</w:t>
            </w:r>
          </w:p>
          <w:p w14:paraId="661ECA0A">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53B1C7B7">
            <w:pPr>
              <w:spacing w:line="500" w:lineRule="exact"/>
              <w:jc w:val="left"/>
              <w:rPr>
                <w:rFonts w:hint="eastAsia" w:asciiTheme="minorEastAsia" w:hAnsiTheme="minorEastAsia" w:cstheme="minorEastAsia"/>
                <w:sz w:val="24"/>
                <w:szCs w:val="24"/>
                <w:lang w:val="en-US" w:eastAsia="zh-CN"/>
              </w:rPr>
            </w:pPr>
            <w:r>
              <w:rPr>
                <w:rFonts w:hint="eastAsia" w:ascii="宋体" w:hAnsi="宋体" w:eastAsia="宋体" w:cs="宋体"/>
                <w:bCs/>
                <w:color w:val="000000"/>
                <w:sz w:val="21"/>
                <w:szCs w:val="21"/>
                <w:lang w:val="en-US" w:eastAsia="zh-CN"/>
              </w:rPr>
              <w:t>5</w:t>
            </w:r>
            <w:r>
              <w:rPr>
                <w:rFonts w:hint="eastAsia" w:asciiTheme="minorEastAsia" w:hAnsiTheme="minorEastAsia" w:cstheme="minorEastAsia"/>
                <w:sz w:val="24"/>
                <w:szCs w:val="24"/>
                <w:lang w:val="en-US" w:eastAsia="zh-CN"/>
              </w:rPr>
              <w:t>、开标时投标人可登录到交易系统中在开标解密栏中点击报价一览表查看自己的投标报价。如对自己的唱标内容有异议的，应在投标人解密成功后10分钟内通过开标大厅对话框向中介服务机构提出质疑。中介服务机构应在监督人员的监督下接受投标人的质疑通过开标大厅对话框进行答复并做好书面记录。投标人未在规定时间内提出质疑的，视为认可唱标内容；</w:t>
            </w:r>
          </w:p>
          <w:p w14:paraId="7014E3A8">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6、评标时，</w:t>
            </w:r>
            <w:r>
              <w:rPr>
                <w:rFonts w:hint="eastAsia" w:asciiTheme="minorEastAsia" w:hAnsiTheme="minorEastAsia" w:cstheme="minorEastAsia"/>
                <w:sz w:val="24"/>
                <w:szCs w:val="24"/>
                <w:lang w:val="en-US" w:eastAsia="zh-CN"/>
              </w:rPr>
              <w:t>评标委员会</w:t>
            </w:r>
            <w:r>
              <w:rPr>
                <w:rFonts w:hint="eastAsia" w:asciiTheme="minorEastAsia" w:hAnsiTheme="minorEastAsia" w:cstheme="minorEastAsia"/>
                <w:sz w:val="24"/>
                <w:szCs w:val="24"/>
              </w:rPr>
              <w:t>对电子化投标文件有质疑的，将通过电子化交易系统向</w:t>
            </w:r>
            <w:r>
              <w:rPr>
                <w:rFonts w:hint="eastAsia" w:asciiTheme="minorEastAsia" w:hAnsiTheme="minorEastAsia" w:cstheme="minorEastAsia"/>
                <w:sz w:val="24"/>
                <w:szCs w:val="24"/>
                <w:lang w:val="en-US" w:eastAsia="zh-CN"/>
              </w:rPr>
              <w:t>投标人</w:t>
            </w:r>
            <w:r>
              <w:rPr>
                <w:rFonts w:hint="eastAsia" w:asciiTheme="minorEastAsia" w:hAnsiTheme="minorEastAsia" w:cstheme="minorEastAsia"/>
                <w:sz w:val="24"/>
                <w:szCs w:val="24"/>
              </w:rPr>
              <w:t>发起质疑。</w:t>
            </w:r>
            <w:r>
              <w:rPr>
                <w:rFonts w:hint="eastAsia" w:asciiTheme="minorEastAsia" w:hAnsiTheme="minorEastAsia" w:cstheme="minorEastAsia"/>
                <w:sz w:val="24"/>
                <w:szCs w:val="24"/>
                <w:lang w:val="en-US" w:eastAsia="zh-CN"/>
              </w:rPr>
              <w:t>投标人</w:t>
            </w:r>
            <w:r>
              <w:rPr>
                <w:rFonts w:hint="eastAsia" w:asciiTheme="minorEastAsia" w:hAnsiTheme="minorEastAsia" w:cstheme="minorEastAsia"/>
                <w:sz w:val="24"/>
                <w:szCs w:val="24"/>
              </w:rPr>
              <w:t>的回复文件必须以经过</w:t>
            </w:r>
            <w:r>
              <w:rPr>
                <w:rFonts w:hint="eastAsia" w:asciiTheme="minorEastAsia" w:hAnsiTheme="minorEastAsia" w:cstheme="minorEastAsia"/>
                <w:sz w:val="24"/>
                <w:szCs w:val="24"/>
                <w:lang w:val="en-US" w:eastAsia="zh-CN"/>
              </w:rPr>
              <w:t>投标单位</w:t>
            </w:r>
            <w:r>
              <w:rPr>
                <w:rFonts w:hint="eastAsia" w:asciiTheme="minorEastAsia" w:hAnsiTheme="minorEastAsia" w:cstheme="minorEastAsia"/>
                <w:sz w:val="24"/>
                <w:szCs w:val="24"/>
              </w:rPr>
              <w:t>和其法定代表人签章的PDF式文件为准，并通过电子化交易系统提交至</w:t>
            </w:r>
            <w:r>
              <w:rPr>
                <w:rFonts w:hint="eastAsia" w:asciiTheme="minorEastAsia" w:hAnsiTheme="minorEastAsia" w:cstheme="minorEastAsia"/>
                <w:sz w:val="24"/>
                <w:szCs w:val="24"/>
                <w:lang w:val="en-US" w:eastAsia="zh-CN"/>
              </w:rPr>
              <w:t>评标委员会；</w:t>
            </w:r>
          </w:p>
          <w:p w14:paraId="46EF97A4">
            <w:pPr>
              <w:spacing w:line="5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7、如评标委员会对需要回复的投标人</w:t>
            </w:r>
            <w:r>
              <w:rPr>
                <w:rFonts w:hint="eastAsia" w:asciiTheme="minorEastAsia" w:hAnsiTheme="minorEastAsia" w:cstheme="minorEastAsia"/>
                <w:sz w:val="24"/>
                <w:szCs w:val="24"/>
                <w:lang w:val="en-US" w:eastAsia="zh-CN"/>
              </w:rPr>
              <w:t>在规定时间内通过电子化交易系统未回复的</w:t>
            </w:r>
            <w:r>
              <w:rPr>
                <w:rFonts w:hint="eastAsia" w:asciiTheme="minorEastAsia" w:hAnsiTheme="minorEastAsia" w:cstheme="minorEastAsia"/>
                <w:sz w:val="24"/>
                <w:szCs w:val="24"/>
              </w:rPr>
              <w:t>，视为投标人放弃回复，评标委员会将自行对需要回复的内容进行认定</w:t>
            </w:r>
            <w:r>
              <w:rPr>
                <w:rFonts w:hint="eastAsia" w:asciiTheme="minorEastAsia" w:hAnsiTheme="minorEastAsia" w:cstheme="minorEastAsia"/>
                <w:sz w:val="24"/>
                <w:szCs w:val="24"/>
                <w:lang w:eastAsia="zh-CN"/>
              </w:rPr>
              <w:t>。</w:t>
            </w:r>
          </w:p>
          <w:p w14:paraId="3AF7710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二、相关证书原件的提交</w:t>
            </w:r>
          </w:p>
          <w:p w14:paraId="4908AB7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本项目实行资格后审，审查内容以投标截止时间前在三门峡市公共资源交易系统上传的投标文件的信息为准。 其上传资料真实性由响应人自行承担，同时，响应人要完善主体库。评审小组对原件的核验工作按以下条款进行：</w:t>
            </w:r>
          </w:p>
          <w:p w14:paraId="49AB26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评标时，评委先查阅响应文件中是否具有该资料的原件扫描件，其上传资料真实性由响应人自行承担，同时，响应人需要完善主体库信息。本项目需要提交的原件扫描件以响应截止时间前在以响应人自行上传到响应文件中的相应内容为准。规定时间外上传或更改的信息不作为评标依据。评标时不接受响应人所提交的任何原件。</w:t>
            </w:r>
          </w:p>
          <w:p w14:paraId="1A0F9AC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（二）响应人需应仔细阅读操作手册，保证上传内容齐全，真实有效，原件扫描件清晰可辨。因响应人上传原因导致应得分项而未得分或资格审查不合格等情况的，由响应人自行承担责任。    </w:t>
            </w:r>
          </w:p>
          <w:p w14:paraId="557A1EF3">
            <w:pPr>
              <w:wordWrap w:val="0"/>
              <w:topLinePunct/>
              <w:spacing w:line="500" w:lineRule="exact"/>
              <w:jc w:val="left"/>
              <w:rPr>
                <w:rFonts w:asciiTheme="minorEastAsia" w:hAnsiTheme="minorEastAsia" w:cstheme="minorEastAsia"/>
                <w:sz w:val="24"/>
                <w:szCs w:val="24"/>
              </w:rPr>
            </w:pPr>
            <w:r>
              <w:rPr>
                <w:rFonts w:hint="eastAsia" w:ascii="宋体" w:hAnsi="宋体" w:eastAsia="宋体" w:cs="宋体"/>
                <w:b w:val="0"/>
                <w:bCs w:val="0"/>
                <w:color w:val="auto"/>
                <w:sz w:val="24"/>
                <w:szCs w:val="24"/>
                <w:highlight w:val="none"/>
                <w:lang w:val="en-US" w:eastAsia="zh-CN"/>
              </w:rPr>
              <w:t>提示：本项目为电子化、无纸化交易项目，开标时不再接受任何纸质资料，为保证您能开标成功，请需仔细阅读以上条款。</w:t>
            </w:r>
          </w:p>
        </w:tc>
      </w:tr>
    </w:tbl>
    <w:p w14:paraId="1BA85C95">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sz w:val="24"/>
          <w:szCs w:val="24"/>
        </w:rPr>
      </w:pPr>
      <w:bookmarkStart w:id="10" w:name="_Toc270604575"/>
      <w:bookmarkStart w:id="11" w:name="_Toc30034"/>
      <w:bookmarkStart w:id="12" w:name="_Toc269470294"/>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 xml:space="preserve"> </w:t>
      </w:r>
      <w:bookmarkStart w:id="13" w:name="_Toc12193"/>
      <w:bookmarkStart w:id="14" w:name="_Toc23774427"/>
      <w:r>
        <w:rPr>
          <w:rFonts w:hint="eastAsia" w:asciiTheme="majorEastAsia" w:hAnsiTheme="majorEastAsia" w:eastAsiaTheme="majorEastAsia" w:cstheme="majorEastAsia"/>
          <w:b/>
          <w:bCs/>
          <w:sz w:val="24"/>
          <w:szCs w:val="24"/>
        </w:rPr>
        <w:t>总则</w:t>
      </w:r>
      <w:bookmarkEnd w:id="10"/>
      <w:bookmarkEnd w:id="11"/>
      <w:bookmarkEnd w:id="12"/>
      <w:bookmarkEnd w:id="13"/>
      <w:bookmarkEnd w:id="14"/>
    </w:p>
    <w:p w14:paraId="56F9C435">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15" w:name="_Toc13394"/>
      <w:bookmarkStart w:id="16" w:name="_Toc27089"/>
      <w:bookmarkStart w:id="17" w:name="_Toc454788009"/>
      <w:bookmarkStart w:id="18" w:name="_Toc277149365"/>
      <w:bookmarkStart w:id="19" w:name="_Toc462934274"/>
      <w:bookmarkStart w:id="20" w:name="_Toc428276569"/>
      <w:bookmarkStart w:id="21" w:name="_Toc463011253"/>
      <w:bookmarkStart w:id="22" w:name="_Toc455678100"/>
      <w:bookmarkStart w:id="23" w:name="_Toc25531"/>
      <w:bookmarkStart w:id="24" w:name="_Toc428351629"/>
      <w:r>
        <w:rPr>
          <w:rFonts w:hint="eastAsia" w:asciiTheme="majorEastAsia" w:hAnsiTheme="majorEastAsia" w:eastAsiaTheme="majorEastAsia" w:cstheme="majorEastAsia"/>
          <w:b/>
          <w:sz w:val="24"/>
          <w:szCs w:val="24"/>
        </w:rPr>
        <w:t>项目概况</w:t>
      </w:r>
      <w:bookmarkEnd w:id="15"/>
      <w:bookmarkEnd w:id="16"/>
      <w:bookmarkEnd w:id="17"/>
      <w:bookmarkEnd w:id="18"/>
      <w:bookmarkEnd w:id="19"/>
      <w:bookmarkEnd w:id="20"/>
      <w:bookmarkEnd w:id="21"/>
      <w:bookmarkEnd w:id="22"/>
      <w:bookmarkEnd w:id="23"/>
      <w:bookmarkEnd w:id="24"/>
    </w:p>
    <w:p w14:paraId="0ADEF421">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78C3A582">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采购人：供应商须知前附表中所述的，依法进行政府采购的国家机关、事业单位、团体组织。</w:t>
      </w:r>
    </w:p>
    <w:p w14:paraId="0C966EE3">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采购代理机构：受采购人委托组织采购活动，在采购过程中负有相应责任的社会中介组织。</w:t>
      </w:r>
    </w:p>
    <w:p w14:paraId="4B38C327">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采购方式：竞争性磋商。</w:t>
      </w:r>
    </w:p>
    <w:p w14:paraId="48E9F5E8">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项目名称及项目编号：见供应商须知前附表。</w:t>
      </w:r>
    </w:p>
    <w:p w14:paraId="015885F7">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服务</w:t>
      </w:r>
      <w:r>
        <w:rPr>
          <w:rFonts w:hint="eastAsia" w:asciiTheme="majorEastAsia" w:hAnsiTheme="majorEastAsia" w:eastAsiaTheme="majorEastAsia" w:cstheme="majorEastAsia"/>
          <w:sz w:val="24"/>
          <w:szCs w:val="24"/>
        </w:rPr>
        <w:t>地点：见供应商须知前附表。</w:t>
      </w:r>
    </w:p>
    <w:p w14:paraId="7BDBE206">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25" w:name="_Toc454788010"/>
      <w:bookmarkStart w:id="26" w:name="_Toc269470296"/>
      <w:bookmarkStart w:id="27" w:name="_Toc19738"/>
      <w:bookmarkStart w:id="28" w:name="_Toc455678101"/>
      <w:bookmarkStart w:id="29" w:name="_Toc277149366"/>
      <w:bookmarkStart w:id="30" w:name="_Toc270604577"/>
      <w:bookmarkStart w:id="31" w:name="_Toc29176"/>
      <w:bookmarkStart w:id="32" w:name="_Toc463011254"/>
      <w:bookmarkStart w:id="33" w:name="_Toc462934275"/>
      <w:bookmarkStart w:id="34" w:name="_Toc13259"/>
      <w:bookmarkStart w:id="35" w:name="_Toc428276570"/>
      <w:bookmarkStart w:id="36" w:name="_Toc270604804"/>
      <w:bookmarkStart w:id="37" w:name="_Toc428351630"/>
      <w:r>
        <w:rPr>
          <w:rFonts w:hint="eastAsia" w:asciiTheme="majorEastAsia" w:hAnsiTheme="majorEastAsia" w:eastAsiaTheme="majorEastAsia" w:cstheme="majorEastAsia"/>
          <w:b/>
          <w:sz w:val="24"/>
          <w:szCs w:val="24"/>
        </w:rPr>
        <w:t>资金来源和落实情况</w:t>
      </w:r>
      <w:bookmarkEnd w:id="25"/>
      <w:bookmarkEnd w:id="26"/>
      <w:bookmarkEnd w:id="27"/>
      <w:bookmarkEnd w:id="28"/>
      <w:bookmarkEnd w:id="29"/>
      <w:bookmarkEnd w:id="30"/>
      <w:bookmarkEnd w:id="31"/>
      <w:bookmarkEnd w:id="32"/>
      <w:bookmarkEnd w:id="33"/>
      <w:bookmarkEnd w:id="34"/>
      <w:bookmarkEnd w:id="35"/>
      <w:bookmarkEnd w:id="36"/>
      <w:bookmarkEnd w:id="37"/>
    </w:p>
    <w:p w14:paraId="614C7017">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资金来源：见供应商须知前附表。</w:t>
      </w:r>
    </w:p>
    <w:p w14:paraId="301A533A">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预算金额：见供应商须知前附表。</w:t>
      </w:r>
    </w:p>
    <w:p w14:paraId="5CF03B3E">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资金落实情况：见供应商须知前附表。</w:t>
      </w:r>
    </w:p>
    <w:p w14:paraId="0ED612EA">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38" w:name="_Toc428276571"/>
      <w:bookmarkStart w:id="39" w:name="_Toc269470297"/>
      <w:bookmarkStart w:id="40" w:name="_Toc277149367"/>
      <w:bookmarkStart w:id="41" w:name="_Toc463011255"/>
      <w:bookmarkStart w:id="42" w:name="_Toc270604578"/>
      <w:bookmarkStart w:id="43" w:name="_Toc9637"/>
      <w:bookmarkStart w:id="44" w:name="_Toc428351631"/>
      <w:bookmarkStart w:id="45" w:name="_Toc462934276"/>
      <w:bookmarkStart w:id="46" w:name="_Toc454788011"/>
      <w:bookmarkStart w:id="47" w:name="_Toc74"/>
      <w:bookmarkStart w:id="48" w:name="_Toc270604805"/>
      <w:bookmarkStart w:id="49" w:name="_Toc20155"/>
      <w:bookmarkStart w:id="50" w:name="_Toc455678102"/>
      <w:r>
        <w:rPr>
          <w:rFonts w:hint="eastAsia" w:asciiTheme="majorEastAsia" w:hAnsiTheme="majorEastAsia" w:eastAsiaTheme="majorEastAsia" w:cstheme="majorEastAsia"/>
          <w:b/>
          <w:sz w:val="24"/>
          <w:szCs w:val="24"/>
        </w:rPr>
        <w:t>磋商范围</w:t>
      </w:r>
      <w:r>
        <w:rPr>
          <w:rFonts w:hint="eastAsia" w:asciiTheme="majorEastAsia" w:hAnsiTheme="majorEastAsia" w:eastAsiaTheme="majorEastAsia" w:cstheme="majorEastAsia"/>
          <w:b/>
          <w:sz w:val="24"/>
          <w:szCs w:val="24"/>
          <w:lang w:eastAsia="zh-CN"/>
        </w:rPr>
        <w:t>及服务期限</w:t>
      </w:r>
      <w:r>
        <w:rPr>
          <w:rFonts w:hint="eastAsia" w:asciiTheme="majorEastAsia" w:hAnsiTheme="majorEastAsia" w:eastAsiaTheme="majorEastAsia" w:cstheme="majorEastAsia"/>
          <w:b/>
          <w:sz w:val="24"/>
          <w:szCs w:val="24"/>
        </w:rPr>
        <w:t>和</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Theme="majorEastAsia" w:hAnsiTheme="majorEastAsia" w:eastAsiaTheme="majorEastAsia" w:cstheme="majorEastAsia"/>
          <w:b/>
          <w:sz w:val="24"/>
          <w:szCs w:val="24"/>
          <w:lang w:eastAsia="zh-CN"/>
        </w:rPr>
        <w:t>质量要求</w:t>
      </w:r>
    </w:p>
    <w:p w14:paraId="04F5B389">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磋商范围：见供应商须知前附表。</w:t>
      </w:r>
    </w:p>
    <w:p w14:paraId="6F32C5E2">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sz w:val="24"/>
          <w:szCs w:val="24"/>
          <w:lang w:eastAsia="zh-CN"/>
        </w:rPr>
        <w:t>服务期限</w:t>
      </w:r>
      <w:r>
        <w:rPr>
          <w:rFonts w:hint="eastAsia" w:asciiTheme="majorEastAsia" w:hAnsiTheme="majorEastAsia" w:eastAsiaTheme="majorEastAsia" w:cstheme="majorEastAsia"/>
          <w:b w:val="0"/>
          <w:bCs/>
          <w:sz w:val="24"/>
          <w:szCs w:val="24"/>
        </w:rPr>
        <w:t>：</w:t>
      </w:r>
      <w:r>
        <w:rPr>
          <w:rFonts w:hint="eastAsia" w:asciiTheme="majorEastAsia" w:hAnsiTheme="majorEastAsia" w:eastAsiaTheme="majorEastAsia" w:cstheme="majorEastAsia"/>
          <w:sz w:val="24"/>
          <w:szCs w:val="24"/>
        </w:rPr>
        <w:t>见供应商须知前附表。</w:t>
      </w:r>
    </w:p>
    <w:p w14:paraId="2DB92684">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质量要求</w:t>
      </w:r>
      <w:r>
        <w:rPr>
          <w:rFonts w:hint="eastAsia" w:asciiTheme="majorEastAsia" w:hAnsiTheme="majorEastAsia" w:eastAsiaTheme="majorEastAsia" w:cstheme="majorEastAsia"/>
          <w:sz w:val="24"/>
          <w:szCs w:val="24"/>
        </w:rPr>
        <w:t>：见供应商须知前附表。</w:t>
      </w:r>
    </w:p>
    <w:p w14:paraId="15F0E366">
      <w:pPr>
        <w:keepNext/>
        <w:keepLines/>
        <w:numPr>
          <w:ilvl w:val="1"/>
          <w:numId w:val="3"/>
        </w:numPr>
        <w:wordWrap w:val="0"/>
        <w:topLinePunct/>
        <w:spacing w:line="500" w:lineRule="exact"/>
        <w:jc w:val="left"/>
        <w:outlineLvl w:val="2"/>
        <w:rPr>
          <w:rFonts w:asciiTheme="majorEastAsia" w:hAnsiTheme="majorEastAsia" w:eastAsiaTheme="majorEastAsia" w:cstheme="majorEastAsia"/>
          <w:b/>
          <w:color w:val="auto"/>
          <w:sz w:val="24"/>
          <w:szCs w:val="24"/>
        </w:rPr>
      </w:pPr>
      <w:bookmarkStart w:id="51" w:name="_Toc428276572"/>
      <w:bookmarkStart w:id="52" w:name="_Toc277149368"/>
      <w:bookmarkStart w:id="53" w:name="_Toc454788012"/>
      <w:bookmarkStart w:id="54" w:name="_Toc269470298"/>
      <w:bookmarkStart w:id="55" w:name="_Toc270604579"/>
      <w:bookmarkStart w:id="56" w:name="_Toc462934277"/>
      <w:bookmarkStart w:id="57" w:name="_Toc16958"/>
      <w:bookmarkStart w:id="58" w:name="_Toc6648"/>
      <w:bookmarkStart w:id="59" w:name="_Toc455678103"/>
      <w:bookmarkStart w:id="60" w:name="_Toc463011256"/>
      <w:bookmarkStart w:id="61" w:name="_Toc428351632"/>
      <w:bookmarkStart w:id="62" w:name="_Toc11519"/>
      <w:bookmarkStart w:id="63" w:name="_Toc270604806"/>
      <w:r>
        <w:rPr>
          <w:rFonts w:hint="eastAsia" w:asciiTheme="majorEastAsia" w:hAnsiTheme="majorEastAsia" w:eastAsiaTheme="majorEastAsia" w:cstheme="majorEastAsia"/>
          <w:b/>
          <w:color w:val="auto"/>
          <w:sz w:val="24"/>
          <w:szCs w:val="24"/>
        </w:rPr>
        <w:t>供应商资格要求</w:t>
      </w:r>
      <w:bookmarkEnd w:id="51"/>
      <w:bookmarkEnd w:id="52"/>
      <w:bookmarkEnd w:id="53"/>
      <w:bookmarkEnd w:id="54"/>
      <w:bookmarkEnd w:id="55"/>
      <w:bookmarkEnd w:id="56"/>
      <w:bookmarkEnd w:id="57"/>
      <w:bookmarkEnd w:id="58"/>
      <w:bookmarkEnd w:id="59"/>
      <w:bookmarkEnd w:id="60"/>
      <w:bookmarkEnd w:id="61"/>
      <w:bookmarkEnd w:id="62"/>
      <w:bookmarkEnd w:id="63"/>
    </w:p>
    <w:p w14:paraId="010DE4BF">
      <w:pPr>
        <w:keepNext w:val="0"/>
        <w:keepLines w:val="0"/>
        <w:pageBreakBefore w:val="0"/>
        <w:widowControl w:val="0"/>
        <w:numPr>
          <w:ilvl w:val="2"/>
          <w:numId w:val="3"/>
        </w:numPr>
        <w:kinsoku/>
        <w:wordWrap w:val="0"/>
        <w:overflowPunct/>
        <w:topLinePunct/>
        <w:bidi w:val="0"/>
        <w:snapToGrid/>
        <w:spacing w:line="500" w:lineRule="atLeast"/>
        <w:ind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供应商应具备的资格条件</w:t>
      </w:r>
    </w:p>
    <w:p w14:paraId="754DD192">
      <w:pPr>
        <w:pStyle w:val="39"/>
        <w:keepNext w:val="0"/>
        <w:keepLines w:val="0"/>
        <w:pageBreakBefore w:val="0"/>
        <w:widowControl w:val="0"/>
        <w:kinsoku/>
        <w:overflowPunct/>
        <w:bidi w:val="0"/>
        <w:snapToGrid/>
        <w:spacing w:line="500" w:lineRule="atLeast"/>
        <w:ind w:firstLine="1200" w:firstLineChars="500"/>
        <w:textAlignment w:val="auto"/>
        <w:rPr>
          <w:rFonts w:hint="default" w:eastAsiaTheme="majorEastAsia"/>
          <w:lang w:val="en-US" w:eastAsia="zh-CN"/>
        </w:rPr>
      </w:pPr>
      <w:r>
        <w:rPr>
          <w:rFonts w:hint="eastAsia" w:asciiTheme="majorEastAsia" w:hAnsiTheme="majorEastAsia" w:eastAsiaTheme="majorEastAsia" w:cstheme="majorEastAsia"/>
          <w:sz w:val="24"/>
          <w:szCs w:val="24"/>
          <w:lang w:val="en-US" w:eastAsia="zh-CN"/>
        </w:rPr>
        <w:t>见供应商须知前附表2.2供应商资质条件。</w:t>
      </w:r>
    </w:p>
    <w:p w14:paraId="73894177">
      <w:pPr>
        <w:numPr>
          <w:ilvl w:val="2"/>
          <w:numId w:val="3"/>
        </w:numPr>
        <w:wordWrap w:val="0"/>
        <w:topLinePunct/>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供应商不得存在下列情形之一：</w:t>
      </w:r>
    </w:p>
    <w:p w14:paraId="006E8E0C">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1</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与采购人存在利害关系且可能影响磋商公正性；</w:t>
      </w:r>
    </w:p>
    <w:p w14:paraId="04AEF3F3">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与本磋商项目的其他供应商为同一个单位负责人；</w:t>
      </w:r>
    </w:p>
    <w:p w14:paraId="0CC28437">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与本磋商项目的其他供应商存在控股、管理关系；</w:t>
      </w:r>
    </w:p>
    <w:p w14:paraId="21AA6953">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4</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为本项目的代建人；</w:t>
      </w:r>
    </w:p>
    <w:p w14:paraId="1FBB2CF7">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5</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与本项目的监理人或代建人或采购代理机构同为一个法定代表人；</w:t>
      </w:r>
    </w:p>
    <w:p w14:paraId="21624970">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6</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与本项目的监理人或代建人或采购代理机构存在控股或参股关系；</w:t>
      </w:r>
    </w:p>
    <w:p w14:paraId="4AE8740E">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7</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为本磋商项目的采购代理机构；</w:t>
      </w:r>
    </w:p>
    <w:p w14:paraId="66F25DF0">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8</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供应商以他人名义投标、串通投标、以行贿手段牟取中标，或在投标中弄虚作假的；</w:t>
      </w:r>
    </w:p>
    <w:p w14:paraId="08A04D7F">
      <w:pPr>
        <w:numPr>
          <w:ilvl w:val="0"/>
          <w:numId w:val="0"/>
        </w:numPr>
        <w:wordWrap w:val="0"/>
        <w:topLinePunct/>
        <w:autoSpaceDE w:val="0"/>
        <w:autoSpaceDN w:val="0"/>
        <w:adjustRightInd w:val="0"/>
        <w:spacing w:line="500" w:lineRule="exact"/>
        <w:ind w:leftChars="200" w:right="40" w:right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lang w:val="en-US" w:eastAsia="zh-CN"/>
        </w:rPr>
        <w:t>9</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kern w:val="0"/>
          <w:sz w:val="24"/>
          <w:szCs w:val="24"/>
        </w:rPr>
        <w:t>法律法规规定的其他情形。</w:t>
      </w:r>
    </w:p>
    <w:p w14:paraId="48133DDE">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64" w:name="_Toc455678104"/>
      <w:bookmarkStart w:id="65" w:name="_Toc270604807"/>
      <w:bookmarkStart w:id="66" w:name="_Toc428276573"/>
      <w:bookmarkStart w:id="67" w:name="_Toc19948"/>
      <w:bookmarkStart w:id="68" w:name="_Toc28593"/>
      <w:bookmarkStart w:id="69" w:name="_Toc14128"/>
      <w:bookmarkStart w:id="70" w:name="_Toc454788013"/>
      <w:bookmarkStart w:id="71" w:name="_Toc463011257"/>
      <w:bookmarkStart w:id="72" w:name="_Toc277149369"/>
      <w:bookmarkStart w:id="73" w:name="_Toc270604580"/>
      <w:bookmarkStart w:id="74" w:name="_Toc269470299"/>
      <w:bookmarkStart w:id="75" w:name="_Toc462934278"/>
      <w:bookmarkStart w:id="76" w:name="_Toc428351633"/>
      <w:r>
        <w:rPr>
          <w:rFonts w:hint="eastAsia" w:asciiTheme="majorEastAsia" w:hAnsiTheme="majorEastAsia" w:eastAsiaTheme="majorEastAsia" w:cstheme="majorEastAsia"/>
          <w:b/>
          <w:sz w:val="24"/>
          <w:szCs w:val="24"/>
        </w:rPr>
        <w:t>费用承担</w:t>
      </w:r>
      <w:bookmarkEnd w:id="64"/>
      <w:bookmarkEnd w:id="65"/>
      <w:bookmarkEnd w:id="66"/>
      <w:bookmarkEnd w:id="67"/>
      <w:bookmarkEnd w:id="68"/>
      <w:bookmarkEnd w:id="69"/>
      <w:bookmarkEnd w:id="70"/>
      <w:bookmarkEnd w:id="71"/>
      <w:bookmarkEnd w:id="72"/>
      <w:bookmarkEnd w:id="73"/>
      <w:bookmarkEnd w:id="74"/>
      <w:bookmarkEnd w:id="75"/>
      <w:bookmarkEnd w:id="76"/>
    </w:p>
    <w:p w14:paraId="3325E4ED">
      <w:pPr>
        <w:spacing w:line="500" w:lineRule="exact"/>
        <w:ind w:left="420" w:leftChars="200"/>
        <w:rPr>
          <w:rFonts w:asciiTheme="majorEastAsia" w:hAnsiTheme="majorEastAsia" w:eastAsiaTheme="majorEastAsia" w:cstheme="majorEastAsia"/>
          <w:sz w:val="24"/>
          <w:szCs w:val="24"/>
        </w:rPr>
      </w:pPr>
      <w:bookmarkStart w:id="77" w:name="_Toc7854"/>
      <w:bookmarkStart w:id="78" w:name="_Toc428276574"/>
      <w:bookmarkStart w:id="79" w:name="_Toc270604808"/>
      <w:bookmarkStart w:id="80" w:name="_Toc277149370"/>
      <w:bookmarkStart w:id="81" w:name="_Toc463011258"/>
      <w:bookmarkStart w:id="82" w:name="_Toc428351634"/>
      <w:bookmarkStart w:id="83" w:name="_Toc269470300"/>
      <w:bookmarkStart w:id="84" w:name="_Toc455678105"/>
      <w:bookmarkStart w:id="85" w:name="_Toc454788014"/>
      <w:bookmarkStart w:id="86" w:name="_Toc462934279"/>
      <w:bookmarkStart w:id="87" w:name="_Toc29742"/>
      <w:bookmarkStart w:id="88" w:name="_Toc270604581"/>
      <w:r>
        <w:rPr>
          <w:rFonts w:hint="eastAsia" w:asciiTheme="majorEastAsia" w:hAnsiTheme="majorEastAsia" w:eastAsiaTheme="majorEastAsia" w:cstheme="majorEastAsia"/>
          <w:sz w:val="24"/>
          <w:szCs w:val="24"/>
        </w:rPr>
        <w:t>供应商准备和参加竞争性磋商活动发生的费用自理。</w:t>
      </w:r>
    </w:p>
    <w:p w14:paraId="30434136">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89" w:name="_Toc32336"/>
      <w:r>
        <w:rPr>
          <w:rFonts w:hint="eastAsia" w:asciiTheme="majorEastAsia" w:hAnsiTheme="majorEastAsia" w:eastAsiaTheme="majorEastAsia" w:cstheme="majorEastAsia"/>
          <w:b/>
          <w:sz w:val="24"/>
          <w:szCs w:val="24"/>
        </w:rPr>
        <w:t>保密</w:t>
      </w:r>
      <w:bookmarkEnd w:id="77"/>
      <w:bookmarkEnd w:id="78"/>
      <w:bookmarkEnd w:id="79"/>
      <w:bookmarkEnd w:id="80"/>
      <w:bookmarkEnd w:id="81"/>
      <w:bookmarkEnd w:id="82"/>
      <w:bookmarkEnd w:id="83"/>
      <w:bookmarkEnd w:id="84"/>
      <w:bookmarkEnd w:id="85"/>
      <w:bookmarkEnd w:id="86"/>
      <w:bookmarkEnd w:id="87"/>
      <w:bookmarkEnd w:id="88"/>
      <w:bookmarkEnd w:id="89"/>
    </w:p>
    <w:p w14:paraId="649DDA26">
      <w:pPr>
        <w:spacing w:line="500" w:lineRule="exact"/>
        <w:ind w:firstLine="480" w:firstLineChars="200"/>
        <w:rPr>
          <w:rFonts w:asciiTheme="majorEastAsia" w:hAnsiTheme="majorEastAsia" w:eastAsiaTheme="majorEastAsia" w:cstheme="majorEastAsia"/>
          <w:sz w:val="24"/>
          <w:szCs w:val="24"/>
        </w:rPr>
      </w:pPr>
      <w:bookmarkStart w:id="90" w:name="_Toc277149371"/>
      <w:bookmarkStart w:id="91" w:name="_Toc462934280"/>
      <w:bookmarkStart w:id="92" w:name="_Toc270604809"/>
      <w:bookmarkStart w:id="93" w:name="_Toc455678106"/>
      <w:bookmarkStart w:id="94" w:name="_Toc7606"/>
      <w:bookmarkStart w:id="95" w:name="_Toc454788015"/>
      <w:bookmarkStart w:id="96" w:name="_Toc428276575"/>
      <w:bookmarkStart w:id="97" w:name="_Toc19438"/>
      <w:bookmarkStart w:id="98" w:name="_Toc428351635"/>
      <w:bookmarkStart w:id="99" w:name="_Toc269470301"/>
      <w:bookmarkStart w:id="100" w:name="_Toc270604582"/>
      <w:bookmarkStart w:id="101" w:name="_Toc463011259"/>
      <w:r>
        <w:rPr>
          <w:rFonts w:hint="eastAsia" w:asciiTheme="majorEastAsia" w:hAnsiTheme="majorEastAsia" w:eastAsiaTheme="majorEastAsia" w:cstheme="majorEastAsia"/>
          <w:sz w:val="24"/>
          <w:szCs w:val="24"/>
        </w:rPr>
        <w:t>参与竞争性磋商活动的各方应对竞争性磋商文件和响应文件中的商业和技术等秘密保密，否则应承担相应的法律责任。</w:t>
      </w:r>
    </w:p>
    <w:p w14:paraId="5A8798E8">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102" w:name="_Toc25734"/>
      <w:r>
        <w:rPr>
          <w:rFonts w:hint="eastAsia" w:asciiTheme="majorEastAsia" w:hAnsiTheme="majorEastAsia" w:eastAsiaTheme="majorEastAsia" w:cstheme="majorEastAsia"/>
          <w:b/>
          <w:sz w:val="24"/>
          <w:szCs w:val="24"/>
        </w:rPr>
        <w:t>语言文字</w:t>
      </w:r>
      <w:bookmarkEnd w:id="90"/>
      <w:bookmarkEnd w:id="91"/>
      <w:bookmarkEnd w:id="92"/>
      <w:bookmarkEnd w:id="93"/>
      <w:bookmarkEnd w:id="94"/>
      <w:bookmarkEnd w:id="95"/>
      <w:bookmarkEnd w:id="96"/>
      <w:bookmarkEnd w:id="97"/>
      <w:bookmarkEnd w:id="98"/>
      <w:bookmarkEnd w:id="99"/>
      <w:bookmarkEnd w:id="100"/>
      <w:bookmarkEnd w:id="101"/>
      <w:bookmarkEnd w:id="102"/>
    </w:p>
    <w:p w14:paraId="63B9738F">
      <w:pPr>
        <w:spacing w:line="500" w:lineRule="exact"/>
        <w:ind w:firstLine="480" w:firstLineChars="200"/>
        <w:rPr>
          <w:rFonts w:asciiTheme="majorEastAsia" w:hAnsiTheme="majorEastAsia" w:eastAsiaTheme="majorEastAsia" w:cstheme="majorEastAsia"/>
          <w:sz w:val="24"/>
          <w:szCs w:val="24"/>
        </w:rPr>
      </w:pPr>
      <w:bookmarkStart w:id="103" w:name="_Toc428351636"/>
      <w:bookmarkStart w:id="104" w:name="_Toc9894"/>
      <w:bookmarkStart w:id="105" w:name="_Toc29299"/>
      <w:bookmarkStart w:id="106" w:name="_Toc455678107"/>
      <w:bookmarkStart w:id="107" w:name="_Toc269470302"/>
      <w:bookmarkStart w:id="108" w:name="_Toc428276576"/>
      <w:bookmarkStart w:id="109" w:name="_Toc277149372"/>
      <w:bookmarkStart w:id="110" w:name="_Toc270604810"/>
      <w:bookmarkStart w:id="111" w:name="_Toc462934281"/>
      <w:bookmarkStart w:id="112" w:name="_Toc454788016"/>
      <w:bookmarkStart w:id="113" w:name="_Toc463011260"/>
      <w:bookmarkStart w:id="114" w:name="_Toc270604583"/>
      <w:r>
        <w:rPr>
          <w:rFonts w:hint="eastAsia" w:asciiTheme="majorEastAsia" w:hAnsiTheme="majorEastAsia" w:eastAsiaTheme="majorEastAsia" w:cstheme="majorEastAsia"/>
          <w:kern w:val="0"/>
          <w:sz w:val="24"/>
          <w:szCs w:val="24"/>
        </w:rPr>
        <w:t>竞争性磋商文件及响应文件</w:t>
      </w:r>
      <w:r>
        <w:rPr>
          <w:rFonts w:hint="eastAsia" w:asciiTheme="majorEastAsia" w:hAnsiTheme="majorEastAsia" w:eastAsiaTheme="majorEastAsia" w:cstheme="majorEastAsia"/>
          <w:spacing w:val="-2"/>
          <w:kern w:val="0"/>
          <w:sz w:val="24"/>
          <w:szCs w:val="24"/>
        </w:rPr>
        <w:t>使</w:t>
      </w:r>
      <w:r>
        <w:rPr>
          <w:rFonts w:hint="eastAsia" w:asciiTheme="majorEastAsia" w:hAnsiTheme="majorEastAsia" w:eastAsiaTheme="majorEastAsia" w:cstheme="majorEastAsia"/>
          <w:kern w:val="0"/>
          <w:sz w:val="24"/>
          <w:szCs w:val="24"/>
        </w:rPr>
        <w:t>用语</w:t>
      </w:r>
      <w:r>
        <w:rPr>
          <w:rFonts w:hint="eastAsia" w:asciiTheme="majorEastAsia" w:hAnsiTheme="majorEastAsia" w:eastAsiaTheme="majorEastAsia" w:cstheme="majorEastAsia"/>
          <w:spacing w:val="-2"/>
          <w:kern w:val="0"/>
          <w:sz w:val="24"/>
          <w:szCs w:val="24"/>
        </w:rPr>
        <w:t>言</w:t>
      </w:r>
      <w:r>
        <w:rPr>
          <w:rFonts w:hint="eastAsia" w:asciiTheme="majorEastAsia" w:hAnsiTheme="majorEastAsia" w:eastAsiaTheme="majorEastAsia" w:cstheme="majorEastAsia"/>
          <w:kern w:val="0"/>
          <w:sz w:val="24"/>
          <w:szCs w:val="24"/>
        </w:rPr>
        <w:t>文字应</w:t>
      </w:r>
      <w:r>
        <w:rPr>
          <w:rFonts w:hint="eastAsia" w:asciiTheme="majorEastAsia" w:hAnsiTheme="majorEastAsia" w:eastAsiaTheme="majorEastAsia" w:cstheme="majorEastAsia"/>
          <w:spacing w:val="-2"/>
          <w:kern w:val="0"/>
          <w:sz w:val="24"/>
          <w:szCs w:val="24"/>
        </w:rPr>
        <w:t>为</w:t>
      </w:r>
      <w:r>
        <w:rPr>
          <w:rFonts w:hint="eastAsia" w:asciiTheme="majorEastAsia" w:hAnsiTheme="majorEastAsia" w:eastAsiaTheme="majorEastAsia" w:cstheme="majorEastAsia"/>
          <w:kern w:val="0"/>
          <w:sz w:val="24"/>
          <w:szCs w:val="24"/>
        </w:rPr>
        <w:t>中</w:t>
      </w:r>
      <w:r>
        <w:rPr>
          <w:rFonts w:hint="eastAsia" w:asciiTheme="majorEastAsia" w:hAnsiTheme="majorEastAsia" w:eastAsiaTheme="majorEastAsia" w:cstheme="majorEastAsia"/>
          <w:spacing w:val="-2"/>
          <w:kern w:val="0"/>
          <w:sz w:val="24"/>
          <w:szCs w:val="24"/>
        </w:rPr>
        <w:t>文</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pacing w:val="-2"/>
          <w:kern w:val="0"/>
          <w:sz w:val="24"/>
          <w:szCs w:val="24"/>
        </w:rPr>
        <w:t>专</w:t>
      </w:r>
      <w:r>
        <w:rPr>
          <w:rFonts w:hint="eastAsia" w:asciiTheme="majorEastAsia" w:hAnsiTheme="majorEastAsia" w:eastAsiaTheme="majorEastAsia" w:cstheme="majorEastAsia"/>
          <w:kern w:val="0"/>
          <w:sz w:val="24"/>
          <w:szCs w:val="24"/>
        </w:rPr>
        <w:t>用</w:t>
      </w:r>
      <w:r>
        <w:rPr>
          <w:rFonts w:hint="eastAsia" w:asciiTheme="majorEastAsia" w:hAnsiTheme="majorEastAsia" w:eastAsiaTheme="majorEastAsia" w:cstheme="majorEastAsia"/>
          <w:spacing w:val="-2"/>
          <w:kern w:val="0"/>
          <w:sz w:val="24"/>
          <w:szCs w:val="24"/>
        </w:rPr>
        <w:t>术</w:t>
      </w:r>
      <w:r>
        <w:rPr>
          <w:rFonts w:hint="eastAsia" w:asciiTheme="majorEastAsia" w:hAnsiTheme="majorEastAsia" w:eastAsiaTheme="majorEastAsia" w:cstheme="majorEastAsia"/>
          <w:kern w:val="0"/>
          <w:sz w:val="24"/>
          <w:szCs w:val="24"/>
        </w:rPr>
        <w:t>语</w:t>
      </w:r>
      <w:r>
        <w:rPr>
          <w:rFonts w:hint="eastAsia" w:asciiTheme="majorEastAsia" w:hAnsiTheme="majorEastAsia" w:eastAsiaTheme="majorEastAsia" w:cstheme="majorEastAsia"/>
          <w:spacing w:val="-2"/>
          <w:kern w:val="0"/>
          <w:sz w:val="24"/>
          <w:szCs w:val="24"/>
        </w:rPr>
        <w:t>使</w:t>
      </w:r>
      <w:r>
        <w:rPr>
          <w:rFonts w:hint="eastAsia" w:asciiTheme="majorEastAsia" w:hAnsiTheme="majorEastAsia" w:eastAsiaTheme="majorEastAsia" w:cstheme="majorEastAsia"/>
          <w:kern w:val="0"/>
          <w:sz w:val="24"/>
          <w:szCs w:val="24"/>
        </w:rPr>
        <w:t>用外</w:t>
      </w:r>
      <w:r>
        <w:rPr>
          <w:rFonts w:hint="eastAsia" w:asciiTheme="majorEastAsia" w:hAnsiTheme="majorEastAsia" w:eastAsiaTheme="majorEastAsia" w:cstheme="majorEastAsia"/>
          <w:spacing w:val="-2"/>
          <w:kern w:val="0"/>
          <w:sz w:val="24"/>
          <w:szCs w:val="24"/>
        </w:rPr>
        <w:t>文</w:t>
      </w:r>
      <w:r>
        <w:rPr>
          <w:rFonts w:hint="eastAsia" w:asciiTheme="majorEastAsia" w:hAnsiTheme="majorEastAsia" w:eastAsiaTheme="majorEastAsia" w:cstheme="majorEastAsia"/>
          <w:kern w:val="0"/>
          <w:sz w:val="24"/>
          <w:szCs w:val="24"/>
        </w:rPr>
        <w:t>的</w:t>
      </w:r>
      <w:r>
        <w:rPr>
          <w:rFonts w:hint="eastAsia" w:asciiTheme="majorEastAsia" w:hAnsiTheme="majorEastAsia" w:eastAsiaTheme="majorEastAsia" w:cstheme="majorEastAsia"/>
          <w:spacing w:val="-2"/>
          <w:kern w:val="0"/>
          <w:sz w:val="24"/>
          <w:szCs w:val="24"/>
        </w:rPr>
        <w:t>，</w:t>
      </w:r>
      <w:r>
        <w:rPr>
          <w:rFonts w:hint="eastAsia" w:asciiTheme="majorEastAsia" w:hAnsiTheme="majorEastAsia" w:eastAsiaTheme="majorEastAsia" w:cstheme="majorEastAsia"/>
          <w:kern w:val="0"/>
          <w:sz w:val="24"/>
          <w:szCs w:val="24"/>
        </w:rPr>
        <w:t>应</w:t>
      </w:r>
      <w:r>
        <w:rPr>
          <w:rFonts w:hint="eastAsia" w:asciiTheme="majorEastAsia" w:hAnsiTheme="majorEastAsia" w:eastAsiaTheme="majorEastAsia" w:cstheme="majorEastAsia"/>
          <w:spacing w:val="-2"/>
          <w:kern w:val="0"/>
          <w:sz w:val="24"/>
          <w:szCs w:val="24"/>
        </w:rPr>
        <w:t>附</w:t>
      </w:r>
      <w:r>
        <w:rPr>
          <w:rFonts w:hint="eastAsia" w:asciiTheme="majorEastAsia" w:hAnsiTheme="majorEastAsia" w:eastAsiaTheme="majorEastAsia" w:cstheme="majorEastAsia"/>
          <w:kern w:val="0"/>
          <w:sz w:val="24"/>
          <w:szCs w:val="24"/>
        </w:rPr>
        <w:t>有</w:t>
      </w:r>
      <w:r>
        <w:rPr>
          <w:rFonts w:hint="eastAsia" w:asciiTheme="majorEastAsia" w:hAnsiTheme="majorEastAsia" w:eastAsiaTheme="majorEastAsia" w:cstheme="majorEastAsia"/>
          <w:spacing w:val="-2"/>
          <w:kern w:val="0"/>
          <w:sz w:val="24"/>
          <w:szCs w:val="24"/>
        </w:rPr>
        <w:t>中</w:t>
      </w:r>
      <w:r>
        <w:rPr>
          <w:rFonts w:hint="eastAsia" w:asciiTheme="majorEastAsia" w:hAnsiTheme="majorEastAsia" w:eastAsiaTheme="majorEastAsia" w:cstheme="majorEastAsia"/>
          <w:kern w:val="0"/>
          <w:sz w:val="24"/>
          <w:szCs w:val="24"/>
        </w:rPr>
        <w:t>文</w:t>
      </w:r>
      <w:r>
        <w:rPr>
          <w:rFonts w:hint="eastAsia" w:asciiTheme="majorEastAsia" w:hAnsiTheme="majorEastAsia" w:eastAsiaTheme="majorEastAsia" w:cstheme="majorEastAsia"/>
          <w:spacing w:val="-2"/>
          <w:kern w:val="0"/>
          <w:sz w:val="24"/>
          <w:szCs w:val="24"/>
        </w:rPr>
        <w:t>注</w:t>
      </w:r>
      <w:r>
        <w:rPr>
          <w:rFonts w:hint="eastAsia" w:asciiTheme="majorEastAsia" w:hAnsiTheme="majorEastAsia" w:eastAsiaTheme="majorEastAsia" w:cstheme="majorEastAsia"/>
          <w:kern w:val="0"/>
          <w:sz w:val="24"/>
          <w:szCs w:val="24"/>
        </w:rPr>
        <w:t>释</w:t>
      </w:r>
      <w:r>
        <w:rPr>
          <w:rFonts w:hint="eastAsia" w:asciiTheme="majorEastAsia" w:hAnsiTheme="majorEastAsia" w:eastAsiaTheme="majorEastAsia" w:cstheme="majorEastAsia"/>
          <w:sz w:val="24"/>
          <w:szCs w:val="24"/>
        </w:rPr>
        <w:t>。</w:t>
      </w:r>
    </w:p>
    <w:p w14:paraId="4007B5EF">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115" w:name="_Toc30996"/>
      <w:r>
        <w:rPr>
          <w:rFonts w:hint="eastAsia" w:asciiTheme="majorEastAsia" w:hAnsiTheme="majorEastAsia" w:eastAsiaTheme="majorEastAsia" w:cstheme="majorEastAsia"/>
          <w:b/>
          <w:sz w:val="24"/>
          <w:szCs w:val="24"/>
        </w:rPr>
        <w:t>计量单位</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2E1B0331">
      <w:pPr>
        <w:wordWrap w:val="0"/>
        <w:topLinePunct/>
        <w:autoSpaceDE w:val="0"/>
        <w:autoSpaceDN w:val="0"/>
        <w:adjustRightInd w:val="0"/>
        <w:snapToGrid w:val="0"/>
        <w:spacing w:line="500" w:lineRule="exact"/>
        <w:ind w:firstLine="480" w:firstLineChars="200"/>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所有计量均采用中华人民共和国法定计量标准单位。</w:t>
      </w:r>
    </w:p>
    <w:p w14:paraId="162788B7">
      <w:pPr>
        <w:keepNext/>
        <w:keepLines/>
        <w:numPr>
          <w:ilvl w:val="1"/>
          <w:numId w:val="3"/>
        </w:numPr>
        <w:wordWrap w:val="0"/>
        <w:topLinePunct/>
        <w:spacing w:line="500" w:lineRule="exact"/>
        <w:jc w:val="left"/>
        <w:outlineLvl w:val="2"/>
        <w:rPr>
          <w:rFonts w:asciiTheme="majorEastAsia" w:hAnsiTheme="majorEastAsia" w:eastAsiaTheme="majorEastAsia" w:cstheme="majorEastAsia"/>
          <w:b/>
          <w:sz w:val="24"/>
          <w:szCs w:val="24"/>
        </w:rPr>
      </w:pPr>
      <w:bookmarkStart w:id="116" w:name="_Toc11809"/>
      <w:bookmarkStart w:id="117" w:name="_Toc463011265"/>
      <w:bookmarkStart w:id="118" w:name="_Toc462934286"/>
      <w:bookmarkStart w:id="119" w:name="_Toc455678112"/>
      <w:bookmarkStart w:id="120" w:name="_Toc23956"/>
      <w:bookmarkStart w:id="121" w:name="_Toc17145"/>
      <w:r>
        <w:rPr>
          <w:rFonts w:hint="eastAsia" w:asciiTheme="majorEastAsia" w:hAnsiTheme="majorEastAsia" w:eastAsiaTheme="majorEastAsia" w:cstheme="majorEastAsia"/>
          <w:b/>
          <w:sz w:val="24"/>
          <w:szCs w:val="24"/>
        </w:rPr>
        <w:t>选择性报价方案</w:t>
      </w:r>
      <w:bookmarkEnd w:id="116"/>
      <w:bookmarkEnd w:id="117"/>
      <w:bookmarkEnd w:id="118"/>
      <w:bookmarkEnd w:id="119"/>
      <w:bookmarkEnd w:id="120"/>
      <w:bookmarkEnd w:id="121"/>
    </w:p>
    <w:p w14:paraId="27B18F74">
      <w:pPr>
        <w:tabs>
          <w:tab w:val="left" w:pos="720"/>
          <w:tab w:val="left" w:pos="1320"/>
        </w:tabs>
        <w:wordWrap w:val="0"/>
        <w:topLinePunct/>
        <w:snapToGrid w:val="0"/>
        <w:spacing w:line="500" w:lineRule="exact"/>
        <w:ind w:firstLine="480" w:firstLineChars="2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选择性报价方案：见供应商须知前附表。</w:t>
      </w:r>
    </w:p>
    <w:p w14:paraId="5A6A63F9">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bCs/>
          <w:sz w:val="24"/>
          <w:szCs w:val="24"/>
        </w:rPr>
      </w:pPr>
      <w:bookmarkStart w:id="122" w:name="_Toc270604588"/>
      <w:bookmarkStart w:id="123" w:name="_Toc6260"/>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 xml:space="preserve"> </w:t>
      </w:r>
      <w:bookmarkStart w:id="124" w:name="_Toc23774428"/>
      <w:bookmarkStart w:id="125" w:name="_Toc5446"/>
      <w:r>
        <w:rPr>
          <w:rFonts w:hint="eastAsia" w:asciiTheme="majorEastAsia" w:hAnsiTheme="majorEastAsia" w:eastAsiaTheme="majorEastAsia" w:cstheme="majorEastAsia"/>
          <w:b/>
          <w:bCs/>
          <w:sz w:val="24"/>
          <w:szCs w:val="24"/>
          <w:lang w:val="en-US" w:eastAsia="zh-CN"/>
        </w:rPr>
        <w:t>.</w:t>
      </w:r>
      <w:r>
        <w:rPr>
          <w:rFonts w:hint="eastAsia" w:asciiTheme="majorEastAsia" w:hAnsiTheme="majorEastAsia" w:eastAsiaTheme="majorEastAsia" w:cstheme="majorEastAsia"/>
          <w:b/>
          <w:bCs/>
          <w:sz w:val="24"/>
          <w:szCs w:val="24"/>
        </w:rPr>
        <w:t>竞争性磋商文件</w:t>
      </w:r>
      <w:bookmarkEnd w:id="122"/>
      <w:bookmarkEnd w:id="123"/>
      <w:bookmarkEnd w:id="124"/>
      <w:bookmarkEnd w:id="125"/>
    </w:p>
    <w:p w14:paraId="785EEF4E">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bCs/>
          <w:sz w:val="24"/>
          <w:szCs w:val="24"/>
        </w:rPr>
      </w:pPr>
      <w:bookmarkStart w:id="126" w:name="_Toc428351642"/>
      <w:bookmarkStart w:id="127" w:name="_Toc270604816"/>
      <w:bookmarkStart w:id="128" w:name="_Toc269470308"/>
      <w:bookmarkStart w:id="129" w:name="_Toc277149378"/>
      <w:bookmarkStart w:id="130" w:name="_Toc10962"/>
      <w:bookmarkStart w:id="131" w:name="_Toc463011267"/>
      <w:bookmarkStart w:id="132" w:name="_Toc454788022"/>
      <w:bookmarkStart w:id="133" w:name="_Toc270604589"/>
      <w:bookmarkStart w:id="134" w:name="_Toc27664"/>
      <w:bookmarkStart w:id="135" w:name="_Toc455678114"/>
      <w:bookmarkStart w:id="136" w:name="_Toc462934288"/>
      <w:bookmarkStart w:id="137" w:name="_Toc428276582"/>
      <w:bookmarkStart w:id="138" w:name="_Toc19729"/>
      <w:r>
        <w:rPr>
          <w:rFonts w:hint="eastAsia" w:asciiTheme="majorEastAsia" w:hAnsiTheme="majorEastAsia" w:eastAsiaTheme="majorEastAsia" w:cstheme="majorEastAsia"/>
          <w:b/>
          <w:sz w:val="24"/>
          <w:szCs w:val="24"/>
          <w:lang w:val="en-US" w:eastAsia="zh-CN"/>
        </w:rPr>
        <w:t>2.1</w:t>
      </w:r>
      <w:r>
        <w:rPr>
          <w:rFonts w:hint="eastAsia" w:asciiTheme="majorEastAsia" w:hAnsiTheme="majorEastAsia" w:eastAsiaTheme="majorEastAsia" w:cstheme="majorEastAsia"/>
          <w:b/>
          <w:sz w:val="24"/>
          <w:szCs w:val="24"/>
        </w:rPr>
        <w:t>竞争性磋商文件的组成</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014603D7">
      <w:pPr>
        <w:tabs>
          <w:tab w:val="left" w:pos="1260"/>
        </w:tabs>
        <w:wordWrap w:val="0"/>
        <w:topLinePunct/>
        <w:autoSpaceDE w:val="0"/>
        <w:autoSpaceDN w:val="0"/>
        <w:adjustRightInd w:val="0"/>
        <w:snapToGrid w:val="0"/>
        <w:spacing w:line="500" w:lineRule="exact"/>
        <w:ind w:firstLine="540" w:firstLineChars="225"/>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本竞争性磋商文件包括：</w:t>
      </w:r>
    </w:p>
    <w:p w14:paraId="2E5674E0">
      <w:pPr>
        <w:numPr>
          <w:ilvl w:val="0"/>
          <w:numId w:val="4"/>
        </w:numPr>
        <w:wordWrap w:val="0"/>
        <w:topLinePunct/>
        <w:autoSpaceDE w:val="0"/>
        <w:autoSpaceDN w:val="0"/>
        <w:adjustRightInd w:val="0"/>
        <w:spacing w:line="500" w:lineRule="exact"/>
        <w:ind w:left="987" w:leftChars="200" w:right="40" w:hanging="567"/>
        <w:jc w:val="left"/>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竞争性磋商公告</w:t>
      </w:r>
    </w:p>
    <w:p w14:paraId="3DF1630A">
      <w:pPr>
        <w:numPr>
          <w:ilvl w:val="0"/>
          <w:numId w:val="4"/>
        </w:numPr>
        <w:wordWrap w:val="0"/>
        <w:topLinePunct/>
        <w:autoSpaceDE w:val="0"/>
        <w:autoSpaceDN w:val="0"/>
        <w:adjustRightInd w:val="0"/>
        <w:spacing w:line="500" w:lineRule="exact"/>
        <w:ind w:left="987" w:leftChars="200" w:right="40" w:hanging="567"/>
        <w:jc w:val="left"/>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供应商须知</w:t>
      </w:r>
    </w:p>
    <w:p w14:paraId="7EB4CD87">
      <w:pPr>
        <w:numPr>
          <w:ilvl w:val="0"/>
          <w:numId w:val="4"/>
        </w:numPr>
        <w:wordWrap w:val="0"/>
        <w:topLinePunct/>
        <w:autoSpaceDE w:val="0"/>
        <w:autoSpaceDN w:val="0"/>
        <w:adjustRightInd w:val="0"/>
        <w:spacing w:line="500" w:lineRule="exact"/>
        <w:ind w:left="987" w:leftChars="200" w:right="40" w:hanging="567"/>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lang w:eastAsia="zh-CN"/>
        </w:rPr>
        <w:t>服务内容及技术要求</w:t>
      </w:r>
    </w:p>
    <w:p w14:paraId="26884B3C">
      <w:pPr>
        <w:numPr>
          <w:ilvl w:val="0"/>
          <w:numId w:val="4"/>
        </w:numPr>
        <w:wordWrap w:val="0"/>
        <w:topLinePunct/>
        <w:autoSpaceDE w:val="0"/>
        <w:autoSpaceDN w:val="0"/>
        <w:adjustRightInd w:val="0"/>
        <w:spacing w:line="500" w:lineRule="exact"/>
        <w:ind w:left="987" w:leftChars="200" w:right="40" w:hanging="567"/>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评审办法</w:t>
      </w:r>
    </w:p>
    <w:p w14:paraId="7235D5E9">
      <w:pPr>
        <w:numPr>
          <w:ilvl w:val="0"/>
          <w:numId w:val="4"/>
        </w:numPr>
        <w:wordWrap w:val="0"/>
        <w:topLinePunct/>
        <w:autoSpaceDE w:val="0"/>
        <w:autoSpaceDN w:val="0"/>
        <w:adjustRightInd w:val="0"/>
        <w:spacing w:line="500" w:lineRule="exact"/>
        <w:ind w:left="987" w:leftChars="200" w:right="40" w:hanging="567"/>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合同条款及格式</w:t>
      </w:r>
    </w:p>
    <w:p w14:paraId="04FA6DD0">
      <w:pPr>
        <w:numPr>
          <w:ilvl w:val="0"/>
          <w:numId w:val="4"/>
        </w:numPr>
        <w:wordWrap w:val="0"/>
        <w:topLinePunct/>
        <w:autoSpaceDE w:val="0"/>
        <w:autoSpaceDN w:val="0"/>
        <w:adjustRightInd w:val="0"/>
        <w:spacing w:line="500" w:lineRule="exact"/>
        <w:ind w:left="987" w:leftChars="200" w:right="40" w:hanging="567"/>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响应文件格式</w:t>
      </w:r>
    </w:p>
    <w:p w14:paraId="79B62BA4">
      <w:pPr>
        <w:tabs>
          <w:tab w:val="left" w:pos="1260"/>
        </w:tabs>
        <w:wordWrap w:val="0"/>
        <w:topLinePunct/>
        <w:autoSpaceDE w:val="0"/>
        <w:autoSpaceDN w:val="0"/>
        <w:adjustRightInd w:val="0"/>
        <w:snapToGrid w:val="0"/>
        <w:spacing w:line="500" w:lineRule="exact"/>
        <w:ind w:firstLine="540" w:firstLineChars="225"/>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根据本章第2.2 款和第2.3 款对竞争性磋商文件所作的澄清、修改，构成竞争性磋商文件的组成部分。</w:t>
      </w:r>
    </w:p>
    <w:p w14:paraId="420E93C6">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139" w:name="_Toc462934289"/>
      <w:bookmarkStart w:id="140" w:name="_Toc455678115"/>
      <w:bookmarkStart w:id="141" w:name="_Toc13094"/>
      <w:bookmarkStart w:id="142" w:name="_Toc428351643"/>
      <w:bookmarkStart w:id="143" w:name="_Toc270604817"/>
      <w:bookmarkStart w:id="144" w:name="_Toc269470309"/>
      <w:bookmarkStart w:id="145" w:name="_Toc5047"/>
      <w:bookmarkStart w:id="146" w:name="_Toc277149379"/>
      <w:bookmarkStart w:id="147" w:name="_Toc454788023"/>
      <w:bookmarkStart w:id="148" w:name="_Toc270604590"/>
      <w:bookmarkStart w:id="149" w:name="_Toc428276583"/>
      <w:bookmarkStart w:id="150" w:name="_Toc11511"/>
      <w:bookmarkStart w:id="151" w:name="_Toc463011268"/>
      <w:r>
        <w:rPr>
          <w:rFonts w:hint="eastAsia" w:asciiTheme="majorEastAsia" w:hAnsiTheme="majorEastAsia" w:eastAsiaTheme="majorEastAsia" w:cstheme="majorEastAsia"/>
          <w:b/>
          <w:sz w:val="24"/>
          <w:szCs w:val="24"/>
          <w:lang w:val="en-US" w:eastAsia="zh-CN"/>
        </w:rPr>
        <w:t>2.2</w:t>
      </w:r>
      <w:r>
        <w:rPr>
          <w:rFonts w:hint="eastAsia" w:asciiTheme="majorEastAsia" w:hAnsiTheme="majorEastAsia" w:eastAsiaTheme="majorEastAsia" w:cstheme="majorEastAsia"/>
          <w:b/>
          <w:sz w:val="24"/>
          <w:szCs w:val="24"/>
        </w:rPr>
        <w:t>竞争性磋商文件的澄清</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1983B3F0">
      <w:pPr>
        <w:tabs>
          <w:tab w:val="left" w:pos="1260"/>
        </w:tabs>
        <w:wordWrap w:val="0"/>
        <w:topLinePunct/>
        <w:autoSpaceDE w:val="0"/>
        <w:autoSpaceDN w:val="0"/>
        <w:adjustRightInd w:val="0"/>
        <w:snapToGrid w:val="0"/>
        <w:spacing w:line="500" w:lineRule="exact"/>
        <w:ind w:firstLine="540" w:firstLineChars="225"/>
        <w:contextualSpacing/>
        <w:jc w:val="left"/>
        <w:rPr>
          <w:rFonts w:asciiTheme="majorEastAsia" w:hAnsiTheme="majorEastAsia" w:eastAsiaTheme="majorEastAsia" w:cstheme="majorEastAsia"/>
          <w:kern w:val="0"/>
          <w:sz w:val="24"/>
          <w:szCs w:val="24"/>
        </w:rPr>
      </w:pPr>
      <w:bookmarkStart w:id="152" w:name="_Toc463011269"/>
      <w:bookmarkStart w:id="153" w:name="_Toc20316"/>
      <w:bookmarkStart w:id="154" w:name="_Toc277149380"/>
      <w:bookmarkStart w:id="155" w:name="_Toc270604591"/>
      <w:bookmarkStart w:id="156" w:name="_Toc454788024"/>
      <w:bookmarkStart w:id="157" w:name="_Toc5535"/>
      <w:bookmarkStart w:id="158" w:name="_Toc428276584"/>
      <w:bookmarkStart w:id="159" w:name="_Toc270604818"/>
      <w:bookmarkStart w:id="160" w:name="_Toc400"/>
      <w:bookmarkStart w:id="161" w:name="_Toc428351644"/>
      <w:bookmarkStart w:id="162" w:name="_Toc455678116"/>
      <w:bookmarkStart w:id="163" w:name="_Toc462934290"/>
      <w:bookmarkStart w:id="164" w:name="_Toc269470310"/>
      <w:r>
        <w:rPr>
          <w:rFonts w:hint="eastAsia" w:asciiTheme="majorEastAsia" w:hAnsiTheme="majorEastAsia" w:eastAsiaTheme="majorEastAsia" w:cstheme="majorEastAsia"/>
          <w:kern w:val="0"/>
          <w:sz w:val="24"/>
          <w:szCs w:val="24"/>
        </w:rPr>
        <w:t>2.2.1供应商应仔细阅读和检查竞争性磋商文件的全部内容。如发现缺页或附件不全，应及时向采购人提出，以便补齐。如有疑问，应按供应商须知前附表规定的时间和形式将提出的问题送达，要求采购人对竞争性磋商文件予以澄清。</w:t>
      </w:r>
    </w:p>
    <w:p w14:paraId="38E5A431">
      <w:pPr>
        <w:tabs>
          <w:tab w:val="left" w:pos="1260"/>
        </w:tabs>
        <w:wordWrap w:val="0"/>
        <w:topLinePunct/>
        <w:autoSpaceDE w:val="0"/>
        <w:autoSpaceDN w:val="0"/>
        <w:adjustRightInd w:val="0"/>
        <w:snapToGrid w:val="0"/>
        <w:spacing w:line="500" w:lineRule="exact"/>
        <w:ind w:firstLine="540" w:firstLineChars="225"/>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549057B8">
      <w:pPr>
        <w:tabs>
          <w:tab w:val="left" w:pos="1260"/>
        </w:tabs>
        <w:wordWrap w:val="0"/>
        <w:topLinePunct/>
        <w:autoSpaceDE w:val="0"/>
        <w:autoSpaceDN w:val="0"/>
        <w:adjustRightInd w:val="0"/>
        <w:snapToGrid w:val="0"/>
        <w:spacing w:line="500" w:lineRule="exact"/>
        <w:ind w:firstLine="480" w:firstLineChars="200"/>
        <w:contextualSpacing/>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2.2.3除非采购人认为确有必要答复，否则，采购人有权拒绝回复供应商在本章第2.2.1项规定的时间后的任何澄清要求。在规定的时间内未提出疑问的，将被视为对竞争性磋商文件完全认可。</w:t>
      </w:r>
    </w:p>
    <w:p w14:paraId="1043B942">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2.3</w:t>
      </w:r>
      <w:r>
        <w:rPr>
          <w:rFonts w:hint="eastAsia" w:asciiTheme="majorEastAsia" w:hAnsiTheme="majorEastAsia" w:eastAsiaTheme="majorEastAsia" w:cstheme="majorEastAsia"/>
          <w:b/>
          <w:sz w:val="24"/>
          <w:szCs w:val="24"/>
        </w:rPr>
        <w:t>竞争性磋商文件的修改</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262F3D3D">
      <w:pPr>
        <w:numPr>
          <w:ilvl w:val="2"/>
          <w:numId w:val="5"/>
        </w:numPr>
        <w:wordWrap w:val="0"/>
        <w:topLinePunct/>
        <w:spacing w:line="500" w:lineRule="exact"/>
        <w:ind w:firstLine="560"/>
        <w:rPr>
          <w:rFonts w:asciiTheme="majorEastAsia" w:hAnsiTheme="majorEastAsia" w:eastAsiaTheme="majorEastAsia" w:cstheme="majorEastAsia"/>
          <w:sz w:val="24"/>
          <w:szCs w:val="24"/>
        </w:rPr>
      </w:pPr>
      <w:bookmarkStart w:id="165" w:name="_Toc12045"/>
      <w:bookmarkStart w:id="166" w:name="_Toc270604592"/>
      <w:r>
        <w:rPr>
          <w:rFonts w:hint="eastAsia" w:asciiTheme="majorEastAsia" w:hAnsiTheme="majorEastAsia" w:eastAsiaTheme="majorEastAsia" w:cstheme="majorEastAsia"/>
          <w:sz w:val="24"/>
          <w:szCs w:val="24"/>
        </w:rPr>
        <w:t>采购人或者采购代理机构可以对已发出的竞争性磋商文件进行必要的修改，但不得改变采购标的和资格条件，修改的内容为竞争性磋商文件的组成部分。</w:t>
      </w:r>
    </w:p>
    <w:p w14:paraId="18FC98F4">
      <w:pPr>
        <w:numPr>
          <w:ilvl w:val="2"/>
          <w:numId w:val="5"/>
        </w:numPr>
        <w:wordWrap w:val="0"/>
        <w:topLinePunct/>
        <w:spacing w:line="500" w:lineRule="exact"/>
        <w:ind w:firstLine="56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6EDBD316">
      <w:pPr>
        <w:numPr>
          <w:ilvl w:val="2"/>
          <w:numId w:val="5"/>
        </w:numPr>
        <w:wordWrap w:val="0"/>
        <w:topLinePunct/>
        <w:spacing w:line="500" w:lineRule="exact"/>
        <w:ind w:firstLine="56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供应商收到修改内容后，应按供应商须知前附表规定的时间和形式通知采购人，确认已收到该修改。</w:t>
      </w:r>
    </w:p>
    <w:p w14:paraId="51BD29CE">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bookmarkStart w:id="167" w:name="_Toc23774429"/>
      <w:bookmarkStart w:id="168" w:name="_Toc28297"/>
      <w:r>
        <w:rPr>
          <w:rFonts w:hint="eastAsia" w:asciiTheme="majorEastAsia" w:hAnsiTheme="majorEastAsia" w:eastAsiaTheme="majorEastAsia" w:cstheme="majorEastAsia"/>
          <w:b/>
          <w:bCs/>
          <w:sz w:val="24"/>
          <w:szCs w:val="24"/>
        </w:rPr>
        <w:t>响应文件</w:t>
      </w:r>
      <w:bookmarkEnd w:id="165"/>
      <w:bookmarkEnd w:id="166"/>
      <w:r>
        <w:rPr>
          <w:rFonts w:hint="eastAsia" w:asciiTheme="majorEastAsia" w:hAnsiTheme="majorEastAsia" w:eastAsiaTheme="majorEastAsia" w:cstheme="majorEastAsia"/>
          <w:b/>
          <w:bCs/>
          <w:sz w:val="24"/>
          <w:szCs w:val="24"/>
        </w:rPr>
        <w:t>编写</w:t>
      </w:r>
      <w:bookmarkEnd w:id="167"/>
      <w:bookmarkEnd w:id="168"/>
      <w:bookmarkStart w:id="169" w:name="_Toc428351646"/>
      <w:bookmarkStart w:id="170" w:name="_Toc462934292"/>
      <w:bookmarkStart w:id="171" w:name="_Toc455678118"/>
      <w:bookmarkStart w:id="172" w:name="_Toc26455"/>
      <w:bookmarkStart w:id="173" w:name="_Toc12181"/>
      <w:bookmarkStart w:id="174" w:name="_Toc20143"/>
      <w:bookmarkStart w:id="175" w:name="_Toc269470312"/>
      <w:bookmarkStart w:id="176" w:name="_Toc463011271"/>
      <w:bookmarkStart w:id="177" w:name="_Toc277149382"/>
      <w:bookmarkStart w:id="178" w:name="_Toc454788026"/>
      <w:bookmarkStart w:id="179" w:name="_Toc270604820"/>
      <w:bookmarkStart w:id="180" w:name="_Toc428276586"/>
      <w:bookmarkStart w:id="181" w:name="_Toc270604593"/>
    </w:p>
    <w:p w14:paraId="5FE28A5E">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3.1</w:t>
      </w:r>
      <w:r>
        <w:rPr>
          <w:rFonts w:hint="eastAsia" w:asciiTheme="majorEastAsia" w:hAnsiTheme="majorEastAsia" w:eastAsiaTheme="majorEastAsia" w:cstheme="majorEastAsia"/>
          <w:b/>
          <w:color w:val="auto"/>
          <w:sz w:val="24"/>
          <w:szCs w:val="24"/>
        </w:rPr>
        <w:t>响应文件的组成</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6B49C140">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kern w:val="0"/>
          <w:sz w:val="24"/>
          <w:szCs w:val="24"/>
        </w:rPr>
      </w:pPr>
      <w:bookmarkStart w:id="182" w:name="_Toc21496"/>
      <w:bookmarkStart w:id="183" w:name="_Toc455678119"/>
      <w:bookmarkStart w:id="184" w:name="_Toc462934293"/>
      <w:bookmarkStart w:id="185" w:name="_Toc4803"/>
      <w:bookmarkStart w:id="186" w:name="_Toc463011272"/>
      <w:bookmarkStart w:id="187" w:name="_Toc22898"/>
      <w:bookmarkStart w:id="188" w:name="_Toc270604595"/>
      <w:bookmarkStart w:id="189" w:name="_Toc269470314"/>
      <w:bookmarkStart w:id="190" w:name="_Toc277149384"/>
      <w:bookmarkStart w:id="191" w:name="_Toc270604822"/>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kern w:val="0"/>
          <w:sz w:val="24"/>
          <w:szCs w:val="24"/>
        </w:rPr>
        <w:t>报价函及报价函附录</w:t>
      </w:r>
    </w:p>
    <w:p w14:paraId="4B983634">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法定代表人身份证明</w:t>
      </w:r>
    </w:p>
    <w:p w14:paraId="4BA88BF0">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磋商承诺函</w:t>
      </w:r>
    </w:p>
    <w:p w14:paraId="5BCD943E">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供应商基本情况</w:t>
      </w:r>
    </w:p>
    <w:p w14:paraId="1600EDE7">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项目管理机构配备情况</w:t>
      </w:r>
    </w:p>
    <w:p w14:paraId="48B5344F">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（6）投标人资格证明材料</w:t>
      </w:r>
    </w:p>
    <w:p w14:paraId="2C57F0FC">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lang w:eastAsia="zh-CN"/>
        </w:rPr>
        <w:t>）技术部分</w:t>
      </w:r>
    </w:p>
    <w:p w14:paraId="27243C3E">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商务部分</w:t>
      </w:r>
    </w:p>
    <w:p w14:paraId="6D6DB91A">
      <w:pPr>
        <w:autoSpaceDE w:val="0"/>
        <w:autoSpaceDN w:val="0"/>
        <w:adjustRightInd w:val="0"/>
        <w:spacing w:line="500" w:lineRule="exact"/>
        <w:ind w:right="40" w:firstLine="480" w:firstLineChars="20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其他资料</w:t>
      </w:r>
    </w:p>
    <w:p w14:paraId="0964C4A7">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lang w:val="en-US" w:eastAsia="zh-CN"/>
        </w:rPr>
        <w:t>3.2</w:t>
      </w:r>
      <w:r>
        <w:rPr>
          <w:rFonts w:hint="eastAsia" w:asciiTheme="majorEastAsia" w:hAnsiTheme="majorEastAsia" w:eastAsiaTheme="majorEastAsia" w:cstheme="majorEastAsia"/>
          <w:b/>
          <w:color w:val="auto"/>
          <w:sz w:val="24"/>
          <w:szCs w:val="24"/>
        </w:rPr>
        <w:t>磋商价格构成及报价要求</w:t>
      </w:r>
      <w:bookmarkEnd w:id="182"/>
      <w:bookmarkEnd w:id="183"/>
      <w:bookmarkEnd w:id="184"/>
      <w:bookmarkEnd w:id="185"/>
      <w:bookmarkEnd w:id="186"/>
      <w:bookmarkEnd w:id="187"/>
    </w:p>
    <w:p w14:paraId="25D99EBD">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192" w:name="_Toc463011273"/>
      <w:bookmarkStart w:id="193" w:name="_Toc454788028"/>
      <w:bookmarkStart w:id="194" w:name="_Toc17969"/>
      <w:bookmarkStart w:id="195" w:name="_Toc428351648"/>
      <w:bookmarkStart w:id="196" w:name="_Toc428276588"/>
      <w:bookmarkStart w:id="197" w:name="_Toc455678120"/>
      <w:bookmarkStart w:id="198" w:name="_Toc9193"/>
      <w:bookmarkStart w:id="199" w:name="_Toc58"/>
      <w:bookmarkStart w:id="200" w:name="_Toc462934294"/>
      <w:r>
        <w:rPr>
          <w:rFonts w:hint="eastAsia" w:asciiTheme="majorEastAsia" w:hAnsiTheme="majorEastAsia" w:eastAsiaTheme="majorEastAsia" w:cstheme="majorEastAsia"/>
          <w:sz w:val="24"/>
          <w:szCs w:val="24"/>
          <w:lang w:val="en-US" w:eastAsia="zh-CN"/>
        </w:rPr>
        <w:t>3.2.1</w:t>
      </w:r>
      <w:r>
        <w:rPr>
          <w:rFonts w:hint="eastAsia" w:asciiTheme="majorEastAsia" w:hAnsiTheme="majorEastAsia" w:eastAsiaTheme="majorEastAsia" w:cstheme="majorEastAsia"/>
          <w:sz w:val="24"/>
          <w:szCs w:val="24"/>
        </w:rPr>
        <w:t>供应商应按“响应文件格式”的要求在</w:t>
      </w:r>
      <w:r>
        <w:rPr>
          <w:rFonts w:hint="eastAsia" w:asciiTheme="majorEastAsia" w:hAnsiTheme="majorEastAsia" w:eastAsiaTheme="majorEastAsia" w:cstheme="majorEastAsia"/>
          <w:sz w:val="24"/>
          <w:szCs w:val="24"/>
          <w:lang w:eastAsia="zh-CN"/>
        </w:rPr>
        <w:t>响应函</w:t>
      </w:r>
      <w:r>
        <w:rPr>
          <w:rFonts w:hint="eastAsia" w:asciiTheme="majorEastAsia" w:hAnsiTheme="majorEastAsia" w:eastAsiaTheme="majorEastAsia" w:cstheme="majorEastAsia"/>
          <w:sz w:val="24"/>
          <w:szCs w:val="24"/>
        </w:rPr>
        <w:t>中进行报价并填写已</w:t>
      </w:r>
      <w:r>
        <w:rPr>
          <w:rFonts w:hint="eastAsia" w:asciiTheme="majorEastAsia" w:hAnsiTheme="majorEastAsia" w:eastAsiaTheme="majorEastAsia" w:cstheme="majorEastAsia"/>
          <w:sz w:val="24"/>
          <w:szCs w:val="24"/>
          <w:lang w:eastAsia="zh-CN"/>
        </w:rPr>
        <w:t>。</w:t>
      </w:r>
    </w:p>
    <w:p w14:paraId="00605F3B">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3.2.1</w:t>
      </w:r>
      <w:r>
        <w:rPr>
          <w:rFonts w:hint="eastAsia" w:asciiTheme="majorEastAsia" w:hAnsiTheme="majorEastAsia" w:eastAsiaTheme="majorEastAsia" w:cstheme="majorEastAsia"/>
          <w:sz w:val="24"/>
          <w:szCs w:val="24"/>
        </w:rPr>
        <w:t>供应商应充分了解该项目的总体情况以及影响磋商报价的其他要素。</w:t>
      </w:r>
    </w:p>
    <w:p w14:paraId="0C90B811">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3.2.3</w:t>
      </w:r>
      <w:r>
        <w:rPr>
          <w:rFonts w:hint="eastAsia" w:asciiTheme="majorEastAsia" w:hAnsiTheme="majorEastAsia" w:eastAsiaTheme="majorEastAsia" w:cstheme="majorEastAsia"/>
          <w:sz w:val="24"/>
          <w:szCs w:val="24"/>
        </w:rPr>
        <w:t>本项目的报价方式见供应商须知前附表。供应商在投标截止时间前修改</w:t>
      </w:r>
      <w:r>
        <w:rPr>
          <w:rFonts w:hint="eastAsia" w:asciiTheme="majorEastAsia" w:hAnsiTheme="majorEastAsia" w:eastAsiaTheme="majorEastAsia" w:cstheme="majorEastAsia"/>
          <w:sz w:val="24"/>
          <w:szCs w:val="24"/>
          <w:lang w:eastAsia="zh-CN"/>
        </w:rPr>
        <w:t>响应函</w:t>
      </w:r>
      <w:r>
        <w:rPr>
          <w:rFonts w:hint="eastAsia" w:asciiTheme="majorEastAsia" w:hAnsiTheme="majorEastAsia" w:eastAsiaTheme="majorEastAsia" w:cstheme="majorEastAsia"/>
          <w:sz w:val="24"/>
          <w:szCs w:val="24"/>
        </w:rPr>
        <w:t>中的磋商报价总额。</w:t>
      </w:r>
    </w:p>
    <w:p w14:paraId="6CB9FD1A">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3.2.4</w:t>
      </w:r>
      <w:r>
        <w:rPr>
          <w:rFonts w:hint="eastAsia" w:asciiTheme="majorEastAsia" w:hAnsiTheme="majorEastAsia" w:eastAsiaTheme="majorEastAsia" w:cstheme="majorEastAsia"/>
          <w:sz w:val="24"/>
          <w:szCs w:val="24"/>
        </w:rPr>
        <w:t>采购人设有磋商控制价的，供应商的磋商报价不得超过磋商控制价。</w:t>
      </w:r>
    </w:p>
    <w:p w14:paraId="63A9A098">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3.3</w:t>
      </w:r>
      <w:r>
        <w:rPr>
          <w:rFonts w:hint="eastAsia" w:asciiTheme="majorEastAsia" w:hAnsiTheme="majorEastAsia" w:eastAsiaTheme="majorEastAsia" w:cstheme="majorEastAsia"/>
          <w:b/>
          <w:sz w:val="24"/>
          <w:szCs w:val="24"/>
        </w:rPr>
        <w:t>磋商有效期</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27AF5006">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3.3.1</w:t>
      </w:r>
      <w:r>
        <w:rPr>
          <w:rFonts w:hint="eastAsia" w:asciiTheme="majorEastAsia" w:hAnsiTheme="majorEastAsia" w:eastAsiaTheme="majorEastAsia" w:cstheme="majorEastAsia"/>
          <w:sz w:val="24"/>
          <w:szCs w:val="24"/>
        </w:rPr>
        <w:t>磋商有效期见供应商须知前附表。</w:t>
      </w:r>
    </w:p>
    <w:p w14:paraId="707357C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3.3.2</w:t>
      </w:r>
      <w:r>
        <w:rPr>
          <w:rFonts w:hint="eastAsia" w:asciiTheme="majorEastAsia" w:hAnsiTheme="majorEastAsia" w:eastAsiaTheme="majorEastAsia" w:cstheme="majorEastAsia"/>
          <w:sz w:val="24"/>
          <w:szCs w:val="24"/>
        </w:rPr>
        <w:t>在磋商有效期内，供应商撤销响应文件的，应承担竞争性磋商文件和法律规定的责任。</w:t>
      </w:r>
    </w:p>
    <w:p w14:paraId="2FD607AB">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201" w:name="_Toc25039"/>
      <w:bookmarkStart w:id="202" w:name="_Toc462934295"/>
      <w:bookmarkStart w:id="203" w:name="_Toc454788029"/>
      <w:bookmarkStart w:id="204" w:name="_Toc463011274"/>
      <w:bookmarkStart w:id="205" w:name="_Toc428351649"/>
      <w:bookmarkStart w:id="206" w:name="_Toc428276589"/>
      <w:bookmarkStart w:id="207" w:name="_Toc455678121"/>
      <w:bookmarkStart w:id="208" w:name="_Toc23856"/>
      <w:bookmarkStart w:id="209" w:name="_Toc15074"/>
      <w:r>
        <w:rPr>
          <w:rFonts w:hint="eastAsia" w:asciiTheme="majorEastAsia" w:hAnsiTheme="majorEastAsia" w:eastAsiaTheme="majorEastAsia" w:cstheme="majorEastAsia"/>
          <w:b/>
          <w:sz w:val="24"/>
          <w:szCs w:val="24"/>
          <w:lang w:val="en-US" w:eastAsia="zh-CN"/>
        </w:rPr>
        <w:t>3.4</w:t>
      </w:r>
      <w:r>
        <w:rPr>
          <w:rFonts w:hint="eastAsia" w:asciiTheme="majorEastAsia" w:hAnsiTheme="majorEastAsia" w:eastAsiaTheme="majorEastAsia" w:cstheme="majorEastAsia"/>
          <w:b/>
          <w:sz w:val="24"/>
          <w:szCs w:val="24"/>
        </w:rPr>
        <w:t>磋商保证金</w:t>
      </w:r>
      <w:bookmarkEnd w:id="201"/>
      <w:bookmarkEnd w:id="202"/>
      <w:bookmarkEnd w:id="203"/>
      <w:bookmarkEnd w:id="204"/>
      <w:bookmarkEnd w:id="205"/>
      <w:bookmarkEnd w:id="206"/>
      <w:bookmarkEnd w:id="207"/>
      <w:bookmarkEnd w:id="208"/>
      <w:bookmarkEnd w:id="209"/>
    </w:p>
    <w:p w14:paraId="3AA21F23">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3.4.1</w:t>
      </w:r>
      <w:r>
        <w:rPr>
          <w:rFonts w:hint="eastAsia" w:asciiTheme="majorEastAsia" w:hAnsiTheme="majorEastAsia" w:eastAsiaTheme="majorEastAsia" w:cstheme="majorEastAsia"/>
          <w:sz w:val="24"/>
          <w:szCs w:val="24"/>
        </w:rPr>
        <w:t>根据《河南省财政厅关于优化政府采购营商环境有关问题的通知》（豫财购[2020]4号）第6条的规定，磋商保证金不再收取。</w:t>
      </w:r>
    </w:p>
    <w:p w14:paraId="68F36102">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210" w:name="_Toc270604823"/>
      <w:bookmarkStart w:id="211" w:name="_Toc455678122"/>
      <w:bookmarkStart w:id="212" w:name="_Toc4446"/>
      <w:bookmarkStart w:id="213" w:name="_Toc428351650"/>
      <w:bookmarkStart w:id="214" w:name="_Toc462934296"/>
      <w:bookmarkStart w:id="215" w:name="_Toc428276590"/>
      <w:bookmarkStart w:id="216" w:name="_Toc7919"/>
      <w:bookmarkStart w:id="217" w:name="_Toc32308"/>
      <w:bookmarkStart w:id="218" w:name="_Toc277149385"/>
      <w:bookmarkStart w:id="219" w:name="_Toc454788030"/>
      <w:bookmarkStart w:id="220" w:name="_Toc270604596"/>
      <w:bookmarkStart w:id="221" w:name="_Toc269470318"/>
      <w:bookmarkStart w:id="222" w:name="_Toc463011275"/>
      <w:r>
        <w:rPr>
          <w:rFonts w:hint="eastAsia" w:asciiTheme="majorEastAsia" w:hAnsiTheme="majorEastAsia" w:eastAsiaTheme="majorEastAsia" w:cstheme="majorEastAsia"/>
          <w:b/>
          <w:sz w:val="24"/>
          <w:szCs w:val="24"/>
          <w:lang w:val="en-US" w:eastAsia="zh-CN"/>
        </w:rPr>
        <w:t>3.5</w:t>
      </w:r>
      <w:r>
        <w:rPr>
          <w:rFonts w:hint="eastAsia" w:asciiTheme="majorEastAsia" w:hAnsiTheme="majorEastAsia" w:eastAsiaTheme="majorEastAsia" w:cstheme="majorEastAsia"/>
          <w:b/>
          <w:sz w:val="24"/>
          <w:szCs w:val="24"/>
        </w:rPr>
        <w:t>响应文件的编制</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7B9FBC39">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3.5.1</w:t>
      </w:r>
      <w:r>
        <w:rPr>
          <w:rFonts w:hint="eastAsia" w:asciiTheme="majorEastAsia" w:hAnsiTheme="majorEastAsia" w:eastAsiaTheme="majorEastAsia" w:cstheme="majorEastAsia"/>
          <w:sz w:val="24"/>
          <w:szCs w:val="24"/>
        </w:rPr>
        <w:t>响应文件应按</w:t>
      </w:r>
      <w:r>
        <w:rPr>
          <w:rFonts w:hint="eastAsia" w:asciiTheme="majorEastAsia" w:hAnsiTheme="majorEastAsia" w:eastAsiaTheme="majorEastAsia" w:cstheme="majorEastAsia"/>
          <w:color w:val="auto"/>
          <w:sz w:val="24"/>
          <w:szCs w:val="24"/>
        </w:rPr>
        <w:t>第七章</w:t>
      </w:r>
      <w:r>
        <w:rPr>
          <w:rFonts w:hint="eastAsia" w:asciiTheme="majorEastAsia" w:hAnsiTheme="majorEastAsia" w:eastAsiaTheme="majorEastAsia" w:cstheme="majorEastAsia"/>
          <w:sz w:val="24"/>
          <w:szCs w:val="24"/>
        </w:rPr>
        <w:t>响应文件格式进行编写，如有必要，可以增加附页，作为响应文件的组成部分。其中，</w:t>
      </w:r>
      <w:r>
        <w:rPr>
          <w:rFonts w:hint="eastAsia" w:asciiTheme="majorEastAsia" w:hAnsiTheme="majorEastAsia" w:eastAsiaTheme="majorEastAsia" w:cstheme="majorEastAsia"/>
          <w:sz w:val="24"/>
          <w:szCs w:val="24"/>
          <w:lang w:eastAsia="zh-CN"/>
        </w:rPr>
        <w:t>响应函</w:t>
      </w:r>
      <w:r>
        <w:rPr>
          <w:rFonts w:hint="eastAsia" w:asciiTheme="majorEastAsia" w:hAnsiTheme="majorEastAsia" w:eastAsiaTheme="majorEastAsia" w:cstheme="majorEastAsia"/>
          <w:sz w:val="24"/>
          <w:szCs w:val="24"/>
        </w:rPr>
        <w:t>附录在满足竞争性磋商文件实质性要求的基础上，可以提出比竞争性磋商文件要求更有利于采购人的承诺。</w:t>
      </w:r>
    </w:p>
    <w:p w14:paraId="013C0CC4">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3.5.2</w:t>
      </w:r>
      <w:r>
        <w:rPr>
          <w:rFonts w:hint="eastAsia" w:asciiTheme="majorEastAsia" w:hAnsiTheme="majorEastAsia" w:eastAsiaTheme="majorEastAsia" w:cstheme="majorEastAsia"/>
          <w:sz w:val="24"/>
          <w:szCs w:val="24"/>
        </w:rPr>
        <w:t>响应文件应当对竞争性磋商文件有关磋商报价、计划工期</w:t>
      </w:r>
      <w:r>
        <w:rPr>
          <w:rFonts w:hint="eastAsia" w:asciiTheme="majorEastAsia" w:hAnsiTheme="majorEastAsia" w:eastAsiaTheme="majorEastAsia" w:cstheme="majorEastAsia"/>
          <w:sz w:val="24"/>
          <w:szCs w:val="24"/>
          <w:lang w:eastAsia="zh-CN"/>
        </w:rPr>
        <w:t>及服务期限</w:t>
      </w:r>
      <w:r>
        <w:rPr>
          <w:rFonts w:hint="eastAsia" w:asciiTheme="majorEastAsia" w:hAnsiTheme="majorEastAsia" w:eastAsiaTheme="majorEastAsia" w:cstheme="majorEastAsia"/>
          <w:sz w:val="24"/>
          <w:szCs w:val="24"/>
        </w:rPr>
        <w:t>、磋商有效期、</w:t>
      </w:r>
      <w:r>
        <w:rPr>
          <w:rFonts w:hint="eastAsia" w:asciiTheme="majorEastAsia" w:hAnsiTheme="majorEastAsia" w:eastAsiaTheme="majorEastAsia" w:cstheme="majorEastAsia"/>
          <w:sz w:val="24"/>
          <w:szCs w:val="24"/>
          <w:lang w:eastAsia="zh-CN"/>
        </w:rPr>
        <w:t>质量要求</w:t>
      </w:r>
      <w:r>
        <w:rPr>
          <w:rFonts w:hint="eastAsia" w:asciiTheme="majorEastAsia" w:hAnsiTheme="majorEastAsia" w:eastAsiaTheme="majorEastAsia" w:cstheme="majorEastAsia"/>
          <w:sz w:val="24"/>
          <w:szCs w:val="24"/>
        </w:rPr>
        <w:t>等实质性内容作出响应。</w:t>
      </w:r>
    </w:p>
    <w:p w14:paraId="7F91FA26">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3.5.3</w:t>
      </w:r>
      <w:r>
        <w:rPr>
          <w:rFonts w:hint="eastAsia" w:asciiTheme="majorEastAsia" w:hAnsiTheme="majorEastAsia" w:eastAsiaTheme="majorEastAsia" w:cstheme="majorEastAsia"/>
          <w:sz w:val="24"/>
          <w:szCs w:val="24"/>
        </w:rPr>
        <w:t>供应商在生成电子化响应文件后，应对电子化响应文件进行签章，未进行签章的视为无效响应。</w:t>
      </w:r>
    </w:p>
    <w:p w14:paraId="0A61D201">
      <w:pPr>
        <w:autoSpaceDE w:val="0"/>
        <w:autoSpaceDN w:val="0"/>
        <w:adjustRightInd w:val="0"/>
        <w:spacing w:line="500" w:lineRule="exact"/>
        <w:ind w:right="41" w:firstLine="480" w:firstLineChars="200"/>
        <w:rPr>
          <w:rFonts w:asciiTheme="majorEastAsia" w:hAnsiTheme="majorEastAsia" w:eastAsiaTheme="majorEastAsia" w:cstheme="majorEastAsia"/>
          <w:spacing w:val="2"/>
          <w:kern w:val="0"/>
          <w:sz w:val="24"/>
          <w:szCs w:val="24"/>
        </w:rPr>
      </w:pPr>
      <w:r>
        <w:rPr>
          <w:rFonts w:hint="eastAsia" w:asciiTheme="majorEastAsia" w:hAnsiTheme="majorEastAsia" w:eastAsiaTheme="majorEastAsia" w:cstheme="majorEastAsia"/>
          <w:sz w:val="24"/>
          <w:szCs w:val="24"/>
          <w:lang w:val="en-US" w:eastAsia="zh-CN"/>
        </w:rPr>
        <w:t>3.5.4</w:t>
      </w:r>
      <w:r>
        <w:rPr>
          <w:rFonts w:hint="eastAsia" w:asciiTheme="majorEastAsia" w:hAnsiTheme="majorEastAsia" w:eastAsiaTheme="majorEastAsia" w:cstheme="majorEastAsia"/>
          <w:spacing w:val="2"/>
          <w:kern w:val="0"/>
          <w:sz w:val="24"/>
          <w:szCs w:val="24"/>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79F5C80D">
      <w:pPr>
        <w:autoSpaceDE w:val="0"/>
        <w:autoSpaceDN w:val="0"/>
        <w:adjustRightInd w:val="0"/>
        <w:spacing w:line="500" w:lineRule="exact"/>
        <w:ind w:right="41"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相关证书原件的提交：本项目实行资格后审，磋商文件中要求供应商提交资质、业绩、荣誉及单位人员等相关资料原件的，供应商需将原件扫描件制作到电子响应文件中。</w:t>
      </w:r>
    </w:p>
    <w:p w14:paraId="30D8D764">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bCs/>
          <w:sz w:val="24"/>
          <w:szCs w:val="24"/>
        </w:rPr>
      </w:pPr>
      <w:bookmarkStart w:id="223" w:name="_Toc6530"/>
      <w:r>
        <w:rPr>
          <w:rFonts w:hint="eastAsia" w:asciiTheme="majorEastAsia" w:hAnsiTheme="majorEastAsia" w:eastAsiaTheme="majorEastAsia" w:cstheme="majorEastAsia"/>
          <w:b/>
          <w:bCs/>
          <w:sz w:val="24"/>
          <w:szCs w:val="24"/>
          <w:lang w:val="en-US" w:eastAsia="zh-CN"/>
        </w:rPr>
        <w:t>4.</w:t>
      </w:r>
      <w:bookmarkStart w:id="224" w:name="_Toc12187"/>
      <w:bookmarkStart w:id="225" w:name="_Toc23774430"/>
      <w:r>
        <w:rPr>
          <w:rFonts w:hint="eastAsia" w:asciiTheme="majorEastAsia" w:hAnsiTheme="majorEastAsia" w:eastAsiaTheme="majorEastAsia" w:cstheme="majorEastAsia"/>
          <w:b/>
          <w:bCs/>
          <w:sz w:val="24"/>
          <w:szCs w:val="24"/>
        </w:rPr>
        <w:t>响应文件的递交</w:t>
      </w:r>
      <w:bookmarkEnd w:id="223"/>
      <w:bookmarkEnd w:id="224"/>
      <w:bookmarkEnd w:id="225"/>
    </w:p>
    <w:p w14:paraId="75C01FE7">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bCs/>
          <w:sz w:val="24"/>
          <w:szCs w:val="24"/>
        </w:rPr>
      </w:pPr>
      <w:bookmarkStart w:id="226" w:name="_Toc31608"/>
      <w:bookmarkStart w:id="227" w:name="_Toc270604598"/>
      <w:bookmarkStart w:id="228" w:name="_Toc428351652"/>
      <w:bookmarkStart w:id="229" w:name="_Toc269470320"/>
      <w:bookmarkStart w:id="230" w:name="_Toc21528"/>
      <w:bookmarkStart w:id="231" w:name="_Toc454788032"/>
      <w:bookmarkStart w:id="232" w:name="_Toc270604825"/>
      <w:bookmarkStart w:id="233" w:name="_Toc455678124"/>
      <w:bookmarkStart w:id="234" w:name="_Toc27477"/>
      <w:bookmarkStart w:id="235" w:name="_Toc428276592"/>
      <w:bookmarkStart w:id="236" w:name="_Toc463011277"/>
      <w:bookmarkStart w:id="237" w:name="_Toc462934298"/>
      <w:bookmarkStart w:id="238" w:name="_Toc277149387"/>
      <w:r>
        <w:rPr>
          <w:rFonts w:hint="eastAsia" w:asciiTheme="majorEastAsia" w:hAnsiTheme="majorEastAsia" w:eastAsiaTheme="majorEastAsia" w:cstheme="majorEastAsia"/>
          <w:b/>
          <w:sz w:val="24"/>
          <w:szCs w:val="24"/>
          <w:lang w:val="en-US" w:eastAsia="zh-CN"/>
        </w:rPr>
        <w:t>4.1</w:t>
      </w:r>
      <w:r>
        <w:rPr>
          <w:rFonts w:hint="eastAsia" w:asciiTheme="majorEastAsia" w:hAnsiTheme="majorEastAsia" w:eastAsiaTheme="majorEastAsia" w:cstheme="majorEastAsia"/>
          <w:b/>
          <w:sz w:val="24"/>
          <w:szCs w:val="24"/>
        </w:rPr>
        <w:t>电子化响应文件的格式及上传</w:t>
      </w:r>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Theme="majorEastAsia" w:hAnsiTheme="majorEastAsia" w:eastAsiaTheme="majorEastAsia" w:cstheme="majorEastAsia"/>
          <w:b/>
          <w:sz w:val="24"/>
          <w:szCs w:val="24"/>
        </w:rPr>
        <w:t>：详见</w:t>
      </w:r>
      <w:r>
        <w:rPr>
          <w:rFonts w:hint="eastAsia" w:asciiTheme="majorEastAsia" w:hAnsiTheme="majorEastAsia" w:eastAsiaTheme="majorEastAsia" w:cstheme="majorEastAsia"/>
          <w:b/>
          <w:bCs/>
          <w:sz w:val="24"/>
          <w:szCs w:val="24"/>
        </w:rPr>
        <w:t>供应商须知前附表</w:t>
      </w:r>
    </w:p>
    <w:p w14:paraId="3C94AB3C">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239" w:name="_Toc428276593"/>
      <w:bookmarkStart w:id="240" w:name="_Toc455678125"/>
      <w:bookmarkStart w:id="241" w:name="_Toc270604599"/>
      <w:bookmarkStart w:id="242" w:name="_Toc463011278"/>
      <w:bookmarkStart w:id="243" w:name="_Toc29167"/>
      <w:bookmarkStart w:id="244" w:name="_Toc454788033"/>
      <w:bookmarkStart w:id="245" w:name="_Toc270604826"/>
      <w:bookmarkStart w:id="246" w:name="_Toc462934299"/>
      <w:bookmarkStart w:id="247" w:name="_Toc277149388"/>
      <w:bookmarkStart w:id="248" w:name="_Toc269470321"/>
      <w:bookmarkStart w:id="249" w:name="_Toc428351653"/>
      <w:bookmarkStart w:id="250" w:name="_Toc5938"/>
      <w:bookmarkStart w:id="251" w:name="_Toc20197"/>
      <w:r>
        <w:rPr>
          <w:rFonts w:hint="eastAsia" w:asciiTheme="majorEastAsia" w:hAnsiTheme="majorEastAsia" w:eastAsiaTheme="majorEastAsia" w:cstheme="majorEastAsia"/>
          <w:b/>
          <w:sz w:val="24"/>
          <w:szCs w:val="24"/>
          <w:lang w:val="en-US" w:eastAsia="zh-CN"/>
        </w:rPr>
        <w:t>4.2</w:t>
      </w:r>
      <w:r>
        <w:rPr>
          <w:rFonts w:hint="eastAsia" w:asciiTheme="majorEastAsia" w:hAnsiTheme="majorEastAsia" w:eastAsiaTheme="majorEastAsia" w:cstheme="majorEastAsia"/>
          <w:b/>
          <w:sz w:val="24"/>
          <w:szCs w:val="24"/>
        </w:rPr>
        <w:t>响应文件的递交</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468D7B2F">
      <w:pPr>
        <w:autoSpaceDE w:val="0"/>
        <w:autoSpaceDN w:val="0"/>
        <w:adjustRightInd w:val="0"/>
        <w:spacing w:line="500" w:lineRule="exact"/>
        <w:ind w:right="-20" w:firstLine="480" w:firstLineChars="20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4.2.1 供应商</w:t>
      </w:r>
      <w:r>
        <w:rPr>
          <w:rFonts w:hint="eastAsia" w:asciiTheme="majorEastAsia" w:hAnsiTheme="majorEastAsia" w:eastAsiaTheme="majorEastAsia" w:cstheme="majorEastAsia"/>
          <w:spacing w:val="-2"/>
          <w:kern w:val="0"/>
          <w:sz w:val="24"/>
          <w:szCs w:val="24"/>
        </w:rPr>
        <w:t>应</w:t>
      </w:r>
      <w:r>
        <w:rPr>
          <w:rFonts w:hint="eastAsia" w:asciiTheme="majorEastAsia" w:hAnsiTheme="majorEastAsia" w:eastAsiaTheme="majorEastAsia" w:cstheme="majorEastAsia"/>
          <w:kern w:val="0"/>
          <w:sz w:val="24"/>
          <w:szCs w:val="24"/>
        </w:rPr>
        <w:t>在</w:t>
      </w:r>
      <w:r>
        <w:rPr>
          <w:rFonts w:hint="eastAsia" w:asciiTheme="majorEastAsia" w:hAnsiTheme="majorEastAsia" w:eastAsiaTheme="majorEastAsia" w:cstheme="majorEastAsia"/>
          <w:spacing w:val="-2"/>
          <w:kern w:val="0"/>
          <w:sz w:val="24"/>
          <w:szCs w:val="24"/>
        </w:rPr>
        <w:t>供应商须</w:t>
      </w:r>
      <w:r>
        <w:rPr>
          <w:rFonts w:hint="eastAsia" w:asciiTheme="majorEastAsia" w:hAnsiTheme="majorEastAsia" w:eastAsiaTheme="majorEastAsia" w:cstheme="majorEastAsia"/>
          <w:kern w:val="0"/>
          <w:sz w:val="24"/>
          <w:szCs w:val="24"/>
        </w:rPr>
        <w:t>知前</w:t>
      </w:r>
      <w:r>
        <w:rPr>
          <w:rFonts w:hint="eastAsia" w:asciiTheme="majorEastAsia" w:hAnsiTheme="majorEastAsia" w:eastAsiaTheme="majorEastAsia" w:cstheme="majorEastAsia"/>
          <w:spacing w:val="-2"/>
          <w:kern w:val="0"/>
          <w:sz w:val="24"/>
          <w:szCs w:val="24"/>
        </w:rPr>
        <w:t>附</w:t>
      </w:r>
      <w:r>
        <w:rPr>
          <w:rFonts w:hint="eastAsia" w:asciiTheme="majorEastAsia" w:hAnsiTheme="majorEastAsia" w:eastAsiaTheme="majorEastAsia" w:cstheme="majorEastAsia"/>
          <w:kern w:val="0"/>
          <w:sz w:val="24"/>
          <w:szCs w:val="24"/>
        </w:rPr>
        <w:t>表</w:t>
      </w:r>
      <w:r>
        <w:rPr>
          <w:rFonts w:hint="eastAsia" w:asciiTheme="majorEastAsia" w:hAnsiTheme="majorEastAsia" w:eastAsiaTheme="majorEastAsia" w:cstheme="majorEastAsia"/>
          <w:spacing w:val="-2"/>
          <w:kern w:val="0"/>
          <w:sz w:val="24"/>
          <w:szCs w:val="24"/>
        </w:rPr>
        <w:t>规</w:t>
      </w:r>
      <w:r>
        <w:rPr>
          <w:rFonts w:hint="eastAsia" w:asciiTheme="majorEastAsia" w:hAnsiTheme="majorEastAsia" w:eastAsiaTheme="majorEastAsia" w:cstheme="majorEastAsia"/>
          <w:kern w:val="0"/>
          <w:sz w:val="24"/>
          <w:szCs w:val="24"/>
        </w:rPr>
        <w:t>定</w:t>
      </w:r>
      <w:r>
        <w:rPr>
          <w:rFonts w:hint="eastAsia" w:asciiTheme="majorEastAsia" w:hAnsiTheme="majorEastAsia" w:eastAsiaTheme="majorEastAsia" w:cstheme="majorEastAsia"/>
          <w:spacing w:val="-2"/>
          <w:kern w:val="0"/>
          <w:sz w:val="24"/>
          <w:szCs w:val="24"/>
        </w:rPr>
        <w:t>的</w:t>
      </w:r>
      <w:r>
        <w:rPr>
          <w:rFonts w:hint="eastAsia" w:asciiTheme="majorEastAsia" w:hAnsiTheme="majorEastAsia" w:eastAsiaTheme="majorEastAsia" w:cstheme="majorEastAsia"/>
          <w:kern w:val="0"/>
          <w:sz w:val="24"/>
          <w:szCs w:val="24"/>
        </w:rPr>
        <w:t>响应文件递交截</w:t>
      </w:r>
      <w:r>
        <w:rPr>
          <w:rFonts w:hint="eastAsia" w:asciiTheme="majorEastAsia" w:hAnsiTheme="majorEastAsia" w:eastAsiaTheme="majorEastAsia" w:cstheme="majorEastAsia"/>
          <w:spacing w:val="-2"/>
          <w:kern w:val="0"/>
          <w:sz w:val="24"/>
          <w:szCs w:val="24"/>
        </w:rPr>
        <w:t>止</w:t>
      </w:r>
      <w:r>
        <w:rPr>
          <w:rFonts w:hint="eastAsia" w:asciiTheme="majorEastAsia" w:hAnsiTheme="majorEastAsia" w:eastAsiaTheme="majorEastAsia" w:cstheme="majorEastAsia"/>
          <w:kern w:val="0"/>
          <w:sz w:val="24"/>
          <w:szCs w:val="24"/>
        </w:rPr>
        <w:t>时间</w:t>
      </w:r>
      <w:r>
        <w:rPr>
          <w:rFonts w:hint="eastAsia" w:asciiTheme="majorEastAsia" w:hAnsiTheme="majorEastAsia" w:eastAsiaTheme="majorEastAsia" w:cstheme="majorEastAsia"/>
          <w:spacing w:val="-2"/>
          <w:kern w:val="0"/>
          <w:sz w:val="24"/>
          <w:szCs w:val="24"/>
        </w:rPr>
        <w:t>前递交</w:t>
      </w:r>
      <w:r>
        <w:rPr>
          <w:rFonts w:hint="eastAsia" w:asciiTheme="majorEastAsia" w:hAnsiTheme="majorEastAsia" w:eastAsiaTheme="majorEastAsia" w:cstheme="majorEastAsia"/>
          <w:kern w:val="0"/>
          <w:sz w:val="24"/>
          <w:szCs w:val="24"/>
        </w:rPr>
        <w:t>响应文</w:t>
      </w:r>
      <w:r>
        <w:rPr>
          <w:rFonts w:hint="eastAsia" w:asciiTheme="majorEastAsia" w:hAnsiTheme="majorEastAsia" w:eastAsiaTheme="majorEastAsia" w:cstheme="majorEastAsia"/>
          <w:spacing w:val="-2"/>
          <w:kern w:val="0"/>
          <w:sz w:val="24"/>
          <w:szCs w:val="24"/>
        </w:rPr>
        <w:t>件</w:t>
      </w:r>
      <w:r>
        <w:rPr>
          <w:rFonts w:hint="eastAsia" w:asciiTheme="majorEastAsia" w:hAnsiTheme="majorEastAsia" w:eastAsiaTheme="majorEastAsia" w:cstheme="majorEastAsia"/>
          <w:kern w:val="0"/>
          <w:sz w:val="24"/>
          <w:szCs w:val="24"/>
        </w:rPr>
        <w:t>。</w:t>
      </w:r>
    </w:p>
    <w:p w14:paraId="227D79E4">
      <w:pPr>
        <w:autoSpaceDE w:val="0"/>
        <w:autoSpaceDN w:val="0"/>
        <w:adjustRightInd w:val="0"/>
        <w:spacing w:line="500" w:lineRule="exact"/>
        <w:ind w:right="-20"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4.2.2 </w:t>
      </w:r>
      <w:r>
        <w:rPr>
          <w:rFonts w:hint="eastAsia" w:asciiTheme="majorEastAsia" w:hAnsiTheme="majorEastAsia" w:eastAsiaTheme="majorEastAsia" w:cstheme="majorEastAsia"/>
          <w:kern w:val="0"/>
          <w:sz w:val="24"/>
          <w:szCs w:val="24"/>
        </w:rPr>
        <w:t>供应商递</w:t>
      </w:r>
      <w:r>
        <w:rPr>
          <w:rFonts w:hint="eastAsia" w:asciiTheme="majorEastAsia" w:hAnsiTheme="majorEastAsia" w:eastAsiaTheme="majorEastAsia" w:cstheme="majorEastAsia"/>
          <w:spacing w:val="-2"/>
          <w:kern w:val="0"/>
          <w:sz w:val="24"/>
          <w:szCs w:val="24"/>
        </w:rPr>
        <w:t>交响应</w:t>
      </w:r>
      <w:r>
        <w:rPr>
          <w:rFonts w:hint="eastAsia" w:asciiTheme="majorEastAsia" w:hAnsiTheme="majorEastAsia" w:eastAsiaTheme="majorEastAsia" w:cstheme="majorEastAsia"/>
          <w:kern w:val="0"/>
          <w:sz w:val="24"/>
          <w:szCs w:val="24"/>
        </w:rPr>
        <w:t>文</w:t>
      </w:r>
      <w:r>
        <w:rPr>
          <w:rFonts w:hint="eastAsia" w:asciiTheme="majorEastAsia" w:hAnsiTheme="majorEastAsia" w:eastAsiaTheme="majorEastAsia" w:cstheme="majorEastAsia"/>
          <w:spacing w:val="-2"/>
          <w:kern w:val="0"/>
          <w:sz w:val="24"/>
          <w:szCs w:val="24"/>
        </w:rPr>
        <w:t>件</w:t>
      </w:r>
      <w:r>
        <w:rPr>
          <w:rFonts w:hint="eastAsia" w:asciiTheme="majorEastAsia" w:hAnsiTheme="majorEastAsia" w:eastAsiaTheme="majorEastAsia" w:cstheme="majorEastAsia"/>
          <w:kern w:val="0"/>
          <w:sz w:val="24"/>
          <w:szCs w:val="24"/>
        </w:rPr>
        <w:t>的</w:t>
      </w:r>
      <w:r>
        <w:rPr>
          <w:rFonts w:hint="eastAsia" w:asciiTheme="majorEastAsia" w:hAnsiTheme="majorEastAsia" w:eastAsiaTheme="majorEastAsia" w:cstheme="majorEastAsia"/>
          <w:spacing w:val="-2"/>
          <w:kern w:val="0"/>
          <w:sz w:val="24"/>
          <w:szCs w:val="24"/>
        </w:rPr>
        <w:t>地</w:t>
      </w:r>
      <w:r>
        <w:rPr>
          <w:rFonts w:hint="eastAsia" w:asciiTheme="majorEastAsia" w:hAnsiTheme="majorEastAsia" w:eastAsiaTheme="majorEastAsia" w:cstheme="majorEastAsia"/>
          <w:kern w:val="0"/>
          <w:sz w:val="24"/>
          <w:szCs w:val="24"/>
        </w:rPr>
        <w:t>点</w:t>
      </w:r>
      <w:r>
        <w:rPr>
          <w:rFonts w:hint="eastAsia" w:asciiTheme="majorEastAsia" w:hAnsiTheme="majorEastAsia" w:eastAsiaTheme="majorEastAsia" w:cstheme="majorEastAsia"/>
          <w:spacing w:val="-2"/>
          <w:kern w:val="0"/>
          <w:sz w:val="24"/>
          <w:szCs w:val="24"/>
        </w:rPr>
        <w:t>：</w:t>
      </w:r>
      <w:r>
        <w:rPr>
          <w:rFonts w:hint="eastAsia" w:asciiTheme="majorEastAsia" w:hAnsiTheme="majorEastAsia" w:eastAsiaTheme="majorEastAsia" w:cstheme="majorEastAsia"/>
          <w:kern w:val="0"/>
          <w:sz w:val="24"/>
          <w:szCs w:val="24"/>
        </w:rPr>
        <w:t>见</w:t>
      </w:r>
      <w:r>
        <w:rPr>
          <w:rFonts w:hint="eastAsia" w:asciiTheme="majorEastAsia" w:hAnsiTheme="majorEastAsia" w:eastAsiaTheme="majorEastAsia" w:cstheme="majorEastAsia"/>
          <w:spacing w:val="-2"/>
          <w:kern w:val="0"/>
          <w:sz w:val="24"/>
          <w:szCs w:val="24"/>
        </w:rPr>
        <w:t>供应商</w:t>
      </w:r>
      <w:r>
        <w:rPr>
          <w:rFonts w:hint="eastAsia" w:asciiTheme="majorEastAsia" w:hAnsiTheme="majorEastAsia" w:eastAsiaTheme="majorEastAsia" w:cstheme="majorEastAsia"/>
          <w:kern w:val="0"/>
          <w:sz w:val="24"/>
          <w:szCs w:val="24"/>
        </w:rPr>
        <w:t>须知</w:t>
      </w:r>
      <w:r>
        <w:rPr>
          <w:rFonts w:hint="eastAsia" w:asciiTheme="majorEastAsia" w:hAnsiTheme="majorEastAsia" w:eastAsiaTheme="majorEastAsia" w:cstheme="majorEastAsia"/>
          <w:spacing w:val="-2"/>
          <w:kern w:val="0"/>
          <w:sz w:val="24"/>
          <w:szCs w:val="24"/>
        </w:rPr>
        <w:t>前</w:t>
      </w:r>
      <w:r>
        <w:rPr>
          <w:rFonts w:hint="eastAsia" w:asciiTheme="majorEastAsia" w:hAnsiTheme="majorEastAsia" w:eastAsiaTheme="majorEastAsia" w:cstheme="majorEastAsia"/>
          <w:kern w:val="0"/>
          <w:sz w:val="24"/>
          <w:szCs w:val="24"/>
        </w:rPr>
        <w:t>附</w:t>
      </w:r>
      <w:r>
        <w:rPr>
          <w:rFonts w:hint="eastAsia" w:asciiTheme="majorEastAsia" w:hAnsiTheme="majorEastAsia" w:eastAsiaTheme="majorEastAsia" w:cstheme="majorEastAsia"/>
          <w:spacing w:val="-2"/>
          <w:kern w:val="0"/>
          <w:sz w:val="24"/>
          <w:szCs w:val="24"/>
        </w:rPr>
        <w:t>表</w:t>
      </w:r>
      <w:r>
        <w:rPr>
          <w:rFonts w:hint="eastAsia" w:asciiTheme="majorEastAsia" w:hAnsiTheme="majorEastAsia" w:eastAsiaTheme="majorEastAsia" w:cstheme="majorEastAsia"/>
          <w:kern w:val="0"/>
          <w:sz w:val="24"/>
          <w:szCs w:val="24"/>
        </w:rPr>
        <w:t>。</w:t>
      </w:r>
    </w:p>
    <w:p w14:paraId="3118060D">
      <w:pPr>
        <w:autoSpaceDE w:val="0"/>
        <w:autoSpaceDN w:val="0"/>
        <w:adjustRightInd w:val="0"/>
        <w:spacing w:line="500" w:lineRule="exact"/>
        <w:ind w:right="-20" w:firstLine="480" w:firstLineChars="20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4.2.3</w:t>
      </w:r>
      <w:r>
        <w:rPr>
          <w:rFonts w:hint="eastAsia" w:asciiTheme="majorEastAsia" w:hAnsiTheme="majorEastAsia" w:eastAsiaTheme="majorEastAsia" w:cstheme="majorEastAsia"/>
          <w:kern w:val="0"/>
          <w:sz w:val="24"/>
          <w:szCs w:val="24"/>
        </w:rPr>
        <w:t xml:space="preserve"> 除</w:t>
      </w:r>
      <w:r>
        <w:rPr>
          <w:rFonts w:hint="eastAsia" w:asciiTheme="majorEastAsia" w:hAnsiTheme="majorEastAsia" w:eastAsiaTheme="majorEastAsia" w:cstheme="majorEastAsia"/>
          <w:spacing w:val="-2"/>
          <w:kern w:val="0"/>
          <w:sz w:val="24"/>
          <w:szCs w:val="24"/>
        </w:rPr>
        <w:t>供应商</w:t>
      </w:r>
      <w:r>
        <w:rPr>
          <w:rFonts w:hint="eastAsia" w:asciiTheme="majorEastAsia" w:hAnsiTheme="majorEastAsia" w:eastAsiaTheme="majorEastAsia" w:cstheme="majorEastAsia"/>
          <w:kern w:val="0"/>
          <w:sz w:val="24"/>
          <w:szCs w:val="24"/>
        </w:rPr>
        <w:t>须</w:t>
      </w:r>
      <w:r>
        <w:rPr>
          <w:rFonts w:hint="eastAsia" w:asciiTheme="majorEastAsia" w:hAnsiTheme="majorEastAsia" w:eastAsiaTheme="majorEastAsia" w:cstheme="majorEastAsia"/>
          <w:spacing w:val="-2"/>
          <w:kern w:val="0"/>
          <w:sz w:val="24"/>
          <w:szCs w:val="24"/>
        </w:rPr>
        <w:t>知</w:t>
      </w:r>
      <w:r>
        <w:rPr>
          <w:rFonts w:hint="eastAsia" w:asciiTheme="majorEastAsia" w:hAnsiTheme="majorEastAsia" w:eastAsiaTheme="majorEastAsia" w:cstheme="majorEastAsia"/>
          <w:kern w:val="0"/>
          <w:sz w:val="24"/>
          <w:szCs w:val="24"/>
        </w:rPr>
        <w:t>前</w:t>
      </w:r>
      <w:r>
        <w:rPr>
          <w:rFonts w:hint="eastAsia" w:asciiTheme="majorEastAsia" w:hAnsiTheme="majorEastAsia" w:eastAsiaTheme="majorEastAsia" w:cstheme="majorEastAsia"/>
          <w:spacing w:val="-2"/>
          <w:kern w:val="0"/>
          <w:sz w:val="24"/>
          <w:szCs w:val="24"/>
        </w:rPr>
        <w:t>附表</w:t>
      </w:r>
      <w:r>
        <w:rPr>
          <w:rFonts w:hint="eastAsia" w:asciiTheme="majorEastAsia" w:hAnsiTheme="majorEastAsia" w:eastAsiaTheme="majorEastAsia" w:cstheme="majorEastAsia"/>
          <w:kern w:val="0"/>
          <w:sz w:val="24"/>
          <w:szCs w:val="24"/>
        </w:rPr>
        <w:t>另有</w:t>
      </w:r>
      <w:r>
        <w:rPr>
          <w:rFonts w:hint="eastAsia" w:asciiTheme="majorEastAsia" w:hAnsiTheme="majorEastAsia" w:eastAsiaTheme="majorEastAsia" w:cstheme="majorEastAsia"/>
          <w:spacing w:val="-2"/>
          <w:kern w:val="0"/>
          <w:sz w:val="24"/>
          <w:szCs w:val="24"/>
        </w:rPr>
        <w:t>规</w:t>
      </w:r>
      <w:r>
        <w:rPr>
          <w:rFonts w:hint="eastAsia" w:asciiTheme="majorEastAsia" w:hAnsiTheme="majorEastAsia" w:eastAsiaTheme="majorEastAsia" w:cstheme="majorEastAsia"/>
          <w:kern w:val="0"/>
          <w:sz w:val="24"/>
          <w:szCs w:val="24"/>
        </w:rPr>
        <w:t>定</w:t>
      </w:r>
      <w:r>
        <w:rPr>
          <w:rFonts w:hint="eastAsia" w:asciiTheme="majorEastAsia" w:hAnsiTheme="majorEastAsia" w:eastAsiaTheme="majorEastAsia" w:cstheme="majorEastAsia"/>
          <w:spacing w:val="-2"/>
          <w:kern w:val="0"/>
          <w:sz w:val="24"/>
          <w:szCs w:val="24"/>
        </w:rPr>
        <w:t>外</w:t>
      </w:r>
      <w:r>
        <w:rPr>
          <w:rFonts w:hint="eastAsia" w:asciiTheme="majorEastAsia" w:hAnsiTheme="majorEastAsia" w:eastAsiaTheme="majorEastAsia" w:cstheme="majorEastAsia"/>
          <w:kern w:val="0"/>
          <w:sz w:val="24"/>
          <w:szCs w:val="24"/>
        </w:rPr>
        <w:t>供应商所</w:t>
      </w:r>
      <w:r>
        <w:rPr>
          <w:rFonts w:hint="eastAsia" w:asciiTheme="majorEastAsia" w:hAnsiTheme="majorEastAsia" w:eastAsiaTheme="majorEastAsia" w:cstheme="majorEastAsia"/>
          <w:spacing w:val="-2"/>
          <w:kern w:val="0"/>
          <w:sz w:val="24"/>
          <w:szCs w:val="24"/>
        </w:rPr>
        <w:t>递</w:t>
      </w:r>
      <w:r>
        <w:rPr>
          <w:rFonts w:hint="eastAsia" w:asciiTheme="majorEastAsia" w:hAnsiTheme="majorEastAsia" w:eastAsiaTheme="majorEastAsia" w:cstheme="majorEastAsia"/>
          <w:kern w:val="0"/>
          <w:sz w:val="24"/>
          <w:szCs w:val="24"/>
        </w:rPr>
        <w:t>交的</w:t>
      </w:r>
      <w:r>
        <w:rPr>
          <w:rFonts w:hint="eastAsia" w:asciiTheme="majorEastAsia" w:hAnsiTheme="majorEastAsia" w:eastAsiaTheme="majorEastAsia" w:cstheme="majorEastAsia"/>
          <w:spacing w:val="-2"/>
          <w:kern w:val="0"/>
          <w:sz w:val="24"/>
          <w:szCs w:val="24"/>
        </w:rPr>
        <w:t>响应文</w:t>
      </w:r>
      <w:r>
        <w:rPr>
          <w:rFonts w:hint="eastAsia" w:asciiTheme="majorEastAsia" w:hAnsiTheme="majorEastAsia" w:eastAsiaTheme="majorEastAsia" w:cstheme="majorEastAsia"/>
          <w:kern w:val="0"/>
          <w:sz w:val="24"/>
          <w:szCs w:val="24"/>
        </w:rPr>
        <w:t>件</w:t>
      </w:r>
      <w:r>
        <w:rPr>
          <w:rFonts w:hint="eastAsia" w:asciiTheme="majorEastAsia" w:hAnsiTheme="majorEastAsia" w:eastAsiaTheme="majorEastAsia" w:cstheme="majorEastAsia"/>
          <w:spacing w:val="-2"/>
          <w:kern w:val="0"/>
          <w:sz w:val="24"/>
          <w:szCs w:val="24"/>
        </w:rPr>
        <w:t>不</w:t>
      </w:r>
      <w:r>
        <w:rPr>
          <w:rFonts w:hint="eastAsia" w:asciiTheme="majorEastAsia" w:hAnsiTheme="majorEastAsia" w:eastAsiaTheme="majorEastAsia" w:cstheme="majorEastAsia"/>
          <w:kern w:val="0"/>
          <w:sz w:val="24"/>
          <w:szCs w:val="24"/>
        </w:rPr>
        <w:t>予</w:t>
      </w:r>
      <w:r>
        <w:rPr>
          <w:rFonts w:hint="eastAsia" w:asciiTheme="majorEastAsia" w:hAnsiTheme="majorEastAsia" w:eastAsiaTheme="majorEastAsia" w:cstheme="majorEastAsia"/>
          <w:spacing w:val="-2"/>
          <w:kern w:val="0"/>
          <w:sz w:val="24"/>
          <w:szCs w:val="24"/>
        </w:rPr>
        <w:t>退</w:t>
      </w:r>
      <w:r>
        <w:rPr>
          <w:rFonts w:hint="eastAsia" w:asciiTheme="majorEastAsia" w:hAnsiTheme="majorEastAsia" w:eastAsiaTheme="majorEastAsia" w:cstheme="majorEastAsia"/>
          <w:kern w:val="0"/>
          <w:sz w:val="24"/>
          <w:szCs w:val="24"/>
        </w:rPr>
        <w:t>还。</w:t>
      </w:r>
    </w:p>
    <w:p w14:paraId="33DB87F4">
      <w:pPr>
        <w:autoSpaceDE w:val="0"/>
        <w:autoSpaceDN w:val="0"/>
        <w:adjustRightInd w:val="0"/>
        <w:spacing w:line="500" w:lineRule="exact"/>
        <w:ind w:right="40"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 xml:space="preserve">4.2.4 </w:t>
      </w:r>
      <w:r>
        <w:rPr>
          <w:rFonts w:hint="eastAsia" w:asciiTheme="majorEastAsia" w:hAnsiTheme="majorEastAsia" w:eastAsiaTheme="majorEastAsia" w:cstheme="majorEastAsia"/>
          <w:kern w:val="0"/>
          <w:sz w:val="24"/>
          <w:szCs w:val="24"/>
        </w:rPr>
        <w:t>供应商</w:t>
      </w:r>
      <w:r>
        <w:rPr>
          <w:rFonts w:hint="eastAsia" w:asciiTheme="majorEastAsia" w:hAnsiTheme="majorEastAsia" w:eastAsiaTheme="majorEastAsia" w:cstheme="majorEastAsia"/>
          <w:spacing w:val="-2"/>
          <w:kern w:val="0"/>
          <w:sz w:val="24"/>
          <w:szCs w:val="24"/>
        </w:rPr>
        <w:t>完</w:t>
      </w:r>
      <w:r>
        <w:rPr>
          <w:rFonts w:hint="eastAsia" w:asciiTheme="majorEastAsia" w:hAnsiTheme="majorEastAsia" w:eastAsiaTheme="majorEastAsia" w:cstheme="majorEastAsia"/>
          <w:kern w:val="0"/>
          <w:sz w:val="24"/>
          <w:szCs w:val="24"/>
        </w:rPr>
        <w:t>成</w:t>
      </w:r>
      <w:r>
        <w:rPr>
          <w:rFonts w:hint="eastAsia" w:asciiTheme="majorEastAsia" w:hAnsiTheme="majorEastAsia" w:eastAsiaTheme="majorEastAsia" w:cstheme="majorEastAsia"/>
          <w:spacing w:val="-2"/>
          <w:kern w:val="0"/>
          <w:sz w:val="24"/>
          <w:szCs w:val="24"/>
        </w:rPr>
        <w:t>电</w:t>
      </w:r>
      <w:r>
        <w:rPr>
          <w:rFonts w:hint="eastAsia" w:asciiTheme="majorEastAsia" w:hAnsiTheme="majorEastAsia" w:eastAsiaTheme="majorEastAsia" w:cstheme="majorEastAsia"/>
          <w:kern w:val="0"/>
          <w:sz w:val="24"/>
          <w:szCs w:val="24"/>
        </w:rPr>
        <w:t>子响应文</w:t>
      </w:r>
      <w:r>
        <w:rPr>
          <w:rFonts w:hint="eastAsia" w:asciiTheme="majorEastAsia" w:hAnsiTheme="majorEastAsia" w:eastAsiaTheme="majorEastAsia" w:cstheme="majorEastAsia"/>
          <w:spacing w:val="-2"/>
          <w:kern w:val="0"/>
          <w:sz w:val="24"/>
          <w:szCs w:val="24"/>
        </w:rPr>
        <w:t>件</w:t>
      </w:r>
      <w:r>
        <w:rPr>
          <w:rFonts w:hint="eastAsia" w:asciiTheme="majorEastAsia" w:hAnsiTheme="majorEastAsia" w:eastAsiaTheme="majorEastAsia" w:cstheme="majorEastAsia"/>
          <w:kern w:val="0"/>
          <w:sz w:val="24"/>
          <w:szCs w:val="24"/>
        </w:rPr>
        <w:t>上</w:t>
      </w:r>
      <w:r>
        <w:rPr>
          <w:rFonts w:hint="eastAsia" w:asciiTheme="majorEastAsia" w:hAnsiTheme="majorEastAsia" w:eastAsiaTheme="majorEastAsia" w:cstheme="majorEastAsia"/>
          <w:spacing w:val="-2"/>
          <w:kern w:val="0"/>
          <w:sz w:val="24"/>
          <w:szCs w:val="24"/>
        </w:rPr>
        <w:t>传</w:t>
      </w:r>
      <w:r>
        <w:rPr>
          <w:rFonts w:hint="eastAsia" w:asciiTheme="majorEastAsia" w:hAnsiTheme="majorEastAsia" w:eastAsiaTheme="majorEastAsia" w:cstheme="majorEastAsia"/>
          <w:kern w:val="0"/>
          <w:sz w:val="24"/>
          <w:szCs w:val="24"/>
        </w:rPr>
        <w:t>后</w:t>
      </w:r>
      <w:r>
        <w:rPr>
          <w:rFonts w:hint="eastAsia" w:asciiTheme="majorEastAsia" w:hAnsiTheme="majorEastAsia" w:eastAsiaTheme="majorEastAsia" w:cstheme="majorEastAsia"/>
          <w:spacing w:val="-5"/>
          <w:kern w:val="0"/>
          <w:sz w:val="24"/>
          <w:szCs w:val="24"/>
        </w:rPr>
        <w:t>，</w:t>
      </w:r>
      <w:r>
        <w:rPr>
          <w:rFonts w:hint="eastAsia" w:asciiTheme="majorEastAsia" w:hAnsiTheme="majorEastAsia" w:eastAsiaTheme="majorEastAsia" w:cstheme="majorEastAsia"/>
          <w:kern w:val="0"/>
          <w:sz w:val="24"/>
          <w:szCs w:val="24"/>
        </w:rPr>
        <w:t>电</w:t>
      </w:r>
      <w:r>
        <w:rPr>
          <w:rFonts w:hint="eastAsia" w:asciiTheme="majorEastAsia" w:hAnsiTheme="majorEastAsia" w:eastAsiaTheme="majorEastAsia" w:cstheme="majorEastAsia"/>
          <w:spacing w:val="-2"/>
          <w:kern w:val="0"/>
          <w:sz w:val="24"/>
          <w:szCs w:val="24"/>
        </w:rPr>
        <w:t>子</w:t>
      </w:r>
      <w:r>
        <w:rPr>
          <w:rFonts w:hint="eastAsia" w:asciiTheme="majorEastAsia" w:hAnsiTheme="majorEastAsia" w:eastAsiaTheme="majorEastAsia" w:cstheme="majorEastAsia"/>
          <w:kern w:val="0"/>
          <w:sz w:val="24"/>
          <w:szCs w:val="24"/>
        </w:rPr>
        <w:t>招标</w:t>
      </w:r>
      <w:r>
        <w:rPr>
          <w:rFonts w:hint="eastAsia" w:asciiTheme="majorEastAsia" w:hAnsiTheme="majorEastAsia" w:eastAsiaTheme="majorEastAsia" w:cstheme="majorEastAsia"/>
          <w:spacing w:val="-2"/>
          <w:kern w:val="0"/>
          <w:sz w:val="24"/>
          <w:szCs w:val="24"/>
        </w:rPr>
        <w:t>投</w:t>
      </w:r>
      <w:r>
        <w:rPr>
          <w:rFonts w:hint="eastAsia" w:asciiTheme="majorEastAsia" w:hAnsiTheme="majorEastAsia" w:eastAsiaTheme="majorEastAsia" w:cstheme="majorEastAsia"/>
          <w:kern w:val="0"/>
          <w:sz w:val="24"/>
          <w:szCs w:val="24"/>
        </w:rPr>
        <w:t>标</w:t>
      </w:r>
      <w:r>
        <w:rPr>
          <w:rFonts w:hint="eastAsia" w:asciiTheme="majorEastAsia" w:hAnsiTheme="majorEastAsia" w:eastAsiaTheme="majorEastAsia" w:cstheme="majorEastAsia"/>
          <w:spacing w:val="-2"/>
          <w:kern w:val="0"/>
          <w:sz w:val="24"/>
          <w:szCs w:val="24"/>
        </w:rPr>
        <w:t>交</w:t>
      </w:r>
      <w:r>
        <w:rPr>
          <w:rFonts w:hint="eastAsia" w:asciiTheme="majorEastAsia" w:hAnsiTheme="majorEastAsia" w:eastAsiaTheme="majorEastAsia" w:cstheme="majorEastAsia"/>
          <w:kern w:val="0"/>
          <w:sz w:val="24"/>
          <w:szCs w:val="24"/>
        </w:rPr>
        <w:t>易</w:t>
      </w:r>
      <w:r>
        <w:rPr>
          <w:rFonts w:hint="eastAsia" w:asciiTheme="majorEastAsia" w:hAnsiTheme="majorEastAsia" w:eastAsiaTheme="majorEastAsia" w:cstheme="majorEastAsia"/>
          <w:spacing w:val="-2"/>
          <w:kern w:val="0"/>
          <w:sz w:val="24"/>
          <w:szCs w:val="24"/>
        </w:rPr>
        <w:t>平</w:t>
      </w:r>
      <w:r>
        <w:rPr>
          <w:rFonts w:hint="eastAsia" w:asciiTheme="majorEastAsia" w:hAnsiTheme="majorEastAsia" w:eastAsiaTheme="majorEastAsia" w:cstheme="majorEastAsia"/>
          <w:kern w:val="0"/>
          <w:sz w:val="24"/>
          <w:szCs w:val="24"/>
        </w:rPr>
        <w:t>台</w:t>
      </w:r>
      <w:r>
        <w:rPr>
          <w:rFonts w:hint="eastAsia" w:asciiTheme="majorEastAsia" w:hAnsiTheme="majorEastAsia" w:eastAsiaTheme="majorEastAsia" w:cstheme="majorEastAsia"/>
          <w:spacing w:val="-2"/>
          <w:kern w:val="0"/>
          <w:sz w:val="24"/>
          <w:szCs w:val="24"/>
        </w:rPr>
        <w:t>即</w:t>
      </w:r>
      <w:r>
        <w:rPr>
          <w:rFonts w:hint="eastAsia" w:asciiTheme="majorEastAsia" w:hAnsiTheme="majorEastAsia" w:eastAsiaTheme="majorEastAsia" w:cstheme="majorEastAsia"/>
          <w:kern w:val="0"/>
          <w:sz w:val="24"/>
          <w:szCs w:val="24"/>
        </w:rPr>
        <w:t>时</w:t>
      </w:r>
      <w:r>
        <w:rPr>
          <w:rFonts w:hint="eastAsia" w:asciiTheme="majorEastAsia" w:hAnsiTheme="majorEastAsia" w:eastAsiaTheme="majorEastAsia" w:cstheme="majorEastAsia"/>
          <w:spacing w:val="-2"/>
          <w:kern w:val="0"/>
          <w:sz w:val="24"/>
          <w:szCs w:val="24"/>
        </w:rPr>
        <w:t>向</w:t>
      </w:r>
      <w:r>
        <w:rPr>
          <w:rFonts w:hint="eastAsia" w:asciiTheme="majorEastAsia" w:hAnsiTheme="majorEastAsia" w:eastAsiaTheme="majorEastAsia" w:cstheme="majorEastAsia"/>
          <w:kern w:val="0"/>
          <w:sz w:val="24"/>
          <w:szCs w:val="24"/>
        </w:rPr>
        <w:t>供应商发</w:t>
      </w:r>
      <w:r>
        <w:rPr>
          <w:rFonts w:hint="eastAsia" w:asciiTheme="majorEastAsia" w:hAnsiTheme="majorEastAsia" w:eastAsiaTheme="majorEastAsia" w:cstheme="majorEastAsia"/>
          <w:spacing w:val="-2"/>
          <w:kern w:val="0"/>
          <w:sz w:val="24"/>
          <w:szCs w:val="24"/>
        </w:rPr>
        <w:t>出</w:t>
      </w:r>
      <w:r>
        <w:rPr>
          <w:rFonts w:hint="eastAsia" w:asciiTheme="majorEastAsia" w:hAnsiTheme="majorEastAsia" w:eastAsiaTheme="majorEastAsia" w:cstheme="majorEastAsia"/>
          <w:kern w:val="0"/>
          <w:sz w:val="24"/>
          <w:szCs w:val="24"/>
        </w:rPr>
        <w:t>递交回</w:t>
      </w:r>
      <w:r>
        <w:rPr>
          <w:rFonts w:hint="eastAsia" w:asciiTheme="majorEastAsia" w:hAnsiTheme="majorEastAsia" w:eastAsiaTheme="majorEastAsia" w:cstheme="majorEastAsia"/>
          <w:spacing w:val="-2"/>
          <w:kern w:val="0"/>
          <w:sz w:val="24"/>
          <w:szCs w:val="24"/>
        </w:rPr>
        <w:t>执</w:t>
      </w:r>
      <w:r>
        <w:rPr>
          <w:rFonts w:hint="eastAsia" w:asciiTheme="majorEastAsia" w:hAnsiTheme="majorEastAsia" w:eastAsiaTheme="majorEastAsia" w:cstheme="majorEastAsia"/>
          <w:kern w:val="0"/>
          <w:sz w:val="24"/>
          <w:szCs w:val="24"/>
        </w:rPr>
        <w:t>通</w:t>
      </w:r>
      <w:r>
        <w:rPr>
          <w:rFonts w:hint="eastAsia" w:asciiTheme="majorEastAsia" w:hAnsiTheme="majorEastAsia" w:eastAsiaTheme="majorEastAsia" w:cstheme="majorEastAsia"/>
          <w:spacing w:val="-3"/>
          <w:kern w:val="0"/>
          <w:sz w:val="24"/>
          <w:szCs w:val="24"/>
        </w:rPr>
        <w:t>知</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pacing w:val="-2"/>
          <w:kern w:val="0"/>
          <w:sz w:val="24"/>
          <w:szCs w:val="24"/>
        </w:rPr>
        <w:t>递</w:t>
      </w:r>
      <w:r>
        <w:rPr>
          <w:rFonts w:hint="eastAsia" w:asciiTheme="majorEastAsia" w:hAnsiTheme="majorEastAsia" w:eastAsiaTheme="majorEastAsia" w:cstheme="majorEastAsia"/>
          <w:kern w:val="0"/>
          <w:sz w:val="24"/>
          <w:szCs w:val="24"/>
        </w:rPr>
        <w:t>交</w:t>
      </w:r>
      <w:r>
        <w:rPr>
          <w:rFonts w:hint="eastAsia" w:asciiTheme="majorEastAsia" w:hAnsiTheme="majorEastAsia" w:eastAsiaTheme="majorEastAsia" w:cstheme="majorEastAsia"/>
          <w:spacing w:val="-2"/>
          <w:kern w:val="0"/>
          <w:sz w:val="24"/>
          <w:szCs w:val="24"/>
        </w:rPr>
        <w:t>时</w:t>
      </w:r>
      <w:r>
        <w:rPr>
          <w:rFonts w:hint="eastAsia" w:asciiTheme="majorEastAsia" w:hAnsiTheme="majorEastAsia" w:eastAsiaTheme="majorEastAsia" w:cstheme="majorEastAsia"/>
          <w:kern w:val="0"/>
          <w:sz w:val="24"/>
          <w:szCs w:val="24"/>
        </w:rPr>
        <w:t>间</w:t>
      </w:r>
      <w:r>
        <w:rPr>
          <w:rFonts w:hint="eastAsia" w:asciiTheme="majorEastAsia" w:hAnsiTheme="majorEastAsia" w:eastAsiaTheme="majorEastAsia" w:cstheme="majorEastAsia"/>
          <w:spacing w:val="-2"/>
          <w:kern w:val="0"/>
          <w:sz w:val="24"/>
          <w:szCs w:val="24"/>
        </w:rPr>
        <w:t>以</w:t>
      </w:r>
      <w:r>
        <w:rPr>
          <w:rFonts w:hint="eastAsia" w:asciiTheme="majorEastAsia" w:hAnsiTheme="majorEastAsia" w:eastAsiaTheme="majorEastAsia" w:cstheme="majorEastAsia"/>
          <w:kern w:val="0"/>
          <w:sz w:val="24"/>
          <w:szCs w:val="24"/>
        </w:rPr>
        <w:t>递交</w:t>
      </w:r>
      <w:r>
        <w:rPr>
          <w:rFonts w:hint="eastAsia" w:asciiTheme="majorEastAsia" w:hAnsiTheme="majorEastAsia" w:eastAsiaTheme="majorEastAsia" w:cstheme="majorEastAsia"/>
          <w:spacing w:val="-2"/>
          <w:kern w:val="0"/>
          <w:sz w:val="24"/>
          <w:szCs w:val="24"/>
        </w:rPr>
        <w:t>回</w:t>
      </w:r>
      <w:r>
        <w:rPr>
          <w:rFonts w:hint="eastAsia" w:asciiTheme="majorEastAsia" w:hAnsiTheme="majorEastAsia" w:eastAsiaTheme="majorEastAsia" w:cstheme="majorEastAsia"/>
          <w:kern w:val="0"/>
          <w:sz w:val="24"/>
          <w:szCs w:val="24"/>
        </w:rPr>
        <w:t>执</w:t>
      </w:r>
      <w:r>
        <w:rPr>
          <w:rFonts w:hint="eastAsia" w:asciiTheme="majorEastAsia" w:hAnsiTheme="majorEastAsia" w:eastAsiaTheme="majorEastAsia" w:cstheme="majorEastAsia"/>
          <w:spacing w:val="-2"/>
          <w:kern w:val="0"/>
          <w:sz w:val="24"/>
          <w:szCs w:val="24"/>
        </w:rPr>
        <w:t>通</w:t>
      </w:r>
      <w:r>
        <w:rPr>
          <w:rFonts w:hint="eastAsia" w:asciiTheme="majorEastAsia" w:hAnsiTheme="majorEastAsia" w:eastAsiaTheme="majorEastAsia" w:cstheme="majorEastAsia"/>
          <w:kern w:val="0"/>
          <w:sz w:val="24"/>
          <w:szCs w:val="24"/>
        </w:rPr>
        <w:t>知</w:t>
      </w:r>
      <w:r>
        <w:rPr>
          <w:rFonts w:hint="eastAsia" w:asciiTheme="majorEastAsia" w:hAnsiTheme="majorEastAsia" w:eastAsiaTheme="majorEastAsia" w:cstheme="majorEastAsia"/>
          <w:spacing w:val="-2"/>
          <w:kern w:val="0"/>
          <w:sz w:val="24"/>
          <w:szCs w:val="24"/>
        </w:rPr>
        <w:t>载</w:t>
      </w:r>
      <w:r>
        <w:rPr>
          <w:rFonts w:hint="eastAsia" w:asciiTheme="majorEastAsia" w:hAnsiTheme="majorEastAsia" w:eastAsiaTheme="majorEastAsia" w:cstheme="majorEastAsia"/>
          <w:kern w:val="0"/>
          <w:sz w:val="24"/>
          <w:szCs w:val="24"/>
        </w:rPr>
        <w:t>明</w:t>
      </w:r>
      <w:r>
        <w:rPr>
          <w:rFonts w:hint="eastAsia" w:asciiTheme="majorEastAsia" w:hAnsiTheme="majorEastAsia" w:eastAsiaTheme="majorEastAsia" w:cstheme="majorEastAsia"/>
          <w:spacing w:val="-2"/>
          <w:kern w:val="0"/>
          <w:sz w:val="24"/>
          <w:szCs w:val="24"/>
        </w:rPr>
        <w:t>的</w:t>
      </w:r>
      <w:r>
        <w:rPr>
          <w:rFonts w:hint="eastAsia" w:asciiTheme="majorEastAsia" w:hAnsiTheme="majorEastAsia" w:eastAsiaTheme="majorEastAsia" w:cstheme="majorEastAsia"/>
          <w:kern w:val="0"/>
          <w:sz w:val="24"/>
          <w:szCs w:val="24"/>
        </w:rPr>
        <w:t>传</w:t>
      </w:r>
      <w:r>
        <w:rPr>
          <w:rFonts w:hint="eastAsia" w:asciiTheme="majorEastAsia" w:hAnsiTheme="majorEastAsia" w:eastAsiaTheme="majorEastAsia" w:cstheme="majorEastAsia"/>
          <w:spacing w:val="-2"/>
          <w:kern w:val="0"/>
          <w:sz w:val="24"/>
          <w:szCs w:val="24"/>
        </w:rPr>
        <w:t>输</w:t>
      </w:r>
      <w:r>
        <w:rPr>
          <w:rFonts w:hint="eastAsia" w:asciiTheme="majorEastAsia" w:hAnsiTheme="majorEastAsia" w:eastAsiaTheme="majorEastAsia" w:cstheme="majorEastAsia"/>
          <w:kern w:val="0"/>
          <w:sz w:val="24"/>
          <w:szCs w:val="24"/>
        </w:rPr>
        <w:t>完成</w:t>
      </w:r>
      <w:r>
        <w:rPr>
          <w:rFonts w:hint="eastAsia" w:asciiTheme="majorEastAsia" w:hAnsiTheme="majorEastAsia" w:eastAsiaTheme="majorEastAsia" w:cstheme="majorEastAsia"/>
          <w:spacing w:val="-2"/>
          <w:kern w:val="0"/>
          <w:sz w:val="24"/>
          <w:szCs w:val="24"/>
        </w:rPr>
        <w:t>时</w:t>
      </w:r>
      <w:r>
        <w:rPr>
          <w:rFonts w:hint="eastAsia" w:asciiTheme="majorEastAsia" w:hAnsiTheme="majorEastAsia" w:eastAsiaTheme="majorEastAsia" w:cstheme="majorEastAsia"/>
          <w:kern w:val="0"/>
          <w:sz w:val="24"/>
          <w:szCs w:val="24"/>
        </w:rPr>
        <w:t>间</w:t>
      </w:r>
      <w:r>
        <w:rPr>
          <w:rFonts w:hint="eastAsia" w:asciiTheme="majorEastAsia" w:hAnsiTheme="majorEastAsia" w:eastAsiaTheme="majorEastAsia" w:cstheme="majorEastAsia"/>
          <w:spacing w:val="-2"/>
          <w:kern w:val="0"/>
          <w:sz w:val="24"/>
          <w:szCs w:val="24"/>
        </w:rPr>
        <w:t>为</w:t>
      </w:r>
      <w:r>
        <w:rPr>
          <w:rFonts w:hint="eastAsia" w:asciiTheme="majorEastAsia" w:hAnsiTheme="majorEastAsia" w:eastAsiaTheme="majorEastAsia" w:cstheme="majorEastAsia"/>
          <w:kern w:val="0"/>
          <w:sz w:val="24"/>
          <w:szCs w:val="24"/>
        </w:rPr>
        <w:t>准。</w:t>
      </w:r>
    </w:p>
    <w:p w14:paraId="1EBD04BC">
      <w:pPr>
        <w:autoSpaceDE w:val="0"/>
        <w:autoSpaceDN w:val="0"/>
        <w:adjustRightInd w:val="0"/>
        <w:spacing w:line="500" w:lineRule="exact"/>
        <w:ind w:right="-20" w:firstLine="480" w:firstLineChars="20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 xml:space="preserve">4.2.5 </w:t>
      </w:r>
      <w:r>
        <w:rPr>
          <w:rFonts w:hint="eastAsia" w:asciiTheme="majorEastAsia" w:hAnsiTheme="majorEastAsia" w:eastAsiaTheme="majorEastAsia" w:cstheme="majorEastAsia"/>
          <w:spacing w:val="-2"/>
          <w:kern w:val="0"/>
          <w:sz w:val="24"/>
          <w:szCs w:val="24"/>
        </w:rPr>
        <w:t>逾</w:t>
      </w:r>
      <w:r>
        <w:rPr>
          <w:rFonts w:hint="eastAsia" w:asciiTheme="majorEastAsia" w:hAnsiTheme="majorEastAsia" w:eastAsiaTheme="majorEastAsia" w:cstheme="majorEastAsia"/>
          <w:kern w:val="0"/>
          <w:sz w:val="24"/>
          <w:szCs w:val="24"/>
        </w:rPr>
        <w:t>期</w:t>
      </w:r>
      <w:r>
        <w:rPr>
          <w:rFonts w:hint="eastAsia" w:asciiTheme="majorEastAsia" w:hAnsiTheme="majorEastAsia" w:eastAsiaTheme="majorEastAsia" w:cstheme="majorEastAsia"/>
          <w:spacing w:val="-2"/>
          <w:kern w:val="0"/>
          <w:sz w:val="24"/>
          <w:szCs w:val="24"/>
        </w:rPr>
        <w:t>送</w:t>
      </w:r>
      <w:r>
        <w:rPr>
          <w:rFonts w:hint="eastAsia" w:asciiTheme="majorEastAsia" w:hAnsiTheme="majorEastAsia" w:eastAsiaTheme="majorEastAsia" w:cstheme="majorEastAsia"/>
          <w:kern w:val="0"/>
          <w:sz w:val="24"/>
          <w:szCs w:val="24"/>
        </w:rPr>
        <w:t>达</w:t>
      </w:r>
      <w:r>
        <w:rPr>
          <w:rFonts w:hint="eastAsia" w:asciiTheme="majorEastAsia" w:hAnsiTheme="majorEastAsia" w:eastAsiaTheme="majorEastAsia" w:cstheme="majorEastAsia"/>
          <w:spacing w:val="-2"/>
          <w:kern w:val="0"/>
          <w:sz w:val="24"/>
          <w:szCs w:val="24"/>
        </w:rPr>
        <w:t>的响应</w:t>
      </w:r>
      <w:r>
        <w:rPr>
          <w:rFonts w:hint="eastAsia" w:asciiTheme="majorEastAsia" w:hAnsiTheme="majorEastAsia" w:eastAsiaTheme="majorEastAsia" w:cstheme="majorEastAsia"/>
          <w:kern w:val="0"/>
          <w:sz w:val="24"/>
          <w:szCs w:val="24"/>
        </w:rPr>
        <w:t>文</w:t>
      </w:r>
      <w:r>
        <w:rPr>
          <w:rFonts w:hint="eastAsia" w:asciiTheme="majorEastAsia" w:hAnsiTheme="majorEastAsia" w:eastAsiaTheme="majorEastAsia" w:cstheme="majorEastAsia"/>
          <w:spacing w:val="-2"/>
          <w:kern w:val="0"/>
          <w:sz w:val="24"/>
          <w:szCs w:val="24"/>
        </w:rPr>
        <w:t>件</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pacing w:val="-2"/>
          <w:kern w:val="0"/>
          <w:sz w:val="24"/>
          <w:szCs w:val="24"/>
        </w:rPr>
        <w:t>电</w:t>
      </w:r>
      <w:r>
        <w:rPr>
          <w:rFonts w:hint="eastAsia" w:asciiTheme="majorEastAsia" w:hAnsiTheme="majorEastAsia" w:eastAsiaTheme="majorEastAsia" w:cstheme="majorEastAsia"/>
          <w:kern w:val="0"/>
          <w:sz w:val="24"/>
          <w:szCs w:val="24"/>
        </w:rPr>
        <w:t>子</w:t>
      </w:r>
      <w:r>
        <w:rPr>
          <w:rFonts w:hint="eastAsia" w:asciiTheme="majorEastAsia" w:hAnsiTheme="majorEastAsia" w:eastAsiaTheme="majorEastAsia" w:cstheme="majorEastAsia"/>
          <w:spacing w:val="-2"/>
          <w:kern w:val="0"/>
          <w:sz w:val="24"/>
          <w:szCs w:val="24"/>
        </w:rPr>
        <w:t>招</w:t>
      </w:r>
      <w:r>
        <w:rPr>
          <w:rFonts w:hint="eastAsia" w:asciiTheme="majorEastAsia" w:hAnsiTheme="majorEastAsia" w:eastAsiaTheme="majorEastAsia" w:cstheme="majorEastAsia"/>
          <w:kern w:val="0"/>
          <w:sz w:val="24"/>
          <w:szCs w:val="24"/>
        </w:rPr>
        <w:t>标</w:t>
      </w:r>
      <w:r>
        <w:rPr>
          <w:rFonts w:hint="eastAsia" w:asciiTheme="majorEastAsia" w:hAnsiTheme="majorEastAsia" w:eastAsiaTheme="majorEastAsia" w:cstheme="majorEastAsia"/>
          <w:spacing w:val="-2"/>
          <w:kern w:val="0"/>
          <w:sz w:val="24"/>
          <w:szCs w:val="24"/>
        </w:rPr>
        <w:t>投</w:t>
      </w:r>
      <w:r>
        <w:rPr>
          <w:rFonts w:hint="eastAsia" w:asciiTheme="majorEastAsia" w:hAnsiTheme="majorEastAsia" w:eastAsiaTheme="majorEastAsia" w:cstheme="majorEastAsia"/>
          <w:kern w:val="0"/>
          <w:sz w:val="24"/>
          <w:szCs w:val="24"/>
        </w:rPr>
        <w:t>标</w:t>
      </w:r>
      <w:r>
        <w:rPr>
          <w:rFonts w:hint="eastAsia" w:asciiTheme="majorEastAsia" w:hAnsiTheme="majorEastAsia" w:eastAsiaTheme="majorEastAsia" w:cstheme="majorEastAsia"/>
          <w:spacing w:val="-2"/>
          <w:kern w:val="0"/>
          <w:sz w:val="24"/>
          <w:szCs w:val="24"/>
        </w:rPr>
        <w:t>交</w:t>
      </w:r>
      <w:r>
        <w:rPr>
          <w:rFonts w:hint="eastAsia" w:asciiTheme="majorEastAsia" w:hAnsiTheme="majorEastAsia" w:eastAsiaTheme="majorEastAsia" w:cstheme="majorEastAsia"/>
          <w:kern w:val="0"/>
          <w:sz w:val="24"/>
          <w:szCs w:val="24"/>
        </w:rPr>
        <w:t>易平</w:t>
      </w:r>
      <w:r>
        <w:rPr>
          <w:rFonts w:hint="eastAsia" w:asciiTheme="majorEastAsia" w:hAnsiTheme="majorEastAsia" w:eastAsiaTheme="majorEastAsia" w:cstheme="majorEastAsia"/>
          <w:spacing w:val="-2"/>
          <w:kern w:val="0"/>
          <w:sz w:val="24"/>
          <w:szCs w:val="24"/>
        </w:rPr>
        <w:t>台</w:t>
      </w:r>
      <w:r>
        <w:rPr>
          <w:rFonts w:hint="eastAsia" w:asciiTheme="majorEastAsia" w:hAnsiTheme="majorEastAsia" w:eastAsiaTheme="majorEastAsia" w:cstheme="majorEastAsia"/>
          <w:kern w:val="0"/>
          <w:sz w:val="24"/>
          <w:szCs w:val="24"/>
        </w:rPr>
        <w:t>将</w:t>
      </w:r>
      <w:r>
        <w:rPr>
          <w:rFonts w:hint="eastAsia" w:asciiTheme="majorEastAsia" w:hAnsiTheme="majorEastAsia" w:eastAsiaTheme="majorEastAsia" w:cstheme="majorEastAsia"/>
          <w:spacing w:val="-2"/>
          <w:kern w:val="0"/>
          <w:sz w:val="24"/>
          <w:szCs w:val="24"/>
        </w:rPr>
        <w:t>予</w:t>
      </w:r>
      <w:r>
        <w:rPr>
          <w:rFonts w:hint="eastAsia" w:asciiTheme="majorEastAsia" w:hAnsiTheme="majorEastAsia" w:eastAsiaTheme="majorEastAsia" w:cstheme="majorEastAsia"/>
          <w:kern w:val="0"/>
          <w:sz w:val="24"/>
          <w:szCs w:val="24"/>
        </w:rPr>
        <w:t>以</w:t>
      </w:r>
      <w:r>
        <w:rPr>
          <w:rFonts w:hint="eastAsia" w:asciiTheme="majorEastAsia" w:hAnsiTheme="majorEastAsia" w:eastAsiaTheme="majorEastAsia" w:cstheme="majorEastAsia"/>
          <w:spacing w:val="-2"/>
          <w:kern w:val="0"/>
          <w:sz w:val="24"/>
          <w:szCs w:val="24"/>
        </w:rPr>
        <w:t>拒</w:t>
      </w:r>
      <w:r>
        <w:rPr>
          <w:rFonts w:hint="eastAsia" w:asciiTheme="majorEastAsia" w:hAnsiTheme="majorEastAsia" w:eastAsiaTheme="majorEastAsia" w:cstheme="majorEastAsia"/>
          <w:kern w:val="0"/>
          <w:sz w:val="24"/>
          <w:szCs w:val="24"/>
        </w:rPr>
        <w:t>收。</w:t>
      </w:r>
    </w:p>
    <w:p w14:paraId="660A45F5">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252" w:name="_Toc26556"/>
      <w:bookmarkStart w:id="253" w:name="_Toc277149389"/>
      <w:bookmarkStart w:id="254" w:name="_Toc454788034"/>
      <w:bookmarkStart w:id="255" w:name="_Toc270604600"/>
      <w:bookmarkStart w:id="256" w:name="_Toc428351654"/>
      <w:bookmarkStart w:id="257" w:name="_Toc27108"/>
      <w:bookmarkStart w:id="258" w:name="_Toc428276594"/>
      <w:bookmarkStart w:id="259" w:name="_Toc29096"/>
      <w:bookmarkStart w:id="260" w:name="_Toc463011279"/>
      <w:bookmarkStart w:id="261" w:name="_Toc462934300"/>
      <w:bookmarkStart w:id="262" w:name="_Toc455678126"/>
      <w:bookmarkStart w:id="263" w:name="_Toc270604827"/>
      <w:bookmarkStart w:id="264" w:name="_Toc269470322"/>
      <w:r>
        <w:rPr>
          <w:rFonts w:hint="eastAsia" w:asciiTheme="majorEastAsia" w:hAnsiTheme="majorEastAsia" w:eastAsiaTheme="majorEastAsia" w:cstheme="majorEastAsia"/>
          <w:b/>
          <w:sz w:val="24"/>
          <w:szCs w:val="24"/>
          <w:lang w:val="en-US" w:eastAsia="zh-CN"/>
        </w:rPr>
        <w:t>4.3</w:t>
      </w:r>
      <w:r>
        <w:rPr>
          <w:rFonts w:hint="eastAsia" w:asciiTheme="majorEastAsia" w:hAnsiTheme="majorEastAsia" w:eastAsiaTheme="majorEastAsia" w:cstheme="majorEastAsia"/>
          <w:b/>
          <w:sz w:val="24"/>
          <w:szCs w:val="24"/>
        </w:rPr>
        <w:t>响应文件的补充、修改与撤回</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48544312">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4.3.1</w:t>
      </w:r>
      <w:r>
        <w:rPr>
          <w:rFonts w:hint="eastAsia" w:asciiTheme="majorEastAsia" w:hAnsiTheme="majorEastAsia" w:eastAsiaTheme="majorEastAsia" w:cstheme="majorEastAsia"/>
          <w:sz w:val="24"/>
          <w:szCs w:val="24"/>
        </w:rPr>
        <w:t>在本章第4.2.1项规定的磋商截止时间前，供应商可以补充、修改或撤回已递交的响应文件，但应以书面形式通知采购人、采购代理机构。</w:t>
      </w:r>
    </w:p>
    <w:p w14:paraId="5E9EAC72">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4.3.2</w:t>
      </w:r>
      <w:r>
        <w:rPr>
          <w:rFonts w:hint="eastAsia" w:asciiTheme="majorEastAsia" w:hAnsiTheme="majorEastAsia" w:eastAsiaTheme="majorEastAsia" w:cstheme="majorEastAsia"/>
          <w:sz w:val="24"/>
          <w:szCs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55975269">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bCs/>
          <w:sz w:val="24"/>
          <w:szCs w:val="24"/>
        </w:rPr>
      </w:pPr>
      <w:bookmarkStart w:id="265" w:name="_Toc21872"/>
      <w:bookmarkStart w:id="266" w:name="_Toc11623"/>
      <w:bookmarkStart w:id="267" w:name="_Toc27259"/>
      <w:bookmarkStart w:id="268" w:name="_Toc29138"/>
      <w:bookmarkStart w:id="269" w:name="_Toc16995"/>
      <w:r>
        <w:rPr>
          <w:rFonts w:hint="eastAsia" w:asciiTheme="majorEastAsia" w:hAnsiTheme="majorEastAsia" w:eastAsiaTheme="majorEastAsia" w:cstheme="majorEastAsia"/>
          <w:b/>
          <w:bCs/>
          <w:sz w:val="24"/>
          <w:szCs w:val="24"/>
          <w:lang w:val="en-US" w:eastAsia="zh-CN"/>
        </w:rPr>
        <w:t>5.</w:t>
      </w:r>
      <w:r>
        <w:rPr>
          <w:rFonts w:hint="eastAsia" w:asciiTheme="majorEastAsia" w:hAnsiTheme="majorEastAsia" w:eastAsiaTheme="majorEastAsia" w:cstheme="majorEastAsia"/>
          <w:b/>
          <w:bCs/>
          <w:sz w:val="24"/>
          <w:szCs w:val="24"/>
        </w:rPr>
        <w:t>磋商、资格审查与评标</w:t>
      </w:r>
      <w:bookmarkEnd w:id="265"/>
      <w:bookmarkEnd w:id="266"/>
      <w:bookmarkEnd w:id="267"/>
      <w:bookmarkEnd w:id="268"/>
      <w:bookmarkEnd w:id="269"/>
    </w:p>
    <w:p w14:paraId="6B1D80C1">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bCs/>
          <w:kern w:val="0"/>
          <w:sz w:val="24"/>
          <w:szCs w:val="24"/>
          <w:lang w:val="en-US" w:eastAsia="zh-CN"/>
        </w:rPr>
        <w:t>5.1</w:t>
      </w:r>
      <w:r>
        <w:rPr>
          <w:rFonts w:hint="eastAsia" w:asciiTheme="majorEastAsia" w:hAnsiTheme="majorEastAsia" w:eastAsiaTheme="majorEastAsia" w:cstheme="majorEastAsia"/>
          <w:b/>
          <w:bCs/>
          <w:kern w:val="0"/>
          <w:sz w:val="24"/>
          <w:szCs w:val="24"/>
        </w:rPr>
        <w:t>竞争性磋商时间和地点</w:t>
      </w:r>
    </w:p>
    <w:p w14:paraId="5A533CE3">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5.1.1采购人在本章第4.2.1项规定的响应文件递交截止时间（磋商时间）和供应商须知前附表规定的地点进行竞争性磋商。供应商不足3家的，不得开标。开标由采购代理机构主持。</w:t>
      </w:r>
    </w:p>
    <w:p w14:paraId="669FBD3C">
      <w:pPr>
        <w:spacing w:line="500" w:lineRule="exact"/>
        <w:ind w:left="420"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注：本项目为不见面开标项目，开标当日，供应商无需到开标现场</w:t>
      </w:r>
    </w:p>
    <w:p w14:paraId="19690ADE">
      <w:pPr>
        <w:spacing w:line="5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参加开标会议，供应商应当在投标截止时间前，登陆不见面开标大厅选择登陆三门峡市公共资源电子招投标系统进行登陆（网址为</w:t>
      </w:r>
    </w:p>
    <w:p w14:paraId="5BD7C594">
      <w:pPr>
        <w:spacing w:line="500" w:lineRule="exact"/>
        <w:rPr>
          <w:rFonts w:asciiTheme="majorEastAsia" w:hAnsiTheme="majorEastAsia" w:eastAsiaTheme="majorEastAsia" w:cstheme="majorEastAsia"/>
          <w:sz w:val="24"/>
          <w:szCs w:val="24"/>
        </w:rPr>
      </w:pPr>
      <w:r>
        <w:fldChar w:fldCharType="begin"/>
      </w:r>
      <w:r>
        <w:instrText xml:space="preserve"> HYPERLINK "http://120.194.249.36:10094/BidOpening/bidopeninghallaction/hall/login）,在线准时参加开标活动并进行响应文件解密等。每位" </w:instrText>
      </w:r>
      <w:r>
        <w:fldChar w:fldCharType="separate"/>
      </w:r>
      <w:r>
        <w:rPr>
          <w:rStyle w:val="33"/>
          <w:rFonts w:hint="eastAsia" w:asciiTheme="majorEastAsia" w:hAnsiTheme="majorEastAsia" w:eastAsiaTheme="majorEastAsia" w:cstheme="majorEastAsia"/>
          <w:sz w:val="24"/>
          <w:szCs w:val="24"/>
        </w:rPr>
        <w:t>http://120.194.249.36:10094/BidOpening/bidopeninghallaction/hall/login）,在线准时参加开标活动并进行响应文件解密等。每位</w:t>
      </w:r>
      <w:r>
        <w:rPr>
          <w:rStyle w:val="33"/>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供应商的解密时间为开标时间起30分钟内完成。因供应商原因未能解密、解密失败或解密超时的将被拒绝。</w:t>
      </w:r>
    </w:p>
    <w:p w14:paraId="1F122F69">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5.1.2磋商程序：</w:t>
      </w:r>
    </w:p>
    <w:p w14:paraId="77B569D3">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宣布磋商纪律；</w:t>
      </w:r>
    </w:p>
    <w:p w14:paraId="2A24D385">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供应商通过电子招标投标交易服务平台对已递交的电子响应文件进行解密；</w:t>
      </w:r>
    </w:p>
    <w:p w14:paraId="58FB7BDF">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电子唱标（采购人将对磋商过程进行记录，以存档备查）</w:t>
      </w:r>
    </w:p>
    <w:p w14:paraId="652353FD">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磋商结束。</w:t>
      </w:r>
    </w:p>
    <w:p w14:paraId="47FCDC5F">
      <w:pPr>
        <w:keepNext/>
        <w:keepLines/>
        <w:wordWrap w:val="0"/>
        <w:topLinePunct/>
        <w:spacing w:line="500" w:lineRule="exact"/>
        <w:jc w:val="left"/>
        <w:outlineLvl w:val="2"/>
        <w:rPr>
          <w:rFonts w:asciiTheme="majorEastAsia" w:hAnsiTheme="majorEastAsia" w:eastAsiaTheme="majorEastAsia" w:cstheme="majorEastAsia"/>
          <w:b/>
          <w:sz w:val="24"/>
          <w:szCs w:val="24"/>
        </w:rPr>
      </w:pPr>
      <w:bookmarkStart w:id="270" w:name="_Toc24277"/>
      <w:bookmarkStart w:id="271" w:name="_Toc7616"/>
      <w:bookmarkStart w:id="272" w:name="_Toc11192"/>
      <w:bookmarkStart w:id="273" w:name="_Toc15735"/>
      <w:bookmarkStart w:id="274" w:name="_Toc29315"/>
      <w:bookmarkStart w:id="275" w:name="_Toc32207"/>
      <w:bookmarkStart w:id="276" w:name="_Toc3913"/>
      <w:bookmarkStart w:id="277" w:name="_Toc18862"/>
      <w:bookmarkStart w:id="278" w:name="_Toc13150068"/>
      <w:bookmarkStart w:id="279" w:name="_Toc22131"/>
      <w:bookmarkStart w:id="280" w:name="_Toc5363"/>
      <w:bookmarkStart w:id="281" w:name="_Toc5716"/>
      <w:bookmarkStart w:id="282" w:name="_Toc29637"/>
      <w:bookmarkStart w:id="283" w:name="_Toc29955"/>
      <w:bookmarkStart w:id="284" w:name="_Toc1972"/>
      <w:bookmarkStart w:id="285" w:name="_Toc454788039"/>
      <w:bookmarkStart w:id="286" w:name="_Toc90712538"/>
      <w:bookmarkStart w:id="287" w:name="_Toc109537522"/>
      <w:bookmarkStart w:id="288" w:name="_Toc19623"/>
      <w:bookmarkStart w:id="289" w:name="_Toc90713357"/>
      <w:bookmarkStart w:id="290" w:name="_Toc109550798"/>
      <w:bookmarkStart w:id="291" w:name="_Toc462934305"/>
      <w:bookmarkStart w:id="292" w:name="_Toc26984"/>
      <w:bookmarkStart w:id="293" w:name="_Toc422126473"/>
      <w:bookmarkStart w:id="294" w:name="_Toc463011284"/>
      <w:bookmarkStart w:id="295" w:name="_Toc21137"/>
      <w:bookmarkStart w:id="296" w:name="_Toc428351659"/>
      <w:bookmarkStart w:id="297" w:name="_Toc455678131"/>
      <w:bookmarkStart w:id="298" w:name="_Toc428276599"/>
      <w:bookmarkStart w:id="299" w:name="_Toc269470330"/>
      <w:r>
        <w:rPr>
          <w:rFonts w:hint="eastAsia" w:asciiTheme="majorEastAsia" w:hAnsiTheme="majorEastAsia" w:eastAsiaTheme="majorEastAsia" w:cstheme="majorEastAsia"/>
          <w:b/>
          <w:sz w:val="24"/>
          <w:szCs w:val="24"/>
        </w:rPr>
        <w:t>5.2资格审查</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DC9AAA3">
      <w:pPr>
        <w:numPr>
          <w:ilvl w:val="2"/>
          <w:numId w:val="5"/>
        </w:numPr>
        <w:wordWrap w:val="0"/>
        <w:topLinePunct/>
        <w:spacing w:line="500" w:lineRule="exact"/>
        <w:ind w:firstLine="56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开标结束后，磋商小组依法对供应商的资格进行审查。</w:t>
      </w:r>
      <w:bookmarkStart w:id="300" w:name="_Toc10528"/>
      <w:bookmarkStart w:id="301" w:name="_Toc25889"/>
      <w:bookmarkStart w:id="302" w:name="_Toc26746"/>
      <w:bookmarkStart w:id="303" w:name="_Toc4884"/>
      <w:bookmarkStart w:id="304" w:name="_Toc32305"/>
      <w:bookmarkStart w:id="305" w:name="_Toc13150069"/>
      <w:bookmarkStart w:id="306" w:name="_Toc16143"/>
      <w:bookmarkStart w:id="307" w:name="_Toc2042"/>
      <w:bookmarkStart w:id="308" w:name="_Toc611"/>
      <w:bookmarkStart w:id="309" w:name="_Toc16180"/>
      <w:bookmarkStart w:id="310" w:name="_Toc19513"/>
      <w:bookmarkStart w:id="311" w:name="_Toc21027"/>
      <w:bookmarkStart w:id="312" w:name="_Toc12598"/>
      <w:bookmarkStart w:id="313" w:name="_Toc31474"/>
      <w:bookmarkStart w:id="314" w:name="_Toc22182"/>
    </w:p>
    <w:p w14:paraId="4A09C1F2">
      <w:pPr>
        <w:keepNext/>
        <w:keepLines/>
        <w:wordWrap w:val="0"/>
        <w:topLinePunct/>
        <w:spacing w:line="500" w:lineRule="exact"/>
        <w:jc w:val="left"/>
        <w:outlineLvl w:val="2"/>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5.3评标工作</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25F8E82">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5.3.1磋商小组</w:t>
      </w:r>
    </w:p>
    <w:p w14:paraId="52DB180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标工作由采购人依法组建的磋商小组负责，对所有供应商的响应文件进行审评，并按评标办法规定的方式推荐出供应商须知前附表中载明数量的成交候选人。磋商小组由采购人代表和评审专家共3人以上单数组成，其中评审专家人数不得少于磋商小组成员总数的2/3。</w:t>
      </w:r>
    </w:p>
    <w:p w14:paraId="613F4360">
      <w:pPr>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磋商小组对本单位的采购项目只能作为采购人代表参与评标，对技术复杂、专业性强的采购项目，通过随机方式难以确定合适评审专家的情形除外。</w:t>
      </w:r>
    </w:p>
    <w:p w14:paraId="1AE1F3F6">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采购代理机构工作人员不得参加由本机构代理的政府采购项目的评标。</w:t>
      </w:r>
    </w:p>
    <w:p w14:paraId="2F72F6ED">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磋商小组成员名单在磋商结果公告前应当保密。</w:t>
      </w:r>
    </w:p>
    <w:p w14:paraId="0A047A10">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5.3.2磋商小组及其成员不得有下列行为：</w:t>
      </w:r>
    </w:p>
    <w:p w14:paraId="53E2E3D1">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（1）确定参与磋商至磋商结束前私自接触供应商；</w:t>
      </w:r>
    </w:p>
    <w:p w14:paraId="7E2E6AD5">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接受供应商提出的与响应文件不一致的澄清或者说明（对于响应文件中含义不明确、同类问题表述不一致或者有明显文字和计算错误的内容，磋商小组以书面形式要求供应商作出必要的澄清、说明或者补正的除外）；</w:t>
      </w:r>
    </w:p>
    <w:p w14:paraId="3C45BC4A">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（3）违反评标纪律发表倾向性意见或者征询采购人的倾向性意见；</w:t>
      </w:r>
    </w:p>
    <w:p w14:paraId="2BEF2631">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（4）对需要专业判断的主观评审因素协商评分；</w:t>
      </w:r>
    </w:p>
    <w:p w14:paraId="6C2E370C">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（5）在磋商过程中擅离职守，影响磋商程序正常进行的；</w:t>
      </w:r>
    </w:p>
    <w:p w14:paraId="02569F8C">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（6）记录、复制或者带走任何磋商资料；</w:t>
      </w:r>
    </w:p>
    <w:p w14:paraId="516AF97C">
      <w:pPr>
        <w:spacing w:line="500" w:lineRule="exact"/>
        <w:ind w:left="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（7）其他不遵守磋商纪律的行为。</w:t>
      </w:r>
    </w:p>
    <w:p w14:paraId="4C54228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磋商小组成员有本章第5.3.2项第（1）至（5）目行为之一的，其评审意见无效，并不得获取评审劳务报酬和报销异地评审差旅费。</w:t>
      </w:r>
    </w:p>
    <w:p w14:paraId="5DDF9E8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5.3.3磋商小组成员对需要共同认定的事项存在争议的，应当按照少数服从多数的原则作出结论。持不同意见的磋商小组成员应当在评标报告上签署不同意见及理由，否则视为同意评标报告。</w:t>
      </w:r>
    </w:p>
    <w:p w14:paraId="54D813F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5.3.4磋商方法</w:t>
      </w:r>
    </w:p>
    <w:p w14:paraId="7EE4683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磋商小组按照第</w:t>
      </w:r>
      <w:r>
        <w:rPr>
          <w:rFonts w:hint="eastAsia" w:asciiTheme="majorEastAsia" w:hAnsiTheme="majorEastAsia" w:eastAsiaTheme="majorEastAsia" w:cstheme="majorEastAsia"/>
          <w:sz w:val="24"/>
          <w:szCs w:val="24"/>
          <w:lang w:eastAsia="zh-CN"/>
        </w:rPr>
        <w:t>三</w:t>
      </w:r>
      <w:r>
        <w:rPr>
          <w:rFonts w:hint="eastAsia" w:asciiTheme="majorEastAsia" w:hAnsiTheme="majorEastAsia" w:eastAsiaTheme="majorEastAsia" w:cstheme="majorEastAsia"/>
          <w:sz w:val="24"/>
          <w:szCs w:val="24"/>
        </w:rPr>
        <w:t>章评审办法规定的方法、评审因素、标准和程序对响应文件进行评审。第</w:t>
      </w:r>
      <w:r>
        <w:rPr>
          <w:rFonts w:hint="eastAsia" w:asciiTheme="majorEastAsia" w:hAnsiTheme="majorEastAsia" w:eastAsiaTheme="majorEastAsia" w:cstheme="majorEastAsia"/>
          <w:sz w:val="24"/>
          <w:szCs w:val="24"/>
          <w:lang w:val="en-US" w:eastAsia="zh-CN"/>
        </w:rPr>
        <w:t>三</w:t>
      </w:r>
      <w:r>
        <w:rPr>
          <w:rFonts w:hint="eastAsia" w:asciiTheme="majorEastAsia" w:hAnsiTheme="majorEastAsia" w:eastAsiaTheme="majorEastAsia" w:cstheme="majorEastAsia"/>
          <w:sz w:val="24"/>
          <w:szCs w:val="24"/>
        </w:rPr>
        <w:t>章评审办法没有规定的方法、评审因素和标准，不作为评标依据。</w:t>
      </w:r>
    </w:p>
    <w:p w14:paraId="1030047C">
      <w:pPr>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评标完成后，磋商小组应当向采购人提交书面评标报告和成交候选人名单。磋商小组推荐成交候选人的人数见供应商须知前附表。</w:t>
      </w:r>
    </w:p>
    <w:p w14:paraId="0E84FF5C">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bCs/>
          <w:sz w:val="24"/>
          <w:szCs w:val="24"/>
        </w:rPr>
      </w:pPr>
      <w:bookmarkStart w:id="315" w:name="_Toc886"/>
      <w:bookmarkStart w:id="316" w:name="_Toc10927"/>
      <w:bookmarkStart w:id="317" w:name="_Toc13138"/>
      <w:bookmarkStart w:id="318" w:name="_Toc25530"/>
      <w:bookmarkStart w:id="319" w:name="_Toc13150070"/>
      <w:bookmarkStart w:id="320" w:name="_Toc608"/>
      <w:bookmarkStart w:id="321" w:name="_Toc28834"/>
      <w:bookmarkStart w:id="322" w:name="_Toc9518"/>
      <w:bookmarkStart w:id="323" w:name="_Toc27962"/>
      <w:bookmarkStart w:id="324" w:name="_Toc12609"/>
      <w:bookmarkStart w:id="325" w:name="_Toc18846"/>
      <w:bookmarkStart w:id="326" w:name="_Toc25755"/>
      <w:bookmarkStart w:id="327" w:name="_Toc5813"/>
      <w:bookmarkStart w:id="328" w:name="_Toc12131"/>
      <w:bookmarkStart w:id="329" w:name="_Toc7396"/>
      <w:r>
        <w:rPr>
          <w:rFonts w:hint="eastAsia" w:asciiTheme="majorEastAsia" w:hAnsiTheme="majorEastAsia" w:eastAsiaTheme="majorEastAsia" w:cstheme="majorEastAsia"/>
          <w:b/>
          <w:bCs/>
          <w:sz w:val="24"/>
          <w:szCs w:val="24"/>
          <w:lang w:val="en-US" w:eastAsia="zh-CN"/>
        </w:rPr>
        <w:t>5.4</w:t>
      </w:r>
      <w:r>
        <w:rPr>
          <w:rFonts w:hint="eastAsia" w:asciiTheme="majorEastAsia" w:hAnsiTheme="majorEastAsia" w:eastAsiaTheme="majorEastAsia" w:cstheme="majorEastAsia"/>
          <w:b/>
          <w:bCs/>
          <w:sz w:val="24"/>
          <w:szCs w:val="24"/>
        </w:rPr>
        <w:t>保密及其它注意事项</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75F859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5.4.1评标是采购工作的重要环节，评标工作在磋商小组内独立进行。</w:t>
      </w:r>
    </w:p>
    <w:p w14:paraId="66B26EE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5.4.2磋商小组将遵照规定的评标方法，公正、平等地对待所有供应商。</w:t>
      </w:r>
    </w:p>
    <w:p w14:paraId="6FBAEFE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5.4.3在开标、评标期间，供应商不得向评委询问评标情况，不得进行旨在影响评标结果的活动。否则其投标可能被拒绝。</w:t>
      </w:r>
    </w:p>
    <w:p w14:paraId="7AEE621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5.4.4为保证评标的公正性，开标后直至授予供应商合同，评委不得与供应商私下交换意见。</w:t>
      </w:r>
    </w:p>
    <w:p w14:paraId="5F8E195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5.4.5在评标工作结束后，凡与评标情况有接触的任何人不得擅自将评标情况扩散出评标人员之外。</w:t>
      </w:r>
    </w:p>
    <w:p w14:paraId="037A57D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5.4.6评标结束后，响应文件概不退还。</w:t>
      </w: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14:paraId="737355B7">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330" w:name="_Toc12985"/>
      <w:bookmarkStart w:id="331" w:name="_Toc455678133"/>
      <w:bookmarkStart w:id="332" w:name="_Toc31756"/>
      <w:bookmarkStart w:id="333" w:name="_Toc428276600"/>
      <w:bookmarkStart w:id="334" w:name="_Toc463011286"/>
      <w:bookmarkStart w:id="335" w:name="_Toc454788040"/>
      <w:bookmarkStart w:id="336" w:name="_Toc7308"/>
      <w:bookmarkStart w:id="337" w:name="_Toc462934307"/>
      <w:bookmarkStart w:id="338" w:name="_Toc428351660"/>
      <w:r>
        <w:rPr>
          <w:rFonts w:hint="eastAsia" w:asciiTheme="majorEastAsia" w:hAnsiTheme="majorEastAsia" w:eastAsiaTheme="majorEastAsia" w:cstheme="majorEastAsia"/>
          <w:b/>
          <w:sz w:val="24"/>
          <w:szCs w:val="24"/>
          <w:lang w:val="en-US" w:eastAsia="zh-CN"/>
        </w:rPr>
        <w:t>5.5</w:t>
      </w:r>
      <w:r>
        <w:rPr>
          <w:rFonts w:hint="eastAsia" w:asciiTheme="majorEastAsia" w:hAnsiTheme="majorEastAsia" w:eastAsiaTheme="majorEastAsia" w:cstheme="majorEastAsia"/>
          <w:b/>
          <w:sz w:val="24"/>
          <w:szCs w:val="24"/>
        </w:rPr>
        <w:t>确定成交人</w:t>
      </w:r>
      <w:bookmarkEnd w:id="330"/>
      <w:bookmarkEnd w:id="331"/>
      <w:bookmarkEnd w:id="332"/>
      <w:bookmarkEnd w:id="333"/>
      <w:bookmarkEnd w:id="334"/>
      <w:bookmarkEnd w:id="335"/>
      <w:bookmarkEnd w:id="336"/>
      <w:bookmarkEnd w:id="337"/>
      <w:bookmarkEnd w:id="338"/>
    </w:p>
    <w:p w14:paraId="403D0EC2">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5.5.1</w:t>
      </w:r>
      <w:r>
        <w:rPr>
          <w:rFonts w:hint="eastAsia" w:asciiTheme="majorEastAsia" w:hAnsiTheme="majorEastAsia" w:eastAsiaTheme="majorEastAsia" w:cstheme="majorEastAsia"/>
          <w:sz w:val="24"/>
          <w:szCs w:val="24"/>
        </w:rPr>
        <w:t>在政府采购项目评审结束当日完成评标报告的报送、中标成交供应商的确定、中标公告的发布、中标成交通知书发出。</w:t>
      </w:r>
    </w:p>
    <w:p w14:paraId="09EBDBD3">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5.5.2</w:t>
      </w:r>
      <w:r>
        <w:rPr>
          <w:rFonts w:hint="eastAsia" w:asciiTheme="majorEastAsia" w:hAnsiTheme="majorEastAsia" w:eastAsiaTheme="majorEastAsia" w:cstheme="majorEastAsia"/>
          <w:sz w:val="24"/>
          <w:szCs w:val="24"/>
        </w:rPr>
        <w:t>采购人也可以书面授权磋商小组直接确定成交人。磋商小组直接确定成交人的应在竞争性磋商文件中写明。</w:t>
      </w:r>
    </w:p>
    <w:p w14:paraId="0C7445BB">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339" w:name="_Toc428276601"/>
      <w:bookmarkStart w:id="340" w:name="_Toc454788041"/>
      <w:bookmarkStart w:id="341" w:name="_Toc428351661"/>
      <w:bookmarkStart w:id="342" w:name="_Toc422126474"/>
      <w:bookmarkStart w:id="343" w:name="_Toc455678134"/>
      <w:bookmarkStart w:id="344" w:name="_Toc2677"/>
      <w:bookmarkStart w:id="345" w:name="_Toc463011287"/>
      <w:bookmarkStart w:id="346" w:name="_Toc15190"/>
      <w:bookmarkStart w:id="347" w:name="_Toc16692"/>
      <w:bookmarkStart w:id="348" w:name="_Toc462934308"/>
      <w:r>
        <w:rPr>
          <w:rFonts w:hint="eastAsia" w:asciiTheme="majorEastAsia" w:hAnsiTheme="majorEastAsia" w:eastAsiaTheme="majorEastAsia" w:cstheme="majorEastAsia"/>
          <w:b/>
          <w:sz w:val="24"/>
          <w:szCs w:val="24"/>
          <w:lang w:val="en-US" w:eastAsia="zh-CN"/>
        </w:rPr>
        <w:t>5.6</w:t>
      </w:r>
      <w:r>
        <w:rPr>
          <w:rFonts w:hint="eastAsia" w:asciiTheme="majorEastAsia" w:hAnsiTheme="majorEastAsia" w:eastAsiaTheme="majorEastAsia" w:cstheme="majorEastAsia"/>
          <w:b/>
          <w:sz w:val="24"/>
          <w:szCs w:val="24"/>
        </w:rPr>
        <w:t>成交结果</w:t>
      </w:r>
      <w:bookmarkEnd w:id="339"/>
      <w:bookmarkEnd w:id="340"/>
      <w:bookmarkEnd w:id="341"/>
      <w:bookmarkEnd w:id="342"/>
      <w:bookmarkEnd w:id="343"/>
      <w:r>
        <w:rPr>
          <w:rFonts w:hint="eastAsia" w:asciiTheme="majorEastAsia" w:hAnsiTheme="majorEastAsia" w:eastAsiaTheme="majorEastAsia" w:cstheme="majorEastAsia"/>
          <w:b/>
          <w:sz w:val="24"/>
          <w:szCs w:val="24"/>
        </w:rPr>
        <w:t>公告</w:t>
      </w:r>
      <w:bookmarkEnd w:id="344"/>
      <w:bookmarkEnd w:id="345"/>
      <w:bookmarkEnd w:id="346"/>
      <w:bookmarkEnd w:id="347"/>
      <w:bookmarkEnd w:id="348"/>
    </w:p>
    <w:p w14:paraId="4FA3E41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5.6.1</w:t>
      </w:r>
      <w:r>
        <w:rPr>
          <w:rFonts w:hint="eastAsia" w:asciiTheme="majorEastAsia" w:hAnsiTheme="majorEastAsia" w:eastAsiaTheme="majorEastAsia" w:cstheme="majorEastAsia"/>
          <w:sz w:val="24"/>
          <w:szCs w:val="24"/>
        </w:rPr>
        <w:t>采购人或者采购代理机构自成交人确定之日，在公告发布的同一媒介上公告成交结果，同时向成交人发出成交通知书，并将竞争性磋商文件随成交结果同时公告，公告期限1个工作日。</w:t>
      </w:r>
    </w:p>
    <w:p w14:paraId="1EDC9169">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349" w:name="_Toc270604607"/>
      <w:r>
        <w:rPr>
          <w:rFonts w:hint="eastAsia" w:asciiTheme="majorEastAsia" w:hAnsiTheme="majorEastAsia" w:eastAsiaTheme="majorEastAsia" w:cstheme="majorEastAsia"/>
          <w:sz w:val="24"/>
          <w:szCs w:val="24"/>
          <w:lang w:val="en-US" w:eastAsia="zh-CN"/>
        </w:rPr>
        <w:t>5.6.2</w:t>
      </w:r>
      <w:r>
        <w:rPr>
          <w:rFonts w:hint="eastAsia" w:asciiTheme="majorEastAsia" w:hAnsiTheme="majorEastAsia" w:eastAsiaTheme="majorEastAsia" w:cstheme="majorEastAsia"/>
          <w:sz w:val="24"/>
          <w:szCs w:val="24"/>
        </w:rPr>
        <w:t>成交结果公告内容包括</w:t>
      </w:r>
      <w:bookmarkEnd w:id="299"/>
      <w:bookmarkEnd w:id="349"/>
      <w:r>
        <w:rPr>
          <w:rFonts w:hint="eastAsia" w:asciiTheme="majorEastAsia" w:hAnsiTheme="majorEastAsia" w:eastAsiaTheme="majorEastAsia" w:cstheme="majorEastAsia"/>
          <w:sz w:val="24"/>
          <w:szCs w:val="24"/>
        </w:rPr>
        <w:t>采购人和采购代理机构的名称、地址和联系方式、项目名称和项目编号、成交人名称、地址和成交金额、主要成交标的的名称、单价、工期、</w:t>
      </w:r>
      <w:r>
        <w:rPr>
          <w:rFonts w:hint="eastAsia" w:asciiTheme="majorEastAsia" w:hAnsiTheme="majorEastAsia" w:eastAsiaTheme="majorEastAsia" w:cstheme="majorEastAsia"/>
          <w:sz w:val="24"/>
          <w:szCs w:val="24"/>
          <w:lang w:eastAsia="zh-CN"/>
        </w:rPr>
        <w:t>质量要求</w:t>
      </w:r>
      <w:r>
        <w:rPr>
          <w:rFonts w:hint="eastAsia" w:asciiTheme="majorEastAsia" w:hAnsiTheme="majorEastAsia" w:eastAsiaTheme="majorEastAsia" w:cstheme="majorEastAsia"/>
          <w:sz w:val="24"/>
          <w:szCs w:val="24"/>
        </w:rPr>
        <w:t>、磋商小组成员名单。</w:t>
      </w:r>
    </w:p>
    <w:p w14:paraId="1B79F166">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350" w:name="_Toc463011289"/>
      <w:bookmarkStart w:id="351" w:name="_Toc455678136"/>
      <w:bookmarkStart w:id="352" w:name="_Toc462934310"/>
      <w:bookmarkStart w:id="353" w:name="_Toc11152"/>
      <w:bookmarkStart w:id="354" w:name="_Toc4900"/>
      <w:bookmarkStart w:id="355" w:name="_Toc18026"/>
      <w:r>
        <w:rPr>
          <w:rFonts w:hint="eastAsia" w:asciiTheme="majorEastAsia" w:hAnsiTheme="majorEastAsia" w:eastAsiaTheme="majorEastAsia" w:cstheme="majorEastAsia"/>
          <w:b/>
          <w:sz w:val="24"/>
          <w:szCs w:val="24"/>
          <w:lang w:val="en-US" w:eastAsia="zh-CN"/>
        </w:rPr>
        <w:t>5.7</w:t>
      </w:r>
      <w:r>
        <w:rPr>
          <w:rFonts w:hint="eastAsia" w:asciiTheme="majorEastAsia" w:hAnsiTheme="majorEastAsia" w:eastAsiaTheme="majorEastAsia" w:cstheme="majorEastAsia"/>
          <w:b/>
          <w:sz w:val="24"/>
          <w:szCs w:val="24"/>
        </w:rPr>
        <w:t>成交通知书</w:t>
      </w:r>
      <w:bookmarkEnd w:id="350"/>
      <w:bookmarkEnd w:id="351"/>
      <w:bookmarkEnd w:id="352"/>
      <w:bookmarkEnd w:id="353"/>
      <w:bookmarkEnd w:id="354"/>
      <w:bookmarkEnd w:id="355"/>
      <w:bookmarkStart w:id="356" w:name="_Toc11018"/>
      <w:bookmarkStart w:id="357" w:name="_Toc23963"/>
      <w:bookmarkStart w:id="358" w:name="_Toc463011290"/>
      <w:bookmarkStart w:id="359" w:name="_Toc462934311"/>
      <w:bookmarkStart w:id="360" w:name="_Toc455678137"/>
      <w:bookmarkStart w:id="361" w:name="_Toc269470335"/>
    </w:p>
    <w:bookmarkEnd w:id="356"/>
    <w:bookmarkEnd w:id="357"/>
    <w:bookmarkEnd w:id="358"/>
    <w:bookmarkEnd w:id="359"/>
    <w:bookmarkEnd w:id="360"/>
    <w:p w14:paraId="60E26A2B">
      <w:pPr>
        <w:spacing w:line="500" w:lineRule="exact"/>
        <w:ind w:firstLine="480" w:firstLineChars="200"/>
        <w:rPr>
          <w:rFonts w:hint="eastAsia" w:asciiTheme="majorEastAsia" w:hAnsiTheme="majorEastAsia" w:eastAsiaTheme="majorEastAsia" w:cstheme="majorEastAsia"/>
          <w:sz w:val="24"/>
          <w:szCs w:val="24"/>
        </w:rPr>
      </w:pPr>
      <w:bookmarkStart w:id="362" w:name="_Toc463011292"/>
      <w:bookmarkStart w:id="363" w:name="_Toc10798"/>
      <w:bookmarkStart w:id="364" w:name="_Toc720"/>
      <w:bookmarkStart w:id="365" w:name="_Toc455678139"/>
      <w:bookmarkStart w:id="366" w:name="_Toc462934313"/>
      <w:r>
        <w:rPr>
          <w:rFonts w:hint="eastAsia" w:asciiTheme="majorEastAsia" w:hAnsiTheme="majorEastAsia" w:eastAsiaTheme="majorEastAsia" w:cstheme="majorEastAsia"/>
          <w:sz w:val="24"/>
          <w:szCs w:val="24"/>
        </w:rPr>
        <w:t>在公告成交结果的同时，采购人或者采购代理机构向成交人发出成交通知书，成交通知书将作为进行合同磋商和签订合同的依据。</w:t>
      </w:r>
    </w:p>
    <w:p w14:paraId="190D8C9D">
      <w:pPr>
        <w:keepNext/>
        <w:keepLines/>
        <w:numPr>
          <w:ilvl w:val="0"/>
          <w:numId w:val="0"/>
        </w:numPr>
        <w:wordWrap w:val="0"/>
        <w:topLinePunct/>
        <w:spacing w:line="500" w:lineRule="exact"/>
        <w:ind w:leftChars="0"/>
        <w:jc w:val="left"/>
        <w:outlineLvl w:val="2"/>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5.8重新招标</w:t>
      </w:r>
    </w:p>
    <w:p w14:paraId="00324D44">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5.8.1</w:t>
      </w:r>
      <w:r>
        <w:rPr>
          <w:rFonts w:hint="eastAsia" w:asciiTheme="majorEastAsia" w:hAnsiTheme="majorEastAsia" w:eastAsiaTheme="majorEastAsia" w:cstheme="majorEastAsia"/>
          <w:sz w:val="24"/>
          <w:szCs w:val="24"/>
        </w:rPr>
        <w:t xml:space="preserve">出现下列情形之一的，将终止竞争性磋商采购活动，发布项目终止公告并说明原因，重新开展采购活动： </w:t>
      </w:r>
    </w:p>
    <w:p w14:paraId="17D44123">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5.8.2</w:t>
      </w:r>
      <w:r>
        <w:rPr>
          <w:rFonts w:hint="eastAsia" w:asciiTheme="majorEastAsia" w:hAnsiTheme="majorEastAsia" w:eastAsiaTheme="majorEastAsia" w:cstheme="majorEastAsia"/>
          <w:sz w:val="24"/>
          <w:szCs w:val="24"/>
        </w:rPr>
        <w:t xml:space="preserve">不符合法律、法规和竞争性磋商文件中规定的其他实质性要求的； </w:t>
      </w:r>
    </w:p>
    <w:p w14:paraId="28BE9DD8">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5.8.3</w:t>
      </w:r>
      <w:r>
        <w:rPr>
          <w:rFonts w:hint="eastAsia" w:asciiTheme="majorEastAsia" w:hAnsiTheme="majorEastAsia" w:eastAsiaTheme="majorEastAsia" w:cstheme="majorEastAsia"/>
          <w:sz w:val="24"/>
          <w:szCs w:val="24"/>
        </w:rPr>
        <w:t xml:space="preserve">其他法律、法规及本竞争性磋商文件规定的属响应无效的情形。终止竞争性磋商采购活动的条款； </w:t>
      </w:r>
    </w:p>
    <w:p w14:paraId="576A6547">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5.8.4</w:t>
      </w:r>
      <w:r>
        <w:rPr>
          <w:rFonts w:hint="eastAsia" w:asciiTheme="majorEastAsia" w:hAnsiTheme="majorEastAsia" w:eastAsiaTheme="majorEastAsia" w:cstheme="majorEastAsia"/>
          <w:sz w:val="24"/>
          <w:szCs w:val="24"/>
        </w:rPr>
        <w:t xml:space="preserve">因情况变化，不再符合规定的竞争性磋商采购方式适用情形的；出现影响采购公正的违法、违规行为的； </w:t>
      </w:r>
    </w:p>
    <w:p w14:paraId="1FEEF555">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5.8.5</w:t>
      </w:r>
      <w:r>
        <w:rPr>
          <w:rFonts w:hint="eastAsia" w:asciiTheme="majorEastAsia" w:hAnsiTheme="majorEastAsia" w:eastAsiaTheme="majorEastAsia" w:cstheme="majorEastAsia"/>
          <w:sz w:val="24"/>
          <w:szCs w:val="24"/>
        </w:rPr>
        <w:t>磋商截止时间结束后参加响应人不足3家的， 应重新组织采购。 评审期间符合专业条件的响应人或者对磋商响应文件作出实质响应的响应人不足3家的， 采购代理机构将报请主管监督部门，经批准，继续进行评标活动</w:t>
      </w:r>
    </w:p>
    <w:bookmarkEnd w:id="362"/>
    <w:bookmarkEnd w:id="363"/>
    <w:bookmarkEnd w:id="364"/>
    <w:bookmarkEnd w:id="365"/>
    <w:bookmarkEnd w:id="366"/>
    <w:p w14:paraId="0D4B4188">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sz w:val="24"/>
          <w:szCs w:val="24"/>
        </w:rPr>
      </w:pPr>
      <w:bookmarkStart w:id="367" w:name="_Toc23149"/>
      <w:bookmarkStart w:id="368" w:name="_Toc23774432"/>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授予合同</w:t>
      </w:r>
      <w:bookmarkEnd w:id="367"/>
      <w:bookmarkEnd w:id="368"/>
      <w:bookmarkStart w:id="369" w:name="_Toc32765"/>
    </w:p>
    <w:bookmarkEnd w:id="369"/>
    <w:p w14:paraId="55AA69EB">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lang w:val="en-US" w:eastAsia="zh-CN"/>
        </w:rPr>
      </w:pPr>
      <w:bookmarkStart w:id="370" w:name="_Toc26954"/>
      <w:r>
        <w:rPr>
          <w:rFonts w:hint="eastAsia" w:asciiTheme="majorEastAsia" w:hAnsiTheme="majorEastAsia" w:eastAsiaTheme="majorEastAsia" w:cstheme="majorEastAsia"/>
          <w:sz w:val="24"/>
          <w:szCs w:val="24"/>
          <w:lang w:val="en-US" w:eastAsia="zh-CN"/>
        </w:rPr>
        <w:t>6.1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Theme="majorEastAsia" w:hAnsiTheme="majorEastAsia" w:eastAsiaTheme="majorEastAsia" w:cstheme="majorEastAsia"/>
          <w:sz w:val="24"/>
          <w:szCs w:val="24"/>
        </w:rPr>
        <w:t>所签订的合同不得对竞争性磋商文件确定的事项和成交人响应文件作实质性修改。</w:t>
      </w:r>
    </w:p>
    <w:bookmarkEnd w:id="370"/>
    <w:p w14:paraId="32D6863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371" w:name="_Toc14039"/>
      <w:bookmarkStart w:id="372" w:name="_Toc12834"/>
      <w:bookmarkStart w:id="373" w:name="_Toc10652"/>
      <w:bookmarkStart w:id="374" w:name="_Toc21772"/>
      <w:r>
        <w:rPr>
          <w:rFonts w:hint="eastAsia" w:asciiTheme="majorEastAsia" w:hAnsiTheme="majorEastAsia" w:eastAsiaTheme="majorEastAsia" w:cstheme="majorEastAsia"/>
          <w:sz w:val="24"/>
          <w:szCs w:val="24"/>
          <w:lang w:val="en-US" w:eastAsia="zh-CN"/>
        </w:rPr>
        <w:t>6.2</w:t>
      </w:r>
      <w:r>
        <w:rPr>
          <w:rFonts w:hint="eastAsia" w:asciiTheme="majorEastAsia" w:hAnsiTheme="majorEastAsia" w:eastAsiaTheme="majorEastAsia" w:cstheme="majorEastAsia"/>
          <w:sz w:val="24"/>
          <w:szCs w:val="24"/>
        </w:rPr>
        <w:t>竞争性磋商文件、成交人的响应文件和澄清文件等，均应作为签约的合同文本的基础。</w:t>
      </w:r>
      <w:bookmarkEnd w:id="371"/>
      <w:bookmarkEnd w:id="372"/>
      <w:bookmarkEnd w:id="373"/>
      <w:bookmarkEnd w:id="374"/>
      <w:bookmarkStart w:id="375" w:name="_Toc5481"/>
    </w:p>
    <w:bookmarkEnd w:id="375"/>
    <w:p w14:paraId="6608D144">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376" w:name="_Toc12739"/>
      <w:bookmarkStart w:id="377" w:name="_Toc4762"/>
      <w:bookmarkStart w:id="378" w:name="_Toc18228"/>
      <w:bookmarkStart w:id="379" w:name="_Toc10089"/>
      <w:r>
        <w:rPr>
          <w:rFonts w:hint="eastAsia" w:asciiTheme="majorEastAsia" w:hAnsiTheme="majorEastAsia" w:eastAsiaTheme="majorEastAsia" w:cstheme="majorEastAsia"/>
          <w:sz w:val="24"/>
          <w:szCs w:val="24"/>
          <w:lang w:val="en-US" w:eastAsia="zh-CN"/>
        </w:rPr>
        <w:t>6.3</w:t>
      </w:r>
      <w:r>
        <w:rPr>
          <w:rFonts w:hint="eastAsia" w:asciiTheme="majorEastAsia" w:hAnsiTheme="majorEastAsia" w:eastAsiaTheme="majorEastAsia" w:cstheme="majorEastAsia"/>
          <w:sz w:val="24"/>
          <w:szCs w:val="24"/>
        </w:rPr>
        <w:t>政府采购合同包括采购人与成交人的名称和住所、标的、数量、质量、价款或者报酬、履行期限及地点和方式、验收要求、违约责任、解决争议的方法等内容。</w:t>
      </w:r>
      <w:bookmarkEnd w:id="376"/>
      <w:bookmarkEnd w:id="377"/>
      <w:bookmarkEnd w:id="378"/>
      <w:bookmarkEnd w:id="379"/>
      <w:bookmarkStart w:id="380" w:name="_Toc7717"/>
    </w:p>
    <w:p w14:paraId="648E002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381" w:name="_Toc6035"/>
      <w:bookmarkStart w:id="382" w:name="_Toc18078"/>
      <w:bookmarkStart w:id="383" w:name="_Toc5311"/>
      <w:r>
        <w:rPr>
          <w:rFonts w:hint="eastAsia" w:asciiTheme="majorEastAsia" w:hAnsiTheme="majorEastAsia" w:eastAsiaTheme="majorEastAsia" w:cstheme="majorEastAsia"/>
          <w:sz w:val="24"/>
          <w:szCs w:val="24"/>
          <w:lang w:val="en-US" w:eastAsia="zh-CN"/>
        </w:rPr>
        <w:t>6.4</w:t>
      </w:r>
      <w:r>
        <w:rPr>
          <w:rFonts w:hint="eastAsia" w:asciiTheme="majorEastAsia" w:hAnsiTheme="majorEastAsia" w:eastAsiaTheme="majorEastAsia" w:cstheme="majorEastAsia"/>
          <w:sz w:val="24"/>
          <w:szCs w:val="24"/>
        </w:rPr>
        <w:t>如成交人不按本章第6.1</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项约定签订合同，采购人将报请取消其成交决定</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采购人可按照磋商小组推荐的成交候选人名单排序，确定下一候选人为成交人或者重新采购。</w:t>
      </w:r>
      <w:bookmarkEnd w:id="380"/>
      <w:bookmarkEnd w:id="381"/>
      <w:bookmarkEnd w:id="382"/>
      <w:bookmarkEnd w:id="383"/>
    </w:p>
    <w:bookmarkEnd w:id="361"/>
    <w:p w14:paraId="1C6E418A">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bCs/>
          <w:sz w:val="24"/>
          <w:szCs w:val="24"/>
        </w:rPr>
      </w:pPr>
      <w:bookmarkStart w:id="384" w:name="_Toc25425"/>
      <w:bookmarkStart w:id="385" w:name="_Toc270604610"/>
      <w:bookmarkStart w:id="386" w:name="_Toc269470338"/>
      <w:r>
        <w:rPr>
          <w:rFonts w:hint="eastAsia" w:asciiTheme="majorEastAsia" w:hAnsiTheme="majorEastAsia" w:eastAsiaTheme="majorEastAsia" w:cstheme="majorEastAsia"/>
          <w:b/>
          <w:bCs/>
          <w:sz w:val="24"/>
          <w:szCs w:val="24"/>
          <w:lang w:val="en-US" w:eastAsia="zh-CN"/>
        </w:rPr>
        <w:t>7.</w:t>
      </w:r>
      <w:bookmarkStart w:id="387" w:name="_Toc27882"/>
      <w:bookmarkStart w:id="388" w:name="_Toc23774433"/>
      <w:r>
        <w:rPr>
          <w:rFonts w:hint="eastAsia" w:asciiTheme="majorEastAsia" w:hAnsiTheme="majorEastAsia" w:eastAsiaTheme="majorEastAsia" w:cstheme="majorEastAsia"/>
          <w:b/>
          <w:bCs/>
          <w:sz w:val="24"/>
          <w:szCs w:val="24"/>
        </w:rPr>
        <w:t>纪律和监督</w:t>
      </w:r>
      <w:bookmarkEnd w:id="384"/>
      <w:bookmarkEnd w:id="385"/>
      <w:bookmarkEnd w:id="386"/>
      <w:bookmarkEnd w:id="387"/>
      <w:bookmarkEnd w:id="388"/>
    </w:p>
    <w:p w14:paraId="5B4920E4">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389" w:name="_Toc269470339"/>
      <w:bookmarkStart w:id="390" w:name="_Toc428276606"/>
      <w:bookmarkStart w:id="391" w:name="_Toc2717"/>
      <w:bookmarkStart w:id="392" w:name="_Toc455678149"/>
      <w:bookmarkStart w:id="393" w:name="_Toc462934323"/>
      <w:bookmarkStart w:id="394" w:name="_Toc13152"/>
      <w:bookmarkStart w:id="395" w:name="_Toc428351666"/>
      <w:bookmarkStart w:id="396" w:name="_Toc31772"/>
      <w:bookmarkStart w:id="397" w:name="_Toc463011302"/>
      <w:bookmarkStart w:id="398" w:name="_Toc270604611"/>
      <w:bookmarkStart w:id="399" w:name="_Toc277149399"/>
      <w:bookmarkStart w:id="400" w:name="_Toc270604838"/>
      <w:bookmarkStart w:id="401" w:name="_Toc454788046"/>
      <w:r>
        <w:rPr>
          <w:rFonts w:hint="eastAsia" w:asciiTheme="majorEastAsia" w:hAnsiTheme="majorEastAsia" w:eastAsiaTheme="majorEastAsia" w:cstheme="majorEastAsia"/>
          <w:b/>
          <w:sz w:val="24"/>
          <w:szCs w:val="24"/>
          <w:lang w:val="en-US" w:eastAsia="zh-CN"/>
        </w:rPr>
        <w:t>7.1</w:t>
      </w:r>
      <w:r>
        <w:rPr>
          <w:rFonts w:hint="eastAsia" w:asciiTheme="majorEastAsia" w:hAnsiTheme="majorEastAsia" w:eastAsiaTheme="majorEastAsia" w:cstheme="majorEastAsia"/>
          <w:b/>
          <w:sz w:val="24"/>
          <w:szCs w:val="24"/>
        </w:rPr>
        <w:t>对采购人的纪律要求</w:t>
      </w:r>
      <w:bookmarkEnd w:id="389"/>
      <w:bookmarkEnd w:id="390"/>
      <w:bookmarkEnd w:id="391"/>
      <w:bookmarkEnd w:id="392"/>
      <w:bookmarkEnd w:id="393"/>
      <w:bookmarkEnd w:id="394"/>
      <w:bookmarkEnd w:id="395"/>
      <w:bookmarkEnd w:id="396"/>
      <w:bookmarkEnd w:id="397"/>
      <w:bookmarkEnd w:id="398"/>
      <w:bookmarkEnd w:id="399"/>
      <w:bookmarkEnd w:id="400"/>
      <w:bookmarkEnd w:id="401"/>
    </w:p>
    <w:p w14:paraId="14C25309">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7.1.1</w:t>
      </w:r>
      <w:r>
        <w:rPr>
          <w:rFonts w:hint="eastAsia" w:asciiTheme="majorEastAsia" w:hAnsiTheme="majorEastAsia" w:eastAsiaTheme="majorEastAsia" w:cstheme="majorEastAsia"/>
          <w:sz w:val="24"/>
          <w:szCs w:val="24"/>
        </w:rPr>
        <w:t>采购人不得泄漏竞争性磋商中应当保密的情况和资料，不得与供应商串通损害国家利益、社会公共利益或者他人合法权益。</w:t>
      </w:r>
    </w:p>
    <w:p w14:paraId="3A9A35E9">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402" w:name="_Toc269470340"/>
      <w:bookmarkStart w:id="403" w:name="_Toc454788047"/>
      <w:bookmarkStart w:id="404" w:name="_Toc462934324"/>
      <w:bookmarkStart w:id="405" w:name="_Toc10123"/>
      <w:bookmarkStart w:id="406" w:name="_Toc463011303"/>
      <w:bookmarkStart w:id="407" w:name="_Toc1136"/>
      <w:bookmarkStart w:id="408" w:name="_Toc270604612"/>
      <w:bookmarkStart w:id="409" w:name="_Toc277149400"/>
      <w:bookmarkStart w:id="410" w:name="_Toc270604839"/>
      <w:bookmarkStart w:id="411" w:name="_Toc455678150"/>
      <w:bookmarkStart w:id="412" w:name="_Toc24245"/>
      <w:bookmarkStart w:id="413" w:name="_Toc428351667"/>
      <w:bookmarkStart w:id="414" w:name="_Toc428276607"/>
      <w:r>
        <w:rPr>
          <w:rFonts w:hint="eastAsia" w:asciiTheme="majorEastAsia" w:hAnsiTheme="majorEastAsia" w:eastAsiaTheme="majorEastAsia" w:cstheme="majorEastAsia"/>
          <w:b/>
          <w:sz w:val="24"/>
          <w:szCs w:val="24"/>
          <w:lang w:val="en-US" w:eastAsia="zh-CN"/>
        </w:rPr>
        <w:t>7.2</w:t>
      </w:r>
      <w:r>
        <w:rPr>
          <w:rFonts w:hint="eastAsia" w:asciiTheme="majorEastAsia" w:hAnsiTheme="majorEastAsia" w:eastAsiaTheme="majorEastAsia" w:cstheme="majorEastAsia"/>
          <w:b/>
          <w:sz w:val="24"/>
          <w:szCs w:val="24"/>
        </w:rPr>
        <w:t>对供应商的纪律要求</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1D888D2A">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7.2.1</w:t>
      </w:r>
      <w:r>
        <w:rPr>
          <w:rFonts w:hint="eastAsia" w:asciiTheme="majorEastAsia" w:hAnsiTheme="majorEastAsia" w:eastAsiaTheme="majorEastAsia" w:cstheme="majorEastAsia"/>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14:paraId="79F14E2F">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415" w:name="_Toc428351668"/>
      <w:bookmarkStart w:id="416" w:name="_Toc270604613"/>
      <w:bookmarkStart w:id="417" w:name="_Toc15953"/>
      <w:bookmarkStart w:id="418" w:name="_Toc462934325"/>
      <w:bookmarkStart w:id="419" w:name="_Toc23588"/>
      <w:bookmarkStart w:id="420" w:name="_Toc428276608"/>
      <w:bookmarkStart w:id="421" w:name="_Toc269470341"/>
      <w:bookmarkStart w:id="422" w:name="_Toc455678151"/>
      <w:bookmarkStart w:id="423" w:name="_Toc277149401"/>
      <w:bookmarkStart w:id="424" w:name="_Toc463011304"/>
      <w:bookmarkStart w:id="425" w:name="_Toc270604840"/>
      <w:bookmarkStart w:id="426" w:name="_Toc454788048"/>
      <w:bookmarkStart w:id="427" w:name="_Toc26184"/>
      <w:r>
        <w:rPr>
          <w:rFonts w:hint="eastAsia" w:asciiTheme="majorEastAsia" w:hAnsiTheme="majorEastAsia" w:eastAsiaTheme="majorEastAsia" w:cstheme="majorEastAsia"/>
          <w:b/>
          <w:sz w:val="24"/>
          <w:szCs w:val="24"/>
          <w:lang w:val="en-US" w:eastAsia="zh-CN"/>
        </w:rPr>
        <w:t>7.3</w:t>
      </w:r>
      <w:r>
        <w:rPr>
          <w:rFonts w:hint="eastAsia" w:asciiTheme="majorEastAsia" w:hAnsiTheme="majorEastAsia" w:eastAsiaTheme="majorEastAsia" w:cstheme="majorEastAsia"/>
          <w:b/>
          <w:sz w:val="24"/>
          <w:szCs w:val="24"/>
        </w:rPr>
        <w:t>对磋商小组成员的纪律要求</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0A8D15AA">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7.3.1</w:t>
      </w:r>
      <w:r>
        <w:rPr>
          <w:rFonts w:hint="eastAsia" w:asciiTheme="majorEastAsia" w:hAnsiTheme="majorEastAsia" w:eastAsiaTheme="majorEastAsia" w:cstheme="majorEastAsia"/>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3D66AF4A">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428" w:name="_Toc462934326"/>
      <w:bookmarkStart w:id="429" w:name="_Toc463011305"/>
      <w:bookmarkStart w:id="430" w:name="_Toc270604841"/>
      <w:bookmarkStart w:id="431" w:name="_Toc454788049"/>
      <w:bookmarkStart w:id="432" w:name="_Toc14202"/>
      <w:bookmarkStart w:id="433" w:name="_Toc455678152"/>
      <w:bookmarkStart w:id="434" w:name="_Toc428351669"/>
      <w:bookmarkStart w:id="435" w:name="_Toc269470342"/>
      <w:bookmarkStart w:id="436" w:name="_Toc270604614"/>
      <w:bookmarkStart w:id="437" w:name="_Toc8563"/>
      <w:bookmarkStart w:id="438" w:name="_Toc277149402"/>
      <w:bookmarkStart w:id="439" w:name="_Toc4673"/>
      <w:bookmarkStart w:id="440" w:name="_Toc428276609"/>
      <w:r>
        <w:rPr>
          <w:rFonts w:hint="eastAsia" w:asciiTheme="majorEastAsia" w:hAnsiTheme="majorEastAsia" w:eastAsiaTheme="majorEastAsia" w:cstheme="majorEastAsia"/>
          <w:b/>
          <w:sz w:val="24"/>
          <w:szCs w:val="24"/>
          <w:lang w:val="en-US" w:eastAsia="zh-CN"/>
        </w:rPr>
        <w:t>7.4</w:t>
      </w:r>
      <w:r>
        <w:rPr>
          <w:rFonts w:hint="eastAsia" w:asciiTheme="majorEastAsia" w:hAnsiTheme="majorEastAsia" w:eastAsiaTheme="majorEastAsia" w:cstheme="majorEastAsia"/>
          <w:b/>
          <w:sz w:val="24"/>
          <w:szCs w:val="24"/>
        </w:rPr>
        <w:t>对与磋商活动有关的工作人员的纪律要求</w:t>
      </w:r>
      <w:bookmarkEnd w:id="428"/>
      <w:bookmarkEnd w:id="429"/>
      <w:bookmarkEnd w:id="430"/>
      <w:bookmarkEnd w:id="431"/>
      <w:bookmarkEnd w:id="432"/>
      <w:bookmarkEnd w:id="433"/>
      <w:bookmarkEnd w:id="434"/>
      <w:bookmarkEnd w:id="435"/>
      <w:bookmarkEnd w:id="436"/>
      <w:bookmarkEnd w:id="437"/>
      <w:bookmarkEnd w:id="438"/>
      <w:bookmarkEnd w:id="439"/>
      <w:bookmarkEnd w:id="440"/>
    </w:p>
    <w:p w14:paraId="6E227BD4">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7.4.1</w:t>
      </w:r>
      <w:r>
        <w:rPr>
          <w:rFonts w:hint="eastAsia" w:asciiTheme="majorEastAsia" w:hAnsiTheme="majorEastAsia" w:eastAsiaTheme="majorEastAsia" w:cstheme="majorEastAsia"/>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0E9E15F1">
      <w:pPr>
        <w:keepNext/>
        <w:keepLines/>
        <w:numPr>
          <w:ilvl w:val="0"/>
          <w:numId w:val="0"/>
        </w:numPr>
        <w:wordWrap w:val="0"/>
        <w:topLinePunct/>
        <w:spacing w:line="500" w:lineRule="exact"/>
        <w:ind w:leftChars="0"/>
        <w:jc w:val="left"/>
        <w:outlineLvl w:val="2"/>
        <w:rPr>
          <w:rFonts w:asciiTheme="majorEastAsia" w:hAnsiTheme="majorEastAsia" w:eastAsiaTheme="majorEastAsia" w:cstheme="majorEastAsia"/>
          <w:b/>
          <w:sz w:val="24"/>
          <w:szCs w:val="24"/>
        </w:rPr>
      </w:pPr>
      <w:bookmarkStart w:id="441" w:name="_Toc454788050"/>
      <w:bookmarkStart w:id="442" w:name="_Toc428351670"/>
      <w:bookmarkStart w:id="443" w:name="_Toc270604842"/>
      <w:bookmarkStart w:id="444" w:name="_Toc270604615"/>
      <w:bookmarkStart w:id="445" w:name="_Toc277149403"/>
      <w:bookmarkStart w:id="446" w:name="_Toc29089"/>
      <w:bookmarkStart w:id="447" w:name="_Toc428276610"/>
      <w:bookmarkStart w:id="448" w:name="_Toc269470343"/>
      <w:r>
        <w:rPr>
          <w:rFonts w:hint="eastAsia" w:asciiTheme="majorEastAsia" w:hAnsiTheme="majorEastAsia" w:eastAsiaTheme="majorEastAsia" w:cstheme="majorEastAsia"/>
          <w:b/>
          <w:sz w:val="24"/>
          <w:szCs w:val="24"/>
          <w:lang w:val="en-US" w:eastAsia="zh-CN"/>
        </w:rPr>
        <w:t>7.5</w:t>
      </w:r>
      <w:bookmarkStart w:id="449" w:name="_Toc27033"/>
      <w:r>
        <w:rPr>
          <w:rFonts w:hint="eastAsia" w:asciiTheme="majorEastAsia" w:hAnsiTheme="majorEastAsia" w:eastAsiaTheme="majorEastAsia" w:cstheme="majorEastAsia"/>
          <w:b/>
          <w:sz w:val="24"/>
          <w:szCs w:val="24"/>
        </w:rPr>
        <w:t>询问、质疑和投诉</w:t>
      </w:r>
      <w:bookmarkEnd w:id="441"/>
      <w:bookmarkEnd w:id="442"/>
      <w:bookmarkEnd w:id="443"/>
      <w:bookmarkEnd w:id="444"/>
      <w:bookmarkEnd w:id="445"/>
      <w:bookmarkEnd w:id="446"/>
      <w:bookmarkEnd w:id="447"/>
      <w:bookmarkEnd w:id="448"/>
      <w:bookmarkEnd w:id="449"/>
    </w:p>
    <w:p w14:paraId="459B9562">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50" w:name="_Toc11785"/>
      <w:bookmarkStart w:id="451" w:name="_Toc17445"/>
      <w:bookmarkStart w:id="452" w:name="_Toc462934328"/>
      <w:bookmarkStart w:id="453" w:name="_Toc455678154"/>
      <w:bookmarkStart w:id="454" w:name="_Toc463011307"/>
      <w:r>
        <w:rPr>
          <w:rFonts w:hint="eastAsia" w:asciiTheme="majorEastAsia" w:hAnsiTheme="majorEastAsia" w:eastAsiaTheme="majorEastAsia" w:cstheme="majorEastAsia"/>
          <w:sz w:val="24"/>
          <w:szCs w:val="24"/>
          <w:lang w:val="en-US" w:eastAsia="zh-CN"/>
        </w:rPr>
        <w:t>7.5.1</w:t>
      </w:r>
      <w:r>
        <w:rPr>
          <w:rFonts w:hint="eastAsia" w:asciiTheme="majorEastAsia" w:hAnsiTheme="majorEastAsia" w:eastAsiaTheme="majorEastAsia" w:cstheme="majorEastAsia"/>
          <w:sz w:val="24"/>
          <w:szCs w:val="24"/>
        </w:rPr>
        <w:t>供应商或有关当事人对磋商过程、成交结果有异议的，可以向采购人或者采购代理机构提出询问。</w:t>
      </w:r>
      <w:bookmarkEnd w:id="450"/>
      <w:bookmarkEnd w:id="451"/>
      <w:bookmarkEnd w:id="452"/>
      <w:bookmarkEnd w:id="453"/>
      <w:bookmarkEnd w:id="454"/>
    </w:p>
    <w:p w14:paraId="6670B1B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55" w:name="_Toc27421"/>
      <w:bookmarkStart w:id="456" w:name="_Toc455678155"/>
      <w:bookmarkStart w:id="457" w:name="_Toc463011308"/>
      <w:bookmarkStart w:id="458" w:name="_Toc462934329"/>
      <w:bookmarkStart w:id="459" w:name="_Toc24621"/>
      <w:r>
        <w:rPr>
          <w:rFonts w:hint="eastAsia" w:asciiTheme="majorEastAsia" w:hAnsiTheme="majorEastAsia" w:eastAsiaTheme="majorEastAsia" w:cstheme="majorEastAsia"/>
          <w:sz w:val="24"/>
          <w:szCs w:val="24"/>
          <w:lang w:val="en-US" w:eastAsia="zh-CN"/>
        </w:rPr>
        <w:t>7.5.2</w:t>
      </w:r>
      <w:r>
        <w:rPr>
          <w:rFonts w:hint="eastAsia" w:asciiTheme="majorEastAsia" w:hAnsiTheme="majorEastAsia" w:eastAsiaTheme="majorEastAsia" w:cstheme="majorEastAsia"/>
          <w:sz w:val="24"/>
          <w:szCs w:val="24"/>
        </w:rPr>
        <w:t>采购人或者采购代理机构应当在三个工作日内对供应商依法提出的询问作出答复。</w:t>
      </w:r>
      <w:bookmarkEnd w:id="455"/>
      <w:bookmarkEnd w:id="456"/>
      <w:bookmarkEnd w:id="457"/>
      <w:bookmarkEnd w:id="458"/>
      <w:bookmarkEnd w:id="459"/>
    </w:p>
    <w:p w14:paraId="1E5D0668">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60" w:name="_Toc28381"/>
      <w:bookmarkStart w:id="461" w:name="_Toc463011309"/>
      <w:bookmarkStart w:id="462" w:name="_Toc462934330"/>
      <w:bookmarkStart w:id="463" w:name="_Toc30298"/>
      <w:bookmarkStart w:id="464" w:name="_Toc455678156"/>
      <w:r>
        <w:rPr>
          <w:rFonts w:hint="eastAsia" w:asciiTheme="majorEastAsia" w:hAnsiTheme="majorEastAsia" w:eastAsiaTheme="majorEastAsia" w:cstheme="majorEastAsia"/>
          <w:sz w:val="24"/>
          <w:szCs w:val="24"/>
          <w:lang w:val="en-US" w:eastAsia="zh-CN"/>
        </w:rPr>
        <w:t>7.5.3</w:t>
      </w:r>
      <w:r>
        <w:rPr>
          <w:rFonts w:hint="eastAsia" w:asciiTheme="majorEastAsia" w:hAnsiTheme="majorEastAsia" w:eastAsiaTheme="majorEastAsia" w:cstheme="majorEastAsia"/>
          <w:sz w:val="24"/>
          <w:szCs w:val="24"/>
        </w:rPr>
        <w:t>供应商认为竞争性磋商文件、采购过程使自己的权益受到损害的，可以在知道或者应知其权益受到损害之日，以书面形式向采购人提出质疑。</w:t>
      </w:r>
      <w:bookmarkEnd w:id="460"/>
      <w:bookmarkEnd w:id="461"/>
      <w:bookmarkEnd w:id="462"/>
      <w:bookmarkEnd w:id="463"/>
      <w:bookmarkEnd w:id="464"/>
    </w:p>
    <w:p w14:paraId="3CDEFDB2">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65" w:name="_Toc462934331"/>
      <w:bookmarkStart w:id="466" w:name="_Toc463011310"/>
      <w:bookmarkStart w:id="467" w:name="_Toc288"/>
      <w:bookmarkStart w:id="468" w:name="_Toc16614"/>
      <w:r>
        <w:rPr>
          <w:rFonts w:hint="eastAsia" w:asciiTheme="majorEastAsia" w:hAnsiTheme="majorEastAsia" w:eastAsiaTheme="majorEastAsia" w:cstheme="majorEastAsia"/>
          <w:sz w:val="24"/>
          <w:szCs w:val="24"/>
          <w:lang w:val="en-US" w:eastAsia="zh-CN"/>
        </w:rPr>
        <w:t>7.5.4</w:t>
      </w:r>
      <w:r>
        <w:rPr>
          <w:rFonts w:hint="eastAsia" w:asciiTheme="majorEastAsia" w:hAnsiTheme="majorEastAsia" w:eastAsiaTheme="majorEastAsia" w:cstheme="majorEastAsia"/>
          <w:sz w:val="24"/>
          <w:szCs w:val="24"/>
        </w:rPr>
        <w:t>供应商认为成交结果使自己的权益受到损害的，可以在成交结果公告期限届满之日起，以书面形式向采购人提出质疑，接收质疑函联系部门、电话及地址详见竞争性磋商公告。</w:t>
      </w:r>
      <w:bookmarkEnd w:id="465"/>
      <w:bookmarkEnd w:id="466"/>
      <w:bookmarkEnd w:id="467"/>
      <w:bookmarkEnd w:id="468"/>
      <w:r>
        <w:rPr>
          <w:rFonts w:hint="eastAsia" w:asciiTheme="majorEastAsia" w:hAnsiTheme="majorEastAsia" w:eastAsiaTheme="majorEastAsia" w:cstheme="majorEastAsia"/>
          <w:sz w:val="24"/>
          <w:szCs w:val="24"/>
        </w:rPr>
        <w:t>在法定质疑期内供应商针对同一采购程序环节的质疑应当一次性提出。</w:t>
      </w:r>
    </w:p>
    <w:p w14:paraId="4A695734">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69" w:name="_Toc18478"/>
      <w:bookmarkStart w:id="470" w:name="_Toc462934332"/>
      <w:bookmarkStart w:id="471" w:name="_Toc5258"/>
      <w:bookmarkStart w:id="472" w:name="_Toc463011311"/>
      <w:bookmarkStart w:id="473" w:name="_Toc455678157"/>
      <w:r>
        <w:rPr>
          <w:rFonts w:hint="eastAsia" w:asciiTheme="majorEastAsia" w:hAnsiTheme="majorEastAsia" w:eastAsiaTheme="majorEastAsia" w:cstheme="majorEastAsia"/>
          <w:sz w:val="24"/>
          <w:szCs w:val="24"/>
          <w:lang w:val="en-US" w:eastAsia="zh-CN"/>
        </w:rPr>
        <w:t>7.5.5</w:t>
      </w:r>
      <w:r>
        <w:rPr>
          <w:rFonts w:hint="eastAsia" w:asciiTheme="majorEastAsia" w:hAnsiTheme="majorEastAsia" w:eastAsiaTheme="majorEastAsia" w:cstheme="majorEastAsia"/>
          <w:sz w:val="24"/>
          <w:szCs w:val="24"/>
        </w:rPr>
        <w:t>采购人或者采购代理机构应当在收到供应商的书面质疑后七个工作日内作出答复，并以书面形式通知质疑供应商和其他有关供应商，但答复的内容不得涉及商业秘密。</w:t>
      </w:r>
      <w:bookmarkEnd w:id="469"/>
      <w:bookmarkEnd w:id="470"/>
      <w:bookmarkEnd w:id="471"/>
      <w:bookmarkEnd w:id="472"/>
      <w:bookmarkEnd w:id="473"/>
    </w:p>
    <w:p w14:paraId="01AA3B27">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74" w:name="_Toc455678158"/>
      <w:bookmarkStart w:id="475" w:name="_Toc21390"/>
      <w:bookmarkStart w:id="476" w:name="_Toc462934333"/>
      <w:bookmarkStart w:id="477" w:name="_Toc4898"/>
      <w:bookmarkStart w:id="478" w:name="_Toc463011312"/>
      <w:r>
        <w:rPr>
          <w:rFonts w:hint="eastAsia" w:asciiTheme="majorEastAsia" w:hAnsiTheme="majorEastAsia" w:eastAsiaTheme="majorEastAsia" w:cstheme="majorEastAsia"/>
          <w:sz w:val="24"/>
          <w:szCs w:val="24"/>
          <w:lang w:val="en-US" w:eastAsia="zh-CN"/>
        </w:rPr>
        <w:t>7.5.6</w:t>
      </w:r>
      <w:r>
        <w:rPr>
          <w:rFonts w:hint="eastAsia" w:asciiTheme="majorEastAsia" w:hAnsiTheme="majorEastAsia" w:eastAsiaTheme="majorEastAsia" w:cstheme="majorEastAsia"/>
          <w:sz w:val="24"/>
          <w:szCs w:val="24"/>
        </w:rPr>
        <w:t>质疑单位对采购人、采购代理机构的答复不满意或者采购人、采购代理机构未在规定的时间内作出答复的，可以在答复期满后十五个工作日内向同级政府采购监督管理部门投诉。</w:t>
      </w:r>
      <w:bookmarkEnd w:id="474"/>
      <w:bookmarkEnd w:id="475"/>
      <w:bookmarkEnd w:id="476"/>
      <w:bookmarkEnd w:id="477"/>
      <w:bookmarkEnd w:id="478"/>
    </w:p>
    <w:p w14:paraId="2D24AC76">
      <w:pPr>
        <w:numPr>
          <w:ilvl w:val="0"/>
          <w:numId w:val="0"/>
        </w:numPr>
        <w:wordWrap w:val="0"/>
        <w:topLinePunct/>
        <w:spacing w:line="500" w:lineRule="exact"/>
        <w:ind w:left="420" w:leftChars="0"/>
        <w:rPr>
          <w:rFonts w:asciiTheme="majorEastAsia" w:hAnsiTheme="majorEastAsia" w:eastAsiaTheme="majorEastAsia" w:cstheme="majorEastAsia"/>
          <w:sz w:val="24"/>
          <w:szCs w:val="24"/>
        </w:rPr>
      </w:pPr>
      <w:bookmarkStart w:id="479" w:name="_Toc462934334"/>
      <w:bookmarkStart w:id="480" w:name="_Toc11631"/>
      <w:bookmarkStart w:id="481" w:name="_Toc17682"/>
      <w:bookmarkStart w:id="482" w:name="_Toc455678159"/>
      <w:bookmarkStart w:id="483" w:name="_Toc463011313"/>
      <w:r>
        <w:rPr>
          <w:rFonts w:hint="eastAsia" w:asciiTheme="majorEastAsia" w:hAnsiTheme="majorEastAsia" w:eastAsiaTheme="majorEastAsia" w:cstheme="majorEastAsia"/>
          <w:sz w:val="24"/>
          <w:szCs w:val="24"/>
          <w:lang w:val="en-US" w:eastAsia="zh-CN"/>
        </w:rPr>
        <w:t>7.5.7</w:t>
      </w:r>
      <w:r>
        <w:rPr>
          <w:rFonts w:hint="eastAsia" w:asciiTheme="majorEastAsia" w:hAnsiTheme="majorEastAsia" w:eastAsiaTheme="majorEastAsia" w:cstheme="majorEastAsia"/>
          <w:sz w:val="24"/>
          <w:szCs w:val="24"/>
        </w:rPr>
        <w:t>供应商质疑、投诉应当有明确的请求和必要的证明材料。供应商投诉的事项不得超出已质疑事项的范围。</w:t>
      </w:r>
      <w:bookmarkEnd w:id="479"/>
      <w:bookmarkEnd w:id="480"/>
      <w:bookmarkEnd w:id="481"/>
      <w:bookmarkEnd w:id="482"/>
      <w:bookmarkEnd w:id="483"/>
    </w:p>
    <w:p w14:paraId="29D90438">
      <w:pPr>
        <w:numPr>
          <w:ilvl w:val="0"/>
          <w:numId w:val="0"/>
        </w:numPr>
        <w:tabs>
          <w:tab w:val="left" w:pos="360"/>
        </w:tabs>
        <w:wordWrap w:val="0"/>
        <w:topLinePunct/>
        <w:autoSpaceDE w:val="0"/>
        <w:autoSpaceDN w:val="0"/>
        <w:adjustRightInd w:val="0"/>
        <w:snapToGrid w:val="0"/>
        <w:spacing w:line="500" w:lineRule="exact"/>
        <w:ind w:leftChars="0"/>
        <w:contextualSpacing/>
        <w:outlineLvl w:val="1"/>
        <w:rPr>
          <w:rFonts w:asciiTheme="majorEastAsia" w:hAnsiTheme="majorEastAsia" w:eastAsiaTheme="majorEastAsia" w:cstheme="majorEastAsia"/>
          <w:b/>
          <w:bCs/>
          <w:sz w:val="24"/>
          <w:szCs w:val="24"/>
        </w:rPr>
      </w:pPr>
      <w:bookmarkStart w:id="484" w:name="_Toc23774435"/>
      <w:bookmarkStart w:id="485" w:name="_Toc5729"/>
      <w:r>
        <w:rPr>
          <w:rFonts w:hint="eastAsia" w:asciiTheme="majorEastAsia" w:hAnsiTheme="majorEastAsia" w:eastAsiaTheme="majorEastAsia" w:cstheme="majorEastAsia"/>
          <w:b/>
          <w:bCs/>
          <w:sz w:val="24"/>
          <w:szCs w:val="24"/>
          <w:lang w:val="en-US" w:eastAsia="zh-CN"/>
        </w:rPr>
        <w:t>8.</w:t>
      </w:r>
      <w:r>
        <w:rPr>
          <w:rFonts w:hint="eastAsia" w:asciiTheme="majorEastAsia" w:hAnsiTheme="majorEastAsia" w:eastAsiaTheme="majorEastAsia" w:cstheme="majorEastAsia"/>
          <w:b/>
          <w:bCs/>
          <w:sz w:val="24"/>
          <w:szCs w:val="24"/>
        </w:rPr>
        <w:t>需要补充的其他内容</w:t>
      </w:r>
      <w:bookmarkEnd w:id="484"/>
      <w:bookmarkEnd w:id="485"/>
    </w:p>
    <w:p w14:paraId="763830E1">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需要补充的其他内容：见供应商须知前附表。</w:t>
      </w:r>
      <w:bookmarkStart w:id="486" w:name="_Toc270604619"/>
      <w:bookmarkStart w:id="487" w:name="_Toc270604617"/>
    </w:p>
    <w:p w14:paraId="62D5A01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14:paraId="131FC7FB">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河南省政府采购合同融资政策告知函</w:t>
      </w:r>
    </w:p>
    <w:p w14:paraId="5970F131">
      <w:pPr>
        <w:keepNext w:val="0"/>
        <w:keepLines w:val="0"/>
        <w:pageBreakBefore w:val="0"/>
        <w:widowControl w:val="0"/>
        <w:kinsoku/>
        <w:wordWrap/>
        <w:overflowPunct/>
        <w:topLinePunct w:val="0"/>
        <w:bidi w:val="0"/>
        <w:adjustRightInd w:val="0"/>
        <w:snapToGrid w:val="0"/>
        <w:spacing w:line="360" w:lineRule="auto"/>
        <w:ind w:firstLine="56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河南省政府采购合同融资政策告知函</w:t>
      </w:r>
    </w:p>
    <w:p w14:paraId="096999D2">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1C5C6499">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33DD315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24724C95">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FAA5BC0">
      <w:pPr>
        <w:spacing w:line="440" w:lineRule="exact"/>
        <w:ind w:firstLine="465"/>
        <w:rPr>
          <w:rFonts w:hint="eastAsia" w:ascii="宋体" w:eastAsia="宋体" w:cs="Times New Roman"/>
          <w:bCs/>
          <w:sz w:val="24"/>
          <w:szCs w:val="24"/>
        </w:rPr>
      </w:pPr>
      <w:bookmarkStart w:id="488" w:name="_Toc15196"/>
      <w:r>
        <w:rPr>
          <w:rFonts w:hint="eastAsia" w:ascii="宋体" w:eastAsia="宋体" w:cs="Times New Roman"/>
          <w:bCs/>
          <w:sz w:val="24"/>
          <w:szCs w:val="24"/>
        </w:rPr>
        <w:t>贷款渠道和提供贷款的金融机构，可在河南省政府采购网“河南省政府采购合同融资平台”查询联系。</w:t>
      </w:r>
      <w:bookmarkEnd w:id="488"/>
    </w:p>
    <w:p w14:paraId="7BDA0819">
      <w:pPr>
        <w:widowControl w:val="0"/>
        <w:jc w:val="both"/>
        <w:textAlignment w:val="auto"/>
        <w:rPr>
          <w:rFonts w:hint="eastAsia" w:ascii="宋体" w:eastAsia="宋体" w:cs="Times New Roman"/>
          <w:bCs/>
          <w:sz w:val="28"/>
          <w:szCs w:val="28"/>
          <w:lang w:val="en-US" w:eastAsia="zh-CN"/>
        </w:rPr>
      </w:pPr>
      <w:r>
        <w:rPr>
          <w:rFonts w:hint="eastAsia" w:ascii="宋体"/>
          <w:bCs/>
          <w:sz w:val="24"/>
          <w:szCs w:val="24"/>
        </w:rPr>
        <w:br w:type="page"/>
      </w:r>
      <w:r>
        <w:rPr>
          <w:rFonts w:hint="eastAsia" w:ascii="宋体" w:eastAsia="宋体" w:cs="Times New Roman"/>
          <w:b/>
          <w:bCs w:val="0"/>
          <w:sz w:val="28"/>
          <w:szCs w:val="28"/>
        </w:rPr>
        <w:t>附件</w:t>
      </w:r>
      <w:r>
        <w:rPr>
          <w:rFonts w:hint="eastAsia" w:ascii="宋体" w:eastAsia="宋体" w:cs="Times New Roman"/>
          <w:b/>
          <w:bCs w:val="0"/>
          <w:sz w:val="28"/>
          <w:szCs w:val="28"/>
          <w:lang w:val="en-US" w:eastAsia="zh-CN"/>
        </w:rPr>
        <w:t>2</w:t>
      </w:r>
    </w:p>
    <w:p w14:paraId="4F7FEAD9">
      <w:pPr>
        <w:spacing w:line="440" w:lineRule="exact"/>
        <w:ind w:firstLine="465"/>
        <w:jc w:val="center"/>
        <w:rPr>
          <w:rFonts w:hint="eastAsia" w:ascii="宋体" w:eastAsia="宋体" w:cs="Times New Roman"/>
          <w:b/>
          <w:bCs w:val="0"/>
          <w:sz w:val="28"/>
          <w:szCs w:val="28"/>
          <w:lang w:val="en-US" w:eastAsia="zh-CN"/>
        </w:rPr>
      </w:pPr>
      <w:r>
        <w:rPr>
          <w:rFonts w:hint="eastAsia" w:ascii="宋体" w:eastAsia="宋体" w:cs="Times New Roman"/>
          <w:b/>
          <w:bCs w:val="0"/>
          <w:sz w:val="28"/>
          <w:szCs w:val="28"/>
          <w:lang w:val="en-US" w:eastAsia="zh-CN"/>
        </w:rPr>
        <w:t>卢氏县政府采购合同融资政策告知书</w:t>
      </w:r>
    </w:p>
    <w:p w14:paraId="0BAA610C">
      <w:pPr>
        <w:spacing w:line="440" w:lineRule="exact"/>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各供应商：</w:t>
      </w:r>
    </w:p>
    <w:p w14:paraId="6C89B21D">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欢迎贵公司参与卢氏县政府采购活动！</w:t>
      </w:r>
    </w:p>
    <w:p w14:paraId="281A6ED0">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13A726C9">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3926C4D">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5725E6C">
      <w:pPr>
        <w:widowControl w:val="0"/>
        <w:ind w:firstLine="720" w:firstLineChars="300"/>
        <w:jc w:val="both"/>
        <w:textAlignment w:val="auto"/>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联系电话：0398-7863556</w:t>
      </w:r>
    </w:p>
    <w:p w14:paraId="161DB4AE">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4"/>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0F73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39970808">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noWrap w:val="0"/>
            <w:vAlign w:val="top"/>
          </w:tcPr>
          <w:p w14:paraId="7A822FFD">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noWrap w:val="0"/>
            <w:vAlign w:val="top"/>
          </w:tcPr>
          <w:p w14:paraId="783E8215">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50CA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049E7536">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noWrap w:val="0"/>
            <w:vAlign w:val="top"/>
          </w:tcPr>
          <w:p w14:paraId="2AE20939">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noWrap w:val="0"/>
            <w:vAlign w:val="top"/>
          </w:tcPr>
          <w:p w14:paraId="24392752">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2245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5CB8325C">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noWrap w:val="0"/>
            <w:vAlign w:val="top"/>
          </w:tcPr>
          <w:p w14:paraId="377FC368">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noWrap w:val="0"/>
            <w:vAlign w:val="top"/>
          </w:tcPr>
          <w:p w14:paraId="19C87E74">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6F2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10C2EFF5">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noWrap w:val="0"/>
            <w:vAlign w:val="top"/>
          </w:tcPr>
          <w:p w14:paraId="0399A924">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noWrap w:val="0"/>
            <w:vAlign w:val="top"/>
          </w:tcPr>
          <w:p w14:paraId="09454E6F">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30657447">
      <w:pPr>
        <w:widowControl w:val="0"/>
        <w:ind w:firstLine="480" w:firstLineChars="200"/>
        <w:jc w:val="center"/>
        <w:textAlignment w:val="auto"/>
        <w:rPr>
          <w:rFonts w:ascii="方正小标宋简体" w:hAnsi="方正小标宋简体" w:eastAsia="方正小标宋简体" w:cs="方正小标宋简体"/>
          <w:color w:val="auto"/>
          <w:kern w:val="0"/>
          <w:sz w:val="24"/>
          <w:szCs w:val="24"/>
          <w:highlight w:val="none"/>
          <w:shd w:val="clear" w:color="auto" w:fill="F9F9F9"/>
        </w:rPr>
      </w:pPr>
    </w:p>
    <w:p w14:paraId="1B3A7FE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1E271FC4">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1FEE074C">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4C712A26">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63D4F730">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4995001B">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6A37615F">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b/>
          <w:bCs/>
          <w:color w:val="auto"/>
          <w:kern w:val="0"/>
          <w:sz w:val="28"/>
          <w:szCs w:val="28"/>
          <w:highlight w:val="none"/>
          <w:shd w:val="clear" w:color="auto" w:fill="F9F9F9"/>
          <w:lang w:val="en-US" w:eastAsia="zh-CN"/>
        </w:rPr>
        <w:t xml:space="preserve">附件3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0E34B55B">
      <w:pPr>
        <w:widowControl w:val="0"/>
        <w:ind w:firstLine="3080" w:firstLineChars="1100"/>
        <w:jc w:val="both"/>
        <w:textAlignment w:val="auto"/>
        <w:rPr>
          <w:rFonts w:cs="Times New Roman"/>
          <w:color w:val="auto"/>
          <w:sz w:val="21"/>
          <w:szCs w:val="21"/>
          <w:highlight w:val="none"/>
        </w:rPr>
      </w:pPr>
      <w:r>
        <w:rPr>
          <w:rFonts w:ascii="方正小标宋简体" w:hAnsi="方正小标宋简体" w:eastAsia="方正小标宋简体" w:cs="方正小标宋简体"/>
          <w:color w:val="auto"/>
          <w:kern w:val="0"/>
          <w:sz w:val="28"/>
          <w:szCs w:val="28"/>
          <w:highlight w:val="none"/>
          <w:shd w:val="clear" w:color="auto" w:fill="F9F9F9"/>
        </w:rPr>
        <w:t>中小企业划型标准规定</w:t>
      </w:r>
    </w:p>
    <w:tbl>
      <w:tblPr>
        <w:tblStyle w:val="23"/>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67BD4E54">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01589991">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213ECA8">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51F3613">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AA145E4">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73BFB5C">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73A657E">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9FFF19F">
            <w:pPr>
              <w:pStyle w:val="19"/>
              <w:wordWrap w:val="0"/>
              <w:spacing w:line="240" w:lineRule="auto"/>
              <w:jc w:val="center"/>
              <w:rPr>
                <w:rFonts w:ascii="宋体" w:hAnsi="宋体" w:cs="宋体"/>
                <w:color w:val="auto"/>
                <w:sz w:val="21"/>
                <w:szCs w:val="21"/>
                <w:highlight w:val="none"/>
              </w:rPr>
            </w:pPr>
            <w:r>
              <w:rPr>
                <w:rStyle w:val="26"/>
                <w:rFonts w:hint="eastAsia" w:ascii="宋体" w:hAnsi="宋体" w:cs="宋体"/>
                <w:color w:val="auto"/>
                <w:spacing w:val="8"/>
                <w:sz w:val="21"/>
                <w:szCs w:val="21"/>
                <w:highlight w:val="none"/>
              </w:rPr>
              <w:t>微型</w:t>
            </w:r>
          </w:p>
        </w:tc>
      </w:tr>
      <w:tr w14:paraId="33A32ADD">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1F0DD24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A4A9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75744C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A3F2F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53EA7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6DFCA4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AE4EE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6ED64E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09F8B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623FA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5C52E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66F5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55478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1215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F0A99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2320499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465929">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9BB78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979D6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853D1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96171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CE469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05EF5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250E7632">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5FC363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CC406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EFCE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4F23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F99D8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3EB94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A0B7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0593CA9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8A98A0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1C666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49D51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60ADE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A283AD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C3509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41BE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03A6623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D84446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6347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F915D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E038A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C5AC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F02BC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E3BEA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2FEDE6F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46809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959F5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CA539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4266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2A226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2AD6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60ABD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1D7C18D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70D8C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E69A9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B145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15035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7FB44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8F1A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66525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348061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9094CE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0FA4E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EC35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31722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E9304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9E5DB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DDADB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3E85248">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2A7BA7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E1886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9E864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9142C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1972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135B8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A9A36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19A2D1B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5C9DE3">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BCC05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80A5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A24DF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80DBC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620F8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73335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2D2741B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C22047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01B67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0C268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322FB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276C3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09B02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05431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0B72E1DF">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B1B886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90055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AB276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68DDC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38121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80AC1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3CB78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1FCD2159">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D0B0E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D9FB7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EB9AF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0478A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70546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71E95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6CDBE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42A1B98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EE4807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EC918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C4636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94B48C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F7438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2D8BB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F2FE4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1B6364F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E65473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2E66A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5546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CC53D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C9E8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463C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63C38E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55E1B60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30B1AC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A096A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BCC9B9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AD4D8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63BE2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A00D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C8B2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16F6DC4A">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050331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39690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B2FB8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7B91F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AE6CD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AF86F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90279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7AFD7D1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232EEE3E">
            <w:pPr>
              <w:jc w:val="center"/>
              <w:rPr>
                <w:rFonts w:ascii="宋体" w:hAnsi="宋体" w:cs="宋体"/>
                <w:color w:val="auto"/>
                <w:spacing w:val="8"/>
                <w:sz w:val="21"/>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1F7EA7B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C683DA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14EF448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3F71CC9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F5D175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2F700DC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B7D0B34">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D077A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D9C75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D4977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10AAAC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8495E8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7E8CAD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51D4C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5A91BFAB">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81B8F14">
            <w:pPr>
              <w:jc w:val="center"/>
              <w:rPr>
                <w:rFonts w:ascii="宋体" w:hAnsi="宋体" w:cs="宋体"/>
                <w:color w:val="auto"/>
                <w:spacing w:val="8"/>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35BF705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168B42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4ACA803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5B67FA1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2A3D885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1AF2A40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417BC35">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EF473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D6388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053AE3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F0DE5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6CEFB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D9CDF2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27E1C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A28135">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7F45C17B">
            <w:pPr>
              <w:jc w:val="center"/>
              <w:rPr>
                <w:rFonts w:ascii="宋体" w:hAnsi="宋体" w:cs="宋体"/>
                <w:color w:val="auto"/>
                <w:spacing w:val="8"/>
                <w:sz w:val="21"/>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25117E1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F17EBE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B64E0C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62C740B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219EA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5D00338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3ABD2348">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7B1D96F">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CDED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6B7EF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1BA7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1B35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7576C9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2921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C7DE80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85924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BAF0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FFE40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3D40A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EFB7A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64ED6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D5EF8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1B6F3B2A">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F42895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42897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09EBA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958F4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7C4F2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7F192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23E94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451EC7B2">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EBB54B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73EB2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80238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C417D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CAE67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3C7E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029CE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5138C923">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30094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EB028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18F39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E1E31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07E6C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7AEF54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2610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ED5351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E602FF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6E826B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D803C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7AD01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D195C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8700A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4976B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3C8CA34C">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B65475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9D781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AD162E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A8BCA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27DBF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10F0E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D4003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102F48D6">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说明：1.大型、中型和小型企业须</w:t>
      </w:r>
      <w:r>
        <w:rPr>
          <w:rFonts w:hint="eastAsia" w:ascii="宋体" w:hAnsi="宋体" w:cs="宋体"/>
          <w:b/>
          <w:bCs/>
          <w:color w:val="auto"/>
          <w:kern w:val="0"/>
          <w:sz w:val="24"/>
          <w:szCs w:val="24"/>
          <w:highlight w:val="none"/>
        </w:rPr>
        <w:t>同时满足所列指标的下限</w:t>
      </w:r>
      <w:r>
        <w:rPr>
          <w:rFonts w:hint="eastAsia" w:ascii="宋体" w:hAnsi="宋体" w:cs="宋体"/>
          <w:b/>
          <w:bCs/>
          <w:color w:val="auto"/>
          <w:kern w:val="0"/>
          <w:sz w:val="24"/>
          <w:szCs w:val="24"/>
          <w:highlight w:val="none"/>
          <w:lang w:eastAsia="zh-CN"/>
        </w:rPr>
        <w:t>，否则下划一档</w:t>
      </w:r>
      <w:r>
        <w:rPr>
          <w:rFonts w:hint="eastAsia" w:ascii="宋体" w:hAnsi="宋体" w:cs="宋体"/>
          <w:color w:val="auto"/>
          <w:kern w:val="0"/>
          <w:sz w:val="24"/>
          <w:szCs w:val="24"/>
          <w:highlight w:val="none"/>
        </w:rPr>
        <w:t>；微型企业只须满足所列指标中的一项即可。</w:t>
      </w:r>
    </w:p>
    <w:p w14:paraId="62CC3B90">
      <w:pPr>
        <w:widowControl w:val="0"/>
        <w:numPr>
          <w:ilvl w:val="0"/>
          <w:numId w:val="6"/>
        </w:numPr>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附表中各行业的范围以《国民经济行业分类》（GB/T4754-2017）为准。</w:t>
      </w:r>
      <w:r>
        <w:rPr>
          <w:rFonts w:hint="eastAsia" w:ascii="宋体" w:hAnsi="宋体" w:cs="宋体"/>
          <w:b/>
          <w:bCs/>
          <w:color w:val="auto"/>
          <w:kern w:val="0"/>
          <w:sz w:val="24"/>
          <w:szCs w:val="24"/>
          <w:highlight w:val="none"/>
        </w:rPr>
        <w:t>带*的项为行业组合类别</w:t>
      </w:r>
      <w:r>
        <w:rPr>
          <w:rFonts w:hint="eastAsia" w:ascii="宋体" w:hAnsi="宋体" w:cs="宋体"/>
          <w:color w:val="auto"/>
          <w:kern w:val="0"/>
          <w:sz w:val="24"/>
          <w:szCs w:val="24"/>
          <w:highlight w:val="none"/>
        </w:rPr>
        <w:t>，其中，</w:t>
      </w:r>
      <w:r>
        <w:rPr>
          <w:rFonts w:hint="eastAsia" w:ascii="宋体" w:hAnsi="宋体" w:cs="宋体"/>
          <w:b/>
          <w:bCs/>
          <w:color w:val="auto"/>
          <w:kern w:val="0"/>
          <w:sz w:val="24"/>
          <w:szCs w:val="24"/>
          <w:highlight w:val="none"/>
        </w:rPr>
        <w:t>工业</w:t>
      </w:r>
      <w:r>
        <w:rPr>
          <w:rFonts w:hint="eastAsia" w:ascii="宋体" w:hAnsi="宋体" w:cs="宋体"/>
          <w:color w:val="auto"/>
          <w:kern w:val="0"/>
          <w:sz w:val="24"/>
          <w:szCs w:val="24"/>
          <w:highlight w:val="none"/>
        </w:rPr>
        <w:t>包括采矿业，制造业，电力、热力、燃气及水生产和供应业；</w:t>
      </w:r>
      <w:r>
        <w:rPr>
          <w:rFonts w:hint="eastAsia" w:ascii="宋体" w:hAnsi="宋体" w:cs="宋体"/>
          <w:b/>
          <w:bCs/>
          <w:color w:val="auto"/>
          <w:kern w:val="0"/>
          <w:sz w:val="24"/>
          <w:szCs w:val="24"/>
          <w:highlight w:val="none"/>
        </w:rPr>
        <w:t>交通运输业</w:t>
      </w:r>
      <w:r>
        <w:rPr>
          <w:rFonts w:hint="eastAsia" w:ascii="宋体" w:hAnsi="宋体" w:cs="宋体"/>
          <w:color w:val="auto"/>
          <w:kern w:val="0"/>
          <w:sz w:val="24"/>
          <w:szCs w:val="24"/>
          <w:highlight w:val="none"/>
        </w:rPr>
        <w:t>包括道路运输业，水上运输业，航空运输业，管道运输业，多式联运和运输代理业、装卸搬运，不包括铁路运输业；</w:t>
      </w:r>
      <w:r>
        <w:rPr>
          <w:rFonts w:hint="eastAsia" w:ascii="宋体" w:hAnsi="宋体" w:cs="宋体"/>
          <w:b/>
          <w:bCs/>
          <w:color w:val="auto"/>
          <w:kern w:val="0"/>
          <w:sz w:val="24"/>
          <w:szCs w:val="24"/>
          <w:highlight w:val="none"/>
        </w:rPr>
        <w:t>仓储业</w:t>
      </w:r>
      <w:r>
        <w:rPr>
          <w:rFonts w:hint="eastAsia" w:ascii="宋体" w:hAnsi="宋体" w:cs="宋体"/>
          <w:color w:val="auto"/>
          <w:kern w:val="0"/>
          <w:sz w:val="24"/>
          <w:szCs w:val="24"/>
          <w:highlight w:val="none"/>
        </w:rPr>
        <w:t>包括通用仓储，低温仓储，危险品仓储，谷物、棉花等农产品仓储，中药材仓储和其他仓储业；</w:t>
      </w:r>
      <w:r>
        <w:rPr>
          <w:rFonts w:hint="eastAsia" w:ascii="宋体" w:hAnsi="宋体" w:cs="宋体"/>
          <w:b/>
          <w:bCs/>
          <w:color w:val="auto"/>
          <w:kern w:val="0"/>
          <w:sz w:val="24"/>
          <w:szCs w:val="24"/>
          <w:highlight w:val="none"/>
        </w:rPr>
        <w:t>信息传输业</w:t>
      </w:r>
      <w:r>
        <w:rPr>
          <w:rFonts w:hint="eastAsia" w:ascii="宋体" w:hAnsi="宋体" w:cs="宋体"/>
          <w:color w:val="auto"/>
          <w:kern w:val="0"/>
          <w:sz w:val="24"/>
          <w:szCs w:val="24"/>
          <w:highlight w:val="none"/>
        </w:rPr>
        <w:t>包括电信、广播电视和卫星传输服务，互联网和相关服务；</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 xml:space="preserve">   </w:t>
      </w:r>
      <w:r>
        <w:rPr>
          <w:rFonts w:hint="eastAsia" w:ascii="宋体" w:hAnsi="宋体" w:cs="宋体"/>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7DD66C69">
      <w:pPr>
        <w:widowControl w:val="0"/>
        <w:numPr>
          <w:ilvl w:val="0"/>
          <w:numId w:val="6"/>
        </w:numPr>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企业划分指标以现行统计制度为准。</w:t>
      </w:r>
    </w:p>
    <w:p w14:paraId="5CC3F3F6">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（1）从业人员，是指期末从业人员数，没有期末从业人员数的，采用全年平均人员数代替。</w:t>
      </w:r>
    </w:p>
    <w:p w14:paraId="48761E0A">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2B244AB">
      <w:pPr>
        <w:widowControl w:val="0"/>
        <w:spacing w:line="420" w:lineRule="exact"/>
        <w:ind w:left="420" w:left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（3）资产总额，采用资产总计代替。</w:t>
      </w:r>
    </w:p>
    <w:p w14:paraId="4310A3F7">
      <w:pPr>
        <w:numPr>
          <w:ilvl w:val="0"/>
          <w:numId w:val="0"/>
        </w:numPr>
        <w:wordWrap w:val="0"/>
        <w:topLinePunct/>
        <w:spacing w:line="500" w:lineRule="exact"/>
        <w:ind w:left="420" w:leftChars="0"/>
        <w:rPr>
          <w:rFonts w:hint="eastAsia" w:asciiTheme="majorEastAsia" w:hAnsiTheme="majorEastAsia" w:eastAsiaTheme="majorEastAsia" w:cstheme="majorEastAsia"/>
          <w:sz w:val="24"/>
          <w:szCs w:val="24"/>
        </w:rPr>
      </w:pPr>
    </w:p>
    <w:p w14:paraId="359C9FFF">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14:paraId="5BC69383">
      <w:p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bCs/>
          <w:color w:val="auto"/>
          <w:sz w:val="24"/>
          <w:szCs w:val="24"/>
          <w:highlight w:val="none"/>
          <w:lang w:eastAsia="zh-CN"/>
        </w:rPr>
        <w:t>附件</w:t>
      </w:r>
      <w:r>
        <w:rPr>
          <w:rFonts w:hint="eastAsia" w:ascii="宋体" w:hAnsi="宋体" w:cs="宋体"/>
          <w:b/>
          <w:bCs/>
          <w:color w:val="auto"/>
          <w:sz w:val="24"/>
          <w:szCs w:val="24"/>
          <w:highlight w:val="none"/>
          <w:lang w:val="en-US" w:eastAsia="zh-CN"/>
        </w:rPr>
        <w:t>6：</w:t>
      </w:r>
    </w:p>
    <w:p w14:paraId="780DA0D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质疑函范本</w:t>
      </w:r>
    </w:p>
    <w:p w14:paraId="1013B0BD">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E0FB52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45A6246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5CD37D3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49968DC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03FB1D3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7B0A3B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6C999A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678A721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3A84FC5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533748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6E5F39F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 xml:space="preserve">获取日期: </w:t>
      </w:r>
    </w:p>
    <w:p w14:paraId="5D2DBA04">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4F4D7DC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7359B50C">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1C5F0F39">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61A9C82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F579B6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00DA052">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45DB980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DB0851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C9AF1E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6DE954D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087D303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4BE27E3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7AE05F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19A685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EC9242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6967D4B2">
      <w:pPr>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eastAsia="zh-CN"/>
        </w:rPr>
        <w:t>章。</w:t>
      </w:r>
    </w:p>
    <w:p w14:paraId="53FDAEF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3C6A486A">
      <w:pPr>
        <w:numPr>
          <w:ilvl w:val="0"/>
          <w:numId w:val="2"/>
        </w:numPr>
        <w:ind w:left="0" w:leftChars="0" w:firstLine="0" w:firstLineChars="0"/>
        <w:jc w:val="center"/>
        <w:rPr>
          <w:rFonts w:hint="eastAsia" w:cs="宋体"/>
          <w:b/>
          <w:bCs/>
          <w:sz w:val="30"/>
          <w:szCs w:val="30"/>
          <w:lang w:eastAsia="zh-CN"/>
        </w:rPr>
      </w:pPr>
      <w:r>
        <w:rPr>
          <w:rFonts w:hint="eastAsia" w:cs="宋体"/>
          <w:b/>
          <w:bCs/>
          <w:sz w:val="30"/>
          <w:szCs w:val="30"/>
          <w:lang w:eastAsia="zh-CN"/>
        </w:rPr>
        <w:t>服务</w:t>
      </w:r>
      <w:r>
        <w:rPr>
          <w:rFonts w:hint="eastAsia" w:ascii="宋体" w:cs="宋体"/>
          <w:b/>
          <w:bCs/>
          <w:sz w:val="30"/>
          <w:szCs w:val="30"/>
        </w:rPr>
        <w:t>内容及技术</w:t>
      </w:r>
      <w:r>
        <w:rPr>
          <w:rFonts w:hint="eastAsia" w:cs="宋体"/>
          <w:b/>
          <w:bCs/>
          <w:sz w:val="30"/>
          <w:szCs w:val="30"/>
          <w:lang w:eastAsia="zh-CN"/>
        </w:rPr>
        <w:t>要求</w:t>
      </w:r>
    </w:p>
    <w:p w14:paraId="676F304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、项目概况</w:t>
      </w:r>
    </w:p>
    <w:p w14:paraId="0AF7018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卢氏县2026年度国土空间总体规划动态调整完善工作项目</w:t>
      </w:r>
    </w:p>
    <w:p w14:paraId="70A4EE8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2、项目编号：三卢竞磋采购-2026-34、LSGZ[2026]091-ZC067</w:t>
      </w:r>
    </w:p>
    <w:p w14:paraId="4101DD08">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rPr>
        <w:t>3、磋商</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对卢氏县</w:t>
      </w:r>
      <w:r>
        <w:rPr>
          <w:rFonts w:hint="eastAsia" w:ascii="宋体" w:hAnsi="宋体" w:eastAsia="宋体" w:cs="宋体"/>
          <w:color w:val="auto"/>
          <w:sz w:val="24"/>
          <w:szCs w:val="24"/>
          <w:lang w:val="en-US" w:eastAsia="zh-CN"/>
        </w:rPr>
        <w:t>2026年国土空间规划</w:t>
      </w:r>
      <w:r>
        <w:rPr>
          <w:rFonts w:hint="eastAsia" w:ascii="宋体" w:hAnsi="宋体" w:eastAsia="宋体" w:cs="宋体"/>
          <w:color w:val="auto"/>
          <w:sz w:val="24"/>
          <w:szCs w:val="24"/>
          <w:lang w:eastAsia="zh-CN"/>
        </w:rPr>
        <w:t>三条控制线动态调整、规划分区动态调整、中心城区用地规划布局动态调整、城市重要控制线动态调整等；</w:t>
      </w:r>
      <w:r>
        <w:rPr>
          <w:rFonts w:hint="eastAsia" w:ascii="宋体" w:hAnsi="宋体" w:eastAsia="宋体" w:cs="宋体"/>
          <w:sz w:val="24"/>
          <w:szCs w:val="24"/>
          <w:lang w:val="en-US" w:eastAsia="zh-CN"/>
        </w:rPr>
        <w:t>（详见磋商文件第三章服务内容及技术要求）</w:t>
      </w:r>
    </w:p>
    <w:p w14:paraId="6E877F91">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4</w:t>
      </w: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r>
        <w:rPr>
          <w:rFonts w:hint="eastAsia" w:ascii="宋体" w:hAnsi="宋体" w:eastAsia="宋体" w:cs="宋体"/>
          <w:sz w:val="24"/>
          <w:szCs w:val="24"/>
        </w:rPr>
        <w:t>，已落实</w:t>
      </w:r>
      <w:r>
        <w:rPr>
          <w:rFonts w:hint="eastAsia" w:ascii="宋体" w:hAnsi="宋体" w:eastAsia="宋体" w:cs="宋体"/>
          <w:sz w:val="24"/>
          <w:szCs w:val="24"/>
          <w:lang w:eastAsia="zh-CN"/>
        </w:rPr>
        <w:t>；</w:t>
      </w:r>
    </w:p>
    <w:p w14:paraId="2FD24158">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、标段划分：本项目</w:t>
      </w:r>
      <w:r>
        <w:rPr>
          <w:rFonts w:hint="eastAsia" w:ascii="宋体" w:hAnsi="宋体" w:eastAsia="宋体" w:cs="宋体"/>
          <w:sz w:val="24"/>
          <w:szCs w:val="24"/>
          <w:lang w:eastAsia="zh-CN"/>
        </w:rPr>
        <w:t>不</w:t>
      </w:r>
      <w:r>
        <w:rPr>
          <w:rFonts w:hint="eastAsia" w:ascii="宋体" w:hAnsi="宋体" w:eastAsia="宋体" w:cs="宋体"/>
          <w:sz w:val="24"/>
          <w:szCs w:val="24"/>
        </w:rPr>
        <w:t>划分标段；</w:t>
      </w:r>
    </w:p>
    <w:p w14:paraId="443BBCC9">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kern w:val="0"/>
          <w:sz w:val="24"/>
        </w:rPr>
        <w:t>预算金额：</w:t>
      </w:r>
      <w:r>
        <w:rPr>
          <w:rFonts w:hint="eastAsia" w:ascii="宋体" w:hAnsi="宋体"/>
          <w:sz w:val="24"/>
        </w:rPr>
        <w:t>￥</w:t>
      </w:r>
      <w:r>
        <w:rPr>
          <w:rFonts w:hint="eastAsia" w:ascii="宋体" w:hAnsi="宋体" w:cs="宋体"/>
          <w:kern w:val="0"/>
          <w:sz w:val="24"/>
          <w:lang w:val="en-US" w:eastAsia="zh-CN"/>
        </w:rPr>
        <w:t>856200.00</w:t>
      </w:r>
      <w:r>
        <w:rPr>
          <w:rFonts w:hint="eastAsia" w:ascii="宋体" w:hAnsi="宋体" w:cs="宋体"/>
          <w:sz w:val="24"/>
        </w:rPr>
        <w:t>元</w:t>
      </w:r>
    </w:p>
    <w:p w14:paraId="16CD0CEA">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服务</w:t>
      </w:r>
      <w:r>
        <w:rPr>
          <w:rFonts w:hint="eastAsia" w:ascii="宋体" w:hAnsi="宋体" w:eastAsia="宋体" w:cs="宋体"/>
          <w:sz w:val="24"/>
          <w:szCs w:val="24"/>
        </w:rPr>
        <w:t>地点：</w:t>
      </w:r>
      <w:r>
        <w:rPr>
          <w:rFonts w:hint="eastAsia" w:ascii="宋体" w:hAnsi="宋体" w:eastAsia="宋体" w:cs="宋体"/>
          <w:sz w:val="24"/>
          <w:szCs w:val="24"/>
          <w:lang w:eastAsia="zh-CN"/>
        </w:rPr>
        <w:t>采购人指定地点</w:t>
      </w:r>
      <w:r>
        <w:rPr>
          <w:rFonts w:hint="eastAsia" w:ascii="宋体" w:hAnsi="宋体" w:eastAsia="宋体" w:cs="宋体"/>
          <w:sz w:val="24"/>
          <w:szCs w:val="24"/>
        </w:rPr>
        <w:t>；</w:t>
      </w:r>
    </w:p>
    <w:p w14:paraId="1FF89633">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服务期限</w:t>
      </w:r>
      <w:r>
        <w:rPr>
          <w:rFonts w:hint="eastAsia" w:ascii="宋体" w:hAnsi="宋体" w:eastAsia="宋体" w:cs="宋体"/>
          <w:sz w:val="24"/>
          <w:szCs w:val="24"/>
        </w:rPr>
        <w:t>：</w:t>
      </w:r>
      <w:r>
        <w:rPr>
          <w:rFonts w:hint="eastAsia" w:ascii="宋体" w:hAnsi="宋体" w:eastAsia="宋体" w:cs="宋体"/>
          <w:b w:val="0"/>
          <w:bCs w:val="0"/>
          <w:color w:val="000000" w:themeColor="text1"/>
          <w:kern w:val="0"/>
          <w:sz w:val="24"/>
          <w:szCs w:val="24"/>
          <w:shd w:val="clear" w:color="auto" w:fill="FFFFFF"/>
          <w:lang w:val="en-US" w:eastAsia="zh-CN"/>
          <w14:textFill>
            <w14:solidFill>
              <w14:schemeClr w14:val="tx1"/>
            </w14:solidFill>
          </w14:textFill>
        </w:rPr>
        <w:t>合同签订后45日历天内完成</w:t>
      </w:r>
      <w:r>
        <w:rPr>
          <w:rFonts w:hint="eastAsia" w:ascii="宋体" w:hAnsi="宋体" w:eastAsia="宋体" w:cs="宋体"/>
          <w:color w:val="000000" w:themeColor="text1"/>
          <w:sz w:val="24"/>
          <w:szCs w:val="24"/>
          <w:lang w:eastAsia="zh-CN"/>
          <w14:textFill>
            <w14:solidFill>
              <w14:schemeClr w14:val="tx1"/>
            </w14:solidFill>
          </w14:textFill>
        </w:rPr>
        <w:t>；</w:t>
      </w:r>
    </w:p>
    <w:p w14:paraId="08127C2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质量要求</w:t>
      </w:r>
      <w:r>
        <w:rPr>
          <w:rFonts w:hint="eastAsia" w:ascii="宋体" w:hAnsi="宋体" w:eastAsia="宋体" w:cs="宋体"/>
          <w:sz w:val="24"/>
          <w:szCs w:val="24"/>
        </w:rPr>
        <w:t>：</w:t>
      </w:r>
      <w:r>
        <w:rPr>
          <w:rFonts w:hint="eastAsia" w:asciiTheme="minorEastAsia" w:hAnsiTheme="minorEastAsia" w:eastAsiaTheme="minorEastAsia" w:cstheme="minorEastAsia"/>
          <w:kern w:val="0"/>
          <w:sz w:val="24"/>
          <w:szCs w:val="24"/>
          <w:shd w:val="clear" w:color="auto" w:fill="FFFFFF"/>
        </w:rPr>
        <w:t>符合国家合格标准，且满足采购人要求</w:t>
      </w:r>
      <w:r>
        <w:rPr>
          <w:rFonts w:hint="eastAsia" w:ascii="宋体" w:hAnsi="宋体" w:eastAsia="宋体" w:cs="宋体"/>
          <w:sz w:val="24"/>
          <w:szCs w:val="24"/>
          <w:lang w:val="en-US" w:eastAsia="zh-CN"/>
        </w:rPr>
        <w:t>；</w:t>
      </w:r>
    </w:p>
    <w:p w14:paraId="3427E4D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10、是否接受进口产品：否；</w:t>
      </w:r>
    </w:p>
    <w:p w14:paraId="28B09D51">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11、是否专门面向中小企业：否；</w:t>
      </w:r>
    </w:p>
    <w:p w14:paraId="0B720CA2">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sz w:val="24"/>
          <w:szCs w:val="24"/>
          <w:lang w:val="en-US" w:eastAsia="zh-CN"/>
        </w:rPr>
        <w:t>2、本项目是否接受联合体投标：是。</w:t>
      </w:r>
    </w:p>
    <w:p w14:paraId="0C31F12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二、项目开展范围</w:t>
      </w:r>
    </w:p>
    <w:p w14:paraId="3A80D02B">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1、三条控制线动态调整</w:t>
      </w:r>
    </w:p>
    <w:p w14:paraId="6F62F06D">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2、规划分区动态调整</w:t>
      </w:r>
    </w:p>
    <w:p w14:paraId="4B773F2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3、中心城区用地规划布局动态调整</w:t>
      </w:r>
    </w:p>
    <w:p w14:paraId="076784F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4、城市重要控制线动态调整</w:t>
      </w:r>
    </w:p>
    <w:p w14:paraId="7996BA7E">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5、其他重要控制线</w:t>
      </w:r>
    </w:p>
    <w:p w14:paraId="41200E91">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6、重点建设项目清单</w:t>
      </w:r>
    </w:p>
    <w:p w14:paraId="1A7E1EB2">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7、乡镇主体功能定位</w:t>
      </w:r>
    </w:p>
    <w:p w14:paraId="4CD24E2F">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8、其他需要维护的内容</w:t>
      </w:r>
    </w:p>
    <w:p w14:paraId="348B11DC">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三、工作流程和要求</w:t>
      </w:r>
    </w:p>
    <w:p w14:paraId="66266FCD">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sz w:val="24"/>
          <w:szCs w:val="24"/>
          <w:lang w:val="ja-JP" w:eastAsia="zh-CN"/>
        </w:rPr>
      </w:pPr>
      <w:r>
        <w:rPr>
          <w:rFonts w:hint="eastAsia" w:ascii="宋体" w:hAnsi="宋体" w:eastAsia="宋体" w:cs="宋体"/>
          <w:sz w:val="24"/>
          <w:szCs w:val="24"/>
          <w:lang w:val="en-US" w:eastAsia="zh-CN"/>
        </w:rPr>
        <w:t>1、资料收集</w:t>
      </w:r>
      <w:r>
        <w:rPr>
          <w:rFonts w:hint="eastAsia" w:ascii="宋体" w:hAnsi="宋体" w:eastAsia="宋体" w:cs="宋体"/>
          <w:sz w:val="24"/>
          <w:szCs w:val="24"/>
          <w:lang w:val="ja-JP" w:eastAsia="ja-JP"/>
        </w:rPr>
        <w:t>与整理</w:t>
      </w:r>
      <w:r>
        <w:rPr>
          <w:rFonts w:hint="eastAsia" w:ascii="宋体" w:hAnsi="宋体" w:eastAsia="宋体" w:cs="宋体"/>
          <w:sz w:val="24"/>
          <w:szCs w:val="24"/>
          <w:lang w:val="ja-JP" w:eastAsia="zh-CN"/>
        </w:rPr>
        <w:t>。收集项目相关资料,对接各相关单位和乡镇,实地调研对接。</w:t>
      </w:r>
    </w:p>
    <w:p w14:paraId="243327E9">
      <w:pPr>
        <w:keepNext w:val="0"/>
        <w:keepLines w:val="0"/>
        <w:pageBreakBefore w:val="0"/>
        <w:widowControl w:val="0"/>
        <w:kinsoku/>
        <w:overflowPunct/>
        <w:autoSpaceDE/>
        <w:autoSpaceDN/>
        <w:bidi w:val="0"/>
        <w:adjustRightInd/>
        <w:snapToGrid/>
        <w:spacing w:line="480" w:lineRule="exact"/>
        <w:ind w:firstLine="480" w:firstLineChars="200"/>
        <w:textAlignment w:val="auto"/>
        <w:rPr>
          <w:rStyle w:val="64"/>
          <w:rFonts w:hint="eastAsia" w:eastAsia="宋体"/>
          <w:b w:val="0"/>
          <w:bCs w:val="0"/>
          <w:i w:val="0"/>
          <w:iCs w:val="0"/>
          <w:smallCaps w:val="0"/>
          <w:strike w:val="0"/>
          <w:lang w:val="en-US" w:eastAsia="zh-CN" w:bidi="ja-JP"/>
        </w:rPr>
      </w:pPr>
      <w:r>
        <w:rPr>
          <w:rFonts w:hint="eastAsia" w:ascii="宋体" w:hAnsi="宋体" w:eastAsia="宋体" w:cs="宋体"/>
          <w:sz w:val="24"/>
          <w:szCs w:val="24"/>
          <w:lang w:val="en-US" w:eastAsia="zh-CN"/>
        </w:rPr>
        <w:t>2、动态维护方案编制。规划实</w:t>
      </w:r>
      <w:r>
        <w:rPr>
          <w:rFonts w:hint="eastAsia" w:ascii="宋体" w:hAnsi="宋体" w:eastAsia="宋体" w:cs="宋体"/>
          <w:sz w:val="24"/>
          <w:szCs w:val="24"/>
          <w:lang w:val="ja-JP" w:eastAsia="ja-JP"/>
        </w:rPr>
        <w:t>施</w:t>
      </w:r>
      <w:r>
        <w:rPr>
          <w:rFonts w:hint="eastAsia" w:ascii="宋体" w:hAnsi="宋体" w:eastAsia="宋体" w:cs="宋体"/>
          <w:sz w:val="24"/>
          <w:szCs w:val="24"/>
          <w:lang w:val="en-US" w:eastAsia="zh-CN"/>
        </w:rPr>
        <w:t>情</w:t>
      </w:r>
      <w:r>
        <w:rPr>
          <w:rFonts w:hint="eastAsia" w:ascii="宋体" w:hAnsi="宋体" w:eastAsia="宋体" w:cs="宋体"/>
          <w:sz w:val="24"/>
          <w:szCs w:val="24"/>
          <w:lang w:val="ja-JP" w:eastAsia="ja-JP"/>
        </w:rPr>
        <w:t>况</w:t>
      </w:r>
      <w:r>
        <w:rPr>
          <w:rFonts w:hint="eastAsia" w:ascii="宋体" w:hAnsi="宋体" w:eastAsia="宋体" w:cs="宋体"/>
          <w:sz w:val="24"/>
          <w:szCs w:val="24"/>
          <w:lang w:val="en-US" w:eastAsia="zh-CN"/>
        </w:rPr>
        <w:t>分析，结合</w:t>
      </w:r>
      <w:r>
        <w:rPr>
          <w:rFonts w:hint="eastAsia" w:ascii="宋体" w:hAnsi="宋体" w:eastAsia="宋体" w:cs="宋体"/>
          <w:sz w:val="24"/>
          <w:szCs w:val="24"/>
          <w:lang w:val="ja-JP" w:eastAsia="ja-JP"/>
        </w:rPr>
        <w:t>国土</w:t>
      </w:r>
      <w:r>
        <w:rPr>
          <w:rFonts w:hint="eastAsia" w:ascii="宋体" w:hAnsi="宋体" w:eastAsia="宋体" w:cs="宋体"/>
          <w:sz w:val="24"/>
          <w:szCs w:val="24"/>
          <w:lang w:val="en-US" w:eastAsia="zh-CN"/>
        </w:rPr>
        <w:t>空间规划体检,对卢氏 县</w:t>
      </w:r>
      <w:r>
        <w:rPr>
          <w:rFonts w:hint="eastAsia" w:ascii="宋体" w:hAnsi="宋体" w:eastAsia="宋体" w:cs="宋体"/>
          <w:sz w:val="24"/>
          <w:szCs w:val="24"/>
          <w:lang w:val="ja-JP" w:eastAsia="ja-JP"/>
        </w:rPr>
        <w:t>国土</w:t>
      </w:r>
      <w:r>
        <w:rPr>
          <w:rFonts w:hint="eastAsia" w:ascii="宋体" w:hAnsi="宋体" w:eastAsia="宋体" w:cs="宋体"/>
          <w:sz w:val="24"/>
          <w:szCs w:val="24"/>
          <w:lang w:val="en-US" w:eastAsia="zh-CN"/>
        </w:rPr>
        <w:t>空</w:t>
      </w:r>
      <w:r>
        <w:rPr>
          <w:rFonts w:hint="eastAsia" w:ascii="宋体" w:hAnsi="宋体" w:eastAsia="宋体" w:cs="宋体"/>
          <w:sz w:val="24"/>
          <w:szCs w:val="24"/>
          <w:lang w:val="ja-JP" w:eastAsia="ja-JP"/>
        </w:rPr>
        <w:t>间</w:t>
      </w:r>
      <w:r>
        <w:rPr>
          <w:rFonts w:hint="eastAsia" w:ascii="宋体" w:hAnsi="宋体" w:eastAsia="宋体" w:cs="宋体"/>
          <w:sz w:val="24"/>
          <w:szCs w:val="24"/>
          <w:lang w:val="en-US" w:eastAsia="zh-CN"/>
        </w:rPr>
        <w:t>总体规</w:t>
      </w:r>
      <w:r>
        <w:rPr>
          <w:rFonts w:hint="eastAsia" w:ascii="宋体" w:hAnsi="宋体" w:eastAsia="宋体" w:cs="宋体"/>
          <w:sz w:val="24"/>
          <w:szCs w:val="24"/>
          <w:lang w:val="ja-JP" w:eastAsia="ja-JP"/>
        </w:rPr>
        <w:t>划</w:t>
      </w:r>
      <w:r>
        <w:rPr>
          <w:rFonts w:hint="eastAsia" w:ascii="宋体" w:hAnsi="宋体" w:eastAsia="宋体" w:cs="宋体"/>
          <w:sz w:val="24"/>
          <w:szCs w:val="24"/>
          <w:lang w:val="en-US" w:eastAsia="zh-CN"/>
        </w:rPr>
        <w:t>的实施成</w:t>
      </w:r>
      <w:r>
        <w:rPr>
          <w:rFonts w:hint="eastAsia" w:ascii="宋体" w:hAnsi="宋体" w:eastAsia="宋体" w:cs="宋体"/>
          <w:sz w:val="24"/>
          <w:szCs w:val="24"/>
          <w:lang w:val="ja-JP" w:eastAsia="ja-JP"/>
        </w:rPr>
        <w:t>效 、</w:t>
      </w:r>
      <w:r>
        <w:rPr>
          <w:rFonts w:hint="eastAsia" w:ascii="宋体" w:hAnsi="宋体" w:eastAsia="宋体" w:cs="宋体"/>
          <w:sz w:val="24"/>
          <w:szCs w:val="24"/>
          <w:lang w:val="en-US" w:eastAsia="zh-CN"/>
        </w:rPr>
        <w:t>问题等</w:t>
      </w:r>
      <w:r>
        <w:rPr>
          <w:rFonts w:hint="eastAsia" w:ascii="宋体" w:hAnsi="宋体" w:eastAsia="宋体" w:cs="宋体"/>
          <w:sz w:val="24"/>
          <w:szCs w:val="24"/>
          <w:lang w:val="ja-JP" w:eastAsia="ja-JP"/>
        </w:rPr>
        <w:t>内容</w:t>
      </w:r>
      <w:r>
        <w:rPr>
          <w:rFonts w:hint="eastAsia" w:ascii="宋体" w:hAnsi="宋体" w:eastAsia="宋体" w:cs="宋体"/>
          <w:sz w:val="24"/>
          <w:szCs w:val="24"/>
          <w:lang w:val="en-US" w:eastAsia="zh-CN"/>
        </w:rPr>
        <w:t>分析。</w:t>
      </w:r>
      <w:r>
        <w:rPr>
          <w:rFonts w:hint="eastAsia" w:ascii="宋体" w:hAnsi="宋体" w:eastAsia="宋体" w:cs="宋体"/>
          <w:sz w:val="24"/>
          <w:szCs w:val="24"/>
          <w:lang w:val="ja-JP" w:eastAsia="ja-JP"/>
        </w:rPr>
        <w:t>三条控制</w:t>
      </w:r>
      <w:r>
        <w:rPr>
          <w:rFonts w:hint="eastAsia" w:ascii="宋体" w:hAnsi="宋体" w:eastAsia="宋体" w:cs="宋体"/>
          <w:sz w:val="24"/>
          <w:szCs w:val="24"/>
          <w:lang w:val="en-US" w:eastAsia="zh-CN"/>
        </w:rPr>
        <w:t>线，</w:t>
      </w:r>
      <w:r>
        <w:rPr>
          <w:rFonts w:hint="eastAsia" w:ascii="宋体" w:hAnsi="宋体" w:eastAsia="宋体" w:cs="宋体"/>
          <w:sz w:val="24"/>
          <w:szCs w:val="24"/>
          <w:lang w:val="ja-JP" w:eastAsia="ja-JP"/>
        </w:rPr>
        <w:t>永久</w:t>
      </w:r>
      <w:r>
        <w:rPr>
          <w:rFonts w:hint="eastAsia" w:ascii="宋体" w:hAnsi="宋体" w:eastAsia="宋体" w:cs="宋体"/>
          <w:sz w:val="24"/>
          <w:szCs w:val="24"/>
          <w:lang w:val="en-US" w:eastAsia="zh-CN"/>
        </w:rPr>
        <w:t>基本农田、生态红线城镇</w:t>
      </w:r>
      <w:r>
        <w:rPr>
          <w:rFonts w:hint="eastAsia" w:ascii="宋体" w:hAnsi="宋体" w:eastAsia="宋体" w:cs="宋体"/>
          <w:sz w:val="24"/>
          <w:szCs w:val="24"/>
          <w:lang w:val="ja-JP" w:eastAsia="ja-JP"/>
        </w:rPr>
        <w:t>开</w:t>
      </w:r>
      <w:r>
        <w:rPr>
          <w:rFonts w:hint="eastAsia" w:ascii="宋体" w:hAnsi="宋体" w:eastAsia="宋体" w:cs="宋体"/>
          <w:sz w:val="24"/>
          <w:szCs w:val="24"/>
          <w:lang w:val="en-US" w:eastAsia="zh-CN"/>
        </w:rPr>
        <w:t>发边界</w:t>
      </w:r>
      <w:r>
        <w:rPr>
          <w:rFonts w:hint="eastAsia" w:ascii="宋体" w:hAnsi="宋体" w:eastAsia="宋体" w:cs="宋体"/>
          <w:sz w:val="24"/>
          <w:szCs w:val="24"/>
          <w:lang w:val="ja-JP" w:eastAsia="ja-JP"/>
        </w:rPr>
        <w:t>三条控</w:t>
      </w:r>
      <w:r>
        <w:rPr>
          <w:rFonts w:hint="eastAsia" w:ascii="宋体" w:hAnsi="宋体" w:eastAsia="宋体" w:cs="宋体"/>
          <w:sz w:val="24"/>
          <w:szCs w:val="24"/>
          <w:lang w:val="en-US" w:eastAsia="zh-CN"/>
        </w:rPr>
        <w:t>制线按</w:t>
      </w:r>
      <w:r>
        <w:rPr>
          <w:rFonts w:hint="eastAsia" w:ascii="宋体" w:hAnsi="宋体" w:eastAsia="宋体" w:cs="宋体"/>
          <w:sz w:val="24"/>
          <w:szCs w:val="24"/>
          <w:lang w:val="ja-JP" w:eastAsia="ja-JP"/>
        </w:rPr>
        <w:t>照正</w:t>
      </w:r>
      <w:r>
        <w:rPr>
          <w:rFonts w:hint="eastAsia" w:ascii="宋体" w:hAnsi="宋体" w:eastAsia="宋体" w:cs="宋体"/>
          <w:sz w:val="24"/>
          <w:szCs w:val="24"/>
          <w:lang w:val="en-US" w:eastAsia="zh-CN"/>
        </w:rPr>
        <w:t xml:space="preserve">向调 </w:t>
      </w:r>
      <w:r>
        <w:rPr>
          <w:rFonts w:hint="eastAsia" w:ascii="宋体" w:hAnsi="宋体" w:eastAsia="宋体" w:cs="宋体"/>
          <w:sz w:val="24"/>
          <w:szCs w:val="24"/>
          <w:lang w:val="ja-JP" w:eastAsia="ja-JP"/>
        </w:rPr>
        <w:t>整</w:t>
      </w:r>
      <w:r>
        <w:rPr>
          <w:rFonts w:hint="eastAsia" w:ascii="宋体" w:hAnsi="宋体" w:eastAsia="宋体" w:cs="宋体"/>
          <w:sz w:val="24"/>
          <w:szCs w:val="24"/>
          <w:lang w:val="en-US" w:eastAsia="zh-CN"/>
        </w:rPr>
        <w:t>要求</w:t>
      </w:r>
      <w:r>
        <w:rPr>
          <w:rFonts w:hint="eastAsia" w:ascii="宋体" w:hAnsi="宋体" w:eastAsia="宋体" w:cs="宋体"/>
          <w:sz w:val="24"/>
          <w:szCs w:val="24"/>
          <w:lang w:val="ja-JP" w:eastAsia="ja-JP"/>
        </w:rPr>
        <w:t>和</w:t>
      </w:r>
      <w:r>
        <w:rPr>
          <w:rFonts w:hint="eastAsia" w:ascii="宋体" w:hAnsi="宋体" w:eastAsia="宋体" w:cs="宋体"/>
          <w:sz w:val="24"/>
          <w:szCs w:val="24"/>
          <w:lang w:val="en-US" w:eastAsia="zh-CN"/>
        </w:rPr>
        <w:t>自身建设需求进行优</w:t>
      </w:r>
      <w:r>
        <w:rPr>
          <w:rFonts w:hint="eastAsia" w:ascii="宋体" w:hAnsi="宋体" w:eastAsia="宋体" w:cs="宋体"/>
          <w:sz w:val="24"/>
          <w:szCs w:val="24"/>
          <w:lang w:val="ja-JP" w:eastAsia="ja-JP"/>
        </w:rPr>
        <w:t>化</w:t>
      </w:r>
      <w:r>
        <w:rPr>
          <w:rFonts w:hint="eastAsia" w:ascii="宋体" w:hAnsi="宋体" w:eastAsia="宋体" w:cs="宋体"/>
          <w:sz w:val="24"/>
          <w:szCs w:val="24"/>
          <w:lang w:val="en-US" w:eastAsia="zh-CN"/>
        </w:rPr>
        <w:t>调整。规划</w:t>
      </w:r>
      <w:r>
        <w:rPr>
          <w:rFonts w:hint="eastAsia" w:ascii="宋体" w:hAnsi="宋体" w:eastAsia="宋体" w:cs="宋体"/>
          <w:sz w:val="24"/>
          <w:szCs w:val="24"/>
          <w:lang w:val="ja-JP" w:eastAsia="ja-JP"/>
        </w:rPr>
        <w:t>分区</w:t>
      </w:r>
      <w:r>
        <w:rPr>
          <w:rFonts w:hint="eastAsia" w:ascii="宋体" w:hAnsi="宋体" w:eastAsia="宋体" w:cs="宋体"/>
          <w:sz w:val="24"/>
          <w:szCs w:val="24"/>
          <w:lang w:val="ja-JP" w:eastAsia="zh-CN"/>
        </w:rPr>
        <w:t>，</w:t>
      </w:r>
      <w:r>
        <w:rPr>
          <w:rFonts w:hint="eastAsia" w:ascii="宋体" w:hAnsi="宋体" w:eastAsia="宋体" w:cs="宋体"/>
          <w:sz w:val="24"/>
          <w:szCs w:val="24"/>
          <w:lang w:val="ja-JP" w:eastAsia="ja-JP"/>
        </w:rPr>
        <w:t>在确</w:t>
      </w:r>
      <w:r>
        <w:rPr>
          <w:rFonts w:hint="eastAsia" w:ascii="宋体" w:hAnsi="宋体" w:eastAsia="宋体" w:cs="宋体"/>
          <w:sz w:val="24"/>
          <w:szCs w:val="24"/>
          <w:lang w:val="en-US" w:eastAsia="zh-CN"/>
        </w:rPr>
        <w:t>保规划</w:t>
      </w:r>
      <w:r>
        <w:rPr>
          <w:rFonts w:hint="eastAsia" w:ascii="宋体" w:hAnsi="宋体" w:eastAsia="宋体" w:cs="宋体"/>
          <w:sz w:val="24"/>
          <w:szCs w:val="24"/>
          <w:lang w:val="ja-JP" w:eastAsia="ja-JP"/>
        </w:rPr>
        <w:t>分区</w:t>
      </w:r>
      <w:r>
        <w:rPr>
          <w:rFonts w:hint="eastAsia" w:ascii="宋体" w:hAnsi="宋体" w:eastAsia="宋体" w:cs="宋体"/>
          <w:sz w:val="24"/>
          <w:szCs w:val="24"/>
          <w:lang w:val="en-US" w:eastAsia="zh-CN"/>
        </w:rPr>
        <w:t>主导</w:t>
      </w:r>
      <w:r>
        <w:rPr>
          <w:rFonts w:hint="eastAsia" w:ascii="宋体" w:hAnsi="宋体" w:eastAsia="宋体" w:cs="宋体"/>
          <w:sz w:val="24"/>
          <w:szCs w:val="24"/>
          <w:lang w:val="ja-JP" w:eastAsia="ja-JP"/>
        </w:rPr>
        <w:t>功能</w:t>
      </w:r>
      <w:r>
        <w:rPr>
          <w:rFonts w:hint="eastAsia" w:ascii="宋体" w:hAnsi="宋体" w:eastAsia="宋体" w:cs="宋体"/>
          <w:sz w:val="24"/>
          <w:szCs w:val="24"/>
          <w:lang w:val="en-US" w:eastAsia="zh-CN"/>
        </w:rPr>
        <w:t>基本</w:t>
      </w:r>
      <w:r>
        <w:rPr>
          <w:rFonts w:hint="eastAsia" w:ascii="宋体" w:hAnsi="宋体" w:eastAsia="宋体" w:cs="宋体"/>
          <w:sz w:val="24"/>
          <w:szCs w:val="24"/>
          <w:lang w:val="ja-JP" w:eastAsia="ja-JP"/>
        </w:rPr>
        <w:t>稳</w:t>
      </w:r>
      <w:r>
        <w:rPr>
          <w:rFonts w:hint="eastAsia" w:ascii="宋体" w:hAnsi="宋体" w:eastAsia="宋体" w:cs="宋体"/>
          <w:sz w:val="24"/>
          <w:szCs w:val="24"/>
          <w:lang w:val="en-US" w:eastAsia="zh-CN"/>
        </w:rPr>
        <w:t>定的前提</w:t>
      </w:r>
      <w:r>
        <w:rPr>
          <w:rFonts w:hint="eastAsia" w:ascii="宋体" w:hAnsi="宋体" w:eastAsia="宋体" w:cs="宋体"/>
          <w:sz w:val="24"/>
          <w:szCs w:val="24"/>
          <w:lang w:val="ja-JP" w:eastAsia="ja-JP"/>
        </w:rPr>
        <w:t>下,充分</w:t>
      </w:r>
      <w:r>
        <w:rPr>
          <w:rFonts w:hint="eastAsia" w:ascii="宋体" w:hAnsi="宋体" w:eastAsia="宋体" w:cs="宋体"/>
          <w:sz w:val="24"/>
          <w:szCs w:val="24"/>
          <w:lang w:val="en-US" w:eastAsia="zh-CN"/>
        </w:rPr>
        <w:t>考虑生态环境保护、经济布</w:t>
      </w:r>
      <w:r>
        <w:rPr>
          <w:rFonts w:hint="eastAsia" w:ascii="宋体" w:hAnsi="宋体" w:eastAsia="宋体" w:cs="宋体"/>
          <w:sz w:val="24"/>
          <w:szCs w:val="24"/>
          <w:lang w:val="ja-JP" w:eastAsia="ja-JP"/>
        </w:rPr>
        <w:t>局、</w:t>
      </w:r>
      <w:r>
        <w:rPr>
          <w:rFonts w:hint="eastAsia" w:ascii="宋体" w:hAnsi="宋体" w:eastAsia="宋体" w:cs="宋体"/>
          <w:sz w:val="24"/>
          <w:szCs w:val="24"/>
          <w:lang w:val="en-US" w:eastAsia="zh-CN"/>
        </w:rPr>
        <w:t>人口</w:t>
      </w:r>
      <w:r>
        <w:rPr>
          <w:rFonts w:hint="eastAsia" w:ascii="宋体" w:hAnsi="宋体" w:eastAsia="宋体" w:cs="宋体"/>
          <w:sz w:val="24"/>
          <w:szCs w:val="24"/>
          <w:lang w:val="ja-JP" w:eastAsia="ja-JP"/>
        </w:rPr>
        <w:t>分布、国土利</w:t>
      </w:r>
      <w:r>
        <w:rPr>
          <w:rFonts w:hint="eastAsia" w:ascii="宋体" w:hAnsi="宋体" w:eastAsia="宋体" w:cs="宋体"/>
          <w:sz w:val="24"/>
          <w:szCs w:val="24"/>
          <w:lang w:val="en-US" w:eastAsia="zh-CN"/>
        </w:rPr>
        <w:t>用等多项因素,</w:t>
      </w:r>
      <w:r>
        <w:rPr>
          <w:rFonts w:hint="eastAsia" w:ascii="宋体" w:hAnsi="宋体" w:eastAsia="宋体" w:cs="宋体"/>
          <w:sz w:val="24"/>
          <w:szCs w:val="24"/>
          <w:lang w:val="ja-JP" w:eastAsia="ja-JP"/>
        </w:rPr>
        <w:t>可</w:t>
      </w:r>
      <w:r>
        <w:rPr>
          <w:rFonts w:hint="eastAsia" w:ascii="宋体" w:hAnsi="宋体" w:eastAsia="宋体" w:cs="宋体"/>
          <w:sz w:val="24"/>
          <w:szCs w:val="24"/>
          <w:lang w:val="en-US" w:eastAsia="zh-CN"/>
        </w:rPr>
        <w:t>对规划分区进行</w:t>
      </w:r>
      <w:r>
        <w:rPr>
          <w:rFonts w:hint="eastAsia" w:ascii="宋体" w:hAnsi="宋体" w:eastAsia="宋体" w:cs="宋体"/>
          <w:sz w:val="24"/>
          <w:szCs w:val="24"/>
          <w:lang w:val="ja-JP" w:eastAsia="ja-JP"/>
        </w:rPr>
        <w:t>深化</w:t>
      </w:r>
      <w:r>
        <w:rPr>
          <w:rFonts w:hint="eastAsia" w:ascii="宋体" w:hAnsi="宋体" w:eastAsia="宋体" w:cs="宋体"/>
          <w:sz w:val="24"/>
          <w:szCs w:val="24"/>
          <w:lang w:val="en-US" w:eastAsia="zh-CN"/>
        </w:rPr>
        <w:t>细</w:t>
      </w:r>
      <w:r>
        <w:rPr>
          <w:rFonts w:hint="eastAsia" w:ascii="宋体" w:hAnsi="宋体" w:eastAsia="宋体" w:cs="宋体"/>
          <w:sz w:val="24"/>
          <w:szCs w:val="24"/>
          <w:lang w:val="ja-JP" w:eastAsia="ja-JP"/>
        </w:rPr>
        <w:t>化。</w:t>
      </w:r>
      <w:r>
        <w:rPr>
          <w:rFonts w:hint="eastAsia" w:ascii="宋体" w:hAnsi="宋体" w:eastAsia="宋体" w:cs="宋体"/>
          <w:sz w:val="24"/>
          <w:szCs w:val="24"/>
          <w:lang w:val="en-US" w:eastAsia="zh-CN"/>
        </w:rPr>
        <w:t>中心</w:t>
      </w:r>
      <w:r>
        <w:rPr>
          <w:rFonts w:hint="eastAsia" w:ascii="宋体" w:hAnsi="宋体" w:eastAsia="宋体" w:cs="宋体"/>
          <w:sz w:val="24"/>
          <w:szCs w:val="24"/>
          <w:lang w:val="ja-JP" w:eastAsia="ja-JP"/>
        </w:rPr>
        <w:t>城区</w:t>
      </w:r>
      <w:r>
        <w:rPr>
          <w:rFonts w:hint="eastAsia" w:ascii="宋体" w:hAnsi="宋体" w:eastAsia="宋体" w:cs="宋体"/>
          <w:sz w:val="24"/>
          <w:szCs w:val="24"/>
          <w:lang w:val="ja-JP" w:eastAsia="zh-CN"/>
        </w:rPr>
        <w:t>，</w:t>
      </w:r>
      <w:r>
        <w:rPr>
          <w:rFonts w:hint="eastAsia" w:ascii="宋体" w:hAnsi="宋体" w:eastAsia="宋体" w:cs="宋体"/>
          <w:sz w:val="24"/>
          <w:szCs w:val="24"/>
          <w:lang w:val="ja-JP" w:eastAsia="ja-JP"/>
        </w:rPr>
        <w:t>在不</w:t>
      </w:r>
      <w:r>
        <w:rPr>
          <w:rFonts w:hint="eastAsia" w:ascii="宋体" w:hAnsi="宋体" w:eastAsia="宋体" w:cs="宋体"/>
          <w:sz w:val="24"/>
          <w:szCs w:val="24"/>
          <w:lang w:val="en-US" w:eastAsia="zh-CN"/>
        </w:rPr>
        <w:t>涉及规</w:t>
      </w:r>
      <w:r>
        <w:rPr>
          <w:rFonts w:hint="eastAsia" w:ascii="宋体" w:hAnsi="宋体" w:eastAsia="宋体" w:cs="宋体"/>
          <w:sz w:val="24"/>
          <w:szCs w:val="24"/>
          <w:lang w:val="ja-JP" w:eastAsia="ja-JP"/>
        </w:rPr>
        <w:t>划</w:t>
      </w:r>
      <w:r>
        <w:rPr>
          <w:rFonts w:hint="eastAsia" w:ascii="宋体" w:hAnsi="宋体" w:eastAsia="宋体" w:cs="宋体"/>
          <w:sz w:val="24"/>
          <w:szCs w:val="24"/>
          <w:lang w:val="en-US" w:eastAsia="zh-CN"/>
        </w:rPr>
        <w:t>强制性</w:t>
      </w:r>
      <w:r>
        <w:rPr>
          <w:rFonts w:hint="eastAsia" w:ascii="宋体" w:hAnsi="宋体" w:eastAsia="宋体" w:cs="宋体"/>
          <w:sz w:val="24"/>
          <w:szCs w:val="24"/>
          <w:lang w:val="ja-JP" w:eastAsia="ja-JP"/>
        </w:rPr>
        <w:t>内容、确保布局和空</w:t>
      </w:r>
      <w:r>
        <w:rPr>
          <w:rFonts w:hint="eastAsia" w:ascii="宋体" w:hAnsi="宋体" w:eastAsia="宋体" w:cs="宋体"/>
          <w:sz w:val="24"/>
          <w:szCs w:val="24"/>
          <w:lang w:val="en-US" w:eastAsia="zh-CN"/>
        </w:rPr>
        <w:t>间结构基本</w:t>
      </w:r>
      <w:r>
        <w:rPr>
          <w:rFonts w:hint="eastAsia" w:ascii="宋体" w:hAnsi="宋体" w:eastAsia="宋体" w:cs="宋体"/>
          <w:sz w:val="24"/>
          <w:szCs w:val="24"/>
          <w:lang w:val="ja-JP" w:eastAsia="ja-JP"/>
        </w:rPr>
        <w:t>稳</w:t>
      </w:r>
      <w:r>
        <w:rPr>
          <w:rFonts w:hint="eastAsia" w:ascii="宋体" w:hAnsi="宋体" w:eastAsia="宋体" w:cs="宋体"/>
          <w:sz w:val="24"/>
          <w:szCs w:val="24"/>
          <w:lang w:val="en-US" w:eastAsia="zh-CN"/>
        </w:rPr>
        <w:t>定的前提</w:t>
      </w:r>
      <w:r>
        <w:rPr>
          <w:rFonts w:hint="eastAsia" w:ascii="宋体" w:hAnsi="宋体" w:eastAsia="宋体" w:cs="宋体"/>
          <w:sz w:val="24"/>
          <w:szCs w:val="24"/>
          <w:lang w:val="ja-JP" w:eastAsia="ja-JP"/>
        </w:rPr>
        <w:t>下,可</w:t>
      </w:r>
      <w:r>
        <w:rPr>
          <w:rFonts w:hint="eastAsia" w:ascii="宋体" w:hAnsi="宋体" w:eastAsia="宋体" w:cs="宋体"/>
          <w:sz w:val="24"/>
          <w:szCs w:val="24"/>
          <w:lang w:val="en-US" w:eastAsia="zh-CN"/>
        </w:rPr>
        <w:t>对经评</w:t>
      </w:r>
      <w:r>
        <w:rPr>
          <w:rFonts w:hint="eastAsia" w:ascii="宋体" w:hAnsi="宋体" w:eastAsia="宋体" w:cs="宋体"/>
          <w:sz w:val="24"/>
          <w:szCs w:val="24"/>
          <w:lang w:val="ja-JP" w:eastAsia="ja-JP"/>
        </w:rPr>
        <w:t>估不适</w:t>
      </w:r>
      <w:r>
        <w:rPr>
          <w:rFonts w:hint="eastAsia" w:ascii="宋体" w:hAnsi="宋体" w:eastAsia="宋体" w:cs="宋体"/>
          <w:sz w:val="24"/>
          <w:szCs w:val="24"/>
          <w:lang w:val="en-US" w:eastAsia="zh-CN"/>
        </w:rPr>
        <w:t>应经济</w:t>
      </w:r>
      <w:r>
        <w:rPr>
          <w:rFonts w:hint="eastAsia" w:ascii="宋体" w:hAnsi="宋体" w:eastAsia="宋体" w:cs="宋体"/>
          <w:sz w:val="24"/>
          <w:szCs w:val="24"/>
          <w:lang w:val="ja-JP" w:eastAsia="ja-JP"/>
        </w:rPr>
        <w:t xml:space="preserve">社会 </w:t>
      </w:r>
      <w:r>
        <w:rPr>
          <w:rFonts w:hint="eastAsia" w:ascii="宋体" w:hAnsi="宋体" w:eastAsia="宋体" w:cs="宋体"/>
          <w:sz w:val="24"/>
          <w:szCs w:val="24"/>
          <w:lang w:val="en-US" w:eastAsia="zh-CN"/>
        </w:rPr>
        <w:t>发展的</w:t>
      </w:r>
      <w:r>
        <w:rPr>
          <w:rFonts w:hint="eastAsia" w:ascii="宋体" w:hAnsi="宋体" w:eastAsia="宋体" w:cs="宋体"/>
          <w:sz w:val="24"/>
          <w:szCs w:val="24"/>
          <w:lang w:val="ja-JP" w:eastAsia="ja-JP"/>
        </w:rPr>
        <w:t>用地</w:t>
      </w:r>
      <w:r>
        <w:rPr>
          <w:rFonts w:hint="eastAsia" w:ascii="宋体" w:hAnsi="宋体" w:eastAsia="宋体" w:cs="宋体"/>
          <w:sz w:val="24"/>
          <w:szCs w:val="24"/>
          <w:lang w:val="en-US" w:eastAsia="zh-CN"/>
        </w:rPr>
        <w:t>规划布局进行优化调 嚓,对详细规划单元</w:t>
      </w:r>
      <w:r>
        <w:rPr>
          <w:rFonts w:hint="eastAsia" w:ascii="宋体" w:hAnsi="宋体" w:eastAsia="宋体" w:cs="宋体"/>
          <w:sz w:val="24"/>
          <w:szCs w:val="24"/>
          <w:lang w:val="ja-JP" w:eastAsia="ja-JP"/>
        </w:rPr>
        <w:t>划</w:t>
      </w:r>
      <w:r>
        <w:rPr>
          <w:rFonts w:hint="eastAsia" w:ascii="宋体" w:hAnsi="宋体" w:eastAsia="宋体" w:cs="宋体"/>
          <w:sz w:val="24"/>
          <w:szCs w:val="24"/>
          <w:lang w:val="en-US" w:eastAsia="zh-CN"/>
        </w:rPr>
        <w:t>分进行优化调</w:t>
      </w:r>
      <w:r>
        <w:rPr>
          <w:rFonts w:hint="eastAsia" w:ascii="宋体" w:hAnsi="宋体" w:eastAsia="宋体" w:cs="宋体"/>
          <w:sz w:val="24"/>
          <w:szCs w:val="24"/>
          <w:lang w:val="ja-JP" w:eastAsia="ja-JP"/>
        </w:rPr>
        <w:t>整。城市内部</w:t>
      </w:r>
      <w:r>
        <w:rPr>
          <w:rFonts w:hint="eastAsia" w:ascii="宋体" w:hAnsi="宋体" w:eastAsia="宋体" w:cs="宋体"/>
          <w:sz w:val="24"/>
          <w:szCs w:val="24"/>
          <w:lang w:val="en-US" w:eastAsia="zh-CN"/>
        </w:rPr>
        <w:t>重要</w:t>
      </w:r>
      <w:r>
        <w:rPr>
          <w:rFonts w:hint="eastAsia" w:ascii="宋体" w:hAnsi="宋体" w:eastAsia="宋体" w:cs="宋体"/>
          <w:sz w:val="24"/>
          <w:szCs w:val="24"/>
          <w:lang w:val="ja-JP" w:eastAsia="ja-JP"/>
        </w:rPr>
        <w:t>控制</w:t>
      </w:r>
      <w:r>
        <w:rPr>
          <w:rFonts w:hint="eastAsia" w:ascii="宋体" w:hAnsi="宋体" w:eastAsia="宋体" w:cs="宋体"/>
          <w:sz w:val="24"/>
          <w:szCs w:val="24"/>
          <w:lang w:val="en-US" w:eastAsia="zh-CN"/>
        </w:rPr>
        <w:t>线，</w:t>
      </w:r>
      <w:r>
        <w:rPr>
          <w:rFonts w:hint="eastAsia" w:ascii="宋体" w:hAnsi="宋体" w:eastAsia="宋体" w:cs="宋体"/>
          <w:sz w:val="24"/>
          <w:szCs w:val="24"/>
          <w:lang w:val="ja-JP" w:eastAsia="ja-JP"/>
        </w:rPr>
        <w:t>在确保</w:t>
      </w:r>
      <w:r>
        <w:rPr>
          <w:rFonts w:hint="eastAsia" w:ascii="宋体" w:hAnsi="宋体" w:eastAsia="宋体" w:cs="宋体"/>
          <w:sz w:val="24"/>
          <w:szCs w:val="24"/>
          <w:lang w:val="en-US" w:eastAsia="zh-CN"/>
        </w:rPr>
        <w:t>规划布</w:t>
      </w:r>
      <w:r>
        <w:rPr>
          <w:rFonts w:hint="eastAsia" w:ascii="宋体" w:hAnsi="宋体" w:eastAsia="宋体" w:cs="宋体"/>
          <w:sz w:val="24"/>
          <w:szCs w:val="24"/>
          <w:lang w:val="ja-JP" w:eastAsia="ja-JP"/>
        </w:rPr>
        <w:t>局</w:t>
      </w:r>
      <w:r>
        <w:rPr>
          <w:rFonts w:hint="eastAsia" w:ascii="宋体" w:hAnsi="宋体" w:eastAsia="宋体" w:cs="宋体"/>
          <w:sz w:val="24"/>
          <w:szCs w:val="24"/>
          <w:lang w:val="en-US" w:eastAsia="zh-CN"/>
        </w:rPr>
        <w:t>和规模基本</w:t>
      </w:r>
      <w:r>
        <w:rPr>
          <w:rFonts w:hint="eastAsia" w:ascii="宋体" w:hAnsi="宋体" w:eastAsia="宋体" w:cs="宋体"/>
          <w:sz w:val="24"/>
          <w:szCs w:val="24"/>
          <w:lang w:val="ja-JP" w:eastAsia="ja-JP"/>
        </w:rPr>
        <w:t>稳</w:t>
      </w:r>
      <w:r>
        <w:rPr>
          <w:rFonts w:hint="eastAsia" w:ascii="宋体" w:hAnsi="宋体" w:eastAsia="宋体" w:cs="宋体"/>
          <w:sz w:val="24"/>
          <w:szCs w:val="24"/>
          <w:lang w:val="en-US" w:eastAsia="zh-CN"/>
        </w:rPr>
        <w:t xml:space="preserve">定 </w:t>
      </w:r>
      <w:r>
        <w:rPr>
          <w:rFonts w:hint="eastAsia" w:ascii="宋体" w:hAnsi="宋体" w:eastAsia="宋体" w:cs="宋体"/>
          <w:sz w:val="24"/>
          <w:szCs w:val="24"/>
          <w:lang w:val="ja-JP" w:eastAsia="ja-JP"/>
        </w:rPr>
        <w:t>、功能不降低、</w:t>
      </w:r>
      <w:r>
        <w:rPr>
          <w:rFonts w:hint="eastAsia" w:ascii="宋体" w:hAnsi="宋体" w:eastAsia="宋体" w:cs="宋体"/>
          <w:sz w:val="24"/>
          <w:szCs w:val="24"/>
          <w:lang w:val="en-US" w:eastAsia="zh-CN"/>
        </w:rPr>
        <w:t>服务范围不改变 的前提</w:t>
      </w:r>
      <w:r>
        <w:rPr>
          <w:rFonts w:hint="eastAsia" w:ascii="宋体" w:hAnsi="宋体" w:eastAsia="宋体" w:cs="宋体"/>
          <w:sz w:val="24"/>
          <w:szCs w:val="24"/>
          <w:lang w:val="ja-JP" w:eastAsia="ja-JP"/>
        </w:rPr>
        <w:t>下,</w:t>
      </w:r>
      <w:r>
        <w:rPr>
          <w:rFonts w:hint="eastAsia" w:ascii="宋体" w:hAnsi="宋体" w:eastAsia="宋体" w:cs="宋体"/>
          <w:sz w:val="24"/>
          <w:szCs w:val="24"/>
          <w:lang w:val="en-US" w:eastAsia="zh-CN"/>
        </w:rPr>
        <w:t>可对</w:t>
      </w:r>
      <w:r>
        <w:rPr>
          <w:rFonts w:hint="eastAsia" w:ascii="宋体" w:hAnsi="宋体" w:eastAsia="宋体" w:cs="宋体"/>
          <w:sz w:val="24"/>
          <w:szCs w:val="24"/>
          <w:lang w:val="ja-JP" w:eastAsia="ja-JP"/>
        </w:rPr>
        <w:t>城市内部</w:t>
      </w:r>
      <w:r>
        <w:rPr>
          <w:rFonts w:hint="eastAsia" w:ascii="宋体" w:hAnsi="宋体" w:eastAsia="宋体" w:cs="宋体"/>
          <w:sz w:val="24"/>
          <w:szCs w:val="24"/>
          <w:lang w:val="en-US" w:eastAsia="zh-CN"/>
        </w:rPr>
        <w:t>重要</w:t>
      </w:r>
      <w:r>
        <w:rPr>
          <w:rFonts w:hint="eastAsia" w:ascii="宋体" w:hAnsi="宋体" w:eastAsia="宋体" w:cs="宋体"/>
          <w:sz w:val="24"/>
          <w:szCs w:val="24"/>
          <w:lang w:val="ja-JP" w:eastAsia="ja-JP"/>
        </w:rPr>
        <w:t xml:space="preserve">控 </w:t>
      </w:r>
      <w:r>
        <w:rPr>
          <w:rFonts w:hint="eastAsia" w:ascii="宋体" w:hAnsi="宋体" w:eastAsia="宋体" w:cs="宋体"/>
          <w:sz w:val="24"/>
          <w:szCs w:val="24"/>
          <w:lang w:val="en-US" w:eastAsia="zh-CN"/>
        </w:rPr>
        <w:t>制线</w:t>
      </w:r>
      <w:r>
        <w:rPr>
          <w:rFonts w:hint="eastAsia" w:ascii="宋体" w:hAnsi="宋体" w:eastAsia="宋体" w:cs="宋体"/>
          <w:sz w:val="24"/>
          <w:szCs w:val="24"/>
          <w:lang w:val="ja-JP" w:eastAsia="ja-JP"/>
        </w:rPr>
        <w:t>(城市</w:t>
      </w:r>
      <w:r>
        <w:rPr>
          <w:rFonts w:hint="eastAsia" w:ascii="宋体" w:hAnsi="宋体" w:eastAsia="宋体" w:cs="宋体"/>
          <w:sz w:val="24"/>
          <w:szCs w:val="24"/>
          <w:lang w:val="en-US" w:eastAsia="zh-CN"/>
        </w:rPr>
        <w:t>绿线、</w:t>
      </w:r>
      <w:r>
        <w:rPr>
          <w:rFonts w:hint="eastAsia" w:ascii="宋体" w:hAnsi="宋体" w:eastAsia="宋体" w:cs="宋体"/>
          <w:sz w:val="24"/>
          <w:szCs w:val="24"/>
          <w:lang w:val="ja-JP" w:eastAsia="ja-JP"/>
        </w:rPr>
        <w:t>城市</w:t>
      </w:r>
      <w:r>
        <w:rPr>
          <w:rFonts w:hint="eastAsia" w:ascii="宋体" w:hAnsi="宋体" w:eastAsia="宋体" w:cs="宋体"/>
          <w:sz w:val="24"/>
          <w:szCs w:val="24"/>
          <w:lang w:val="en-US" w:eastAsia="zh-CN"/>
        </w:rPr>
        <w:t>蓝线、</w:t>
      </w:r>
      <w:r>
        <w:rPr>
          <w:rFonts w:hint="eastAsia" w:ascii="宋体" w:hAnsi="宋体" w:eastAsia="宋体" w:cs="宋体"/>
          <w:sz w:val="24"/>
          <w:szCs w:val="24"/>
          <w:lang w:val="ja-JP" w:eastAsia="ja-JP"/>
        </w:rPr>
        <w:t>城</w:t>
      </w:r>
      <w:r>
        <w:rPr>
          <w:rFonts w:hint="eastAsia" w:ascii="宋体" w:hAnsi="宋体" w:eastAsia="宋体" w:cs="宋体"/>
          <w:sz w:val="24"/>
          <w:szCs w:val="24"/>
          <w:lang w:val="en-US" w:eastAsia="zh-CN"/>
        </w:rPr>
        <w:t>市黄线、</w:t>
      </w:r>
      <w:r>
        <w:rPr>
          <w:rFonts w:hint="eastAsia" w:ascii="宋体" w:hAnsi="宋体" w:eastAsia="宋体" w:cs="宋体"/>
          <w:sz w:val="24"/>
          <w:szCs w:val="24"/>
          <w:lang w:val="ja-JP" w:eastAsia="ja-JP"/>
        </w:rPr>
        <w:t>城市</w:t>
      </w:r>
      <w:r>
        <w:rPr>
          <w:rFonts w:hint="eastAsia" w:ascii="宋体" w:hAnsi="宋体" w:eastAsia="宋体" w:cs="宋体"/>
          <w:sz w:val="24"/>
          <w:szCs w:val="24"/>
          <w:lang w:val="en-US" w:eastAsia="zh-CN"/>
        </w:rPr>
        <w:t>紫线)进行优</w:t>
      </w:r>
      <w:r>
        <w:rPr>
          <w:rFonts w:hint="eastAsia" w:ascii="宋体" w:hAnsi="宋体" w:eastAsia="宋体" w:cs="宋体"/>
          <w:sz w:val="24"/>
          <w:szCs w:val="24"/>
          <w:lang w:val="ja-JP" w:eastAsia="ja-JP"/>
        </w:rPr>
        <w:t>化。</w:t>
      </w:r>
    </w:p>
    <w:p w14:paraId="4D2E13B6">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3、征求相关部门意见。规划动态调整初步成果，由市县自然资源主管部门组织全面征求相关单位的意见，根据反馈意见完善规划动态调整成果，</w:t>
      </w:r>
    </w:p>
    <w:p w14:paraId="5422EF07">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4、听证公示。由市县政府组织对规划动态调整成果开展听证、公示等工作</w:t>
      </w:r>
    </w:p>
    <w:p w14:paraId="333D18B4">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5、市级审核。由市级自然资源主管部门组织对规划动态调整成果(含市本级和所辖县级)开展专家论证评审和合规性审查，修改完善后提请市政府审核。</w:t>
      </w:r>
    </w:p>
    <w:p w14:paraId="35C73B20">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5、省级审查。省自然资源厅对规划动态调整成果开展预审查和正式审查。市自然资源主管部门将初审通过的规划动态调整成果(含市本级和所辖县级)提交至省自然资源厅进行预审查。</w:t>
      </w:r>
    </w:p>
    <w:p w14:paraId="61BDEACD">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7、方案审批。县规划动态调整成果报省政府审批。</w:t>
      </w:r>
    </w:p>
    <w:p w14:paraId="6587D417">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8、成果启用。市县规划动态调整成果在省政府批准后启用。</w:t>
      </w:r>
    </w:p>
    <w:p w14:paraId="0A894196">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9、成果公告。市县规划动态调整成果批准30天内，市县人民政府应当在本行政区域内予以公告(法律法规规定不得公开的内容除外)</w:t>
      </w:r>
    </w:p>
    <w:p w14:paraId="473B6E34">
      <w:pPr>
        <w:keepNext w:val="0"/>
        <w:keepLines w:val="0"/>
        <w:pageBreakBefore w:val="0"/>
        <w:widowControl w:val="0"/>
        <w:kinsoku/>
        <w:overflowPunct/>
        <w:autoSpaceDE/>
        <w:autoSpaceDN/>
        <w:bidi w:val="0"/>
        <w:adjustRightInd/>
        <w:snapToGrid/>
        <w:spacing w:line="480" w:lineRule="exact"/>
        <w:ind w:firstLine="480" w:firstLineChars="200"/>
        <w:textAlignment w:val="auto"/>
        <w:rPr>
          <w:rFonts w:hint="default" w:ascii="宋体" w:hAnsi="宋体" w:eastAsia="宋体" w:cs="宋体"/>
          <w:color w:val="FF0000"/>
          <w:sz w:val="24"/>
          <w:szCs w:val="24"/>
          <w:lang w:val="en-US" w:eastAsia="zh-CN"/>
        </w:rPr>
      </w:pPr>
    </w:p>
    <w:p w14:paraId="769C6A97">
      <w:pPr>
        <w:numPr>
          <w:ilvl w:val="0"/>
          <w:numId w:val="0"/>
        </w:numPr>
        <w:ind w:leftChars="0"/>
        <w:jc w:val="both"/>
        <w:rPr>
          <w:rFonts w:hint="eastAsia" w:cs="宋体"/>
          <w:b/>
          <w:bCs/>
          <w:sz w:val="30"/>
          <w:szCs w:val="30"/>
          <w:lang w:eastAsia="zh-CN"/>
        </w:rPr>
      </w:pPr>
    </w:p>
    <w:p w14:paraId="4219D63F">
      <w:pPr>
        <w:rPr>
          <w:rFonts w:hint="eastAsia" w:ascii="宋体" w:hAnsi="宋体" w:eastAsia="宋体" w:cs="宋体"/>
          <w:color w:val="auto"/>
          <w:sz w:val="24"/>
          <w:szCs w:val="24"/>
          <w:highlight w:val="none"/>
          <w:lang w:eastAsia="zh-CN"/>
        </w:rPr>
      </w:pPr>
    </w:p>
    <w:p w14:paraId="372DF310">
      <w:pPr>
        <w:spacing w:line="560" w:lineRule="exact"/>
        <w:ind w:firstLine="480" w:firstLineChars="200"/>
        <w:rPr>
          <w:rFonts w:hint="eastAsia" w:ascii="宋体" w:hAnsi="宋体" w:eastAsia="宋体" w:cs="宋体"/>
          <w:color w:val="auto"/>
          <w:sz w:val="24"/>
          <w:szCs w:val="24"/>
          <w:highlight w:val="none"/>
          <w:lang w:eastAsia="zh-CN"/>
        </w:rPr>
        <w:sectPr>
          <w:footerReference r:id="rId5" w:type="default"/>
          <w:pgSz w:w="11906" w:h="16838"/>
          <w:pgMar w:top="1440" w:right="1274" w:bottom="1440" w:left="1800" w:header="851" w:footer="992" w:gutter="0"/>
          <w:pgNumType w:fmt="decimal" w:start="1"/>
          <w:cols w:space="720" w:num="1"/>
          <w:docGrid w:type="lines" w:linePitch="312" w:charSpace="0"/>
        </w:sectPr>
      </w:pPr>
    </w:p>
    <w:bookmarkEnd w:id="486"/>
    <w:p w14:paraId="26AF0D53">
      <w:pPr>
        <w:pStyle w:val="3"/>
        <w:bidi w:val="0"/>
        <w:jc w:val="center"/>
        <w:rPr>
          <w:rStyle w:val="47"/>
          <w:b/>
          <w:bCs/>
          <w:sz w:val="30"/>
          <w:szCs w:val="30"/>
        </w:rPr>
      </w:pPr>
      <w:bookmarkStart w:id="489" w:name="_Toc1582"/>
      <w:bookmarkStart w:id="490" w:name="_Toc23774436"/>
      <w:r>
        <w:rPr>
          <w:rStyle w:val="47"/>
          <w:rFonts w:hint="eastAsia"/>
          <w:b/>
          <w:bCs/>
          <w:sz w:val="30"/>
          <w:szCs w:val="30"/>
        </w:rPr>
        <w:t>第</w:t>
      </w:r>
      <w:r>
        <w:rPr>
          <w:rStyle w:val="47"/>
          <w:rFonts w:hint="eastAsia"/>
          <w:b/>
          <w:bCs/>
          <w:sz w:val="30"/>
          <w:szCs w:val="30"/>
          <w:lang w:eastAsia="zh-CN"/>
        </w:rPr>
        <w:t>四</w:t>
      </w:r>
      <w:r>
        <w:rPr>
          <w:rStyle w:val="47"/>
          <w:rFonts w:hint="eastAsia"/>
          <w:b/>
          <w:bCs/>
          <w:sz w:val="30"/>
          <w:szCs w:val="30"/>
        </w:rPr>
        <w:t>章   评审办法</w:t>
      </w:r>
      <w:bookmarkEnd w:id="489"/>
      <w:bookmarkEnd w:id="490"/>
    </w:p>
    <w:p w14:paraId="503C7834">
      <w:pPr>
        <w:keepNext/>
        <w:keepLines/>
        <w:wordWrap w:val="0"/>
        <w:topLinePunct/>
        <w:spacing w:line="360" w:lineRule="auto"/>
        <w:ind w:left="482"/>
        <w:jc w:val="center"/>
        <w:outlineLvl w:val="2"/>
        <w:rPr>
          <w:rFonts w:hint="eastAsia" w:ascii="宋体" w:hAnsi="宋体" w:eastAsia="宋体" w:cs="Times New Roman"/>
          <w:b/>
          <w:sz w:val="24"/>
          <w:szCs w:val="24"/>
        </w:rPr>
      </w:pPr>
      <w:bookmarkStart w:id="491" w:name="_Toc10297"/>
      <w:r>
        <w:rPr>
          <w:rFonts w:hint="eastAsia" w:ascii="宋体" w:hAnsi="宋体" w:eastAsia="宋体" w:cs="Times New Roman"/>
          <w:b/>
          <w:bCs/>
          <w:sz w:val="28"/>
          <w:szCs w:val="28"/>
        </w:rPr>
        <w:t>评审办法前附表</w:t>
      </w:r>
    </w:p>
    <w:tbl>
      <w:tblPr>
        <w:tblStyle w:val="2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1012"/>
        <w:gridCol w:w="1398"/>
        <w:gridCol w:w="4202"/>
        <w:gridCol w:w="901"/>
      </w:tblGrid>
      <w:tr w14:paraId="2F43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gridSpan w:val="2"/>
            <w:vAlign w:val="center"/>
          </w:tcPr>
          <w:p w14:paraId="1AEED859">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条款</w:t>
            </w:r>
          </w:p>
        </w:tc>
        <w:tc>
          <w:tcPr>
            <w:tcW w:w="2410" w:type="dxa"/>
            <w:gridSpan w:val="2"/>
            <w:vAlign w:val="center"/>
          </w:tcPr>
          <w:p w14:paraId="340B955F">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评审因素</w:t>
            </w:r>
          </w:p>
        </w:tc>
        <w:tc>
          <w:tcPr>
            <w:tcW w:w="5103" w:type="dxa"/>
            <w:gridSpan w:val="2"/>
            <w:vAlign w:val="center"/>
          </w:tcPr>
          <w:p w14:paraId="4243F391">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评审标准</w:t>
            </w:r>
          </w:p>
        </w:tc>
      </w:tr>
      <w:tr w14:paraId="1E5A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90" w:type="dxa"/>
            <w:vMerge w:val="restart"/>
            <w:vAlign w:val="center"/>
          </w:tcPr>
          <w:p w14:paraId="34208BA1">
            <w:pPr>
              <w:widowControl/>
              <w:wordWrap w:val="0"/>
              <w:topLinePunct/>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1</w:t>
            </w:r>
          </w:p>
        </w:tc>
        <w:tc>
          <w:tcPr>
            <w:tcW w:w="876" w:type="dxa"/>
            <w:vMerge w:val="restart"/>
            <w:vAlign w:val="center"/>
          </w:tcPr>
          <w:p w14:paraId="228BF2CE">
            <w:pPr>
              <w:widowControl/>
              <w:wordWrap w:val="0"/>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资格审查</w:t>
            </w:r>
            <w:r>
              <w:rPr>
                <w:rFonts w:hint="eastAsia" w:ascii="宋体" w:hAnsi="宋体" w:eastAsia="宋体" w:cs="宋体"/>
                <w:color w:val="auto"/>
                <w:kern w:val="0"/>
                <w:sz w:val="24"/>
                <w:szCs w:val="24"/>
              </w:rPr>
              <w:t>标准</w:t>
            </w:r>
          </w:p>
        </w:tc>
        <w:tc>
          <w:tcPr>
            <w:tcW w:w="2410" w:type="dxa"/>
            <w:gridSpan w:val="2"/>
            <w:vAlign w:val="center"/>
          </w:tcPr>
          <w:p w14:paraId="0B14EBA9">
            <w:pPr>
              <w:widowControl/>
              <w:wordWrap w:val="0"/>
              <w:topLinePunct/>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rPr>
              <w:t>满足《中华人民共和国政府采购法》第二十二条规定承诺书</w:t>
            </w:r>
          </w:p>
        </w:tc>
        <w:tc>
          <w:tcPr>
            <w:tcW w:w="5103" w:type="dxa"/>
            <w:gridSpan w:val="2"/>
            <w:vAlign w:val="center"/>
          </w:tcPr>
          <w:p w14:paraId="67A818BD">
            <w:pPr>
              <w:widowControl/>
              <w:wordWrap w:val="0"/>
              <w:topLinePunct/>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提供承诺</w:t>
            </w:r>
            <w:r>
              <w:rPr>
                <w:rFonts w:hint="eastAsia" w:ascii="宋体" w:hAnsi="宋体" w:eastAsia="宋体" w:cs="宋体"/>
                <w:kern w:val="0"/>
                <w:sz w:val="24"/>
                <w:szCs w:val="24"/>
                <w:lang w:eastAsia="zh-CN"/>
              </w:rPr>
              <w:t>书，</w:t>
            </w:r>
            <w:r>
              <w:rPr>
                <w:rFonts w:hint="eastAsia" w:ascii="宋体" w:hAnsi="宋体" w:eastAsia="宋体" w:cs="宋体"/>
                <w:kern w:val="0"/>
                <w:sz w:val="24"/>
                <w:szCs w:val="24"/>
              </w:rPr>
              <w:t>格式</w:t>
            </w:r>
            <w:r>
              <w:rPr>
                <w:rFonts w:hint="eastAsia" w:ascii="宋体" w:hAnsi="宋体" w:eastAsia="宋体" w:cs="宋体"/>
                <w:kern w:val="0"/>
                <w:sz w:val="24"/>
                <w:szCs w:val="24"/>
                <w:lang w:eastAsia="zh-CN"/>
              </w:rPr>
              <w:t>自拟</w:t>
            </w:r>
          </w:p>
          <w:p w14:paraId="4B3016DC">
            <w:pPr>
              <w:widowControl/>
              <w:wordWrap w:val="0"/>
              <w:topLinePunct/>
              <w:spacing w:line="360" w:lineRule="auto"/>
              <w:jc w:val="left"/>
              <w:rPr>
                <w:rFonts w:ascii="宋体" w:hAnsi="宋体" w:eastAsia="宋体" w:cs="宋体"/>
                <w:color w:val="auto"/>
                <w:sz w:val="24"/>
                <w:szCs w:val="24"/>
              </w:rPr>
            </w:pP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446E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0" w:type="dxa"/>
            <w:vMerge w:val="continue"/>
            <w:vAlign w:val="center"/>
          </w:tcPr>
          <w:p w14:paraId="5C9000E2">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5E61246D">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0FAE47B8">
            <w:pPr>
              <w:widowControl/>
              <w:wordWrap w:val="0"/>
              <w:topLinePunct/>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营业执照</w:t>
            </w:r>
          </w:p>
        </w:tc>
        <w:tc>
          <w:tcPr>
            <w:tcW w:w="5103" w:type="dxa"/>
            <w:gridSpan w:val="2"/>
            <w:vAlign w:val="center"/>
          </w:tcPr>
          <w:p w14:paraId="6FE6FDEF">
            <w:pPr>
              <w:widowControl/>
              <w:wordWrap w:val="0"/>
              <w:topLinePunct/>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rPr>
              <w:t>具有有效的营业执照或其他证明材料</w:t>
            </w: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455E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0" w:type="dxa"/>
            <w:vMerge w:val="continue"/>
            <w:vAlign w:val="center"/>
          </w:tcPr>
          <w:p w14:paraId="489D9E6F">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45D52A6B">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42FB69BA">
            <w:pPr>
              <w:wordWrap w:val="0"/>
              <w:topLinePunct/>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资质证书</w:t>
            </w:r>
          </w:p>
        </w:tc>
        <w:tc>
          <w:tcPr>
            <w:tcW w:w="5103" w:type="dxa"/>
            <w:gridSpan w:val="2"/>
            <w:vAlign w:val="center"/>
          </w:tcPr>
          <w:p w14:paraId="6D521E2D">
            <w:pPr>
              <w:keepNext w:val="0"/>
              <w:keepLines w:val="0"/>
              <w:pageBreakBefore w:val="0"/>
              <w:widowControl w:val="0"/>
              <w:kinsoku/>
              <w:overflowPunct/>
              <w:autoSpaceDE/>
              <w:autoSpaceDN/>
              <w:bidi w:val="0"/>
              <w:adjustRightInd/>
              <w:snapToGrid/>
              <w:spacing w:line="48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须同时具备城乡规划编制甲级资质和土地规划编制乙级及以上资质；</w:t>
            </w:r>
            <w:r>
              <w:rPr>
                <w:rFonts w:hint="eastAsia" w:ascii="宋体" w:hAnsi="宋体" w:eastAsia="宋体" w:cs="宋体"/>
                <w:b/>
                <w:bCs/>
                <w:color w:val="auto"/>
                <w:sz w:val="24"/>
                <w:szCs w:val="24"/>
                <w:highlight w:val="none"/>
                <w:lang w:val="en-US" w:eastAsia="zh-CN"/>
              </w:rPr>
              <w:t>（</w:t>
            </w:r>
            <w:r>
              <w:rPr>
                <w:rFonts w:hint="eastAsia" w:ascii="宋体" w:hAnsi="宋体" w:cs="宋体"/>
                <w:b/>
                <w:bCs/>
                <w:sz w:val="24"/>
                <w:szCs w:val="24"/>
                <w:lang w:eastAsia="zh-CN"/>
              </w:rPr>
              <w:t>若投标人为联合体投标，联合体成员可分别具备以上资质要求</w:t>
            </w:r>
            <w:r>
              <w:rPr>
                <w:rFonts w:hint="eastAsia" w:ascii="宋体" w:hAnsi="宋体" w:eastAsia="宋体" w:cs="宋体"/>
                <w:b/>
                <w:bCs/>
                <w:color w:val="auto"/>
                <w:sz w:val="24"/>
                <w:szCs w:val="24"/>
                <w:highlight w:val="none"/>
                <w:lang w:val="en-US" w:eastAsia="zh-CN"/>
              </w:rPr>
              <w:t>）</w:t>
            </w:r>
          </w:p>
        </w:tc>
      </w:tr>
      <w:tr w14:paraId="6D4E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90" w:type="dxa"/>
            <w:vMerge w:val="continue"/>
            <w:vAlign w:val="center"/>
          </w:tcPr>
          <w:p w14:paraId="57AA8261">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3FE539C8">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3B4F715E">
            <w:pPr>
              <w:wordWrap w:val="0"/>
              <w:topLinePunct/>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项目负责人</w:t>
            </w:r>
          </w:p>
        </w:tc>
        <w:tc>
          <w:tcPr>
            <w:tcW w:w="5103" w:type="dxa"/>
            <w:gridSpan w:val="2"/>
            <w:vAlign w:val="center"/>
          </w:tcPr>
          <w:p w14:paraId="71345268">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须具备</w:t>
            </w:r>
            <w:r>
              <w:rPr>
                <w:rFonts w:hint="eastAsia" w:ascii="宋体" w:hAnsi="宋体" w:eastAsia="宋体" w:cs="宋体"/>
                <w:color w:val="auto"/>
                <w:sz w:val="24"/>
                <w:szCs w:val="24"/>
                <w:lang w:val="en-US" w:eastAsia="zh-CN"/>
              </w:rPr>
              <w:t>相关专业</w:t>
            </w:r>
            <w:r>
              <w:rPr>
                <w:rFonts w:hint="eastAsia" w:ascii="宋体" w:hAnsi="宋体" w:eastAsia="宋体" w:cs="宋体"/>
                <w:color w:val="auto"/>
                <w:sz w:val="24"/>
                <w:szCs w:val="24"/>
                <w:highlight w:val="none"/>
                <w:lang w:val="en-US" w:eastAsia="zh-CN"/>
              </w:rPr>
              <w:t>高级及以上工程师和注册城乡规划师资格，为本单位员工，提供劳动合同及近期在本单位参加社会养老保险的证明材料；</w:t>
            </w:r>
            <w:r>
              <w:rPr>
                <w:rFonts w:hint="eastAsia" w:ascii="宋体" w:hAnsi="宋体" w:eastAsia="宋体" w:cs="宋体"/>
                <w:b/>
                <w:bCs/>
                <w:color w:val="auto"/>
                <w:sz w:val="24"/>
                <w:szCs w:val="24"/>
                <w:highlight w:val="none"/>
                <w:lang w:val="en-US" w:eastAsia="zh-CN"/>
              </w:rPr>
              <w:t>（</w:t>
            </w:r>
            <w:r>
              <w:rPr>
                <w:rFonts w:hint="eastAsia" w:ascii="宋体" w:hAnsi="宋体" w:cs="宋体"/>
                <w:b/>
                <w:bCs/>
                <w:kern w:val="0"/>
                <w:sz w:val="24"/>
                <w:szCs w:val="24"/>
                <w:u w:val="none" w:color="000000"/>
              </w:rPr>
              <w:t>若为联合体投标，联合体牵头单位或成员单位的均可</w:t>
            </w:r>
            <w:r>
              <w:rPr>
                <w:rFonts w:hint="eastAsia" w:ascii="宋体" w:hAnsi="宋体" w:eastAsia="宋体" w:cs="宋体"/>
                <w:b/>
                <w:bCs/>
                <w:color w:val="auto"/>
                <w:sz w:val="24"/>
                <w:szCs w:val="24"/>
                <w:highlight w:val="none"/>
                <w:lang w:val="en-US" w:eastAsia="zh-CN"/>
              </w:rPr>
              <w:t>）</w:t>
            </w:r>
          </w:p>
        </w:tc>
      </w:tr>
      <w:tr w14:paraId="0018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112A2509">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0137EBD8">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13843364">
            <w:pPr>
              <w:wordWrap w:val="0"/>
              <w:topLinePunct/>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履行能力</w:t>
            </w:r>
          </w:p>
        </w:tc>
        <w:tc>
          <w:tcPr>
            <w:tcW w:w="5103" w:type="dxa"/>
            <w:gridSpan w:val="2"/>
            <w:vAlign w:val="center"/>
          </w:tcPr>
          <w:p w14:paraId="2A0C2566">
            <w:pPr>
              <w:wordWrap w:val="0"/>
              <w:topLinePunct/>
              <w:autoSpaceDE w:val="0"/>
              <w:autoSpaceDN w:val="0"/>
              <w:adjustRightInd w:val="0"/>
              <w:spacing w:line="360" w:lineRule="auto"/>
              <w:ind w:left="37" w:leftChars="18"/>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在人员、设备、资金等方面具备相应的能力（</w:t>
            </w:r>
            <w:r>
              <w:rPr>
                <w:rFonts w:hint="eastAsia" w:ascii="宋体" w:hAnsi="宋体" w:eastAsia="宋体" w:cs="宋体"/>
                <w:color w:val="auto"/>
                <w:kern w:val="0"/>
                <w:sz w:val="24"/>
                <w:szCs w:val="24"/>
                <w:highlight w:val="none"/>
                <w:lang w:eastAsia="zh-CN"/>
              </w:rPr>
              <w:t>提供承诺书，格式自拟</w:t>
            </w:r>
            <w:r>
              <w:rPr>
                <w:rFonts w:hint="eastAsia" w:ascii="宋体" w:hAnsi="宋体" w:eastAsia="宋体" w:cs="宋体"/>
                <w:color w:val="auto"/>
                <w:sz w:val="24"/>
                <w:szCs w:val="24"/>
                <w:highlight w:val="none"/>
                <w:lang w:val="en-US" w:eastAsia="zh-CN"/>
              </w:rPr>
              <w:t>）</w:t>
            </w: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4193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6BE0A66D">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0EB3D1E3">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4F89E33A">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具有良好的财务状况且没有处于被责令停业</w:t>
            </w:r>
          </w:p>
        </w:tc>
        <w:tc>
          <w:tcPr>
            <w:tcW w:w="5103" w:type="dxa"/>
            <w:gridSpan w:val="2"/>
            <w:vAlign w:val="center"/>
          </w:tcPr>
          <w:p w14:paraId="214A73C3">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具有良好的财务状况且没有处于被责令停业：投标人须提供近三年任意一年的经第三方审计机构出具的审计报告或财务报表；</w:t>
            </w: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44FC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099B2F8B">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486EC67F">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5E29935F">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rPr>
              <w:t>依法缴纳税收和社会保障资金</w:t>
            </w:r>
          </w:p>
        </w:tc>
        <w:tc>
          <w:tcPr>
            <w:tcW w:w="5103" w:type="dxa"/>
            <w:gridSpan w:val="2"/>
            <w:vAlign w:val="center"/>
          </w:tcPr>
          <w:p w14:paraId="5A1B9C29">
            <w:pPr>
              <w:widowControl/>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提供近期</w:t>
            </w:r>
            <w:r>
              <w:rPr>
                <w:rFonts w:hint="eastAsia" w:ascii="宋体" w:hAnsi="宋体" w:eastAsia="宋体" w:cs="宋体"/>
                <w:kern w:val="0"/>
                <w:sz w:val="24"/>
                <w:szCs w:val="24"/>
                <w:lang w:val="en-US" w:eastAsia="zh-CN"/>
              </w:rPr>
              <w:t>依法缴纳税收和社会保障资金的证明材料；</w:t>
            </w: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5ADC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0ED41298">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1E77D45B">
            <w:pPr>
              <w:widowControl/>
              <w:wordWrap w:val="0"/>
              <w:topLinePunct/>
              <w:spacing w:line="360" w:lineRule="auto"/>
              <w:jc w:val="center"/>
              <w:rPr>
                <w:rFonts w:ascii="宋体" w:hAnsi="宋体" w:eastAsia="宋体" w:cs="宋体"/>
                <w:color w:val="auto"/>
                <w:kern w:val="0"/>
                <w:sz w:val="24"/>
                <w:szCs w:val="24"/>
                <w:highlight w:val="none"/>
              </w:rPr>
            </w:pPr>
          </w:p>
        </w:tc>
        <w:tc>
          <w:tcPr>
            <w:tcW w:w="2410" w:type="dxa"/>
            <w:gridSpan w:val="2"/>
            <w:vAlign w:val="center"/>
          </w:tcPr>
          <w:p w14:paraId="451D946D">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参加政府采购活动前3年内无商业贿赂、不正当竞争行为、骗取中标、严重违约及重大工程质量等问题</w:t>
            </w:r>
          </w:p>
        </w:tc>
        <w:tc>
          <w:tcPr>
            <w:tcW w:w="5103" w:type="dxa"/>
            <w:gridSpan w:val="2"/>
            <w:vAlign w:val="center"/>
          </w:tcPr>
          <w:p w14:paraId="4915032D">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提供承诺书，格式自拟</w:t>
            </w: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44E8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0CC1B25F">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735F7CFE">
            <w:pPr>
              <w:widowControl/>
              <w:wordWrap w:val="0"/>
              <w:topLinePunct/>
              <w:spacing w:line="360" w:lineRule="auto"/>
              <w:jc w:val="center"/>
              <w:rPr>
                <w:rFonts w:ascii="宋体" w:hAnsi="宋体" w:eastAsia="宋体" w:cs="宋体"/>
                <w:color w:val="auto"/>
                <w:kern w:val="0"/>
                <w:sz w:val="24"/>
                <w:szCs w:val="24"/>
              </w:rPr>
            </w:pPr>
          </w:p>
        </w:tc>
        <w:tc>
          <w:tcPr>
            <w:tcW w:w="2410" w:type="dxa"/>
            <w:gridSpan w:val="2"/>
            <w:vAlign w:val="center"/>
          </w:tcPr>
          <w:p w14:paraId="4DD10F1A">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无行贿犯罪记录</w:t>
            </w:r>
          </w:p>
        </w:tc>
        <w:tc>
          <w:tcPr>
            <w:tcW w:w="5103" w:type="dxa"/>
            <w:gridSpan w:val="2"/>
            <w:vAlign w:val="center"/>
          </w:tcPr>
          <w:p w14:paraId="18F3187C">
            <w:pPr>
              <w:widowControl/>
              <w:spacing w:line="360" w:lineRule="auto"/>
              <w:rPr>
                <w:rFonts w:hint="eastAsia" w:ascii="宋体" w:hAnsi="宋体" w:cs="宋体" w:eastAsiaTheme="minorEastAsia"/>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参加政府采购活动前3年内无行贿犯罪记录（提供《中国裁判文书网》查询结果网页截图或企业自行承诺的无行贿犯罪承诺书，查询&lt;承诺&gt;对象为“企业，法定代表人、项目负责人”，查询日期必须在公告发布之日后）</w:t>
            </w:r>
            <w:r>
              <w:rPr>
                <w:rFonts w:hint="eastAsia" w:ascii="宋体" w:hAnsi="宋体" w:eastAsia="宋体" w:cs="宋体"/>
                <w:kern w:val="0"/>
                <w:sz w:val="24"/>
                <w:szCs w:val="24"/>
                <w:highlight w:val="none"/>
                <w:lang w:val="en-US" w:eastAsia="zh-CN"/>
              </w:rPr>
              <w:t>；</w:t>
            </w:r>
            <w:r>
              <w:rPr>
                <w:rFonts w:hint="eastAsia" w:ascii="宋体" w:hAnsi="宋体" w:cs="宋体"/>
                <w:b/>
                <w:bCs/>
                <w:sz w:val="24"/>
                <w:szCs w:val="24"/>
                <w:lang w:eastAsia="zh-CN"/>
              </w:rPr>
              <w:t>注：若</w:t>
            </w:r>
            <w:r>
              <w:rPr>
                <w:rFonts w:hint="eastAsia" w:ascii="宋体" w:hAnsi="宋体" w:cs="宋体"/>
                <w:b/>
                <w:bCs/>
                <w:sz w:val="24"/>
                <w:szCs w:val="24"/>
              </w:rPr>
              <w:t>以联合体形式投标的，联合体成员均须提供</w:t>
            </w:r>
            <w:r>
              <w:rPr>
                <w:rFonts w:hint="eastAsia" w:ascii="宋体" w:hAnsi="宋体" w:eastAsia="宋体" w:cs="宋体"/>
                <w:b/>
                <w:bCs/>
                <w:color w:val="auto"/>
                <w:kern w:val="0"/>
                <w:sz w:val="24"/>
                <w:szCs w:val="24"/>
                <w:highlight w:val="none"/>
                <w:lang w:val="en-US" w:eastAsia="zh-CN"/>
              </w:rPr>
              <w:t>企业、法定代表人的</w:t>
            </w:r>
            <w:r>
              <w:rPr>
                <w:rFonts w:hint="eastAsia" w:ascii="宋体" w:hAnsi="宋体" w:eastAsia="宋体" w:cs="宋体"/>
                <w:b/>
                <w:bCs/>
                <w:color w:val="auto"/>
                <w:kern w:val="0"/>
                <w:sz w:val="24"/>
                <w:szCs w:val="24"/>
                <w:highlight w:val="none"/>
                <w:lang w:val="en-US" w:eastAsia="zh-CN"/>
              </w:rPr>
              <w:t>查询&lt;承诺&gt;</w:t>
            </w:r>
            <w:r>
              <w:rPr>
                <w:rFonts w:hint="eastAsia" w:ascii="宋体" w:hAnsi="宋体" w:cs="宋体"/>
                <w:b/>
                <w:bCs/>
                <w:sz w:val="24"/>
                <w:szCs w:val="24"/>
                <w:lang w:eastAsia="zh-CN"/>
              </w:rPr>
              <w:t>，项目负责人</w:t>
            </w:r>
            <w:r>
              <w:rPr>
                <w:rFonts w:hint="eastAsia" w:ascii="宋体" w:hAnsi="宋体" w:eastAsia="宋体" w:cs="宋体"/>
                <w:b/>
                <w:bCs/>
                <w:color w:val="auto"/>
                <w:kern w:val="0"/>
                <w:sz w:val="24"/>
                <w:szCs w:val="24"/>
                <w:highlight w:val="none"/>
                <w:lang w:val="en-US" w:eastAsia="zh-CN"/>
              </w:rPr>
              <w:t>的查询&lt;承诺&gt;由</w:t>
            </w:r>
            <w:r>
              <w:rPr>
                <w:rFonts w:hint="eastAsia" w:ascii="宋体" w:hAnsi="宋体" w:cs="宋体"/>
                <w:b/>
                <w:bCs/>
                <w:kern w:val="0"/>
                <w:sz w:val="24"/>
                <w:szCs w:val="24"/>
                <w:u w:val="none" w:color="000000"/>
              </w:rPr>
              <w:t>联合体牵头单位或成员单位</w:t>
            </w:r>
            <w:r>
              <w:rPr>
                <w:rFonts w:hint="eastAsia" w:ascii="宋体" w:hAnsi="宋体" w:cs="宋体"/>
                <w:b/>
                <w:bCs/>
                <w:kern w:val="0"/>
                <w:sz w:val="24"/>
                <w:szCs w:val="24"/>
                <w:u w:val="none" w:color="000000"/>
                <w:lang w:eastAsia="zh-CN"/>
              </w:rPr>
              <w:t>提供</w:t>
            </w:r>
            <w:r>
              <w:rPr>
                <w:rFonts w:hint="eastAsia" w:ascii="宋体" w:hAnsi="宋体" w:cs="宋体"/>
                <w:b/>
                <w:bCs/>
                <w:kern w:val="0"/>
                <w:sz w:val="24"/>
                <w:szCs w:val="24"/>
                <w:u w:val="none" w:color="000000"/>
              </w:rPr>
              <w:t>均可</w:t>
            </w:r>
          </w:p>
        </w:tc>
      </w:tr>
      <w:tr w14:paraId="77D3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02C51230">
            <w:pPr>
              <w:widowControl/>
              <w:wordWrap w:val="0"/>
              <w:topLinePunct/>
              <w:spacing w:line="360" w:lineRule="auto"/>
              <w:jc w:val="center"/>
              <w:rPr>
                <w:rFonts w:ascii="宋体" w:hAnsi="宋体" w:eastAsia="宋体" w:cs="宋体"/>
                <w:color w:val="auto"/>
                <w:kern w:val="0"/>
                <w:sz w:val="24"/>
                <w:szCs w:val="24"/>
              </w:rPr>
            </w:pPr>
          </w:p>
        </w:tc>
        <w:tc>
          <w:tcPr>
            <w:tcW w:w="876" w:type="dxa"/>
            <w:vMerge w:val="continue"/>
            <w:vAlign w:val="center"/>
          </w:tcPr>
          <w:p w14:paraId="05DE651C">
            <w:pPr>
              <w:widowControl/>
              <w:wordWrap w:val="0"/>
              <w:topLinePunct/>
              <w:spacing w:line="360" w:lineRule="auto"/>
              <w:jc w:val="center"/>
              <w:rPr>
                <w:rFonts w:ascii="宋体" w:hAnsi="宋体" w:eastAsia="宋体" w:cs="宋体"/>
                <w:color w:val="auto"/>
                <w:kern w:val="0"/>
                <w:sz w:val="24"/>
                <w:szCs w:val="24"/>
              </w:rPr>
            </w:pPr>
          </w:p>
        </w:tc>
        <w:tc>
          <w:tcPr>
            <w:tcW w:w="2410" w:type="dxa"/>
            <w:gridSpan w:val="2"/>
            <w:vAlign w:val="center"/>
          </w:tcPr>
          <w:p w14:paraId="39874DFE">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信用查询</w:t>
            </w:r>
          </w:p>
        </w:tc>
        <w:tc>
          <w:tcPr>
            <w:tcW w:w="5103" w:type="dxa"/>
            <w:gridSpan w:val="2"/>
            <w:vAlign w:val="center"/>
          </w:tcPr>
          <w:p w14:paraId="4A936F7E">
            <w:pPr>
              <w:widowControl/>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r>
              <w:rPr>
                <w:rFonts w:hint="eastAsia" w:ascii="宋体" w:hAnsi="宋体" w:cs="宋体"/>
                <w:b/>
                <w:bCs/>
                <w:sz w:val="24"/>
                <w:szCs w:val="24"/>
                <w:lang w:eastAsia="zh-CN"/>
              </w:rPr>
              <w:t>注：若</w:t>
            </w:r>
            <w:r>
              <w:rPr>
                <w:rFonts w:hint="eastAsia" w:ascii="宋体" w:hAnsi="宋体" w:cs="宋体"/>
                <w:b/>
                <w:bCs/>
                <w:sz w:val="24"/>
                <w:szCs w:val="24"/>
              </w:rPr>
              <w:t>以联合体形式投标的，联合体成员均须提供</w:t>
            </w:r>
          </w:p>
        </w:tc>
      </w:tr>
      <w:tr w14:paraId="578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3D28205F">
            <w:pPr>
              <w:widowControl/>
              <w:wordWrap w:val="0"/>
              <w:topLinePunct/>
              <w:spacing w:line="360" w:lineRule="auto"/>
              <w:jc w:val="center"/>
              <w:rPr>
                <w:rFonts w:ascii="宋体" w:hAnsi="宋体" w:eastAsia="宋体" w:cs="宋体"/>
                <w:kern w:val="0"/>
                <w:sz w:val="24"/>
                <w:szCs w:val="24"/>
              </w:rPr>
            </w:pPr>
          </w:p>
        </w:tc>
        <w:tc>
          <w:tcPr>
            <w:tcW w:w="876" w:type="dxa"/>
            <w:vMerge w:val="continue"/>
            <w:vAlign w:val="center"/>
          </w:tcPr>
          <w:p w14:paraId="41129610">
            <w:pPr>
              <w:widowControl/>
              <w:wordWrap w:val="0"/>
              <w:topLinePunct/>
              <w:spacing w:line="360" w:lineRule="auto"/>
              <w:jc w:val="center"/>
              <w:rPr>
                <w:rFonts w:ascii="宋体" w:hAnsi="宋体" w:eastAsia="宋体" w:cs="宋体"/>
                <w:kern w:val="0"/>
                <w:sz w:val="24"/>
                <w:szCs w:val="24"/>
              </w:rPr>
            </w:pPr>
          </w:p>
        </w:tc>
        <w:tc>
          <w:tcPr>
            <w:tcW w:w="2410" w:type="dxa"/>
            <w:gridSpan w:val="2"/>
            <w:vAlign w:val="center"/>
          </w:tcPr>
          <w:p w14:paraId="0CAF9DBB">
            <w:pPr>
              <w:wordWrap w:val="0"/>
              <w:topLinePunct/>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单位负责人为同一人或者存在直接控股、管理关系的不同供应商，不得参加同一合同项下的政府采购活动</w:t>
            </w:r>
          </w:p>
        </w:tc>
        <w:tc>
          <w:tcPr>
            <w:tcW w:w="5103" w:type="dxa"/>
            <w:gridSpan w:val="2"/>
            <w:vAlign w:val="center"/>
          </w:tcPr>
          <w:p w14:paraId="49F1EDBD">
            <w:pPr>
              <w:wordWrap w:val="0"/>
              <w:topLinePunct/>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提供承诺书，格式自拟</w:t>
            </w:r>
          </w:p>
          <w:p w14:paraId="54A7862A">
            <w:pPr>
              <w:wordWrap w:val="0"/>
              <w:topLinePunct/>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bCs/>
                <w:sz w:val="24"/>
                <w:szCs w:val="24"/>
                <w:lang w:eastAsia="zh-CN"/>
              </w:rPr>
              <w:t>（若</w:t>
            </w:r>
            <w:r>
              <w:rPr>
                <w:rFonts w:hint="eastAsia" w:ascii="宋体" w:hAnsi="宋体" w:cs="宋体"/>
                <w:b/>
                <w:bCs/>
                <w:sz w:val="24"/>
                <w:szCs w:val="24"/>
              </w:rPr>
              <w:t>以联合体形式投标的，联合体成员均须提供</w:t>
            </w:r>
            <w:r>
              <w:rPr>
                <w:rFonts w:hint="eastAsia" w:ascii="宋体" w:hAnsi="宋体" w:cs="宋体"/>
                <w:b/>
                <w:bCs/>
                <w:sz w:val="24"/>
                <w:szCs w:val="24"/>
                <w:lang w:eastAsia="zh-CN"/>
              </w:rPr>
              <w:t>）</w:t>
            </w:r>
          </w:p>
        </w:tc>
      </w:tr>
      <w:tr w14:paraId="5C5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90" w:type="dxa"/>
            <w:vMerge w:val="restart"/>
            <w:vAlign w:val="center"/>
          </w:tcPr>
          <w:p w14:paraId="43529E22">
            <w:pPr>
              <w:widowControl/>
              <w:tabs>
                <w:tab w:val="left" w:pos="243"/>
              </w:tabs>
              <w:wordWrap w:val="0"/>
              <w:topLinePunct/>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w:t>
            </w:r>
          </w:p>
        </w:tc>
        <w:tc>
          <w:tcPr>
            <w:tcW w:w="876" w:type="dxa"/>
            <w:vMerge w:val="restart"/>
            <w:vAlign w:val="center"/>
          </w:tcPr>
          <w:p w14:paraId="45D5C172">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形式评审标准</w:t>
            </w:r>
          </w:p>
        </w:tc>
        <w:tc>
          <w:tcPr>
            <w:tcW w:w="2410" w:type="dxa"/>
            <w:gridSpan w:val="2"/>
            <w:vAlign w:val="center"/>
          </w:tcPr>
          <w:p w14:paraId="314ADA01">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供应商名称</w:t>
            </w:r>
          </w:p>
        </w:tc>
        <w:tc>
          <w:tcPr>
            <w:tcW w:w="5103" w:type="dxa"/>
            <w:gridSpan w:val="2"/>
            <w:vAlign w:val="center"/>
          </w:tcPr>
          <w:p w14:paraId="3281FD17">
            <w:pPr>
              <w:widowControl/>
              <w:wordWrap w:val="0"/>
              <w:topLinePunct/>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具有独立承担民事责任的能力，具有效的营业执照或其他证明材料；</w:t>
            </w:r>
          </w:p>
        </w:tc>
      </w:tr>
      <w:tr w14:paraId="348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90" w:type="dxa"/>
            <w:vMerge w:val="continue"/>
            <w:vAlign w:val="center"/>
          </w:tcPr>
          <w:p w14:paraId="278C74AA">
            <w:pPr>
              <w:widowControl/>
              <w:wordWrap w:val="0"/>
              <w:topLinePunct/>
              <w:spacing w:line="360" w:lineRule="auto"/>
              <w:jc w:val="left"/>
            </w:pPr>
          </w:p>
        </w:tc>
        <w:tc>
          <w:tcPr>
            <w:tcW w:w="876" w:type="dxa"/>
            <w:vMerge w:val="continue"/>
            <w:vAlign w:val="center"/>
          </w:tcPr>
          <w:p w14:paraId="04FB8D64">
            <w:pPr>
              <w:widowControl/>
              <w:wordWrap w:val="0"/>
              <w:topLinePunct/>
              <w:spacing w:line="360" w:lineRule="auto"/>
              <w:jc w:val="left"/>
            </w:pPr>
          </w:p>
        </w:tc>
        <w:tc>
          <w:tcPr>
            <w:tcW w:w="2410" w:type="dxa"/>
            <w:gridSpan w:val="2"/>
            <w:vAlign w:val="center"/>
          </w:tcPr>
          <w:p w14:paraId="3A608B3E">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响应文件签署、盖章</w:t>
            </w:r>
          </w:p>
        </w:tc>
        <w:tc>
          <w:tcPr>
            <w:tcW w:w="5103" w:type="dxa"/>
            <w:gridSpan w:val="2"/>
            <w:vAlign w:val="center"/>
          </w:tcPr>
          <w:p w14:paraId="0CBECD6F">
            <w:pPr>
              <w:widowControl/>
              <w:wordWrap w:val="0"/>
              <w:topLinePunct/>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符合竞争性磋商文件要求的签字、盖章或标注的要求；</w:t>
            </w:r>
          </w:p>
        </w:tc>
      </w:tr>
      <w:tr w14:paraId="5E78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90" w:type="dxa"/>
            <w:vMerge w:val="continue"/>
            <w:vAlign w:val="center"/>
          </w:tcPr>
          <w:p w14:paraId="0B889DC1">
            <w:pPr>
              <w:widowControl/>
              <w:wordWrap w:val="0"/>
              <w:topLinePunct/>
              <w:spacing w:line="360" w:lineRule="auto"/>
              <w:jc w:val="left"/>
              <w:rPr>
                <w:rFonts w:hint="eastAsia" w:ascii="宋体" w:hAnsi="宋体" w:eastAsia="宋体" w:cs="宋体"/>
                <w:kern w:val="0"/>
                <w:sz w:val="24"/>
                <w:szCs w:val="24"/>
              </w:rPr>
            </w:pPr>
          </w:p>
        </w:tc>
        <w:tc>
          <w:tcPr>
            <w:tcW w:w="876" w:type="dxa"/>
            <w:vMerge w:val="continue"/>
            <w:vAlign w:val="center"/>
          </w:tcPr>
          <w:p w14:paraId="2E1F04D7">
            <w:pPr>
              <w:widowControl/>
              <w:wordWrap w:val="0"/>
              <w:topLinePunct/>
              <w:spacing w:line="360" w:lineRule="auto"/>
              <w:jc w:val="left"/>
              <w:rPr>
                <w:rFonts w:hint="eastAsia" w:ascii="宋体" w:hAnsi="宋体" w:eastAsia="宋体" w:cs="宋体"/>
                <w:kern w:val="0"/>
                <w:sz w:val="24"/>
                <w:szCs w:val="24"/>
              </w:rPr>
            </w:pPr>
          </w:p>
        </w:tc>
        <w:tc>
          <w:tcPr>
            <w:tcW w:w="2410" w:type="dxa"/>
            <w:gridSpan w:val="2"/>
            <w:vAlign w:val="center"/>
          </w:tcPr>
          <w:p w14:paraId="4922994B">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响应文件内容及格式</w:t>
            </w:r>
          </w:p>
        </w:tc>
        <w:tc>
          <w:tcPr>
            <w:tcW w:w="5103" w:type="dxa"/>
            <w:gridSpan w:val="2"/>
            <w:vAlign w:val="center"/>
          </w:tcPr>
          <w:p w14:paraId="75955120">
            <w:pPr>
              <w:widowControl/>
              <w:wordWrap w:val="0"/>
              <w:topLinePunct/>
              <w:spacing w:line="360" w:lineRule="auto"/>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符合第六章“响应文件内容及格式”的要求；</w:t>
            </w:r>
          </w:p>
        </w:tc>
      </w:tr>
      <w:tr w14:paraId="3327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990" w:type="dxa"/>
            <w:vMerge w:val="continue"/>
            <w:vAlign w:val="center"/>
          </w:tcPr>
          <w:p w14:paraId="5D08C49D">
            <w:pPr>
              <w:widowControl/>
              <w:wordWrap w:val="0"/>
              <w:topLinePunct/>
              <w:spacing w:line="360" w:lineRule="auto"/>
              <w:jc w:val="left"/>
              <w:rPr>
                <w:rFonts w:hint="eastAsia" w:ascii="宋体" w:hAnsi="宋体" w:eastAsia="宋体" w:cs="宋体"/>
                <w:kern w:val="0"/>
                <w:sz w:val="24"/>
                <w:szCs w:val="24"/>
              </w:rPr>
            </w:pPr>
          </w:p>
        </w:tc>
        <w:tc>
          <w:tcPr>
            <w:tcW w:w="876" w:type="dxa"/>
            <w:vMerge w:val="continue"/>
            <w:vAlign w:val="center"/>
          </w:tcPr>
          <w:p w14:paraId="70A541B0">
            <w:pPr>
              <w:widowControl/>
              <w:wordWrap w:val="0"/>
              <w:topLinePunct/>
              <w:spacing w:line="360" w:lineRule="auto"/>
              <w:jc w:val="left"/>
              <w:rPr>
                <w:rFonts w:hint="eastAsia" w:ascii="宋体" w:hAnsi="宋体" w:eastAsia="宋体" w:cs="宋体"/>
                <w:kern w:val="0"/>
                <w:sz w:val="24"/>
                <w:szCs w:val="24"/>
              </w:rPr>
            </w:pPr>
          </w:p>
        </w:tc>
        <w:tc>
          <w:tcPr>
            <w:tcW w:w="2410" w:type="dxa"/>
            <w:gridSpan w:val="2"/>
            <w:vAlign w:val="center"/>
          </w:tcPr>
          <w:p w14:paraId="2CBE328F">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报价唯一</w:t>
            </w:r>
          </w:p>
        </w:tc>
        <w:tc>
          <w:tcPr>
            <w:tcW w:w="5103" w:type="dxa"/>
            <w:gridSpan w:val="2"/>
            <w:vAlign w:val="center"/>
          </w:tcPr>
          <w:p w14:paraId="33BFCD6F">
            <w:pPr>
              <w:widowControl/>
              <w:wordWrap w:val="0"/>
              <w:topLinePunct/>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只能有一个有效报价</w:t>
            </w:r>
          </w:p>
        </w:tc>
      </w:tr>
      <w:tr w14:paraId="193A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90" w:type="dxa"/>
            <w:vMerge w:val="restart"/>
            <w:vAlign w:val="center"/>
          </w:tcPr>
          <w:p w14:paraId="49C93DC7">
            <w:pPr>
              <w:widowControl/>
              <w:wordWrap w:val="0"/>
              <w:topLinePunct/>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2.1.</w:t>
            </w:r>
            <w:r>
              <w:rPr>
                <w:rFonts w:hint="eastAsia" w:ascii="宋体" w:hAnsi="宋体" w:eastAsia="宋体" w:cs="宋体"/>
                <w:kern w:val="0"/>
                <w:sz w:val="24"/>
                <w:szCs w:val="24"/>
                <w:lang w:val="en-US" w:eastAsia="zh-CN"/>
              </w:rPr>
              <w:t>3</w:t>
            </w:r>
          </w:p>
        </w:tc>
        <w:tc>
          <w:tcPr>
            <w:tcW w:w="876" w:type="dxa"/>
            <w:vMerge w:val="restart"/>
            <w:vAlign w:val="center"/>
          </w:tcPr>
          <w:p w14:paraId="0CE30B4B">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响应性评审标准</w:t>
            </w:r>
          </w:p>
        </w:tc>
        <w:tc>
          <w:tcPr>
            <w:tcW w:w="2410" w:type="dxa"/>
            <w:gridSpan w:val="2"/>
            <w:vAlign w:val="center"/>
          </w:tcPr>
          <w:p w14:paraId="5216F35E">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服务期限</w:t>
            </w:r>
          </w:p>
        </w:tc>
        <w:tc>
          <w:tcPr>
            <w:tcW w:w="5103" w:type="dxa"/>
            <w:gridSpan w:val="2"/>
            <w:vAlign w:val="center"/>
          </w:tcPr>
          <w:p w14:paraId="19E1F394">
            <w:pPr>
              <w:widowControl/>
              <w:wordWrap w:val="0"/>
              <w:topLinePunct/>
              <w:spacing w:line="360" w:lineRule="auto"/>
              <w:jc w:val="left"/>
              <w:rPr>
                <w:rFonts w:ascii="宋体" w:hAnsi="宋体" w:eastAsia="宋体" w:cs="宋体"/>
                <w:kern w:val="0"/>
                <w:sz w:val="24"/>
                <w:szCs w:val="24"/>
              </w:rPr>
            </w:pPr>
            <w:r>
              <w:rPr>
                <w:rFonts w:hint="eastAsia"/>
                <w:kern w:val="2"/>
                <w:sz w:val="24"/>
                <w:szCs w:val="24"/>
                <w:lang w:eastAsia="zh-CN"/>
              </w:rPr>
              <w:t>符合第二章“投标人须知”规定；</w:t>
            </w:r>
          </w:p>
        </w:tc>
      </w:tr>
      <w:tr w14:paraId="703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0" w:type="dxa"/>
            <w:vMerge w:val="continue"/>
            <w:vAlign w:val="center"/>
          </w:tcPr>
          <w:p w14:paraId="64D81725">
            <w:pPr>
              <w:widowControl/>
              <w:wordWrap w:val="0"/>
              <w:topLinePunct/>
              <w:spacing w:line="360" w:lineRule="auto"/>
              <w:jc w:val="center"/>
              <w:rPr>
                <w:rFonts w:ascii="宋体" w:hAnsi="宋体" w:eastAsia="宋体" w:cs="宋体"/>
                <w:kern w:val="0"/>
                <w:sz w:val="24"/>
                <w:szCs w:val="24"/>
              </w:rPr>
            </w:pPr>
          </w:p>
        </w:tc>
        <w:tc>
          <w:tcPr>
            <w:tcW w:w="876" w:type="dxa"/>
            <w:vMerge w:val="continue"/>
            <w:vAlign w:val="center"/>
          </w:tcPr>
          <w:p w14:paraId="549A01A2">
            <w:pPr>
              <w:widowControl/>
              <w:wordWrap w:val="0"/>
              <w:topLinePunct/>
              <w:spacing w:line="360" w:lineRule="auto"/>
              <w:jc w:val="center"/>
              <w:rPr>
                <w:rFonts w:ascii="宋体" w:hAnsi="宋体" w:eastAsia="宋体" w:cs="宋体"/>
                <w:kern w:val="0"/>
                <w:sz w:val="24"/>
                <w:szCs w:val="24"/>
              </w:rPr>
            </w:pPr>
          </w:p>
        </w:tc>
        <w:tc>
          <w:tcPr>
            <w:tcW w:w="2410" w:type="dxa"/>
            <w:gridSpan w:val="2"/>
            <w:vAlign w:val="center"/>
          </w:tcPr>
          <w:p w14:paraId="5799B73F">
            <w:pPr>
              <w:widowControl/>
              <w:wordWrap w:val="0"/>
              <w:topLinePunct/>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质量要求</w:t>
            </w:r>
          </w:p>
        </w:tc>
        <w:tc>
          <w:tcPr>
            <w:tcW w:w="5103" w:type="dxa"/>
            <w:gridSpan w:val="2"/>
            <w:vAlign w:val="center"/>
          </w:tcPr>
          <w:p w14:paraId="3184175B">
            <w:pPr>
              <w:widowControl/>
              <w:wordWrap w:val="0"/>
              <w:topLinePunct/>
              <w:spacing w:line="360" w:lineRule="auto"/>
              <w:jc w:val="left"/>
              <w:rPr>
                <w:rFonts w:ascii="宋体" w:hAnsi="宋体" w:eastAsia="宋体" w:cs="宋体"/>
                <w:kern w:val="0"/>
                <w:sz w:val="24"/>
                <w:szCs w:val="24"/>
              </w:rPr>
            </w:pPr>
            <w:r>
              <w:rPr>
                <w:rFonts w:hint="eastAsia"/>
                <w:kern w:val="2"/>
                <w:sz w:val="24"/>
                <w:szCs w:val="24"/>
                <w:lang w:eastAsia="zh-CN"/>
              </w:rPr>
              <w:t>符合第二章“投标人须知”规定；</w:t>
            </w:r>
          </w:p>
        </w:tc>
      </w:tr>
      <w:tr w14:paraId="4FFE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90" w:type="dxa"/>
            <w:vMerge w:val="continue"/>
            <w:vAlign w:val="center"/>
          </w:tcPr>
          <w:p w14:paraId="4163ABD0">
            <w:pPr>
              <w:widowControl/>
              <w:wordWrap w:val="0"/>
              <w:topLinePunct/>
              <w:spacing w:line="360" w:lineRule="auto"/>
              <w:jc w:val="center"/>
              <w:rPr>
                <w:rFonts w:ascii="宋体" w:hAnsi="宋体" w:eastAsia="宋体" w:cs="宋体"/>
                <w:kern w:val="0"/>
                <w:sz w:val="24"/>
                <w:szCs w:val="24"/>
              </w:rPr>
            </w:pPr>
          </w:p>
        </w:tc>
        <w:tc>
          <w:tcPr>
            <w:tcW w:w="876" w:type="dxa"/>
            <w:vMerge w:val="continue"/>
            <w:vAlign w:val="center"/>
          </w:tcPr>
          <w:p w14:paraId="236363D8">
            <w:pPr>
              <w:widowControl/>
              <w:wordWrap w:val="0"/>
              <w:topLinePunct/>
              <w:spacing w:line="360" w:lineRule="auto"/>
              <w:jc w:val="center"/>
              <w:rPr>
                <w:rFonts w:ascii="宋体" w:hAnsi="宋体" w:eastAsia="宋体" w:cs="宋体"/>
                <w:kern w:val="0"/>
                <w:sz w:val="24"/>
                <w:szCs w:val="24"/>
              </w:rPr>
            </w:pPr>
          </w:p>
        </w:tc>
        <w:tc>
          <w:tcPr>
            <w:tcW w:w="2410" w:type="dxa"/>
            <w:gridSpan w:val="2"/>
            <w:vAlign w:val="center"/>
          </w:tcPr>
          <w:p w14:paraId="3C7AF7C7">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sz w:val="24"/>
                <w:szCs w:val="24"/>
              </w:rPr>
              <w:t>磋商有效期</w:t>
            </w:r>
          </w:p>
        </w:tc>
        <w:tc>
          <w:tcPr>
            <w:tcW w:w="5103" w:type="dxa"/>
            <w:gridSpan w:val="2"/>
            <w:vAlign w:val="center"/>
          </w:tcPr>
          <w:p w14:paraId="3D3DBD17">
            <w:pPr>
              <w:widowControl/>
              <w:wordWrap w:val="0"/>
              <w:topLinePunct/>
              <w:spacing w:line="360" w:lineRule="auto"/>
              <w:jc w:val="left"/>
              <w:rPr>
                <w:rFonts w:ascii="宋体" w:hAnsi="宋体" w:eastAsia="宋体" w:cs="宋体"/>
                <w:kern w:val="0"/>
                <w:sz w:val="24"/>
                <w:szCs w:val="24"/>
              </w:rPr>
            </w:pPr>
            <w:r>
              <w:rPr>
                <w:rFonts w:hint="eastAsia"/>
                <w:kern w:val="2"/>
                <w:sz w:val="24"/>
                <w:szCs w:val="24"/>
                <w:lang w:eastAsia="zh-CN"/>
              </w:rPr>
              <w:t>符合第二章“投标人须知”规定；</w:t>
            </w:r>
          </w:p>
        </w:tc>
      </w:tr>
      <w:tr w14:paraId="0505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90" w:type="dxa"/>
            <w:vMerge w:val="continue"/>
            <w:vAlign w:val="center"/>
          </w:tcPr>
          <w:p w14:paraId="0A7AD9E1">
            <w:pPr>
              <w:widowControl/>
              <w:wordWrap w:val="0"/>
              <w:topLinePunct/>
              <w:spacing w:line="360" w:lineRule="auto"/>
              <w:jc w:val="center"/>
              <w:rPr>
                <w:rFonts w:ascii="宋体" w:hAnsi="宋体" w:eastAsia="宋体" w:cs="宋体"/>
                <w:kern w:val="0"/>
                <w:sz w:val="24"/>
                <w:szCs w:val="24"/>
              </w:rPr>
            </w:pPr>
          </w:p>
        </w:tc>
        <w:tc>
          <w:tcPr>
            <w:tcW w:w="876" w:type="dxa"/>
            <w:vMerge w:val="continue"/>
            <w:vAlign w:val="center"/>
          </w:tcPr>
          <w:p w14:paraId="424451CF">
            <w:pPr>
              <w:widowControl/>
              <w:wordWrap w:val="0"/>
              <w:topLinePunct/>
              <w:spacing w:line="360" w:lineRule="auto"/>
              <w:jc w:val="center"/>
              <w:rPr>
                <w:rFonts w:ascii="宋体" w:hAnsi="宋体" w:eastAsia="宋体" w:cs="宋体"/>
                <w:kern w:val="0"/>
                <w:sz w:val="24"/>
                <w:szCs w:val="24"/>
              </w:rPr>
            </w:pPr>
          </w:p>
        </w:tc>
        <w:tc>
          <w:tcPr>
            <w:tcW w:w="2410" w:type="dxa"/>
            <w:gridSpan w:val="2"/>
            <w:vAlign w:val="center"/>
          </w:tcPr>
          <w:p w14:paraId="7E5991BA">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sz w:val="24"/>
                <w:szCs w:val="24"/>
              </w:rPr>
              <w:t>磋商承诺函</w:t>
            </w:r>
          </w:p>
        </w:tc>
        <w:tc>
          <w:tcPr>
            <w:tcW w:w="5103" w:type="dxa"/>
            <w:gridSpan w:val="2"/>
            <w:vAlign w:val="center"/>
          </w:tcPr>
          <w:p w14:paraId="734AF5CA">
            <w:pPr>
              <w:widowControl/>
              <w:wordWrap w:val="0"/>
              <w:topLinePunct/>
              <w:spacing w:line="360" w:lineRule="auto"/>
              <w:jc w:val="both"/>
              <w:rPr>
                <w:rFonts w:hint="eastAsia" w:ascii="宋体" w:hAnsi="宋体" w:eastAsia="宋体" w:cs="宋体"/>
                <w:kern w:val="0"/>
                <w:sz w:val="24"/>
                <w:szCs w:val="24"/>
                <w:lang w:eastAsia="zh-CN"/>
              </w:rPr>
            </w:pPr>
            <w:r>
              <w:rPr>
                <w:rFonts w:hint="eastAsia" w:ascii="宋体" w:hAnsi="宋体" w:eastAsia="宋体" w:cs="宋体"/>
                <w:sz w:val="24"/>
                <w:szCs w:val="24"/>
              </w:rPr>
              <w:t>符合第</w:t>
            </w:r>
            <w:r>
              <w:rPr>
                <w:rFonts w:hint="eastAsia" w:ascii="宋体" w:hAnsi="宋体" w:eastAsia="宋体" w:cs="宋体"/>
                <w:sz w:val="24"/>
                <w:szCs w:val="24"/>
                <w:lang w:eastAsia="zh-CN"/>
              </w:rPr>
              <w:t>六</w:t>
            </w:r>
            <w:r>
              <w:rPr>
                <w:rFonts w:hint="eastAsia" w:ascii="宋体" w:hAnsi="宋体" w:eastAsia="宋体" w:cs="宋体"/>
                <w:sz w:val="24"/>
                <w:szCs w:val="24"/>
              </w:rPr>
              <w:t>章“竞争性磋商响应文件”规定</w:t>
            </w:r>
            <w:r>
              <w:rPr>
                <w:rFonts w:hint="eastAsia" w:ascii="宋体" w:hAnsi="宋体" w:eastAsia="宋体" w:cs="宋体"/>
                <w:sz w:val="24"/>
                <w:szCs w:val="24"/>
                <w:lang w:eastAsia="zh-CN"/>
              </w:rPr>
              <w:t>；</w:t>
            </w:r>
          </w:p>
        </w:tc>
      </w:tr>
      <w:tr w14:paraId="5899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Align w:val="center"/>
          </w:tcPr>
          <w:p w14:paraId="1546D5C8">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876" w:type="dxa"/>
            <w:vAlign w:val="center"/>
          </w:tcPr>
          <w:p w14:paraId="5312A863">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w:t>
            </w:r>
          </w:p>
        </w:tc>
        <w:tc>
          <w:tcPr>
            <w:tcW w:w="1012" w:type="dxa"/>
            <w:vAlign w:val="center"/>
          </w:tcPr>
          <w:p w14:paraId="540E4D84">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分值</w:t>
            </w:r>
          </w:p>
        </w:tc>
        <w:tc>
          <w:tcPr>
            <w:tcW w:w="5600" w:type="dxa"/>
            <w:gridSpan w:val="2"/>
            <w:vAlign w:val="center"/>
          </w:tcPr>
          <w:p w14:paraId="11A25B5A">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评分标准</w:t>
            </w:r>
          </w:p>
        </w:tc>
        <w:tc>
          <w:tcPr>
            <w:tcW w:w="901" w:type="dxa"/>
            <w:vAlign w:val="center"/>
          </w:tcPr>
          <w:p w14:paraId="195FAB1A">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1E9E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Align w:val="center"/>
          </w:tcPr>
          <w:p w14:paraId="414C404D">
            <w:pPr>
              <w:ind w:right="119" w:rightChars="0"/>
              <w:jc w:val="center"/>
              <w:rPr>
                <w:rFonts w:hint="eastAsia" w:ascii="宋体" w:hAnsi="宋体" w:eastAsia="宋体" w:cs="宋体"/>
                <w:sz w:val="24"/>
                <w:szCs w:val="24"/>
                <w:lang w:eastAsia="zh-CN"/>
              </w:rPr>
            </w:pPr>
            <w:r>
              <w:rPr>
                <w:rFonts w:hint="eastAsia" w:ascii="宋体" w:hAnsi="宋体"/>
                <w:spacing w:val="1"/>
                <w:kern w:val="0"/>
                <w:sz w:val="24"/>
                <w:szCs w:val="24"/>
                <w:highlight w:val="none"/>
              </w:rPr>
              <w:t>1</w:t>
            </w:r>
          </w:p>
        </w:tc>
        <w:tc>
          <w:tcPr>
            <w:tcW w:w="876" w:type="dxa"/>
            <w:vAlign w:val="center"/>
          </w:tcPr>
          <w:p w14:paraId="79437B1F">
            <w:pPr>
              <w:autoSpaceDE w:val="0"/>
              <w:autoSpaceDN w:val="0"/>
              <w:adjustRightInd w:val="0"/>
              <w:snapToGrid w:val="0"/>
              <w:spacing w:line="500" w:lineRule="exact"/>
              <w:rPr>
                <w:rFonts w:hint="eastAsia" w:ascii="宋体" w:hAnsi="宋体" w:eastAsiaTheme="minorEastAsia"/>
                <w:spacing w:val="1"/>
                <w:kern w:val="0"/>
                <w:sz w:val="24"/>
                <w:szCs w:val="24"/>
                <w:highlight w:val="none"/>
                <w:lang w:eastAsia="zh-CN"/>
              </w:rPr>
            </w:pPr>
            <w:r>
              <w:rPr>
                <w:rFonts w:hint="eastAsia" w:ascii="宋体" w:hAnsi="宋体"/>
                <w:spacing w:val="1"/>
                <w:kern w:val="0"/>
                <w:sz w:val="24"/>
                <w:szCs w:val="24"/>
                <w:highlight w:val="none"/>
              </w:rPr>
              <w:t>报价部分</w:t>
            </w:r>
            <w:r>
              <w:rPr>
                <w:rFonts w:hint="eastAsia" w:ascii="宋体" w:hAnsi="宋体"/>
                <w:spacing w:val="1"/>
                <w:kern w:val="0"/>
                <w:sz w:val="24"/>
                <w:szCs w:val="24"/>
                <w:highlight w:val="none"/>
                <w:lang w:eastAsia="zh-CN"/>
              </w:rPr>
              <w:t>（</w:t>
            </w:r>
            <w:r>
              <w:rPr>
                <w:rFonts w:hint="eastAsia" w:ascii="宋体" w:hAnsi="宋体"/>
                <w:spacing w:val="1"/>
                <w:kern w:val="0"/>
                <w:sz w:val="24"/>
                <w:szCs w:val="24"/>
                <w:highlight w:val="none"/>
                <w:lang w:val="en-US" w:eastAsia="zh-CN"/>
              </w:rPr>
              <w:t>15分</w:t>
            </w:r>
            <w:r>
              <w:rPr>
                <w:rFonts w:hint="eastAsia" w:ascii="宋体" w:hAnsi="宋体"/>
                <w:spacing w:val="1"/>
                <w:kern w:val="0"/>
                <w:sz w:val="24"/>
                <w:szCs w:val="24"/>
                <w:highlight w:val="none"/>
                <w:lang w:eastAsia="zh-CN"/>
              </w:rPr>
              <w:t>）</w:t>
            </w:r>
          </w:p>
        </w:tc>
        <w:tc>
          <w:tcPr>
            <w:tcW w:w="1012" w:type="dxa"/>
            <w:vAlign w:val="center"/>
          </w:tcPr>
          <w:p w14:paraId="2A22F201">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p>
          <w:p w14:paraId="6CA1C20D">
            <w:pPr>
              <w:autoSpaceDE w:val="0"/>
              <w:autoSpaceDN w:val="0"/>
              <w:adjustRightInd w:val="0"/>
              <w:snapToGrid w:val="0"/>
              <w:spacing w:line="500" w:lineRule="exact"/>
              <w:rPr>
                <w:rFonts w:hint="eastAsia" w:ascii="宋体" w:hAnsi="宋体"/>
                <w:spacing w:val="1"/>
                <w:kern w:val="0"/>
                <w:sz w:val="24"/>
                <w:szCs w:val="24"/>
                <w:highlight w:val="none"/>
                <w:lang w:eastAsia="zh-CN"/>
              </w:rPr>
            </w:pPr>
            <w:r>
              <w:rPr>
                <w:rFonts w:hint="eastAsia" w:ascii="宋体" w:hAnsi="宋体"/>
                <w:spacing w:val="1"/>
                <w:kern w:val="0"/>
                <w:sz w:val="24"/>
                <w:szCs w:val="24"/>
                <w:highlight w:val="none"/>
                <w:lang w:val="en-US" w:eastAsia="zh-CN"/>
              </w:rPr>
              <w:t>报价</w:t>
            </w:r>
          </w:p>
        </w:tc>
        <w:tc>
          <w:tcPr>
            <w:tcW w:w="5600" w:type="dxa"/>
            <w:gridSpan w:val="2"/>
            <w:vAlign w:val="center"/>
          </w:tcPr>
          <w:p w14:paraId="4733ED18">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价格分统一采用低价优先法，即满足磋商文件要求且投标价格最低的投标报价为评标基准价，其价格分为满分15分，其他投标供应商的价格分统一按照下列公式计算：</w:t>
            </w:r>
          </w:p>
          <w:p w14:paraId="24DE4868">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投标报价得分＝（评标基准价/投标报价）×15％×100；</w:t>
            </w:r>
          </w:p>
          <w:p w14:paraId="4295961D">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评委公认的低于成本价的报价，供应商又缺乏合理的解释，可能被视为恶意竞标而不被接受。</w:t>
            </w:r>
          </w:p>
          <w:p w14:paraId="5C0C6064">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543326E6">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4103AF89">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3、参加政府采购活动的残疾人福利性单位应当提供《残疾人福利性单位声明函》，未填写残疾人福利性单位声明函的在开标过程中不予认可。</w:t>
            </w:r>
          </w:p>
          <w:p w14:paraId="77017234">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4、同一投标供应商，中小微企业产品和监狱企业产品价格扣除优惠只享受一次，不得重复享受</w:t>
            </w:r>
          </w:p>
          <w:p w14:paraId="08780C5A">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例：所投中小微企业产品报价=所投中小微企业产品报价合计×【1-20%】</w:t>
            </w:r>
          </w:p>
          <w:p w14:paraId="2F70D479">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注：价格分计算保留小数点后二位。在评标过程中，评标小组发现投标人的报价明显低于成本价时或明显低于其他通过初步审查投标人的报价，有可能影响产品质量或者不能诚信履约的，评标小组可向该投标人提出询问，要求该投标人作出书面说明并提供相关证明材料。投标人不能合理说明及不能提供相关证明材料</w:t>
            </w:r>
          </w:p>
        </w:tc>
        <w:tc>
          <w:tcPr>
            <w:tcW w:w="901" w:type="dxa"/>
            <w:vAlign w:val="top"/>
          </w:tcPr>
          <w:p w14:paraId="6C8B7B77">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p>
          <w:p w14:paraId="11583CAF">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p>
          <w:p w14:paraId="0C5BBE49">
            <w:pPr>
              <w:widowControl/>
              <w:spacing w:line="360" w:lineRule="auto"/>
              <w:rPr>
                <w:rFonts w:hint="eastAsia" w:ascii="宋体" w:hAnsi="宋体" w:eastAsia="宋体" w:cs="宋体"/>
                <w:kern w:val="0"/>
                <w:sz w:val="24"/>
                <w:szCs w:val="24"/>
                <w:lang w:val="en-US" w:eastAsia="zh-CN"/>
              </w:rPr>
            </w:pPr>
          </w:p>
          <w:p w14:paraId="062C1B94">
            <w:pPr>
              <w:widowControl/>
              <w:spacing w:line="360" w:lineRule="auto"/>
              <w:rPr>
                <w:rFonts w:hint="eastAsia" w:ascii="宋体" w:hAnsi="宋体"/>
                <w:spacing w:val="1"/>
                <w:kern w:val="0"/>
                <w:sz w:val="24"/>
                <w:szCs w:val="24"/>
                <w:highlight w:val="none"/>
                <w:lang w:eastAsia="zh-CN"/>
              </w:rPr>
            </w:pPr>
            <w:r>
              <w:rPr>
                <w:rFonts w:hint="eastAsia" w:ascii="宋体" w:hAnsi="宋体" w:eastAsia="宋体" w:cs="宋体"/>
                <w:kern w:val="0"/>
                <w:sz w:val="24"/>
                <w:szCs w:val="24"/>
                <w:lang w:val="en-US" w:eastAsia="zh-CN"/>
              </w:rPr>
              <w:t>（0-15分）</w:t>
            </w:r>
          </w:p>
        </w:tc>
      </w:tr>
      <w:tr w14:paraId="5B4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restart"/>
            <w:vAlign w:val="center"/>
          </w:tcPr>
          <w:p w14:paraId="2F18C7FC">
            <w:pPr>
              <w:ind w:right="119" w:rightChars="0"/>
              <w:jc w:val="center"/>
              <w:rPr>
                <w:rFonts w:hint="eastAsia" w:ascii="宋体" w:hAnsi="宋体" w:eastAsiaTheme="minorEastAsia"/>
                <w:spacing w:val="1"/>
                <w:kern w:val="0"/>
                <w:sz w:val="24"/>
                <w:szCs w:val="24"/>
                <w:highlight w:val="none"/>
                <w:lang w:val="en-US" w:eastAsia="zh-CN"/>
              </w:rPr>
            </w:pPr>
            <w:r>
              <w:rPr>
                <w:rFonts w:hint="eastAsia" w:ascii="宋体" w:hAnsi="宋体"/>
                <w:spacing w:val="1"/>
                <w:kern w:val="0"/>
                <w:sz w:val="24"/>
                <w:szCs w:val="24"/>
                <w:highlight w:val="none"/>
                <w:lang w:val="en-US" w:eastAsia="zh-CN"/>
              </w:rPr>
              <w:t>2</w:t>
            </w:r>
          </w:p>
        </w:tc>
        <w:tc>
          <w:tcPr>
            <w:tcW w:w="876" w:type="dxa"/>
            <w:vMerge w:val="restart"/>
            <w:vAlign w:val="center"/>
          </w:tcPr>
          <w:p w14:paraId="37DE5856">
            <w:pPr>
              <w:autoSpaceDE w:val="0"/>
              <w:autoSpaceDN w:val="0"/>
              <w:adjustRightInd w:val="0"/>
              <w:snapToGrid w:val="0"/>
              <w:spacing w:line="500" w:lineRule="exact"/>
              <w:rPr>
                <w:rFonts w:hint="eastAsia" w:ascii="宋体" w:hAnsi="宋体" w:eastAsiaTheme="minorEastAsia"/>
                <w:spacing w:val="1"/>
                <w:kern w:val="0"/>
                <w:sz w:val="24"/>
                <w:szCs w:val="24"/>
                <w:highlight w:val="none"/>
                <w:lang w:eastAsia="zh-CN"/>
              </w:rPr>
            </w:pPr>
            <w:r>
              <w:rPr>
                <w:rFonts w:hint="eastAsia" w:ascii="宋体" w:hAnsi="宋体"/>
                <w:spacing w:val="1"/>
                <w:kern w:val="0"/>
                <w:sz w:val="24"/>
                <w:szCs w:val="24"/>
                <w:highlight w:val="none"/>
                <w:lang w:eastAsia="zh-CN"/>
              </w:rPr>
              <w:t>技术部分（</w:t>
            </w:r>
            <w:r>
              <w:rPr>
                <w:rFonts w:hint="eastAsia" w:ascii="宋体" w:hAnsi="宋体"/>
                <w:spacing w:val="1"/>
                <w:kern w:val="0"/>
                <w:sz w:val="24"/>
                <w:szCs w:val="24"/>
                <w:highlight w:val="none"/>
                <w:lang w:val="en-US" w:eastAsia="zh-CN"/>
              </w:rPr>
              <w:t>57分</w:t>
            </w:r>
            <w:r>
              <w:rPr>
                <w:rFonts w:hint="eastAsia" w:ascii="宋体" w:hAnsi="宋体"/>
                <w:spacing w:val="1"/>
                <w:kern w:val="0"/>
                <w:sz w:val="24"/>
                <w:szCs w:val="24"/>
                <w:highlight w:val="none"/>
                <w:lang w:eastAsia="zh-CN"/>
              </w:rPr>
              <w:t>）</w:t>
            </w:r>
          </w:p>
        </w:tc>
        <w:tc>
          <w:tcPr>
            <w:tcW w:w="1012" w:type="dxa"/>
            <w:vAlign w:val="center"/>
          </w:tcPr>
          <w:p w14:paraId="002716AC">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项目重难点分析</w:t>
            </w:r>
          </w:p>
          <w:p w14:paraId="78824325">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p>
        </w:tc>
        <w:tc>
          <w:tcPr>
            <w:tcW w:w="5600" w:type="dxa"/>
            <w:gridSpan w:val="2"/>
            <w:vAlign w:val="center"/>
          </w:tcPr>
          <w:p w14:paraId="66012CE0">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1.对项目的重难点进行分析，并给出解决思路，分析理解透彻、全面、科学，解决思路合理，对策针对性非常强得8分；</w:t>
            </w:r>
          </w:p>
          <w:p w14:paraId="4E53890A">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2.分析较全面，解决思路较强、较合理得5分；</w:t>
            </w:r>
          </w:p>
          <w:p w14:paraId="48F67EF0">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3.分析基本全面，解决思路基本合理得3分；</w:t>
            </w:r>
          </w:p>
          <w:p w14:paraId="5D0BC673">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4.分析不全面、思路不合理或存有较大缺陷得1分；</w:t>
            </w:r>
          </w:p>
          <w:p w14:paraId="681D15AC">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5.没有相关内容的不得分。</w:t>
            </w:r>
          </w:p>
        </w:tc>
        <w:tc>
          <w:tcPr>
            <w:tcW w:w="901" w:type="dxa"/>
            <w:vAlign w:val="center"/>
          </w:tcPr>
          <w:p w14:paraId="373B4171">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（0-80分）</w:t>
            </w:r>
          </w:p>
        </w:tc>
      </w:tr>
      <w:tr w14:paraId="743E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26072EB5">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4589F77E">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509B81DE">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任务目标和工作安排</w:t>
            </w:r>
          </w:p>
        </w:tc>
        <w:tc>
          <w:tcPr>
            <w:tcW w:w="5600" w:type="dxa"/>
            <w:gridSpan w:val="2"/>
            <w:vAlign w:val="center"/>
          </w:tcPr>
          <w:p w14:paraId="18C2F430">
            <w:pPr>
              <w:numPr>
                <w:ilvl w:val="0"/>
                <w:numId w:val="7"/>
              </w:num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任务目标明确，工作划分科学，人员安排合理得8分；</w:t>
            </w:r>
          </w:p>
          <w:p w14:paraId="2EABE266">
            <w:pPr>
              <w:numPr>
                <w:ilvl w:val="0"/>
                <w:numId w:val="7"/>
              </w:num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任务目标较明确，工作划分较科学，人员安排较合理得5分；</w:t>
            </w:r>
          </w:p>
          <w:p w14:paraId="5F62BB2B">
            <w:pPr>
              <w:numPr>
                <w:ilvl w:val="0"/>
                <w:numId w:val="7"/>
              </w:num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任务目标基本清晰，工作划分基本科学，工作安排基本合理得3分；</w:t>
            </w:r>
          </w:p>
          <w:p w14:paraId="4EECB020">
            <w:pPr>
              <w:numPr>
                <w:ilvl w:val="0"/>
                <w:numId w:val="0"/>
              </w:num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4.任务目标不清晰，工作划分不科学，工作安排不合理得1分；</w:t>
            </w:r>
          </w:p>
          <w:p w14:paraId="4C020FA2">
            <w:pPr>
              <w:numPr>
                <w:ilvl w:val="0"/>
                <w:numId w:val="0"/>
              </w:num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5.缺少任务目标、工作划分、人员安排任意一部分内容的不得分。</w:t>
            </w:r>
          </w:p>
        </w:tc>
        <w:tc>
          <w:tcPr>
            <w:tcW w:w="901" w:type="dxa"/>
            <w:vAlign w:val="center"/>
          </w:tcPr>
          <w:p w14:paraId="7220B9BC">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（0-8分）</w:t>
            </w:r>
          </w:p>
        </w:tc>
      </w:tr>
      <w:tr w14:paraId="19CD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0" w:type="dxa"/>
            <w:vMerge w:val="continue"/>
            <w:vAlign w:val="center"/>
          </w:tcPr>
          <w:p w14:paraId="33265D51">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5055A7B0">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0651A89B">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技术路线和工作方法</w:t>
            </w:r>
          </w:p>
        </w:tc>
        <w:tc>
          <w:tcPr>
            <w:tcW w:w="5600" w:type="dxa"/>
            <w:gridSpan w:val="2"/>
            <w:vAlign w:val="center"/>
          </w:tcPr>
          <w:p w14:paraId="57FD8267">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1.技术路线先进，调查布点科学，调查监测指标设计合理，工作方法科学合理，任务目标实现可行性强得8分；</w:t>
            </w:r>
          </w:p>
          <w:p w14:paraId="3B2EC897">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2.技术路线较为先进，工作方法较科学合理，任务目标实现可行性较强得6分；</w:t>
            </w:r>
          </w:p>
          <w:p w14:paraId="78F454C1">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3.技术路线基本先进，工作方法较科学合理，任务目标实现可行性一般得3分；</w:t>
            </w:r>
          </w:p>
          <w:p w14:paraId="31BA3681">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4.技术路线普通，研究方法基本可行，任务目标实现有一定的可行性得1分；</w:t>
            </w:r>
          </w:p>
          <w:p w14:paraId="19BBE7E0">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5.没有相关内容不得分。</w:t>
            </w:r>
          </w:p>
        </w:tc>
        <w:tc>
          <w:tcPr>
            <w:tcW w:w="901" w:type="dxa"/>
            <w:vAlign w:val="center"/>
          </w:tcPr>
          <w:p w14:paraId="3976C2A2">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（0-8分）</w:t>
            </w:r>
          </w:p>
        </w:tc>
      </w:tr>
      <w:tr w14:paraId="569A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0C009E17">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19E60CD4">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48290E97">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工作进度和保障</w:t>
            </w:r>
          </w:p>
        </w:tc>
        <w:tc>
          <w:tcPr>
            <w:tcW w:w="5600" w:type="dxa"/>
            <w:gridSpan w:val="2"/>
            <w:vAlign w:val="center"/>
          </w:tcPr>
          <w:p w14:paraId="1B3BB85A">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1.供应商工作进度计划合理、具体，内容详细，可行性强，完全满足各阶段的进度要求，且项目进度的保障措施具体、合理、可行得7分；</w:t>
            </w:r>
          </w:p>
          <w:p w14:paraId="5C242800">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2.供应商工作计划较合理，能满足各阶段的进度要求，项目进度的保障措施较合理得5分；</w:t>
            </w:r>
          </w:p>
          <w:p w14:paraId="06157DD2">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3.供应商计划基本合理性，基本能满足各阶段的进度要求，项目进度的保障措施基本得3分；</w:t>
            </w:r>
          </w:p>
          <w:p w14:paraId="202844E2">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4.供应商计划合理性较差，基本不能满足各阶段的进度要求，项目进度的保障措施一般得1分；</w:t>
            </w:r>
          </w:p>
          <w:p w14:paraId="1D5806CF">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5.没有相关内容的不得分。</w:t>
            </w:r>
          </w:p>
        </w:tc>
        <w:tc>
          <w:tcPr>
            <w:tcW w:w="901" w:type="dxa"/>
            <w:vAlign w:val="center"/>
          </w:tcPr>
          <w:p w14:paraId="62224107">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（0-7分）</w:t>
            </w:r>
          </w:p>
        </w:tc>
      </w:tr>
      <w:tr w14:paraId="394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7724EC3A">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76102F8F">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4BA9047B">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组织实施方案</w:t>
            </w:r>
          </w:p>
        </w:tc>
        <w:tc>
          <w:tcPr>
            <w:tcW w:w="5600" w:type="dxa"/>
            <w:gridSpan w:val="2"/>
            <w:vAlign w:val="center"/>
          </w:tcPr>
          <w:p w14:paraId="6E534831">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1.组织方式高效有力，实施计划与进度安排合理得7分；</w:t>
            </w:r>
          </w:p>
          <w:p w14:paraId="20084897">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2.组织方式有效，实施计划与进度安排较合理得5分；</w:t>
            </w:r>
          </w:p>
          <w:p w14:paraId="50DE2A08">
            <w:pPr>
              <w:autoSpaceDE w:val="0"/>
              <w:autoSpaceDN w:val="0"/>
              <w:adjustRightInd w:val="0"/>
              <w:snapToGrid w:val="0"/>
              <w:spacing w:line="500" w:lineRule="exact"/>
              <w:rPr>
                <w:rFonts w:hint="eastAsia"/>
                <w:lang w:val="en-US" w:eastAsia="zh-CN"/>
              </w:rPr>
            </w:pPr>
            <w:r>
              <w:rPr>
                <w:rFonts w:hint="eastAsia" w:ascii="宋体" w:hAnsi="宋体"/>
                <w:spacing w:val="1"/>
                <w:kern w:val="0"/>
                <w:sz w:val="24"/>
                <w:szCs w:val="24"/>
                <w:highlight w:val="none"/>
                <w:lang w:val="en-US" w:eastAsia="zh-CN"/>
              </w:rPr>
              <w:t>3.组织方式基本合理，实施计划与进度安排基本合理得3分；</w:t>
            </w:r>
          </w:p>
          <w:p w14:paraId="7072AFD9">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4.组织方式一般，实施计划与进度安排一般的得1分；</w:t>
            </w:r>
          </w:p>
          <w:p w14:paraId="0CCA9B6E">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5.没有相关内容的不得分。</w:t>
            </w:r>
          </w:p>
        </w:tc>
        <w:tc>
          <w:tcPr>
            <w:tcW w:w="901" w:type="dxa"/>
            <w:vAlign w:val="center"/>
          </w:tcPr>
          <w:p w14:paraId="73088CD3">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（0-7分）</w:t>
            </w:r>
          </w:p>
        </w:tc>
      </w:tr>
      <w:tr w14:paraId="711E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176E0D60">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275C1CE7">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06EA707C">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应急处理措施</w:t>
            </w:r>
          </w:p>
        </w:tc>
        <w:tc>
          <w:tcPr>
            <w:tcW w:w="5600" w:type="dxa"/>
            <w:gridSpan w:val="2"/>
            <w:vAlign w:val="center"/>
          </w:tcPr>
          <w:p w14:paraId="6DF44594">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供应商针对突然增加的任务数量或突发事件需建立完善的应急处理机制；对供应商制定的应急处置方案的针对性和可操作性情况进行评价。</w:t>
            </w:r>
          </w:p>
          <w:p w14:paraId="2F04AE5C">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1.方案完整，具有较强的针对性、可操作性强的，得,7分；</w:t>
            </w:r>
          </w:p>
          <w:p w14:paraId="6A3A4509">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2.方案具有针对性、可操作性一般得5分；</w:t>
            </w:r>
          </w:p>
          <w:p w14:paraId="404261F6">
            <w:pPr>
              <w:autoSpaceDE w:val="0"/>
              <w:autoSpaceDN w:val="0"/>
              <w:adjustRightInd w:val="0"/>
              <w:snapToGrid w:val="0"/>
              <w:spacing w:line="500" w:lineRule="exact"/>
              <w:rPr>
                <w:rFonts w:hint="default"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3.方案基本上具有针对性、可操作性一般得3分；</w:t>
            </w:r>
          </w:p>
          <w:p w14:paraId="245A6DAB">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4.方案一般，无针对性，可操作性不强的得1分；</w:t>
            </w:r>
          </w:p>
          <w:p w14:paraId="613D1114">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5.不提供不得分。</w:t>
            </w:r>
          </w:p>
        </w:tc>
        <w:tc>
          <w:tcPr>
            <w:tcW w:w="901" w:type="dxa"/>
            <w:vAlign w:val="center"/>
          </w:tcPr>
          <w:p w14:paraId="32EB3EAE">
            <w:pPr>
              <w:widowControl/>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（0-7分）</w:t>
            </w:r>
          </w:p>
        </w:tc>
      </w:tr>
      <w:tr w14:paraId="54C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4BEAE2D3">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6F48229B">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2D260096">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质量控制方案</w:t>
            </w:r>
          </w:p>
        </w:tc>
        <w:tc>
          <w:tcPr>
            <w:tcW w:w="5600" w:type="dxa"/>
            <w:gridSpan w:val="2"/>
            <w:vAlign w:val="center"/>
          </w:tcPr>
          <w:p w14:paraId="6A5A01B1">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1.投标人提供的质量管理制度、质量保证措施、安全、保密措施，针对性与可操作性强得5分；</w:t>
            </w:r>
          </w:p>
          <w:p w14:paraId="1C63C7BC">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2.投标人提供的质量管理制度、质量保证措施、安全、保密措施，针对性与可操作性一般得3分；</w:t>
            </w:r>
          </w:p>
          <w:p w14:paraId="6759373D">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3.投标人提供的质量管理制度、质量保证措施、安全、保密措施，针对性与可操作性较差得1分；</w:t>
            </w:r>
          </w:p>
          <w:p w14:paraId="49E7AC9F">
            <w:pPr>
              <w:autoSpaceDE w:val="0"/>
              <w:autoSpaceDN w:val="0"/>
              <w:adjustRightInd w:val="0"/>
              <w:snapToGrid w:val="0"/>
              <w:spacing w:line="500" w:lineRule="exact"/>
              <w:rPr>
                <w:rFonts w:hint="eastAsia"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4.没有相关内容的不得分。</w:t>
            </w:r>
          </w:p>
        </w:tc>
        <w:tc>
          <w:tcPr>
            <w:tcW w:w="901" w:type="dxa"/>
            <w:vAlign w:val="center"/>
          </w:tcPr>
          <w:p w14:paraId="58BEFE02">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（0-5分）</w:t>
            </w:r>
          </w:p>
        </w:tc>
      </w:tr>
      <w:tr w14:paraId="436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3DF102B5">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06DBEB2F">
            <w:pPr>
              <w:autoSpaceDE w:val="0"/>
              <w:autoSpaceDN w:val="0"/>
              <w:adjustRightInd w:val="0"/>
              <w:snapToGrid w:val="0"/>
              <w:spacing w:line="500" w:lineRule="exact"/>
              <w:rPr>
                <w:rFonts w:hint="eastAsia" w:ascii="宋体" w:hAnsi="宋体"/>
                <w:spacing w:val="1"/>
                <w:kern w:val="0"/>
                <w:sz w:val="24"/>
                <w:szCs w:val="24"/>
                <w:highlight w:val="none"/>
                <w:lang w:eastAsia="zh-CN"/>
              </w:rPr>
            </w:pPr>
          </w:p>
        </w:tc>
        <w:tc>
          <w:tcPr>
            <w:tcW w:w="1012" w:type="dxa"/>
            <w:vAlign w:val="center"/>
          </w:tcPr>
          <w:p w14:paraId="41A69D17">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项目组织机构配备及主要人员岗位职责</w:t>
            </w:r>
          </w:p>
        </w:tc>
        <w:tc>
          <w:tcPr>
            <w:tcW w:w="5600" w:type="dxa"/>
            <w:gridSpan w:val="2"/>
            <w:vAlign w:val="center"/>
          </w:tcPr>
          <w:p w14:paraId="76658D20">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1.项目组织机构完整全面，主要人员岗位职责划分清晰明确、能充分保证项目顺利高效实施，得7分；</w:t>
            </w:r>
          </w:p>
          <w:p w14:paraId="0CDC3C7C">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2.项目组织机构完整，主要人员岗位职责划分相对清晰、能满足项目实施，得5分；</w:t>
            </w:r>
          </w:p>
          <w:p w14:paraId="16ED0234">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3.项目组织机构基本完整，主要人员岗位职责划分基本清晰、基本能满足项目实施，得3分；</w:t>
            </w:r>
          </w:p>
          <w:p w14:paraId="5A5BFF0E">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4.项目组织机构不完整，主要人员岗位职责划分不清晰，得 1 分；</w:t>
            </w:r>
          </w:p>
          <w:p w14:paraId="1D08E3CD">
            <w:pPr>
              <w:autoSpaceDE w:val="0"/>
              <w:autoSpaceDN w:val="0"/>
              <w:adjustRightInd w:val="0"/>
              <w:snapToGrid w:val="0"/>
              <w:spacing w:line="500" w:lineRule="exact"/>
              <w:rPr>
                <w:rFonts w:hint="eastAsia" w:ascii="宋体" w:hAnsi="宋体"/>
                <w:color w:val="auto"/>
                <w:spacing w:val="1"/>
                <w:kern w:val="0"/>
                <w:sz w:val="24"/>
                <w:szCs w:val="24"/>
                <w:highlight w:val="none"/>
                <w:lang w:val="en-US" w:eastAsia="zh-CN"/>
              </w:rPr>
            </w:pPr>
            <w:r>
              <w:rPr>
                <w:rFonts w:hint="eastAsia" w:ascii="宋体" w:hAnsi="宋体"/>
                <w:color w:val="auto"/>
                <w:spacing w:val="1"/>
                <w:kern w:val="0"/>
                <w:sz w:val="24"/>
                <w:szCs w:val="24"/>
                <w:highlight w:val="none"/>
                <w:lang w:val="en-US" w:eastAsia="zh-CN"/>
              </w:rPr>
              <w:t>5.不提供、不满足要求或与本项目完全不相关的不得分。</w:t>
            </w:r>
          </w:p>
        </w:tc>
        <w:tc>
          <w:tcPr>
            <w:tcW w:w="901" w:type="dxa"/>
            <w:vAlign w:val="center"/>
          </w:tcPr>
          <w:p w14:paraId="0195AEAD">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（0-7分）</w:t>
            </w:r>
          </w:p>
        </w:tc>
      </w:tr>
      <w:tr w14:paraId="2DBE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990" w:type="dxa"/>
            <w:vMerge w:val="restart"/>
            <w:vAlign w:val="center"/>
          </w:tcPr>
          <w:p w14:paraId="4A0E5ED9">
            <w:pPr>
              <w:ind w:right="119" w:rightChars="0"/>
              <w:jc w:val="center"/>
              <w:rPr>
                <w:rFonts w:hint="default"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3</w:t>
            </w:r>
          </w:p>
        </w:tc>
        <w:tc>
          <w:tcPr>
            <w:tcW w:w="876" w:type="dxa"/>
            <w:vMerge w:val="restart"/>
            <w:vAlign w:val="center"/>
          </w:tcPr>
          <w:p w14:paraId="09B046D2">
            <w:pPr>
              <w:autoSpaceDE/>
              <w:autoSpaceDN/>
              <w:adjustRightInd w:val="0"/>
              <w:snapToGrid w:val="0"/>
              <w:spacing w:line="300" w:lineRule="exact"/>
              <w:jc w:val="both"/>
              <w:rPr>
                <w:rFonts w:hint="eastAsia" w:cs="微软雅黑"/>
                <w:kern w:val="1"/>
                <w:sz w:val="24"/>
                <w:szCs w:val="24"/>
                <w:lang w:eastAsia="zh-CN"/>
              </w:rPr>
            </w:pPr>
            <w:r>
              <w:rPr>
                <w:rFonts w:hint="eastAsia" w:cs="微软雅黑"/>
                <w:kern w:val="1"/>
                <w:sz w:val="24"/>
                <w:szCs w:val="24"/>
                <w:lang w:eastAsia="zh-CN"/>
              </w:rPr>
              <w:t>综合部分（</w:t>
            </w:r>
            <w:r>
              <w:rPr>
                <w:rFonts w:hint="eastAsia" w:cs="微软雅黑"/>
                <w:kern w:val="1"/>
                <w:sz w:val="24"/>
                <w:szCs w:val="24"/>
                <w:lang w:val="en-US" w:eastAsia="zh-CN"/>
              </w:rPr>
              <w:t>28分</w:t>
            </w:r>
            <w:r>
              <w:rPr>
                <w:rFonts w:hint="eastAsia" w:cs="微软雅黑"/>
                <w:kern w:val="1"/>
                <w:sz w:val="24"/>
                <w:szCs w:val="24"/>
                <w:lang w:eastAsia="zh-CN"/>
              </w:rPr>
              <w:t>）</w:t>
            </w:r>
          </w:p>
          <w:p w14:paraId="19AE55FB">
            <w:pPr>
              <w:autoSpaceDE/>
              <w:autoSpaceDN/>
              <w:spacing w:line="300" w:lineRule="exact"/>
              <w:jc w:val="center"/>
              <w:rPr>
                <w:rFonts w:hint="eastAsia" w:ascii="宋体" w:hAnsi="宋体"/>
                <w:spacing w:val="1"/>
                <w:kern w:val="0"/>
                <w:sz w:val="24"/>
                <w:szCs w:val="24"/>
                <w:highlight w:val="none"/>
                <w:lang w:eastAsia="zh-CN"/>
              </w:rPr>
            </w:pPr>
          </w:p>
        </w:tc>
        <w:tc>
          <w:tcPr>
            <w:tcW w:w="1012" w:type="dxa"/>
            <w:vAlign w:val="center"/>
          </w:tcPr>
          <w:p w14:paraId="01F03A44">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业绩</w:t>
            </w:r>
          </w:p>
        </w:tc>
        <w:tc>
          <w:tcPr>
            <w:tcW w:w="5600" w:type="dxa"/>
            <w:gridSpan w:val="2"/>
            <w:vAlign w:val="center"/>
          </w:tcPr>
          <w:p w14:paraId="10457E1D">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投标人自</w:t>
            </w:r>
            <w:r>
              <w:rPr>
                <w:rFonts w:hint="eastAsia" w:ascii="宋体" w:hAnsi="宋体" w:eastAsia="宋体" w:cs="宋体"/>
                <w:kern w:val="0"/>
                <w:sz w:val="24"/>
                <w:szCs w:val="24"/>
                <w:highlight w:val="none"/>
                <w:lang w:val="en-US" w:eastAsia="zh-CN"/>
              </w:rPr>
              <w:t xml:space="preserve"> 2023 年1月1日以来</w:t>
            </w:r>
            <w:r>
              <w:rPr>
                <w:rFonts w:hint="eastAsia" w:ascii="宋体" w:hAnsi="宋体" w:eastAsia="宋体" w:cs="宋体"/>
                <w:kern w:val="0"/>
                <w:sz w:val="24"/>
                <w:szCs w:val="24"/>
                <w:lang w:val="en-US" w:eastAsia="zh-CN"/>
              </w:rPr>
              <w:t>具有类似项目业绩合同的，有1项得2分，最多得6分。</w:t>
            </w:r>
          </w:p>
          <w:p w14:paraId="7B6477E4">
            <w:pPr>
              <w:widowControl/>
              <w:spacing w:line="360" w:lineRule="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注：1.时间以合同签订日期为准，需提供合同原件扫描件，否则不得分；</w:t>
            </w:r>
          </w:p>
          <w:p w14:paraId="2D43ECF9">
            <w:pPr>
              <w:pStyle w:val="38"/>
              <w:rPr>
                <w:rFonts w:hint="eastAsia" w:eastAsiaTheme="minorEastAsia"/>
                <w:lang w:val="en-US" w:eastAsia="zh-CN"/>
              </w:rPr>
            </w:pPr>
            <w:r>
              <w:rPr>
                <w:rFonts w:hint="eastAsia" w:ascii="宋体" w:hAnsi="宋体" w:eastAsia="宋体" w:cs="宋体"/>
                <w:b w:val="0"/>
                <w:bCs w:val="0"/>
                <w:kern w:val="0"/>
                <w:sz w:val="24"/>
                <w:szCs w:val="24"/>
                <w:lang w:val="en-US" w:eastAsia="zh-CN"/>
              </w:rPr>
              <w:t>2.</w:t>
            </w:r>
            <w:r>
              <w:rPr>
                <w:rFonts w:hint="eastAsia" w:ascii="宋体" w:hAnsi="宋体" w:cs="宋体"/>
                <w:b w:val="0"/>
                <w:bCs w:val="0"/>
                <w:kern w:val="0"/>
                <w:sz w:val="24"/>
                <w:szCs w:val="24"/>
                <w:u w:val="none" w:color="000000"/>
              </w:rPr>
              <w:t>若为联合体投标，联合体牵头单位或成员单位的业绩均可</w:t>
            </w:r>
            <w:r>
              <w:rPr>
                <w:rFonts w:hint="eastAsia" w:ascii="宋体" w:hAnsi="宋体" w:cs="宋体"/>
                <w:b w:val="0"/>
                <w:bCs w:val="0"/>
                <w:kern w:val="0"/>
                <w:sz w:val="24"/>
                <w:szCs w:val="24"/>
                <w:u w:val="none" w:color="000000"/>
                <w:lang w:eastAsia="zh-CN"/>
              </w:rPr>
              <w:t>。</w:t>
            </w:r>
          </w:p>
        </w:tc>
        <w:tc>
          <w:tcPr>
            <w:tcW w:w="901" w:type="dxa"/>
            <w:vAlign w:val="center"/>
          </w:tcPr>
          <w:p w14:paraId="20A8FF70">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（0-6分）</w:t>
            </w:r>
          </w:p>
        </w:tc>
      </w:tr>
      <w:tr w14:paraId="28DC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90" w:type="dxa"/>
            <w:vMerge w:val="continue"/>
            <w:vAlign w:val="center"/>
          </w:tcPr>
          <w:p w14:paraId="74339FFA">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71107615">
            <w:pPr>
              <w:autoSpaceDE/>
              <w:autoSpaceDN/>
              <w:spacing w:line="300" w:lineRule="exact"/>
              <w:jc w:val="center"/>
              <w:rPr>
                <w:rFonts w:hint="eastAsia" w:ascii="宋体" w:hAnsi="宋体"/>
                <w:spacing w:val="1"/>
                <w:kern w:val="0"/>
                <w:sz w:val="24"/>
                <w:szCs w:val="24"/>
                <w:highlight w:val="none"/>
                <w:lang w:eastAsia="zh-CN"/>
              </w:rPr>
            </w:pPr>
          </w:p>
        </w:tc>
        <w:tc>
          <w:tcPr>
            <w:tcW w:w="1012" w:type="dxa"/>
            <w:vAlign w:val="center"/>
          </w:tcPr>
          <w:p w14:paraId="21C6F833">
            <w:pPr>
              <w:widowControl/>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项目部人员配备</w:t>
            </w:r>
          </w:p>
        </w:tc>
        <w:tc>
          <w:tcPr>
            <w:tcW w:w="5600" w:type="dxa"/>
            <w:gridSpan w:val="2"/>
            <w:vAlign w:val="center"/>
          </w:tcPr>
          <w:p w14:paraId="4F5BFC46">
            <w:pPr>
              <w:widowControl/>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拟派项</w:t>
            </w:r>
            <w:bookmarkStart w:id="510" w:name="_GoBack"/>
            <w:bookmarkEnd w:id="510"/>
            <w:r>
              <w:rPr>
                <w:rFonts w:hint="eastAsia" w:ascii="宋体" w:hAnsi="宋体" w:eastAsia="宋体" w:cs="宋体"/>
                <w:kern w:val="0"/>
                <w:sz w:val="24"/>
                <w:szCs w:val="24"/>
                <w:highlight w:val="none"/>
                <w:lang w:val="en-US" w:eastAsia="zh-CN"/>
              </w:rPr>
              <w:t>目组成员中（除项目负责人外）：</w:t>
            </w:r>
          </w:p>
          <w:p w14:paraId="4805F79F">
            <w:pPr>
              <w:widowControl/>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1.同时具有注册城乡规划师证书和高级及以上工程师职称证书的，每提供一个得2分，最高得6分；</w:t>
            </w:r>
          </w:p>
          <w:p w14:paraId="18709E4C">
            <w:pPr>
              <w:widowControl/>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2.具有高级及以上职称证书的，每提供一个得2分，最高得6分。</w:t>
            </w:r>
          </w:p>
          <w:p w14:paraId="1BE206B1">
            <w:pPr>
              <w:pStyle w:val="9"/>
              <w:rPr>
                <w:rFonts w:hint="eastAsia" w:ascii="宋体" w:hAnsi="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注：1.以上项目组成员证书需提供证书扫描件及本单位为其缴纳的养老保险材料，同一人员不重复得分</w:t>
            </w:r>
            <w:r>
              <w:rPr>
                <w:rFonts w:hint="eastAsia" w:ascii="宋体" w:hAnsi="宋体" w:cs="宋体"/>
                <w:b w:val="0"/>
                <w:bCs w:val="0"/>
                <w:color w:val="000000" w:themeColor="text1"/>
                <w:kern w:val="0"/>
                <w:sz w:val="24"/>
                <w:szCs w:val="24"/>
                <w:lang w:eastAsia="zh-CN"/>
                <w14:textFill>
                  <w14:solidFill>
                    <w14:schemeClr w14:val="tx1"/>
                  </w14:solidFill>
                </w14:textFill>
              </w:rPr>
              <w:t>；</w:t>
            </w:r>
          </w:p>
          <w:p w14:paraId="782AEEBD">
            <w:pPr>
              <w:rPr>
                <w:rFonts w:hint="eastAsia" w:eastAsiaTheme="minorEastAsia"/>
                <w:lang w:val="en-US" w:eastAsia="zh-CN"/>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cs="宋体"/>
                <w:b w:val="0"/>
                <w:bCs w:val="0"/>
                <w:color w:val="000000" w:themeColor="text1"/>
                <w:kern w:val="0"/>
                <w:sz w:val="24"/>
                <w:szCs w:val="24"/>
                <w14:textFill>
                  <w14:solidFill>
                    <w14:schemeClr w14:val="tx1"/>
                  </w14:solidFill>
                </w14:textFill>
              </w:rPr>
              <w:t>若为联合体投标，项目组成员为联合体牵头单位或成员单位的人员均</w:t>
            </w:r>
            <w:r>
              <w:rPr>
                <w:rFonts w:hint="eastAsia" w:ascii="宋体" w:hAnsi="宋体" w:cs="宋体"/>
                <w:b w:val="0"/>
                <w:bCs w:val="0"/>
                <w:color w:val="000000" w:themeColor="text1"/>
                <w:kern w:val="0"/>
                <w:sz w:val="24"/>
                <w:szCs w:val="24"/>
                <w:lang w:eastAsia="zh-CN"/>
                <w14:textFill>
                  <w14:solidFill>
                    <w14:schemeClr w14:val="tx1"/>
                  </w14:solidFill>
                </w14:textFill>
              </w:rPr>
              <w:t>可。</w:t>
            </w:r>
          </w:p>
        </w:tc>
        <w:tc>
          <w:tcPr>
            <w:tcW w:w="901" w:type="dxa"/>
            <w:vAlign w:val="center"/>
          </w:tcPr>
          <w:p w14:paraId="5E59DF5B">
            <w:pPr>
              <w:widowControl/>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（0-12分）</w:t>
            </w:r>
          </w:p>
        </w:tc>
      </w:tr>
      <w:tr w14:paraId="750B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Merge w:val="continue"/>
            <w:vAlign w:val="center"/>
          </w:tcPr>
          <w:p w14:paraId="446286BF">
            <w:pPr>
              <w:ind w:right="119" w:rightChars="0"/>
              <w:jc w:val="center"/>
              <w:rPr>
                <w:rFonts w:hint="eastAsia" w:ascii="宋体" w:hAnsi="宋体"/>
                <w:spacing w:val="1"/>
                <w:kern w:val="0"/>
                <w:sz w:val="24"/>
                <w:szCs w:val="24"/>
                <w:highlight w:val="none"/>
                <w:lang w:val="en-US" w:eastAsia="zh-CN"/>
              </w:rPr>
            </w:pPr>
          </w:p>
        </w:tc>
        <w:tc>
          <w:tcPr>
            <w:tcW w:w="876" w:type="dxa"/>
            <w:vMerge w:val="continue"/>
            <w:vAlign w:val="center"/>
          </w:tcPr>
          <w:p w14:paraId="7C0D3C49">
            <w:pPr>
              <w:autoSpaceDE/>
              <w:autoSpaceDN/>
              <w:adjustRightInd w:val="0"/>
              <w:snapToGrid w:val="0"/>
              <w:spacing w:before="48" w:beforeLines="20" w:after="48" w:afterLines="20" w:line="540" w:lineRule="exact"/>
              <w:jc w:val="both"/>
              <w:rPr>
                <w:rFonts w:hint="eastAsia" w:ascii="宋体" w:hAnsi="宋体"/>
                <w:spacing w:val="1"/>
                <w:kern w:val="0"/>
                <w:sz w:val="24"/>
                <w:szCs w:val="24"/>
                <w:highlight w:val="none"/>
                <w:lang w:eastAsia="zh-CN"/>
              </w:rPr>
            </w:pPr>
          </w:p>
        </w:tc>
        <w:tc>
          <w:tcPr>
            <w:tcW w:w="1012" w:type="dxa"/>
            <w:vAlign w:val="center"/>
          </w:tcPr>
          <w:p w14:paraId="62F7D68D">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服务承诺</w:t>
            </w:r>
          </w:p>
        </w:tc>
        <w:tc>
          <w:tcPr>
            <w:tcW w:w="5600" w:type="dxa"/>
            <w:gridSpan w:val="2"/>
            <w:vAlign w:val="center"/>
          </w:tcPr>
          <w:p w14:paraId="21C6199B">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一、包含不更换项目负责人、数据保密承诺、按时完成全部工作承诺等，根据投标人对本项目服务承诺内容进行打分：</w:t>
            </w:r>
          </w:p>
          <w:p w14:paraId="43518185">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1.承诺内容详细、科学合理、切实可行得 5 分；</w:t>
            </w:r>
          </w:p>
          <w:p w14:paraId="1FC86ED7">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2.承诺内容较详细、内容合理、切实可行得 3 分；</w:t>
            </w:r>
          </w:p>
          <w:p w14:paraId="6D415C5F">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3.承诺内容不合理、可行性不强得 2 分；</w:t>
            </w:r>
          </w:p>
          <w:p w14:paraId="7204B403">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4.不提供、不满足要求或与本项目完全不相关的不得分。</w:t>
            </w:r>
          </w:p>
          <w:p w14:paraId="48650A1C">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二、在工作开展过程中积极推进项目进度，并及时配合调整相关修改内容，根据投标人对本项目服务承诺内容进行打分：</w:t>
            </w:r>
          </w:p>
          <w:p w14:paraId="2983634C">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1.承诺具体全面，可操作性强的，得5分；</w:t>
            </w:r>
          </w:p>
          <w:p w14:paraId="00D6297A">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2.承诺全面，可操作性较强的，得3分；</w:t>
            </w:r>
          </w:p>
          <w:p w14:paraId="7D907C17">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3.承诺不够全面，可操作性一般的，得2分；</w:t>
            </w:r>
          </w:p>
          <w:p w14:paraId="35088AD1">
            <w:pPr>
              <w:widowControl/>
              <w:numPr>
                <w:ilvl w:val="0"/>
                <w:numId w:val="0"/>
              </w:num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4.不提供、不满足要求或与本项目完全不相关的不得分。</w:t>
            </w:r>
          </w:p>
        </w:tc>
        <w:tc>
          <w:tcPr>
            <w:tcW w:w="901" w:type="dxa"/>
            <w:vAlign w:val="center"/>
          </w:tcPr>
          <w:p w14:paraId="7F0B2B3C">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(0-10分)</w:t>
            </w:r>
          </w:p>
        </w:tc>
      </w:tr>
      <w:tr w14:paraId="3AB8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0" w:type="dxa"/>
            <w:vAlign w:val="center"/>
          </w:tcPr>
          <w:p w14:paraId="5E71CB61">
            <w:pPr>
              <w:ind w:right="119" w:rightChars="0"/>
              <w:jc w:val="center"/>
              <w:rPr>
                <w:rFonts w:hint="default" w:ascii="宋体" w:hAnsi="宋体"/>
                <w:spacing w:val="1"/>
                <w:kern w:val="0"/>
                <w:sz w:val="24"/>
                <w:szCs w:val="24"/>
                <w:highlight w:val="none"/>
                <w:lang w:val="en-US" w:eastAsia="zh-CN"/>
              </w:rPr>
            </w:pPr>
            <w:r>
              <w:rPr>
                <w:rFonts w:hint="eastAsia" w:ascii="宋体" w:hAnsi="宋体"/>
                <w:spacing w:val="1"/>
                <w:kern w:val="0"/>
                <w:sz w:val="24"/>
                <w:szCs w:val="24"/>
                <w:highlight w:val="none"/>
                <w:lang w:val="en-US" w:eastAsia="zh-CN"/>
              </w:rPr>
              <w:t>4</w:t>
            </w:r>
          </w:p>
        </w:tc>
        <w:tc>
          <w:tcPr>
            <w:tcW w:w="876" w:type="dxa"/>
            <w:vAlign w:val="center"/>
          </w:tcPr>
          <w:p w14:paraId="6532B6FF">
            <w:pPr>
              <w:autoSpaceDE/>
              <w:autoSpaceDN/>
              <w:adjustRightInd w:val="0"/>
              <w:snapToGrid w:val="0"/>
              <w:spacing w:before="48" w:beforeLines="20" w:after="48" w:afterLines="20" w:line="540" w:lineRule="exact"/>
              <w:jc w:val="both"/>
              <w:rPr>
                <w:rFonts w:hint="eastAsia" w:ascii="宋体" w:hAnsi="宋体"/>
                <w:spacing w:val="1"/>
                <w:kern w:val="0"/>
                <w:sz w:val="24"/>
                <w:szCs w:val="24"/>
                <w:highlight w:val="none"/>
                <w:lang w:eastAsia="zh-CN"/>
              </w:rPr>
            </w:pPr>
            <w:r>
              <w:rPr>
                <w:rFonts w:hint="eastAsia" w:ascii="宋体" w:hAnsi="宋体"/>
                <w:spacing w:val="1"/>
                <w:kern w:val="0"/>
                <w:sz w:val="24"/>
                <w:szCs w:val="24"/>
                <w:highlight w:val="none"/>
                <w:lang w:eastAsia="zh-CN"/>
              </w:rPr>
              <w:t>总分</w:t>
            </w:r>
          </w:p>
        </w:tc>
        <w:tc>
          <w:tcPr>
            <w:tcW w:w="1012" w:type="dxa"/>
            <w:vAlign w:val="center"/>
          </w:tcPr>
          <w:p w14:paraId="4121DEFD">
            <w:pPr>
              <w:widowControl/>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100分</w:t>
            </w:r>
          </w:p>
        </w:tc>
        <w:tc>
          <w:tcPr>
            <w:tcW w:w="6501" w:type="dxa"/>
            <w:gridSpan w:val="3"/>
            <w:vAlign w:val="center"/>
          </w:tcPr>
          <w:p w14:paraId="5CAEC199">
            <w:pPr>
              <w:widowControl/>
              <w:spacing w:line="360" w:lineRule="auto"/>
              <w:rPr>
                <w:rFonts w:hint="eastAsia" w:ascii="宋体" w:hAnsi="宋体" w:eastAsia="宋体" w:cs="宋体"/>
                <w:kern w:val="0"/>
                <w:sz w:val="24"/>
                <w:szCs w:val="24"/>
                <w:lang w:val="en-US" w:eastAsia="zh-CN"/>
              </w:rPr>
            </w:pPr>
          </w:p>
        </w:tc>
      </w:tr>
      <w:tr w14:paraId="51DB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379" w:type="dxa"/>
            <w:gridSpan w:val="6"/>
            <w:vAlign w:val="center"/>
          </w:tcPr>
          <w:p w14:paraId="368266FC">
            <w:pPr>
              <w:widowControl/>
              <w:spacing w:line="360" w:lineRule="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供应商综合得分﹦报价得分+技术部分＋综合部分</w:t>
            </w:r>
          </w:p>
          <w:p w14:paraId="363B9A94">
            <w:pPr>
              <w:widowControl/>
              <w:spacing w:line="360" w:lineRule="auto"/>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1．磋商小组对所有评审项得分的算术平均值，作为该供应商的最终得分。</w:t>
            </w:r>
          </w:p>
          <w:p w14:paraId="71B6F482">
            <w:pPr>
              <w:widowControl/>
              <w:spacing w:line="360" w:lineRule="auto"/>
              <w:rPr>
                <w:rFonts w:hint="eastAsia" w:ascii="宋体" w:hAnsi="宋体" w:eastAsia="宋体" w:cs="宋体"/>
                <w:b/>
                <w:bCs/>
                <w:kern w:val="0"/>
                <w:sz w:val="24"/>
                <w:szCs w:val="24"/>
                <w:lang w:val="zh-CN" w:eastAsia="zh-CN"/>
              </w:rPr>
            </w:pPr>
            <w:r>
              <w:rPr>
                <w:rFonts w:hint="eastAsia" w:ascii="宋体" w:hAnsi="宋体" w:eastAsia="宋体" w:cs="宋体"/>
                <w:b/>
                <w:bCs/>
                <w:kern w:val="0"/>
                <w:sz w:val="24"/>
                <w:szCs w:val="24"/>
                <w:lang w:val="zh-CN" w:eastAsia="zh-CN"/>
              </w:rPr>
              <w:t>2．计分过程中按四舍五入的法则，取至小数点后2位，最终结果取至小数点后2位，磋商小组将按供应商得分高低排序向采购人推荐3名中标候选人。</w:t>
            </w:r>
          </w:p>
          <w:p w14:paraId="6D28B7EF">
            <w:pPr>
              <w:widowControl/>
              <w:spacing w:line="360" w:lineRule="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zh-CN" w:eastAsia="zh-CN"/>
              </w:rPr>
              <w:t>3.以上所提到的资格、业绩等文件材料应将原件扫描件制作在电子响应文件中，评标时以供应商上传的电子响应文件为准，否则资格不通过、由此</w:t>
            </w:r>
            <w:r>
              <w:rPr>
                <w:rFonts w:hint="eastAsia" w:ascii="宋体" w:hAnsi="宋体" w:eastAsia="宋体" w:cs="宋体"/>
                <w:b/>
                <w:bCs/>
                <w:kern w:val="0"/>
                <w:sz w:val="24"/>
                <w:szCs w:val="24"/>
                <w:lang w:val="en-US" w:eastAsia="zh-CN"/>
              </w:rPr>
              <w:t>造成应得分而未得分或资格审查不合格等情况的，由供应商承担责任。</w:t>
            </w:r>
          </w:p>
        </w:tc>
      </w:tr>
    </w:tbl>
    <w:p w14:paraId="5549FD84">
      <w:pPr>
        <w:rPr>
          <w:rFonts w:hint="eastAsia" w:ascii="宋体" w:hAnsi="宋体" w:eastAsia="宋体" w:cs="Times New Roman"/>
          <w:b/>
          <w:sz w:val="24"/>
          <w:szCs w:val="24"/>
        </w:rPr>
      </w:pPr>
    </w:p>
    <w:p w14:paraId="731472D9">
      <w:pPr>
        <w:keepNext/>
        <w:keepLines/>
        <w:wordWrap w:val="0"/>
        <w:topLinePunct/>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1.评审办法</w:t>
      </w:r>
    </w:p>
    <w:p w14:paraId="5610C294">
      <w:pPr>
        <w:autoSpaceDE w:val="0"/>
        <w:autoSpaceDN w:val="0"/>
        <w:adjustRightInd w:val="0"/>
        <w:spacing w:line="360" w:lineRule="auto"/>
        <w:ind w:right="-23"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本次竞争性磋商采用综合评分法评审，磋商小组对满</w:t>
      </w:r>
      <w:r>
        <w:rPr>
          <w:rFonts w:hint="eastAsia" w:ascii="宋体" w:hAnsi="宋体" w:eastAsia="宋体" w:cs="宋体"/>
          <w:spacing w:val="-2"/>
          <w:kern w:val="0"/>
          <w:sz w:val="24"/>
          <w:szCs w:val="24"/>
        </w:rPr>
        <w:t>足</w:t>
      </w:r>
      <w:r>
        <w:rPr>
          <w:rFonts w:hint="eastAsia" w:ascii="宋体" w:hAnsi="宋体" w:eastAsia="宋体" w:cs="宋体"/>
          <w:kern w:val="0"/>
          <w:sz w:val="24"/>
          <w:szCs w:val="24"/>
        </w:rPr>
        <w:t>竞争性磋商文件实质性要求且最终确定采购需求和在规定时间提交最后报价的</w:t>
      </w:r>
      <w:r>
        <w:rPr>
          <w:rFonts w:hint="eastAsia" w:ascii="宋体" w:hAnsi="宋体" w:eastAsia="宋体" w:cs="宋体"/>
          <w:spacing w:val="-2"/>
          <w:kern w:val="0"/>
          <w:sz w:val="24"/>
          <w:szCs w:val="24"/>
        </w:rPr>
        <w:t>响应文</w:t>
      </w:r>
      <w:r>
        <w:rPr>
          <w:rFonts w:hint="eastAsia" w:ascii="宋体" w:hAnsi="宋体" w:eastAsia="宋体" w:cs="宋体"/>
          <w:kern w:val="0"/>
          <w:sz w:val="24"/>
          <w:szCs w:val="24"/>
        </w:rPr>
        <w:t>件，且按照评审因素的量化指标评审得分最高的供应商为成交候选人的评审方法。</w:t>
      </w:r>
    </w:p>
    <w:p w14:paraId="63388600">
      <w:pPr>
        <w:keepNext/>
        <w:keepLines/>
        <w:numPr>
          <w:ilvl w:val="0"/>
          <w:numId w:val="8"/>
        </w:numPr>
        <w:wordWrap w:val="0"/>
        <w:topLinePunct/>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评审标准</w:t>
      </w:r>
    </w:p>
    <w:p w14:paraId="02465868">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初步评审标准</w:t>
      </w:r>
    </w:p>
    <w:p w14:paraId="1D8AF53F">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符合性评</w:t>
      </w:r>
      <w:r>
        <w:rPr>
          <w:rFonts w:hint="eastAsia" w:ascii="宋体" w:hAnsi="宋体" w:eastAsia="宋体" w:cs="宋体"/>
          <w:spacing w:val="-2"/>
          <w:kern w:val="0"/>
          <w:sz w:val="24"/>
          <w:szCs w:val="24"/>
        </w:rPr>
        <w:t>审</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准</w:t>
      </w:r>
      <w:r>
        <w:rPr>
          <w:rFonts w:hint="eastAsia" w:ascii="宋体" w:hAnsi="宋体" w:eastAsia="宋体" w:cs="宋体"/>
          <w:kern w:val="0"/>
          <w:sz w:val="24"/>
          <w:szCs w:val="24"/>
        </w:rPr>
        <w:t>：</w:t>
      </w:r>
      <w:r>
        <w:rPr>
          <w:rFonts w:hint="eastAsia" w:ascii="宋体" w:hAnsi="宋体" w:eastAsia="宋体" w:cs="宋体"/>
          <w:spacing w:val="-2"/>
          <w:kern w:val="0"/>
          <w:sz w:val="24"/>
          <w:szCs w:val="24"/>
        </w:rPr>
        <w:t>见评审办法</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p>
    <w:p w14:paraId="3059840A">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资</w:t>
      </w:r>
      <w:r>
        <w:rPr>
          <w:rFonts w:hint="eastAsia" w:ascii="宋体" w:hAnsi="宋体" w:eastAsia="宋体" w:cs="宋体"/>
          <w:spacing w:val="-2"/>
          <w:kern w:val="0"/>
          <w:sz w:val="24"/>
          <w:szCs w:val="24"/>
        </w:rPr>
        <w:t>格性</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审</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准</w:t>
      </w:r>
      <w:r>
        <w:rPr>
          <w:rFonts w:hint="eastAsia" w:ascii="宋体" w:hAnsi="宋体" w:eastAsia="宋体" w:cs="宋体"/>
          <w:kern w:val="0"/>
          <w:sz w:val="24"/>
          <w:szCs w:val="24"/>
        </w:rPr>
        <w:t>：</w:t>
      </w:r>
      <w:r>
        <w:rPr>
          <w:rFonts w:hint="eastAsia" w:ascii="宋体" w:hAnsi="宋体" w:eastAsia="宋体" w:cs="宋体"/>
          <w:spacing w:val="-2"/>
          <w:kern w:val="0"/>
          <w:sz w:val="24"/>
          <w:szCs w:val="24"/>
        </w:rPr>
        <w:t>见评审办法</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p>
    <w:p w14:paraId="5872B998">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分值构成与评分标准</w:t>
      </w:r>
    </w:p>
    <w:p w14:paraId="30D3459C">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分值构成</w:t>
      </w:r>
    </w:p>
    <w:p w14:paraId="0DF81327">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报价得分：见评审办法前附表；</w:t>
      </w:r>
    </w:p>
    <w:p w14:paraId="193FFCEA">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技术部分：见评审办法前附表；</w:t>
      </w:r>
    </w:p>
    <w:p w14:paraId="32D463DF">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综合部分：见评审办法前附表；</w:t>
      </w:r>
    </w:p>
    <w:p w14:paraId="7DAFE287">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评分标准</w:t>
      </w:r>
    </w:p>
    <w:p w14:paraId="1B5EC4C0">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报价得分标准：见评审办法前附表；</w:t>
      </w:r>
    </w:p>
    <w:p w14:paraId="2E7301DF">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技术部分标准：见评审办法前附表；</w:t>
      </w:r>
    </w:p>
    <w:p w14:paraId="2DB83DE6">
      <w:pPr>
        <w:numPr>
          <w:ilvl w:val="0"/>
          <w:numId w:val="10"/>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综合</w:t>
      </w:r>
      <w:r>
        <w:rPr>
          <w:rFonts w:hint="eastAsia" w:ascii="宋体" w:hAnsi="宋体" w:eastAsia="宋体" w:cs="宋体"/>
          <w:kern w:val="0"/>
          <w:sz w:val="24"/>
          <w:szCs w:val="24"/>
          <w:lang w:eastAsia="zh-CN"/>
        </w:rPr>
        <w:t>部分</w:t>
      </w:r>
      <w:r>
        <w:rPr>
          <w:rFonts w:hint="eastAsia" w:ascii="宋体" w:hAnsi="宋体" w:eastAsia="宋体" w:cs="宋体"/>
          <w:kern w:val="0"/>
          <w:sz w:val="24"/>
          <w:szCs w:val="24"/>
        </w:rPr>
        <w:t>标准：见评审办法前附表；</w:t>
      </w:r>
    </w:p>
    <w:p w14:paraId="24215E41">
      <w:pPr>
        <w:keepNext/>
        <w:keepLines/>
        <w:numPr>
          <w:ilvl w:val="0"/>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评审程序</w:t>
      </w:r>
    </w:p>
    <w:p w14:paraId="3A1BB286">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初步评审</w:t>
      </w:r>
    </w:p>
    <w:p w14:paraId="5BEC5F8F">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4764A538">
      <w:pPr>
        <w:numPr>
          <w:ilvl w:val="2"/>
          <w:numId w:val="8"/>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磋商报价有算术错误及其他错误的，磋商小组按以下原则要求供应商对磋商报价进行修正</w:t>
      </w:r>
      <w:r>
        <w:rPr>
          <w:rFonts w:hint="eastAsia" w:ascii="宋体" w:hAnsi="宋体" w:eastAsia="宋体" w:cs="宋体"/>
          <w:kern w:val="0"/>
          <w:sz w:val="24"/>
          <w:szCs w:val="24"/>
          <w:lang w:eastAsia="zh-CN"/>
        </w:rPr>
        <w:t>：</w:t>
      </w:r>
    </w:p>
    <w:p w14:paraId="700DC8ED">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大写金额和小写金额不一致的，以大写金额为准，但大写金额文字存在错误的，应当先对大写金额的文字错误进行澄清、说明或者更正，再行修正。</w:t>
      </w:r>
    </w:p>
    <w:p w14:paraId="6B41CE31">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总价金额与按单价汇总金额不一致的，以单价金额计算结果为准，但单价或者单价汇总金额存在数字或者文字错误的，应当先对数字或者文字错误进行澄清、说明或者更正，再行修正。</w:t>
      </w:r>
    </w:p>
    <w:p w14:paraId="7DF5F6FE">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单价金额小数点或者百分比有明显错位的，以总价为准，修正单价。</w:t>
      </w:r>
    </w:p>
    <w:p w14:paraId="112F88D1">
      <w:pPr>
        <w:numPr>
          <w:ilvl w:val="0"/>
          <w:numId w:val="11"/>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sz w:val="24"/>
          <w:szCs w:val="24"/>
        </w:rPr>
        <w:t>同时出现两种以上不一致的，按照上述规定的顺序修正。</w:t>
      </w:r>
      <w:r>
        <w:rPr>
          <w:rFonts w:hint="eastAsia" w:ascii="宋体" w:hAnsi="宋体" w:eastAsia="宋体" w:cs="宋体"/>
          <w:kern w:val="0"/>
          <w:sz w:val="24"/>
          <w:szCs w:val="24"/>
        </w:rPr>
        <w:t>修正后的报价应当采用书面形式，并加盖公章或者由法定代表人或其授权的代表签字，供应商不确认的，其投标无效。</w:t>
      </w:r>
    </w:p>
    <w:p w14:paraId="5CFBD9C0">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详细磋商</w:t>
      </w:r>
    </w:p>
    <w:p w14:paraId="3E67B69D">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集中与单一供应商分别进行磋商。在磋商中，磋商双方可以就磋商项目所涉及的价格、技术、服务、合同草案条款等进行实质性磋商，但磋商的任何一方不得透露与磋商有关的其他供应商的商业秘密、技术资料、价格和其他信息。</w:t>
      </w:r>
    </w:p>
    <w:p w14:paraId="09F40142">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在磋商过程中，磋商小组可以根据</w:t>
      </w:r>
      <w:r>
        <w:rPr>
          <w:rFonts w:hint="eastAsia" w:ascii="宋体" w:hAnsi="宋体" w:eastAsia="宋体" w:cs="宋体"/>
          <w:sz w:val="24"/>
          <w:szCs w:val="24"/>
        </w:rPr>
        <w:t>竞争性</w:t>
      </w:r>
      <w:r>
        <w:rPr>
          <w:rFonts w:hint="eastAsia" w:ascii="宋体" w:hAnsi="宋体" w:eastAsia="宋体" w:cs="宋体"/>
          <w:bCs/>
          <w:kern w:val="0"/>
          <w:sz w:val="24"/>
          <w:szCs w:val="24"/>
        </w:rPr>
        <w:t>磋商文件和磋商情况实质性变动采购需求中的技术、服务要求以及合同草案条款，但不得变动</w:t>
      </w:r>
      <w:r>
        <w:rPr>
          <w:rFonts w:hint="eastAsia" w:ascii="宋体" w:hAnsi="宋体" w:eastAsia="宋体" w:cs="宋体"/>
          <w:sz w:val="24"/>
          <w:szCs w:val="24"/>
        </w:rPr>
        <w:t>竞争性</w:t>
      </w:r>
      <w:r>
        <w:rPr>
          <w:rFonts w:hint="eastAsia" w:ascii="宋体" w:hAnsi="宋体" w:eastAsia="宋体" w:cs="宋体"/>
          <w:bCs/>
          <w:kern w:val="0"/>
          <w:sz w:val="24"/>
          <w:szCs w:val="24"/>
        </w:rPr>
        <w:t>磋商文件中的其他内容。</w:t>
      </w:r>
    </w:p>
    <w:p w14:paraId="0B6AA824">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对</w:t>
      </w:r>
      <w:r>
        <w:rPr>
          <w:rFonts w:hint="eastAsia" w:ascii="宋体" w:hAnsi="宋体" w:eastAsia="宋体" w:cs="宋体"/>
          <w:sz w:val="24"/>
          <w:szCs w:val="24"/>
        </w:rPr>
        <w:t>竞争性</w:t>
      </w:r>
      <w:r>
        <w:rPr>
          <w:rFonts w:hint="eastAsia" w:ascii="宋体" w:hAnsi="宋体" w:eastAsia="宋体" w:cs="宋体"/>
          <w:bCs/>
          <w:kern w:val="0"/>
          <w:sz w:val="24"/>
          <w:szCs w:val="24"/>
        </w:rPr>
        <w:t>磋商文件作出的实质性变动是</w:t>
      </w:r>
      <w:r>
        <w:rPr>
          <w:rFonts w:hint="eastAsia" w:ascii="宋体" w:hAnsi="宋体" w:eastAsia="宋体" w:cs="宋体"/>
          <w:sz w:val="24"/>
          <w:szCs w:val="24"/>
        </w:rPr>
        <w:t>竞争性</w:t>
      </w:r>
      <w:r>
        <w:rPr>
          <w:rFonts w:hint="eastAsia" w:ascii="宋体" w:hAnsi="宋体" w:eastAsia="宋体" w:cs="宋体"/>
          <w:bCs/>
          <w:kern w:val="0"/>
          <w:sz w:val="24"/>
          <w:szCs w:val="24"/>
        </w:rPr>
        <w:t>磋商文件的有效组成部分，磋商小组应当以书面形式同时通知所有参加磋商的供应商。</w:t>
      </w:r>
    </w:p>
    <w:p w14:paraId="71C58893">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rPr>
        <w:t>。</w:t>
      </w:r>
    </w:p>
    <w:p w14:paraId="07BA996F">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szCs w:val="24"/>
        </w:rPr>
        <w:t>。</w:t>
      </w:r>
    </w:p>
    <w:p w14:paraId="5B2839FA">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最后报价（二轮报价）是供应商响应文件的有效组成部分【</w:t>
      </w:r>
      <w:r>
        <w:rPr>
          <w:rFonts w:hint="eastAsia" w:ascii="宋体" w:hAnsi="宋体" w:eastAsia="宋体" w:cs="宋体"/>
          <w:b/>
          <w:bCs/>
          <w:sz w:val="24"/>
          <w:szCs w:val="24"/>
        </w:rPr>
        <w:t>注：1、最后报价不得超出磋商控制价；2、最后报价明显低于成本价的，供应商需做出合理说明，否则将承担不被接受的风险</w:t>
      </w:r>
      <w:r>
        <w:rPr>
          <w:rFonts w:hint="eastAsia" w:ascii="宋体" w:hAnsi="宋体" w:eastAsia="宋体" w:cs="宋体"/>
          <w:bCs/>
          <w:kern w:val="0"/>
          <w:sz w:val="24"/>
          <w:szCs w:val="24"/>
        </w:rPr>
        <w:t>】。</w:t>
      </w:r>
    </w:p>
    <w:p w14:paraId="3652C68F">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情况特殊,经磋商小组根据磋商现场情况，可以要求供应商适当进行多轮报价。</w:t>
      </w:r>
    </w:p>
    <w:p w14:paraId="23010440">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经磋商确定最终采购需求和提交最后报价的供应商后，由磋商小组采用综合评分法对提交最后报价的供应商的响应文件和最后报价进行综合评分。</w:t>
      </w:r>
    </w:p>
    <w:p w14:paraId="04EF8D39">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详细评审</w:t>
      </w:r>
    </w:p>
    <w:p w14:paraId="2F5B7FEE">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磋商小组按本章评审方法规定的量化因素和分值进行打分，并计算出综合得分。</w:t>
      </w:r>
    </w:p>
    <w:p w14:paraId="7721382C">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投标处理。</w:t>
      </w:r>
    </w:p>
    <w:p w14:paraId="34EEB56C">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响应文件的澄清</w:t>
      </w:r>
    </w:p>
    <w:p w14:paraId="28CF9E40">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7E2FD791">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澄清、说明或补正不得超出响应文件的范围且不得改变响应文件的实质性内容，并构成响应文件的组成部分。</w:t>
      </w:r>
    </w:p>
    <w:p w14:paraId="1FC51B31">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磋商小组对供应商提交的澄清、说明或补正有疑问的，可以要求供应商进一步澄清、说明或补正，直至满足磋商小组的要求。</w:t>
      </w:r>
    </w:p>
    <w:p w14:paraId="47668FC8">
      <w:pPr>
        <w:keepNext/>
        <w:keepLines/>
        <w:numPr>
          <w:ilvl w:val="1"/>
          <w:numId w:val="8"/>
        </w:numPr>
        <w:wordWrap w:val="0"/>
        <w:topLinePunct/>
        <w:spacing w:line="360" w:lineRule="auto"/>
        <w:outlineLvl w:val="2"/>
        <w:rPr>
          <w:rFonts w:ascii="宋体" w:hAnsi="宋体" w:eastAsia="宋体" w:cs="Times New Roman"/>
          <w:b/>
          <w:bCs/>
          <w:sz w:val="24"/>
          <w:szCs w:val="24"/>
        </w:rPr>
      </w:pPr>
      <w:r>
        <w:rPr>
          <w:rFonts w:hint="eastAsia" w:ascii="宋体" w:hAnsi="宋体" w:eastAsia="宋体" w:cs="Times New Roman"/>
          <w:b/>
          <w:bCs/>
          <w:sz w:val="24"/>
          <w:szCs w:val="24"/>
        </w:rPr>
        <w:t>评审结果</w:t>
      </w:r>
    </w:p>
    <w:p w14:paraId="68575B0B">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除采购人授权直接确定成交人外，按照评审得分由高到低顺序推荐3名成交候选人，评审得分相同的，按照最后报价由低到高的顺序推荐。</w:t>
      </w:r>
    </w:p>
    <w:p w14:paraId="2F48BBE7">
      <w:pPr>
        <w:numPr>
          <w:ilvl w:val="2"/>
          <w:numId w:val="8"/>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 xml:space="preserve"> 磋商小组完成评审后，应当向采购人提交书面评审报告和成交候选人名单</w:t>
      </w:r>
      <w:r>
        <w:rPr>
          <w:rFonts w:hint="eastAsia" w:ascii="宋体" w:hAnsi="宋体" w:eastAsia="宋体" w:cs="宋体"/>
          <w:bCs/>
          <w:kern w:val="0"/>
          <w:sz w:val="24"/>
          <w:szCs w:val="24"/>
        </w:rPr>
        <w:t>并编写评审报告。</w:t>
      </w:r>
    </w:p>
    <w:p w14:paraId="4D1E34FC">
      <w:pPr>
        <w:wordWrap w:val="0"/>
        <w:topLinePunct/>
        <w:spacing w:before="240" w:beforeLines="100" w:after="240" w:afterLines="100" w:line="360" w:lineRule="auto"/>
        <w:jc w:val="center"/>
        <w:outlineLvl w:val="0"/>
        <w:rPr>
          <w:rFonts w:ascii="宋体" w:hAnsi="宋体" w:eastAsia="宋体" w:cs="Courier New"/>
          <w:b/>
          <w:bCs/>
          <w:sz w:val="30"/>
          <w:szCs w:val="30"/>
        </w:rPr>
      </w:pPr>
      <w:r>
        <w:rPr>
          <w:rFonts w:hint="eastAsia" w:ascii="宋体" w:hAnsi="宋体" w:eastAsia="宋体" w:cs="Courier New"/>
          <w:b/>
          <w:bCs/>
          <w:sz w:val="32"/>
          <w:szCs w:val="32"/>
        </w:rPr>
        <w:br w:type="page"/>
      </w:r>
      <w:bookmarkStart w:id="492" w:name="_Toc23774437"/>
      <w:r>
        <w:rPr>
          <w:rFonts w:hint="eastAsia" w:ascii="宋体" w:hAnsi="宋体" w:eastAsia="宋体" w:cs="Courier New"/>
          <w:b/>
          <w:bCs/>
          <w:sz w:val="30"/>
          <w:szCs w:val="30"/>
        </w:rPr>
        <w:t>第</w:t>
      </w:r>
      <w:r>
        <w:rPr>
          <w:rFonts w:hint="eastAsia" w:ascii="宋体" w:hAnsi="宋体" w:eastAsia="宋体" w:cs="Courier New"/>
          <w:b/>
          <w:bCs/>
          <w:sz w:val="30"/>
          <w:szCs w:val="30"/>
          <w:lang w:eastAsia="zh-CN"/>
        </w:rPr>
        <w:t>五</w:t>
      </w:r>
      <w:r>
        <w:rPr>
          <w:rFonts w:hint="eastAsia" w:ascii="宋体" w:hAnsi="宋体" w:eastAsia="宋体" w:cs="Courier New"/>
          <w:b/>
          <w:bCs/>
          <w:sz w:val="30"/>
          <w:szCs w:val="30"/>
        </w:rPr>
        <w:t>章  合同</w:t>
      </w:r>
      <w:bookmarkEnd w:id="491"/>
      <w:r>
        <w:rPr>
          <w:rFonts w:hint="eastAsia" w:ascii="宋体" w:hAnsi="宋体" w:eastAsia="宋体" w:cs="Courier New"/>
          <w:b/>
          <w:bCs/>
          <w:sz w:val="30"/>
          <w:szCs w:val="30"/>
        </w:rPr>
        <w:t>条款及格式</w:t>
      </w:r>
      <w:bookmarkEnd w:id="492"/>
    </w:p>
    <w:p w14:paraId="265A1CE5">
      <w:pPr>
        <w:widowControl/>
        <w:snapToGrid w:val="0"/>
        <w:spacing w:line="480" w:lineRule="exact"/>
        <w:ind w:firstLine="480" w:firstLineChars="200"/>
        <w:jc w:val="center"/>
        <w:rPr>
          <w:rFonts w:ascii="宋体" w:cs="宋体"/>
          <w:color w:val="auto"/>
          <w:sz w:val="24"/>
          <w:szCs w:val="24"/>
          <w:highlight w:val="none"/>
        </w:rPr>
      </w:pPr>
      <w:bookmarkStart w:id="493" w:name="_Toc24785"/>
      <w:bookmarkStart w:id="494" w:name="_Toc5790"/>
      <w:bookmarkStart w:id="495" w:name="_Toc3615"/>
      <w:bookmarkStart w:id="496" w:name="_Toc23774491"/>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493"/>
    <w:bookmarkEnd w:id="494"/>
    <w:p w14:paraId="7D939D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eastAsia="宋体" w:cs="宋体"/>
          <w:sz w:val="24"/>
          <w:szCs w:val="24"/>
          <w:lang w:eastAsia="zh-CN"/>
        </w:rPr>
        <w:t>卢氏县2026年度国土空间总体规划动态调整完善工作项目</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账 号:                      </w:t>
      </w:r>
    </w:p>
    <w:p w14:paraId="09288B68">
      <w:pPr>
        <w:ind w:firstLine="480" w:firstLineChars="200"/>
        <w:rPr>
          <w:rFonts w:hint="eastAsia" w:ascii="宋体" w:hAnsi="宋体" w:eastAsia="宋体" w:cs="Courier New"/>
          <w:b/>
          <w:bCs/>
          <w:sz w:val="30"/>
          <w:szCs w:val="30"/>
        </w:rPr>
      </w:pPr>
      <w:r>
        <w:rPr>
          <w:rFonts w:hint="eastAsia" w:ascii="宋体" w:hAnsi="宋体"/>
          <w:color w:val="auto"/>
          <w:sz w:val="24"/>
          <w:szCs w:val="24"/>
          <w:highlight w:val="none"/>
        </w:rPr>
        <w:t xml:space="preserve">日 期：   年   月   日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日 期：   年   月   日   </w:t>
      </w:r>
      <w:r>
        <w:rPr>
          <w:rFonts w:hint="eastAsia" w:ascii="宋体" w:hAnsi="宋体" w:eastAsia="宋体" w:cs="Courier New"/>
          <w:b/>
          <w:bCs/>
          <w:sz w:val="30"/>
          <w:szCs w:val="30"/>
        </w:rPr>
        <w:br w:type="page"/>
      </w:r>
    </w:p>
    <w:p w14:paraId="7CDAE2A7">
      <w:pPr>
        <w:jc w:val="center"/>
        <w:rPr>
          <w:rFonts w:ascii="宋体" w:hAnsi="宋体" w:eastAsia="宋体" w:cs="Courier New"/>
          <w:b/>
          <w:bCs/>
          <w:sz w:val="30"/>
          <w:szCs w:val="30"/>
        </w:rPr>
      </w:pPr>
      <w:r>
        <w:rPr>
          <w:rFonts w:hint="eastAsia" w:ascii="宋体" w:hAnsi="宋体" w:eastAsia="宋体" w:cs="Courier New"/>
          <w:b/>
          <w:bCs/>
          <w:sz w:val="30"/>
          <w:szCs w:val="30"/>
        </w:rPr>
        <w:t>第</w:t>
      </w:r>
      <w:r>
        <w:rPr>
          <w:rFonts w:hint="eastAsia" w:ascii="宋体" w:hAnsi="宋体" w:eastAsia="宋体" w:cs="Courier New"/>
          <w:b/>
          <w:bCs/>
          <w:sz w:val="30"/>
          <w:szCs w:val="30"/>
          <w:lang w:eastAsia="zh-CN"/>
        </w:rPr>
        <w:t>六</w:t>
      </w:r>
      <w:r>
        <w:rPr>
          <w:rFonts w:hint="eastAsia" w:ascii="宋体" w:hAnsi="宋体" w:eastAsia="宋体" w:cs="Courier New"/>
          <w:b/>
          <w:bCs/>
          <w:sz w:val="30"/>
          <w:szCs w:val="30"/>
        </w:rPr>
        <w:t>章  响应文件格式</w:t>
      </w:r>
      <w:bookmarkEnd w:id="487"/>
      <w:bookmarkEnd w:id="495"/>
      <w:bookmarkEnd w:id="496"/>
    </w:p>
    <w:p w14:paraId="5020C686">
      <w:pPr>
        <w:keepNext/>
        <w:keepLines/>
        <w:wordWrap w:val="0"/>
        <w:topLinePunct/>
        <w:spacing w:line="416" w:lineRule="auto"/>
        <w:jc w:val="center"/>
        <w:outlineLvl w:val="1"/>
        <w:rPr>
          <w:rFonts w:hint="default" w:ascii="宋体" w:hAnsi="宋体" w:eastAsia="宋体" w:cs="宋体"/>
          <w:b/>
          <w:bCs/>
          <w:sz w:val="36"/>
          <w:szCs w:val="36"/>
          <w:lang w:val="en-US" w:eastAsia="zh-CN"/>
        </w:rPr>
      </w:pPr>
      <w:bookmarkStart w:id="497" w:name="_Toc28975"/>
      <w:bookmarkStart w:id="498" w:name="_Toc9983"/>
      <w:bookmarkStart w:id="499" w:name="_Toc265572092"/>
      <w:r>
        <w:rPr>
          <w:rFonts w:hint="eastAsia" w:ascii="宋体" w:hAnsi="宋体" w:eastAsia="宋体" w:cs="宋体"/>
          <w:b/>
          <w:bCs/>
          <w:i w:val="0"/>
          <w:iCs w:val="0"/>
          <w:sz w:val="36"/>
          <w:szCs w:val="36"/>
          <w:u w:val="single"/>
          <w:lang w:eastAsia="zh-CN"/>
        </w:rPr>
        <w:t>（</w:t>
      </w:r>
      <w:r>
        <w:rPr>
          <w:rFonts w:hint="eastAsia" w:ascii="宋体" w:hAnsi="宋体" w:eastAsia="宋体" w:cs="宋体"/>
          <w:b/>
          <w:bCs/>
          <w:i w:val="0"/>
          <w:iCs w:val="0"/>
          <w:sz w:val="36"/>
          <w:szCs w:val="36"/>
          <w:u w:val="single"/>
        </w:rPr>
        <w:t>项目名称</w:t>
      </w:r>
      <w:r>
        <w:rPr>
          <w:rFonts w:hint="eastAsia" w:ascii="宋体" w:hAnsi="宋体" w:eastAsia="宋体" w:cs="宋体"/>
          <w:b/>
          <w:bCs/>
          <w:i w:val="0"/>
          <w:iCs w:val="0"/>
          <w:sz w:val="36"/>
          <w:szCs w:val="36"/>
          <w:u w:val="single"/>
          <w:lang w:eastAsia="zh-CN"/>
        </w:rPr>
        <w:t>）</w:t>
      </w:r>
    </w:p>
    <w:p w14:paraId="70F5C43F">
      <w:pPr>
        <w:wordWrap w:val="0"/>
        <w:topLinePunct/>
        <w:spacing w:before="312" w:beforeLines="100" w:after="312" w:afterLines="100" w:line="360" w:lineRule="auto"/>
        <w:jc w:val="center"/>
        <w:rPr>
          <w:rFonts w:ascii="宋体" w:hAnsi="宋体" w:eastAsia="宋体" w:cs="Courier New"/>
          <w:b/>
          <w:bCs/>
          <w:sz w:val="84"/>
          <w:szCs w:val="84"/>
        </w:rPr>
      </w:pPr>
    </w:p>
    <w:p w14:paraId="492A7434">
      <w:pPr>
        <w:wordWrap w:val="0"/>
        <w:topLinePunct/>
        <w:spacing w:before="312" w:beforeLines="100" w:after="312" w:afterLines="100" w:line="360" w:lineRule="auto"/>
        <w:jc w:val="center"/>
        <w:rPr>
          <w:rFonts w:ascii="宋体" w:hAnsi="宋体" w:eastAsia="宋体" w:cs="Courier New"/>
          <w:b/>
          <w:bCs/>
          <w:sz w:val="72"/>
          <w:szCs w:val="72"/>
        </w:rPr>
      </w:pPr>
      <w:r>
        <w:rPr>
          <w:rFonts w:hint="eastAsia" w:ascii="宋体" w:hAnsi="宋体" w:eastAsia="宋体" w:cs="Courier New"/>
          <w:b/>
          <w:bCs/>
          <w:sz w:val="72"/>
          <w:szCs w:val="72"/>
        </w:rPr>
        <w:t>响应文件</w:t>
      </w:r>
    </w:p>
    <w:p w14:paraId="38ED0865">
      <w:pPr>
        <w:wordWrap w:val="0"/>
        <w:topLinePunct/>
        <w:spacing w:before="312" w:beforeLines="100" w:after="312" w:afterLines="100" w:line="360" w:lineRule="auto"/>
        <w:ind w:firstLine="2940" w:firstLineChars="1050"/>
        <w:rPr>
          <w:rFonts w:ascii="宋体" w:hAnsi="宋体" w:eastAsia="宋体" w:cs="Courier New"/>
          <w:b/>
          <w:bCs/>
          <w:sz w:val="30"/>
          <w:szCs w:val="30"/>
        </w:rPr>
      </w:pPr>
      <w:r>
        <w:rPr>
          <w:rFonts w:hint="eastAsia" w:ascii="宋体" w:hAnsi="宋体" w:eastAsia="宋体" w:cs="Courier New"/>
          <w:sz w:val="28"/>
          <w:szCs w:val="28"/>
        </w:rPr>
        <w:t>项目编号：</w:t>
      </w:r>
    </w:p>
    <w:p w14:paraId="29BBCC69">
      <w:pPr>
        <w:wordWrap w:val="0"/>
        <w:topLinePunct/>
        <w:spacing w:before="312" w:beforeLines="100" w:after="312" w:afterLines="100" w:line="360" w:lineRule="auto"/>
        <w:jc w:val="center"/>
        <w:rPr>
          <w:rFonts w:ascii="宋体" w:hAnsi="宋体" w:eastAsia="宋体" w:cs="Courier New"/>
          <w:bCs/>
          <w:sz w:val="32"/>
          <w:szCs w:val="21"/>
        </w:rPr>
      </w:pPr>
    </w:p>
    <w:p w14:paraId="434D011D">
      <w:pPr>
        <w:wordWrap w:val="0"/>
        <w:topLinePunct/>
        <w:spacing w:before="312" w:beforeLines="100" w:after="312" w:afterLines="100" w:line="360" w:lineRule="auto"/>
        <w:jc w:val="center"/>
        <w:rPr>
          <w:rFonts w:ascii="宋体" w:hAnsi="宋体" w:eastAsia="宋体" w:cs="Courier New"/>
          <w:b/>
          <w:bCs/>
          <w:sz w:val="32"/>
          <w:szCs w:val="21"/>
          <w:u w:val="single"/>
        </w:rPr>
      </w:pPr>
    </w:p>
    <w:p w14:paraId="49094DDE">
      <w:pPr>
        <w:wordWrap w:val="0"/>
        <w:topLinePunct/>
        <w:spacing w:before="312" w:beforeLines="100" w:after="312" w:afterLines="100" w:line="360" w:lineRule="auto"/>
        <w:jc w:val="center"/>
        <w:rPr>
          <w:rFonts w:ascii="宋体" w:hAnsi="宋体" w:eastAsia="宋体" w:cs="Courier New"/>
          <w:b/>
          <w:bCs/>
          <w:sz w:val="32"/>
          <w:szCs w:val="21"/>
          <w:u w:val="single"/>
        </w:rPr>
      </w:pPr>
    </w:p>
    <w:p w14:paraId="4AD2E915">
      <w:pPr>
        <w:wordWrap w:val="0"/>
        <w:topLinePunct/>
        <w:spacing w:before="312" w:beforeLines="100" w:after="312" w:afterLines="100" w:line="360" w:lineRule="auto"/>
        <w:jc w:val="center"/>
        <w:rPr>
          <w:rFonts w:ascii="宋体" w:hAnsi="宋体" w:eastAsia="宋体" w:cs="Courier New"/>
          <w:b/>
          <w:bCs/>
          <w:sz w:val="32"/>
          <w:szCs w:val="21"/>
          <w:u w:val="single"/>
        </w:rPr>
      </w:pPr>
    </w:p>
    <w:p w14:paraId="11D9F555">
      <w:pPr>
        <w:wordWrap w:val="0"/>
        <w:topLinePunct/>
        <w:spacing w:before="312" w:beforeLines="100" w:after="312" w:afterLines="100" w:line="360" w:lineRule="auto"/>
        <w:jc w:val="center"/>
        <w:rPr>
          <w:rFonts w:ascii="宋体" w:hAnsi="宋体" w:eastAsia="宋体" w:cs="Courier New"/>
          <w:b/>
          <w:bCs/>
          <w:sz w:val="24"/>
          <w:szCs w:val="18"/>
          <w:u w:val="single"/>
        </w:rPr>
      </w:pPr>
      <w:r>
        <w:rPr>
          <w:rFonts w:hint="eastAsia" w:ascii="宋体" w:hAnsi="宋体" w:eastAsia="宋体" w:cs="Courier New"/>
          <w:b/>
          <w:bCs/>
          <w:sz w:val="24"/>
          <w:szCs w:val="18"/>
          <w:lang w:val="en-US" w:eastAsia="zh-CN"/>
        </w:rPr>
        <w:t xml:space="preserve">  </w:t>
      </w:r>
      <w:r>
        <w:rPr>
          <w:rFonts w:hint="eastAsia" w:ascii="宋体" w:hAnsi="宋体" w:eastAsia="宋体" w:cs="Courier New"/>
          <w:b/>
          <w:bCs/>
          <w:sz w:val="24"/>
          <w:szCs w:val="18"/>
        </w:rPr>
        <w:t>供  应  商：</w:t>
      </w:r>
      <w:r>
        <w:rPr>
          <w:rFonts w:hint="eastAsia" w:ascii="宋体" w:hAnsi="宋体" w:eastAsia="宋体" w:cs="Courier New"/>
          <w:b/>
          <w:bCs/>
          <w:sz w:val="24"/>
          <w:szCs w:val="18"/>
          <w:u w:val="single"/>
        </w:rPr>
        <w:t xml:space="preserve">                 </w:t>
      </w:r>
      <w:r>
        <w:rPr>
          <w:rFonts w:hint="eastAsia" w:ascii="宋体" w:hAnsi="宋体" w:eastAsia="宋体" w:cs="Courier New"/>
          <w:b/>
          <w:bCs/>
          <w:sz w:val="24"/>
          <w:szCs w:val="18"/>
        </w:rPr>
        <w:t>（</w:t>
      </w:r>
      <w:r>
        <w:rPr>
          <w:rFonts w:hint="eastAsia" w:ascii="宋体" w:hAnsi="宋体" w:eastAsia="宋体" w:cs="Courier New"/>
          <w:b/>
          <w:bCs/>
          <w:sz w:val="24"/>
          <w:szCs w:val="18"/>
          <w:lang w:eastAsia="zh-CN"/>
        </w:rPr>
        <w:t>单位电子签章</w:t>
      </w:r>
      <w:r>
        <w:rPr>
          <w:rFonts w:hint="eastAsia" w:ascii="宋体" w:hAnsi="宋体" w:eastAsia="宋体" w:cs="Courier New"/>
          <w:b/>
          <w:bCs/>
          <w:sz w:val="24"/>
          <w:szCs w:val="18"/>
        </w:rPr>
        <w:t>）</w:t>
      </w:r>
    </w:p>
    <w:p w14:paraId="60E5DC48">
      <w:pPr>
        <w:wordWrap w:val="0"/>
        <w:topLinePunct/>
        <w:spacing w:before="312" w:beforeLines="100" w:after="312" w:afterLines="100" w:line="360" w:lineRule="auto"/>
        <w:jc w:val="center"/>
        <w:rPr>
          <w:rFonts w:ascii="宋体" w:hAnsi="宋体" w:eastAsia="宋体" w:cs="Courier New"/>
          <w:b/>
          <w:bCs/>
          <w:sz w:val="24"/>
          <w:szCs w:val="24"/>
        </w:rPr>
      </w:pPr>
      <w:r>
        <w:rPr>
          <w:rFonts w:hint="eastAsia" w:ascii="宋体" w:hAnsi="宋体" w:eastAsia="宋体" w:cs="Courier New"/>
          <w:b/>
          <w:bCs/>
          <w:sz w:val="24"/>
          <w:szCs w:val="24"/>
        </w:rPr>
        <w:t>法定代表人：</w:t>
      </w:r>
      <w:r>
        <w:rPr>
          <w:rFonts w:hint="eastAsia" w:ascii="宋体" w:hAnsi="宋体" w:eastAsia="宋体" w:cs="Courier New"/>
          <w:b/>
          <w:bCs/>
          <w:sz w:val="24"/>
          <w:szCs w:val="24"/>
          <w:u w:val="single"/>
        </w:rPr>
        <w:t xml:space="preserve">                  </w:t>
      </w:r>
      <w:r>
        <w:rPr>
          <w:rFonts w:hint="eastAsia" w:ascii="宋体" w:hAnsi="宋体" w:eastAsia="宋体" w:cs="Courier New"/>
          <w:b/>
          <w:bCs/>
          <w:sz w:val="24"/>
          <w:szCs w:val="18"/>
          <w:lang w:eastAsia="zh-CN"/>
        </w:rPr>
        <w:t>（电子签章）</w:t>
      </w:r>
    </w:p>
    <w:p w14:paraId="106D2F27">
      <w:pPr>
        <w:wordWrap w:val="0"/>
        <w:topLinePunct/>
        <w:spacing w:before="312" w:beforeLines="100" w:after="312" w:afterLines="100" w:line="360" w:lineRule="auto"/>
        <w:jc w:val="center"/>
        <w:rPr>
          <w:rFonts w:hint="eastAsia" w:ascii="宋体" w:hAnsi="宋体" w:eastAsia="宋体" w:cs="Courier New"/>
          <w:b/>
          <w:bCs/>
          <w:sz w:val="24"/>
          <w:szCs w:val="24"/>
        </w:rPr>
      </w:pPr>
      <w:r>
        <w:rPr>
          <w:rFonts w:hint="eastAsia" w:ascii="宋体" w:hAnsi="宋体" w:eastAsia="宋体" w:cs="Courier New"/>
          <w:b/>
          <w:bCs/>
          <w:sz w:val="24"/>
          <w:szCs w:val="24"/>
        </w:rPr>
        <w:t>日      期：</w:t>
      </w:r>
      <w:r>
        <w:rPr>
          <w:rFonts w:hint="eastAsia" w:ascii="宋体" w:hAnsi="宋体" w:eastAsia="宋体" w:cs="Courier New"/>
          <w:b/>
          <w:bCs/>
          <w:sz w:val="24"/>
          <w:szCs w:val="24"/>
          <w:u w:val="single"/>
        </w:rPr>
        <w:t xml:space="preserve">        </w:t>
      </w:r>
      <w:r>
        <w:rPr>
          <w:rFonts w:hint="eastAsia" w:ascii="宋体" w:hAnsi="宋体" w:eastAsia="宋体" w:cs="Courier New"/>
          <w:b/>
          <w:bCs/>
          <w:sz w:val="24"/>
          <w:szCs w:val="24"/>
        </w:rPr>
        <w:t xml:space="preserve"> 年 </w:t>
      </w:r>
      <w:r>
        <w:rPr>
          <w:rFonts w:hint="eastAsia" w:ascii="宋体" w:hAnsi="宋体" w:eastAsia="宋体" w:cs="Courier New"/>
          <w:b/>
          <w:bCs/>
          <w:sz w:val="24"/>
          <w:szCs w:val="24"/>
          <w:u w:val="single"/>
        </w:rPr>
        <w:t xml:space="preserve">      </w:t>
      </w:r>
      <w:r>
        <w:rPr>
          <w:rFonts w:hint="eastAsia" w:ascii="宋体" w:hAnsi="宋体" w:eastAsia="宋体" w:cs="Courier New"/>
          <w:b/>
          <w:bCs/>
          <w:sz w:val="24"/>
          <w:szCs w:val="24"/>
        </w:rPr>
        <w:t>月</w:t>
      </w:r>
      <w:r>
        <w:rPr>
          <w:rFonts w:hint="eastAsia" w:ascii="宋体" w:hAnsi="宋体" w:eastAsia="宋体" w:cs="Courier New"/>
          <w:b/>
          <w:bCs/>
          <w:sz w:val="24"/>
          <w:szCs w:val="24"/>
          <w:u w:val="single"/>
        </w:rPr>
        <w:t xml:space="preserve">       </w:t>
      </w:r>
      <w:r>
        <w:rPr>
          <w:rFonts w:hint="eastAsia" w:ascii="宋体" w:hAnsi="宋体" w:eastAsia="宋体" w:cs="Courier New"/>
          <w:b/>
          <w:bCs/>
          <w:sz w:val="24"/>
          <w:szCs w:val="24"/>
        </w:rPr>
        <w:t>日</w:t>
      </w:r>
    </w:p>
    <w:p w14:paraId="472DF4E9">
      <w:pPr>
        <w:rPr>
          <w:rFonts w:hint="eastAsia" w:ascii="宋体" w:hAnsi="宋体" w:eastAsia="宋体" w:cs="Courier New"/>
          <w:b/>
          <w:bCs/>
          <w:sz w:val="30"/>
          <w:szCs w:val="30"/>
        </w:rPr>
      </w:pPr>
      <w:r>
        <w:rPr>
          <w:rFonts w:hint="eastAsia" w:ascii="宋体" w:hAnsi="宋体" w:eastAsia="宋体" w:cs="Courier New"/>
          <w:b/>
          <w:bCs/>
          <w:sz w:val="30"/>
          <w:szCs w:val="30"/>
        </w:rPr>
        <w:br w:type="page"/>
      </w:r>
    </w:p>
    <w:p w14:paraId="16251926">
      <w:pPr>
        <w:widowControl/>
        <w:jc w:val="center"/>
        <w:rPr>
          <w:rFonts w:hint="eastAsia" w:ascii="宋体" w:hAnsi="宋体" w:eastAsia="宋体" w:cs="Courier New"/>
          <w:b/>
          <w:bCs/>
          <w:sz w:val="32"/>
          <w:szCs w:val="32"/>
          <w:highlight w:val="none"/>
          <w:lang w:eastAsia="zh-CN"/>
        </w:rPr>
      </w:pPr>
      <w:r>
        <w:rPr>
          <w:rFonts w:hint="eastAsia" w:ascii="宋体" w:hAnsi="宋体" w:eastAsia="宋体" w:cs="Courier New"/>
          <w:b/>
          <w:bCs/>
          <w:sz w:val="32"/>
          <w:szCs w:val="32"/>
          <w:highlight w:val="none"/>
          <w:lang w:eastAsia="zh-CN"/>
        </w:rPr>
        <w:t>目</w:t>
      </w:r>
      <w:r>
        <w:rPr>
          <w:rFonts w:hint="eastAsia" w:ascii="宋体" w:hAnsi="宋体" w:eastAsia="宋体" w:cs="Courier New"/>
          <w:b/>
          <w:bCs/>
          <w:sz w:val="32"/>
          <w:szCs w:val="32"/>
          <w:highlight w:val="none"/>
          <w:lang w:val="en-US" w:eastAsia="zh-CN"/>
        </w:rPr>
        <w:t xml:space="preserve">   </w:t>
      </w:r>
      <w:r>
        <w:rPr>
          <w:rFonts w:hint="eastAsia" w:ascii="宋体" w:hAnsi="宋体" w:eastAsia="宋体" w:cs="Courier New"/>
          <w:b/>
          <w:bCs/>
          <w:sz w:val="32"/>
          <w:szCs w:val="32"/>
          <w:highlight w:val="none"/>
          <w:lang w:eastAsia="zh-CN"/>
        </w:rPr>
        <w:t>录</w:t>
      </w:r>
    </w:p>
    <w:p w14:paraId="78C59142">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lang w:eastAsia="zh-CN"/>
        </w:rPr>
        <w:t>一、</w:t>
      </w:r>
      <w:r>
        <w:rPr>
          <w:rFonts w:hint="eastAsia" w:asciiTheme="majorEastAsia" w:hAnsiTheme="majorEastAsia" w:eastAsiaTheme="majorEastAsia" w:cstheme="majorEastAsia"/>
          <w:kern w:val="0"/>
          <w:sz w:val="28"/>
          <w:szCs w:val="28"/>
        </w:rPr>
        <w:t>报价函及报价函附录</w:t>
      </w:r>
    </w:p>
    <w:p w14:paraId="73B38898">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lang w:eastAsia="zh-CN"/>
        </w:rPr>
        <w:t>二、</w:t>
      </w:r>
      <w:r>
        <w:rPr>
          <w:rFonts w:hint="eastAsia" w:asciiTheme="majorEastAsia" w:hAnsiTheme="majorEastAsia" w:eastAsiaTheme="majorEastAsia" w:cstheme="majorEastAsia"/>
          <w:kern w:val="0"/>
          <w:sz w:val="28"/>
          <w:szCs w:val="28"/>
        </w:rPr>
        <w:t>法定代表人身份证明</w:t>
      </w:r>
    </w:p>
    <w:p w14:paraId="679D5976">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lang w:eastAsia="zh-CN"/>
        </w:rPr>
        <w:t>三、</w:t>
      </w:r>
      <w:r>
        <w:rPr>
          <w:rFonts w:hint="eastAsia" w:asciiTheme="majorEastAsia" w:hAnsiTheme="majorEastAsia" w:eastAsiaTheme="majorEastAsia" w:cstheme="majorEastAsia"/>
          <w:kern w:val="0"/>
          <w:sz w:val="28"/>
          <w:szCs w:val="28"/>
        </w:rPr>
        <w:t>磋商承诺函</w:t>
      </w:r>
    </w:p>
    <w:p w14:paraId="0BDA6C2E">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lang w:val="en-US" w:eastAsia="zh-CN"/>
        </w:rPr>
        <w:t>四、</w:t>
      </w:r>
      <w:r>
        <w:rPr>
          <w:rFonts w:hint="eastAsia" w:asciiTheme="majorEastAsia" w:hAnsiTheme="majorEastAsia" w:eastAsiaTheme="majorEastAsia" w:cstheme="majorEastAsia"/>
          <w:kern w:val="0"/>
          <w:sz w:val="28"/>
          <w:szCs w:val="28"/>
        </w:rPr>
        <w:t>供应商基本情况</w:t>
      </w:r>
    </w:p>
    <w:p w14:paraId="58B1E89C">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五、项目管理机构配备情况</w:t>
      </w:r>
    </w:p>
    <w:p w14:paraId="1D6D119D">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六、投标人资格证明材料</w:t>
      </w:r>
    </w:p>
    <w:p w14:paraId="7C6075C2">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七、技术部分</w:t>
      </w:r>
    </w:p>
    <w:p w14:paraId="58B0D85A">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八、商务部分</w:t>
      </w:r>
    </w:p>
    <w:p w14:paraId="53F7FDD8">
      <w:pPr>
        <w:autoSpaceDE w:val="0"/>
        <w:autoSpaceDN w:val="0"/>
        <w:adjustRightInd w:val="0"/>
        <w:spacing w:line="500" w:lineRule="exact"/>
        <w:ind w:right="40"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九、其他资料</w:t>
      </w:r>
    </w:p>
    <w:p w14:paraId="34363342">
      <w:pPr>
        <w:rPr>
          <w:rFonts w:hint="eastAsia"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br w:type="page"/>
      </w:r>
    </w:p>
    <w:p w14:paraId="6D06E074">
      <w:pPr>
        <w:keepNext/>
        <w:keepLines/>
        <w:numPr>
          <w:ilvl w:val="0"/>
          <w:numId w:val="0"/>
        </w:numPr>
        <w:tabs>
          <w:tab w:val="left" w:pos="840"/>
        </w:tabs>
        <w:wordWrap w:val="0"/>
        <w:topLinePunct/>
        <w:spacing w:line="360" w:lineRule="auto"/>
        <w:ind w:leftChars="0" w:firstLine="3360" w:firstLineChars="1200"/>
        <w:jc w:val="both"/>
        <w:outlineLvl w:val="1"/>
        <w:rPr>
          <w:rFonts w:ascii="宋体" w:hAnsi="宋体" w:eastAsia="宋体" w:cs="宋体"/>
          <w:bCs/>
          <w:sz w:val="28"/>
          <w:szCs w:val="28"/>
          <w:highlight w:val="none"/>
        </w:rPr>
      </w:pPr>
      <w:r>
        <w:rPr>
          <w:rFonts w:hint="eastAsia" w:ascii="宋体" w:hAnsi="宋体" w:eastAsia="宋体" w:cs="Times New Roman"/>
          <w:b/>
          <w:sz w:val="28"/>
          <w:szCs w:val="28"/>
          <w:highlight w:val="none"/>
          <w:lang w:val="zh-CN"/>
        </w:rPr>
        <w:t>一、报价函及报价函附录</w:t>
      </w:r>
    </w:p>
    <w:p w14:paraId="15E5797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Times New Roman"/>
          <w:b/>
          <w:sz w:val="28"/>
          <w:szCs w:val="28"/>
          <w:highlight w:val="none"/>
          <w:lang w:val="zh-CN"/>
        </w:rPr>
        <w:t>报价函</w:t>
      </w:r>
    </w:p>
    <w:p w14:paraId="72A0E886">
      <w:pPr>
        <w:spacing w:line="360" w:lineRule="auto"/>
        <w:rPr>
          <w:rFonts w:ascii="宋体" w:hAnsi="宋体"/>
          <w:sz w:val="24"/>
        </w:rPr>
      </w:pPr>
    </w:p>
    <w:p w14:paraId="1A3B0371">
      <w:pPr>
        <w:spacing w:line="360" w:lineRule="auto"/>
        <w:rPr>
          <w:rFonts w:ascii="宋体" w:hAnsi="宋体"/>
          <w:sz w:val="24"/>
          <w:szCs w:val="24"/>
        </w:rPr>
      </w:pPr>
      <w:r>
        <w:rPr>
          <w:rFonts w:hint="eastAsia" w:ascii="宋体" w:hAnsi="宋体"/>
          <w:sz w:val="24"/>
          <w:szCs w:val="24"/>
        </w:rPr>
        <w:t xml:space="preserve">致： </w:t>
      </w:r>
      <w:r>
        <w:rPr>
          <w:rFonts w:hint="eastAsia" w:ascii="宋体" w:hAnsi="宋体"/>
          <w:sz w:val="24"/>
          <w:szCs w:val="24"/>
          <w:u w:val="single"/>
        </w:rPr>
        <w:t xml:space="preserve">               </w:t>
      </w:r>
      <w:r>
        <w:rPr>
          <w:rFonts w:hint="eastAsia" w:ascii="宋体" w:hAnsi="宋体"/>
          <w:sz w:val="24"/>
          <w:szCs w:val="24"/>
        </w:rPr>
        <w:t xml:space="preserve"> （采购人名称）</w:t>
      </w:r>
    </w:p>
    <w:p w14:paraId="3F6E42B3">
      <w:pPr>
        <w:spacing w:line="360" w:lineRule="auto"/>
        <w:ind w:firstLine="360" w:firstLineChars="150"/>
        <w:rPr>
          <w:sz w:val="24"/>
          <w:szCs w:val="24"/>
        </w:rPr>
      </w:pPr>
      <w:r>
        <w:rPr>
          <w:rFonts w:hint="eastAsia" w:ascii="宋体" w:hAnsi="宋体"/>
          <w:sz w:val="24"/>
          <w:szCs w:val="24"/>
        </w:rPr>
        <w:t>1．我方已仔细研究了</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（项目编号）竞争性磋商文件的全部内容，我方对该项目报价为人民币（大写）</w:t>
      </w:r>
      <w:r>
        <w:rPr>
          <w:rFonts w:hint="eastAsia" w:ascii="宋体" w:hAnsi="宋体"/>
          <w:sz w:val="24"/>
          <w:szCs w:val="24"/>
          <w:u w:val="single"/>
        </w:rPr>
        <w:t xml:space="preserve">        </w:t>
      </w:r>
      <w:r>
        <w:rPr>
          <w:rFonts w:hint="eastAsia" w:ascii="宋体" w:hAnsi="宋体"/>
          <w:sz w:val="24"/>
          <w:szCs w:val="24"/>
        </w:rPr>
        <w:t xml:space="preserve">（小写： </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lang w:eastAsia="zh-CN"/>
        </w:rPr>
        <w:t>服务期限</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sz w:val="24"/>
          <w:szCs w:val="24"/>
        </w:rPr>
        <w:t>，</w:t>
      </w:r>
      <w:r>
        <w:rPr>
          <w:rFonts w:hint="eastAsia" w:ascii="宋体" w:hAnsi="宋体"/>
          <w:sz w:val="24"/>
          <w:szCs w:val="24"/>
          <w:lang w:eastAsia="zh-CN"/>
        </w:rPr>
        <w:t>质量要求</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cs="Arial"/>
          <w:sz w:val="24"/>
          <w:szCs w:val="24"/>
          <w:shd w:val="clear" w:color="auto" w:fill="FFFFFF"/>
        </w:rPr>
        <w:t>。</w:t>
      </w:r>
    </w:p>
    <w:p w14:paraId="52AD06A4">
      <w:pPr>
        <w:autoSpaceDE w:val="0"/>
        <w:autoSpaceDN w:val="0"/>
        <w:adjustRightInd w:val="0"/>
        <w:spacing w:line="360" w:lineRule="auto"/>
        <w:ind w:firstLine="360" w:firstLineChars="150"/>
        <w:jc w:val="left"/>
        <w:rPr>
          <w:rFonts w:ascii="宋体" w:hAnsi="宋体"/>
          <w:sz w:val="24"/>
          <w:szCs w:val="24"/>
        </w:rPr>
      </w:pPr>
      <w:r>
        <w:rPr>
          <w:rFonts w:hint="eastAsia" w:ascii="宋体" w:hAnsi="宋体"/>
          <w:sz w:val="24"/>
          <w:szCs w:val="24"/>
        </w:rPr>
        <w:t>2．我方承诺在磋商响应文件有效期(60日历天)内不修改、撤销磋商响应文件。</w:t>
      </w:r>
    </w:p>
    <w:p w14:paraId="7AB075D2">
      <w:pPr>
        <w:spacing w:line="360" w:lineRule="auto"/>
        <w:ind w:firstLine="360" w:firstLineChars="150"/>
        <w:rPr>
          <w:rFonts w:ascii="宋体" w:hAnsi="宋体"/>
          <w:sz w:val="24"/>
          <w:szCs w:val="24"/>
        </w:rPr>
      </w:pPr>
      <w:r>
        <w:rPr>
          <w:rFonts w:hint="eastAsia" w:ascii="宋体" w:hAnsi="宋体"/>
          <w:sz w:val="24"/>
          <w:szCs w:val="24"/>
        </w:rPr>
        <w:t>3．我方完全理解贵方不一定接受报价最低的供应商为成交供应商的行为。</w:t>
      </w:r>
    </w:p>
    <w:p w14:paraId="523C46BD">
      <w:pPr>
        <w:spacing w:line="360" w:lineRule="auto"/>
        <w:ind w:firstLine="360" w:firstLineChars="150"/>
        <w:rPr>
          <w:rFonts w:ascii="宋体" w:hAnsi="宋体"/>
          <w:sz w:val="24"/>
          <w:szCs w:val="24"/>
        </w:rPr>
      </w:pPr>
      <w:r>
        <w:rPr>
          <w:rFonts w:hint="eastAsia" w:ascii="宋体" w:hAnsi="宋体"/>
          <w:sz w:val="24"/>
          <w:szCs w:val="24"/>
        </w:rPr>
        <w:t>4.如我方成交：</w:t>
      </w:r>
    </w:p>
    <w:p w14:paraId="6F82DAB8">
      <w:pPr>
        <w:spacing w:line="360" w:lineRule="auto"/>
        <w:ind w:firstLine="360" w:firstLineChars="150"/>
        <w:rPr>
          <w:rFonts w:ascii="宋体" w:hAnsi="宋体"/>
          <w:sz w:val="24"/>
          <w:szCs w:val="24"/>
        </w:rPr>
      </w:pPr>
      <w:r>
        <w:rPr>
          <w:rFonts w:hint="eastAsia" w:ascii="宋体" w:hAnsi="宋体"/>
          <w:sz w:val="24"/>
          <w:szCs w:val="24"/>
        </w:rPr>
        <w:t>（1）我方承诺在收到成交通知书后，在成交通知书规定的期限内与你方签订合同。</w:t>
      </w:r>
    </w:p>
    <w:p w14:paraId="7AA741E7">
      <w:pPr>
        <w:spacing w:line="360" w:lineRule="auto"/>
        <w:ind w:firstLine="360" w:firstLineChars="150"/>
        <w:rPr>
          <w:rFonts w:ascii="宋体" w:hAnsi="宋体"/>
          <w:sz w:val="24"/>
          <w:szCs w:val="24"/>
        </w:rPr>
      </w:pPr>
      <w:r>
        <w:rPr>
          <w:rFonts w:hint="eastAsia" w:ascii="宋体" w:hAnsi="宋体"/>
          <w:sz w:val="24"/>
          <w:szCs w:val="24"/>
        </w:rPr>
        <w:t>（2）除非另外达成协议并生效，成交通知书和本竞争性磋商文件、磋商响应文件将成为约束双方的合同文件的组成部分。</w:t>
      </w:r>
    </w:p>
    <w:p w14:paraId="17282EB4">
      <w:pPr>
        <w:spacing w:line="360" w:lineRule="auto"/>
        <w:ind w:firstLine="360" w:firstLineChars="150"/>
        <w:rPr>
          <w:rFonts w:ascii="宋体" w:hAnsi="宋体"/>
          <w:sz w:val="24"/>
          <w:szCs w:val="24"/>
        </w:rPr>
      </w:pPr>
      <w:r>
        <w:rPr>
          <w:rFonts w:hint="eastAsia" w:ascii="宋体" w:hAnsi="宋体"/>
          <w:sz w:val="24"/>
          <w:szCs w:val="24"/>
        </w:rPr>
        <w:t>（3）如我方成交，我方愿意按竞争性磋商文件规定支付采购代理服务费。</w:t>
      </w:r>
    </w:p>
    <w:p w14:paraId="342FB384">
      <w:pPr>
        <w:spacing w:line="360" w:lineRule="auto"/>
        <w:ind w:firstLine="240" w:firstLineChars="100"/>
        <w:rPr>
          <w:rFonts w:ascii="宋体" w:hAnsi="宋体"/>
          <w:sz w:val="24"/>
          <w:szCs w:val="24"/>
        </w:rPr>
      </w:pPr>
      <w:r>
        <w:rPr>
          <w:rFonts w:hint="eastAsia" w:ascii="宋体" w:hAnsi="宋体"/>
          <w:sz w:val="24"/>
          <w:szCs w:val="24"/>
        </w:rPr>
        <w:t>5. 我方在此声明，所递交的磋商响应文件及有关资料内容完整、真实和准确。</w:t>
      </w:r>
    </w:p>
    <w:p w14:paraId="16676697">
      <w:pPr>
        <w:spacing w:line="360" w:lineRule="auto"/>
        <w:jc w:val="left"/>
        <w:rPr>
          <w:rFonts w:ascii="宋体" w:hAnsi="宋体"/>
          <w:spacing w:val="24"/>
          <w:sz w:val="24"/>
        </w:rPr>
      </w:pPr>
    </w:p>
    <w:p w14:paraId="3C56BA2B">
      <w:pPr>
        <w:keepNext w:val="0"/>
        <w:keepLines w:val="0"/>
        <w:pageBreakBefore w:val="0"/>
        <w:widowControl/>
        <w:numPr>
          <w:ilvl w:val="0"/>
          <w:numId w:val="0"/>
        </w:numPr>
        <w:tabs>
          <w:tab w:val="left" w:pos="0"/>
        </w:tabs>
        <w:kinsoku/>
        <w:wordWrap w:val="0"/>
        <w:overflowPunct/>
        <w:topLinePunct/>
        <w:autoSpaceDE/>
        <w:autoSpaceDN/>
        <w:bidi w:val="0"/>
        <w:adjustRightInd/>
        <w:snapToGrid/>
        <w:spacing w:before="100" w:beforeAutospacing="1" w:line="440" w:lineRule="exact"/>
        <w:ind w:leftChars="150"/>
        <w:jc w:val="left"/>
        <w:textAlignment w:val="auto"/>
        <w:rPr>
          <w:rFonts w:hint="eastAsia" w:ascii="宋体" w:hAnsi="宋体" w:eastAsia="宋体" w:cs="宋体"/>
          <w:kern w:val="0"/>
          <w:sz w:val="28"/>
          <w:szCs w:val="28"/>
          <w:highlight w:val="none"/>
        </w:rPr>
      </w:pPr>
    </w:p>
    <w:p w14:paraId="14CCF971">
      <w:pPr>
        <w:spacing w:line="360" w:lineRule="auto"/>
        <w:ind w:firstLine="420" w:firstLineChars="200"/>
        <w:jc w:val="right"/>
        <w:rPr>
          <w:rFonts w:hint="eastAsia" w:ascii="宋体" w:hAnsi="宋体" w:eastAsia="宋体" w:cs="宋体"/>
          <w:color w:val="auto"/>
          <w:highlight w:val="none"/>
        </w:rPr>
      </w:pPr>
    </w:p>
    <w:p w14:paraId="15AE5BD3">
      <w:pPr>
        <w:spacing w:line="360" w:lineRule="auto"/>
        <w:ind w:firstLine="420" w:firstLineChars="200"/>
        <w:jc w:val="right"/>
        <w:rPr>
          <w:rFonts w:hint="eastAsia" w:ascii="宋体" w:hAnsi="宋体" w:eastAsia="宋体" w:cs="宋体"/>
          <w:color w:val="auto"/>
          <w:highlight w:val="none"/>
        </w:rPr>
      </w:pPr>
    </w:p>
    <w:p w14:paraId="156AB85C">
      <w:pPr>
        <w:spacing w:line="360" w:lineRule="auto"/>
        <w:ind w:firstLine="240" w:firstLineChars="10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单位电子签章</w:t>
      </w:r>
      <w:r>
        <w:rPr>
          <w:rFonts w:hint="eastAsia" w:ascii="宋体" w:hAnsi="宋体"/>
          <w:sz w:val="24"/>
          <w:szCs w:val="24"/>
        </w:rPr>
        <w:t>）</w:t>
      </w:r>
    </w:p>
    <w:p w14:paraId="4490D89F">
      <w:pPr>
        <w:spacing w:line="360" w:lineRule="auto"/>
        <w:ind w:firstLine="240" w:firstLineChars="10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法</w:t>
      </w:r>
      <w:r>
        <w:rPr>
          <w:rFonts w:hint="eastAsia" w:ascii="宋体" w:hAnsi="宋体"/>
          <w:sz w:val="24"/>
          <w:szCs w:val="24"/>
          <w:lang w:val="en-US" w:eastAsia="zh-CN"/>
        </w:rPr>
        <w:t xml:space="preserve"> </w:t>
      </w:r>
      <w:r>
        <w:rPr>
          <w:rFonts w:hint="eastAsia" w:ascii="宋体" w:hAnsi="宋体"/>
          <w:sz w:val="24"/>
          <w:szCs w:val="24"/>
        </w:rPr>
        <w:t>定</w:t>
      </w:r>
      <w:r>
        <w:rPr>
          <w:rFonts w:hint="eastAsia" w:ascii="宋体" w:hAnsi="宋体"/>
          <w:sz w:val="24"/>
          <w:szCs w:val="24"/>
          <w:lang w:val="en-US" w:eastAsia="zh-CN"/>
        </w:rPr>
        <w:t xml:space="preserve"> </w:t>
      </w:r>
      <w:r>
        <w:rPr>
          <w:rFonts w:hint="eastAsia" w:ascii="宋体" w:hAnsi="宋体"/>
          <w:sz w:val="24"/>
          <w:szCs w:val="24"/>
        </w:rPr>
        <w:t>代</w:t>
      </w:r>
      <w:r>
        <w:rPr>
          <w:rFonts w:hint="eastAsia" w:ascii="宋体" w:hAnsi="宋体"/>
          <w:sz w:val="24"/>
          <w:szCs w:val="24"/>
          <w:lang w:val="en-US" w:eastAsia="zh-CN"/>
        </w:rPr>
        <w:t xml:space="preserve"> </w:t>
      </w:r>
      <w:r>
        <w:rPr>
          <w:rFonts w:hint="eastAsia" w:ascii="宋体" w:hAnsi="宋体"/>
          <w:sz w:val="24"/>
          <w:szCs w:val="24"/>
        </w:rPr>
        <w:t>表人：</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电子签章</w:t>
      </w:r>
      <w:r>
        <w:rPr>
          <w:rFonts w:hint="eastAsia" w:ascii="宋体" w:hAnsi="宋体"/>
          <w:sz w:val="24"/>
          <w:szCs w:val="24"/>
        </w:rPr>
        <w:t>）</w:t>
      </w:r>
    </w:p>
    <w:p w14:paraId="2BFEA4D7">
      <w:pPr>
        <w:spacing w:line="360" w:lineRule="auto"/>
        <w:ind w:firstLine="240" w:firstLineChars="100"/>
        <w:jc w:val="center"/>
        <w:rPr>
          <w:rFonts w:hint="eastAsia" w:ascii="宋体" w:hAnsi="宋体"/>
          <w:sz w:val="24"/>
          <w:szCs w:val="24"/>
          <w:lang w:val="zh-CN"/>
        </w:rPr>
      </w:pPr>
      <w:r>
        <w:rPr>
          <w:rFonts w:hint="eastAsia" w:ascii="宋体" w:hAnsi="宋体"/>
          <w:sz w:val="24"/>
          <w:szCs w:val="24"/>
          <w:lang w:val="en-US" w:eastAsia="zh-CN"/>
        </w:rPr>
        <w:t xml:space="preserve">                        日      期：</w:t>
      </w:r>
      <w:r>
        <w:rPr>
          <w:rFonts w:hint="eastAsia" w:ascii="宋体" w:hAnsi="宋体"/>
          <w:sz w:val="24"/>
          <w:szCs w:val="24"/>
          <w:u w:val="single"/>
        </w:rPr>
        <w:t xml:space="preserve">     </w:t>
      </w:r>
      <w:r>
        <w:rPr>
          <w:rFonts w:hint="eastAsia" w:ascii="宋体" w:hAnsi="宋体"/>
          <w:sz w:val="24"/>
          <w:szCs w:val="24"/>
          <w:lang w:val="en-US" w:eastAsia="zh-CN"/>
        </w:rPr>
        <w:t xml:space="preserve"> 年</w:t>
      </w:r>
      <w:r>
        <w:rPr>
          <w:rFonts w:hint="eastAsia" w:ascii="宋体" w:hAnsi="宋体"/>
          <w:sz w:val="24"/>
          <w:szCs w:val="24"/>
          <w:u w:val="single"/>
        </w:rPr>
        <w:t xml:space="preserve">     </w:t>
      </w:r>
      <w:r>
        <w:rPr>
          <w:rFonts w:hint="eastAsia" w:ascii="宋体" w:hAnsi="宋体"/>
          <w:sz w:val="24"/>
          <w:szCs w:val="24"/>
          <w:lang w:val="en-US" w:eastAsia="zh-CN"/>
        </w:rPr>
        <w:t xml:space="preserve"> 月</w:t>
      </w:r>
      <w:r>
        <w:rPr>
          <w:rFonts w:hint="eastAsia" w:ascii="宋体" w:hAnsi="宋体"/>
          <w:sz w:val="24"/>
          <w:szCs w:val="24"/>
          <w:u w:val="single"/>
        </w:rPr>
        <w:t xml:space="preserve">     </w:t>
      </w:r>
      <w:r>
        <w:rPr>
          <w:rFonts w:hint="eastAsia" w:ascii="宋体" w:hAnsi="宋体"/>
          <w:sz w:val="24"/>
          <w:szCs w:val="24"/>
          <w:lang w:val="en-US" w:eastAsia="zh-CN"/>
        </w:rPr>
        <w:t>日</w:t>
      </w:r>
    </w:p>
    <w:p w14:paraId="0799A0FB">
      <w:pPr>
        <w:spacing w:line="360" w:lineRule="auto"/>
        <w:ind w:firstLine="420" w:firstLineChars="200"/>
        <w:jc w:val="right"/>
        <w:rPr>
          <w:rFonts w:hint="eastAsia" w:ascii="宋体" w:hAnsi="宋体" w:eastAsia="宋体" w:cs="宋体"/>
          <w:color w:val="auto"/>
          <w:highlight w:val="none"/>
        </w:rPr>
      </w:pPr>
    </w:p>
    <w:p w14:paraId="4838F9F7">
      <w:pPr>
        <w:spacing w:line="360" w:lineRule="auto"/>
        <w:ind w:right="840"/>
        <w:rPr>
          <w:rFonts w:hint="eastAsia" w:ascii="宋体" w:hAnsi="宋体" w:eastAsia="宋体" w:cs="宋体"/>
          <w:color w:val="auto"/>
          <w:highlight w:val="none"/>
        </w:rPr>
      </w:pPr>
    </w:p>
    <w:p w14:paraId="69E16F35">
      <w:pPr>
        <w:rPr>
          <w:rFonts w:hint="eastAsia" w:ascii="宋体" w:hAnsi="宋体" w:eastAsia="宋体" w:cs="宋体"/>
          <w:b/>
          <w:bCs/>
          <w:color w:val="auto"/>
          <w:sz w:val="24"/>
          <w:szCs w:val="24"/>
          <w:highlight w:val="none"/>
        </w:rPr>
      </w:pPr>
    </w:p>
    <w:p w14:paraId="503C1252">
      <w:pP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br w:type="page"/>
      </w:r>
    </w:p>
    <w:p w14:paraId="46C99E20">
      <w:pPr>
        <w:keepNext/>
        <w:keepLines/>
        <w:wordWrap w:val="0"/>
        <w:topLinePunct/>
        <w:spacing w:line="360" w:lineRule="auto"/>
        <w:jc w:val="center"/>
        <w:outlineLvl w:val="2"/>
        <w:rPr>
          <w:rFonts w:ascii="宋体" w:hAnsi="宋体" w:eastAsia="宋体" w:cs="Times New Roman"/>
          <w:b/>
          <w:bCs/>
          <w:sz w:val="28"/>
          <w:szCs w:val="28"/>
          <w:highlight w:val="none"/>
          <w:lang w:val="zh-CN"/>
        </w:rPr>
      </w:pPr>
      <w:r>
        <w:rPr>
          <w:rFonts w:hint="eastAsia" w:ascii="宋体" w:hAnsi="宋体" w:eastAsia="宋体" w:cs="Times New Roman"/>
          <w:b/>
          <w:bCs/>
          <w:sz w:val="28"/>
          <w:szCs w:val="28"/>
          <w:highlight w:val="none"/>
        </w:rPr>
        <w:t>（二）报价函附录</w:t>
      </w:r>
    </w:p>
    <w:p w14:paraId="7D6B2D3A">
      <w:pPr>
        <w:pStyle w:val="21"/>
        <w:jc w:val="center"/>
        <w:rPr>
          <w:rFonts w:hint="eastAsia" w:ascii="宋体" w:hAnsi="宋体" w:eastAsia="宋体" w:cs="宋体"/>
          <w:sz w:val="28"/>
          <w:szCs w:val="20"/>
          <w:lang w:val="en-US" w:bidi="zh-CN"/>
        </w:rPr>
      </w:pPr>
      <w:r>
        <w:rPr>
          <w:rFonts w:hint="eastAsia" w:ascii="宋体" w:hAnsi="宋体" w:eastAsia="宋体" w:cs="宋体"/>
          <w:sz w:val="28"/>
          <w:szCs w:val="20"/>
          <w:lang w:val="en-US" w:bidi="zh-CN"/>
        </w:rPr>
        <w:t>1.磋商函附录（一次报价）</w:t>
      </w:r>
    </w:p>
    <w:tbl>
      <w:tblPr>
        <w:tblStyle w:val="23"/>
        <w:tblW w:w="0" w:type="auto"/>
        <w:jc w:val="center"/>
        <w:tblLayout w:type="fixed"/>
        <w:tblCellMar>
          <w:top w:w="0" w:type="dxa"/>
          <w:left w:w="0" w:type="dxa"/>
          <w:bottom w:w="0" w:type="dxa"/>
          <w:right w:w="0" w:type="dxa"/>
        </w:tblCellMar>
      </w:tblPr>
      <w:tblGrid>
        <w:gridCol w:w="2265"/>
        <w:gridCol w:w="2014"/>
        <w:gridCol w:w="186"/>
        <w:gridCol w:w="2200"/>
        <w:gridCol w:w="2200"/>
      </w:tblGrid>
      <w:tr w14:paraId="5779E894">
        <w:tblPrEx>
          <w:tblCellMar>
            <w:top w:w="0" w:type="dxa"/>
            <w:left w:w="0" w:type="dxa"/>
            <w:bottom w:w="0" w:type="dxa"/>
            <w:right w:w="0" w:type="dxa"/>
          </w:tblCellMar>
        </w:tblPrEx>
        <w:trPr>
          <w:trHeight w:val="82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7D4E084">
            <w:pPr>
              <w:autoSpaceDE w:val="0"/>
              <w:autoSpaceDN w:val="0"/>
              <w:spacing w:line="500" w:lineRule="exact"/>
              <w:jc w:val="center"/>
              <w:rPr>
                <w:rFonts w:hint="eastAsia" w:ascii="宋体" w:hAnsi="宋体" w:cs="宋体"/>
                <w:kern w:val="0"/>
                <w:sz w:val="24"/>
                <w:szCs w:val="24"/>
              </w:rPr>
            </w:pPr>
            <w:bookmarkStart w:id="500" w:name="_Toc365647229"/>
            <w:r>
              <w:rPr>
                <w:rFonts w:hint="eastAsia" w:ascii="宋体" w:hAnsi="宋体" w:cs="宋体"/>
                <w:kern w:val="0"/>
                <w:sz w:val="24"/>
                <w:szCs w:val="24"/>
              </w:rPr>
              <w:t>项目名称</w:t>
            </w:r>
            <w:bookmarkEnd w:id="500"/>
          </w:p>
        </w:tc>
        <w:tc>
          <w:tcPr>
            <w:tcW w:w="6600" w:type="dxa"/>
            <w:gridSpan w:val="4"/>
            <w:tcBorders>
              <w:top w:val="single" w:color="auto" w:sz="4" w:space="0"/>
              <w:left w:val="nil"/>
              <w:bottom w:val="single" w:color="auto" w:sz="4" w:space="0"/>
              <w:right w:val="single" w:color="auto" w:sz="4" w:space="0"/>
            </w:tcBorders>
            <w:noWrap w:val="0"/>
            <w:vAlign w:val="center"/>
          </w:tcPr>
          <w:p w14:paraId="0D76F69E">
            <w:pPr>
              <w:autoSpaceDE w:val="0"/>
              <w:autoSpaceDN w:val="0"/>
              <w:spacing w:line="500" w:lineRule="exact"/>
              <w:jc w:val="center"/>
              <w:rPr>
                <w:rFonts w:hint="eastAsia" w:ascii="宋体" w:hAnsi="宋体" w:cs="宋体"/>
                <w:kern w:val="0"/>
                <w:sz w:val="24"/>
                <w:szCs w:val="24"/>
              </w:rPr>
            </w:pPr>
          </w:p>
        </w:tc>
      </w:tr>
      <w:tr w14:paraId="5057166A">
        <w:tblPrEx>
          <w:tblCellMar>
            <w:top w:w="0" w:type="dxa"/>
            <w:left w:w="0" w:type="dxa"/>
            <w:bottom w:w="0" w:type="dxa"/>
            <w:right w:w="0" w:type="dxa"/>
          </w:tblCellMar>
        </w:tblPrEx>
        <w:trPr>
          <w:trHeight w:val="84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7ED13F9">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响应供应商</w:t>
            </w:r>
          </w:p>
        </w:tc>
        <w:tc>
          <w:tcPr>
            <w:tcW w:w="6600" w:type="dxa"/>
            <w:gridSpan w:val="4"/>
            <w:tcBorders>
              <w:top w:val="single" w:color="auto" w:sz="4" w:space="0"/>
              <w:left w:val="nil"/>
              <w:bottom w:val="single" w:color="auto" w:sz="4" w:space="0"/>
              <w:right w:val="single" w:color="auto" w:sz="4" w:space="0"/>
            </w:tcBorders>
            <w:noWrap w:val="0"/>
            <w:vAlign w:val="center"/>
          </w:tcPr>
          <w:p w14:paraId="46DEC268">
            <w:pPr>
              <w:autoSpaceDE w:val="0"/>
              <w:autoSpaceDN w:val="0"/>
              <w:spacing w:line="500" w:lineRule="exact"/>
              <w:jc w:val="center"/>
              <w:rPr>
                <w:rFonts w:hint="eastAsia" w:ascii="宋体" w:hAnsi="宋体" w:cs="宋体"/>
                <w:kern w:val="0"/>
                <w:sz w:val="24"/>
                <w:szCs w:val="24"/>
              </w:rPr>
            </w:pPr>
          </w:p>
        </w:tc>
      </w:tr>
      <w:tr w14:paraId="70C41693">
        <w:tblPrEx>
          <w:tblCellMar>
            <w:top w:w="0" w:type="dxa"/>
            <w:left w:w="0" w:type="dxa"/>
            <w:bottom w:w="0" w:type="dxa"/>
            <w:right w:w="0" w:type="dxa"/>
          </w:tblCellMar>
        </w:tblPrEx>
        <w:trPr>
          <w:trHeight w:val="84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9F91148">
            <w:pPr>
              <w:autoSpaceDE w:val="0"/>
              <w:autoSpaceDN w:val="0"/>
              <w:spacing w:line="500" w:lineRule="exact"/>
              <w:jc w:val="center"/>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磋商内容</w:t>
            </w:r>
          </w:p>
        </w:tc>
        <w:tc>
          <w:tcPr>
            <w:tcW w:w="6600" w:type="dxa"/>
            <w:gridSpan w:val="4"/>
            <w:tcBorders>
              <w:top w:val="single" w:color="auto" w:sz="4" w:space="0"/>
              <w:left w:val="nil"/>
              <w:bottom w:val="single" w:color="auto" w:sz="4" w:space="0"/>
              <w:right w:val="single" w:color="auto" w:sz="4" w:space="0"/>
            </w:tcBorders>
            <w:noWrap w:val="0"/>
            <w:vAlign w:val="center"/>
          </w:tcPr>
          <w:p w14:paraId="57A55D3B">
            <w:pPr>
              <w:autoSpaceDE w:val="0"/>
              <w:autoSpaceDN w:val="0"/>
              <w:spacing w:line="500" w:lineRule="exact"/>
              <w:jc w:val="center"/>
              <w:rPr>
                <w:rFonts w:hint="eastAsia" w:ascii="宋体" w:hAnsi="宋体" w:cs="宋体"/>
                <w:kern w:val="0"/>
                <w:sz w:val="24"/>
                <w:szCs w:val="24"/>
              </w:rPr>
            </w:pPr>
          </w:p>
        </w:tc>
      </w:tr>
      <w:tr w14:paraId="7C6F9793">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F3A9199">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磋商报价</w:t>
            </w:r>
          </w:p>
        </w:tc>
        <w:tc>
          <w:tcPr>
            <w:tcW w:w="6600" w:type="dxa"/>
            <w:gridSpan w:val="4"/>
            <w:tcBorders>
              <w:top w:val="single" w:color="auto" w:sz="4" w:space="0"/>
              <w:left w:val="nil"/>
              <w:bottom w:val="single" w:color="auto" w:sz="4" w:space="0"/>
              <w:right w:val="single" w:color="auto" w:sz="4" w:space="0"/>
            </w:tcBorders>
            <w:noWrap w:val="0"/>
            <w:vAlign w:val="center"/>
          </w:tcPr>
          <w:p w14:paraId="506105A1">
            <w:pPr>
              <w:spacing w:line="480" w:lineRule="exact"/>
              <w:rPr>
                <w:sz w:val="24"/>
                <w:szCs w:val="24"/>
              </w:rPr>
            </w:pPr>
            <w:r>
              <w:rPr>
                <w:rFonts w:hint="eastAsia"/>
                <w:sz w:val="24"/>
                <w:szCs w:val="24"/>
              </w:rPr>
              <w:t>大写：</w:t>
            </w:r>
            <w:r>
              <w:rPr>
                <w:sz w:val="24"/>
                <w:szCs w:val="24"/>
              </w:rPr>
              <w:t xml:space="preserve">     </w:t>
            </w:r>
          </w:p>
          <w:p w14:paraId="0D44859A">
            <w:pPr>
              <w:spacing w:line="480" w:lineRule="exact"/>
              <w:rPr>
                <w:sz w:val="24"/>
                <w:szCs w:val="24"/>
              </w:rPr>
            </w:pPr>
            <w:r>
              <w:rPr>
                <w:rFonts w:hint="eastAsia"/>
                <w:sz w:val="24"/>
                <w:szCs w:val="24"/>
              </w:rPr>
              <w:t>小写：</w:t>
            </w:r>
            <w:r>
              <w:rPr>
                <w:sz w:val="24"/>
                <w:szCs w:val="24"/>
              </w:rPr>
              <w:t xml:space="preserve">   </w:t>
            </w:r>
          </w:p>
          <w:p w14:paraId="51F762FA">
            <w:pPr>
              <w:autoSpaceDE w:val="0"/>
              <w:autoSpaceDN w:val="0"/>
              <w:spacing w:line="500" w:lineRule="exact"/>
              <w:rPr>
                <w:rFonts w:hint="eastAsia" w:ascii="宋体" w:hAnsi="宋体" w:cs="宋体"/>
                <w:kern w:val="0"/>
                <w:sz w:val="24"/>
                <w:szCs w:val="24"/>
              </w:rPr>
            </w:pPr>
            <w:r>
              <w:rPr>
                <w:rFonts w:hint="eastAsia" w:ascii="宋体" w:hAnsi="宋体" w:cs="宋体"/>
                <w:b/>
                <w:bCs/>
                <w:kern w:val="0"/>
                <w:sz w:val="24"/>
                <w:szCs w:val="24"/>
              </w:rPr>
              <w:t>（供应商应在此填列第一次报价，但以供应商最后一次的磋商报价为成交价）</w:t>
            </w:r>
          </w:p>
        </w:tc>
      </w:tr>
      <w:tr w14:paraId="25269B34">
        <w:tblPrEx>
          <w:tblCellMar>
            <w:top w:w="0" w:type="dxa"/>
            <w:left w:w="0" w:type="dxa"/>
            <w:bottom w:w="0" w:type="dxa"/>
            <w:right w:w="0" w:type="dxa"/>
          </w:tblCellMar>
        </w:tblPrEx>
        <w:trPr>
          <w:trHeight w:val="532"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447220BA">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项目负责人姓名</w:t>
            </w:r>
          </w:p>
        </w:tc>
        <w:tc>
          <w:tcPr>
            <w:tcW w:w="2200" w:type="dxa"/>
            <w:gridSpan w:val="2"/>
            <w:vMerge w:val="restart"/>
            <w:tcBorders>
              <w:top w:val="single" w:color="auto" w:sz="4" w:space="0"/>
              <w:left w:val="nil"/>
              <w:right w:val="single" w:color="auto" w:sz="4" w:space="0"/>
            </w:tcBorders>
            <w:noWrap w:val="0"/>
            <w:vAlign w:val="center"/>
          </w:tcPr>
          <w:p w14:paraId="6F3ABCAE">
            <w:pPr>
              <w:spacing w:line="480" w:lineRule="exact"/>
              <w:rPr>
                <w:rFonts w:hint="eastAsia"/>
                <w:sz w:val="22"/>
              </w:rPr>
            </w:pPr>
          </w:p>
        </w:tc>
        <w:tc>
          <w:tcPr>
            <w:tcW w:w="2200" w:type="dxa"/>
            <w:tcBorders>
              <w:top w:val="single" w:color="auto" w:sz="4" w:space="0"/>
              <w:left w:val="nil"/>
              <w:bottom w:val="single" w:color="auto" w:sz="4" w:space="0"/>
              <w:right w:val="single" w:color="auto" w:sz="4" w:space="0"/>
            </w:tcBorders>
            <w:noWrap w:val="0"/>
            <w:vAlign w:val="center"/>
          </w:tcPr>
          <w:p w14:paraId="7D7696C9">
            <w:pPr>
              <w:spacing w:line="480" w:lineRule="exact"/>
              <w:rPr>
                <w:rFonts w:hint="eastAsia"/>
                <w:sz w:val="22"/>
              </w:rPr>
            </w:pPr>
            <w:r>
              <w:rPr>
                <w:rFonts w:hint="eastAsia" w:ascii="宋体" w:hAnsi="宋体" w:cs="宋体"/>
                <w:kern w:val="0"/>
                <w:sz w:val="24"/>
                <w:szCs w:val="24"/>
              </w:rPr>
              <w:t>注册城乡规划师资格证编号</w:t>
            </w:r>
          </w:p>
        </w:tc>
        <w:tc>
          <w:tcPr>
            <w:tcW w:w="2200" w:type="dxa"/>
            <w:tcBorders>
              <w:top w:val="single" w:color="auto" w:sz="4" w:space="0"/>
              <w:left w:val="nil"/>
              <w:bottom w:val="single" w:color="auto" w:sz="4" w:space="0"/>
              <w:right w:val="single" w:color="auto" w:sz="4" w:space="0"/>
            </w:tcBorders>
            <w:noWrap w:val="0"/>
            <w:vAlign w:val="center"/>
          </w:tcPr>
          <w:p w14:paraId="044BD747">
            <w:pPr>
              <w:spacing w:line="480" w:lineRule="exact"/>
              <w:rPr>
                <w:rFonts w:hint="eastAsia"/>
                <w:sz w:val="22"/>
              </w:rPr>
            </w:pPr>
          </w:p>
        </w:tc>
      </w:tr>
      <w:tr w14:paraId="19AE0419">
        <w:tblPrEx>
          <w:tblCellMar>
            <w:top w:w="0" w:type="dxa"/>
            <w:left w:w="0" w:type="dxa"/>
            <w:bottom w:w="0" w:type="dxa"/>
            <w:right w:w="0" w:type="dxa"/>
          </w:tblCellMar>
        </w:tblPrEx>
        <w:trPr>
          <w:trHeight w:val="777" w:hRule="atLeast"/>
          <w:jc w:val="center"/>
        </w:trPr>
        <w:tc>
          <w:tcPr>
            <w:tcW w:w="2265" w:type="dxa"/>
            <w:vMerge w:val="continue"/>
            <w:tcBorders>
              <w:left w:val="single" w:color="auto" w:sz="4" w:space="0"/>
              <w:bottom w:val="single" w:color="auto" w:sz="4" w:space="0"/>
              <w:right w:val="single" w:color="auto" w:sz="4" w:space="0"/>
            </w:tcBorders>
            <w:noWrap w:val="0"/>
            <w:vAlign w:val="center"/>
          </w:tcPr>
          <w:p w14:paraId="721A1DD3">
            <w:pPr>
              <w:spacing w:line="480" w:lineRule="exact"/>
            </w:pPr>
          </w:p>
        </w:tc>
        <w:tc>
          <w:tcPr>
            <w:tcW w:w="2200" w:type="dxa"/>
            <w:gridSpan w:val="2"/>
            <w:vMerge w:val="continue"/>
            <w:tcBorders>
              <w:left w:val="nil"/>
              <w:bottom w:val="single" w:color="auto" w:sz="4" w:space="0"/>
              <w:right w:val="single" w:color="auto" w:sz="4" w:space="0"/>
            </w:tcBorders>
            <w:noWrap w:val="0"/>
            <w:vAlign w:val="center"/>
          </w:tcPr>
          <w:p w14:paraId="173C3C05">
            <w:pPr>
              <w:spacing w:line="480" w:lineRule="exact"/>
            </w:pPr>
          </w:p>
        </w:tc>
        <w:tc>
          <w:tcPr>
            <w:tcW w:w="2200" w:type="dxa"/>
            <w:tcBorders>
              <w:top w:val="single" w:color="auto" w:sz="4" w:space="0"/>
              <w:left w:val="nil"/>
              <w:bottom w:val="single" w:color="auto" w:sz="4" w:space="0"/>
              <w:right w:val="single" w:color="auto" w:sz="4" w:space="0"/>
            </w:tcBorders>
            <w:noWrap w:val="0"/>
            <w:vAlign w:val="center"/>
          </w:tcPr>
          <w:p w14:paraId="094917AE">
            <w:pPr>
              <w:spacing w:line="480" w:lineRule="exact"/>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高级工程师证书编号</w:t>
            </w:r>
          </w:p>
        </w:tc>
        <w:tc>
          <w:tcPr>
            <w:tcW w:w="2200" w:type="dxa"/>
            <w:tcBorders>
              <w:top w:val="single" w:color="auto" w:sz="4" w:space="0"/>
              <w:left w:val="nil"/>
              <w:bottom w:val="single" w:color="auto" w:sz="4" w:space="0"/>
              <w:right w:val="single" w:color="auto" w:sz="4" w:space="0"/>
            </w:tcBorders>
            <w:noWrap w:val="0"/>
            <w:vAlign w:val="center"/>
          </w:tcPr>
          <w:p w14:paraId="4B1C75CD">
            <w:pPr>
              <w:spacing w:line="480" w:lineRule="exact"/>
              <w:rPr>
                <w:rFonts w:hint="eastAsia" w:ascii="宋体" w:hAnsi="宋体" w:cs="宋体"/>
                <w:kern w:val="0"/>
                <w:sz w:val="24"/>
                <w:szCs w:val="24"/>
              </w:rPr>
            </w:pPr>
          </w:p>
        </w:tc>
      </w:tr>
      <w:tr w14:paraId="452AD1AF">
        <w:tblPrEx>
          <w:tblCellMar>
            <w:top w:w="0" w:type="dxa"/>
            <w:left w:w="0" w:type="dxa"/>
            <w:bottom w:w="0" w:type="dxa"/>
            <w:right w:w="0" w:type="dxa"/>
          </w:tblCellMar>
        </w:tblPrEx>
        <w:trPr>
          <w:trHeight w:val="671"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top"/>
          </w:tcPr>
          <w:p w14:paraId="1D1843B2">
            <w:pPr>
              <w:autoSpaceDE w:val="0"/>
              <w:autoSpaceDN w:val="0"/>
              <w:spacing w:line="500" w:lineRule="exact"/>
              <w:jc w:val="center"/>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服务期限</w:t>
            </w:r>
          </w:p>
        </w:tc>
        <w:tc>
          <w:tcPr>
            <w:tcW w:w="6600" w:type="dxa"/>
            <w:gridSpan w:val="4"/>
            <w:tcBorders>
              <w:top w:val="single" w:color="auto" w:sz="4" w:space="0"/>
              <w:left w:val="nil"/>
              <w:bottom w:val="single" w:color="auto" w:sz="4" w:space="0"/>
              <w:right w:val="single" w:color="auto" w:sz="4" w:space="0"/>
            </w:tcBorders>
            <w:noWrap w:val="0"/>
            <w:vAlign w:val="center"/>
          </w:tcPr>
          <w:p w14:paraId="367554CB">
            <w:pPr>
              <w:autoSpaceDE w:val="0"/>
              <w:autoSpaceDN w:val="0"/>
              <w:spacing w:line="500" w:lineRule="exact"/>
              <w:ind w:firstLine="120" w:firstLineChars="50"/>
              <w:jc w:val="center"/>
              <w:rPr>
                <w:rFonts w:hint="eastAsia" w:ascii="宋体" w:hAnsi="宋体" w:cs="宋体"/>
                <w:kern w:val="0"/>
                <w:sz w:val="24"/>
                <w:szCs w:val="24"/>
              </w:rPr>
            </w:pPr>
          </w:p>
        </w:tc>
      </w:tr>
      <w:tr w14:paraId="1C6F1451">
        <w:tblPrEx>
          <w:tblCellMar>
            <w:top w:w="0" w:type="dxa"/>
            <w:left w:w="0" w:type="dxa"/>
            <w:bottom w:w="0" w:type="dxa"/>
            <w:right w:w="0" w:type="dxa"/>
          </w:tblCellMar>
        </w:tblPrEx>
        <w:trPr>
          <w:trHeight w:val="56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top"/>
          </w:tcPr>
          <w:p w14:paraId="03FC5BE5">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4"/>
            <w:tcBorders>
              <w:top w:val="single" w:color="auto" w:sz="4" w:space="0"/>
              <w:left w:val="nil"/>
              <w:bottom w:val="single" w:color="auto" w:sz="4" w:space="0"/>
              <w:right w:val="single" w:color="auto" w:sz="4" w:space="0"/>
            </w:tcBorders>
            <w:noWrap w:val="0"/>
            <w:vAlign w:val="center"/>
          </w:tcPr>
          <w:p w14:paraId="260DD041">
            <w:pPr>
              <w:autoSpaceDE w:val="0"/>
              <w:autoSpaceDN w:val="0"/>
              <w:spacing w:line="500" w:lineRule="exact"/>
              <w:jc w:val="center"/>
              <w:rPr>
                <w:rFonts w:hint="eastAsia" w:ascii="宋体" w:hAnsi="宋体" w:cs="宋体"/>
                <w:kern w:val="0"/>
                <w:sz w:val="24"/>
                <w:szCs w:val="24"/>
              </w:rPr>
            </w:pPr>
            <w:r>
              <w:rPr>
                <w:rFonts w:hint="eastAsia" w:ascii="宋体" w:hAnsi="宋体"/>
                <w:sz w:val="24"/>
                <w:szCs w:val="24"/>
              </w:rPr>
              <w:t xml:space="preserve"> </w:t>
            </w:r>
          </w:p>
        </w:tc>
      </w:tr>
      <w:tr w14:paraId="0E44184A">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2F85271">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600" w:type="dxa"/>
            <w:gridSpan w:val="4"/>
            <w:tcBorders>
              <w:top w:val="single" w:color="auto" w:sz="4" w:space="0"/>
              <w:left w:val="nil"/>
              <w:bottom w:val="single" w:color="auto" w:sz="4" w:space="0"/>
              <w:right w:val="single" w:color="auto" w:sz="4" w:space="0"/>
            </w:tcBorders>
            <w:noWrap w:val="0"/>
            <w:vAlign w:val="center"/>
          </w:tcPr>
          <w:p w14:paraId="6EC2E723">
            <w:pPr>
              <w:autoSpaceDE w:val="0"/>
              <w:autoSpaceDN w:val="0"/>
              <w:spacing w:line="500" w:lineRule="exact"/>
              <w:jc w:val="center"/>
              <w:rPr>
                <w:rFonts w:hint="eastAsia" w:ascii="宋体" w:hAnsi="宋体" w:cs="宋体"/>
                <w:kern w:val="0"/>
                <w:sz w:val="24"/>
                <w:szCs w:val="24"/>
              </w:rPr>
            </w:pPr>
          </w:p>
        </w:tc>
      </w:tr>
      <w:tr w14:paraId="31F3AB86">
        <w:tblPrEx>
          <w:tblCellMar>
            <w:top w:w="0" w:type="dxa"/>
            <w:left w:w="0" w:type="dxa"/>
            <w:bottom w:w="0" w:type="dxa"/>
            <w:right w:w="0" w:type="dxa"/>
          </w:tblCellMar>
        </w:tblPrEx>
        <w:trPr>
          <w:trHeight w:val="539"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FF6D01E">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014" w:type="dxa"/>
            <w:tcBorders>
              <w:top w:val="single" w:color="auto" w:sz="4" w:space="0"/>
              <w:left w:val="nil"/>
              <w:bottom w:val="single" w:color="auto" w:sz="4" w:space="0"/>
              <w:right w:val="single" w:color="auto" w:sz="4" w:space="0"/>
            </w:tcBorders>
            <w:noWrap w:val="0"/>
            <w:vAlign w:val="center"/>
          </w:tcPr>
          <w:p w14:paraId="34368B7A">
            <w:pPr>
              <w:autoSpaceDE w:val="0"/>
              <w:autoSpaceDN w:val="0"/>
              <w:spacing w:line="500" w:lineRule="exact"/>
              <w:jc w:val="center"/>
              <w:rPr>
                <w:rFonts w:hint="eastAsia" w:ascii="宋体" w:hAnsi="宋体" w:cs="宋体"/>
                <w:sz w:val="24"/>
                <w:szCs w:val="24"/>
              </w:rPr>
            </w:pPr>
          </w:p>
        </w:tc>
        <w:tc>
          <w:tcPr>
            <w:tcW w:w="2386" w:type="dxa"/>
            <w:gridSpan w:val="2"/>
            <w:tcBorders>
              <w:top w:val="single" w:color="auto" w:sz="4" w:space="0"/>
              <w:left w:val="nil"/>
              <w:bottom w:val="single" w:color="auto" w:sz="4" w:space="0"/>
              <w:right w:val="single" w:color="auto" w:sz="4" w:space="0"/>
            </w:tcBorders>
            <w:noWrap w:val="0"/>
            <w:vAlign w:val="center"/>
          </w:tcPr>
          <w:p w14:paraId="1323B704">
            <w:pPr>
              <w:autoSpaceDE w:val="0"/>
              <w:autoSpaceDN w:val="0"/>
              <w:spacing w:line="500" w:lineRule="exact"/>
              <w:jc w:val="center"/>
              <w:rPr>
                <w:rFonts w:hint="eastAsia" w:ascii="宋体" w:hAnsi="宋体" w:cs="宋体" w:eastAsiaTheme="minorEastAsia"/>
                <w:sz w:val="24"/>
                <w:szCs w:val="24"/>
                <w:lang w:eastAsia="zh-CN"/>
              </w:rPr>
            </w:pPr>
            <w:r>
              <w:rPr>
                <w:rFonts w:hint="eastAsia" w:ascii="宋体" w:hAnsi="宋体" w:cs="宋体"/>
                <w:sz w:val="24"/>
                <w:szCs w:val="24"/>
              </w:rPr>
              <w:t>联系电话</w:t>
            </w:r>
            <w:r>
              <w:rPr>
                <w:rFonts w:hint="eastAsia" w:ascii="宋体" w:hAnsi="宋体" w:cs="宋体"/>
                <w:sz w:val="24"/>
                <w:szCs w:val="24"/>
                <w:lang w:eastAsia="zh-CN"/>
              </w:rPr>
              <w:t>（手机号码）</w:t>
            </w:r>
          </w:p>
        </w:tc>
        <w:tc>
          <w:tcPr>
            <w:tcW w:w="2200" w:type="dxa"/>
            <w:tcBorders>
              <w:top w:val="single" w:color="auto" w:sz="4" w:space="0"/>
              <w:left w:val="nil"/>
              <w:bottom w:val="single" w:color="auto" w:sz="4" w:space="0"/>
              <w:right w:val="single" w:color="auto" w:sz="4" w:space="0"/>
            </w:tcBorders>
            <w:noWrap w:val="0"/>
            <w:vAlign w:val="center"/>
          </w:tcPr>
          <w:p w14:paraId="56DE5209">
            <w:pPr>
              <w:autoSpaceDE w:val="0"/>
              <w:autoSpaceDN w:val="0"/>
              <w:spacing w:line="500" w:lineRule="exact"/>
              <w:jc w:val="center"/>
              <w:rPr>
                <w:rFonts w:hint="eastAsia" w:ascii="宋体" w:hAnsi="宋体" w:cs="宋体"/>
                <w:sz w:val="24"/>
                <w:szCs w:val="24"/>
              </w:rPr>
            </w:pPr>
          </w:p>
        </w:tc>
      </w:tr>
      <w:tr w14:paraId="0EA50B6A">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78BDB2C">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4"/>
            <w:tcBorders>
              <w:top w:val="single" w:color="auto" w:sz="4" w:space="0"/>
              <w:left w:val="nil"/>
              <w:bottom w:val="single" w:color="auto" w:sz="4" w:space="0"/>
              <w:right w:val="single" w:color="auto" w:sz="4" w:space="0"/>
            </w:tcBorders>
            <w:noWrap w:val="0"/>
            <w:vAlign w:val="center"/>
          </w:tcPr>
          <w:p w14:paraId="22E7AE6D">
            <w:pPr>
              <w:autoSpaceDE w:val="0"/>
              <w:autoSpaceDN w:val="0"/>
              <w:spacing w:line="500" w:lineRule="exact"/>
              <w:jc w:val="center"/>
              <w:rPr>
                <w:rFonts w:hint="eastAsia" w:ascii="宋体" w:hAnsi="宋体" w:cs="宋体"/>
                <w:kern w:val="0"/>
                <w:sz w:val="24"/>
                <w:szCs w:val="24"/>
              </w:rPr>
            </w:pPr>
          </w:p>
        </w:tc>
      </w:tr>
    </w:tbl>
    <w:p w14:paraId="58B240C7">
      <w:pPr>
        <w:spacing w:line="360" w:lineRule="auto"/>
        <w:ind w:firstLine="360" w:firstLineChars="150"/>
        <w:rPr>
          <w:rFonts w:hint="eastAsia" w:ascii="宋体" w:hAnsi="宋体"/>
          <w:sz w:val="24"/>
          <w:szCs w:val="24"/>
        </w:rPr>
      </w:pPr>
    </w:p>
    <w:p w14:paraId="3CC00435">
      <w:pPr>
        <w:spacing w:line="360" w:lineRule="auto"/>
        <w:ind w:firstLine="360" w:firstLineChars="150"/>
        <w:rPr>
          <w:rFonts w:hint="eastAsia" w:ascii="宋体" w:hAnsi="宋体"/>
          <w:sz w:val="24"/>
          <w:szCs w:val="24"/>
        </w:rPr>
      </w:pPr>
      <w:r>
        <w:rPr>
          <w:rFonts w:hint="eastAsia" w:ascii="宋体" w:hAnsi="宋体"/>
          <w:sz w:val="24"/>
          <w:szCs w:val="24"/>
        </w:rPr>
        <w:t>注：1、投标报价仅且只有一个有效报价，不得出现两个及以上报价，否则作废标处理；</w:t>
      </w:r>
    </w:p>
    <w:p w14:paraId="510A2116">
      <w:pPr>
        <w:spacing w:line="360" w:lineRule="auto"/>
        <w:ind w:firstLine="360" w:firstLineChars="150"/>
        <w:rPr>
          <w:rFonts w:hint="eastAsia" w:ascii="宋体" w:hAnsi="宋体"/>
          <w:sz w:val="24"/>
          <w:szCs w:val="24"/>
        </w:rPr>
      </w:pPr>
      <w:r>
        <w:rPr>
          <w:rFonts w:hint="eastAsia" w:ascii="宋体" w:hAnsi="宋体"/>
          <w:sz w:val="24"/>
          <w:szCs w:val="24"/>
        </w:rPr>
        <w:t>2、此处为第一轮报价供磋商小组在评审时参考比较，此时的最低报价并不是成交的条件。</w:t>
      </w:r>
    </w:p>
    <w:p w14:paraId="08A85C1C">
      <w:pPr>
        <w:spacing w:line="360" w:lineRule="auto"/>
        <w:ind w:firstLine="240" w:firstLineChars="10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单位电子签章</w:t>
      </w:r>
      <w:r>
        <w:rPr>
          <w:rFonts w:hint="eastAsia" w:ascii="宋体" w:hAnsi="宋体"/>
          <w:sz w:val="24"/>
          <w:szCs w:val="24"/>
        </w:rPr>
        <w:t>）</w:t>
      </w:r>
    </w:p>
    <w:p w14:paraId="4AB066F6">
      <w:pPr>
        <w:spacing w:line="360" w:lineRule="auto"/>
        <w:ind w:firstLine="240" w:firstLineChars="100"/>
        <w:jc w:val="cente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电子签章</w:t>
      </w:r>
      <w:r>
        <w:rPr>
          <w:rFonts w:hint="eastAsia" w:ascii="宋体" w:hAnsi="宋体"/>
          <w:sz w:val="24"/>
          <w:szCs w:val="24"/>
        </w:rPr>
        <w:t>）</w:t>
      </w:r>
    </w:p>
    <w:p w14:paraId="13FE9AEA">
      <w:pPr>
        <w:spacing w:line="360" w:lineRule="auto"/>
        <w:ind w:firstLine="240" w:firstLineChars="100"/>
        <w:jc w:val="center"/>
      </w:pPr>
      <w:r>
        <w:rPr>
          <w:rFonts w:hint="eastAsia" w:ascii="宋体" w:hAnsi="宋体"/>
          <w:sz w:val="24"/>
          <w:szCs w:val="24"/>
          <w:lang w:val="en-US" w:eastAsia="zh-CN"/>
        </w:rPr>
        <w:t xml:space="preserve">                       日      期：</w:t>
      </w:r>
      <w:r>
        <w:rPr>
          <w:rFonts w:hint="eastAsia" w:ascii="宋体" w:hAnsi="宋体"/>
          <w:sz w:val="24"/>
          <w:szCs w:val="24"/>
          <w:u w:val="single"/>
        </w:rPr>
        <w:t xml:space="preserve">     </w:t>
      </w:r>
      <w:r>
        <w:rPr>
          <w:rFonts w:hint="eastAsia" w:ascii="宋体" w:hAnsi="宋体"/>
          <w:sz w:val="24"/>
          <w:szCs w:val="24"/>
          <w:lang w:val="en-US" w:eastAsia="zh-CN"/>
        </w:rPr>
        <w:t xml:space="preserve"> 年</w:t>
      </w:r>
      <w:r>
        <w:rPr>
          <w:rFonts w:hint="eastAsia" w:ascii="宋体" w:hAnsi="宋体"/>
          <w:sz w:val="24"/>
          <w:szCs w:val="24"/>
          <w:u w:val="single"/>
        </w:rPr>
        <w:t xml:space="preserve">     </w:t>
      </w:r>
      <w:r>
        <w:rPr>
          <w:rFonts w:hint="eastAsia" w:ascii="宋体" w:hAnsi="宋体"/>
          <w:sz w:val="24"/>
          <w:szCs w:val="24"/>
          <w:lang w:val="en-US" w:eastAsia="zh-CN"/>
        </w:rPr>
        <w:t xml:space="preserve"> 月</w:t>
      </w:r>
      <w:r>
        <w:rPr>
          <w:rFonts w:hint="eastAsia" w:ascii="宋体" w:hAnsi="宋体"/>
          <w:sz w:val="24"/>
          <w:szCs w:val="24"/>
          <w:u w:val="single"/>
        </w:rPr>
        <w:t xml:space="preserve">     </w:t>
      </w:r>
      <w:r>
        <w:rPr>
          <w:rFonts w:hint="eastAsia" w:ascii="宋体" w:hAnsi="宋体"/>
          <w:sz w:val="24"/>
          <w:szCs w:val="24"/>
          <w:lang w:val="en-US" w:eastAsia="zh-CN"/>
        </w:rPr>
        <w:t>日</w:t>
      </w:r>
    </w:p>
    <w:p w14:paraId="048F1E71">
      <w:pPr>
        <w:rPr>
          <w:rFonts w:hint="eastAsia"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br w:type="page"/>
      </w:r>
    </w:p>
    <w:p w14:paraId="3493EA7B">
      <w:pPr>
        <w:wordWrap w:val="0"/>
        <w:topLinePunct/>
        <w:spacing w:line="360" w:lineRule="auto"/>
        <w:jc w:val="center"/>
        <w:rPr>
          <w:rFonts w:hint="eastAsia" w:ascii="宋体" w:hAnsi="宋体" w:eastAsia="宋体" w:cs="Times New Roman"/>
          <w:b/>
          <w:sz w:val="28"/>
          <w:szCs w:val="28"/>
          <w:highlight w:val="none"/>
          <w:lang w:val="zh-CN"/>
        </w:rPr>
        <w:sectPr>
          <w:headerReference r:id="rId6" w:type="default"/>
          <w:footerReference r:id="rId7" w:type="default"/>
          <w:pgSz w:w="11907" w:h="16840"/>
          <w:pgMar w:top="1400" w:right="1418" w:bottom="1089" w:left="1418" w:header="624" w:footer="748" w:gutter="0"/>
          <w:pgNumType w:fmt="decimal"/>
          <w:cols w:space="720" w:num="1"/>
          <w:docGrid w:type="linesAndChars" w:linePitch="312" w:charSpace="0"/>
        </w:sectPr>
      </w:pPr>
    </w:p>
    <w:p w14:paraId="44B10EE1">
      <w:pPr>
        <w:rPr>
          <w:rFonts w:hint="eastAsia" w:ascii="宋体" w:hAnsi="宋体" w:eastAsia="宋体" w:cs="宋体"/>
          <w:sz w:val="28"/>
          <w:szCs w:val="28"/>
          <w:lang w:eastAsia="zh-CN"/>
        </w:rPr>
      </w:pPr>
      <w:r>
        <w:rPr>
          <w:rFonts w:hint="eastAsia" w:ascii="宋体" w:hAnsi="宋体" w:eastAsia="宋体" w:cs="宋体"/>
          <w:sz w:val="28"/>
          <w:szCs w:val="28"/>
        </w:rPr>
        <w:t>2.报价</w:t>
      </w:r>
      <w:r>
        <w:rPr>
          <w:rFonts w:hint="eastAsia" w:ascii="宋体" w:hAnsi="宋体" w:eastAsia="宋体" w:cs="宋体"/>
          <w:sz w:val="28"/>
          <w:szCs w:val="28"/>
          <w:lang w:eastAsia="zh-CN"/>
        </w:rPr>
        <w:t>一览表</w:t>
      </w:r>
    </w:p>
    <w:p w14:paraId="1BFEF8F1">
      <w:pPr>
        <w:rPr>
          <w:rFonts w:hint="eastAsia" w:ascii="宋体" w:hAnsi="宋体" w:eastAsia="宋体" w:cs="宋体"/>
          <w:sz w:val="24"/>
          <w:szCs w:val="24"/>
        </w:rPr>
      </w:pPr>
      <w:r>
        <w:rPr>
          <w:rFonts w:hint="eastAsia" w:ascii="宋体" w:hAnsi="宋体" w:eastAsia="宋体" w:cs="宋体"/>
          <w:sz w:val="24"/>
          <w:szCs w:val="24"/>
        </w:rPr>
        <w:t>项目名称：</w:t>
      </w:r>
    </w:p>
    <w:p w14:paraId="21544F44">
      <w:pPr>
        <w:wordWrap w:val="0"/>
        <w:spacing w:before="38"/>
        <w:ind w:right="909"/>
        <w:jc w:val="both"/>
        <w:rPr>
          <w:rFonts w:hint="eastAsia" w:ascii="宋体" w:hAnsi="宋体" w:eastAsia="宋体" w:cs="宋体"/>
          <w:sz w:val="24"/>
          <w:szCs w:val="24"/>
        </w:rPr>
      </w:pPr>
      <w:r>
        <w:rPr>
          <w:rFonts w:hint="eastAsia" w:ascii="宋体" w:hAnsi="宋体" w:eastAsia="宋体" w:cs="宋体"/>
          <w:sz w:val="24"/>
          <w:szCs w:val="24"/>
        </w:rPr>
        <w:t>项目编号：</w:t>
      </w:r>
    </w:p>
    <w:tbl>
      <w:tblPr>
        <w:tblStyle w:val="23"/>
        <w:tblpPr w:leftFromText="180" w:rightFromText="180" w:vertAnchor="text" w:horzAnchor="page" w:tblpX="1241" w:tblpY="231"/>
        <w:tblOverlap w:val="never"/>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289"/>
        <w:gridCol w:w="1584"/>
        <w:gridCol w:w="1500"/>
        <w:gridCol w:w="1200"/>
      </w:tblGrid>
      <w:tr w14:paraId="1656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026" w:type="dxa"/>
            <w:noWrap w:val="0"/>
            <w:vAlign w:val="center"/>
          </w:tcPr>
          <w:p w14:paraId="00779838">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4289" w:type="dxa"/>
            <w:noWrap w:val="0"/>
            <w:vAlign w:val="center"/>
          </w:tcPr>
          <w:p w14:paraId="5972F61A">
            <w:pPr>
              <w:spacing w:line="3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工作内容</w:t>
            </w:r>
          </w:p>
          <w:p w14:paraId="4F871022">
            <w:pPr>
              <w:spacing w:line="300" w:lineRule="exact"/>
              <w:jc w:val="center"/>
              <w:rPr>
                <w:rFonts w:hint="eastAsia" w:ascii="宋体" w:hAnsi="宋体" w:eastAsia="宋体" w:cs="宋体"/>
                <w:bCs/>
                <w:sz w:val="24"/>
                <w:szCs w:val="24"/>
                <w:lang w:val="en-US" w:eastAsia="zh-CN"/>
              </w:rPr>
            </w:pPr>
          </w:p>
        </w:tc>
        <w:tc>
          <w:tcPr>
            <w:tcW w:w="1584" w:type="dxa"/>
            <w:noWrap w:val="0"/>
            <w:vAlign w:val="center"/>
          </w:tcPr>
          <w:p w14:paraId="16A12B74">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单价（元）</w:t>
            </w:r>
          </w:p>
        </w:tc>
        <w:tc>
          <w:tcPr>
            <w:tcW w:w="1500" w:type="dxa"/>
            <w:noWrap w:val="0"/>
            <w:vAlign w:val="center"/>
          </w:tcPr>
          <w:p w14:paraId="4B424C8E">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小计（元）</w:t>
            </w:r>
          </w:p>
        </w:tc>
        <w:tc>
          <w:tcPr>
            <w:tcW w:w="1200" w:type="dxa"/>
            <w:noWrap w:val="0"/>
            <w:vAlign w:val="center"/>
          </w:tcPr>
          <w:p w14:paraId="7108FAE5">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1701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noWrap w:val="0"/>
            <w:vAlign w:val="center"/>
          </w:tcPr>
          <w:p w14:paraId="432AF986">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289" w:type="dxa"/>
            <w:noWrap w:val="0"/>
            <w:vAlign w:val="top"/>
          </w:tcPr>
          <w:p w14:paraId="541736F7">
            <w:pPr>
              <w:spacing w:line="300" w:lineRule="exact"/>
              <w:jc w:val="center"/>
              <w:rPr>
                <w:rFonts w:hint="eastAsia" w:ascii="宋体" w:hAnsi="宋体" w:eastAsia="宋体" w:cs="宋体"/>
                <w:bCs/>
                <w:sz w:val="24"/>
                <w:szCs w:val="24"/>
                <w:lang w:val="en-US"/>
              </w:rPr>
            </w:pPr>
          </w:p>
        </w:tc>
        <w:tc>
          <w:tcPr>
            <w:tcW w:w="1584" w:type="dxa"/>
            <w:noWrap w:val="0"/>
            <w:vAlign w:val="center"/>
          </w:tcPr>
          <w:p w14:paraId="78667BC0">
            <w:pPr>
              <w:spacing w:line="300" w:lineRule="exact"/>
              <w:jc w:val="center"/>
              <w:rPr>
                <w:rFonts w:hint="eastAsia" w:ascii="宋体" w:hAnsi="宋体" w:eastAsia="宋体" w:cs="宋体"/>
                <w:bCs/>
                <w:sz w:val="24"/>
                <w:szCs w:val="24"/>
              </w:rPr>
            </w:pPr>
          </w:p>
        </w:tc>
        <w:tc>
          <w:tcPr>
            <w:tcW w:w="1500" w:type="dxa"/>
            <w:noWrap w:val="0"/>
            <w:vAlign w:val="center"/>
          </w:tcPr>
          <w:p w14:paraId="3DF9BF44">
            <w:pPr>
              <w:spacing w:line="300" w:lineRule="exact"/>
              <w:jc w:val="center"/>
              <w:rPr>
                <w:rFonts w:hint="eastAsia" w:ascii="宋体" w:hAnsi="宋体" w:eastAsia="宋体" w:cs="宋体"/>
                <w:bCs/>
                <w:sz w:val="24"/>
                <w:szCs w:val="24"/>
              </w:rPr>
            </w:pPr>
          </w:p>
        </w:tc>
        <w:tc>
          <w:tcPr>
            <w:tcW w:w="1200" w:type="dxa"/>
            <w:noWrap w:val="0"/>
            <w:vAlign w:val="center"/>
          </w:tcPr>
          <w:p w14:paraId="21AD3B12">
            <w:pPr>
              <w:spacing w:line="300" w:lineRule="exact"/>
              <w:jc w:val="center"/>
              <w:rPr>
                <w:rFonts w:hint="eastAsia" w:ascii="宋体" w:hAnsi="宋体" w:eastAsia="宋体" w:cs="宋体"/>
                <w:bCs/>
                <w:sz w:val="24"/>
                <w:szCs w:val="24"/>
              </w:rPr>
            </w:pPr>
          </w:p>
        </w:tc>
      </w:tr>
      <w:tr w14:paraId="082D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noWrap w:val="0"/>
            <w:vAlign w:val="center"/>
          </w:tcPr>
          <w:p w14:paraId="03D72B1B">
            <w:pPr>
              <w:spacing w:line="30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289" w:type="dxa"/>
            <w:noWrap w:val="0"/>
            <w:vAlign w:val="top"/>
          </w:tcPr>
          <w:p w14:paraId="5B306643">
            <w:pPr>
              <w:spacing w:line="300" w:lineRule="exact"/>
              <w:jc w:val="center"/>
              <w:rPr>
                <w:rFonts w:hint="eastAsia" w:ascii="宋体" w:hAnsi="宋体" w:eastAsia="宋体" w:cs="宋体"/>
                <w:bCs/>
                <w:sz w:val="24"/>
                <w:szCs w:val="24"/>
                <w:lang w:val="en-US"/>
              </w:rPr>
            </w:pPr>
          </w:p>
        </w:tc>
        <w:tc>
          <w:tcPr>
            <w:tcW w:w="1584" w:type="dxa"/>
            <w:noWrap w:val="0"/>
            <w:vAlign w:val="center"/>
          </w:tcPr>
          <w:p w14:paraId="46D5DB34">
            <w:pPr>
              <w:spacing w:line="300" w:lineRule="exact"/>
              <w:jc w:val="center"/>
              <w:rPr>
                <w:rFonts w:hint="eastAsia" w:ascii="宋体" w:hAnsi="宋体" w:eastAsia="宋体" w:cs="宋体"/>
                <w:bCs/>
                <w:sz w:val="24"/>
                <w:szCs w:val="24"/>
              </w:rPr>
            </w:pPr>
          </w:p>
        </w:tc>
        <w:tc>
          <w:tcPr>
            <w:tcW w:w="1500" w:type="dxa"/>
            <w:noWrap w:val="0"/>
            <w:vAlign w:val="center"/>
          </w:tcPr>
          <w:p w14:paraId="53AC5105">
            <w:pPr>
              <w:spacing w:line="300" w:lineRule="exact"/>
              <w:jc w:val="center"/>
              <w:rPr>
                <w:rFonts w:hint="eastAsia" w:ascii="宋体" w:hAnsi="宋体" w:eastAsia="宋体" w:cs="宋体"/>
                <w:bCs/>
                <w:sz w:val="24"/>
                <w:szCs w:val="24"/>
              </w:rPr>
            </w:pPr>
          </w:p>
        </w:tc>
        <w:tc>
          <w:tcPr>
            <w:tcW w:w="1200" w:type="dxa"/>
            <w:noWrap w:val="0"/>
            <w:vAlign w:val="center"/>
          </w:tcPr>
          <w:p w14:paraId="482C1F0F">
            <w:pPr>
              <w:spacing w:line="300" w:lineRule="exact"/>
              <w:jc w:val="center"/>
              <w:rPr>
                <w:rFonts w:hint="eastAsia" w:ascii="宋体" w:hAnsi="宋体" w:eastAsia="宋体" w:cs="宋体"/>
                <w:bCs/>
                <w:sz w:val="24"/>
                <w:szCs w:val="24"/>
              </w:rPr>
            </w:pPr>
          </w:p>
        </w:tc>
      </w:tr>
      <w:tr w14:paraId="12EA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noWrap w:val="0"/>
            <w:vAlign w:val="center"/>
          </w:tcPr>
          <w:p w14:paraId="1D1415AC">
            <w:pPr>
              <w:spacing w:line="300" w:lineRule="exact"/>
              <w:jc w:val="center"/>
              <w:rPr>
                <w:rFonts w:hint="eastAsia" w:ascii="宋体" w:hAnsi="宋体" w:eastAsia="宋体" w:cs="宋体"/>
                <w:bCs/>
                <w:sz w:val="24"/>
                <w:szCs w:val="24"/>
              </w:rPr>
            </w:pPr>
          </w:p>
        </w:tc>
        <w:tc>
          <w:tcPr>
            <w:tcW w:w="4289" w:type="dxa"/>
            <w:noWrap w:val="0"/>
            <w:vAlign w:val="top"/>
          </w:tcPr>
          <w:p w14:paraId="05C84534">
            <w:pPr>
              <w:spacing w:line="300" w:lineRule="exact"/>
              <w:jc w:val="center"/>
              <w:rPr>
                <w:rFonts w:hint="eastAsia" w:ascii="宋体" w:hAnsi="宋体" w:eastAsia="宋体" w:cs="宋体"/>
                <w:bCs/>
                <w:sz w:val="24"/>
                <w:szCs w:val="24"/>
                <w:lang w:val="en-US"/>
              </w:rPr>
            </w:pPr>
          </w:p>
        </w:tc>
        <w:tc>
          <w:tcPr>
            <w:tcW w:w="1584" w:type="dxa"/>
            <w:noWrap w:val="0"/>
            <w:vAlign w:val="center"/>
          </w:tcPr>
          <w:p w14:paraId="5E385B08">
            <w:pPr>
              <w:spacing w:line="300" w:lineRule="exact"/>
              <w:jc w:val="center"/>
              <w:rPr>
                <w:rFonts w:hint="eastAsia" w:ascii="宋体" w:hAnsi="宋体" w:eastAsia="宋体" w:cs="宋体"/>
                <w:bCs/>
                <w:sz w:val="24"/>
                <w:szCs w:val="24"/>
              </w:rPr>
            </w:pPr>
          </w:p>
        </w:tc>
        <w:tc>
          <w:tcPr>
            <w:tcW w:w="1500" w:type="dxa"/>
            <w:noWrap w:val="0"/>
            <w:vAlign w:val="center"/>
          </w:tcPr>
          <w:p w14:paraId="4CE79DD8">
            <w:pPr>
              <w:spacing w:line="300" w:lineRule="exact"/>
              <w:jc w:val="center"/>
              <w:rPr>
                <w:rFonts w:hint="eastAsia" w:ascii="宋体" w:hAnsi="宋体" w:eastAsia="宋体" w:cs="宋体"/>
                <w:bCs/>
                <w:sz w:val="24"/>
                <w:szCs w:val="24"/>
              </w:rPr>
            </w:pPr>
          </w:p>
        </w:tc>
        <w:tc>
          <w:tcPr>
            <w:tcW w:w="1200" w:type="dxa"/>
            <w:noWrap w:val="0"/>
            <w:vAlign w:val="center"/>
          </w:tcPr>
          <w:p w14:paraId="23F79B5A">
            <w:pPr>
              <w:spacing w:line="300" w:lineRule="exact"/>
              <w:jc w:val="center"/>
              <w:rPr>
                <w:rFonts w:hint="eastAsia" w:ascii="宋体" w:hAnsi="宋体" w:eastAsia="宋体" w:cs="宋体"/>
                <w:bCs/>
                <w:sz w:val="24"/>
                <w:szCs w:val="24"/>
              </w:rPr>
            </w:pPr>
          </w:p>
        </w:tc>
      </w:tr>
      <w:tr w14:paraId="46D6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dxa"/>
            <w:noWrap w:val="0"/>
            <w:vAlign w:val="center"/>
          </w:tcPr>
          <w:p w14:paraId="2A35A220">
            <w:pPr>
              <w:spacing w:line="300" w:lineRule="exact"/>
              <w:jc w:val="center"/>
              <w:rPr>
                <w:rFonts w:hint="eastAsia" w:ascii="宋体" w:hAnsi="宋体" w:eastAsia="宋体" w:cs="宋体"/>
                <w:bCs/>
                <w:sz w:val="24"/>
                <w:szCs w:val="24"/>
              </w:rPr>
            </w:pPr>
          </w:p>
        </w:tc>
        <w:tc>
          <w:tcPr>
            <w:tcW w:w="4289" w:type="dxa"/>
            <w:noWrap w:val="0"/>
            <w:vAlign w:val="top"/>
          </w:tcPr>
          <w:p w14:paraId="0DA05C7C">
            <w:pPr>
              <w:spacing w:line="300" w:lineRule="exact"/>
              <w:jc w:val="center"/>
              <w:rPr>
                <w:rFonts w:hint="eastAsia" w:ascii="宋体" w:hAnsi="宋体" w:eastAsia="宋体" w:cs="宋体"/>
                <w:bCs/>
                <w:sz w:val="24"/>
                <w:szCs w:val="24"/>
                <w:lang w:val="en-US"/>
              </w:rPr>
            </w:pPr>
          </w:p>
        </w:tc>
        <w:tc>
          <w:tcPr>
            <w:tcW w:w="1584" w:type="dxa"/>
            <w:noWrap w:val="0"/>
            <w:vAlign w:val="center"/>
          </w:tcPr>
          <w:p w14:paraId="0B9FD5CE">
            <w:pPr>
              <w:spacing w:line="300" w:lineRule="exact"/>
              <w:jc w:val="center"/>
              <w:rPr>
                <w:rFonts w:hint="eastAsia" w:ascii="宋体" w:hAnsi="宋体" w:eastAsia="宋体" w:cs="宋体"/>
                <w:bCs/>
                <w:sz w:val="24"/>
                <w:szCs w:val="24"/>
              </w:rPr>
            </w:pPr>
          </w:p>
        </w:tc>
        <w:tc>
          <w:tcPr>
            <w:tcW w:w="1500" w:type="dxa"/>
            <w:noWrap w:val="0"/>
            <w:vAlign w:val="center"/>
          </w:tcPr>
          <w:p w14:paraId="75610573">
            <w:pPr>
              <w:spacing w:line="300" w:lineRule="exact"/>
              <w:jc w:val="center"/>
              <w:rPr>
                <w:rFonts w:hint="eastAsia" w:ascii="宋体" w:hAnsi="宋体" w:eastAsia="宋体" w:cs="宋体"/>
                <w:bCs/>
                <w:sz w:val="24"/>
                <w:szCs w:val="24"/>
              </w:rPr>
            </w:pPr>
          </w:p>
        </w:tc>
        <w:tc>
          <w:tcPr>
            <w:tcW w:w="1200" w:type="dxa"/>
            <w:noWrap w:val="0"/>
            <w:vAlign w:val="center"/>
          </w:tcPr>
          <w:p w14:paraId="70588004">
            <w:pPr>
              <w:spacing w:line="300" w:lineRule="exact"/>
              <w:jc w:val="center"/>
              <w:rPr>
                <w:rFonts w:hint="eastAsia" w:ascii="宋体" w:hAnsi="宋体" w:eastAsia="宋体" w:cs="宋体"/>
                <w:bCs/>
                <w:sz w:val="24"/>
                <w:szCs w:val="24"/>
              </w:rPr>
            </w:pPr>
          </w:p>
        </w:tc>
      </w:tr>
      <w:tr w14:paraId="333C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026" w:type="dxa"/>
            <w:noWrap w:val="0"/>
            <w:vAlign w:val="center"/>
          </w:tcPr>
          <w:p w14:paraId="5EC0F71E">
            <w:pP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合计</w:t>
            </w:r>
          </w:p>
        </w:tc>
        <w:tc>
          <w:tcPr>
            <w:tcW w:w="7373" w:type="dxa"/>
            <w:gridSpan w:val="3"/>
            <w:noWrap w:val="0"/>
            <w:vAlign w:val="center"/>
          </w:tcPr>
          <w:p w14:paraId="505EE2C6">
            <w:pPr>
              <w:tabs>
                <w:tab w:val="left" w:pos="659"/>
              </w:tabs>
              <w:spacing w:line="300" w:lineRule="exact"/>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大写：</w:t>
            </w:r>
          </w:p>
          <w:p w14:paraId="25AD7DC9">
            <w:pPr>
              <w:tabs>
                <w:tab w:val="left" w:pos="659"/>
              </w:tabs>
              <w:spacing w:line="300" w:lineRule="exact"/>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小写：</w:t>
            </w:r>
          </w:p>
        </w:tc>
        <w:tc>
          <w:tcPr>
            <w:tcW w:w="1200" w:type="dxa"/>
            <w:noWrap w:val="0"/>
            <w:vAlign w:val="center"/>
          </w:tcPr>
          <w:p w14:paraId="4F6A087B">
            <w:pPr>
              <w:spacing w:line="300" w:lineRule="exact"/>
              <w:jc w:val="center"/>
              <w:rPr>
                <w:rFonts w:hint="eastAsia" w:ascii="宋体" w:hAnsi="宋体" w:eastAsia="宋体" w:cs="宋体"/>
                <w:bCs/>
                <w:sz w:val="24"/>
                <w:szCs w:val="24"/>
              </w:rPr>
            </w:pPr>
          </w:p>
        </w:tc>
      </w:tr>
    </w:tbl>
    <w:p w14:paraId="154F0C41">
      <w:pPr>
        <w:wordWrap w:val="0"/>
        <w:spacing w:before="38"/>
        <w:ind w:right="909"/>
        <w:jc w:val="both"/>
        <w:rPr>
          <w:rFonts w:hint="eastAsia" w:ascii="宋体" w:hAnsi="宋体" w:eastAsia="宋体" w:cs="宋体"/>
          <w:sz w:val="24"/>
          <w:szCs w:val="24"/>
        </w:rPr>
      </w:pPr>
    </w:p>
    <w:p w14:paraId="371167F0">
      <w:pPr>
        <w:wordWrap w:val="0"/>
        <w:spacing w:before="38"/>
        <w:ind w:right="909"/>
        <w:jc w:val="center"/>
        <w:rPr>
          <w:rFonts w:hint="eastAsia" w:ascii="宋体" w:hAnsi="宋体" w:eastAsia="宋体" w:cs="宋体"/>
          <w:sz w:val="24"/>
          <w:szCs w:val="24"/>
        </w:rPr>
      </w:pPr>
    </w:p>
    <w:p w14:paraId="372B0A1C">
      <w:pPr>
        <w:wordWrap w:val="0"/>
        <w:spacing w:before="38"/>
        <w:ind w:right="909"/>
        <w:jc w:val="center"/>
        <w:rPr>
          <w:rFonts w:hint="eastAsia" w:ascii="宋体" w:hAnsi="宋体" w:eastAsia="宋体" w:cs="宋体"/>
          <w:sz w:val="24"/>
          <w:szCs w:val="24"/>
        </w:rPr>
      </w:pPr>
    </w:p>
    <w:p w14:paraId="3F9B1C13">
      <w:pPr>
        <w:wordWrap w:val="0"/>
        <w:spacing w:before="38"/>
        <w:ind w:right="909"/>
        <w:jc w:val="center"/>
        <w:rPr>
          <w:rFonts w:hint="eastAsia" w:ascii="宋体" w:hAnsi="宋体" w:eastAsia="宋体" w:cs="宋体"/>
          <w:sz w:val="24"/>
          <w:szCs w:val="24"/>
        </w:rPr>
      </w:pPr>
    </w:p>
    <w:p w14:paraId="518072B4">
      <w:pPr>
        <w:wordWrap w:val="0"/>
        <w:spacing w:before="38"/>
        <w:ind w:right="909"/>
        <w:jc w:val="center"/>
        <w:rPr>
          <w:rFonts w:hint="eastAsia" w:ascii="宋体" w:hAnsi="宋体" w:eastAsia="宋体" w:cs="宋体"/>
          <w:sz w:val="24"/>
          <w:szCs w:val="24"/>
        </w:rPr>
      </w:pPr>
    </w:p>
    <w:p w14:paraId="709BAB2D">
      <w:pPr>
        <w:wordWrap w:val="0"/>
        <w:spacing w:before="38"/>
        <w:ind w:right="909"/>
        <w:jc w:val="center"/>
        <w:rPr>
          <w:rFonts w:hint="eastAsia" w:ascii="宋体" w:hAnsi="宋体" w:eastAsia="宋体" w:cs="宋体"/>
          <w:sz w:val="24"/>
          <w:szCs w:val="24"/>
        </w:rPr>
      </w:pPr>
    </w:p>
    <w:p w14:paraId="7C08C3F0">
      <w:pPr>
        <w:wordWrap w:val="0"/>
        <w:spacing w:before="38"/>
        <w:ind w:right="909"/>
        <w:jc w:val="center"/>
        <w:rPr>
          <w:rFonts w:hint="eastAsia" w:ascii="宋体" w:hAnsi="宋体" w:eastAsia="宋体" w:cs="宋体"/>
          <w:sz w:val="24"/>
          <w:szCs w:val="24"/>
        </w:rPr>
      </w:pPr>
    </w:p>
    <w:p w14:paraId="03920435">
      <w:pPr>
        <w:wordWrap w:val="0"/>
        <w:spacing w:before="38"/>
        <w:ind w:right="909"/>
        <w:jc w:val="center"/>
        <w:rPr>
          <w:rFonts w:hint="eastAsia" w:ascii="宋体" w:hAnsi="宋体" w:eastAsia="宋体" w:cs="宋体"/>
          <w:sz w:val="24"/>
          <w:szCs w:val="24"/>
        </w:rPr>
      </w:pPr>
    </w:p>
    <w:p w14:paraId="0E67081E">
      <w:pPr>
        <w:wordWrap w:val="0"/>
        <w:spacing w:before="38"/>
        <w:ind w:right="909"/>
        <w:jc w:val="center"/>
        <w:rPr>
          <w:rFonts w:hint="eastAsia" w:ascii="宋体" w:hAnsi="宋体" w:eastAsia="宋体" w:cs="宋体"/>
          <w:sz w:val="24"/>
          <w:szCs w:val="24"/>
        </w:rPr>
      </w:pPr>
    </w:p>
    <w:p w14:paraId="5DBC9D71">
      <w:pPr>
        <w:wordWrap w:val="0"/>
        <w:spacing w:before="38"/>
        <w:ind w:right="909"/>
        <w:jc w:val="center"/>
        <w:rPr>
          <w:rFonts w:hint="eastAsia" w:ascii="宋体" w:hAnsi="宋体" w:eastAsia="宋体" w:cs="宋体"/>
          <w:sz w:val="24"/>
          <w:szCs w:val="24"/>
        </w:rPr>
      </w:pPr>
    </w:p>
    <w:p w14:paraId="706DE7A4">
      <w:pPr>
        <w:wordWrap w:val="0"/>
        <w:spacing w:before="38"/>
        <w:ind w:right="909"/>
        <w:jc w:val="center"/>
        <w:rPr>
          <w:rFonts w:hint="eastAsia" w:ascii="宋体" w:hAnsi="宋体" w:eastAsia="宋体" w:cs="宋体"/>
          <w:sz w:val="24"/>
          <w:szCs w:val="24"/>
        </w:rPr>
      </w:pPr>
    </w:p>
    <w:p w14:paraId="225510E4">
      <w:pPr>
        <w:wordWrap w:val="0"/>
        <w:topLinePunct/>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单位</w:t>
      </w:r>
      <w:r>
        <w:rPr>
          <w:rFonts w:hint="eastAsia" w:ascii="宋体" w:hAnsi="宋体" w:eastAsia="宋体" w:cs="宋体"/>
          <w:color w:val="auto"/>
          <w:kern w:val="2"/>
          <w:sz w:val="24"/>
          <w:szCs w:val="24"/>
          <w:lang w:eastAsia="zh-CN"/>
        </w:rPr>
        <w:t>电子签章</w:t>
      </w:r>
      <w:r>
        <w:rPr>
          <w:rFonts w:hint="eastAsia" w:ascii="宋体" w:hAnsi="宋体" w:eastAsia="宋体" w:cs="宋体"/>
          <w:sz w:val="24"/>
          <w:szCs w:val="24"/>
          <w:highlight w:val="none"/>
        </w:rPr>
        <w:t>）</w:t>
      </w:r>
    </w:p>
    <w:p w14:paraId="11462834">
      <w:pPr>
        <w:wordWrap w:val="0"/>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auto"/>
          <w:kern w:val="2"/>
          <w:sz w:val="24"/>
          <w:szCs w:val="24"/>
          <w:lang w:eastAsia="zh-CN"/>
        </w:rPr>
        <w:t>电子签章</w:t>
      </w:r>
      <w:r>
        <w:rPr>
          <w:rFonts w:hint="eastAsia" w:ascii="宋体" w:hAnsi="宋体" w:eastAsia="宋体" w:cs="宋体"/>
          <w:sz w:val="24"/>
          <w:szCs w:val="24"/>
          <w:highlight w:val="none"/>
        </w:rPr>
        <w:t>）</w:t>
      </w:r>
    </w:p>
    <w:p w14:paraId="47225C5F">
      <w:pPr>
        <w:tabs>
          <w:tab w:val="left" w:pos="5380"/>
          <w:tab w:val="left" w:pos="6520"/>
          <w:tab w:val="left" w:pos="7680"/>
        </w:tabs>
        <w:wordWrap w:val="0"/>
        <w:topLinePunct/>
        <w:autoSpaceDE w:val="0"/>
        <w:autoSpaceDN w:val="0"/>
        <w:adjustRightInd w:val="0"/>
        <w:spacing w:line="360" w:lineRule="auto"/>
        <w:ind w:right="-20" w:firstLine="1200" w:firstLineChars="500"/>
        <w:jc w:val="center"/>
        <w:rPr>
          <w:rFonts w:hint="eastAsia" w:ascii="宋体" w:hAnsi="宋体" w:eastAsia="宋体" w:cs="宋体"/>
          <w:b/>
          <w:sz w:val="24"/>
          <w:szCs w:val="24"/>
          <w:highlight w:val="none"/>
          <w:lang w:val="zh-CN"/>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rPr>
        <w:t xml:space="preserve">    </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7B3D90CA">
      <w:pPr>
        <w:wordWrap w:val="0"/>
        <w:spacing w:before="38"/>
        <w:ind w:right="909"/>
        <w:jc w:val="both"/>
        <w:rPr>
          <w:rFonts w:hint="eastAsia" w:ascii="宋体" w:hAnsi="宋体" w:eastAsia="宋体" w:cs="宋体"/>
          <w:sz w:val="24"/>
          <w:szCs w:val="24"/>
        </w:rPr>
      </w:pPr>
    </w:p>
    <w:p w14:paraId="42EB4B61">
      <w:pPr>
        <w:spacing w:line="360" w:lineRule="auto"/>
        <w:ind w:firstLine="360" w:firstLineChars="150"/>
        <w:rPr>
          <w:rFonts w:hint="eastAsia" w:ascii="宋体" w:hAnsi="宋体"/>
          <w:sz w:val="24"/>
          <w:szCs w:val="24"/>
        </w:rPr>
      </w:pPr>
    </w:p>
    <w:p w14:paraId="395C9DB7">
      <w:pPr>
        <w:wordWrap w:val="0"/>
        <w:topLinePunct/>
        <w:spacing w:line="360" w:lineRule="auto"/>
        <w:jc w:val="center"/>
        <w:rPr>
          <w:rFonts w:hint="eastAsia" w:ascii="宋体" w:hAnsi="宋体" w:eastAsia="宋体" w:cs="Times New Roman"/>
          <w:b/>
          <w:sz w:val="28"/>
          <w:szCs w:val="28"/>
          <w:highlight w:val="none"/>
          <w:lang w:val="zh-CN"/>
        </w:rPr>
        <w:sectPr>
          <w:pgSz w:w="11907" w:h="16840"/>
          <w:pgMar w:top="1400" w:right="1418" w:bottom="1089" w:left="1418" w:header="624" w:footer="748" w:gutter="0"/>
          <w:pgNumType w:fmt="decimal"/>
          <w:cols w:space="720" w:num="1"/>
          <w:docGrid w:type="linesAndChars" w:linePitch="312" w:charSpace="0"/>
        </w:sectPr>
      </w:pPr>
      <w:r>
        <w:rPr>
          <w:rFonts w:hint="eastAsia" w:ascii="宋体" w:hAnsi="宋体"/>
          <w:sz w:val="24"/>
          <w:szCs w:val="24"/>
        </w:rPr>
        <w:t>注：投标人应按本表“列”的内容要求逐项认真填报，产品产地的填报应至少精确到市级行政区域，因填报不完整而引起的投标风险,由投标人承担。可根据需要自行增减表格行数。</w:t>
      </w:r>
    </w:p>
    <w:p w14:paraId="0E710040">
      <w:pPr>
        <w:wordWrap w:val="0"/>
        <w:topLinePunct/>
        <w:spacing w:line="360" w:lineRule="auto"/>
        <w:jc w:val="center"/>
        <w:rPr>
          <w:rFonts w:hint="eastAsia"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t>二、法定代表人身份证明及授权委托书</w:t>
      </w:r>
    </w:p>
    <w:p w14:paraId="57D9C4BE">
      <w:pPr>
        <w:wordWrap w:val="0"/>
        <w:topLinePunct/>
        <w:spacing w:line="360" w:lineRule="auto"/>
        <w:jc w:val="center"/>
        <w:rPr>
          <w:rFonts w:hint="eastAsia" w:ascii="宋体" w:hAnsi="宋体" w:eastAsia="宋体" w:cs="Times New Roman"/>
          <w:b w:val="0"/>
          <w:bCs/>
          <w:sz w:val="28"/>
          <w:szCs w:val="28"/>
          <w:highlight w:val="none"/>
          <w:lang w:val="zh-CN"/>
        </w:rPr>
      </w:pPr>
      <w:r>
        <w:rPr>
          <w:rFonts w:hint="eastAsia" w:ascii="宋体" w:hAnsi="宋体" w:eastAsia="宋体" w:cs="Times New Roman"/>
          <w:b w:val="0"/>
          <w:bCs/>
          <w:sz w:val="28"/>
          <w:szCs w:val="28"/>
          <w:highlight w:val="none"/>
          <w:lang w:val="zh-CN"/>
        </w:rPr>
        <w:t>（一）法定代表人身份证明</w:t>
      </w:r>
    </w:p>
    <w:p w14:paraId="59722BE4">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响 应 人：</w:t>
      </w:r>
      <w:r>
        <w:rPr>
          <w:rFonts w:hint="eastAsia" w:ascii="宋体" w:hAnsi="宋体" w:eastAsia="宋体" w:cs="宋体"/>
          <w:sz w:val="24"/>
          <w:szCs w:val="24"/>
          <w:highlight w:val="none"/>
          <w:u w:val="single"/>
        </w:rPr>
        <w:t xml:space="preserve">                                                   </w:t>
      </w:r>
    </w:p>
    <w:p w14:paraId="1EC29020">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53203F82">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1405FF2D">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0A51736">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rPr>
        <w:t xml:space="preserve">                                                   </w:t>
      </w:r>
    </w:p>
    <w:p w14:paraId="51FBE2FA">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    别：</w:t>
      </w:r>
      <w:r>
        <w:rPr>
          <w:rFonts w:hint="eastAsia" w:ascii="宋体" w:hAnsi="宋体" w:eastAsia="宋体" w:cs="宋体"/>
          <w:sz w:val="24"/>
          <w:szCs w:val="24"/>
          <w:highlight w:val="none"/>
          <w:u w:val="single"/>
        </w:rPr>
        <w:t xml:space="preserve">                 </w:t>
      </w:r>
    </w:p>
    <w:p w14:paraId="6F274022">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年    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xml:space="preserve">                 </w:t>
      </w:r>
    </w:p>
    <w:p w14:paraId="41764516">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w:t>
      </w:r>
    </w:p>
    <w:p w14:paraId="063BAAB7">
      <w:pPr>
        <w:wordWrap w:val="0"/>
        <w:topLinePunct/>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特此证明。</w:t>
      </w:r>
    </w:p>
    <w:p w14:paraId="567AFA6E">
      <w:pPr>
        <w:wordWrap w:val="0"/>
        <w:topLinePunct/>
        <w:spacing w:after="120"/>
        <w:ind w:left="420" w:left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w:t>
      </w:r>
      <w:r>
        <w:rPr>
          <w:rFonts w:hint="eastAsia" w:ascii="宋体" w:hAnsi="宋体" w:eastAsia="宋体" w:cs="Times New Roman"/>
          <w:sz w:val="24"/>
          <w:szCs w:val="24"/>
          <w:highlight w:val="none"/>
        </w:rPr>
        <w:t>复印件（或扫描件）</w:t>
      </w:r>
    </w:p>
    <w:p w14:paraId="08368DF5">
      <w:pPr>
        <w:wordWrap w:val="0"/>
        <w:topLinePunct/>
        <w:spacing w:after="120"/>
        <w:ind w:left="420" w:leftChars="200" w:firstLine="480" w:firstLineChars="200"/>
        <w:rPr>
          <w:rFonts w:ascii="宋体" w:hAnsi="宋体" w:eastAsia="宋体" w:cs="宋体"/>
          <w:sz w:val="24"/>
          <w:szCs w:val="24"/>
          <w:highlight w:val="none"/>
        </w:rPr>
      </w:pPr>
    </w:p>
    <w:p w14:paraId="25807EED">
      <w:pPr>
        <w:wordWrap w:val="0"/>
        <w:topLinePunct/>
        <w:spacing w:line="360" w:lineRule="auto"/>
        <w:jc w:val="right"/>
        <w:rPr>
          <w:rFonts w:ascii="宋体" w:hAnsi="宋体" w:eastAsia="宋体" w:cs="宋体"/>
          <w:sz w:val="28"/>
          <w:szCs w:val="28"/>
          <w:highlight w:val="none"/>
        </w:rPr>
      </w:pPr>
    </w:p>
    <w:p w14:paraId="6FFE3026">
      <w:pPr>
        <w:wordWrap w:val="0"/>
        <w:topLinePunct/>
        <w:spacing w:line="360" w:lineRule="auto"/>
        <w:jc w:val="right"/>
        <w:rPr>
          <w:rFonts w:ascii="宋体" w:hAnsi="宋体" w:eastAsia="宋体" w:cs="宋体"/>
          <w:sz w:val="28"/>
          <w:szCs w:val="28"/>
          <w:highlight w:val="none"/>
        </w:rPr>
      </w:pPr>
    </w:p>
    <w:p w14:paraId="1C706E61">
      <w:pPr>
        <w:wordWrap w:val="0"/>
        <w:topLinePunct/>
        <w:spacing w:line="360" w:lineRule="auto"/>
        <w:jc w:val="right"/>
        <w:rPr>
          <w:rFonts w:ascii="宋体" w:hAnsi="宋体" w:eastAsia="宋体" w:cs="宋体"/>
          <w:sz w:val="28"/>
          <w:szCs w:val="28"/>
          <w:highlight w:val="none"/>
        </w:rPr>
      </w:pPr>
    </w:p>
    <w:p w14:paraId="0229EB5C">
      <w:pPr>
        <w:wordWrap w:val="0"/>
        <w:topLinePunct/>
        <w:spacing w:line="360" w:lineRule="auto"/>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单位</w:t>
      </w:r>
      <w:r>
        <w:rPr>
          <w:rFonts w:hint="eastAsia"/>
          <w:color w:val="auto"/>
          <w:kern w:val="2"/>
          <w:sz w:val="24"/>
          <w:szCs w:val="24"/>
          <w:lang w:eastAsia="zh-CN"/>
        </w:rPr>
        <w:t>电子签章</w:t>
      </w:r>
      <w:r>
        <w:rPr>
          <w:rFonts w:hint="eastAsia" w:ascii="宋体" w:hAnsi="宋体" w:eastAsia="宋体" w:cs="宋体"/>
          <w:sz w:val="24"/>
          <w:szCs w:val="24"/>
          <w:highlight w:val="none"/>
        </w:rPr>
        <w:t>）</w:t>
      </w:r>
    </w:p>
    <w:p w14:paraId="17B189E9">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color w:val="auto"/>
          <w:kern w:val="2"/>
          <w:sz w:val="24"/>
          <w:szCs w:val="24"/>
          <w:lang w:eastAsia="zh-CN"/>
        </w:rPr>
        <w:t>电子签章</w:t>
      </w:r>
      <w:r>
        <w:rPr>
          <w:rFonts w:hint="eastAsia" w:ascii="宋体" w:hAnsi="宋体" w:eastAsia="宋体" w:cs="宋体"/>
          <w:sz w:val="24"/>
          <w:szCs w:val="24"/>
          <w:highlight w:val="none"/>
        </w:rPr>
        <w:t>）</w:t>
      </w:r>
    </w:p>
    <w:p w14:paraId="6886A131">
      <w:pPr>
        <w:tabs>
          <w:tab w:val="left" w:pos="5380"/>
          <w:tab w:val="left" w:pos="6520"/>
          <w:tab w:val="left" w:pos="7680"/>
        </w:tabs>
        <w:wordWrap w:val="0"/>
        <w:topLinePunct/>
        <w:autoSpaceDE w:val="0"/>
        <w:autoSpaceDN w:val="0"/>
        <w:adjustRightInd w:val="0"/>
        <w:spacing w:line="360" w:lineRule="auto"/>
        <w:ind w:right="-20" w:firstLine="1200" w:firstLineChars="5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rPr>
        <w:t xml:space="preserve">    </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0F56B13B">
      <w:pPr>
        <w:spacing w:line="360" w:lineRule="auto"/>
        <w:jc w:val="center"/>
        <w:rPr>
          <w:rFonts w:hint="eastAsia" w:ascii="宋体" w:hAnsi="宋体"/>
          <w:b/>
          <w:color w:val="000000"/>
          <w:spacing w:val="20"/>
          <w:sz w:val="28"/>
          <w:szCs w:val="28"/>
          <w:highlight w:val="none"/>
        </w:rPr>
      </w:pPr>
    </w:p>
    <w:p w14:paraId="7B4510A5">
      <w:pPr>
        <w:spacing w:line="360" w:lineRule="auto"/>
        <w:jc w:val="center"/>
        <w:rPr>
          <w:rFonts w:hint="eastAsia" w:ascii="宋体" w:hAnsi="宋体"/>
          <w:b/>
          <w:color w:val="000000"/>
          <w:spacing w:val="20"/>
          <w:sz w:val="28"/>
          <w:szCs w:val="28"/>
          <w:highlight w:val="none"/>
        </w:rPr>
      </w:pPr>
    </w:p>
    <w:p w14:paraId="6A54D3B9">
      <w:pPr>
        <w:spacing w:line="360" w:lineRule="auto"/>
        <w:jc w:val="center"/>
        <w:rPr>
          <w:rFonts w:hint="eastAsia" w:ascii="宋体" w:hAnsi="宋体"/>
          <w:b/>
          <w:color w:val="000000"/>
          <w:spacing w:val="20"/>
          <w:sz w:val="28"/>
          <w:szCs w:val="28"/>
          <w:highlight w:val="none"/>
        </w:rPr>
      </w:pPr>
    </w:p>
    <w:p w14:paraId="4A2A7D1A">
      <w:pPr>
        <w:spacing w:line="360" w:lineRule="auto"/>
        <w:ind w:firstLine="360" w:firstLineChars="150"/>
        <w:rPr>
          <w:rFonts w:hint="eastAsia" w:ascii="宋体" w:hAnsi="宋体"/>
          <w:sz w:val="24"/>
          <w:szCs w:val="24"/>
        </w:rPr>
      </w:pPr>
      <w:r>
        <w:rPr>
          <w:rFonts w:hint="eastAsia" w:ascii="宋体" w:hAnsi="宋体"/>
          <w:sz w:val="24"/>
          <w:szCs w:val="24"/>
        </w:rPr>
        <w:t>注：联合体投标的，联合体各成员单位均需提供。</w:t>
      </w:r>
    </w:p>
    <w:p w14:paraId="32EFF0B9">
      <w:pPr>
        <w:rPr>
          <w:rFonts w:hint="eastAsia" w:ascii="宋体" w:hAnsi="宋体"/>
          <w:b w:val="0"/>
          <w:bCs/>
          <w:color w:val="000000"/>
          <w:kern w:val="0"/>
          <w:sz w:val="32"/>
          <w:szCs w:val="24"/>
          <w:highlight w:val="none"/>
        </w:rPr>
      </w:pPr>
      <w:r>
        <w:rPr>
          <w:rFonts w:hint="eastAsia" w:ascii="宋体" w:hAnsi="宋体"/>
          <w:b w:val="0"/>
          <w:bCs/>
          <w:color w:val="000000"/>
          <w:kern w:val="0"/>
          <w:sz w:val="32"/>
          <w:szCs w:val="24"/>
          <w:highlight w:val="none"/>
        </w:rPr>
        <w:br w:type="page"/>
      </w:r>
    </w:p>
    <w:p w14:paraId="4A34A2B2">
      <w:pPr>
        <w:widowControl/>
        <w:jc w:val="center"/>
        <w:rPr>
          <w:rFonts w:ascii="宋体" w:hAnsi="宋体"/>
          <w:color w:val="000000"/>
          <w:kern w:val="0"/>
          <w:sz w:val="32"/>
          <w:szCs w:val="24"/>
          <w:highlight w:val="none"/>
        </w:rPr>
      </w:pPr>
      <w:r>
        <w:rPr>
          <w:rFonts w:hint="eastAsia" w:ascii="宋体" w:hAnsi="宋体"/>
          <w:color w:val="000000"/>
          <w:kern w:val="0"/>
          <w:sz w:val="32"/>
          <w:szCs w:val="24"/>
          <w:highlight w:val="none"/>
        </w:rPr>
        <w:t>（二）授权委托书</w:t>
      </w:r>
    </w:p>
    <w:p w14:paraId="4FCC7B54">
      <w:pPr>
        <w:widowControl/>
        <w:spacing w:after="160" w:line="440" w:lineRule="atLeast"/>
        <w:rPr>
          <w:rFonts w:ascii="宋体" w:hAnsi="宋体"/>
          <w:color w:val="000000"/>
          <w:kern w:val="0"/>
          <w:sz w:val="24"/>
          <w:szCs w:val="24"/>
          <w:highlight w:val="none"/>
        </w:rPr>
      </w:pPr>
      <w:r>
        <w:rPr>
          <w:rFonts w:hint="eastAsia" w:ascii="宋体" w:hAnsi="宋体"/>
          <w:b/>
          <w:bCs/>
          <w:color w:val="000000"/>
          <w:kern w:val="0"/>
          <w:sz w:val="24"/>
          <w:szCs w:val="24"/>
          <w:highlight w:val="none"/>
        </w:rPr>
        <w:t xml:space="preserve"> </w:t>
      </w:r>
    </w:p>
    <w:p w14:paraId="17709BD4">
      <w:pPr>
        <w:wordWrap w:val="0"/>
        <w:topLinePunct/>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（项目名称）投标文件、签订合同和处理有关事宜，其法律后果由我方承担。</w:t>
      </w:r>
    </w:p>
    <w:p w14:paraId="29334742">
      <w:pPr>
        <w:wordWrap w:val="0"/>
        <w:topLinePunct/>
        <w:spacing w:before="156" w:beforeLines="5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16A8961">
      <w:pPr>
        <w:wordWrap w:val="0"/>
        <w:topLinePunct/>
        <w:spacing w:before="312" w:beforeLines="100" w:after="312" w:afterLines="10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3F6552DB">
      <w:pPr>
        <w:wordWrap w:val="0"/>
        <w:topLinePunct/>
        <w:spacing w:after="312" w:afterLines="10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r>
        <w:rPr>
          <w:rFonts w:hint="eastAsia" w:ascii="宋体" w:hAnsi="宋体" w:eastAsia="宋体" w:cs="Times New Roman"/>
          <w:sz w:val="24"/>
          <w:szCs w:val="24"/>
          <w:highlight w:val="none"/>
        </w:rPr>
        <w:t>（或扫描件）</w:t>
      </w:r>
    </w:p>
    <w:p w14:paraId="65160AE1">
      <w:pPr>
        <w:wordWrap w:val="0"/>
        <w:topLinePunct/>
        <w:spacing w:line="360" w:lineRule="auto"/>
        <w:rPr>
          <w:rFonts w:ascii="宋体" w:hAnsi="宋体" w:eastAsia="宋体" w:cs="宋体"/>
          <w:sz w:val="24"/>
          <w:szCs w:val="24"/>
          <w:highlight w:val="none"/>
        </w:rPr>
      </w:pPr>
    </w:p>
    <w:p w14:paraId="64AF2047">
      <w:pPr>
        <w:wordWrap w:val="0"/>
        <w:topLinePunct/>
        <w:spacing w:line="360" w:lineRule="auto"/>
        <w:rPr>
          <w:rFonts w:ascii="宋体" w:hAnsi="宋体" w:eastAsia="宋体" w:cs="宋体"/>
          <w:sz w:val="24"/>
          <w:szCs w:val="24"/>
          <w:highlight w:val="none"/>
        </w:rPr>
      </w:pPr>
    </w:p>
    <w:p w14:paraId="15A5961E">
      <w:pPr>
        <w:wordWrap w:val="0"/>
        <w:topLinePunct/>
        <w:spacing w:line="360" w:lineRule="auto"/>
        <w:jc w:val="righ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单位</w:t>
      </w:r>
      <w:r>
        <w:rPr>
          <w:rFonts w:hint="eastAsia"/>
          <w:color w:val="auto"/>
          <w:kern w:val="2"/>
          <w:sz w:val="24"/>
          <w:szCs w:val="24"/>
          <w:lang w:eastAsia="zh-CN"/>
        </w:rPr>
        <w:t>电子签章</w:t>
      </w:r>
      <w:r>
        <w:rPr>
          <w:rFonts w:hint="eastAsia" w:ascii="宋体" w:hAnsi="宋体" w:eastAsia="宋体" w:cs="宋体"/>
          <w:sz w:val="24"/>
          <w:szCs w:val="24"/>
          <w:highlight w:val="none"/>
        </w:rPr>
        <w:t>）</w:t>
      </w:r>
    </w:p>
    <w:p w14:paraId="37466A09">
      <w:pPr>
        <w:wordWrap w:val="0"/>
        <w:topLinePunct/>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color w:val="auto"/>
          <w:kern w:val="2"/>
          <w:sz w:val="24"/>
          <w:szCs w:val="24"/>
          <w:lang w:eastAsia="zh-CN"/>
        </w:rPr>
        <w:t>电子签章</w:t>
      </w:r>
      <w:r>
        <w:rPr>
          <w:rFonts w:hint="eastAsia" w:ascii="宋体" w:hAnsi="宋体" w:eastAsia="宋体" w:cs="宋体"/>
          <w:sz w:val="24"/>
          <w:szCs w:val="24"/>
          <w:highlight w:val="none"/>
        </w:rPr>
        <w:t>）</w:t>
      </w:r>
    </w:p>
    <w:p w14:paraId="76187B8F">
      <w:pPr>
        <w:tabs>
          <w:tab w:val="left" w:pos="5380"/>
          <w:tab w:val="left" w:pos="6520"/>
          <w:tab w:val="left" w:pos="7680"/>
        </w:tabs>
        <w:wordWrap w:val="0"/>
        <w:topLinePunct/>
        <w:autoSpaceDE w:val="0"/>
        <w:autoSpaceDN w:val="0"/>
        <w:adjustRightInd w:val="0"/>
        <w:spacing w:line="360" w:lineRule="auto"/>
        <w:ind w:right="-20" w:firstLine="1200" w:firstLineChars="500"/>
        <w:jc w:val="center"/>
        <w:rPr>
          <w:rFonts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rPr>
        <w:t xml:space="preserve">    </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5B786EDB">
      <w:pPr>
        <w:spacing w:line="600" w:lineRule="exact"/>
        <w:ind w:firstLine="5520" w:firstLineChars="2300"/>
        <w:rPr>
          <w:rFonts w:ascii="宋体" w:hAnsi="宋体"/>
          <w:color w:val="000000"/>
          <w:sz w:val="24"/>
          <w:szCs w:val="24"/>
          <w:highlight w:val="none"/>
        </w:rPr>
      </w:pPr>
    </w:p>
    <w:p w14:paraId="4E1B637D">
      <w:pPr>
        <w:pStyle w:val="9"/>
      </w:pPr>
    </w:p>
    <w:p w14:paraId="304D280B">
      <w:pPr>
        <w:wordWrap w:val="0"/>
        <w:topLinePunct/>
        <w:spacing w:line="360" w:lineRule="auto"/>
        <w:rPr>
          <w:rFonts w:ascii="宋体" w:hAnsi="宋体" w:eastAsia="宋体" w:cs="宋体"/>
          <w:sz w:val="24"/>
          <w:szCs w:val="24"/>
          <w:highlight w:val="none"/>
        </w:rPr>
      </w:pPr>
    </w:p>
    <w:p w14:paraId="0A9A6A69">
      <w:pPr>
        <w:pStyle w:val="4"/>
        <w:spacing w:line="600" w:lineRule="exact"/>
        <w:jc w:val="center"/>
        <w:rPr>
          <w:rFonts w:hint="eastAsia" w:ascii="宋体" w:hAnsi="宋体" w:eastAsia="宋体" w:cs="宋体-PUA"/>
          <w:sz w:val="24"/>
          <w:szCs w:val="24"/>
        </w:rPr>
      </w:pPr>
      <w:r>
        <w:rPr>
          <w:rFonts w:hint="eastAsia" w:ascii="宋体" w:hAnsi="宋体" w:eastAsia="宋体" w:cs="宋体"/>
          <w:b w:val="0"/>
          <w:bCs w:val="0"/>
          <w:sz w:val="24"/>
          <w:szCs w:val="21"/>
          <w:highlight w:val="none"/>
        </w:rPr>
        <w:t>注:</w:t>
      </w:r>
      <w:r>
        <w:rPr>
          <w:rFonts w:hint="eastAsia" w:ascii="宋体" w:hAnsi="宋体" w:eastAsiaTheme="minorEastAsia" w:cstheme="minorBidi"/>
          <w:b w:val="0"/>
          <w:kern w:val="2"/>
          <w:sz w:val="24"/>
          <w:szCs w:val="24"/>
          <w:lang w:val="en-US" w:eastAsia="zh-CN" w:bidi="ar-SA"/>
        </w:rPr>
        <w:t>联合体投标的，此处应为联合体牵头人授权的“授权委托书”，与联合体成员的集体授权具有同等法律效力，联合体成员单位无需再单独进行授权。</w:t>
      </w:r>
      <w:r>
        <w:rPr>
          <w:rFonts w:ascii="宋体" w:hAnsi="宋体" w:eastAsia="宋体" w:cs="宋体"/>
          <w:b w:val="0"/>
          <w:bCs w:val="0"/>
          <w:sz w:val="24"/>
          <w:szCs w:val="21"/>
          <w:highlight w:val="none"/>
        </w:rPr>
        <w:br w:type="page"/>
      </w:r>
      <w:bookmarkStart w:id="501" w:name="_Toc5189"/>
      <w:bookmarkStart w:id="502" w:name="_Toc68710945"/>
      <w:bookmarkStart w:id="503" w:name="_Toc19716"/>
      <w:bookmarkStart w:id="504" w:name="_Toc101344078"/>
      <w:bookmarkStart w:id="505" w:name="_Toc25249224"/>
      <w:r>
        <w:rPr>
          <w:rFonts w:hint="eastAsia" w:ascii="宋体" w:hAnsi="宋体" w:eastAsia="宋体" w:cs="宋体-PUA"/>
          <w:sz w:val="28"/>
          <w:szCs w:val="28"/>
        </w:rPr>
        <w:t>三、磋商承诺函</w:t>
      </w:r>
      <w:bookmarkEnd w:id="501"/>
      <w:bookmarkEnd w:id="502"/>
      <w:bookmarkEnd w:id="503"/>
      <w:bookmarkEnd w:id="504"/>
      <w:bookmarkEnd w:id="505"/>
    </w:p>
    <w:p w14:paraId="2682CAB7">
      <w:pPr>
        <w:spacing w:line="480" w:lineRule="exact"/>
        <w:jc w:val="left"/>
        <w:rPr>
          <w:rFonts w:ascii="宋体" w:hAnsi="宋体"/>
          <w:bCs/>
          <w:sz w:val="24"/>
          <w:szCs w:val="24"/>
        </w:rPr>
      </w:pPr>
      <w:r>
        <w:rPr>
          <w:rFonts w:hint="eastAsia" w:ascii="宋体" w:hAnsi="宋体"/>
          <w:bCs/>
          <w:sz w:val="24"/>
          <w:szCs w:val="24"/>
        </w:rPr>
        <w:t>致：（采购人）</w:t>
      </w:r>
    </w:p>
    <w:p w14:paraId="0CC62401">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我方已充分了解了</w:t>
      </w:r>
      <w:r>
        <w:rPr>
          <w:rFonts w:hint="eastAsia" w:ascii="宋体" w:cs="宋体"/>
          <w:kern w:val="0"/>
          <w:sz w:val="24"/>
          <w:szCs w:val="24"/>
          <w:u w:val="single"/>
        </w:rPr>
        <w:tab/>
      </w:r>
      <w:r>
        <w:rPr>
          <w:rFonts w:hint="eastAsia" w:ascii="宋体" w:cs="宋体"/>
          <w:kern w:val="0"/>
          <w:sz w:val="24"/>
          <w:szCs w:val="24"/>
          <w:u w:val="single"/>
        </w:rPr>
        <w:tab/>
      </w:r>
      <w:r>
        <w:rPr>
          <w:rFonts w:hint="eastAsia" w:ascii="宋体" w:cs="宋体"/>
          <w:kern w:val="0"/>
          <w:sz w:val="24"/>
          <w:szCs w:val="24"/>
          <w:u w:val="single"/>
        </w:rPr>
        <w:t xml:space="preserve">    </w:t>
      </w:r>
      <w:r>
        <w:rPr>
          <w:rFonts w:hint="eastAsia" w:ascii="宋体" w:hAnsi="宋体" w:cs="宋体"/>
          <w:kern w:val="0"/>
          <w:sz w:val="24"/>
          <w:szCs w:val="24"/>
        </w:rPr>
        <w:t>（项目名称）的竞争性磋商文件，愿意遵照本项目《竞争性磋商文件》、《中华人民共和国政府采购法》等有关规定参与竞标，并承诺如下：</w:t>
      </w:r>
    </w:p>
    <w:p w14:paraId="3158296B">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2、我方承诺在投标有效期内不撤销响应性文件；</w:t>
      </w:r>
    </w:p>
    <w:p w14:paraId="34BBA9F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3、我方承诺在响应性文件及对三门峡市公共资源交易供应商主体信息库中提供的材料真实有效；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7、如我方中标，我方承诺在收到成交通知书后，在成交通知书规定的期限内，根据</w:t>
      </w:r>
      <w:r>
        <w:rPr>
          <w:rFonts w:hint="eastAsia" w:ascii="宋体" w:hAnsi="宋体" w:cs="宋体"/>
          <w:kern w:val="0"/>
          <w:sz w:val="24"/>
          <w:szCs w:val="24"/>
          <w:lang w:eastAsia="zh-CN"/>
        </w:rPr>
        <w:t>磋商</w:t>
      </w:r>
      <w:r>
        <w:rPr>
          <w:rFonts w:hint="eastAsia" w:ascii="宋体" w:hAnsi="宋体" w:cs="宋体"/>
          <w:kern w:val="0"/>
          <w:sz w:val="24"/>
          <w:szCs w:val="24"/>
        </w:rPr>
        <w:t>文件、我方的</w:t>
      </w:r>
      <w:r>
        <w:rPr>
          <w:rFonts w:hint="eastAsia" w:ascii="宋体" w:hAnsi="宋体" w:cs="宋体"/>
          <w:kern w:val="0"/>
          <w:sz w:val="24"/>
          <w:szCs w:val="24"/>
          <w:lang w:eastAsia="zh-CN"/>
        </w:rPr>
        <w:t>磋商</w:t>
      </w:r>
      <w:r>
        <w:rPr>
          <w:rFonts w:hint="eastAsia" w:ascii="宋体" w:hAnsi="宋体" w:cs="宋体"/>
          <w:kern w:val="0"/>
          <w:sz w:val="24"/>
          <w:szCs w:val="24"/>
        </w:rPr>
        <w:t>响应文件及有关澄清承诺书的要求，与采购人订立书面合同，并按照合同约定承担完成合同的责任和义务；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ascii="宋体" w:hAnsi="宋体" w:cs="宋体"/>
          <w:kern w:val="0"/>
          <w:sz w:val="24"/>
          <w:szCs w:val="24"/>
        </w:rPr>
      </w:pPr>
      <w:r>
        <w:rPr>
          <w:rFonts w:hint="eastAsia" w:ascii="宋体" w:hAnsi="宋体" w:cs="宋体"/>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宋体" w:hAnsi="宋体"/>
          <w:bCs/>
          <w:sz w:val="24"/>
          <w:szCs w:val="24"/>
        </w:rPr>
      </w:pPr>
    </w:p>
    <w:p w14:paraId="2F46D637">
      <w:pPr>
        <w:spacing w:line="480" w:lineRule="exact"/>
        <w:ind w:firstLine="2612" w:firstLineChars="907"/>
        <w:rPr>
          <w:rFonts w:ascii="宋体"/>
          <w:spacing w:val="24"/>
          <w:sz w:val="24"/>
          <w:szCs w:val="24"/>
        </w:rPr>
      </w:pPr>
      <w:r>
        <w:rPr>
          <w:rFonts w:hint="eastAsia" w:ascii="宋体" w:hAnsi="宋体"/>
          <w:spacing w:val="24"/>
          <w:sz w:val="24"/>
          <w:szCs w:val="24"/>
        </w:rPr>
        <w:t>供应商：</w:t>
      </w:r>
      <w:r>
        <w:rPr>
          <w:rFonts w:hint="eastAsia" w:ascii="宋体" w:hAnsi="宋体"/>
          <w:spacing w:val="24"/>
          <w:sz w:val="24"/>
          <w:szCs w:val="24"/>
          <w:u w:val="single"/>
        </w:rPr>
        <w:t xml:space="preserve">     </w:t>
      </w:r>
      <w:r>
        <w:rPr>
          <w:rFonts w:hint="eastAsia" w:ascii="宋体" w:hAnsi="宋体"/>
          <w:spacing w:val="24"/>
          <w:sz w:val="24"/>
          <w:szCs w:val="24"/>
          <w:u w:val="single"/>
          <w:lang w:val="en-US" w:eastAsia="zh-CN"/>
        </w:rPr>
        <w:t xml:space="preserve">   </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单位电子签章</w:t>
      </w:r>
      <w:r>
        <w:rPr>
          <w:rFonts w:hint="eastAsia" w:ascii="宋体" w:hAnsi="宋体"/>
          <w:spacing w:val="24"/>
          <w:sz w:val="24"/>
          <w:szCs w:val="24"/>
        </w:rPr>
        <w:t>）</w:t>
      </w:r>
    </w:p>
    <w:p w14:paraId="373A5149">
      <w:pPr>
        <w:spacing w:line="480" w:lineRule="exact"/>
        <w:ind w:firstLine="2612" w:firstLineChars="907"/>
        <w:rPr>
          <w:rFonts w:ascii="宋体"/>
          <w:spacing w:val="24"/>
          <w:sz w:val="24"/>
          <w:szCs w:val="24"/>
        </w:rPr>
      </w:pPr>
      <w:r>
        <w:rPr>
          <w:rFonts w:hint="eastAsia" w:ascii="宋体" w:hAnsi="宋体"/>
          <w:spacing w:val="24"/>
          <w:sz w:val="24"/>
          <w:szCs w:val="24"/>
        </w:rPr>
        <w:t>法定代表人：</w:t>
      </w:r>
      <w:r>
        <w:rPr>
          <w:rFonts w:hint="eastAsia" w:ascii="宋体" w:hAnsi="宋体"/>
          <w:spacing w:val="24"/>
          <w:sz w:val="24"/>
          <w:szCs w:val="24"/>
          <w:u w:val="single"/>
        </w:rPr>
        <w:t xml:space="preserve">         </w:t>
      </w:r>
      <w:r>
        <w:rPr>
          <w:rFonts w:hint="eastAsia" w:ascii="宋体" w:hAnsi="宋体"/>
          <w:spacing w:val="24"/>
          <w:sz w:val="24"/>
          <w:szCs w:val="24"/>
        </w:rPr>
        <w:t>（</w:t>
      </w:r>
      <w:r>
        <w:rPr>
          <w:rFonts w:hint="eastAsia" w:ascii="宋体" w:hAnsi="宋体" w:cs="宋体"/>
          <w:color w:val="000000"/>
          <w:sz w:val="24"/>
          <w:szCs w:val="24"/>
          <w:lang w:val="zh-CN" w:bidi="zh-CN"/>
        </w:rPr>
        <w:t>法人电子签章</w:t>
      </w:r>
      <w:r>
        <w:rPr>
          <w:rFonts w:hint="eastAsia" w:ascii="宋体" w:hAnsi="宋体"/>
          <w:spacing w:val="24"/>
          <w:sz w:val="24"/>
          <w:szCs w:val="24"/>
        </w:rPr>
        <w:t>）</w:t>
      </w:r>
    </w:p>
    <w:p w14:paraId="2E1194E6">
      <w:pPr>
        <w:keepNext/>
        <w:keepLines/>
        <w:numPr>
          <w:ilvl w:val="0"/>
          <w:numId w:val="0"/>
        </w:numPr>
        <w:tabs>
          <w:tab w:val="left" w:pos="840"/>
        </w:tabs>
        <w:wordWrap w:val="0"/>
        <w:topLinePunct/>
        <w:spacing w:line="360" w:lineRule="auto"/>
        <w:ind w:leftChars="0"/>
        <w:jc w:val="center"/>
        <w:outlineLvl w:val="1"/>
        <w:rPr>
          <w:rFonts w:ascii="宋体" w:hAnsi="宋体" w:eastAsia="宋体" w:cs="宋体"/>
          <w:bCs/>
          <w:sz w:val="28"/>
          <w:szCs w:val="28"/>
          <w:highlight w:val="none"/>
        </w:rPr>
      </w:pPr>
      <w:r>
        <w:rPr>
          <w:rFonts w:hint="eastAsia" w:ascii="宋体" w:hAnsi="宋体"/>
          <w:spacing w:val="24"/>
          <w:sz w:val="24"/>
          <w:szCs w:val="24"/>
          <w:lang w:val="en-US" w:eastAsia="zh-CN"/>
        </w:rPr>
        <w:t xml:space="preserve">  </w:t>
      </w:r>
      <w:r>
        <w:rPr>
          <w:rFonts w:hint="eastAsia" w:ascii="宋体" w:hAnsi="宋体"/>
          <w:spacing w:val="24"/>
          <w:sz w:val="24"/>
          <w:szCs w:val="24"/>
        </w:rPr>
        <w:t>日    期：</w:t>
      </w:r>
      <w:r>
        <w:rPr>
          <w:rFonts w:hint="eastAsia" w:ascii="宋体" w:hAnsi="宋体"/>
          <w:spacing w:val="24"/>
          <w:sz w:val="24"/>
          <w:szCs w:val="24"/>
          <w:u w:val="single"/>
        </w:rPr>
        <w:t xml:space="preserve">    </w:t>
      </w:r>
      <w:r>
        <w:rPr>
          <w:rFonts w:hint="eastAsia" w:ascii="宋体" w:hAnsi="宋体"/>
          <w:spacing w:val="24"/>
          <w:sz w:val="24"/>
          <w:szCs w:val="24"/>
        </w:rPr>
        <w:t>年</w:t>
      </w:r>
      <w:r>
        <w:rPr>
          <w:rFonts w:hint="eastAsia" w:ascii="宋体" w:hAnsi="宋体"/>
          <w:spacing w:val="24"/>
          <w:sz w:val="24"/>
          <w:szCs w:val="24"/>
          <w:u w:val="single"/>
        </w:rPr>
        <w:t xml:space="preserve">   </w:t>
      </w:r>
      <w:r>
        <w:rPr>
          <w:rFonts w:hint="eastAsia" w:ascii="宋体" w:hAnsi="宋体"/>
          <w:spacing w:val="24"/>
          <w:sz w:val="24"/>
          <w:szCs w:val="24"/>
        </w:rPr>
        <w:t>月</w:t>
      </w:r>
      <w:r>
        <w:rPr>
          <w:rFonts w:hint="eastAsia" w:ascii="宋体" w:hAnsi="宋体"/>
          <w:spacing w:val="24"/>
          <w:sz w:val="24"/>
          <w:szCs w:val="24"/>
          <w:u w:val="single"/>
        </w:rPr>
        <w:t xml:space="preserve">   </w:t>
      </w:r>
      <w:r>
        <w:rPr>
          <w:rFonts w:hint="eastAsia" w:ascii="宋体" w:hAnsi="宋体"/>
          <w:spacing w:val="24"/>
          <w:sz w:val="24"/>
          <w:szCs w:val="24"/>
        </w:rPr>
        <w:t>日</w:t>
      </w:r>
    </w:p>
    <w:p w14:paraId="7C921E11">
      <w:pPr>
        <w:wordWrap w:val="0"/>
        <w:topLinePunct/>
        <w:spacing w:before="312" w:beforeLines="100" w:after="156" w:afterLines="50" w:line="360" w:lineRule="auto"/>
        <w:rPr>
          <w:rFonts w:ascii="宋体" w:hAnsi="宋体" w:eastAsia="宋体" w:cs="宋体"/>
          <w:szCs w:val="21"/>
          <w:highlight w:val="none"/>
        </w:rPr>
      </w:pPr>
    </w:p>
    <w:p w14:paraId="15D3F23C">
      <w:pPr>
        <w:wordWrap w:val="0"/>
        <w:topLinePunct/>
        <w:spacing w:before="312" w:beforeLines="100" w:after="156" w:afterLines="50" w:line="360" w:lineRule="auto"/>
        <w:rPr>
          <w:rFonts w:ascii="宋体" w:hAnsi="宋体" w:eastAsia="宋体" w:cs="宋体"/>
          <w:szCs w:val="21"/>
          <w:highlight w:val="none"/>
        </w:rPr>
      </w:pPr>
    </w:p>
    <w:p w14:paraId="19F6875D">
      <w:pPr>
        <w:wordWrap w:val="0"/>
        <w:topLinePunct/>
        <w:spacing w:before="312" w:beforeLines="100" w:after="156" w:afterLines="50" w:line="360" w:lineRule="auto"/>
        <w:rPr>
          <w:rFonts w:ascii="宋体" w:hAnsi="宋体" w:eastAsia="宋体" w:cs="宋体"/>
          <w:szCs w:val="21"/>
          <w:highlight w:val="none"/>
        </w:rPr>
      </w:pPr>
    </w:p>
    <w:p w14:paraId="30796604">
      <w:pPr>
        <w:wordWrap w:val="0"/>
        <w:topLinePunct/>
        <w:spacing w:before="312" w:beforeLines="100" w:after="156" w:afterLines="50" w:line="360" w:lineRule="auto"/>
        <w:rPr>
          <w:rFonts w:ascii="宋体" w:hAnsi="宋体" w:eastAsia="宋体" w:cs="宋体"/>
          <w:sz w:val="28"/>
          <w:szCs w:val="28"/>
          <w:highlight w:val="none"/>
        </w:rPr>
      </w:pPr>
    </w:p>
    <w:p w14:paraId="5DCE3F86">
      <w:pPr>
        <w:numPr>
          <w:ilvl w:val="0"/>
          <w:numId w:val="12"/>
        </w:numPr>
        <w:autoSpaceDE/>
        <w:autoSpaceDN/>
        <w:spacing w:line="360" w:lineRule="auto"/>
        <w:jc w:val="center"/>
        <w:rPr>
          <w:rFonts w:hint="eastAsia" w:ascii="宋体" w:hAnsi="宋体" w:eastAsia="宋体" w:cs="Times New Roman"/>
          <w:b/>
          <w:sz w:val="28"/>
          <w:szCs w:val="28"/>
          <w:highlight w:val="none"/>
          <w:lang w:val="zh-CN"/>
        </w:rPr>
      </w:pPr>
      <w:r>
        <w:rPr>
          <w:rFonts w:hint="eastAsia" w:ascii="宋体" w:hAnsi="宋体" w:eastAsia="宋体" w:cs="Times New Roman"/>
          <w:b/>
          <w:sz w:val="28"/>
          <w:szCs w:val="28"/>
          <w:highlight w:val="none"/>
          <w:lang w:val="zh-CN"/>
        </w:rPr>
        <w:t>供应商基本情况</w:t>
      </w:r>
    </w:p>
    <w:tbl>
      <w:tblPr>
        <w:tblStyle w:val="23"/>
        <w:tblpPr w:leftFromText="180" w:rightFromText="180" w:vertAnchor="text" w:horzAnchor="margin" w:tblpXSpec="center" w:tblpY="163"/>
        <w:tblOverlap w:val="never"/>
        <w:tblW w:w="9279" w:type="dxa"/>
        <w:tblInd w:w="0" w:type="dxa"/>
        <w:tblLayout w:type="fixed"/>
        <w:tblCellMar>
          <w:top w:w="0" w:type="dxa"/>
          <w:left w:w="108" w:type="dxa"/>
          <w:bottom w:w="0" w:type="dxa"/>
          <w:right w:w="108" w:type="dxa"/>
        </w:tblCellMar>
      </w:tblPr>
      <w:tblGrid>
        <w:gridCol w:w="1977"/>
        <w:gridCol w:w="1056"/>
        <w:gridCol w:w="1761"/>
        <w:gridCol w:w="1189"/>
        <w:gridCol w:w="1230"/>
        <w:gridCol w:w="2066"/>
      </w:tblGrid>
      <w:tr w14:paraId="711A892E">
        <w:tblPrEx>
          <w:tblCellMar>
            <w:top w:w="0" w:type="dxa"/>
            <w:left w:w="108" w:type="dxa"/>
            <w:bottom w:w="0" w:type="dxa"/>
            <w:right w:w="108" w:type="dxa"/>
          </w:tblCellMar>
        </w:tblPrEx>
        <w:trPr>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4C5135BB">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7302" w:type="dxa"/>
            <w:gridSpan w:val="5"/>
            <w:tcBorders>
              <w:top w:val="single" w:color="auto" w:sz="4" w:space="0"/>
              <w:left w:val="nil"/>
              <w:bottom w:val="single" w:color="auto" w:sz="4" w:space="0"/>
              <w:right w:val="single" w:color="auto" w:sz="4" w:space="0"/>
            </w:tcBorders>
            <w:vAlign w:val="center"/>
          </w:tcPr>
          <w:p w14:paraId="7E02D74E">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1A465A1D">
        <w:tblPrEx>
          <w:tblCellMar>
            <w:top w:w="0" w:type="dxa"/>
            <w:left w:w="108" w:type="dxa"/>
            <w:bottom w:w="0" w:type="dxa"/>
            <w:right w:w="108" w:type="dxa"/>
          </w:tblCellMar>
        </w:tblPrEx>
        <w:trPr>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44D72EAF">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4006" w:type="dxa"/>
            <w:gridSpan w:val="3"/>
            <w:tcBorders>
              <w:top w:val="single" w:color="auto" w:sz="4" w:space="0"/>
              <w:left w:val="nil"/>
              <w:bottom w:val="single" w:color="auto" w:sz="4" w:space="0"/>
              <w:right w:val="single" w:color="auto" w:sz="4" w:space="0"/>
            </w:tcBorders>
            <w:vAlign w:val="center"/>
          </w:tcPr>
          <w:p w14:paraId="0D3F7F51">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1230" w:type="dxa"/>
            <w:tcBorders>
              <w:top w:val="single" w:color="auto" w:sz="4" w:space="0"/>
              <w:left w:val="nil"/>
              <w:bottom w:val="single" w:color="auto" w:sz="4" w:space="0"/>
              <w:right w:val="single" w:color="auto" w:sz="4" w:space="0"/>
            </w:tcBorders>
            <w:vAlign w:val="center"/>
          </w:tcPr>
          <w:p w14:paraId="0989F254">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066" w:type="dxa"/>
            <w:tcBorders>
              <w:top w:val="single" w:color="auto" w:sz="4" w:space="0"/>
              <w:left w:val="nil"/>
              <w:bottom w:val="single" w:color="auto" w:sz="4" w:space="0"/>
              <w:right w:val="single" w:color="auto" w:sz="4" w:space="0"/>
            </w:tcBorders>
            <w:vAlign w:val="center"/>
          </w:tcPr>
          <w:p w14:paraId="58683FB4">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209B0C6F">
        <w:tblPrEx>
          <w:tblCellMar>
            <w:top w:w="0" w:type="dxa"/>
            <w:left w:w="108" w:type="dxa"/>
            <w:bottom w:w="0" w:type="dxa"/>
            <w:right w:w="108" w:type="dxa"/>
          </w:tblCellMar>
        </w:tblPrEx>
        <w:trPr>
          <w:cantSplit/>
          <w:trHeight w:val="741" w:hRule="atLeast"/>
        </w:trPr>
        <w:tc>
          <w:tcPr>
            <w:tcW w:w="1977" w:type="dxa"/>
            <w:vMerge w:val="restart"/>
            <w:tcBorders>
              <w:top w:val="nil"/>
              <w:left w:val="single" w:color="auto" w:sz="4" w:space="0"/>
              <w:bottom w:val="single" w:color="auto" w:sz="4" w:space="0"/>
              <w:right w:val="single" w:color="auto" w:sz="4" w:space="0"/>
            </w:tcBorders>
            <w:vAlign w:val="center"/>
          </w:tcPr>
          <w:p w14:paraId="20B2A915">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056" w:type="dxa"/>
            <w:tcBorders>
              <w:top w:val="single" w:color="auto" w:sz="4" w:space="0"/>
              <w:left w:val="nil"/>
              <w:bottom w:val="single" w:color="auto" w:sz="4" w:space="0"/>
              <w:right w:val="single" w:color="auto" w:sz="4" w:space="0"/>
            </w:tcBorders>
            <w:vAlign w:val="center"/>
          </w:tcPr>
          <w:p w14:paraId="10E19CFC">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2950" w:type="dxa"/>
            <w:gridSpan w:val="2"/>
            <w:tcBorders>
              <w:top w:val="single" w:color="auto" w:sz="4" w:space="0"/>
              <w:left w:val="nil"/>
              <w:bottom w:val="single" w:color="auto" w:sz="4" w:space="0"/>
              <w:right w:val="single" w:color="auto" w:sz="4" w:space="0"/>
            </w:tcBorders>
            <w:vAlign w:val="center"/>
          </w:tcPr>
          <w:p w14:paraId="063C0A8F">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1230" w:type="dxa"/>
            <w:tcBorders>
              <w:top w:val="single" w:color="auto" w:sz="4" w:space="0"/>
              <w:left w:val="nil"/>
              <w:bottom w:val="single" w:color="auto" w:sz="4" w:space="0"/>
              <w:right w:val="single" w:color="auto" w:sz="4" w:space="0"/>
            </w:tcBorders>
            <w:vAlign w:val="center"/>
          </w:tcPr>
          <w:p w14:paraId="22EE083E">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p>
        </w:tc>
        <w:tc>
          <w:tcPr>
            <w:tcW w:w="2066" w:type="dxa"/>
            <w:tcBorders>
              <w:top w:val="single" w:color="auto" w:sz="4" w:space="0"/>
              <w:left w:val="nil"/>
              <w:bottom w:val="single" w:color="auto" w:sz="4" w:space="0"/>
              <w:right w:val="single" w:color="auto" w:sz="4" w:space="0"/>
            </w:tcBorders>
            <w:vAlign w:val="center"/>
          </w:tcPr>
          <w:p w14:paraId="08E1A33A">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545D0642">
        <w:tblPrEx>
          <w:tblCellMar>
            <w:top w:w="0" w:type="dxa"/>
            <w:left w:w="108" w:type="dxa"/>
            <w:bottom w:w="0" w:type="dxa"/>
            <w:right w:w="108" w:type="dxa"/>
          </w:tblCellMar>
        </w:tblPrEx>
        <w:trPr>
          <w:cantSplit/>
          <w:trHeight w:val="741" w:hRule="atLeast"/>
        </w:trPr>
        <w:tc>
          <w:tcPr>
            <w:tcW w:w="1977" w:type="dxa"/>
            <w:vMerge w:val="continue"/>
            <w:tcBorders>
              <w:top w:val="nil"/>
              <w:left w:val="single" w:color="auto" w:sz="4" w:space="0"/>
              <w:bottom w:val="single" w:color="auto" w:sz="4" w:space="0"/>
              <w:right w:val="single" w:color="auto" w:sz="4" w:space="0"/>
            </w:tcBorders>
            <w:vAlign w:val="center"/>
          </w:tcPr>
          <w:p w14:paraId="15581C58">
            <w:pPr>
              <w:widowControl/>
              <w:spacing w:line="480" w:lineRule="exact"/>
              <w:rPr>
                <w:rFonts w:ascii="宋体" w:hAnsi="宋体" w:eastAsia="宋体" w:cs="宋体"/>
                <w:color w:val="000000" w:themeColor="text1"/>
                <w:sz w:val="24"/>
                <w:szCs w:val="24"/>
                <w:highlight w:val="none"/>
                <w14:textFill>
                  <w14:solidFill>
                    <w14:schemeClr w14:val="tx1"/>
                  </w14:solidFill>
                </w14:textFill>
              </w:rPr>
            </w:pPr>
          </w:p>
        </w:tc>
        <w:tc>
          <w:tcPr>
            <w:tcW w:w="1056" w:type="dxa"/>
            <w:tcBorders>
              <w:top w:val="single" w:color="auto" w:sz="4" w:space="0"/>
              <w:left w:val="nil"/>
              <w:bottom w:val="single" w:color="auto" w:sz="4" w:space="0"/>
              <w:right w:val="single" w:color="auto" w:sz="4" w:space="0"/>
            </w:tcBorders>
            <w:vAlign w:val="center"/>
          </w:tcPr>
          <w:p w14:paraId="6AC8F33B">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p>
        </w:tc>
        <w:tc>
          <w:tcPr>
            <w:tcW w:w="2950" w:type="dxa"/>
            <w:gridSpan w:val="2"/>
            <w:tcBorders>
              <w:top w:val="single" w:color="auto" w:sz="4" w:space="0"/>
              <w:left w:val="nil"/>
              <w:bottom w:val="single" w:color="auto" w:sz="4" w:space="0"/>
              <w:right w:val="single" w:color="auto" w:sz="4" w:space="0"/>
            </w:tcBorders>
            <w:vAlign w:val="center"/>
          </w:tcPr>
          <w:p w14:paraId="22844CDD">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1230" w:type="dxa"/>
            <w:tcBorders>
              <w:top w:val="single" w:color="auto" w:sz="4" w:space="0"/>
              <w:left w:val="nil"/>
              <w:bottom w:val="single" w:color="auto" w:sz="4" w:space="0"/>
              <w:right w:val="single" w:color="auto" w:sz="4" w:space="0"/>
            </w:tcBorders>
            <w:vAlign w:val="center"/>
          </w:tcPr>
          <w:p w14:paraId="4DCFF281">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 址</w:t>
            </w:r>
          </w:p>
        </w:tc>
        <w:tc>
          <w:tcPr>
            <w:tcW w:w="2066" w:type="dxa"/>
            <w:tcBorders>
              <w:top w:val="single" w:color="auto" w:sz="4" w:space="0"/>
              <w:left w:val="nil"/>
              <w:bottom w:val="single" w:color="auto" w:sz="4" w:space="0"/>
              <w:right w:val="single" w:color="auto" w:sz="4" w:space="0"/>
            </w:tcBorders>
            <w:vAlign w:val="center"/>
          </w:tcPr>
          <w:p w14:paraId="3A5752D4">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4B542212">
        <w:tblPrEx>
          <w:tblCellMar>
            <w:top w:w="0" w:type="dxa"/>
            <w:left w:w="108" w:type="dxa"/>
            <w:bottom w:w="0" w:type="dxa"/>
            <w:right w:w="108" w:type="dxa"/>
          </w:tblCellMar>
        </w:tblPrEx>
        <w:trPr>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1ECEEE06">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056" w:type="dxa"/>
            <w:tcBorders>
              <w:top w:val="single" w:color="auto" w:sz="4" w:space="0"/>
              <w:left w:val="nil"/>
              <w:bottom w:val="single" w:color="auto" w:sz="4" w:space="0"/>
              <w:right w:val="single" w:color="auto" w:sz="4" w:space="0"/>
            </w:tcBorders>
            <w:vAlign w:val="center"/>
          </w:tcPr>
          <w:p w14:paraId="78F76194">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761" w:type="dxa"/>
            <w:tcBorders>
              <w:top w:val="single" w:color="auto" w:sz="4" w:space="0"/>
              <w:left w:val="nil"/>
              <w:bottom w:val="single" w:color="auto" w:sz="4" w:space="0"/>
              <w:right w:val="single" w:color="auto" w:sz="4" w:space="0"/>
            </w:tcBorders>
            <w:vAlign w:val="center"/>
          </w:tcPr>
          <w:p w14:paraId="2B579D59">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1189" w:type="dxa"/>
            <w:tcBorders>
              <w:top w:val="single" w:color="auto" w:sz="4" w:space="0"/>
              <w:left w:val="nil"/>
              <w:bottom w:val="single" w:color="auto" w:sz="4" w:space="0"/>
              <w:right w:val="single" w:color="auto" w:sz="4" w:space="0"/>
            </w:tcBorders>
            <w:vAlign w:val="center"/>
          </w:tcPr>
          <w:p w14:paraId="16105967">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3296" w:type="dxa"/>
            <w:gridSpan w:val="2"/>
            <w:tcBorders>
              <w:top w:val="single" w:color="auto" w:sz="4" w:space="0"/>
              <w:left w:val="nil"/>
              <w:bottom w:val="single" w:color="auto" w:sz="4" w:space="0"/>
              <w:right w:val="single" w:color="auto" w:sz="4" w:space="0"/>
            </w:tcBorders>
            <w:vAlign w:val="center"/>
          </w:tcPr>
          <w:p w14:paraId="04D59E4D">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33D7E756">
        <w:tblPrEx>
          <w:tblCellMar>
            <w:top w:w="0" w:type="dxa"/>
            <w:left w:w="108" w:type="dxa"/>
            <w:bottom w:w="0" w:type="dxa"/>
            <w:right w:w="108" w:type="dxa"/>
          </w:tblCellMar>
        </w:tblPrEx>
        <w:trPr>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2A0D1D76">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2817" w:type="dxa"/>
            <w:gridSpan w:val="2"/>
            <w:tcBorders>
              <w:top w:val="single" w:color="auto" w:sz="4" w:space="0"/>
              <w:left w:val="nil"/>
              <w:bottom w:val="single" w:color="auto" w:sz="4" w:space="0"/>
              <w:right w:val="single" w:color="auto" w:sz="4" w:space="0"/>
            </w:tcBorders>
            <w:vAlign w:val="center"/>
          </w:tcPr>
          <w:p w14:paraId="1CD7B36A">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c>
          <w:tcPr>
            <w:tcW w:w="4485" w:type="dxa"/>
            <w:gridSpan w:val="3"/>
            <w:tcBorders>
              <w:top w:val="single" w:color="auto" w:sz="4" w:space="0"/>
              <w:left w:val="nil"/>
              <w:bottom w:val="single" w:color="auto" w:sz="4" w:space="0"/>
              <w:right w:val="single" w:color="auto" w:sz="4" w:space="0"/>
            </w:tcBorders>
            <w:vAlign w:val="center"/>
          </w:tcPr>
          <w:p w14:paraId="649BAF31">
            <w:pPr>
              <w:topLinePunct/>
              <w:spacing w:line="480" w:lineRule="exact"/>
              <w:ind w:firstLine="120" w:firstLineChars="50"/>
              <w:jc w:val="both"/>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员工总人数：</w:t>
            </w:r>
          </w:p>
        </w:tc>
      </w:tr>
      <w:tr w14:paraId="1908E6A8">
        <w:tblPrEx>
          <w:tblCellMar>
            <w:top w:w="0" w:type="dxa"/>
            <w:left w:w="108" w:type="dxa"/>
            <w:bottom w:w="0" w:type="dxa"/>
            <w:right w:w="108" w:type="dxa"/>
          </w:tblCellMar>
        </w:tblPrEx>
        <w:trPr>
          <w:cantSplit/>
          <w:trHeight w:val="1566" w:hRule="atLeast"/>
        </w:trPr>
        <w:tc>
          <w:tcPr>
            <w:tcW w:w="1977" w:type="dxa"/>
            <w:tcBorders>
              <w:top w:val="single" w:color="auto" w:sz="4" w:space="0"/>
              <w:left w:val="single" w:color="auto" w:sz="4" w:space="0"/>
              <w:bottom w:val="single" w:color="auto" w:sz="4" w:space="0"/>
              <w:right w:val="single" w:color="auto" w:sz="4" w:space="0"/>
            </w:tcBorders>
            <w:vAlign w:val="center"/>
          </w:tcPr>
          <w:p w14:paraId="5E9C021E">
            <w:pPr>
              <w:topLinePunct/>
              <w:spacing w:line="4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营业执照</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号</w:t>
            </w:r>
            <w:r>
              <w:rPr>
                <w:rFonts w:hint="eastAsia" w:ascii="宋体" w:hAnsi="宋体" w:eastAsia="宋体" w:cs="Times New Roman"/>
                <w:color w:val="000000" w:themeColor="text1"/>
                <w:sz w:val="24"/>
                <w:szCs w:val="24"/>
                <w:highlight w:val="none"/>
                <w14:textFill>
                  <w14:solidFill>
                    <w14:schemeClr w14:val="tx1"/>
                  </w14:solidFill>
                </w14:textFill>
              </w:rPr>
              <w:t>或事业单位法人证书</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号</w:t>
            </w:r>
          </w:p>
        </w:tc>
        <w:tc>
          <w:tcPr>
            <w:tcW w:w="7302" w:type="dxa"/>
            <w:gridSpan w:val="5"/>
            <w:tcBorders>
              <w:top w:val="single" w:color="auto" w:sz="4" w:space="0"/>
              <w:left w:val="nil"/>
              <w:bottom w:val="single" w:color="auto" w:sz="4" w:space="0"/>
              <w:right w:val="single" w:color="auto" w:sz="4" w:space="0"/>
            </w:tcBorders>
            <w:vAlign w:val="center"/>
          </w:tcPr>
          <w:p w14:paraId="790D5138">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498B000A">
        <w:tblPrEx>
          <w:tblCellMar>
            <w:top w:w="0" w:type="dxa"/>
            <w:left w:w="108" w:type="dxa"/>
            <w:bottom w:w="0" w:type="dxa"/>
            <w:right w:w="108" w:type="dxa"/>
          </w:tblCellMar>
        </w:tblPrEx>
        <w:trPr>
          <w:cantSplit/>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7C430561">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7302" w:type="dxa"/>
            <w:gridSpan w:val="5"/>
            <w:tcBorders>
              <w:top w:val="single" w:color="auto" w:sz="4" w:space="0"/>
              <w:left w:val="nil"/>
              <w:bottom w:val="single" w:color="auto" w:sz="4" w:space="0"/>
              <w:right w:val="single" w:color="auto" w:sz="4" w:space="0"/>
            </w:tcBorders>
            <w:vAlign w:val="center"/>
          </w:tcPr>
          <w:p w14:paraId="789303C4">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5A5A4BD4">
        <w:tblPrEx>
          <w:tblCellMar>
            <w:top w:w="0" w:type="dxa"/>
            <w:left w:w="108" w:type="dxa"/>
            <w:bottom w:w="0" w:type="dxa"/>
            <w:right w:w="108" w:type="dxa"/>
          </w:tblCellMar>
        </w:tblPrEx>
        <w:trPr>
          <w:cantSplit/>
          <w:trHeight w:val="741" w:hRule="atLeast"/>
        </w:trPr>
        <w:tc>
          <w:tcPr>
            <w:tcW w:w="1977" w:type="dxa"/>
            <w:tcBorders>
              <w:top w:val="single" w:color="auto" w:sz="4" w:space="0"/>
              <w:left w:val="single" w:color="auto" w:sz="4" w:space="0"/>
              <w:bottom w:val="single" w:color="auto" w:sz="4" w:space="0"/>
              <w:right w:val="single" w:color="auto" w:sz="4" w:space="0"/>
            </w:tcBorders>
            <w:vAlign w:val="center"/>
          </w:tcPr>
          <w:p w14:paraId="0D9DF4E0">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tc>
        <w:tc>
          <w:tcPr>
            <w:tcW w:w="7302" w:type="dxa"/>
            <w:gridSpan w:val="5"/>
            <w:tcBorders>
              <w:top w:val="single" w:color="auto" w:sz="4" w:space="0"/>
              <w:left w:val="nil"/>
              <w:bottom w:val="single" w:color="auto" w:sz="4" w:space="0"/>
              <w:right w:val="single" w:color="auto" w:sz="4" w:space="0"/>
            </w:tcBorders>
            <w:vAlign w:val="center"/>
          </w:tcPr>
          <w:p w14:paraId="08BF8FA1">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r w14:paraId="1D6B64AA">
        <w:tblPrEx>
          <w:tblCellMar>
            <w:top w:w="0" w:type="dxa"/>
            <w:left w:w="108" w:type="dxa"/>
            <w:bottom w:w="0" w:type="dxa"/>
            <w:right w:w="108" w:type="dxa"/>
          </w:tblCellMar>
        </w:tblPrEx>
        <w:trPr>
          <w:trHeight w:val="3482" w:hRule="atLeast"/>
        </w:trPr>
        <w:tc>
          <w:tcPr>
            <w:tcW w:w="1977" w:type="dxa"/>
            <w:tcBorders>
              <w:top w:val="single" w:color="auto" w:sz="4" w:space="0"/>
              <w:left w:val="single" w:color="auto" w:sz="4" w:space="0"/>
              <w:right w:val="single" w:color="auto" w:sz="4" w:space="0"/>
            </w:tcBorders>
            <w:vAlign w:val="center"/>
          </w:tcPr>
          <w:p w14:paraId="5A4EE60D">
            <w:pPr>
              <w:topLinePunct/>
              <w:spacing w:line="480" w:lineRule="exact"/>
              <w:ind w:firstLine="240" w:firstLineChars="1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7302" w:type="dxa"/>
            <w:gridSpan w:val="5"/>
            <w:tcBorders>
              <w:top w:val="single" w:color="auto" w:sz="4" w:space="0"/>
              <w:left w:val="nil"/>
              <w:right w:val="single" w:color="auto" w:sz="4" w:space="0"/>
            </w:tcBorders>
            <w:vAlign w:val="center"/>
          </w:tcPr>
          <w:p w14:paraId="363309FF">
            <w:pPr>
              <w:topLinePunct/>
              <w:spacing w:line="480" w:lineRule="exact"/>
              <w:rPr>
                <w:rFonts w:ascii="宋体" w:hAnsi="宋体" w:eastAsia="宋体" w:cs="宋体"/>
                <w:color w:val="000000" w:themeColor="text1"/>
                <w:sz w:val="24"/>
                <w:szCs w:val="24"/>
                <w:highlight w:val="none"/>
                <w14:textFill>
                  <w14:solidFill>
                    <w14:schemeClr w14:val="tx1"/>
                  </w14:solidFill>
                </w14:textFill>
              </w:rPr>
            </w:pPr>
          </w:p>
        </w:tc>
      </w:tr>
      <w:tr w14:paraId="74C7E802">
        <w:tblPrEx>
          <w:tblCellMar>
            <w:top w:w="0" w:type="dxa"/>
            <w:left w:w="108" w:type="dxa"/>
            <w:bottom w:w="0" w:type="dxa"/>
            <w:right w:w="108" w:type="dxa"/>
          </w:tblCellMar>
        </w:tblPrEx>
        <w:trPr>
          <w:trHeight w:val="766" w:hRule="atLeast"/>
        </w:trPr>
        <w:tc>
          <w:tcPr>
            <w:tcW w:w="1977" w:type="dxa"/>
            <w:tcBorders>
              <w:top w:val="single" w:color="auto" w:sz="4" w:space="0"/>
              <w:left w:val="single" w:color="auto" w:sz="4" w:space="0"/>
              <w:bottom w:val="single" w:color="auto" w:sz="4" w:space="0"/>
              <w:right w:val="single" w:color="auto" w:sz="4" w:space="0"/>
            </w:tcBorders>
            <w:vAlign w:val="center"/>
          </w:tcPr>
          <w:p w14:paraId="2463039B">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7302" w:type="dxa"/>
            <w:gridSpan w:val="5"/>
            <w:tcBorders>
              <w:top w:val="single" w:color="auto" w:sz="4" w:space="0"/>
              <w:left w:val="nil"/>
              <w:bottom w:val="single" w:color="auto" w:sz="4" w:space="0"/>
              <w:right w:val="single" w:color="auto" w:sz="4" w:space="0"/>
            </w:tcBorders>
            <w:vAlign w:val="center"/>
          </w:tcPr>
          <w:p w14:paraId="15DD8E8E">
            <w:pPr>
              <w:topLinePunct/>
              <w:spacing w:line="480" w:lineRule="exact"/>
              <w:jc w:val="center"/>
              <w:rPr>
                <w:rFonts w:ascii="宋体" w:hAnsi="宋体" w:eastAsia="宋体" w:cs="宋体"/>
                <w:color w:val="000000" w:themeColor="text1"/>
                <w:sz w:val="24"/>
                <w:szCs w:val="24"/>
                <w:highlight w:val="none"/>
                <w14:textFill>
                  <w14:solidFill>
                    <w14:schemeClr w14:val="tx1"/>
                  </w14:solidFill>
                </w14:textFill>
              </w:rPr>
            </w:pPr>
          </w:p>
        </w:tc>
      </w:tr>
    </w:tbl>
    <w:p w14:paraId="4144F5EE">
      <w:pPr>
        <w:adjustRightInd w:val="0"/>
        <w:spacing w:line="420" w:lineRule="exact"/>
        <w:rPr>
          <w:rFonts w:cs="楷体"/>
          <w:sz w:val="24"/>
          <w:lang w:eastAsia="zh-CN"/>
        </w:rPr>
      </w:pPr>
    </w:p>
    <w:p w14:paraId="2FC9E745">
      <w:pPr>
        <w:pStyle w:val="20"/>
        <w:spacing w:line="360" w:lineRule="auto"/>
        <w:rPr>
          <w:rFonts w:cs="Times New Roman"/>
          <w:kern w:val="0"/>
          <w:sz w:val="28"/>
          <w:szCs w:val="28"/>
          <w:highlight w:val="none"/>
        </w:rPr>
      </w:pPr>
      <w:r>
        <w:rPr>
          <w:rFonts w:cs="楷体"/>
          <w:sz w:val="28"/>
          <w:szCs w:val="28"/>
          <w:lang w:eastAsia="zh-CN"/>
        </w:rPr>
        <w:br w:type="page"/>
      </w:r>
      <w:r>
        <w:rPr>
          <w:rFonts w:hint="eastAsia" w:ascii="宋体" w:hAnsi="宋体" w:cs="宋体-PUA"/>
          <w:sz w:val="28"/>
          <w:szCs w:val="28"/>
          <w:lang w:val="en-US" w:eastAsia="zh-CN"/>
        </w:rPr>
        <w:t>五</w:t>
      </w:r>
      <w:r>
        <w:rPr>
          <w:rFonts w:hint="eastAsia" w:ascii="宋体" w:hAnsi="宋体" w:eastAsia="宋体" w:cs="宋体-PUA"/>
          <w:sz w:val="28"/>
          <w:szCs w:val="28"/>
          <w:lang w:val="en-US" w:eastAsia="zh-CN"/>
        </w:rPr>
        <w:t>、</w:t>
      </w:r>
      <w:r>
        <w:rPr>
          <w:rFonts w:hint="eastAsia"/>
          <w:kern w:val="0"/>
          <w:sz w:val="28"/>
          <w:szCs w:val="28"/>
          <w:highlight w:val="none"/>
        </w:rPr>
        <w:t>项目管理机构配备情况</w:t>
      </w:r>
    </w:p>
    <w:p w14:paraId="12DE5313">
      <w:pPr>
        <w:widowControl/>
        <w:spacing w:line="360" w:lineRule="auto"/>
        <w:jc w:val="center"/>
        <w:rPr>
          <w:rFonts w:ascii="宋体" w:hAnsi="宋体"/>
          <w:b/>
          <w:bCs/>
          <w:color w:val="000000"/>
          <w:sz w:val="24"/>
          <w:szCs w:val="24"/>
          <w:highlight w:val="none"/>
        </w:rPr>
      </w:pPr>
      <w:r>
        <w:rPr>
          <w:rFonts w:hint="eastAsia" w:cs="Times New Roman" w:asciiTheme="minorEastAsia" w:hAnsiTheme="minorEastAsia"/>
          <w:b/>
          <w:bCs/>
          <w:color w:val="000000"/>
          <w:kern w:val="0"/>
          <w:sz w:val="24"/>
          <w:szCs w:val="24"/>
          <w:highlight w:val="none"/>
        </w:rPr>
        <w:t>（</w:t>
      </w:r>
      <w:r>
        <w:rPr>
          <w:rFonts w:cs="Times New Roman" w:asciiTheme="minorEastAsia" w:hAnsiTheme="minorEastAsia"/>
          <w:b/>
          <w:bCs/>
          <w:color w:val="000000"/>
          <w:kern w:val="0"/>
          <w:sz w:val="24"/>
          <w:szCs w:val="24"/>
          <w:highlight w:val="none"/>
        </w:rPr>
        <w:t>1</w:t>
      </w:r>
      <w:r>
        <w:rPr>
          <w:rFonts w:hint="eastAsia" w:cs="Times New Roman" w:asciiTheme="minorEastAsia" w:hAnsiTheme="minorEastAsia"/>
          <w:b/>
          <w:bCs/>
          <w:color w:val="000000"/>
          <w:kern w:val="0"/>
          <w:sz w:val="24"/>
          <w:szCs w:val="24"/>
          <w:highlight w:val="none"/>
        </w:rPr>
        <w:t>）</w:t>
      </w:r>
      <w:r>
        <w:rPr>
          <w:rFonts w:hint="eastAsia" w:ascii="宋体" w:hAnsi="宋体"/>
          <w:b/>
          <w:bCs/>
          <w:color w:val="000000"/>
          <w:sz w:val="24"/>
          <w:szCs w:val="24"/>
          <w:highlight w:val="none"/>
        </w:rPr>
        <w:t>拟投入本项目的主要人员情况汇总表</w:t>
      </w:r>
    </w:p>
    <w:p w14:paraId="2709272B">
      <w:pPr>
        <w:spacing w:line="360" w:lineRule="auto"/>
        <w:rPr>
          <w:rFonts w:ascii="宋体" w:hAnsi="宋体"/>
          <w:b/>
          <w:bCs/>
          <w:color w:val="000000"/>
          <w:sz w:val="28"/>
          <w:szCs w:val="28"/>
          <w:highlight w:val="none"/>
        </w:rPr>
      </w:pP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02"/>
        <w:gridCol w:w="1297"/>
        <w:gridCol w:w="1700"/>
        <w:gridCol w:w="1700"/>
        <w:gridCol w:w="1700"/>
      </w:tblGrid>
      <w:tr w14:paraId="0BA6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00" w:type="dxa"/>
            <w:vAlign w:val="center"/>
          </w:tcPr>
          <w:p w14:paraId="30EA6B88">
            <w:pPr>
              <w:spacing w:line="360" w:lineRule="auto"/>
              <w:jc w:val="center"/>
              <w:rPr>
                <w:rFonts w:ascii="宋体" w:hAnsi="宋体"/>
                <w:sz w:val="24"/>
                <w:highlight w:val="none"/>
              </w:rPr>
            </w:pPr>
            <w:r>
              <w:rPr>
                <w:rFonts w:ascii="宋体" w:hAnsi="宋体"/>
                <w:sz w:val="24"/>
                <w:highlight w:val="none"/>
              </w:rPr>
              <w:t>序号</w:t>
            </w:r>
          </w:p>
        </w:tc>
        <w:tc>
          <w:tcPr>
            <w:tcW w:w="1602" w:type="dxa"/>
            <w:vAlign w:val="center"/>
          </w:tcPr>
          <w:p w14:paraId="4AD823BC">
            <w:pPr>
              <w:spacing w:line="360" w:lineRule="auto"/>
              <w:jc w:val="center"/>
              <w:rPr>
                <w:rFonts w:ascii="宋体" w:hAnsi="宋体"/>
                <w:sz w:val="24"/>
                <w:highlight w:val="none"/>
              </w:rPr>
            </w:pPr>
            <w:r>
              <w:rPr>
                <w:rFonts w:ascii="宋体" w:hAnsi="宋体"/>
                <w:sz w:val="24"/>
                <w:highlight w:val="none"/>
              </w:rPr>
              <w:t>姓名</w:t>
            </w:r>
          </w:p>
        </w:tc>
        <w:tc>
          <w:tcPr>
            <w:tcW w:w="1297" w:type="dxa"/>
            <w:vAlign w:val="center"/>
          </w:tcPr>
          <w:p w14:paraId="53FFA948">
            <w:pPr>
              <w:spacing w:line="360" w:lineRule="auto"/>
              <w:rPr>
                <w:rFonts w:ascii="宋体" w:hAnsi="宋体"/>
                <w:sz w:val="24"/>
                <w:highlight w:val="none"/>
              </w:rPr>
            </w:pPr>
            <w:r>
              <w:rPr>
                <w:rFonts w:hint="eastAsia" w:ascii="宋体" w:hAnsi="宋体"/>
                <w:sz w:val="24"/>
                <w:highlight w:val="none"/>
              </w:rPr>
              <w:t xml:space="preserve"> 职称</w:t>
            </w:r>
          </w:p>
        </w:tc>
        <w:tc>
          <w:tcPr>
            <w:tcW w:w="1700" w:type="dxa"/>
            <w:vAlign w:val="center"/>
          </w:tcPr>
          <w:p w14:paraId="186FB7BD">
            <w:pPr>
              <w:spacing w:line="360" w:lineRule="auto"/>
              <w:jc w:val="center"/>
              <w:rPr>
                <w:rFonts w:ascii="宋体" w:hAnsi="宋体"/>
                <w:sz w:val="24"/>
                <w:highlight w:val="none"/>
              </w:rPr>
            </w:pPr>
            <w:r>
              <w:rPr>
                <w:rFonts w:hint="eastAsia" w:ascii="宋体" w:hAnsi="宋体"/>
                <w:sz w:val="24"/>
                <w:highlight w:val="none"/>
              </w:rPr>
              <w:t>专业</w:t>
            </w:r>
          </w:p>
        </w:tc>
        <w:tc>
          <w:tcPr>
            <w:tcW w:w="1700" w:type="dxa"/>
            <w:vAlign w:val="center"/>
          </w:tcPr>
          <w:p w14:paraId="62FF603C">
            <w:pPr>
              <w:spacing w:line="360" w:lineRule="auto"/>
              <w:jc w:val="center"/>
              <w:rPr>
                <w:rFonts w:ascii="宋体" w:hAnsi="宋体"/>
                <w:sz w:val="24"/>
                <w:highlight w:val="none"/>
              </w:rPr>
            </w:pPr>
            <w:r>
              <w:rPr>
                <w:rFonts w:hint="eastAsia" w:ascii="宋体" w:hAnsi="宋体"/>
                <w:sz w:val="24"/>
                <w:highlight w:val="none"/>
              </w:rPr>
              <w:t>资格证书名称</w:t>
            </w:r>
          </w:p>
        </w:tc>
        <w:tc>
          <w:tcPr>
            <w:tcW w:w="1700" w:type="dxa"/>
            <w:vAlign w:val="center"/>
          </w:tcPr>
          <w:p w14:paraId="67BEE4B5">
            <w:pPr>
              <w:spacing w:line="360" w:lineRule="auto"/>
              <w:jc w:val="center"/>
              <w:rPr>
                <w:rFonts w:ascii="宋体" w:hAnsi="宋体"/>
                <w:sz w:val="24"/>
                <w:highlight w:val="none"/>
              </w:rPr>
            </w:pPr>
            <w:r>
              <w:rPr>
                <w:rFonts w:hint="eastAsia" w:ascii="宋体" w:hAnsi="宋体"/>
                <w:sz w:val="24"/>
                <w:highlight w:val="none"/>
              </w:rPr>
              <w:t>备注</w:t>
            </w:r>
          </w:p>
        </w:tc>
      </w:tr>
      <w:tr w14:paraId="616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00" w:type="dxa"/>
            <w:vAlign w:val="center"/>
          </w:tcPr>
          <w:p w14:paraId="1EBF64EB">
            <w:pPr>
              <w:spacing w:line="360" w:lineRule="auto"/>
              <w:jc w:val="center"/>
              <w:rPr>
                <w:rFonts w:ascii="宋体" w:hAnsi="宋体"/>
                <w:sz w:val="24"/>
                <w:highlight w:val="none"/>
              </w:rPr>
            </w:pPr>
            <w:r>
              <w:rPr>
                <w:rFonts w:ascii="宋体" w:hAnsi="宋体"/>
                <w:sz w:val="24"/>
                <w:highlight w:val="none"/>
              </w:rPr>
              <w:t>1</w:t>
            </w:r>
          </w:p>
        </w:tc>
        <w:tc>
          <w:tcPr>
            <w:tcW w:w="1602" w:type="dxa"/>
            <w:vAlign w:val="center"/>
          </w:tcPr>
          <w:p w14:paraId="549E8904">
            <w:pPr>
              <w:spacing w:line="360" w:lineRule="auto"/>
              <w:jc w:val="center"/>
              <w:rPr>
                <w:rFonts w:ascii="宋体" w:hAnsi="宋体"/>
                <w:sz w:val="24"/>
                <w:highlight w:val="none"/>
              </w:rPr>
            </w:pPr>
          </w:p>
        </w:tc>
        <w:tc>
          <w:tcPr>
            <w:tcW w:w="1297" w:type="dxa"/>
            <w:vAlign w:val="center"/>
          </w:tcPr>
          <w:p w14:paraId="4A42169D">
            <w:pPr>
              <w:spacing w:line="360" w:lineRule="auto"/>
              <w:jc w:val="center"/>
              <w:rPr>
                <w:rFonts w:ascii="宋体" w:hAnsi="宋体"/>
                <w:sz w:val="24"/>
                <w:highlight w:val="none"/>
              </w:rPr>
            </w:pPr>
          </w:p>
        </w:tc>
        <w:tc>
          <w:tcPr>
            <w:tcW w:w="1700" w:type="dxa"/>
            <w:vAlign w:val="center"/>
          </w:tcPr>
          <w:p w14:paraId="22B64727">
            <w:pPr>
              <w:spacing w:line="360" w:lineRule="auto"/>
              <w:jc w:val="center"/>
              <w:rPr>
                <w:rFonts w:ascii="宋体" w:hAnsi="宋体"/>
                <w:sz w:val="24"/>
                <w:highlight w:val="none"/>
              </w:rPr>
            </w:pPr>
          </w:p>
        </w:tc>
        <w:tc>
          <w:tcPr>
            <w:tcW w:w="1700" w:type="dxa"/>
            <w:vAlign w:val="center"/>
          </w:tcPr>
          <w:p w14:paraId="4F36DE98">
            <w:pPr>
              <w:spacing w:line="360" w:lineRule="auto"/>
              <w:jc w:val="center"/>
              <w:rPr>
                <w:rFonts w:ascii="宋体" w:hAnsi="宋体"/>
                <w:sz w:val="24"/>
                <w:highlight w:val="none"/>
              </w:rPr>
            </w:pPr>
          </w:p>
        </w:tc>
        <w:tc>
          <w:tcPr>
            <w:tcW w:w="1700" w:type="dxa"/>
            <w:vAlign w:val="center"/>
          </w:tcPr>
          <w:p w14:paraId="7316E3CE">
            <w:pPr>
              <w:spacing w:line="360" w:lineRule="auto"/>
              <w:jc w:val="center"/>
              <w:rPr>
                <w:rFonts w:ascii="宋体" w:hAnsi="宋体"/>
                <w:sz w:val="24"/>
                <w:highlight w:val="none"/>
              </w:rPr>
            </w:pPr>
          </w:p>
        </w:tc>
      </w:tr>
      <w:tr w14:paraId="5875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00" w:type="dxa"/>
            <w:vAlign w:val="center"/>
          </w:tcPr>
          <w:p w14:paraId="6D6AA087">
            <w:pPr>
              <w:spacing w:line="360" w:lineRule="auto"/>
              <w:jc w:val="center"/>
              <w:rPr>
                <w:rFonts w:ascii="宋体" w:hAnsi="宋体"/>
                <w:sz w:val="24"/>
                <w:highlight w:val="none"/>
              </w:rPr>
            </w:pPr>
            <w:r>
              <w:rPr>
                <w:rFonts w:ascii="宋体" w:hAnsi="宋体"/>
                <w:sz w:val="24"/>
                <w:highlight w:val="none"/>
              </w:rPr>
              <w:t>2</w:t>
            </w:r>
          </w:p>
        </w:tc>
        <w:tc>
          <w:tcPr>
            <w:tcW w:w="1602" w:type="dxa"/>
            <w:vAlign w:val="center"/>
          </w:tcPr>
          <w:p w14:paraId="32B6FD7E">
            <w:pPr>
              <w:spacing w:line="360" w:lineRule="auto"/>
              <w:jc w:val="center"/>
              <w:rPr>
                <w:rFonts w:ascii="宋体" w:hAnsi="宋体"/>
                <w:sz w:val="24"/>
                <w:highlight w:val="none"/>
              </w:rPr>
            </w:pPr>
          </w:p>
        </w:tc>
        <w:tc>
          <w:tcPr>
            <w:tcW w:w="1297" w:type="dxa"/>
            <w:vAlign w:val="center"/>
          </w:tcPr>
          <w:p w14:paraId="2F3D94F4">
            <w:pPr>
              <w:spacing w:line="360" w:lineRule="auto"/>
              <w:jc w:val="center"/>
              <w:rPr>
                <w:rFonts w:ascii="宋体" w:hAnsi="宋体"/>
                <w:sz w:val="24"/>
                <w:highlight w:val="none"/>
              </w:rPr>
            </w:pPr>
          </w:p>
        </w:tc>
        <w:tc>
          <w:tcPr>
            <w:tcW w:w="1700" w:type="dxa"/>
            <w:vAlign w:val="center"/>
          </w:tcPr>
          <w:p w14:paraId="62866C54">
            <w:pPr>
              <w:spacing w:line="360" w:lineRule="auto"/>
              <w:jc w:val="center"/>
              <w:rPr>
                <w:rFonts w:ascii="宋体" w:hAnsi="宋体"/>
                <w:sz w:val="24"/>
                <w:highlight w:val="none"/>
              </w:rPr>
            </w:pPr>
          </w:p>
        </w:tc>
        <w:tc>
          <w:tcPr>
            <w:tcW w:w="1700" w:type="dxa"/>
            <w:vAlign w:val="center"/>
          </w:tcPr>
          <w:p w14:paraId="0BB163C8">
            <w:pPr>
              <w:spacing w:line="360" w:lineRule="auto"/>
              <w:jc w:val="center"/>
              <w:rPr>
                <w:rFonts w:ascii="宋体" w:hAnsi="宋体"/>
                <w:sz w:val="24"/>
                <w:highlight w:val="none"/>
              </w:rPr>
            </w:pPr>
          </w:p>
        </w:tc>
        <w:tc>
          <w:tcPr>
            <w:tcW w:w="1700" w:type="dxa"/>
            <w:vAlign w:val="center"/>
          </w:tcPr>
          <w:p w14:paraId="222695DF">
            <w:pPr>
              <w:spacing w:line="360" w:lineRule="auto"/>
              <w:jc w:val="center"/>
              <w:rPr>
                <w:rFonts w:ascii="宋体" w:hAnsi="宋体"/>
                <w:sz w:val="24"/>
                <w:highlight w:val="none"/>
              </w:rPr>
            </w:pPr>
          </w:p>
        </w:tc>
      </w:tr>
      <w:tr w14:paraId="222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00" w:type="dxa"/>
            <w:vAlign w:val="center"/>
          </w:tcPr>
          <w:p w14:paraId="4B7FD97F">
            <w:pPr>
              <w:spacing w:line="360" w:lineRule="auto"/>
              <w:jc w:val="center"/>
              <w:rPr>
                <w:rFonts w:ascii="宋体" w:hAnsi="宋体"/>
                <w:sz w:val="24"/>
                <w:highlight w:val="none"/>
              </w:rPr>
            </w:pPr>
            <w:r>
              <w:rPr>
                <w:rFonts w:ascii="宋体" w:hAnsi="宋体"/>
                <w:sz w:val="24"/>
                <w:highlight w:val="none"/>
              </w:rPr>
              <w:t>3</w:t>
            </w:r>
          </w:p>
        </w:tc>
        <w:tc>
          <w:tcPr>
            <w:tcW w:w="1602" w:type="dxa"/>
            <w:vAlign w:val="center"/>
          </w:tcPr>
          <w:p w14:paraId="31DAE669">
            <w:pPr>
              <w:spacing w:line="360" w:lineRule="auto"/>
              <w:jc w:val="center"/>
              <w:rPr>
                <w:rFonts w:ascii="宋体" w:hAnsi="宋体"/>
                <w:sz w:val="24"/>
                <w:highlight w:val="none"/>
              </w:rPr>
            </w:pPr>
          </w:p>
        </w:tc>
        <w:tc>
          <w:tcPr>
            <w:tcW w:w="1297" w:type="dxa"/>
            <w:vAlign w:val="center"/>
          </w:tcPr>
          <w:p w14:paraId="49DDB888">
            <w:pPr>
              <w:spacing w:line="360" w:lineRule="auto"/>
              <w:jc w:val="center"/>
              <w:rPr>
                <w:rFonts w:ascii="宋体" w:hAnsi="宋体"/>
                <w:sz w:val="24"/>
                <w:highlight w:val="none"/>
              </w:rPr>
            </w:pPr>
          </w:p>
        </w:tc>
        <w:tc>
          <w:tcPr>
            <w:tcW w:w="1700" w:type="dxa"/>
            <w:vAlign w:val="center"/>
          </w:tcPr>
          <w:p w14:paraId="6136A735">
            <w:pPr>
              <w:spacing w:line="360" w:lineRule="auto"/>
              <w:jc w:val="center"/>
              <w:rPr>
                <w:rFonts w:ascii="宋体" w:hAnsi="宋体"/>
                <w:sz w:val="24"/>
                <w:highlight w:val="none"/>
              </w:rPr>
            </w:pPr>
          </w:p>
        </w:tc>
        <w:tc>
          <w:tcPr>
            <w:tcW w:w="1700" w:type="dxa"/>
            <w:vAlign w:val="center"/>
          </w:tcPr>
          <w:p w14:paraId="0BCD4845">
            <w:pPr>
              <w:spacing w:line="360" w:lineRule="auto"/>
              <w:jc w:val="center"/>
              <w:rPr>
                <w:rFonts w:ascii="宋体" w:hAnsi="宋体"/>
                <w:sz w:val="24"/>
                <w:highlight w:val="none"/>
              </w:rPr>
            </w:pPr>
          </w:p>
        </w:tc>
        <w:tc>
          <w:tcPr>
            <w:tcW w:w="1700" w:type="dxa"/>
            <w:vAlign w:val="center"/>
          </w:tcPr>
          <w:p w14:paraId="043FEDE4">
            <w:pPr>
              <w:spacing w:line="360" w:lineRule="auto"/>
              <w:jc w:val="center"/>
              <w:rPr>
                <w:rFonts w:ascii="宋体" w:hAnsi="宋体"/>
                <w:sz w:val="24"/>
                <w:highlight w:val="none"/>
              </w:rPr>
            </w:pPr>
          </w:p>
        </w:tc>
      </w:tr>
      <w:tr w14:paraId="42C9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00" w:type="dxa"/>
            <w:vAlign w:val="center"/>
          </w:tcPr>
          <w:p w14:paraId="68AC4FAF">
            <w:pPr>
              <w:spacing w:line="360" w:lineRule="auto"/>
              <w:jc w:val="center"/>
              <w:rPr>
                <w:rFonts w:ascii="宋体" w:hAnsi="宋体"/>
                <w:sz w:val="24"/>
                <w:highlight w:val="none"/>
              </w:rPr>
            </w:pPr>
            <w:r>
              <w:rPr>
                <w:rFonts w:ascii="宋体" w:hAnsi="宋体"/>
                <w:sz w:val="24"/>
                <w:highlight w:val="none"/>
              </w:rPr>
              <w:t>4</w:t>
            </w:r>
          </w:p>
        </w:tc>
        <w:tc>
          <w:tcPr>
            <w:tcW w:w="1602" w:type="dxa"/>
            <w:vAlign w:val="center"/>
          </w:tcPr>
          <w:p w14:paraId="3D775407">
            <w:pPr>
              <w:spacing w:line="360" w:lineRule="auto"/>
              <w:jc w:val="center"/>
              <w:rPr>
                <w:rFonts w:ascii="宋体" w:hAnsi="宋体"/>
                <w:sz w:val="24"/>
                <w:highlight w:val="none"/>
              </w:rPr>
            </w:pPr>
          </w:p>
        </w:tc>
        <w:tc>
          <w:tcPr>
            <w:tcW w:w="1297" w:type="dxa"/>
            <w:vAlign w:val="center"/>
          </w:tcPr>
          <w:p w14:paraId="6867B8BB">
            <w:pPr>
              <w:spacing w:line="360" w:lineRule="auto"/>
              <w:jc w:val="center"/>
              <w:rPr>
                <w:rFonts w:ascii="宋体" w:hAnsi="宋体"/>
                <w:sz w:val="24"/>
                <w:highlight w:val="none"/>
              </w:rPr>
            </w:pPr>
          </w:p>
        </w:tc>
        <w:tc>
          <w:tcPr>
            <w:tcW w:w="1700" w:type="dxa"/>
            <w:vAlign w:val="center"/>
          </w:tcPr>
          <w:p w14:paraId="18F14230">
            <w:pPr>
              <w:spacing w:line="360" w:lineRule="auto"/>
              <w:jc w:val="center"/>
              <w:rPr>
                <w:rFonts w:ascii="宋体" w:hAnsi="宋体"/>
                <w:sz w:val="24"/>
                <w:highlight w:val="none"/>
              </w:rPr>
            </w:pPr>
          </w:p>
        </w:tc>
        <w:tc>
          <w:tcPr>
            <w:tcW w:w="1700" w:type="dxa"/>
            <w:vAlign w:val="center"/>
          </w:tcPr>
          <w:p w14:paraId="146C7BFC">
            <w:pPr>
              <w:spacing w:line="360" w:lineRule="auto"/>
              <w:jc w:val="center"/>
              <w:rPr>
                <w:rFonts w:ascii="宋体" w:hAnsi="宋体"/>
                <w:sz w:val="24"/>
                <w:highlight w:val="none"/>
              </w:rPr>
            </w:pPr>
          </w:p>
        </w:tc>
        <w:tc>
          <w:tcPr>
            <w:tcW w:w="1700" w:type="dxa"/>
            <w:vAlign w:val="center"/>
          </w:tcPr>
          <w:p w14:paraId="293A57D7">
            <w:pPr>
              <w:spacing w:line="360" w:lineRule="auto"/>
              <w:jc w:val="center"/>
              <w:rPr>
                <w:rFonts w:ascii="宋体" w:hAnsi="宋体"/>
                <w:sz w:val="24"/>
                <w:highlight w:val="none"/>
              </w:rPr>
            </w:pPr>
          </w:p>
        </w:tc>
      </w:tr>
      <w:tr w14:paraId="4014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00" w:type="dxa"/>
            <w:vAlign w:val="center"/>
          </w:tcPr>
          <w:p w14:paraId="641E81FD">
            <w:pPr>
              <w:spacing w:line="360" w:lineRule="auto"/>
              <w:jc w:val="center"/>
              <w:rPr>
                <w:rFonts w:ascii="宋体" w:hAnsi="宋体"/>
                <w:sz w:val="24"/>
                <w:highlight w:val="none"/>
              </w:rPr>
            </w:pPr>
            <w:r>
              <w:rPr>
                <w:rFonts w:ascii="宋体" w:hAnsi="宋体"/>
                <w:sz w:val="24"/>
                <w:highlight w:val="none"/>
              </w:rPr>
              <w:t>5</w:t>
            </w:r>
          </w:p>
        </w:tc>
        <w:tc>
          <w:tcPr>
            <w:tcW w:w="1602" w:type="dxa"/>
            <w:vAlign w:val="center"/>
          </w:tcPr>
          <w:p w14:paraId="0C06B3F8">
            <w:pPr>
              <w:spacing w:line="360" w:lineRule="auto"/>
              <w:jc w:val="center"/>
              <w:rPr>
                <w:rFonts w:ascii="宋体" w:hAnsi="宋体"/>
                <w:sz w:val="24"/>
                <w:highlight w:val="none"/>
              </w:rPr>
            </w:pPr>
          </w:p>
        </w:tc>
        <w:tc>
          <w:tcPr>
            <w:tcW w:w="1297" w:type="dxa"/>
            <w:vAlign w:val="center"/>
          </w:tcPr>
          <w:p w14:paraId="0123B8CB">
            <w:pPr>
              <w:spacing w:line="360" w:lineRule="auto"/>
              <w:jc w:val="center"/>
              <w:rPr>
                <w:rFonts w:ascii="宋体" w:hAnsi="宋体"/>
                <w:sz w:val="24"/>
                <w:highlight w:val="none"/>
              </w:rPr>
            </w:pPr>
          </w:p>
        </w:tc>
        <w:tc>
          <w:tcPr>
            <w:tcW w:w="1700" w:type="dxa"/>
            <w:vAlign w:val="center"/>
          </w:tcPr>
          <w:p w14:paraId="497105DC">
            <w:pPr>
              <w:spacing w:line="360" w:lineRule="auto"/>
              <w:jc w:val="center"/>
              <w:rPr>
                <w:rFonts w:ascii="宋体" w:hAnsi="宋体"/>
                <w:sz w:val="24"/>
                <w:highlight w:val="none"/>
              </w:rPr>
            </w:pPr>
          </w:p>
        </w:tc>
        <w:tc>
          <w:tcPr>
            <w:tcW w:w="1700" w:type="dxa"/>
            <w:vAlign w:val="center"/>
          </w:tcPr>
          <w:p w14:paraId="1AF583E9">
            <w:pPr>
              <w:spacing w:line="360" w:lineRule="auto"/>
              <w:jc w:val="center"/>
              <w:rPr>
                <w:rFonts w:ascii="宋体" w:hAnsi="宋体"/>
                <w:sz w:val="24"/>
                <w:highlight w:val="none"/>
              </w:rPr>
            </w:pPr>
          </w:p>
        </w:tc>
        <w:tc>
          <w:tcPr>
            <w:tcW w:w="1700" w:type="dxa"/>
            <w:vAlign w:val="center"/>
          </w:tcPr>
          <w:p w14:paraId="22781650">
            <w:pPr>
              <w:spacing w:line="360" w:lineRule="auto"/>
              <w:jc w:val="center"/>
              <w:rPr>
                <w:rFonts w:ascii="宋体" w:hAnsi="宋体"/>
                <w:sz w:val="24"/>
                <w:highlight w:val="none"/>
              </w:rPr>
            </w:pPr>
          </w:p>
        </w:tc>
      </w:tr>
      <w:tr w14:paraId="58E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00" w:type="dxa"/>
            <w:vAlign w:val="center"/>
          </w:tcPr>
          <w:p w14:paraId="51174A55">
            <w:pPr>
              <w:spacing w:line="360" w:lineRule="auto"/>
              <w:jc w:val="center"/>
              <w:rPr>
                <w:rFonts w:ascii="宋体" w:hAnsi="宋体"/>
                <w:sz w:val="24"/>
                <w:highlight w:val="none"/>
              </w:rPr>
            </w:pPr>
            <w:r>
              <w:rPr>
                <w:rFonts w:ascii="宋体" w:hAnsi="宋体"/>
                <w:sz w:val="24"/>
                <w:highlight w:val="none"/>
              </w:rPr>
              <w:t>6</w:t>
            </w:r>
          </w:p>
        </w:tc>
        <w:tc>
          <w:tcPr>
            <w:tcW w:w="1602" w:type="dxa"/>
            <w:vAlign w:val="center"/>
          </w:tcPr>
          <w:p w14:paraId="5152B5DD">
            <w:pPr>
              <w:spacing w:line="360" w:lineRule="auto"/>
              <w:jc w:val="center"/>
              <w:rPr>
                <w:rFonts w:ascii="宋体" w:hAnsi="宋体"/>
                <w:sz w:val="24"/>
                <w:highlight w:val="none"/>
              </w:rPr>
            </w:pPr>
          </w:p>
        </w:tc>
        <w:tc>
          <w:tcPr>
            <w:tcW w:w="1297" w:type="dxa"/>
            <w:vAlign w:val="center"/>
          </w:tcPr>
          <w:p w14:paraId="33512762">
            <w:pPr>
              <w:spacing w:line="360" w:lineRule="auto"/>
              <w:jc w:val="center"/>
              <w:rPr>
                <w:rFonts w:ascii="宋体" w:hAnsi="宋体"/>
                <w:sz w:val="24"/>
                <w:highlight w:val="none"/>
              </w:rPr>
            </w:pPr>
          </w:p>
        </w:tc>
        <w:tc>
          <w:tcPr>
            <w:tcW w:w="1700" w:type="dxa"/>
            <w:vAlign w:val="center"/>
          </w:tcPr>
          <w:p w14:paraId="47F72766">
            <w:pPr>
              <w:spacing w:line="360" w:lineRule="auto"/>
              <w:jc w:val="center"/>
              <w:rPr>
                <w:rFonts w:ascii="宋体" w:hAnsi="宋体"/>
                <w:sz w:val="24"/>
                <w:highlight w:val="none"/>
              </w:rPr>
            </w:pPr>
          </w:p>
        </w:tc>
        <w:tc>
          <w:tcPr>
            <w:tcW w:w="1700" w:type="dxa"/>
            <w:vAlign w:val="center"/>
          </w:tcPr>
          <w:p w14:paraId="39E4BD9B">
            <w:pPr>
              <w:spacing w:line="360" w:lineRule="auto"/>
              <w:jc w:val="center"/>
              <w:rPr>
                <w:rFonts w:ascii="宋体" w:hAnsi="宋体"/>
                <w:sz w:val="24"/>
                <w:highlight w:val="none"/>
              </w:rPr>
            </w:pPr>
          </w:p>
        </w:tc>
        <w:tc>
          <w:tcPr>
            <w:tcW w:w="1700" w:type="dxa"/>
            <w:vAlign w:val="center"/>
          </w:tcPr>
          <w:p w14:paraId="49B63472">
            <w:pPr>
              <w:spacing w:line="360" w:lineRule="auto"/>
              <w:jc w:val="center"/>
              <w:rPr>
                <w:rFonts w:ascii="宋体" w:hAnsi="宋体"/>
                <w:sz w:val="24"/>
                <w:highlight w:val="none"/>
              </w:rPr>
            </w:pPr>
          </w:p>
        </w:tc>
      </w:tr>
      <w:tr w14:paraId="5411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0" w:type="dxa"/>
            <w:vAlign w:val="center"/>
          </w:tcPr>
          <w:p w14:paraId="3BCAE651">
            <w:pPr>
              <w:spacing w:line="360" w:lineRule="auto"/>
              <w:jc w:val="center"/>
              <w:rPr>
                <w:rFonts w:ascii="宋体" w:hAnsi="宋体"/>
                <w:sz w:val="24"/>
                <w:highlight w:val="none"/>
              </w:rPr>
            </w:pPr>
            <w:r>
              <w:rPr>
                <w:rFonts w:ascii="宋体" w:hAnsi="宋体"/>
                <w:sz w:val="24"/>
                <w:highlight w:val="none"/>
              </w:rPr>
              <w:t>7</w:t>
            </w:r>
          </w:p>
        </w:tc>
        <w:tc>
          <w:tcPr>
            <w:tcW w:w="1602" w:type="dxa"/>
            <w:vAlign w:val="center"/>
          </w:tcPr>
          <w:p w14:paraId="444192FA">
            <w:pPr>
              <w:spacing w:line="360" w:lineRule="auto"/>
              <w:jc w:val="center"/>
              <w:rPr>
                <w:rFonts w:ascii="宋体" w:hAnsi="宋体"/>
                <w:sz w:val="24"/>
                <w:highlight w:val="none"/>
              </w:rPr>
            </w:pPr>
          </w:p>
        </w:tc>
        <w:tc>
          <w:tcPr>
            <w:tcW w:w="1297" w:type="dxa"/>
            <w:vAlign w:val="center"/>
          </w:tcPr>
          <w:p w14:paraId="0FE75CE4">
            <w:pPr>
              <w:spacing w:line="360" w:lineRule="auto"/>
              <w:jc w:val="center"/>
              <w:rPr>
                <w:rFonts w:ascii="宋体" w:hAnsi="宋体"/>
                <w:sz w:val="24"/>
                <w:highlight w:val="none"/>
              </w:rPr>
            </w:pPr>
          </w:p>
        </w:tc>
        <w:tc>
          <w:tcPr>
            <w:tcW w:w="1700" w:type="dxa"/>
            <w:vAlign w:val="center"/>
          </w:tcPr>
          <w:p w14:paraId="23DE362F">
            <w:pPr>
              <w:spacing w:line="360" w:lineRule="auto"/>
              <w:jc w:val="center"/>
              <w:rPr>
                <w:rFonts w:ascii="宋体" w:hAnsi="宋体"/>
                <w:sz w:val="24"/>
                <w:highlight w:val="none"/>
              </w:rPr>
            </w:pPr>
          </w:p>
        </w:tc>
        <w:tc>
          <w:tcPr>
            <w:tcW w:w="1700" w:type="dxa"/>
            <w:vAlign w:val="center"/>
          </w:tcPr>
          <w:p w14:paraId="67A221C9">
            <w:pPr>
              <w:spacing w:line="360" w:lineRule="auto"/>
              <w:jc w:val="center"/>
              <w:rPr>
                <w:rFonts w:ascii="宋体" w:hAnsi="宋体"/>
                <w:sz w:val="24"/>
                <w:highlight w:val="none"/>
              </w:rPr>
            </w:pPr>
          </w:p>
        </w:tc>
        <w:tc>
          <w:tcPr>
            <w:tcW w:w="1700" w:type="dxa"/>
            <w:vAlign w:val="center"/>
          </w:tcPr>
          <w:p w14:paraId="7C8B8AAD">
            <w:pPr>
              <w:spacing w:line="360" w:lineRule="auto"/>
              <w:jc w:val="center"/>
              <w:rPr>
                <w:rFonts w:ascii="宋体" w:hAnsi="宋体"/>
                <w:sz w:val="24"/>
                <w:highlight w:val="none"/>
              </w:rPr>
            </w:pPr>
          </w:p>
        </w:tc>
      </w:tr>
      <w:tr w14:paraId="6840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00" w:type="dxa"/>
            <w:vAlign w:val="center"/>
          </w:tcPr>
          <w:p w14:paraId="1FF3F1B2">
            <w:pPr>
              <w:spacing w:line="360" w:lineRule="auto"/>
              <w:jc w:val="center"/>
              <w:rPr>
                <w:rFonts w:ascii="宋体" w:hAnsi="宋体"/>
                <w:sz w:val="24"/>
                <w:highlight w:val="none"/>
              </w:rPr>
            </w:pPr>
            <w:r>
              <w:rPr>
                <w:rFonts w:ascii="宋体" w:hAnsi="宋体"/>
                <w:sz w:val="24"/>
                <w:highlight w:val="none"/>
              </w:rPr>
              <w:t>8</w:t>
            </w:r>
          </w:p>
        </w:tc>
        <w:tc>
          <w:tcPr>
            <w:tcW w:w="1602" w:type="dxa"/>
            <w:vAlign w:val="center"/>
          </w:tcPr>
          <w:p w14:paraId="45FEE42E">
            <w:pPr>
              <w:spacing w:line="360" w:lineRule="auto"/>
              <w:jc w:val="center"/>
              <w:rPr>
                <w:rFonts w:ascii="宋体" w:hAnsi="宋体"/>
                <w:sz w:val="24"/>
                <w:highlight w:val="none"/>
              </w:rPr>
            </w:pPr>
          </w:p>
        </w:tc>
        <w:tc>
          <w:tcPr>
            <w:tcW w:w="1297" w:type="dxa"/>
            <w:vAlign w:val="center"/>
          </w:tcPr>
          <w:p w14:paraId="27AF9699">
            <w:pPr>
              <w:spacing w:line="360" w:lineRule="auto"/>
              <w:jc w:val="center"/>
              <w:rPr>
                <w:rFonts w:ascii="宋体" w:hAnsi="宋体"/>
                <w:sz w:val="24"/>
                <w:highlight w:val="none"/>
              </w:rPr>
            </w:pPr>
          </w:p>
        </w:tc>
        <w:tc>
          <w:tcPr>
            <w:tcW w:w="1700" w:type="dxa"/>
            <w:vAlign w:val="center"/>
          </w:tcPr>
          <w:p w14:paraId="5AC07F39">
            <w:pPr>
              <w:spacing w:line="360" w:lineRule="auto"/>
              <w:jc w:val="center"/>
              <w:rPr>
                <w:rFonts w:ascii="宋体" w:hAnsi="宋体"/>
                <w:sz w:val="24"/>
                <w:highlight w:val="none"/>
              </w:rPr>
            </w:pPr>
          </w:p>
        </w:tc>
        <w:tc>
          <w:tcPr>
            <w:tcW w:w="1700" w:type="dxa"/>
            <w:vAlign w:val="center"/>
          </w:tcPr>
          <w:p w14:paraId="24387A7D">
            <w:pPr>
              <w:spacing w:line="360" w:lineRule="auto"/>
              <w:jc w:val="center"/>
              <w:rPr>
                <w:rFonts w:ascii="宋体" w:hAnsi="宋体"/>
                <w:sz w:val="24"/>
                <w:highlight w:val="none"/>
              </w:rPr>
            </w:pPr>
          </w:p>
        </w:tc>
        <w:tc>
          <w:tcPr>
            <w:tcW w:w="1700" w:type="dxa"/>
            <w:vAlign w:val="center"/>
          </w:tcPr>
          <w:p w14:paraId="72EB1382">
            <w:pPr>
              <w:spacing w:line="360" w:lineRule="auto"/>
              <w:jc w:val="center"/>
              <w:rPr>
                <w:rFonts w:ascii="宋体" w:hAnsi="宋体"/>
                <w:sz w:val="24"/>
                <w:highlight w:val="none"/>
              </w:rPr>
            </w:pPr>
          </w:p>
        </w:tc>
      </w:tr>
      <w:tr w14:paraId="7AF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7F9AE109">
            <w:pPr>
              <w:spacing w:line="360" w:lineRule="auto"/>
              <w:jc w:val="center"/>
              <w:rPr>
                <w:rFonts w:ascii="宋体" w:hAnsi="宋体"/>
                <w:sz w:val="24"/>
                <w:highlight w:val="none"/>
              </w:rPr>
            </w:pPr>
            <w:r>
              <w:rPr>
                <w:rFonts w:ascii="宋体" w:hAnsi="宋体"/>
                <w:sz w:val="24"/>
                <w:highlight w:val="none"/>
              </w:rPr>
              <w:t>9</w:t>
            </w:r>
          </w:p>
        </w:tc>
        <w:tc>
          <w:tcPr>
            <w:tcW w:w="1602" w:type="dxa"/>
            <w:vAlign w:val="center"/>
          </w:tcPr>
          <w:p w14:paraId="01D0E370">
            <w:pPr>
              <w:spacing w:line="360" w:lineRule="auto"/>
              <w:jc w:val="center"/>
              <w:rPr>
                <w:rFonts w:ascii="宋体" w:hAnsi="宋体"/>
                <w:sz w:val="24"/>
                <w:highlight w:val="none"/>
              </w:rPr>
            </w:pPr>
          </w:p>
        </w:tc>
        <w:tc>
          <w:tcPr>
            <w:tcW w:w="1297" w:type="dxa"/>
            <w:vAlign w:val="center"/>
          </w:tcPr>
          <w:p w14:paraId="3726F66E">
            <w:pPr>
              <w:spacing w:line="360" w:lineRule="auto"/>
              <w:jc w:val="center"/>
              <w:rPr>
                <w:rFonts w:ascii="宋体" w:hAnsi="宋体"/>
                <w:sz w:val="24"/>
                <w:highlight w:val="none"/>
              </w:rPr>
            </w:pPr>
          </w:p>
        </w:tc>
        <w:tc>
          <w:tcPr>
            <w:tcW w:w="1700" w:type="dxa"/>
            <w:vAlign w:val="center"/>
          </w:tcPr>
          <w:p w14:paraId="44CD16F0">
            <w:pPr>
              <w:spacing w:line="360" w:lineRule="auto"/>
              <w:jc w:val="center"/>
              <w:rPr>
                <w:rFonts w:ascii="宋体" w:hAnsi="宋体"/>
                <w:sz w:val="24"/>
                <w:highlight w:val="none"/>
              </w:rPr>
            </w:pPr>
          </w:p>
        </w:tc>
        <w:tc>
          <w:tcPr>
            <w:tcW w:w="1700" w:type="dxa"/>
            <w:vAlign w:val="center"/>
          </w:tcPr>
          <w:p w14:paraId="382E7362">
            <w:pPr>
              <w:spacing w:line="360" w:lineRule="auto"/>
              <w:jc w:val="center"/>
              <w:rPr>
                <w:rFonts w:ascii="宋体" w:hAnsi="宋体"/>
                <w:sz w:val="24"/>
                <w:highlight w:val="none"/>
              </w:rPr>
            </w:pPr>
          </w:p>
        </w:tc>
        <w:tc>
          <w:tcPr>
            <w:tcW w:w="1700" w:type="dxa"/>
            <w:vAlign w:val="center"/>
          </w:tcPr>
          <w:p w14:paraId="63CE381F">
            <w:pPr>
              <w:spacing w:line="360" w:lineRule="auto"/>
              <w:jc w:val="center"/>
              <w:rPr>
                <w:rFonts w:ascii="宋体" w:hAnsi="宋体"/>
                <w:sz w:val="24"/>
                <w:highlight w:val="none"/>
              </w:rPr>
            </w:pPr>
          </w:p>
        </w:tc>
      </w:tr>
      <w:tr w14:paraId="402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00" w:type="dxa"/>
            <w:vAlign w:val="center"/>
          </w:tcPr>
          <w:p w14:paraId="45CBDDDB">
            <w:pPr>
              <w:spacing w:line="360" w:lineRule="auto"/>
              <w:jc w:val="center"/>
              <w:rPr>
                <w:rFonts w:ascii="宋体" w:hAnsi="宋体"/>
                <w:sz w:val="24"/>
                <w:highlight w:val="none"/>
              </w:rPr>
            </w:pPr>
            <w:r>
              <w:rPr>
                <w:rFonts w:hint="eastAsia" w:ascii="宋体" w:hAnsi="宋体"/>
                <w:sz w:val="24"/>
                <w:highlight w:val="none"/>
              </w:rPr>
              <w:t>10</w:t>
            </w:r>
          </w:p>
        </w:tc>
        <w:tc>
          <w:tcPr>
            <w:tcW w:w="1602" w:type="dxa"/>
            <w:vAlign w:val="center"/>
          </w:tcPr>
          <w:p w14:paraId="5C48A72F">
            <w:pPr>
              <w:spacing w:line="360" w:lineRule="auto"/>
              <w:jc w:val="center"/>
              <w:rPr>
                <w:rFonts w:ascii="宋体" w:hAnsi="宋体"/>
                <w:sz w:val="24"/>
                <w:highlight w:val="none"/>
              </w:rPr>
            </w:pPr>
          </w:p>
        </w:tc>
        <w:tc>
          <w:tcPr>
            <w:tcW w:w="1297" w:type="dxa"/>
            <w:vAlign w:val="center"/>
          </w:tcPr>
          <w:p w14:paraId="4DF7E95F">
            <w:pPr>
              <w:spacing w:line="360" w:lineRule="auto"/>
              <w:jc w:val="center"/>
              <w:rPr>
                <w:rFonts w:ascii="宋体" w:hAnsi="宋体"/>
                <w:sz w:val="24"/>
                <w:highlight w:val="none"/>
              </w:rPr>
            </w:pPr>
          </w:p>
        </w:tc>
        <w:tc>
          <w:tcPr>
            <w:tcW w:w="1700" w:type="dxa"/>
            <w:vAlign w:val="center"/>
          </w:tcPr>
          <w:p w14:paraId="16AA64DE">
            <w:pPr>
              <w:spacing w:line="360" w:lineRule="auto"/>
              <w:jc w:val="center"/>
              <w:rPr>
                <w:rFonts w:ascii="宋体" w:hAnsi="宋体"/>
                <w:sz w:val="24"/>
                <w:highlight w:val="none"/>
              </w:rPr>
            </w:pPr>
          </w:p>
        </w:tc>
        <w:tc>
          <w:tcPr>
            <w:tcW w:w="1700" w:type="dxa"/>
            <w:vAlign w:val="center"/>
          </w:tcPr>
          <w:p w14:paraId="0712F944">
            <w:pPr>
              <w:spacing w:line="360" w:lineRule="auto"/>
              <w:jc w:val="center"/>
              <w:rPr>
                <w:rFonts w:ascii="宋体" w:hAnsi="宋体"/>
                <w:sz w:val="24"/>
                <w:highlight w:val="none"/>
              </w:rPr>
            </w:pPr>
          </w:p>
        </w:tc>
        <w:tc>
          <w:tcPr>
            <w:tcW w:w="1700" w:type="dxa"/>
            <w:vAlign w:val="center"/>
          </w:tcPr>
          <w:p w14:paraId="3B1D814D">
            <w:pPr>
              <w:spacing w:line="360" w:lineRule="auto"/>
              <w:jc w:val="center"/>
              <w:rPr>
                <w:rFonts w:ascii="宋体" w:hAnsi="宋体"/>
                <w:sz w:val="24"/>
                <w:highlight w:val="none"/>
              </w:rPr>
            </w:pPr>
          </w:p>
        </w:tc>
      </w:tr>
      <w:tr w14:paraId="29C0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00" w:type="dxa"/>
            <w:vAlign w:val="center"/>
          </w:tcPr>
          <w:p w14:paraId="001B3F04">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191FF6C0">
            <w:pPr>
              <w:spacing w:line="360" w:lineRule="auto"/>
              <w:jc w:val="center"/>
              <w:rPr>
                <w:rFonts w:ascii="宋体" w:hAnsi="宋体"/>
                <w:sz w:val="24"/>
                <w:highlight w:val="none"/>
              </w:rPr>
            </w:pPr>
          </w:p>
        </w:tc>
        <w:tc>
          <w:tcPr>
            <w:tcW w:w="1297" w:type="dxa"/>
            <w:vAlign w:val="center"/>
          </w:tcPr>
          <w:p w14:paraId="303325EA">
            <w:pPr>
              <w:spacing w:line="360" w:lineRule="auto"/>
              <w:jc w:val="center"/>
              <w:rPr>
                <w:rFonts w:ascii="宋体" w:hAnsi="宋体"/>
                <w:sz w:val="24"/>
                <w:highlight w:val="none"/>
              </w:rPr>
            </w:pPr>
          </w:p>
        </w:tc>
        <w:tc>
          <w:tcPr>
            <w:tcW w:w="1700" w:type="dxa"/>
            <w:vAlign w:val="center"/>
          </w:tcPr>
          <w:p w14:paraId="0830C280">
            <w:pPr>
              <w:spacing w:line="360" w:lineRule="auto"/>
              <w:jc w:val="center"/>
              <w:rPr>
                <w:rFonts w:ascii="宋体" w:hAnsi="宋体"/>
                <w:sz w:val="24"/>
                <w:highlight w:val="none"/>
              </w:rPr>
            </w:pPr>
          </w:p>
        </w:tc>
        <w:tc>
          <w:tcPr>
            <w:tcW w:w="1700" w:type="dxa"/>
            <w:vAlign w:val="center"/>
          </w:tcPr>
          <w:p w14:paraId="7C13123D">
            <w:pPr>
              <w:spacing w:line="360" w:lineRule="auto"/>
              <w:jc w:val="center"/>
              <w:rPr>
                <w:rFonts w:ascii="宋体" w:hAnsi="宋体"/>
                <w:sz w:val="24"/>
                <w:highlight w:val="none"/>
              </w:rPr>
            </w:pPr>
          </w:p>
        </w:tc>
        <w:tc>
          <w:tcPr>
            <w:tcW w:w="1700" w:type="dxa"/>
            <w:vAlign w:val="center"/>
          </w:tcPr>
          <w:p w14:paraId="13250A8E">
            <w:pPr>
              <w:spacing w:line="360" w:lineRule="auto"/>
              <w:jc w:val="center"/>
              <w:rPr>
                <w:rFonts w:ascii="宋体" w:hAnsi="宋体"/>
                <w:sz w:val="24"/>
                <w:highlight w:val="none"/>
              </w:rPr>
            </w:pPr>
          </w:p>
        </w:tc>
      </w:tr>
      <w:tr w14:paraId="163F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00" w:type="dxa"/>
            <w:vAlign w:val="center"/>
          </w:tcPr>
          <w:p w14:paraId="703D54FA">
            <w:pPr>
              <w:spacing w:line="360" w:lineRule="auto"/>
              <w:jc w:val="center"/>
              <w:rPr>
                <w:rFonts w:ascii="宋体" w:hAnsi="宋体"/>
                <w:sz w:val="24"/>
                <w:highlight w:val="none"/>
              </w:rPr>
            </w:pPr>
            <w:r>
              <w:rPr>
                <w:rFonts w:ascii="宋体" w:hAnsi="宋体"/>
                <w:sz w:val="24"/>
                <w:highlight w:val="none"/>
              </w:rPr>
              <w:t>…</w:t>
            </w:r>
          </w:p>
        </w:tc>
        <w:tc>
          <w:tcPr>
            <w:tcW w:w="1602" w:type="dxa"/>
            <w:vAlign w:val="center"/>
          </w:tcPr>
          <w:p w14:paraId="61F8144E">
            <w:pPr>
              <w:spacing w:line="360" w:lineRule="auto"/>
              <w:jc w:val="center"/>
              <w:rPr>
                <w:rFonts w:ascii="宋体" w:hAnsi="宋体"/>
                <w:sz w:val="24"/>
                <w:highlight w:val="none"/>
              </w:rPr>
            </w:pPr>
          </w:p>
        </w:tc>
        <w:tc>
          <w:tcPr>
            <w:tcW w:w="1297" w:type="dxa"/>
            <w:vAlign w:val="center"/>
          </w:tcPr>
          <w:p w14:paraId="52DE18D7">
            <w:pPr>
              <w:spacing w:line="360" w:lineRule="auto"/>
              <w:jc w:val="center"/>
              <w:rPr>
                <w:rFonts w:ascii="宋体" w:hAnsi="宋体"/>
                <w:sz w:val="24"/>
                <w:highlight w:val="none"/>
              </w:rPr>
            </w:pPr>
          </w:p>
        </w:tc>
        <w:tc>
          <w:tcPr>
            <w:tcW w:w="1700" w:type="dxa"/>
            <w:vAlign w:val="center"/>
          </w:tcPr>
          <w:p w14:paraId="06D6035E">
            <w:pPr>
              <w:spacing w:line="360" w:lineRule="auto"/>
              <w:jc w:val="center"/>
              <w:rPr>
                <w:rFonts w:ascii="宋体" w:hAnsi="宋体"/>
                <w:sz w:val="24"/>
                <w:highlight w:val="none"/>
              </w:rPr>
            </w:pPr>
          </w:p>
        </w:tc>
        <w:tc>
          <w:tcPr>
            <w:tcW w:w="1700" w:type="dxa"/>
            <w:vAlign w:val="center"/>
          </w:tcPr>
          <w:p w14:paraId="5D9A93A5">
            <w:pPr>
              <w:spacing w:line="360" w:lineRule="auto"/>
              <w:jc w:val="center"/>
              <w:rPr>
                <w:rFonts w:ascii="宋体" w:hAnsi="宋体"/>
                <w:sz w:val="24"/>
                <w:highlight w:val="none"/>
              </w:rPr>
            </w:pPr>
          </w:p>
        </w:tc>
        <w:tc>
          <w:tcPr>
            <w:tcW w:w="1700" w:type="dxa"/>
            <w:vAlign w:val="center"/>
          </w:tcPr>
          <w:p w14:paraId="13CD9056">
            <w:pPr>
              <w:spacing w:line="360" w:lineRule="auto"/>
              <w:jc w:val="center"/>
              <w:rPr>
                <w:rFonts w:ascii="宋体" w:hAnsi="宋体"/>
                <w:sz w:val="24"/>
                <w:highlight w:val="none"/>
              </w:rPr>
            </w:pPr>
          </w:p>
        </w:tc>
      </w:tr>
    </w:tbl>
    <w:p w14:paraId="723F7597">
      <w:pPr>
        <w:widowControl/>
        <w:spacing w:line="360" w:lineRule="auto"/>
        <w:jc w:val="both"/>
        <w:rPr>
          <w:rFonts w:hint="eastAsia" w:cs="Times New Roman" w:asciiTheme="minorEastAsia" w:hAnsiTheme="minorEastAsia"/>
          <w:color w:val="000000"/>
          <w:sz w:val="28"/>
          <w:szCs w:val="28"/>
          <w:highlight w:val="none"/>
        </w:rPr>
      </w:pPr>
    </w:p>
    <w:p w14:paraId="1BAD9828">
      <w:pPr>
        <w:widowControl/>
        <w:spacing w:line="360" w:lineRule="auto"/>
        <w:jc w:val="both"/>
        <w:rPr>
          <w:rFonts w:hint="eastAsia" w:cs="Times New Roman" w:asciiTheme="minorEastAsia" w:hAnsiTheme="minorEastAsia"/>
          <w:color w:val="000000"/>
          <w:sz w:val="28"/>
          <w:szCs w:val="28"/>
          <w:highlight w:val="none"/>
        </w:rPr>
      </w:pPr>
    </w:p>
    <w:p w14:paraId="6C7F8F53">
      <w:pPr>
        <w:widowControl/>
        <w:spacing w:line="360" w:lineRule="auto"/>
        <w:jc w:val="both"/>
        <w:rPr>
          <w:rFonts w:cs="Times New Roman" w:asciiTheme="minorEastAsia" w:hAnsiTheme="minorEastAsia"/>
          <w:b/>
          <w:bCs/>
          <w:color w:val="000000" w:themeColor="text1"/>
          <w:kern w:val="0"/>
          <w:sz w:val="28"/>
          <w:szCs w:val="28"/>
          <w:highlight w:val="none"/>
          <w14:textFill>
            <w14:solidFill>
              <w14:schemeClr w14:val="tx1"/>
            </w14:solidFill>
          </w14:textFill>
        </w:rPr>
      </w:pPr>
      <w:r>
        <w:rPr>
          <w:rFonts w:cs="宋体" w:asciiTheme="minorEastAsia" w:hAnsiTheme="minorEastAsia"/>
          <w:color w:val="000000"/>
          <w:kern w:val="0"/>
          <w:sz w:val="28"/>
          <w:szCs w:val="28"/>
          <w:highlight w:val="none"/>
        </w:rPr>
        <w:br w:type="page"/>
      </w:r>
      <w:r>
        <w:rPr>
          <w:rFonts w:hint="eastAsia" w:cs="Times New Roman" w:asciiTheme="minorEastAsia" w:hAnsiTheme="minorEastAsia"/>
          <w:b/>
          <w:bCs/>
          <w:color w:val="000000"/>
          <w:sz w:val="24"/>
          <w:szCs w:val="24"/>
          <w:highlight w:val="none"/>
        </w:rPr>
        <w:t>（</w:t>
      </w:r>
      <w:r>
        <w:rPr>
          <w:rFonts w:cs="Times New Roman" w:asciiTheme="minorEastAsia" w:hAnsiTheme="minorEastAsia"/>
          <w:b/>
          <w:bCs/>
          <w:color w:val="000000"/>
          <w:sz w:val="24"/>
          <w:szCs w:val="24"/>
          <w:highlight w:val="none"/>
        </w:rPr>
        <w:t>2</w:t>
      </w:r>
      <w:r>
        <w:rPr>
          <w:rFonts w:hint="eastAsia" w:cs="Times New Roman" w:asciiTheme="minorEastAsia" w:hAnsiTheme="minorEastAsia"/>
          <w:b/>
          <w:bCs/>
          <w:color w:val="000000"/>
          <w:sz w:val="24"/>
          <w:szCs w:val="24"/>
          <w:highlight w:val="none"/>
        </w:rPr>
        <w:t>）</w:t>
      </w:r>
      <w:r>
        <w:rPr>
          <w:rFonts w:hint="eastAsia" w:cs="Times New Roman" w:asciiTheme="minorEastAsia" w:hAnsiTheme="minorEastAsia"/>
          <w:b/>
          <w:bCs/>
          <w:color w:val="000000" w:themeColor="text1"/>
          <w:kern w:val="0"/>
          <w:sz w:val="24"/>
          <w:szCs w:val="24"/>
          <w:highlight w:val="none"/>
          <w14:textFill>
            <w14:solidFill>
              <w14:schemeClr w14:val="tx1"/>
            </w14:solidFill>
          </w14:textFill>
        </w:rPr>
        <w:t>拟投入主要人员简历表</w:t>
      </w:r>
    </w:p>
    <w:tbl>
      <w:tblPr>
        <w:tblStyle w:val="23"/>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7A2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5EAF1665">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6D924D85">
            <w:pPr>
              <w:spacing w:line="360" w:lineRule="auto"/>
              <w:jc w:val="center"/>
              <w:rPr>
                <w:rFonts w:cs="宋体" w:asciiTheme="minorEastAsia" w:hAnsiTheme="minorEastAsia"/>
                <w:sz w:val="24"/>
                <w:szCs w:val="24"/>
                <w:highlight w:val="none"/>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2B28DD2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4CE94913">
            <w:pPr>
              <w:spacing w:line="360" w:lineRule="auto"/>
              <w:jc w:val="center"/>
              <w:rPr>
                <w:rFonts w:cs="宋体" w:asciiTheme="minorEastAsia" w:hAnsiTheme="minorEastAsia"/>
                <w:sz w:val="24"/>
                <w:szCs w:val="24"/>
                <w:highlight w:val="none"/>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6E1EC8D">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72B44B2F">
            <w:pPr>
              <w:spacing w:line="360" w:lineRule="auto"/>
              <w:jc w:val="center"/>
              <w:rPr>
                <w:rFonts w:cs="宋体" w:asciiTheme="minorEastAsia" w:hAnsiTheme="minorEastAsia"/>
                <w:sz w:val="24"/>
                <w:szCs w:val="24"/>
                <w:highlight w:val="none"/>
              </w:rPr>
            </w:pPr>
          </w:p>
        </w:tc>
      </w:tr>
      <w:tr w14:paraId="62CE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EB42FE6">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E9F8D72">
            <w:pPr>
              <w:spacing w:line="360" w:lineRule="auto"/>
              <w:jc w:val="center"/>
              <w:rPr>
                <w:rFonts w:cs="宋体" w:asciiTheme="minorEastAsia" w:hAnsiTheme="minorEastAsia"/>
                <w:sz w:val="24"/>
                <w:szCs w:val="24"/>
                <w:highlight w:val="none"/>
              </w:rPr>
            </w:pPr>
          </w:p>
        </w:tc>
        <w:tc>
          <w:tcPr>
            <w:tcW w:w="1232" w:type="dxa"/>
            <w:tcBorders>
              <w:top w:val="single" w:color="auto" w:sz="4" w:space="0"/>
              <w:left w:val="single" w:color="auto" w:sz="4" w:space="0"/>
              <w:bottom w:val="single" w:color="000000" w:sz="2" w:space="0"/>
              <w:right w:val="single" w:color="000000" w:sz="2" w:space="0"/>
            </w:tcBorders>
            <w:vAlign w:val="center"/>
          </w:tcPr>
          <w:p w14:paraId="3652F990">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7AA8CF6">
            <w:pPr>
              <w:spacing w:line="360" w:lineRule="auto"/>
              <w:jc w:val="center"/>
              <w:rPr>
                <w:rFonts w:cs="宋体" w:asciiTheme="minorEastAsia" w:hAnsiTheme="minorEastAsia"/>
                <w:sz w:val="24"/>
                <w:szCs w:val="24"/>
                <w:highlight w:val="none"/>
              </w:rPr>
            </w:pPr>
          </w:p>
        </w:tc>
        <w:tc>
          <w:tcPr>
            <w:tcW w:w="1050" w:type="dxa"/>
            <w:tcBorders>
              <w:top w:val="single" w:color="auto" w:sz="4" w:space="0"/>
              <w:left w:val="single" w:color="auto" w:sz="4" w:space="0"/>
              <w:bottom w:val="single" w:color="000000" w:sz="2" w:space="0"/>
              <w:right w:val="single" w:color="000000" w:sz="2" w:space="0"/>
            </w:tcBorders>
            <w:vAlign w:val="center"/>
          </w:tcPr>
          <w:p w14:paraId="6473F057">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200CEA6E">
            <w:pPr>
              <w:spacing w:line="360" w:lineRule="auto"/>
              <w:jc w:val="center"/>
              <w:rPr>
                <w:rFonts w:cs="宋体" w:asciiTheme="minorEastAsia" w:hAnsiTheme="minorEastAsia"/>
                <w:sz w:val="24"/>
                <w:szCs w:val="24"/>
                <w:highlight w:val="none"/>
              </w:rPr>
            </w:pPr>
          </w:p>
        </w:tc>
      </w:tr>
      <w:tr w14:paraId="127C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0FD9DE68">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681D7FEE">
            <w:pPr>
              <w:spacing w:line="360" w:lineRule="auto"/>
              <w:jc w:val="center"/>
              <w:rPr>
                <w:rFonts w:cs="宋体" w:asciiTheme="minorEastAsia" w:hAnsiTheme="minorEastAsia"/>
                <w:sz w:val="24"/>
                <w:szCs w:val="24"/>
                <w:highlight w:val="none"/>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0A0FBB">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09662C10">
            <w:pPr>
              <w:spacing w:line="360" w:lineRule="auto"/>
              <w:jc w:val="center"/>
              <w:rPr>
                <w:rFonts w:cs="宋体" w:asciiTheme="minorEastAsia" w:hAnsiTheme="minorEastAsia"/>
                <w:sz w:val="24"/>
                <w:szCs w:val="24"/>
                <w:highlight w:val="none"/>
              </w:rPr>
            </w:pPr>
          </w:p>
        </w:tc>
      </w:tr>
      <w:tr w14:paraId="5320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0A68834E">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2CA1FECC">
            <w:pPr>
              <w:spacing w:line="360" w:lineRule="auto"/>
              <w:rPr>
                <w:rFonts w:cs="宋体" w:asciiTheme="minorEastAsia" w:hAnsiTheme="minorEastAsia"/>
                <w:sz w:val="24"/>
                <w:szCs w:val="24"/>
                <w:highlight w:val="none"/>
              </w:rPr>
            </w:pPr>
          </w:p>
        </w:tc>
      </w:tr>
      <w:tr w14:paraId="4A8D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025A10E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7072A6B5">
            <w:pPr>
              <w:spacing w:line="360" w:lineRule="auto"/>
              <w:rPr>
                <w:rFonts w:cs="宋体" w:asciiTheme="minorEastAsia" w:hAnsiTheme="minorEastAsia"/>
                <w:sz w:val="24"/>
                <w:szCs w:val="24"/>
                <w:highlight w:val="none"/>
              </w:rPr>
            </w:pPr>
          </w:p>
        </w:tc>
      </w:tr>
      <w:tr w14:paraId="43FB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31D300E3">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主要工作经历</w:t>
            </w:r>
          </w:p>
        </w:tc>
      </w:tr>
      <w:tr w14:paraId="0898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7F0C851D">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2FB0EE74">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ECFBE4A">
            <w:pPr>
              <w:spacing w:line="360" w:lineRule="auto"/>
              <w:jc w:val="center"/>
              <w:rPr>
                <w:rFonts w:cs="宋体" w:asciiTheme="minorEastAsia" w:hAnsiTheme="minorEastAsia"/>
                <w:sz w:val="24"/>
                <w:szCs w:val="24"/>
                <w:highlight w:val="none"/>
              </w:rPr>
            </w:pPr>
            <w:r>
              <w:rPr>
                <w:rFonts w:hint="eastAsia" w:cs="宋体" w:asciiTheme="minorEastAsia" w:hAnsiTheme="minorEastAsia"/>
                <w:sz w:val="24"/>
                <w:szCs w:val="24"/>
                <w:highlight w:val="none"/>
              </w:rPr>
              <w:t>该项目中的任职</w:t>
            </w:r>
          </w:p>
        </w:tc>
      </w:tr>
      <w:tr w14:paraId="0265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1B307910">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8EC67BC">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B28AAB5">
            <w:pPr>
              <w:spacing w:line="360" w:lineRule="auto"/>
              <w:rPr>
                <w:rFonts w:cs="宋体" w:asciiTheme="minorEastAsia" w:hAnsiTheme="minorEastAsia"/>
                <w:sz w:val="24"/>
                <w:szCs w:val="24"/>
                <w:highlight w:val="none"/>
              </w:rPr>
            </w:pPr>
          </w:p>
        </w:tc>
      </w:tr>
      <w:tr w14:paraId="1842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42BCCEA">
            <w:pPr>
              <w:spacing w:line="360" w:lineRule="auto"/>
              <w:rPr>
                <w:rFonts w:cs="宋体" w:asciiTheme="minorEastAsia" w:hAnsiTheme="minorEastAsia"/>
                <w:sz w:val="24"/>
                <w:szCs w:val="24"/>
                <w:highlight w:val="none"/>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2AF42A27">
            <w:pPr>
              <w:spacing w:line="360" w:lineRule="auto"/>
              <w:rPr>
                <w:rFonts w:cs="宋体" w:asciiTheme="minorEastAsia" w:hAnsiTheme="minorEastAsia"/>
                <w:sz w:val="24"/>
                <w:szCs w:val="24"/>
                <w:highlight w:val="none"/>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30A8B2E4">
            <w:pPr>
              <w:spacing w:line="360" w:lineRule="auto"/>
              <w:rPr>
                <w:rFonts w:cs="宋体" w:asciiTheme="minorEastAsia" w:hAnsiTheme="minorEastAsia"/>
                <w:sz w:val="24"/>
                <w:szCs w:val="24"/>
                <w:highlight w:val="none"/>
              </w:rPr>
            </w:pPr>
          </w:p>
        </w:tc>
      </w:tr>
    </w:tbl>
    <w:p w14:paraId="4144D80D">
      <w:pPr>
        <w:spacing w:line="360" w:lineRule="auto"/>
        <w:ind w:firstLine="480" w:firstLineChars="200"/>
        <w:rPr>
          <w:rFonts w:cs="宋体" w:asciiTheme="minorEastAsia" w:hAnsiTheme="minorEastAsia"/>
          <w:b/>
          <w:sz w:val="24"/>
          <w:szCs w:val="24"/>
          <w:highlight w:val="none"/>
        </w:rPr>
      </w:pPr>
    </w:p>
    <w:p w14:paraId="1EDC3440">
      <w:pPr>
        <w:spacing w:line="360" w:lineRule="auto"/>
        <w:ind w:firstLine="480" w:firstLineChars="200"/>
        <w:rPr>
          <w:rFonts w:cs="宋体" w:asciiTheme="minorEastAsia" w:hAnsiTheme="minorEastAsia"/>
          <w:b/>
          <w:sz w:val="24"/>
          <w:szCs w:val="24"/>
          <w:highlight w:val="none"/>
        </w:rPr>
      </w:pPr>
      <w:r>
        <w:rPr>
          <w:rFonts w:hint="eastAsia" w:cs="宋体" w:asciiTheme="minorEastAsia" w:hAnsiTheme="minorEastAsia"/>
          <w:b/>
          <w:sz w:val="24"/>
          <w:szCs w:val="24"/>
          <w:highlight w:val="none"/>
        </w:rPr>
        <w:t>注：响应人需随此表附上主要人员职称证书、身份证原件扫描件。。</w:t>
      </w:r>
    </w:p>
    <w:p w14:paraId="3F19FB41">
      <w:pPr>
        <w:widowControl/>
        <w:spacing w:line="360" w:lineRule="auto"/>
        <w:jc w:val="center"/>
        <w:rPr>
          <w:rFonts w:cs="宋体" w:asciiTheme="minorEastAsia" w:hAnsiTheme="minorEastAsia"/>
          <w:b/>
          <w:color w:val="000000"/>
          <w:kern w:val="0"/>
          <w:sz w:val="28"/>
          <w:szCs w:val="28"/>
          <w:highlight w:val="none"/>
        </w:rPr>
      </w:pPr>
    </w:p>
    <w:p w14:paraId="5A92522E">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cstheme="minorEastAsia"/>
          <w:spacing w:val="24"/>
          <w:sz w:val="24"/>
          <w:szCs w:val="24"/>
          <w:u w:val="single"/>
          <w:lang w:val="en-US" w:eastAsia="zh-CN"/>
        </w:rPr>
        <w:t xml:space="preserve">    </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22AEA282">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51C23EF4">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496F63C2">
      <w:pPr>
        <w:rPr>
          <w:rFonts w:cs="楷体"/>
          <w:b/>
          <w:color w:val="000000"/>
          <w:kern w:val="2"/>
          <w:sz w:val="32"/>
          <w:lang w:eastAsia="zh-CN"/>
        </w:rPr>
      </w:pPr>
      <w:r>
        <w:rPr>
          <w:rFonts w:cs="楷体"/>
          <w:color w:val="FF0000"/>
          <w:sz w:val="28"/>
          <w:szCs w:val="28"/>
          <w:lang w:eastAsia="zh-CN"/>
        </w:rPr>
        <w:br w:type="page"/>
      </w:r>
      <w:r>
        <w:rPr>
          <w:rFonts w:hint="eastAsia" w:cs="楷体"/>
          <w:color w:val="FF0000"/>
          <w:sz w:val="28"/>
          <w:szCs w:val="28"/>
          <w:lang w:val="en-US" w:eastAsia="zh-CN"/>
        </w:rPr>
        <w:t xml:space="preserve">                  </w:t>
      </w:r>
      <w:r>
        <w:rPr>
          <w:rFonts w:hint="eastAsia" w:cs="楷体"/>
          <w:b/>
          <w:color w:val="000000"/>
          <w:kern w:val="2"/>
          <w:sz w:val="28"/>
          <w:szCs w:val="28"/>
          <w:lang w:eastAsia="zh-CN"/>
        </w:rPr>
        <w:t>六、投标人资格证明材料</w:t>
      </w:r>
    </w:p>
    <w:p w14:paraId="34E0E959">
      <w:pPr>
        <w:autoSpaceDE/>
        <w:autoSpaceDN/>
        <w:spacing w:line="360" w:lineRule="auto"/>
        <w:jc w:val="center"/>
        <w:rPr>
          <w:rFonts w:cs="楷体"/>
          <w:color w:val="FF0000"/>
          <w:kern w:val="2"/>
          <w:sz w:val="24"/>
          <w:szCs w:val="24"/>
          <w:lang w:eastAsia="zh-CN"/>
        </w:rPr>
      </w:pPr>
      <w:r>
        <w:rPr>
          <w:rFonts w:hint="eastAsia" w:cs="楷体"/>
          <w:color w:val="000000"/>
          <w:kern w:val="2"/>
          <w:sz w:val="24"/>
          <w:szCs w:val="24"/>
          <w:lang w:eastAsia="zh-CN"/>
        </w:rPr>
        <w:t>（格式自拟，应逐页加盖电子签章。）</w:t>
      </w:r>
    </w:p>
    <w:p w14:paraId="2DD76D81">
      <w:pPr>
        <w:autoSpaceDE/>
        <w:autoSpaceDN/>
        <w:spacing w:line="360" w:lineRule="auto"/>
        <w:jc w:val="both"/>
        <w:rPr>
          <w:rFonts w:cs="楷体"/>
          <w:color w:val="FF0000"/>
          <w:kern w:val="2"/>
          <w:sz w:val="21"/>
          <w:lang w:eastAsia="zh-CN"/>
        </w:rPr>
      </w:pPr>
    </w:p>
    <w:p w14:paraId="0E4BDDF6">
      <w:pPr>
        <w:autoSpaceDE/>
        <w:autoSpaceDN/>
        <w:spacing w:line="360" w:lineRule="auto"/>
        <w:jc w:val="both"/>
        <w:rPr>
          <w:rFonts w:cs="楷体"/>
          <w:color w:val="FF0000"/>
          <w:kern w:val="2"/>
          <w:sz w:val="21"/>
          <w:lang w:eastAsia="zh-CN"/>
        </w:rPr>
      </w:pPr>
    </w:p>
    <w:p w14:paraId="5EBD72EA">
      <w:pPr>
        <w:autoSpaceDE/>
        <w:autoSpaceDN/>
        <w:spacing w:line="360" w:lineRule="auto"/>
        <w:jc w:val="both"/>
        <w:rPr>
          <w:rFonts w:cs="楷体"/>
          <w:color w:val="FF0000"/>
          <w:kern w:val="2"/>
          <w:sz w:val="21"/>
          <w:lang w:eastAsia="zh-CN"/>
        </w:rPr>
      </w:pPr>
    </w:p>
    <w:p w14:paraId="3A1E6EA8">
      <w:pPr>
        <w:autoSpaceDE/>
        <w:autoSpaceDN/>
        <w:spacing w:before="260" w:after="260" w:line="415" w:lineRule="auto"/>
        <w:jc w:val="center"/>
        <w:outlineLvl w:val="1"/>
        <w:rPr>
          <w:rFonts w:cs="楷体"/>
          <w:b/>
          <w:color w:val="FF0000"/>
          <w:kern w:val="2"/>
          <w:sz w:val="28"/>
          <w:szCs w:val="20"/>
          <w:lang w:eastAsia="zh-CN"/>
        </w:rPr>
      </w:pPr>
      <w:bookmarkStart w:id="506" w:name="_Toc251767428"/>
      <w:bookmarkStart w:id="507" w:name="_Toc14794"/>
      <w:bookmarkStart w:id="508" w:name="_Toc13126"/>
    </w:p>
    <w:p w14:paraId="276E9479">
      <w:pPr>
        <w:autoSpaceDE/>
        <w:autoSpaceDN/>
        <w:spacing w:line="360" w:lineRule="auto"/>
        <w:jc w:val="center"/>
        <w:rPr>
          <w:rFonts w:cs="楷体"/>
          <w:b/>
          <w:color w:val="FF0000"/>
          <w:kern w:val="2"/>
          <w:sz w:val="28"/>
          <w:szCs w:val="28"/>
          <w:lang w:eastAsia="zh-CN"/>
        </w:rPr>
      </w:pPr>
      <w:r>
        <w:rPr>
          <w:rFonts w:cs="楷体"/>
          <w:b/>
          <w:color w:val="FF0000"/>
          <w:kern w:val="2"/>
          <w:sz w:val="28"/>
          <w:szCs w:val="20"/>
          <w:lang w:eastAsia="zh-CN"/>
        </w:rPr>
        <w:br w:type="page"/>
      </w:r>
      <w:r>
        <w:rPr>
          <w:rFonts w:hint="eastAsia" w:cs="楷体"/>
          <w:b/>
          <w:color w:val="auto"/>
          <w:kern w:val="2"/>
          <w:sz w:val="28"/>
          <w:szCs w:val="20"/>
          <w:lang w:eastAsia="zh-CN"/>
        </w:rPr>
        <w:t>七</w:t>
      </w:r>
      <w:r>
        <w:rPr>
          <w:rFonts w:hint="eastAsia" w:cs="楷体"/>
          <w:b/>
          <w:color w:val="auto"/>
          <w:kern w:val="2"/>
          <w:sz w:val="28"/>
          <w:szCs w:val="28"/>
          <w:lang w:eastAsia="zh-CN"/>
        </w:rPr>
        <w:t>、</w:t>
      </w:r>
      <w:r>
        <w:rPr>
          <w:rFonts w:hint="eastAsia" w:cs="楷体"/>
          <w:b/>
          <w:color w:val="000000"/>
          <w:kern w:val="2"/>
          <w:sz w:val="28"/>
          <w:szCs w:val="28"/>
          <w:lang w:eastAsia="zh-CN"/>
        </w:rPr>
        <w:t>技术部分</w:t>
      </w:r>
      <w:bookmarkEnd w:id="506"/>
      <w:bookmarkEnd w:id="507"/>
      <w:bookmarkEnd w:id="508"/>
    </w:p>
    <w:p w14:paraId="024E3442">
      <w:pPr>
        <w:tabs>
          <w:tab w:val="left" w:pos="425"/>
        </w:tabs>
        <w:autoSpaceDE/>
        <w:autoSpaceDN/>
        <w:spacing w:before="260" w:after="260" w:line="413" w:lineRule="auto"/>
        <w:ind w:left="425" w:hanging="425"/>
        <w:jc w:val="center"/>
        <w:outlineLvl w:val="1"/>
        <w:rPr>
          <w:rFonts w:hint="eastAsia"/>
          <w:kern w:val="2"/>
          <w:sz w:val="24"/>
          <w:szCs w:val="24"/>
        </w:rPr>
      </w:pPr>
      <w:r>
        <w:rPr>
          <w:rFonts w:hint="eastAsia"/>
          <w:kern w:val="2"/>
          <w:sz w:val="24"/>
          <w:szCs w:val="24"/>
        </w:rPr>
        <w:t>（格式自拟，应逐页加盖</w:t>
      </w:r>
      <w:r>
        <w:rPr>
          <w:rFonts w:hint="eastAsia" w:cs="Times New Roman"/>
          <w:color w:val="000000"/>
          <w:kern w:val="2"/>
          <w:sz w:val="24"/>
          <w:szCs w:val="24"/>
        </w:rPr>
        <w:t>电子签章</w:t>
      </w:r>
      <w:r>
        <w:rPr>
          <w:rFonts w:hint="eastAsia"/>
          <w:kern w:val="2"/>
          <w:sz w:val="24"/>
          <w:szCs w:val="24"/>
        </w:rPr>
        <w:t>。）</w:t>
      </w:r>
    </w:p>
    <w:p w14:paraId="299CAD8F">
      <w:pPr>
        <w:rPr>
          <w:rFonts w:hint="eastAsia"/>
          <w:kern w:val="2"/>
          <w:sz w:val="24"/>
          <w:szCs w:val="24"/>
        </w:rPr>
      </w:pPr>
      <w:r>
        <w:rPr>
          <w:rFonts w:hint="eastAsia"/>
          <w:kern w:val="2"/>
          <w:sz w:val="24"/>
          <w:szCs w:val="24"/>
        </w:rPr>
        <w:br w:type="page"/>
      </w:r>
    </w:p>
    <w:p w14:paraId="37938BDC">
      <w:pPr>
        <w:autoSpaceDE/>
        <w:autoSpaceDN/>
        <w:spacing w:line="360" w:lineRule="auto"/>
        <w:jc w:val="center"/>
        <w:rPr>
          <w:rFonts w:cs="楷体"/>
          <w:b/>
          <w:color w:val="FF0000"/>
          <w:kern w:val="2"/>
          <w:sz w:val="28"/>
          <w:szCs w:val="28"/>
          <w:lang w:eastAsia="zh-CN"/>
        </w:rPr>
      </w:pPr>
      <w:r>
        <w:rPr>
          <w:rFonts w:hint="eastAsia" w:cs="楷体"/>
          <w:b/>
          <w:color w:val="auto"/>
          <w:kern w:val="2"/>
          <w:sz w:val="28"/>
          <w:szCs w:val="20"/>
          <w:lang w:eastAsia="zh-CN"/>
        </w:rPr>
        <w:t>八</w:t>
      </w:r>
      <w:r>
        <w:rPr>
          <w:rFonts w:hint="eastAsia" w:cs="楷体"/>
          <w:b/>
          <w:color w:val="auto"/>
          <w:kern w:val="2"/>
          <w:sz w:val="28"/>
          <w:szCs w:val="28"/>
          <w:lang w:eastAsia="zh-CN"/>
        </w:rPr>
        <w:t>、</w:t>
      </w:r>
      <w:r>
        <w:rPr>
          <w:rFonts w:hint="eastAsia" w:cs="楷体"/>
          <w:b/>
          <w:color w:val="000000"/>
          <w:kern w:val="2"/>
          <w:sz w:val="28"/>
          <w:szCs w:val="28"/>
          <w:lang w:eastAsia="zh-CN"/>
        </w:rPr>
        <w:t>商务部分</w:t>
      </w:r>
    </w:p>
    <w:p w14:paraId="7A297A96">
      <w:pPr>
        <w:spacing w:line="360" w:lineRule="auto"/>
        <w:ind w:left="-31" w:leftChars="-95" w:right="452" w:hanging="168" w:hangingChars="67"/>
        <w:jc w:val="both"/>
        <w:rPr>
          <w:rFonts w:hint="eastAsia" w:asciiTheme="minorEastAsia" w:hAnsiTheme="minorEastAsia" w:eastAsiaTheme="minorEastAsia" w:cstheme="minorEastAsia"/>
          <w:b/>
          <w:sz w:val="24"/>
          <w:szCs w:val="24"/>
        </w:rPr>
      </w:pPr>
      <w:r>
        <w:rPr>
          <w:rFonts w:hint="eastAsia" w:asciiTheme="minorEastAsia" w:hAnsiTheme="minorEastAsia" w:cstheme="minorEastAsia"/>
          <w:b/>
          <w:spacing w:val="6"/>
          <w:sz w:val="24"/>
          <w:szCs w:val="24"/>
          <w:lang w:eastAsia="zh-CN"/>
        </w:rPr>
        <w:t>（一）</w:t>
      </w:r>
      <w:r>
        <w:rPr>
          <w:rFonts w:hint="eastAsia" w:asciiTheme="minorEastAsia" w:hAnsiTheme="minorEastAsia" w:eastAsiaTheme="minorEastAsia" w:cstheme="minorEastAsia"/>
          <w:b/>
          <w:spacing w:val="6"/>
          <w:sz w:val="24"/>
          <w:szCs w:val="24"/>
        </w:rPr>
        <w:t>供应商20</w:t>
      </w:r>
      <w:r>
        <w:rPr>
          <w:rFonts w:hint="eastAsia" w:asciiTheme="minorEastAsia" w:hAnsiTheme="minorEastAsia" w:eastAsiaTheme="minorEastAsia" w:cstheme="minorEastAsia"/>
          <w:b/>
          <w:spacing w:val="6"/>
          <w:sz w:val="24"/>
          <w:szCs w:val="24"/>
          <w:lang w:val="en-US" w:eastAsia="zh-CN"/>
        </w:rPr>
        <w:t>2</w:t>
      </w:r>
      <w:r>
        <w:rPr>
          <w:rFonts w:hint="eastAsia" w:asciiTheme="minorEastAsia" w:hAnsiTheme="minorEastAsia" w:cstheme="minorEastAsia"/>
          <w:b/>
          <w:spacing w:val="6"/>
          <w:sz w:val="24"/>
          <w:szCs w:val="24"/>
          <w:lang w:val="en-US" w:eastAsia="zh-CN"/>
        </w:rPr>
        <w:t>3</w:t>
      </w:r>
      <w:r>
        <w:rPr>
          <w:rFonts w:hint="eastAsia" w:asciiTheme="minorEastAsia" w:hAnsiTheme="minorEastAsia" w:eastAsiaTheme="minorEastAsia" w:cstheme="minorEastAsia"/>
          <w:b/>
          <w:spacing w:val="6"/>
          <w:sz w:val="24"/>
          <w:szCs w:val="24"/>
        </w:rPr>
        <w:t>年01月01日以来类似项目业绩一览表</w:t>
      </w:r>
    </w:p>
    <w:tbl>
      <w:tblPr>
        <w:tblStyle w:val="23"/>
        <w:tblW w:w="86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tblGrid>
      <w:tr w14:paraId="3A7AF3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14:paraId="3F60FAF5">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14:paraId="01B21DC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14:paraId="03E29C87">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14:paraId="0997235C">
            <w:pPr>
              <w:spacing w:line="40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14:paraId="19602760">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w:t>
            </w:r>
          </w:p>
          <w:p w14:paraId="1308A523">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14:paraId="2C82F972">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14:paraId="22BECE0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B9D43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D459C8C">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0C60AFD8">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31BCCC1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5EC65C9B">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53FE44B2">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22F75E64">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6EB6786C">
            <w:pPr>
              <w:spacing w:line="400" w:lineRule="exact"/>
              <w:jc w:val="center"/>
              <w:rPr>
                <w:rFonts w:hint="eastAsia" w:asciiTheme="minorEastAsia" w:hAnsiTheme="minorEastAsia" w:eastAsiaTheme="minorEastAsia" w:cstheme="minorEastAsia"/>
                <w:sz w:val="24"/>
                <w:szCs w:val="24"/>
              </w:rPr>
            </w:pPr>
          </w:p>
        </w:tc>
      </w:tr>
      <w:tr w14:paraId="6D2EB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028C490B">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B41BB1E">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6F72B4A4">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CF83BD8">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1810AA4">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1D68D5C2">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0CDEA021">
            <w:pPr>
              <w:spacing w:line="400" w:lineRule="exact"/>
              <w:jc w:val="center"/>
              <w:rPr>
                <w:rFonts w:hint="eastAsia" w:asciiTheme="minorEastAsia" w:hAnsiTheme="minorEastAsia" w:eastAsiaTheme="minorEastAsia" w:cstheme="minorEastAsia"/>
                <w:sz w:val="24"/>
                <w:szCs w:val="24"/>
              </w:rPr>
            </w:pPr>
          </w:p>
        </w:tc>
      </w:tr>
      <w:tr w14:paraId="46E7D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5CC0BA71">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687A0E8A">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14:paraId="4DB3EFB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34169D79">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2899CF0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5230889E">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3CE48489">
            <w:pPr>
              <w:spacing w:line="400" w:lineRule="exact"/>
              <w:jc w:val="center"/>
              <w:rPr>
                <w:rFonts w:hint="eastAsia" w:asciiTheme="minorEastAsia" w:hAnsiTheme="minorEastAsia" w:eastAsiaTheme="minorEastAsia" w:cstheme="minorEastAsia"/>
                <w:sz w:val="24"/>
                <w:szCs w:val="24"/>
              </w:rPr>
            </w:pPr>
          </w:p>
        </w:tc>
      </w:tr>
      <w:tr w14:paraId="7219C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14:paraId="1B87BBC3">
            <w:pPr>
              <w:spacing w:line="400" w:lineRule="exact"/>
              <w:jc w:val="center"/>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14:paraId="0C132094">
            <w:pPr>
              <w:spacing w:line="400" w:lineRule="exact"/>
              <w:jc w:val="center"/>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14:paraId="05C98042">
            <w:pPr>
              <w:spacing w:line="400" w:lineRule="exact"/>
              <w:jc w:val="center"/>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14:paraId="46616E85">
            <w:pPr>
              <w:spacing w:line="400" w:lineRule="exact"/>
              <w:jc w:val="center"/>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14:paraId="7D4078CE">
            <w:pPr>
              <w:spacing w:line="400" w:lineRule="exact"/>
              <w:jc w:val="center"/>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14:paraId="330A012F">
            <w:pPr>
              <w:spacing w:line="400" w:lineRule="exact"/>
              <w:jc w:val="center"/>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14:paraId="4945330F">
            <w:pPr>
              <w:spacing w:line="400" w:lineRule="exact"/>
              <w:jc w:val="center"/>
              <w:rPr>
                <w:rFonts w:hint="eastAsia" w:asciiTheme="minorEastAsia" w:hAnsiTheme="minorEastAsia" w:eastAsiaTheme="minorEastAsia" w:cstheme="minorEastAsia"/>
                <w:sz w:val="24"/>
                <w:szCs w:val="24"/>
              </w:rPr>
            </w:pPr>
          </w:p>
        </w:tc>
      </w:tr>
      <w:tr w14:paraId="61ECC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14:paraId="0CB6A0CC">
            <w:pPr>
              <w:spacing w:line="400" w:lineRule="exact"/>
              <w:rPr>
                <w:rFonts w:hint="eastAsia" w:asciiTheme="minorEastAsia" w:hAnsiTheme="minorEastAsia" w:eastAsiaTheme="minorEastAsia" w:cstheme="minorEastAsia"/>
                <w:sz w:val="24"/>
                <w:szCs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14:paraId="770C07D6">
            <w:pPr>
              <w:spacing w:line="400" w:lineRule="exact"/>
              <w:rPr>
                <w:rFonts w:hint="eastAsia" w:asciiTheme="minorEastAsia" w:hAnsiTheme="minorEastAsia" w:eastAsiaTheme="minorEastAsia" w:cstheme="minorEastAsia"/>
                <w:sz w:val="24"/>
                <w:szCs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14:paraId="272F2686">
            <w:pPr>
              <w:spacing w:line="400" w:lineRule="exact"/>
              <w:rPr>
                <w:rFonts w:hint="eastAsia" w:asciiTheme="minorEastAsia" w:hAnsiTheme="minorEastAsia" w:eastAsiaTheme="minorEastAsia" w:cstheme="minorEastAsia"/>
                <w:sz w:val="24"/>
                <w:szCs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14:paraId="2CE6187A">
            <w:pPr>
              <w:spacing w:line="400" w:lineRule="exact"/>
              <w:rPr>
                <w:rFonts w:hint="eastAsia" w:asciiTheme="minorEastAsia" w:hAnsiTheme="minorEastAsia" w:eastAsiaTheme="minorEastAsia" w:cstheme="minorEastAsia"/>
                <w:sz w:val="24"/>
                <w:szCs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14:paraId="2E1618D3">
            <w:pPr>
              <w:spacing w:line="400" w:lineRule="exact"/>
              <w:rPr>
                <w:rFonts w:hint="eastAsia" w:asciiTheme="minorEastAsia" w:hAnsiTheme="minorEastAsia" w:eastAsiaTheme="minorEastAsia" w:cstheme="minorEastAsia"/>
                <w:sz w:val="24"/>
                <w:szCs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14:paraId="50B7B129">
            <w:pPr>
              <w:spacing w:line="400" w:lineRule="exact"/>
              <w:rPr>
                <w:rFonts w:hint="eastAsia" w:asciiTheme="minorEastAsia" w:hAnsiTheme="minorEastAsia" w:eastAsiaTheme="minorEastAsia" w:cstheme="minorEastAsia"/>
                <w:sz w:val="24"/>
                <w:szCs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14:paraId="30FD3ED9">
            <w:pPr>
              <w:spacing w:line="400" w:lineRule="exact"/>
              <w:rPr>
                <w:rFonts w:hint="eastAsia" w:asciiTheme="minorEastAsia" w:hAnsiTheme="minorEastAsia" w:eastAsiaTheme="minorEastAsia" w:cstheme="minorEastAsia"/>
                <w:sz w:val="24"/>
                <w:szCs w:val="24"/>
              </w:rPr>
            </w:pPr>
          </w:p>
        </w:tc>
      </w:tr>
    </w:tbl>
    <w:p w14:paraId="0A199553">
      <w:pPr>
        <w:pStyle w:val="21"/>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注：应后附表中所列项目的服务合同原件扫描件，并逐页加盖电子签章。</w:t>
      </w:r>
    </w:p>
    <w:p w14:paraId="50E3770E">
      <w:pPr>
        <w:autoSpaceDE/>
        <w:autoSpaceDN/>
        <w:spacing w:line="360" w:lineRule="auto"/>
        <w:jc w:val="center"/>
        <w:rPr>
          <w:rFonts w:hint="eastAsia" w:cs="楷体"/>
          <w:b/>
          <w:color w:val="000000"/>
          <w:kern w:val="2"/>
          <w:sz w:val="24"/>
          <w:szCs w:val="24"/>
          <w:lang w:eastAsia="zh-CN"/>
        </w:rPr>
      </w:pPr>
      <w:r>
        <w:rPr>
          <w:rFonts w:hint="eastAsia" w:ascii="宋体" w:hAnsi="宋体" w:cs="宋体"/>
          <w:sz w:val="24"/>
        </w:rPr>
        <w:br w:type="page"/>
      </w:r>
      <w:r>
        <w:rPr>
          <w:rFonts w:hint="eastAsia" w:cs="楷体"/>
          <w:b/>
          <w:color w:val="000000"/>
          <w:kern w:val="2"/>
          <w:sz w:val="24"/>
          <w:szCs w:val="24"/>
          <w:lang w:eastAsia="zh-CN"/>
        </w:rPr>
        <w:t>（二）综合标其他证明材料</w:t>
      </w:r>
    </w:p>
    <w:p w14:paraId="0BA931C2">
      <w:pPr>
        <w:autoSpaceDE/>
        <w:autoSpaceDN/>
        <w:spacing w:line="360" w:lineRule="auto"/>
        <w:jc w:val="center"/>
        <w:rPr>
          <w:rFonts w:hint="eastAsia"/>
          <w:kern w:val="2"/>
          <w:sz w:val="24"/>
          <w:szCs w:val="21"/>
          <w:lang w:eastAsia="zh-CN"/>
        </w:rPr>
      </w:pPr>
      <w:r>
        <w:rPr>
          <w:rFonts w:hint="eastAsia"/>
          <w:kern w:val="2"/>
          <w:sz w:val="24"/>
          <w:szCs w:val="21"/>
        </w:rPr>
        <w:t>（格式自拟，应逐页加盖</w:t>
      </w:r>
      <w:r>
        <w:rPr>
          <w:rFonts w:hint="eastAsia" w:cs="Times New Roman"/>
          <w:color w:val="000000"/>
          <w:kern w:val="2"/>
          <w:sz w:val="24"/>
          <w:szCs w:val="24"/>
        </w:rPr>
        <w:t>电子签章</w:t>
      </w:r>
      <w:r>
        <w:rPr>
          <w:rFonts w:hint="eastAsia"/>
          <w:kern w:val="2"/>
          <w:sz w:val="24"/>
          <w:szCs w:val="21"/>
        </w:rPr>
        <w:t>。）</w:t>
      </w:r>
    </w:p>
    <w:p w14:paraId="301563B6">
      <w:pPr>
        <w:rPr>
          <w:rFonts w:hint="eastAsia" w:ascii="宋体" w:hAnsi="宋体" w:cs="宋体"/>
          <w:sz w:val="24"/>
        </w:rPr>
      </w:pPr>
      <w:r>
        <w:rPr>
          <w:rFonts w:hint="eastAsia" w:ascii="宋体" w:hAnsi="宋体" w:cs="宋体"/>
          <w:sz w:val="24"/>
        </w:rPr>
        <w:br w:type="page"/>
      </w:r>
    </w:p>
    <w:p w14:paraId="44337DD3">
      <w:pPr>
        <w:jc w:val="center"/>
        <w:rPr>
          <w:rFonts w:hint="eastAsia" w:cs="楷体"/>
          <w:b/>
          <w:color w:val="000000"/>
          <w:kern w:val="2"/>
          <w:sz w:val="32"/>
          <w:lang w:eastAsia="zh-CN"/>
        </w:rPr>
      </w:pPr>
      <w:r>
        <w:rPr>
          <w:rFonts w:hint="eastAsia" w:cs="楷体"/>
          <w:b/>
          <w:color w:val="000000"/>
          <w:kern w:val="2"/>
          <w:sz w:val="28"/>
          <w:szCs w:val="28"/>
          <w:lang w:eastAsia="zh-CN"/>
        </w:rPr>
        <w:t>九、其他资料</w:t>
      </w:r>
    </w:p>
    <w:p w14:paraId="13374958">
      <w:pPr>
        <w:tabs>
          <w:tab w:val="left" w:pos="425"/>
        </w:tabs>
        <w:autoSpaceDE/>
        <w:autoSpaceDN/>
        <w:spacing w:before="260" w:after="260" w:line="413" w:lineRule="auto"/>
        <w:ind w:left="425" w:hanging="425"/>
        <w:jc w:val="center"/>
        <w:outlineLvl w:val="1"/>
        <w:rPr>
          <w:rFonts w:cs="Times New Roman"/>
          <w:kern w:val="2"/>
          <w:sz w:val="24"/>
          <w:lang w:eastAsia="zh-CN"/>
        </w:rPr>
      </w:pPr>
      <w:r>
        <w:rPr>
          <w:rFonts w:hint="eastAsia"/>
          <w:kern w:val="2"/>
          <w:sz w:val="24"/>
          <w:szCs w:val="24"/>
          <w:lang w:eastAsia="zh-CN"/>
        </w:rPr>
        <w:t>（磋商文件及评分办法中要求的其他资料或投标人认为其他需提供的资料，应逐页加盖</w:t>
      </w:r>
      <w:r>
        <w:rPr>
          <w:rFonts w:hint="eastAsia" w:cs="Times New Roman"/>
          <w:color w:val="000000"/>
          <w:kern w:val="2"/>
          <w:sz w:val="24"/>
          <w:szCs w:val="24"/>
          <w:lang w:eastAsia="zh-CN"/>
        </w:rPr>
        <w:t>电子签章</w:t>
      </w:r>
      <w:r>
        <w:rPr>
          <w:rFonts w:hint="eastAsia"/>
          <w:kern w:val="2"/>
          <w:sz w:val="24"/>
          <w:szCs w:val="24"/>
          <w:lang w:eastAsia="zh-CN"/>
        </w:rPr>
        <w:t>。）</w:t>
      </w:r>
    </w:p>
    <w:p w14:paraId="480B04D2">
      <w:pPr>
        <w:autoSpaceDE/>
        <w:autoSpaceDN/>
        <w:jc w:val="both"/>
        <w:rPr>
          <w:rFonts w:cs="Times New Roman"/>
          <w:kern w:val="2"/>
          <w:sz w:val="24"/>
          <w:lang w:eastAsia="zh-CN"/>
        </w:rPr>
      </w:pPr>
    </w:p>
    <w:p w14:paraId="313F0EBD">
      <w:pPr>
        <w:pStyle w:val="4"/>
        <w:ind w:right="518"/>
        <w:rPr>
          <w:lang w:eastAsia="zh-CN"/>
        </w:rPr>
      </w:pPr>
    </w:p>
    <w:bookmarkEnd w:id="497"/>
    <w:bookmarkEnd w:id="498"/>
    <w:bookmarkEnd w:id="499"/>
    <w:p w14:paraId="53D56052">
      <w:pPr>
        <w:pStyle w:val="59"/>
        <w:outlineLvl w:val="2"/>
        <w:rPr>
          <w:rFonts w:hint="eastAsia" w:ascii="宋体" w:hAnsi="宋体" w:eastAsia="宋体" w:cs="宋体"/>
          <w:b/>
          <w:bCs w:val="0"/>
          <w:color w:val="auto"/>
          <w:sz w:val="28"/>
          <w:szCs w:val="28"/>
          <w:highlight w:val="none"/>
        </w:rPr>
      </w:pPr>
      <w:r>
        <w:rPr>
          <w:rFonts w:ascii="宋体" w:hAnsi="宋体" w:eastAsia="宋体" w:cs="宋体"/>
          <w:b/>
          <w:bCs/>
          <w:sz w:val="28"/>
          <w:szCs w:val="28"/>
        </w:rPr>
        <w:br w:type="page"/>
      </w:r>
      <w:r>
        <w:rPr>
          <w:rFonts w:hint="eastAsia" w:ascii="宋体" w:hAnsi="宋体" w:eastAsia="宋体" w:cs="宋体"/>
          <w:b/>
          <w:color w:val="auto"/>
          <w:sz w:val="24"/>
          <w:szCs w:val="24"/>
          <w:highlight w:val="none"/>
          <w:lang w:eastAsia="en-US"/>
        </w:rPr>
        <w:t>附件</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中小微企业声明函（投标人）</w:t>
      </w:r>
    </w:p>
    <w:p w14:paraId="02C6DC75">
      <w:pPr>
        <w:pStyle w:val="60"/>
        <w:keepNext w:val="0"/>
        <w:keepLines w:val="0"/>
        <w:pageBreakBefore w:val="0"/>
        <w:widowControl/>
        <w:kinsoku/>
        <w:wordWrap/>
        <w:overflowPunct/>
        <w:topLinePunct w:val="0"/>
        <w:autoSpaceDE/>
        <w:autoSpaceDN/>
        <w:bidi w:val="0"/>
        <w:adjustRightInd/>
        <w:snapToGrid/>
        <w:spacing w:line="276" w:lineRule="auto"/>
        <w:ind w:firstLine="425"/>
        <w:jc w:val="center"/>
        <w:textAlignment w:val="auto"/>
        <w:rPr>
          <w:rFonts w:hint="eastAsia" w:ascii="宋体" w:hAnsi="宋体" w:eastAsia="宋体" w:cs="宋体"/>
          <w:b/>
          <w:bCs w:val="0"/>
          <w:color w:val="auto"/>
          <w:spacing w:val="14"/>
          <w:sz w:val="28"/>
          <w:szCs w:val="28"/>
          <w:highlight w:val="none"/>
        </w:rPr>
      </w:pPr>
      <w:r>
        <w:rPr>
          <w:rFonts w:hint="eastAsia" w:ascii="宋体" w:hAnsi="宋体" w:eastAsia="宋体" w:cs="宋体"/>
          <w:b/>
          <w:bCs w:val="0"/>
          <w:color w:val="auto"/>
          <w:spacing w:val="14"/>
          <w:sz w:val="28"/>
          <w:szCs w:val="28"/>
          <w:highlight w:val="none"/>
        </w:rPr>
        <w:t>中小企业声明函（</w:t>
      </w:r>
      <w:r>
        <w:rPr>
          <w:rFonts w:hint="eastAsia" w:ascii="宋体" w:hAnsi="宋体" w:eastAsia="宋体" w:cs="宋体"/>
          <w:b/>
          <w:bCs w:val="0"/>
          <w:color w:val="auto"/>
          <w:spacing w:val="14"/>
          <w:sz w:val="28"/>
          <w:szCs w:val="28"/>
          <w:highlight w:val="none"/>
          <w:lang w:val="en-US" w:eastAsia="zh-CN"/>
        </w:rPr>
        <w:t>服务</w:t>
      </w:r>
      <w:r>
        <w:rPr>
          <w:rFonts w:hint="eastAsia" w:ascii="宋体" w:hAnsi="宋体" w:eastAsia="宋体" w:cs="宋体"/>
          <w:b/>
          <w:bCs w:val="0"/>
          <w:color w:val="auto"/>
          <w:spacing w:val="14"/>
          <w:sz w:val="28"/>
          <w:szCs w:val="28"/>
          <w:highlight w:val="none"/>
        </w:rPr>
        <w:t>）</w:t>
      </w:r>
    </w:p>
    <w:p w14:paraId="4902A6F8">
      <w:pPr>
        <w:pStyle w:val="61"/>
        <w:rPr>
          <w:rFonts w:hint="eastAsia"/>
        </w:rPr>
      </w:pPr>
    </w:p>
    <w:p w14:paraId="5E982B8E">
      <w:pPr>
        <w:jc w:val="center"/>
        <w:rPr>
          <w:rFonts w:ascii="宋体" w:hAnsi="宋体" w:cs="宋体"/>
          <w:b/>
          <w:bCs/>
          <w:iCs/>
          <w:sz w:val="24"/>
          <w:szCs w:val="24"/>
        </w:rPr>
      </w:pPr>
      <w:r>
        <w:rPr>
          <w:rFonts w:hint="eastAsia" w:ascii="宋体" w:hAnsi="宋体" w:cs="宋体"/>
          <w:b/>
          <w:bCs/>
          <w:iCs/>
          <w:sz w:val="24"/>
          <w:szCs w:val="24"/>
        </w:rPr>
        <w:t>（属于中小微企业的填写，不属于的无需填写此项内容；以联合体形式参加政府采购活动，联合体各方均为中小微企业的，联合体成员均须提供。）</w:t>
      </w:r>
    </w:p>
    <w:p w14:paraId="2616B4A6">
      <w:pPr>
        <w:pStyle w:val="61"/>
        <w:rPr>
          <w:rFonts w:hint="eastAsia"/>
        </w:rPr>
      </w:pPr>
    </w:p>
    <w:p w14:paraId="3539FE39">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55AE5FDB">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p>
    <w:p w14:paraId="4ACFAAB5">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p>
    <w:p w14:paraId="503F06FE">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p>
    <w:p w14:paraId="79256D40">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p>
    <w:p w14:paraId="67AB09CD">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rPr>
      </w:pPr>
    </w:p>
    <w:p w14:paraId="643C0249">
      <w:pPr>
        <w:spacing w:line="360" w:lineRule="auto"/>
        <w:ind w:firstLine="3312" w:firstLineChars="1150"/>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cstheme="minorEastAsia"/>
          <w:spacing w:val="24"/>
          <w:sz w:val="24"/>
          <w:szCs w:val="24"/>
          <w:u w:val="single"/>
          <w:lang w:val="en-US" w:eastAsia="zh-CN"/>
        </w:rPr>
        <w:t xml:space="preserve">    </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4BBB651F">
      <w:pPr>
        <w:spacing w:line="480" w:lineRule="auto"/>
        <w:ind w:left="-7" w:leftChars="-95" w:right="452" w:hanging="192" w:hangingChars="67"/>
        <w:jc w:val="center"/>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 xml:space="preserve">              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08519F3D">
      <w:pPr>
        <w:pStyle w:val="61"/>
        <w:jc w:val="right"/>
        <w:rPr>
          <w:rFonts w:hint="eastAsia" w:ascii="宋体" w:hAnsi="宋体" w:eastAsia="宋体" w:cs="宋体"/>
          <w:color w:val="auto"/>
          <w:spacing w:val="14"/>
          <w:sz w:val="24"/>
          <w:szCs w:val="24"/>
          <w:highlight w:val="none"/>
        </w:rPr>
      </w:pPr>
    </w:p>
    <w:p w14:paraId="6721EAF2">
      <w:pPr>
        <w:pStyle w:val="61"/>
        <w:rPr>
          <w:rFonts w:hint="eastAsia" w:ascii="宋体" w:hAnsi="宋体" w:eastAsia="宋体" w:cs="宋体"/>
          <w:color w:val="auto"/>
          <w:spacing w:val="14"/>
          <w:sz w:val="24"/>
          <w:szCs w:val="24"/>
          <w:highlight w:val="none"/>
        </w:rPr>
      </w:pPr>
    </w:p>
    <w:p w14:paraId="051501DD">
      <w:pPr>
        <w:pStyle w:val="60"/>
        <w:keepNext w:val="0"/>
        <w:keepLines w:val="0"/>
        <w:pageBreakBefore w:val="0"/>
        <w:widowControl/>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60"/>
        <w:keepNext w:val="0"/>
        <w:keepLines w:val="0"/>
        <w:pageBreakBefore w:val="0"/>
        <w:widowControl/>
        <w:numPr>
          <w:ilvl w:val="0"/>
          <w:numId w:val="13"/>
        </w:numPr>
        <w:kinsoku/>
        <w:wordWrap/>
        <w:overflowPunct/>
        <w:topLinePunct w:val="0"/>
        <w:autoSpaceDE/>
        <w:autoSpaceDN/>
        <w:bidi w:val="0"/>
        <w:adjustRightInd/>
        <w:snapToGrid/>
        <w:spacing w:line="276" w:lineRule="auto"/>
        <w:ind w:firstLine="425"/>
        <w:jc w:val="left"/>
        <w:textAlignment w:val="auto"/>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60"/>
        <w:numPr>
          <w:ilvl w:val="0"/>
          <w:numId w:val="0"/>
        </w:numPr>
        <w:spacing w:line="500" w:lineRule="exact"/>
        <w:ind w:firstLine="536"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59"/>
        <w:outlineLvl w:val="2"/>
        <w:rPr>
          <w:rFonts w:hint="eastAsia" w:ascii="仿宋" w:hAnsi="仿宋" w:eastAsia="宋体" w:cs="仿宋"/>
          <w:b/>
          <w:color w:val="auto"/>
          <w:kern w:val="0"/>
          <w:sz w:val="24"/>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lang w:val="en-US" w:eastAsia="zh-CN"/>
        </w:rPr>
        <w:t>附件2</w:t>
      </w:r>
      <w:r>
        <w:rPr>
          <w:rFonts w:hint="eastAsia" w:ascii="宋体" w:hAnsi="宋体" w:eastAsia="宋体" w:cs="宋体"/>
          <w:b/>
          <w:color w:val="auto"/>
          <w:sz w:val="24"/>
          <w:szCs w:val="24"/>
          <w:highlight w:val="none"/>
          <w:lang w:eastAsia="en-US"/>
        </w:rPr>
        <w:t>、残疾人福利性单位声明函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不适用可不填写</w:t>
      </w:r>
      <w:r>
        <w:rPr>
          <w:rFonts w:hint="eastAsia" w:ascii="宋体" w:hAnsi="宋体" w:eastAsia="宋体" w:cs="宋体"/>
          <w:b/>
          <w:color w:val="auto"/>
          <w:sz w:val="24"/>
          <w:szCs w:val="24"/>
          <w:highlight w:val="none"/>
          <w:lang w:eastAsia="zh-CN"/>
        </w:rPr>
        <w:t>）</w:t>
      </w:r>
    </w:p>
    <w:p w14:paraId="4058F91E">
      <w:pPr>
        <w:pStyle w:val="61"/>
        <w:rPr>
          <w:rFonts w:hint="eastAsia" w:ascii="仿宋" w:hAnsi="仿宋" w:eastAsia="仿宋" w:cs="仿宋"/>
          <w:color w:val="auto"/>
          <w:sz w:val="24"/>
          <w:szCs w:val="24"/>
          <w:highlight w:val="none"/>
        </w:rPr>
      </w:pPr>
    </w:p>
    <w:p w14:paraId="6B6D6D56">
      <w:pPr>
        <w:pStyle w:val="60"/>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62"/>
        <w:spacing w:line="276" w:lineRule="auto"/>
        <w:jc w:val="center"/>
        <w:rPr>
          <w:rFonts w:hint="eastAsia" w:ascii="宋体" w:hAnsi="宋体" w:eastAsia="宋体" w:cs="宋体"/>
          <w:color w:val="auto"/>
          <w:spacing w:val="14"/>
          <w:sz w:val="24"/>
          <w:szCs w:val="24"/>
          <w:highlight w:val="none"/>
        </w:rPr>
      </w:pPr>
    </w:p>
    <w:p w14:paraId="72712841">
      <w:pPr>
        <w:pStyle w:val="62"/>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62"/>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62"/>
        <w:spacing w:line="276" w:lineRule="auto"/>
        <w:rPr>
          <w:rFonts w:hint="eastAsia" w:ascii="宋体" w:hAnsi="宋体" w:eastAsia="宋体" w:cs="宋体"/>
          <w:color w:val="auto"/>
          <w:spacing w:val="14"/>
          <w:sz w:val="24"/>
          <w:szCs w:val="24"/>
          <w:highlight w:val="none"/>
        </w:rPr>
      </w:pPr>
    </w:p>
    <w:p w14:paraId="2C2E38B7">
      <w:pPr>
        <w:pStyle w:val="62"/>
        <w:spacing w:line="276" w:lineRule="auto"/>
        <w:rPr>
          <w:rFonts w:hint="eastAsia" w:ascii="宋体" w:hAnsi="宋体" w:eastAsia="宋体" w:cs="宋体"/>
          <w:color w:val="auto"/>
          <w:spacing w:val="14"/>
          <w:sz w:val="24"/>
          <w:szCs w:val="24"/>
          <w:highlight w:val="none"/>
        </w:rPr>
      </w:pPr>
    </w:p>
    <w:p w14:paraId="4A211339">
      <w:pPr>
        <w:pStyle w:val="62"/>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59"/>
        <w:outlineLvl w:val="2"/>
        <w:rPr>
          <w:rFonts w:hint="eastAsia" w:ascii="仿宋" w:hAnsi="仿宋" w:eastAsia="宋体" w:cs="仿宋"/>
          <w:b/>
          <w:color w:val="auto"/>
          <w:kern w:val="0"/>
          <w:sz w:val="24"/>
          <w:szCs w:val="24"/>
          <w:highlight w:val="none"/>
          <w:lang w:eastAsia="zh-CN" w:bidi="ar-SA"/>
        </w:rPr>
      </w:pPr>
      <w:r>
        <w:rPr>
          <w:rFonts w:hint="eastAsia" w:ascii="宋体" w:hAnsi="宋体" w:eastAsia="宋体" w:cs="宋体"/>
          <w:color w:val="auto"/>
          <w:sz w:val="24"/>
          <w:szCs w:val="24"/>
          <w:highlight w:val="none"/>
        </w:rPr>
        <w:br w:type="page"/>
      </w:r>
      <w:bookmarkStart w:id="509" w:name="_Toc26775"/>
      <w:r>
        <w:rPr>
          <w:rFonts w:hint="eastAsia" w:ascii="宋体" w:hAnsi="宋体" w:eastAsia="宋体" w:cs="宋体"/>
          <w:b/>
          <w:color w:val="auto"/>
          <w:sz w:val="24"/>
          <w:szCs w:val="24"/>
          <w:highlight w:val="none"/>
          <w:lang w:val="en-US" w:eastAsia="zh-CN"/>
        </w:rPr>
        <w:t>附件3、监狱企业证明文件</w:t>
      </w:r>
      <w:bookmarkEnd w:id="509"/>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不适用可不提供</w:t>
      </w:r>
      <w:r>
        <w:rPr>
          <w:rFonts w:hint="eastAsia" w:ascii="宋体" w:hAnsi="宋体" w:eastAsia="宋体" w:cs="宋体"/>
          <w:b/>
          <w:color w:val="auto"/>
          <w:sz w:val="24"/>
          <w:szCs w:val="24"/>
          <w:highlight w:val="none"/>
          <w:lang w:eastAsia="zh-CN"/>
        </w:rPr>
        <w:t>）</w:t>
      </w:r>
    </w:p>
    <w:p w14:paraId="34979424">
      <w:pPr>
        <w:pStyle w:val="59"/>
        <w:outlineLvl w:val="2"/>
        <w:rPr>
          <w:rFonts w:hint="eastAsia" w:ascii="仿宋" w:hAnsi="仿宋" w:eastAsia="仿宋" w:cs="仿宋"/>
          <w:color w:val="auto"/>
          <w:sz w:val="24"/>
          <w:szCs w:val="24"/>
          <w:highlight w:val="none"/>
        </w:rPr>
      </w:pPr>
    </w:p>
    <w:p w14:paraId="395F775F">
      <w:pPr>
        <w:pStyle w:val="63"/>
        <w:spacing w:line="276" w:lineRule="auto"/>
        <w:jc w:val="center"/>
        <w:rPr>
          <w:rFonts w:hint="eastAsia" w:ascii="宋体" w:hAnsi="宋体" w:eastAsia="宋体" w:cs="宋体"/>
          <w:color w:val="auto"/>
          <w:spacing w:val="14"/>
          <w:sz w:val="24"/>
          <w:szCs w:val="24"/>
          <w:highlight w:val="none"/>
        </w:rPr>
      </w:pPr>
    </w:p>
    <w:p w14:paraId="012A8E65">
      <w:pPr>
        <w:pStyle w:val="63"/>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63"/>
        <w:spacing w:line="276" w:lineRule="auto"/>
        <w:jc w:val="center"/>
        <w:rPr>
          <w:rFonts w:hint="eastAsia" w:ascii="宋体" w:hAnsi="宋体" w:eastAsia="宋体" w:cs="宋体"/>
          <w:color w:val="auto"/>
          <w:spacing w:val="14"/>
          <w:sz w:val="24"/>
          <w:szCs w:val="24"/>
          <w:highlight w:val="none"/>
        </w:rPr>
      </w:pPr>
    </w:p>
    <w:p w14:paraId="7091DE3B">
      <w:pPr>
        <w:pStyle w:val="6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63"/>
        <w:spacing w:line="276" w:lineRule="auto"/>
        <w:rPr>
          <w:rFonts w:hint="eastAsia" w:ascii="宋体" w:hAnsi="宋体" w:eastAsia="宋体" w:cs="宋体"/>
          <w:color w:val="auto"/>
          <w:spacing w:val="14"/>
          <w:sz w:val="24"/>
          <w:szCs w:val="24"/>
          <w:highlight w:val="none"/>
        </w:rPr>
      </w:pPr>
    </w:p>
    <w:p w14:paraId="5AEB5418">
      <w:pPr>
        <w:pStyle w:val="63"/>
        <w:spacing w:line="276" w:lineRule="auto"/>
        <w:rPr>
          <w:rFonts w:hint="eastAsia" w:ascii="宋体" w:hAnsi="宋体" w:eastAsia="宋体" w:cs="宋体"/>
          <w:color w:val="auto"/>
          <w:spacing w:val="14"/>
          <w:sz w:val="24"/>
          <w:szCs w:val="24"/>
          <w:highlight w:val="none"/>
        </w:rPr>
      </w:pPr>
    </w:p>
    <w:p w14:paraId="29798211">
      <w:pPr>
        <w:pStyle w:val="6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highlight w:val="none"/>
        </w:rPr>
      </w:pPr>
    </w:p>
    <w:p w14:paraId="69810BDB">
      <w:pPr>
        <w:rPr>
          <w:rFonts w:hint="eastAsia"/>
          <w:color w:val="auto"/>
          <w:szCs w:val="24"/>
          <w:highlight w:val="none"/>
        </w:rPr>
      </w:pPr>
      <w:r>
        <w:rPr>
          <w:rFonts w:hint="eastAsia"/>
          <w:color w:val="auto"/>
          <w:szCs w:val="24"/>
          <w:highlight w:val="none"/>
        </w:rPr>
        <w:br w:type="page"/>
      </w:r>
    </w:p>
    <w:p w14:paraId="263C0C84">
      <w:pPr>
        <w:spacing w:after="120"/>
        <w:ind w:firstLine="280" w:firstLineChars="100"/>
        <w:rPr>
          <w:rFonts w:ascii="宋体" w:hAnsi="宋体"/>
          <w:sz w:val="28"/>
          <w:szCs w:val="28"/>
        </w:rPr>
      </w:pPr>
      <w:r>
        <w:rPr>
          <w:rFonts w:hint="eastAsia" w:ascii="宋体" w:hAnsi="宋体"/>
          <w:sz w:val="28"/>
          <w:szCs w:val="28"/>
        </w:rPr>
        <w:t>附件：</w:t>
      </w:r>
    </w:p>
    <w:p w14:paraId="76BA7F2D">
      <w:pPr>
        <w:topLinePunct/>
        <w:spacing w:line="360" w:lineRule="auto"/>
        <w:ind w:firstLine="600" w:firstLineChars="200"/>
        <w:jc w:val="center"/>
        <w:rPr>
          <w:rFonts w:hint="eastAsia" w:ascii="宋体" w:hAnsi="宋体"/>
          <w:szCs w:val="24"/>
        </w:rPr>
      </w:pPr>
      <w:r>
        <w:rPr>
          <w:rFonts w:hint="eastAsia" w:ascii="宋体" w:hAnsi="宋体"/>
          <w:b/>
          <w:sz w:val="30"/>
          <w:szCs w:val="30"/>
        </w:rPr>
        <w:t>联合体协议书</w:t>
      </w:r>
    </w:p>
    <w:p w14:paraId="1D3CF607">
      <w:pPr>
        <w:topLinePunct/>
        <w:spacing w:line="360" w:lineRule="auto"/>
        <w:ind w:firstLine="480" w:firstLineChars="200"/>
        <w:rPr>
          <w:rFonts w:ascii="宋体" w:hAnsi="宋体"/>
          <w:sz w:val="24"/>
          <w:szCs w:val="24"/>
          <w:u w:val="single"/>
        </w:rPr>
      </w:pPr>
    </w:p>
    <w:p w14:paraId="666487FD">
      <w:pPr>
        <w:topLinePunct/>
        <w:spacing w:line="360" w:lineRule="auto"/>
        <w:ind w:firstLine="480" w:firstLineChars="200"/>
        <w:rPr>
          <w:rFonts w:ascii="宋体" w:hAnsi="宋体"/>
          <w:sz w:val="24"/>
          <w:szCs w:val="24"/>
        </w:rPr>
      </w:pPr>
      <w:r>
        <w:rPr>
          <w:rFonts w:ascii="宋体" w:hAnsi="宋体"/>
          <w:sz w:val="24"/>
          <w:szCs w:val="24"/>
          <w:u w:val="single"/>
        </w:rPr>
        <w:t xml:space="preserve">          </w:t>
      </w:r>
      <w:r>
        <w:rPr>
          <w:rFonts w:ascii="宋体" w:hAnsi="宋体"/>
          <w:sz w:val="24"/>
          <w:szCs w:val="24"/>
        </w:rPr>
        <w:t>（所有成员单位名称）自愿组成</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项目</w:t>
      </w:r>
      <w:r>
        <w:rPr>
          <w:rFonts w:ascii="宋体" w:hAnsi="宋体"/>
          <w:sz w:val="24"/>
          <w:szCs w:val="24"/>
        </w:rPr>
        <w:t>名称）</w:t>
      </w:r>
      <w:r>
        <w:rPr>
          <w:rFonts w:hint="eastAsia" w:ascii="宋体" w:hAnsi="宋体"/>
          <w:sz w:val="24"/>
          <w:szCs w:val="24"/>
        </w:rPr>
        <w:t>联合体</w:t>
      </w:r>
      <w:r>
        <w:rPr>
          <w:rFonts w:ascii="宋体" w:hAnsi="宋体"/>
          <w:sz w:val="24"/>
          <w:szCs w:val="24"/>
        </w:rPr>
        <w:t>，共同参加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（项目名称）投标。现就联合体投标事宜订立如下协议。</w:t>
      </w:r>
    </w:p>
    <w:p w14:paraId="56E54D74">
      <w:pPr>
        <w:topLinePunct/>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u w:val="single"/>
        </w:rPr>
        <w:t xml:space="preserve">       </w:t>
      </w:r>
      <w:r>
        <w:rPr>
          <w:rFonts w:ascii="宋体" w:hAnsi="宋体"/>
          <w:sz w:val="24"/>
          <w:szCs w:val="24"/>
        </w:rPr>
        <w:t>（某成员单位名称）为</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项目</w:t>
      </w:r>
      <w:r>
        <w:rPr>
          <w:rFonts w:ascii="宋体" w:hAnsi="宋体"/>
          <w:sz w:val="24"/>
          <w:szCs w:val="24"/>
        </w:rPr>
        <w:t>名称）牵头人。</w:t>
      </w:r>
    </w:p>
    <w:p w14:paraId="34423509">
      <w:pPr>
        <w:topLinePunct/>
        <w:spacing w:line="360" w:lineRule="auto"/>
        <w:ind w:firstLine="480" w:firstLineChars="200"/>
        <w:rPr>
          <w:rFonts w:ascii="宋体" w:hAnsi="宋体"/>
          <w:sz w:val="24"/>
          <w:szCs w:val="24"/>
        </w:rPr>
      </w:pPr>
      <w:r>
        <w:rPr>
          <w:rFonts w:ascii="宋体" w:hAnsi="宋体"/>
          <w:sz w:val="24"/>
          <w:szCs w:val="24"/>
        </w:rPr>
        <w:t>2、联合体牵头人</w:t>
      </w:r>
      <w:r>
        <w:rPr>
          <w:rFonts w:hint="eastAsia" w:ascii="宋体" w:hAnsi="宋体"/>
          <w:sz w:val="24"/>
          <w:szCs w:val="24"/>
        </w:rPr>
        <w:t>合法代表联合体各成员负责本项目响应文件编制和合同签署活动，并代表联合体提交和接收相关的资料、信息及指示，并处理与之有关的一切事务，</w:t>
      </w:r>
      <w:r>
        <w:rPr>
          <w:rFonts w:ascii="宋体" w:hAnsi="宋体"/>
          <w:sz w:val="24"/>
          <w:szCs w:val="24"/>
        </w:rPr>
        <w:t>负责合同实施阶段的主办、组织和协调工作。</w:t>
      </w:r>
    </w:p>
    <w:p w14:paraId="735A9CD8">
      <w:pPr>
        <w:topLinePunct/>
        <w:spacing w:line="360" w:lineRule="auto"/>
        <w:ind w:firstLine="480" w:firstLineChars="200"/>
        <w:rPr>
          <w:rFonts w:hint="eastAsia" w:ascii="宋体" w:hAnsi="宋体"/>
          <w:sz w:val="24"/>
          <w:szCs w:val="24"/>
        </w:rPr>
      </w:pPr>
      <w:r>
        <w:rPr>
          <w:rFonts w:ascii="宋体" w:hAnsi="宋体"/>
          <w:sz w:val="24"/>
          <w:szCs w:val="24"/>
        </w:rPr>
        <w:t>3、联合体将严格按照</w:t>
      </w:r>
      <w:r>
        <w:rPr>
          <w:rFonts w:hint="eastAsia" w:ascii="宋体" w:hAnsi="宋体"/>
          <w:sz w:val="24"/>
          <w:szCs w:val="24"/>
        </w:rPr>
        <w:t>采购</w:t>
      </w:r>
      <w:r>
        <w:rPr>
          <w:rFonts w:ascii="宋体" w:hAnsi="宋体"/>
          <w:sz w:val="24"/>
          <w:szCs w:val="24"/>
        </w:rPr>
        <w:t>文件的各项要求，递交</w:t>
      </w:r>
      <w:r>
        <w:rPr>
          <w:rFonts w:hint="eastAsia" w:ascii="宋体" w:hAnsi="宋体"/>
          <w:sz w:val="24"/>
          <w:szCs w:val="24"/>
        </w:rPr>
        <w:t>响应</w:t>
      </w:r>
      <w:r>
        <w:rPr>
          <w:rFonts w:ascii="宋体" w:hAnsi="宋体"/>
          <w:sz w:val="24"/>
          <w:szCs w:val="24"/>
        </w:rPr>
        <w:t>文件，履行合同</w:t>
      </w:r>
      <w:r>
        <w:rPr>
          <w:rFonts w:hint="eastAsia" w:ascii="宋体" w:hAnsi="宋体"/>
          <w:sz w:val="24"/>
          <w:szCs w:val="24"/>
        </w:rPr>
        <w:t>。</w:t>
      </w:r>
    </w:p>
    <w:p w14:paraId="1F4810B0">
      <w:pPr>
        <w:topLinePunct/>
        <w:spacing w:line="360" w:lineRule="auto"/>
        <w:ind w:firstLine="480" w:firstLineChars="200"/>
        <w:rPr>
          <w:rFonts w:ascii="宋体" w:hAnsi="宋体"/>
          <w:sz w:val="24"/>
          <w:szCs w:val="24"/>
        </w:rPr>
      </w:pPr>
      <w:r>
        <w:rPr>
          <w:rFonts w:hint="eastAsia" w:ascii="宋体" w:hAnsi="宋体"/>
          <w:sz w:val="24"/>
          <w:szCs w:val="24"/>
        </w:rPr>
        <w:t>4、联合体全部成员</w:t>
      </w:r>
      <w:r>
        <w:rPr>
          <w:rFonts w:ascii="宋体" w:hAnsi="宋体"/>
          <w:sz w:val="24"/>
          <w:szCs w:val="24"/>
        </w:rPr>
        <w:t>对</w:t>
      </w:r>
      <w:r>
        <w:rPr>
          <w:rFonts w:hint="eastAsia" w:ascii="宋体" w:hAnsi="宋体"/>
          <w:sz w:val="24"/>
          <w:szCs w:val="24"/>
        </w:rPr>
        <w:t>联合体在本项目承担的全部责任及义务</w:t>
      </w:r>
      <w:r>
        <w:rPr>
          <w:rFonts w:ascii="宋体" w:hAnsi="宋体"/>
          <w:sz w:val="24"/>
          <w:szCs w:val="24"/>
        </w:rPr>
        <w:t>承担连带责任。</w:t>
      </w:r>
    </w:p>
    <w:p w14:paraId="2D5D94B5">
      <w:pPr>
        <w:topLinePunct/>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、联合体各成员单位内部的职责分工如下：</w:t>
      </w:r>
      <w:r>
        <w:rPr>
          <w:rFonts w:ascii="宋体" w:hAnsi="宋体"/>
          <w:sz w:val="24"/>
          <w:szCs w:val="24"/>
          <w:u w:val="single"/>
        </w:rPr>
        <w:t xml:space="preserve">               </w:t>
      </w:r>
      <w:r>
        <w:rPr>
          <w:rFonts w:ascii="宋体" w:hAnsi="宋体"/>
          <w:sz w:val="24"/>
          <w:szCs w:val="24"/>
        </w:rPr>
        <w:t>。</w:t>
      </w:r>
    </w:p>
    <w:p w14:paraId="5BD1AE19">
      <w:pPr>
        <w:topLinePunct/>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 xml:space="preserve">、本协议书自签署之日起生效，合同履行完毕后自动失效。 </w:t>
      </w:r>
    </w:p>
    <w:p w14:paraId="7003BE23">
      <w:pPr>
        <w:topLinePunct/>
        <w:spacing w:line="360"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、本协议书一式</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份，联合体成员和</w:t>
      </w:r>
      <w:r>
        <w:rPr>
          <w:rFonts w:hint="eastAsia" w:ascii="宋体" w:hAnsi="宋体"/>
          <w:sz w:val="24"/>
          <w:szCs w:val="24"/>
        </w:rPr>
        <w:t>采购人</w:t>
      </w:r>
      <w:r>
        <w:rPr>
          <w:rFonts w:ascii="宋体" w:hAnsi="宋体"/>
          <w:sz w:val="24"/>
          <w:szCs w:val="24"/>
        </w:rPr>
        <w:t>各执一份。</w:t>
      </w:r>
    </w:p>
    <w:p w14:paraId="2FD43715">
      <w:pPr>
        <w:topLinePunct/>
        <w:spacing w:line="360" w:lineRule="auto"/>
        <w:ind w:firstLine="480" w:firstLineChars="200"/>
        <w:rPr>
          <w:rFonts w:hint="eastAsia" w:ascii="宋体" w:hAnsi="宋体"/>
          <w:sz w:val="24"/>
          <w:szCs w:val="24"/>
        </w:rPr>
      </w:pPr>
    </w:p>
    <w:p w14:paraId="18FE2932">
      <w:pPr>
        <w:topLinePunct/>
        <w:spacing w:line="360" w:lineRule="auto"/>
        <w:ind w:firstLine="480" w:firstLineChars="200"/>
        <w:rPr>
          <w:rFonts w:ascii="宋体" w:hAnsi="宋体"/>
          <w:sz w:val="24"/>
          <w:szCs w:val="24"/>
        </w:rPr>
      </w:pPr>
      <w:r>
        <w:rPr>
          <w:rFonts w:hint="eastAsia" w:ascii="宋体" w:hAnsi="宋体"/>
          <w:sz w:val="24"/>
          <w:szCs w:val="24"/>
        </w:rPr>
        <w:t>注：本协议书由委托代理人签字的，应附法定代表人签字的授权委托书。</w:t>
      </w:r>
    </w:p>
    <w:p w14:paraId="7B326208">
      <w:pPr>
        <w:topLinePunct/>
        <w:spacing w:line="360" w:lineRule="auto"/>
        <w:rPr>
          <w:rFonts w:ascii="宋体" w:hAnsi="宋体"/>
          <w:sz w:val="24"/>
          <w:szCs w:val="24"/>
        </w:rPr>
      </w:pPr>
    </w:p>
    <w:p w14:paraId="4FF6DB1B">
      <w:pPr>
        <w:topLinePunct/>
        <w:spacing w:line="360" w:lineRule="auto"/>
        <w:ind w:firstLine="480" w:firstLineChars="200"/>
        <w:rPr>
          <w:rFonts w:ascii="宋体" w:hAnsi="宋体"/>
          <w:sz w:val="24"/>
          <w:szCs w:val="24"/>
        </w:rPr>
      </w:pPr>
      <w:r>
        <w:rPr>
          <w:rFonts w:ascii="宋体" w:hAnsi="宋体"/>
          <w:sz w:val="24"/>
          <w:szCs w:val="24"/>
        </w:rPr>
        <w:t>牵头人名称：</w:t>
      </w:r>
      <w:r>
        <w:rPr>
          <w:rFonts w:ascii="宋体" w:hAnsi="宋体"/>
          <w:sz w:val="24"/>
          <w:szCs w:val="24"/>
          <w:u w:val="single"/>
        </w:rPr>
        <w:t xml:space="preserve">                                 </w:t>
      </w:r>
      <w:r>
        <w:rPr>
          <w:rFonts w:ascii="宋体" w:hAnsi="宋体"/>
          <w:sz w:val="24"/>
          <w:szCs w:val="24"/>
        </w:rPr>
        <w:t>（盖单位章）</w:t>
      </w:r>
    </w:p>
    <w:p w14:paraId="52339354">
      <w:pPr>
        <w:topLinePunct/>
        <w:spacing w:line="360" w:lineRule="auto"/>
        <w:ind w:firstLine="480" w:firstLineChars="200"/>
        <w:rPr>
          <w:rFonts w:ascii="宋体" w:hAnsi="宋体"/>
          <w:sz w:val="24"/>
          <w:szCs w:val="24"/>
        </w:rPr>
      </w:pPr>
      <w:r>
        <w:rPr>
          <w:rFonts w:ascii="宋体" w:hAnsi="宋体"/>
          <w:sz w:val="24"/>
          <w:szCs w:val="24"/>
        </w:rPr>
        <w:t>法定代表人或其委托代理人：</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签字或盖章</w:t>
      </w:r>
      <w:r>
        <w:rPr>
          <w:rFonts w:ascii="宋体" w:hAnsi="宋体"/>
          <w:sz w:val="24"/>
          <w:szCs w:val="24"/>
        </w:rPr>
        <w:t>）</w:t>
      </w:r>
    </w:p>
    <w:p w14:paraId="5EDF582E">
      <w:pPr>
        <w:topLinePunct/>
        <w:spacing w:line="360" w:lineRule="auto"/>
        <w:rPr>
          <w:rFonts w:ascii="宋体" w:hAnsi="宋体"/>
          <w:sz w:val="24"/>
          <w:szCs w:val="24"/>
        </w:rPr>
      </w:pPr>
    </w:p>
    <w:p w14:paraId="48069E5F">
      <w:pPr>
        <w:topLinePunct/>
        <w:spacing w:line="360" w:lineRule="auto"/>
        <w:ind w:firstLine="480" w:firstLineChars="200"/>
        <w:rPr>
          <w:rFonts w:ascii="宋体" w:hAnsi="宋体"/>
          <w:sz w:val="24"/>
          <w:szCs w:val="24"/>
        </w:rPr>
      </w:pPr>
      <w:r>
        <w:rPr>
          <w:rFonts w:ascii="宋体" w:hAnsi="宋体"/>
          <w:sz w:val="24"/>
          <w:szCs w:val="24"/>
        </w:rPr>
        <w:t>成员名称：</w:t>
      </w:r>
      <w:r>
        <w:rPr>
          <w:rFonts w:ascii="宋体" w:hAnsi="宋体"/>
          <w:sz w:val="24"/>
          <w:szCs w:val="24"/>
          <w:u w:val="single"/>
        </w:rPr>
        <w:t xml:space="preserve">                                 </w:t>
      </w:r>
      <w:r>
        <w:rPr>
          <w:rFonts w:ascii="宋体" w:hAnsi="宋体"/>
          <w:sz w:val="24"/>
          <w:szCs w:val="24"/>
        </w:rPr>
        <w:t>（盖单位章）</w:t>
      </w:r>
    </w:p>
    <w:p w14:paraId="4DD9FAE6">
      <w:pPr>
        <w:topLinePunct/>
        <w:spacing w:line="360" w:lineRule="auto"/>
        <w:ind w:firstLine="480" w:firstLineChars="200"/>
        <w:rPr>
          <w:rFonts w:ascii="宋体" w:hAnsi="宋体"/>
          <w:sz w:val="24"/>
          <w:szCs w:val="24"/>
        </w:rPr>
      </w:pPr>
      <w:r>
        <w:rPr>
          <w:rFonts w:ascii="宋体" w:hAnsi="宋体"/>
          <w:sz w:val="24"/>
          <w:szCs w:val="24"/>
        </w:rPr>
        <w:t>法定代表人或其委托代理人：</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签字或盖章</w:t>
      </w:r>
      <w:r>
        <w:rPr>
          <w:rFonts w:ascii="宋体" w:hAnsi="宋体"/>
          <w:sz w:val="24"/>
          <w:szCs w:val="24"/>
        </w:rPr>
        <w:t>）</w:t>
      </w:r>
    </w:p>
    <w:p w14:paraId="45A196D7">
      <w:pPr>
        <w:topLinePunct/>
        <w:spacing w:line="360" w:lineRule="auto"/>
        <w:ind w:firstLine="480" w:firstLineChars="200"/>
        <w:rPr>
          <w:rFonts w:ascii="宋体" w:hAnsi="宋体"/>
          <w:sz w:val="24"/>
          <w:szCs w:val="24"/>
        </w:rPr>
      </w:pPr>
    </w:p>
    <w:p w14:paraId="6A25523A">
      <w:pPr>
        <w:spacing w:line="360" w:lineRule="auto"/>
        <w:ind w:firstLine="3290" w:firstLineChars="1371"/>
        <w:rPr>
          <w:rFonts w:hint="eastAsia" w:ascii="宋体" w:hAnsi="宋体"/>
          <w:sz w:val="24"/>
          <w:szCs w:val="24"/>
        </w:rPr>
      </w:pPr>
    </w:p>
    <w:p w14:paraId="76F0C9B7">
      <w:pPr>
        <w:spacing w:line="360" w:lineRule="auto"/>
        <w:ind w:firstLine="720" w:firstLineChars="300"/>
        <w:jc w:val="lef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日</w:t>
      </w:r>
    </w:p>
    <w:p w14:paraId="6F2B7D4E">
      <w:pPr>
        <w:spacing w:line="360" w:lineRule="auto"/>
        <w:ind w:firstLine="720" w:firstLineChars="300"/>
        <w:jc w:val="left"/>
        <w:rPr>
          <w:rFonts w:hint="eastAsia"/>
        </w:rPr>
      </w:pPr>
      <w:r>
        <w:rPr>
          <w:rFonts w:hint="eastAsia" w:ascii="宋体" w:hAnsi="宋体"/>
          <w:sz w:val="24"/>
          <w:szCs w:val="24"/>
        </w:rPr>
        <w:t>注：须联合体双方签字、盖章后上传扫描件，再由牵头人加盖电子签章。</w:t>
      </w:r>
    </w:p>
    <w:p w14:paraId="32F3DADB">
      <w:pPr>
        <w:pStyle w:val="22"/>
        <w:rPr>
          <w:rFonts w:hint="eastAsia"/>
        </w:rPr>
      </w:pPr>
    </w:p>
    <w:p w14:paraId="74EE21A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right="0"/>
        <w:textAlignment w:val="baseline"/>
        <w:rPr>
          <w:rFonts w:ascii="宋体" w:hAnsi="宋体" w:eastAsia="宋体" w:cs="宋体"/>
          <w:b/>
          <w:bCs/>
          <w:sz w:val="28"/>
          <w:szCs w:val="28"/>
        </w:rPr>
      </w:pPr>
    </w:p>
    <w:sectPr>
      <w:pgSz w:w="11907" w:h="16840"/>
      <w:pgMar w:top="1400" w:right="1418" w:bottom="1089" w:left="1418" w:header="624" w:footer="748"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E819">
    <w:pPr>
      <w:pStyle w:val="15"/>
      <w:wordWrap/>
      <w:jc w:val="center"/>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A90A">
    <w:pPr>
      <w:pStyle w:val="15"/>
      <w:wordWrap/>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0214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800214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E81B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A4BF9">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AA4BF9">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7BA">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268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BC9A326A"/>
    <w:multiLevelType w:val="singleLevel"/>
    <w:tmpl w:val="BC9A326A"/>
    <w:lvl w:ilvl="0" w:tentative="0">
      <w:start w:val="1"/>
      <w:numFmt w:val="decimal"/>
      <w:suff w:val="space"/>
      <w:lvlText w:val="(%1)"/>
      <w:lvlJc w:val="left"/>
      <w:pPr>
        <w:ind w:left="425" w:hanging="425"/>
      </w:pPr>
      <w:rPr>
        <w:rFonts w:hint="default"/>
      </w:rPr>
    </w:lvl>
  </w:abstractNum>
  <w:abstractNum w:abstractNumId="3">
    <w:nsid w:val="CD806B66"/>
    <w:multiLevelType w:val="singleLevel"/>
    <w:tmpl w:val="CD806B66"/>
    <w:lvl w:ilvl="0" w:tentative="0">
      <w:start w:val="1"/>
      <w:numFmt w:val="decimal"/>
      <w:lvlText w:val="(%1)"/>
      <w:lvlJc w:val="left"/>
      <w:pPr>
        <w:ind w:left="425" w:hanging="425"/>
      </w:pPr>
      <w:rPr>
        <w:rFonts w:hint="default"/>
      </w:rPr>
    </w:lvl>
  </w:abstractNum>
  <w:abstractNum w:abstractNumId="4">
    <w:nsid w:val="D0BC0B62"/>
    <w:multiLevelType w:val="singleLevel"/>
    <w:tmpl w:val="D0BC0B62"/>
    <w:lvl w:ilvl="0" w:tentative="0">
      <w:start w:val="1"/>
      <w:numFmt w:val="decimal"/>
      <w:lvlText w:val="%1."/>
      <w:lvlJc w:val="left"/>
      <w:pPr>
        <w:tabs>
          <w:tab w:val="left" w:pos="312"/>
        </w:tabs>
      </w:pPr>
    </w:lvl>
  </w:abstractNum>
  <w:abstractNum w:abstractNumId="5">
    <w:nsid w:val="DAF5F60F"/>
    <w:multiLevelType w:val="singleLevel"/>
    <w:tmpl w:val="DAF5F60F"/>
    <w:lvl w:ilvl="0" w:tentative="0">
      <w:start w:val="8"/>
      <w:numFmt w:val="chineseCounting"/>
      <w:suff w:val="nothing"/>
      <w:lvlText w:val="%1、"/>
      <w:lvlJc w:val="left"/>
      <w:rPr>
        <w:rFonts w:hint="eastAsia"/>
      </w:rPr>
    </w:lvl>
  </w:abstractNum>
  <w:abstractNum w:abstractNumId="6">
    <w:nsid w:val="F1351CB7"/>
    <w:multiLevelType w:val="singleLevel"/>
    <w:tmpl w:val="F1351CB7"/>
    <w:lvl w:ilvl="0" w:tentative="0">
      <w:start w:val="4"/>
      <w:numFmt w:val="chineseCounting"/>
      <w:suff w:val="nothing"/>
      <w:lvlText w:val="%1、"/>
      <w:lvlJc w:val="left"/>
      <w:rPr>
        <w:rFonts w:hint="eastAsia"/>
      </w:rPr>
    </w:lvl>
  </w:abstractNum>
  <w:abstractNum w:abstractNumId="7">
    <w:nsid w:val="23C26398"/>
    <w:multiLevelType w:val="singleLevel"/>
    <w:tmpl w:val="23C26398"/>
    <w:lvl w:ilvl="0" w:tentative="0">
      <w:start w:val="2"/>
      <w:numFmt w:val="chineseCounting"/>
      <w:suff w:val="space"/>
      <w:lvlText w:val="第%1章"/>
      <w:lvlJc w:val="left"/>
      <w:rPr>
        <w:rFonts w:hint="eastAsia"/>
      </w:rPr>
    </w:lvl>
  </w:abstractNum>
  <w:abstractNum w:abstractNumId="8">
    <w:nsid w:val="2D6A2507"/>
    <w:multiLevelType w:val="singleLevel"/>
    <w:tmpl w:val="2D6A2507"/>
    <w:lvl w:ilvl="0" w:tentative="0">
      <w:start w:val="1"/>
      <w:numFmt w:val="decimal"/>
      <w:lvlText w:val="(%1)"/>
      <w:lvlJc w:val="left"/>
      <w:pPr>
        <w:ind w:left="425" w:hanging="425"/>
      </w:pPr>
      <w:rPr>
        <w:rFonts w:hint="default"/>
      </w:rPr>
    </w:lvl>
  </w:abstractNum>
  <w:abstractNum w:abstractNumId="9">
    <w:nsid w:val="4F3FF634"/>
    <w:multiLevelType w:val="singleLevel"/>
    <w:tmpl w:val="4F3FF634"/>
    <w:lvl w:ilvl="0" w:tentative="0">
      <w:start w:val="2"/>
      <w:numFmt w:val="decimal"/>
      <w:lvlText w:val="%1."/>
      <w:lvlJc w:val="left"/>
      <w:pPr>
        <w:tabs>
          <w:tab w:val="left" w:pos="312"/>
        </w:tabs>
      </w:pPr>
    </w:lvl>
  </w:abstractNum>
  <w:abstractNum w:abstractNumId="10">
    <w:nsid w:val="5CAA32CF"/>
    <w:multiLevelType w:val="singleLevel"/>
    <w:tmpl w:val="5CAA32CF"/>
    <w:lvl w:ilvl="0" w:tentative="0">
      <w:start w:val="2"/>
      <w:numFmt w:val="decimal"/>
      <w:suff w:val="nothing"/>
      <w:lvlText w:val="%1、"/>
      <w:lvlJc w:val="left"/>
    </w:lvl>
  </w:abstractNum>
  <w:abstractNum w:abstractNumId="11">
    <w:nsid w:val="6BDA4796"/>
    <w:multiLevelType w:val="singleLevel"/>
    <w:tmpl w:val="6BDA4796"/>
    <w:lvl w:ilvl="0" w:tentative="0">
      <w:start w:val="1"/>
      <w:numFmt w:val="decimal"/>
      <w:lvlText w:val="(%1)"/>
      <w:lvlJc w:val="left"/>
      <w:pPr>
        <w:ind w:left="425" w:hanging="425"/>
      </w:pPr>
      <w:rPr>
        <w:rFonts w:hint="default"/>
      </w:rPr>
    </w:lvl>
  </w:abstractNum>
  <w:abstractNum w:abstractNumId="12">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7"/>
  </w:num>
  <w:num w:numId="3">
    <w:abstractNumId w:val="1"/>
  </w:num>
  <w:num w:numId="4">
    <w:abstractNumId w:val="11"/>
  </w:num>
  <w:num w:numId="5">
    <w:abstractNumId w:val="12"/>
  </w:num>
  <w:num w:numId="6">
    <w:abstractNumId w:val="9"/>
  </w:num>
  <w:num w:numId="7">
    <w:abstractNumId w:val="4"/>
  </w:num>
  <w:num w:numId="8">
    <w:abstractNumId w:val="0"/>
  </w:num>
  <w:num w:numId="9">
    <w:abstractNumId w:val="8"/>
  </w:num>
  <w:num w:numId="10">
    <w:abstractNumId w:val="3"/>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DNiNjE3NjljN2U4ZjZkMDJhYzQ3NjkxODc5NjUifQ=="/>
    <w:docVar w:name="KSO_WPS_MARK_KEY" w:val="24df99d9-1ae2-4ff0-a9bf-812d2cb5ac4e"/>
  </w:docVars>
  <w:rsids>
    <w:rsidRoot w:val="00172A27"/>
    <w:rsid w:val="00000DE0"/>
    <w:rsid w:val="00066A99"/>
    <w:rsid w:val="000809C5"/>
    <w:rsid w:val="000826E2"/>
    <w:rsid w:val="000D594E"/>
    <w:rsid w:val="00167E7B"/>
    <w:rsid w:val="00194E8B"/>
    <w:rsid w:val="001E46AA"/>
    <w:rsid w:val="001F1CD3"/>
    <w:rsid w:val="001F7898"/>
    <w:rsid w:val="00216AC6"/>
    <w:rsid w:val="0028024F"/>
    <w:rsid w:val="00286260"/>
    <w:rsid w:val="00295A42"/>
    <w:rsid w:val="002A1ED3"/>
    <w:rsid w:val="002B03AC"/>
    <w:rsid w:val="00330FA3"/>
    <w:rsid w:val="003608F5"/>
    <w:rsid w:val="003A25DA"/>
    <w:rsid w:val="00485468"/>
    <w:rsid w:val="005714C6"/>
    <w:rsid w:val="00577D43"/>
    <w:rsid w:val="005A4ECD"/>
    <w:rsid w:val="005F2BC4"/>
    <w:rsid w:val="00613CE9"/>
    <w:rsid w:val="00614DD7"/>
    <w:rsid w:val="00615EA1"/>
    <w:rsid w:val="00641CD9"/>
    <w:rsid w:val="00644872"/>
    <w:rsid w:val="006660CC"/>
    <w:rsid w:val="006D2A98"/>
    <w:rsid w:val="006F3EF0"/>
    <w:rsid w:val="006F3F9D"/>
    <w:rsid w:val="007373D3"/>
    <w:rsid w:val="00744566"/>
    <w:rsid w:val="007928CB"/>
    <w:rsid w:val="007B0252"/>
    <w:rsid w:val="007D0C55"/>
    <w:rsid w:val="008704A1"/>
    <w:rsid w:val="008B2B8F"/>
    <w:rsid w:val="008B3983"/>
    <w:rsid w:val="00931610"/>
    <w:rsid w:val="00972264"/>
    <w:rsid w:val="009976C9"/>
    <w:rsid w:val="00A348EB"/>
    <w:rsid w:val="00A67A56"/>
    <w:rsid w:val="00AE2F37"/>
    <w:rsid w:val="00B0474B"/>
    <w:rsid w:val="00B16421"/>
    <w:rsid w:val="00B373A9"/>
    <w:rsid w:val="00B554E5"/>
    <w:rsid w:val="00BA1A55"/>
    <w:rsid w:val="00C16AF9"/>
    <w:rsid w:val="00C5279E"/>
    <w:rsid w:val="00CB3C62"/>
    <w:rsid w:val="00CD6A86"/>
    <w:rsid w:val="00D06366"/>
    <w:rsid w:val="00D53264"/>
    <w:rsid w:val="00D63392"/>
    <w:rsid w:val="00D96F85"/>
    <w:rsid w:val="00E44F2F"/>
    <w:rsid w:val="00E95835"/>
    <w:rsid w:val="00EF7950"/>
    <w:rsid w:val="00F108CA"/>
    <w:rsid w:val="00F1304D"/>
    <w:rsid w:val="00F516B2"/>
    <w:rsid w:val="00F852E3"/>
    <w:rsid w:val="00F93066"/>
    <w:rsid w:val="00F96FD9"/>
    <w:rsid w:val="00FC1E93"/>
    <w:rsid w:val="00FE4C37"/>
    <w:rsid w:val="00FE7D49"/>
    <w:rsid w:val="011B572A"/>
    <w:rsid w:val="013C690E"/>
    <w:rsid w:val="014063FE"/>
    <w:rsid w:val="014A102B"/>
    <w:rsid w:val="014D28C9"/>
    <w:rsid w:val="01506212"/>
    <w:rsid w:val="01AA1AC9"/>
    <w:rsid w:val="01E95976"/>
    <w:rsid w:val="01ED4A24"/>
    <w:rsid w:val="02155410"/>
    <w:rsid w:val="021567F9"/>
    <w:rsid w:val="021D27A0"/>
    <w:rsid w:val="023D293E"/>
    <w:rsid w:val="025F28B4"/>
    <w:rsid w:val="02881E0B"/>
    <w:rsid w:val="028D2FBF"/>
    <w:rsid w:val="02A97FD3"/>
    <w:rsid w:val="02B436F0"/>
    <w:rsid w:val="02C31E14"/>
    <w:rsid w:val="02CB619B"/>
    <w:rsid w:val="02CC227A"/>
    <w:rsid w:val="02F76F90"/>
    <w:rsid w:val="03015719"/>
    <w:rsid w:val="03163E1D"/>
    <w:rsid w:val="031C69F7"/>
    <w:rsid w:val="032558AB"/>
    <w:rsid w:val="034F0B7A"/>
    <w:rsid w:val="036208AE"/>
    <w:rsid w:val="037F7FC9"/>
    <w:rsid w:val="039D7B38"/>
    <w:rsid w:val="03C30C20"/>
    <w:rsid w:val="03D332D6"/>
    <w:rsid w:val="03EA2EFC"/>
    <w:rsid w:val="040C0819"/>
    <w:rsid w:val="04356B11"/>
    <w:rsid w:val="04357D70"/>
    <w:rsid w:val="045A1585"/>
    <w:rsid w:val="046C750A"/>
    <w:rsid w:val="048D195A"/>
    <w:rsid w:val="049B394B"/>
    <w:rsid w:val="05050531"/>
    <w:rsid w:val="0506249C"/>
    <w:rsid w:val="05253B7D"/>
    <w:rsid w:val="05686988"/>
    <w:rsid w:val="056D178C"/>
    <w:rsid w:val="05B747B5"/>
    <w:rsid w:val="05BB7F32"/>
    <w:rsid w:val="05BD626F"/>
    <w:rsid w:val="05C63FE0"/>
    <w:rsid w:val="05DA207B"/>
    <w:rsid w:val="063B2158"/>
    <w:rsid w:val="067313A5"/>
    <w:rsid w:val="06744454"/>
    <w:rsid w:val="06B156A8"/>
    <w:rsid w:val="06CD24E2"/>
    <w:rsid w:val="070E48A8"/>
    <w:rsid w:val="071C3C33"/>
    <w:rsid w:val="072950F8"/>
    <w:rsid w:val="0768220B"/>
    <w:rsid w:val="07691ADF"/>
    <w:rsid w:val="076B30C0"/>
    <w:rsid w:val="078E1545"/>
    <w:rsid w:val="07941252"/>
    <w:rsid w:val="07A446F8"/>
    <w:rsid w:val="07B40FAC"/>
    <w:rsid w:val="07C338E5"/>
    <w:rsid w:val="07CF4038"/>
    <w:rsid w:val="07E74A05"/>
    <w:rsid w:val="08115849"/>
    <w:rsid w:val="08204893"/>
    <w:rsid w:val="082A3964"/>
    <w:rsid w:val="08384CD4"/>
    <w:rsid w:val="085A5FF7"/>
    <w:rsid w:val="08687FE8"/>
    <w:rsid w:val="087F0190"/>
    <w:rsid w:val="08AE04A4"/>
    <w:rsid w:val="08BA6A96"/>
    <w:rsid w:val="08D665FF"/>
    <w:rsid w:val="08DA2C94"/>
    <w:rsid w:val="08DD09D6"/>
    <w:rsid w:val="08EC0C19"/>
    <w:rsid w:val="09153CCC"/>
    <w:rsid w:val="09153DF2"/>
    <w:rsid w:val="09524F20"/>
    <w:rsid w:val="09581E0B"/>
    <w:rsid w:val="095D5673"/>
    <w:rsid w:val="096A04BC"/>
    <w:rsid w:val="097233FB"/>
    <w:rsid w:val="09896468"/>
    <w:rsid w:val="098D4349"/>
    <w:rsid w:val="098D7D07"/>
    <w:rsid w:val="0991464C"/>
    <w:rsid w:val="09A66753"/>
    <w:rsid w:val="09D33507"/>
    <w:rsid w:val="09E638BB"/>
    <w:rsid w:val="0A102D91"/>
    <w:rsid w:val="0A14667A"/>
    <w:rsid w:val="0A4A3E4A"/>
    <w:rsid w:val="0A5371A2"/>
    <w:rsid w:val="0A7D7D7B"/>
    <w:rsid w:val="0A7F7F97"/>
    <w:rsid w:val="0A9F717D"/>
    <w:rsid w:val="0AA210FD"/>
    <w:rsid w:val="0AB37C41"/>
    <w:rsid w:val="0AD23ADB"/>
    <w:rsid w:val="0AF97CC1"/>
    <w:rsid w:val="0B2C359C"/>
    <w:rsid w:val="0B310F74"/>
    <w:rsid w:val="0B591DBF"/>
    <w:rsid w:val="0B6464D2"/>
    <w:rsid w:val="0B941820"/>
    <w:rsid w:val="0BA13D85"/>
    <w:rsid w:val="0BCD6308"/>
    <w:rsid w:val="0BE54A85"/>
    <w:rsid w:val="0BED101D"/>
    <w:rsid w:val="0BED2CDE"/>
    <w:rsid w:val="0C0B585A"/>
    <w:rsid w:val="0C5C43CC"/>
    <w:rsid w:val="0C5E1E2E"/>
    <w:rsid w:val="0C6C00A7"/>
    <w:rsid w:val="0C6F7B97"/>
    <w:rsid w:val="0C832815"/>
    <w:rsid w:val="0C913FB2"/>
    <w:rsid w:val="0CAF61E6"/>
    <w:rsid w:val="0CB92F9A"/>
    <w:rsid w:val="0CC55A09"/>
    <w:rsid w:val="0CF34325"/>
    <w:rsid w:val="0D0227BA"/>
    <w:rsid w:val="0D2A1D10"/>
    <w:rsid w:val="0D3B5CCB"/>
    <w:rsid w:val="0D624CD9"/>
    <w:rsid w:val="0DB40989"/>
    <w:rsid w:val="0DB53CD0"/>
    <w:rsid w:val="0E341AA2"/>
    <w:rsid w:val="0E3A5F83"/>
    <w:rsid w:val="0E567032"/>
    <w:rsid w:val="0E7855FD"/>
    <w:rsid w:val="0E841D27"/>
    <w:rsid w:val="0EA55D13"/>
    <w:rsid w:val="0EC51CF1"/>
    <w:rsid w:val="0ECC69B1"/>
    <w:rsid w:val="0EEE2C8F"/>
    <w:rsid w:val="0F1669F0"/>
    <w:rsid w:val="0F340C24"/>
    <w:rsid w:val="0F417D20"/>
    <w:rsid w:val="0F423341"/>
    <w:rsid w:val="0F476BAA"/>
    <w:rsid w:val="0F550054"/>
    <w:rsid w:val="0F56503F"/>
    <w:rsid w:val="0F904BAD"/>
    <w:rsid w:val="0FA653C0"/>
    <w:rsid w:val="0FB17C6F"/>
    <w:rsid w:val="0FD348E1"/>
    <w:rsid w:val="106A6FF4"/>
    <w:rsid w:val="10D206F5"/>
    <w:rsid w:val="10D34B99"/>
    <w:rsid w:val="10F51D5F"/>
    <w:rsid w:val="10F52C05"/>
    <w:rsid w:val="11230F50"/>
    <w:rsid w:val="112A22DF"/>
    <w:rsid w:val="113532E1"/>
    <w:rsid w:val="113849FC"/>
    <w:rsid w:val="114A0BD3"/>
    <w:rsid w:val="11553800"/>
    <w:rsid w:val="11643A43"/>
    <w:rsid w:val="11C25C30"/>
    <w:rsid w:val="11CB3AC2"/>
    <w:rsid w:val="11E800CE"/>
    <w:rsid w:val="11EB466C"/>
    <w:rsid w:val="11FC011F"/>
    <w:rsid w:val="12062D4C"/>
    <w:rsid w:val="12174F59"/>
    <w:rsid w:val="122356AC"/>
    <w:rsid w:val="12266F4A"/>
    <w:rsid w:val="12476104"/>
    <w:rsid w:val="125E4936"/>
    <w:rsid w:val="12641821"/>
    <w:rsid w:val="126F6B43"/>
    <w:rsid w:val="129C3F56"/>
    <w:rsid w:val="12A06CFD"/>
    <w:rsid w:val="12BA46A8"/>
    <w:rsid w:val="12CA541C"/>
    <w:rsid w:val="131E7C21"/>
    <w:rsid w:val="13207E3D"/>
    <w:rsid w:val="133956D7"/>
    <w:rsid w:val="13737F6D"/>
    <w:rsid w:val="13896C54"/>
    <w:rsid w:val="138E2FF9"/>
    <w:rsid w:val="13904FC3"/>
    <w:rsid w:val="13990DD6"/>
    <w:rsid w:val="13CD1704"/>
    <w:rsid w:val="13F15336"/>
    <w:rsid w:val="144D4C62"/>
    <w:rsid w:val="14627FE2"/>
    <w:rsid w:val="14661880"/>
    <w:rsid w:val="14787805"/>
    <w:rsid w:val="149A4376"/>
    <w:rsid w:val="14BA7E1E"/>
    <w:rsid w:val="14C30A80"/>
    <w:rsid w:val="14D26F15"/>
    <w:rsid w:val="14D94748"/>
    <w:rsid w:val="14ED1FA1"/>
    <w:rsid w:val="14F74BCE"/>
    <w:rsid w:val="152A07B5"/>
    <w:rsid w:val="153E27FD"/>
    <w:rsid w:val="15597637"/>
    <w:rsid w:val="155B6F0B"/>
    <w:rsid w:val="156102B8"/>
    <w:rsid w:val="157A0358"/>
    <w:rsid w:val="15997A33"/>
    <w:rsid w:val="15AC59B8"/>
    <w:rsid w:val="15BF3C17"/>
    <w:rsid w:val="161226C3"/>
    <w:rsid w:val="16135A37"/>
    <w:rsid w:val="162437A1"/>
    <w:rsid w:val="163F4A7E"/>
    <w:rsid w:val="16461089"/>
    <w:rsid w:val="16550CFF"/>
    <w:rsid w:val="16A668AC"/>
    <w:rsid w:val="16AB2114"/>
    <w:rsid w:val="16B5089D"/>
    <w:rsid w:val="16D301F3"/>
    <w:rsid w:val="16FB2C42"/>
    <w:rsid w:val="17026ACC"/>
    <w:rsid w:val="170A474E"/>
    <w:rsid w:val="171124CE"/>
    <w:rsid w:val="1724015E"/>
    <w:rsid w:val="17282217"/>
    <w:rsid w:val="174B159D"/>
    <w:rsid w:val="176B56CA"/>
    <w:rsid w:val="177B3894"/>
    <w:rsid w:val="17A10E21"/>
    <w:rsid w:val="17C84600"/>
    <w:rsid w:val="18194E5B"/>
    <w:rsid w:val="181F6915"/>
    <w:rsid w:val="183A72AB"/>
    <w:rsid w:val="187B3D57"/>
    <w:rsid w:val="188B7B07"/>
    <w:rsid w:val="189701E7"/>
    <w:rsid w:val="189A41EE"/>
    <w:rsid w:val="189F7A56"/>
    <w:rsid w:val="18A818D3"/>
    <w:rsid w:val="18B90B18"/>
    <w:rsid w:val="18D70F9E"/>
    <w:rsid w:val="18F90F15"/>
    <w:rsid w:val="1910625E"/>
    <w:rsid w:val="194523AC"/>
    <w:rsid w:val="19481E9C"/>
    <w:rsid w:val="195E736E"/>
    <w:rsid w:val="196A733A"/>
    <w:rsid w:val="19834C82"/>
    <w:rsid w:val="19A95DD5"/>
    <w:rsid w:val="19B80DD0"/>
    <w:rsid w:val="19D454DE"/>
    <w:rsid w:val="1A267AAD"/>
    <w:rsid w:val="1A3F504D"/>
    <w:rsid w:val="1A8E38DF"/>
    <w:rsid w:val="1AD75285"/>
    <w:rsid w:val="1AF57E02"/>
    <w:rsid w:val="1B08001A"/>
    <w:rsid w:val="1B2B55D1"/>
    <w:rsid w:val="1B300E3A"/>
    <w:rsid w:val="1B697C85"/>
    <w:rsid w:val="1B754A9E"/>
    <w:rsid w:val="1B7725C5"/>
    <w:rsid w:val="1B8076CB"/>
    <w:rsid w:val="1B865037"/>
    <w:rsid w:val="1B877235"/>
    <w:rsid w:val="1B882A24"/>
    <w:rsid w:val="1B8B42C2"/>
    <w:rsid w:val="1BC021BE"/>
    <w:rsid w:val="1BC65E20"/>
    <w:rsid w:val="1BCD56D7"/>
    <w:rsid w:val="1C0A3439"/>
    <w:rsid w:val="1C281B11"/>
    <w:rsid w:val="1C550B58"/>
    <w:rsid w:val="1C760ACE"/>
    <w:rsid w:val="1C984EE8"/>
    <w:rsid w:val="1CF33D48"/>
    <w:rsid w:val="1D320E99"/>
    <w:rsid w:val="1D383FD6"/>
    <w:rsid w:val="1D427DC8"/>
    <w:rsid w:val="1D51673F"/>
    <w:rsid w:val="1D525097"/>
    <w:rsid w:val="1D554B87"/>
    <w:rsid w:val="1D594678"/>
    <w:rsid w:val="1D686669"/>
    <w:rsid w:val="1D9B4C90"/>
    <w:rsid w:val="1DAF24EA"/>
    <w:rsid w:val="1DAF37C3"/>
    <w:rsid w:val="1DAF4298"/>
    <w:rsid w:val="1DB47B00"/>
    <w:rsid w:val="1DB96EC4"/>
    <w:rsid w:val="1DCA10D2"/>
    <w:rsid w:val="1DCB6BF8"/>
    <w:rsid w:val="1E002659"/>
    <w:rsid w:val="1E012619"/>
    <w:rsid w:val="1E3821EF"/>
    <w:rsid w:val="1E871490"/>
    <w:rsid w:val="1E9623BB"/>
    <w:rsid w:val="1E993340"/>
    <w:rsid w:val="1E9F255E"/>
    <w:rsid w:val="1EA27102"/>
    <w:rsid w:val="1EA47B74"/>
    <w:rsid w:val="1EE16198"/>
    <w:rsid w:val="1EED06C1"/>
    <w:rsid w:val="1EF34658"/>
    <w:rsid w:val="1F016D75"/>
    <w:rsid w:val="1F29007A"/>
    <w:rsid w:val="1F2C5BF5"/>
    <w:rsid w:val="1F4924CA"/>
    <w:rsid w:val="1F4C0CA8"/>
    <w:rsid w:val="1F525822"/>
    <w:rsid w:val="1F8B663F"/>
    <w:rsid w:val="1F9C6A9E"/>
    <w:rsid w:val="1FAE6C2A"/>
    <w:rsid w:val="1FD344A1"/>
    <w:rsid w:val="1FD73102"/>
    <w:rsid w:val="1FFB1A16"/>
    <w:rsid w:val="20084133"/>
    <w:rsid w:val="200B777F"/>
    <w:rsid w:val="201B3E66"/>
    <w:rsid w:val="205B68E1"/>
    <w:rsid w:val="206312B7"/>
    <w:rsid w:val="20735A50"/>
    <w:rsid w:val="20911A4A"/>
    <w:rsid w:val="209F64C7"/>
    <w:rsid w:val="20EE157B"/>
    <w:rsid w:val="21016FB2"/>
    <w:rsid w:val="210448FA"/>
    <w:rsid w:val="21182154"/>
    <w:rsid w:val="21311D78"/>
    <w:rsid w:val="214271D1"/>
    <w:rsid w:val="214B077B"/>
    <w:rsid w:val="2195103F"/>
    <w:rsid w:val="21B52099"/>
    <w:rsid w:val="21B56728"/>
    <w:rsid w:val="21B6105F"/>
    <w:rsid w:val="21DE514B"/>
    <w:rsid w:val="22160D89"/>
    <w:rsid w:val="223C00C4"/>
    <w:rsid w:val="22462793"/>
    <w:rsid w:val="2251571B"/>
    <w:rsid w:val="22802A80"/>
    <w:rsid w:val="22D16A5E"/>
    <w:rsid w:val="22D36AB8"/>
    <w:rsid w:val="22DB168B"/>
    <w:rsid w:val="22DB49BE"/>
    <w:rsid w:val="232474D6"/>
    <w:rsid w:val="23492A98"/>
    <w:rsid w:val="234E0C74"/>
    <w:rsid w:val="23711FEF"/>
    <w:rsid w:val="237779BB"/>
    <w:rsid w:val="237D0994"/>
    <w:rsid w:val="239911F4"/>
    <w:rsid w:val="23D37B84"/>
    <w:rsid w:val="23F042E0"/>
    <w:rsid w:val="240910FB"/>
    <w:rsid w:val="240D3AC6"/>
    <w:rsid w:val="242A0B1C"/>
    <w:rsid w:val="243D0FA6"/>
    <w:rsid w:val="244D65CE"/>
    <w:rsid w:val="24864C40"/>
    <w:rsid w:val="249661B1"/>
    <w:rsid w:val="24977834"/>
    <w:rsid w:val="24AE34FB"/>
    <w:rsid w:val="24BB1774"/>
    <w:rsid w:val="24E862E1"/>
    <w:rsid w:val="24F91A18"/>
    <w:rsid w:val="250E3CFA"/>
    <w:rsid w:val="25184E18"/>
    <w:rsid w:val="253B2D06"/>
    <w:rsid w:val="254C6870"/>
    <w:rsid w:val="256D3B90"/>
    <w:rsid w:val="257932FE"/>
    <w:rsid w:val="25AC730F"/>
    <w:rsid w:val="25D94AEF"/>
    <w:rsid w:val="262B2929"/>
    <w:rsid w:val="263C4B36"/>
    <w:rsid w:val="263D1448"/>
    <w:rsid w:val="26445799"/>
    <w:rsid w:val="26A5448A"/>
    <w:rsid w:val="26AB75C6"/>
    <w:rsid w:val="26C62652"/>
    <w:rsid w:val="26D62895"/>
    <w:rsid w:val="26EF3957"/>
    <w:rsid w:val="26F23CF9"/>
    <w:rsid w:val="27035654"/>
    <w:rsid w:val="271420CC"/>
    <w:rsid w:val="272A2BE1"/>
    <w:rsid w:val="27B23302"/>
    <w:rsid w:val="282536B5"/>
    <w:rsid w:val="28500425"/>
    <w:rsid w:val="28697709"/>
    <w:rsid w:val="289B47AA"/>
    <w:rsid w:val="28A30E9D"/>
    <w:rsid w:val="28A91541"/>
    <w:rsid w:val="28C35C6F"/>
    <w:rsid w:val="28E82D54"/>
    <w:rsid w:val="291476A5"/>
    <w:rsid w:val="29373393"/>
    <w:rsid w:val="293E4722"/>
    <w:rsid w:val="294336CA"/>
    <w:rsid w:val="296C1E29"/>
    <w:rsid w:val="29A22F02"/>
    <w:rsid w:val="29AA1DB7"/>
    <w:rsid w:val="29B80978"/>
    <w:rsid w:val="29C15A7E"/>
    <w:rsid w:val="29C9048F"/>
    <w:rsid w:val="29D07A70"/>
    <w:rsid w:val="29E17ECF"/>
    <w:rsid w:val="2A0B3BBA"/>
    <w:rsid w:val="2A0C4820"/>
    <w:rsid w:val="2A2658E2"/>
    <w:rsid w:val="2A6D3510"/>
    <w:rsid w:val="2A900FAD"/>
    <w:rsid w:val="2A9071FF"/>
    <w:rsid w:val="2A907A5B"/>
    <w:rsid w:val="2AA66A22"/>
    <w:rsid w:val="2AAB41DF"/>
    <w:rsid w:val="2AAD2F10"/>
    <w:rsid w:val="2AB1667F"/>
    <w:rsid w:val="2AB26B47"/>
    <w:rsid w:val="2AB4113F"/>
    <w:rsid w:val="2ABF498C"/>
    <w:rsid w:val="2AC670C5"/>
    <w:rsid w:val="2AD0640E"/>
    <w:rsid w:val="2AE45B62"/>
    <w:rsid w:val="2B0A5203"/>
    <w:rsid w:val="2B0F1CB0"/>
    <w:rsid w:val="2B277B63"/>
    <w:rsid w:val="2B335D46"/>
    <w:rsid w:val="2B3D7387"/>
    <w:rsid w:val="2B6B45C8"/>
    <w:rsid w:val="2B7D6257"/>
    <w:rsid w:val="2B7F799F"/>
    <w:rsid w:val="2B9351F9"/>
    <w:rsid w:val="2BB13A9B"/>
    <w:rsid w:val="2BF13CCD"/>
    <w:rsid w:val="2BF5452C"/>
    <w:rsid w:val="2BF6650A"/>
    <w:rsid w:val="2C0C6D59"/>
    <w:rsid w:val="2C1A76C8"/>
    <w:rsid w:val="2C1C5DB0"/>
    <w:rsid w:val="2C3E4011"/>
    <w:rsid w:val="2C574478"/>
    <w:rsid w:val="2C5D5807"/>
    <w:rsid w:val="2C697D08"/>
    <w:rsid w:val="2C864D5D"/>
    <w:rsid w:val="2CD73969"/>
    <w:rsid w:val="2CF0667B"/>
    <w:rsid w:val="2CF75313"/>
    <w:rsid w:val="2CFA3055"/>
    <w:rsid w:val="2D0C3CF4"/>
    <w:rsid w:val="2D2F04EF"/>
    <w:rsid w:val="2D3D5B48"/>
    <w:rsid w:val="2D450775"/>
    <w:rsid w:val="2D4C1B03"/>
    <w:rsid w:val="2D574F48"/>
    <w:rsid w:val="2D593DF3"/>
    <w:rsid w:val="2D600C73"/>
    <w:rsid w:val="2D654973"/>
    <w:rsid w:val="2D8D3ECA"/>
    <w:rsid w:val="2D8E211C"/>
    <w:rsid w:val="2DB81892"/>
    <w:rsid w:val="2DC21DC5"/>
    <w:rsid w:val="2DD45655"/>
    <w:rsid w:val="2DF6381D"/>
    <w:rsid w:val="2E053A60"/>
    <w:rsid w:val="2E1E4B22"/>
    <w:rsid w:val="2E290C48"/>
    <w:rsid w:val="2E3A195C"/>
    <w:rsid w:val="2E4C168F"/>
    <w:rsid w:val="2E5844D8"/>
    <w:rsid w:val="2E6E3CFB"/>
    <w:rsid w:val="2E7330BF"/>
    <w:rsid w:val="2E756E38"/>
    <w:rsid w:val="2E975000"/>
    <w:rsid w:val="2EC90F31"/>
    <w:rsid w:val="2ECE1A62"/>
    <w:rsid w:val="2EDE19F1"/>
    <w:rsid w:val="2EDF7472"/>
    <w:rsid w:val="2EEA15D4"/>
    <w:rsid w:val="2EF266DA"/>
    <w:rsid w:val="2F0B211E"/>
    <w:rsid w:val="2F106B60"/>
    <w:rsid w:val="2F1C1B3F"/>
    <w:rsid w:val="2F45680A"/>
    <w:rsid w:val="2F5B1279"/>
    <w:rsid w:val="2F68074A"/>
    <w:rsid w:val="2F6A2714"/>
    <w:rsid w:val="2F8F3F29"/>
    <w:rsid w:val="2F9B0EAA"/>
    <w:rsid w:val="2FB41BE1"/>
    <w:rsid w:val="2FC242FE"/>
    <w:rsid w:val="2FDB060F"/>
    <w:rsid w:val="2FE222AB"/>
    <w:rsid w:val="2FEE7B09"/>
    <w:rsid w:val="30185CCC"/>
    <w:rsid w:val="30191A45"/>
    <w:rsid w:val="301C610F"/>
    <w:rsid w:val="303837B5"/>
    <w:rsid w:val="306029C1"/>
    <w:rsid w:val="306F1B59"/>
    <w:rsid w:val="309401DF"/>
    <w:rsid w:val="3094583F"/>
    <w:rsid w:val="3098505F"/>
    <w:rsid w:val="309D4327"/>
    <w:rsid w:val="30A30058"/>
    <w:rsid w:val="30BE4485"/>
    <w:rsid w:val="30D140CD"/>
    <w:rsid w:val="30D2231F"/>
    <w:rsid w:val="30DC319E"/>
    <w:rsid w:val="30E107B4"/>
    <w:rsid w:val="30E2277C"/>
    <w:rsid w:val="30EB0319"/>
    <w:rsid w:val="30F1651D"/>
    <w:rsid w:val="30F26072"/>
    <w:rsid w:val="30F93D50"/>
    <w:rsid w:val="310A1DDA"/>
    <w:rsid w:val="311C359A"/>
    <w:rsid w:val="3126202D"/>
    <w:rsid w:val="313B17A9"/>
    <w:rsid w:val="317653A0"/>
    <w:rsid w:val="3179279B"/>
    <w:rsid w:val="317A4765"/>
    <w:rsid w:val="318850D4"/>
    <w:rsid w:val="318A49A8"/>
    <w:rsid w:val="31A17F44"/>
    <w:rsid w:val="31B953CE"/>
    <w:rsid w:val="31DD71CE"/>
    <w:rsid w:val="31E3055C"/>
    <w:rsid w:val="31E87920"/>
    <w:rsid w:val="31ED3189"/>
    <w:rsid w:val="31F12C79"/>
    <w:rsid w:val="31F34273"/>
    <w:rsid w:val="32004C6A"/>
    <w:rsid w:val="32317519"/>
    <w:rsid w:val="323A517F"/>
    <w:rsid w:val="32454D73"/>
    <w:rsid w:val="324A4137"/>
    <w:rsid w:val="32623B94"/>
    <w:rsid w:val="3267118D"/>
    <w:rsid w:val="328B4124"/>
    <w:rsid w:val="32921D22"/>
    <w:rsid w:val="32A1405B"/>
    <w:rsid w:val="32C90606"/>
    <w:rsid w:val="32CC41E5"/>
    <w:rsid w:val="32D260EE"/>
    <w:rsid w:val="32D85BE7"/>
    <w:rsid w:val="32EB3B6C"/>
    <w:rsid w:val="32F00865"/>
    <w:rsid w:val="3310632D"/>
    <w:rsid w:val="33152997"/>
    <w:rsid w:val="33274478"/>
    <w:rsid w:val="332A20EF"/>
    <w:rsid w:val="33332E1D"/>
    <w:rsid w:val="333F17C2"/>
    <w:rsid w:val="3349217D"/>
    <w:rsid w:val="33517B85"/>
    <w:rsid w:val="33A1247D"/>
    <w:rsid w:val="33AB32FB"/>
    <w:rsid w:val="33C543BD"/>
    <w:rsid w:val="33D75E9F"/>
    <w:rsid w:val="33E32A95"/>
    <w:rsid w:val="33F151B2"/>
    <w:rsid w:val="343B467F"/>
    <w:rsid w:val="34684D49"/>
    <w:rsid w:val="34727975"/>
    <w:rsid w:val="34773682"/>
    <w:rsid w:val="34AB35B3"/>
    <w:rsid w:val="34BC140D"/>
    <w:rsid w:val="34C75F13"/>
    <w:rsid w:val="34F860CC"/>
    <w:rsid w:val="35213875"/>
    <w:rsid w:val="3522139B"/>
    <w:rsid w:val="35275328"/>
    <w:rsid w:val="352B1B33"/>
    <w:rsid w:val="353923C0"/>
    <w:rsid w:val="35551771"/>
    <w:rsid w:val="358B0865"/>
    <w:rsid w:val="3599165E"/>
    <w:rsid w:val="35F9034E"/>
    <w:rsid w:val="36070CBD"/>
    <w:rsid w:val="360E0E3F"/>
    <w:rsid w:val="36105698"/>
    <w:rsid w:val="361C5DEB"/>
    <w:rsid w:val="364D069A"/>
    <w:rsid w:val="36514DAB"/>
    <w:rsid w:val="36545584"/>
    <w:rsid w:val="36760B65"/>
    <w:rsid w:val="367D24D8"/>
    <w:rsid w:val="368F0CB2"/>
    <w:rsid w:val="36971ABF"/>
    <w:rsid w:val="37110EDE"/>
    <w:rsid w:val="37180CA8"/>
    <w:rsid w:val="3736112E"/>
    <w:rsid w:val="37417F37"/>
    <w:rsid w:val="376128CF"/>
    <w:rsid w:val="37814D43"/>
    <w:rsid w:val="3793211A"/>
    <w:rsid w:val="37985945"/>
    <w:rsid w:val="37B7401D"/>
    <w:rsid w:val="37D30CF4"/>
    <w:rsid w:val="37DF17C6"/>
    <w:rsid w:val="37E56DDC"/>
    <w:rsid w:val="37E7681F"/>
    <w:rsid w:val="37ED7A3F"/>
    <w:rsid w:val="37EF1A09"/>
    <w:rsid w:val="37F25055"/>
    <w:rsid w:val="37F51C38"/>
    <w:rsid w:val="380769FB"/>
    <w:rsid w:val="381274A5"/>
    <w:rsid w:val="38286CC9"/>
    <w:rsid w:val="383B4C4E"/>
    <w:rsid w:val="383E029A"/>
    <w:rsid w:val="385E093C"/>
    <w:rsid w:val="38740160"/>
    <w:rsid w:val="388A35AD"/>
    <w:rsid w:val="389E45F0"/>
    <w:rsid w:val="38AF73EA"/>
    <w:rsid w:val="38B30C88"/>
    <w:rsid w:val="38BB7B3D"/>
    <w:rsid w:val="38D34E86"/>
    <w:rsid w:val="39342D32"/>
    <w:rsid w:val="39455658"/>
    <w:rsid w:val="3948288A"/>
    <w:rsid w:val="394C69E7"/>
    <w:rsid w:val="394E6C03"/>
    <w:rsid w:val="39D0586A"/>
    <w:rsid w:val="39D236E8"/>
    <w:rsid w:val="39ED01CA"/>
    <w:rsid w:val="3A003F95"/>
    <w:rsid w:val="3A136630"/>
    <w:rsid w:val="3A2B484E"/>
    <w:rsid w:val="3A500759"/>
    <w:rsid w:val="3A79380C"/>
    <w:rsid w:val="3A8A77C7"/>
    <w:rsid w:val="3A9643BE"/>
    <w:rsid w:val="3A9E14C4"/>
    <w:rsid w:val="3AAC3BE1"/>
    <w:rsid w:val="3AB74334"/>
    <w:rsid w:val="3AC10570"/>
    <w:rsid w:val="3AC4271B"/>
    <w:rsid w:val="3AD20418"/>
    <w:rsid w:val="3AEE244B"/>
    <w:rsid w:val="3AEE41FA"/>
    <w:rsid w:val="3AF630AE"/>
    <w:rsid w:val="3B121229"/>
    <w:rsid w:val="3B617677"/>
    <w:rsid w:val="3B64270E"/>
    <w:rsid w:val="3B934DA1"/>
    <w:rsid w:val="3B936942"/>
    <w:rsid w:val="3BBF7944"/>
    <w:rsid w:val="3BC60CD2"/>
    <w:rsid w:val="3BCD02B3"/>
    <w:rsid w:val="3BDD601C"/>
    <w:rsid w:val="3BDF7FE6"/>
    <w:rsid w:val="3C026603"/>
    <w:rsid w:val="3C11242B"/>
    <w:rsid w:val="3C48298F"/>
    <w:rsid w:val="3C6D55F2"/>
    <w:rsid w:val="3C705C57"/>
    <w:rsid w:val="3CA01523"/>
    <w:rsid w:val="3CA408E8"/>
    <w:rsid w:val="3CC16FAE"/>
    <w:rsid w:val="3CD967E3"/>
    <w:rsid w:val="3D0777F5"/>
    <w:rsid w:val="3D29776B"/>
    <w:rsid w:val="3D3B700C"/>
    <w:rsid w:val="3D3F78A8"/>
    <w:rsid w:val="3D6C58AA"/>
    <w:rsid w:val="3D802EF4"/>
    <w:rsid w:val="3D8B7072"/>
    <w:rsid w:val="3D8E143F"/>
    <w:rsid w:val="3DD70B24"/>
    <w:rsid w:val="3DFD29A6"/>
    <w:rsid w:val="3E1C2E2C"/>
    <w:rsid w:val="3E374CB6"/>
    <w:rsid w:val="3E375EB7"/>
    <w:rsid w:val="3E3F2FBE"/>
    <w:rsid w:val="3E6F7B87"/>
    <w:rsid w:val="3E703177"/>
    <w:rsid w:val="3E987A56"/>
    <w:rsid w:val="3EC76A8F"/>
    <w:rsid w:val="3ECD05CA"/>
    <w:rsid w:val="3ECE2C8D"/>
    <w:rsid w:val="3ED6747E"/>
    <w:rsid w:val="3EEB0A50"/>
    <w:rsid w:val="3EEF22EE"/>
    <w:rsid w:val="3F006868"/>
    <w:rsid w:val="3F0C0038"/>
    <w:rsid w:val="3F155AAA"/>
    <w:rsid w:val="3F2C3542"/>
    <w:rsid w:val="3F402B4A"/>
    <w:rsid w:val="3F433998"/>
    <w:rsid w:val="3F61627B"/>
    <w:rsid w:val="3F7C74B3"/>
    <w:rsid w:val="3F9609BC"/>
    <w:rsid w:val="3FAA4B03"/>
    <w:rsid w:val="3FAE1904"/>
    <w:rsid w:val="3FC25C55"/>
    <w:rsid w:val="3FC92B3F"/>
    <w:rsid w:val="3FE21E53"/>
    <w:rsid w:val="3FF676AC"/>
    <w:rsid w:val="405216E4"/>
    <w:rsid w:val="405D597D"/>
    <w:rsid w:val="405F5252"/>
    <w:rsid w:val="407F58F4"/>
    <w:rsid w:val="40980764"/>
    <w:rsid w:val="40C96B6F"/>
    <w:rsid w:val="40CE4185"/>
    <w:rsid w:val="40E340D5"/>
    <w:rsid w:val="4105229D"/>
    <w:rsid w:val="411F04C2"/>
    <w:rsid w:val="412460AD"/>
    <w:rsid w:val="41250249"/>
    <w:rsid w:val="413E755D"/>
    <w:rsid w:val="414601C0"/>
    <w:rsid w:val="414803DC"/>
    <w:rsid w:val="41727207"/>
    <w:rsid w:val="418C7217"/>
    <w:rsid w:val="41B370D6"/>
    <w:rsid w:val="41C21F3C"/>
    <w:rsid w:val="41DB1250"/>
    <w:rsid w:val="41EC7AB4"/>
    <w:rsid w:val="420A743F"/>
    <w:rsid w:val="420C765B"/>
    <w:rsid w:val="420F4A55"/>
    <w:rsid w:val="421B164C"/>
    <w:rsid w:val="425B7C9B"/>
    <w:rsid w:val="426562C6"/>
    <w:rsid w:val="426D634C"/>
    <w:rsid w:val="42B253D9"/>
    <w:rsid w:val="42B5384F"/>
    <w:rsid w:val="42CB6BCE"/>
    <w:rsid w:val="42D34FAF"/>
    <w:rsid w:val="42DF6B1E"/>
    <w:rsid w:val="430976F7"/>
    <w:rsid w:val="431728AF"/>
    <w:rsid w:val="4320516C"/>
    <w:rsid w:val="433A3D54"/>
    <w:rsid w:val="43880F63"/>
    <w:rsid w:val="439C056B"/>
    <w:rsid w:val="43B318AF"/>
    <w:rsid w:val="43CC2BFE"/>
    <w:rsid w:val="43D146B8"/>
    <w:rsid w:val="43DD4E0B"/>
    <w:rsid w:val="43F403A7"/>
    <w:rsid w:val="43F87E97"/>
    <w:rsid w:val="440E76BA"/>
    <w:rsid w:val="447F5EC2"/>
    <w:rsid w:val="449562DE"/>
    <w:rsid w:val="44C9538F"/>
    <w:rsid w:val="450665E4"/>
    <w:rsid w:val="4517434D"/>
    <w:rsid w:val="452B7DF8"/>
    <w:rsid w:val="45372C41"/>
    <w:rsid w:val="45694DD6"/>
    <w:rsid w:val="456D0411"/>
    <w:rsid w:val="4573507E"/>
    <w:rsid w:val="45991206"/>
    <w:rsid w:val="45BD144E"/>
    <w:rsid w:val="45F86886"/>
    <w:rsid w:val="461E3AA0"/>
    <w:rsid w:val="46302433"/>
    <w:rsid w:val="464E3D9E"/>
    <w:rsid w:val="46552E56"/>
    <w:rsid w:val="46625A9C"/>
    <w:rsid w:val="46671304"/>
    <w:rsid w:val="468E6891"/>
    <w:rsid w:val="46A45B01"/>
    <w:rsid w:val="46A61E2C"/>
    <w:rsid w:val="46A63E5F"/>
    <w:rsid w:val="46B1432D"/>
    <w:rsid w:val="46F04E55"/>
    <w:rsid w:val="46FD6C47"/>
    <w:rsid w:val="470D4E2D"/>
    <w:rsid w:val="471072A6"/>
    <w:rsid w:val="475950F1"/>
    <w:rsid w:val="47655843"/>
    <w:rsid w:val="479A0990"/>
    <w:rsid w:val="47C502CB"/>
    <w:rsid w:val="47D143E5"/>
    <w:rsid w:val="47DC362C"/>
    <w:rsid w:val="47DE1152"/>
    <w:rsid w:val="47E330FE"/>
    <w:rsid w:val="480114E6"/>
    <w:rsid w:val="48050DD4"/>
    <w:rsid w:val="481E59F2"/>
    <w:rsid w:val="482374AD"/>
    <w:rsid w:val="48254FD3"/>
    <w:rsid w:val="48457423"/>
    <w:rsid w:val="484A0115"/>
    <w:rsid w:val="485458B8"/>
    <w:rsid w:val="485B6C46"/>
    <w:rsid w:val="4880045B"/>
    <w:rsid w:val="48897310"/>
    <w:rsid w:val="48CC544E"/>
    <w:rsid w:val="48D6451F"/>
    <w:rsid w:val="48E44E8E"/>
    <w:rsid w:val="48F52BF7"/>
    <w:rsid w:val="491236BB"/>
    <w:rsid w:val="49311755"/>
    <w:rsid w:val="493279A7"/>
    <w:rsid w:val="49415F5C"/>
    <w:rsid w:val="494B6CBB"/>
    <w:rsid w:val="49555444"/>
    <w:rsid w:val="496E6505"/>
    <w:rsid w:val="49A34401"/>
    <w:rsid w:val="49D2465C"/>
    <w:rsid w:val="49ED38CE"/>
    <w:rsid w:val="49F11610"/>
    <w:rsid w:val="49F22E5E"/>
    <w:rsid w:val="4A020EB3"/>
    <w:rsid w:val="4A033B04"/>
    <w:rsid w:val="4A230338"/>
    <w:rsid w:val="4A253068"/>
    <w:rsid w:val="4A2D43AB"/>
    <w:rsid w:val="4A3D2AA8"/>
    <w:rsid w:val="4A5751EC"/>
    <w:rsid w:val="4A5A73F1"/>
    <w:rsid w:val="4A5B4CDC"/>
    <w:rsid w:val="4A5E1CA3"/>
    <w:rsid w:val="4AA03036"/>
    <w:rsid w:val="4AA93C99"/>
    <w:rsid w:val="4AAA7A11"/>
    <w:rsid w:val="4AC24D5B"/>
    <w:rsid w:val="4AC92EC2"/>
    <w:rsid w:val="4ACF7478"/>
    <w:rsid w:val="4ADD7DE7"/>
    <w:rsid w:val="4AE66C9B"/>
    <w:rsid w:val="4B1D6435"/>
    <w:rsid w:val="4B4B66E1"/>
    <w:rsid w:val="4B5C2F33"/>
    <w:rsid w:val="4B5F07FC"/>
    <w:rsid w:val="4B7452C3"/>
    <w:rsid w:val="4B7A3887"/>
    <w:rsid w:val="4B7C315C"/>
    <w:rsid w:val="4B8E56D8"/>
    <w:rsid w:val="4BAC56B3"/>
    <w:rsid w:val="4BAC7DF0"/>
    <w:rsid w:val="4BB943B0"/>
    <w:rsid w:val="4BE86A43"/>
    <w:rsid w:val="4C0C69D1"/>
    <w:rsid w:val="4C0D1AB5"/>
    <w:rsid w:val="4C0F3FD0"/>
    <w:rsid w:val="4C1444B9"/>
    <w:rsid w:val="4C2D08FA"/>
    <w:rsid w:val="4C2D1399"/>
    <w:rsid w:val="4C485734"/>
    <w:rsid w:val="4C4D1F1D"/>
    <w:rsid w:val="4C681932"/>
    <w:rsid w:val="4C7D7F89"/>
    <w:rsid w:val="4C80543E"/>
    <w:rsid w:val="4C8229F4"/>
    <w:rsid w:val="4CA601B0"/>
    <w:rsid w:val="4CBD1C7E"/>
    <w:rsid w:val="4CDE39A2"/>
    <w:rsid w:val="4D0C49B3"/>
    <w:rsid w:val="4D0E24D9"/>
    <w:rsid w:val="4D1B6B8E"/>
    <w:rsid w:val="4D371A30"/>
    <w:rsid w:val="4D4001B9"/>
    <w:rsid w:val="4D565C2E"/>
    <w:rsid w:val="4D5705AE"/>
    <w:rsid w:val="4D66593D"/>
    <w:rsid w:val="4DB0533F"/>
    <w:rsid w:val="4DB97F84"/>
    <w:rsid w:val="4DBA2AF4"/>
    <w:rsid w:val="4DC62DB4"/>
    <w:rsid w:val="4DFF1E22"/>
    <w:rsid w:val="4E1C0C26"/>
    <w:rsid w:val="4E1F24C4"/>
    <w:rsid w:val="4E34665D"/>
    <w:rsid w:val="4E3F346D"/>
    <w:rsid w:val="4E685C19"/>
    <w:rsid w:val="4E7E368F"/>
    <w:rsid w:val="4E807407"/>
    <w:rsid w:val="4E8D38D2"/>
    <w:rsid w:val="4E8F31A6"/>
    <w:rsid w:val="4E9A1B64"/>
    <w:rsid w:val="4EB77C34"/>
    <w:rsid w:val="4EC70B92"/>
    <w:rsid w:val="4EE07EA5"/>
    <w:rsid w:val="4EF13E61"/>
    <w:rsid w:val="4EF772E3"/>
    <w:rsid w:val="4F0771E0"/>
    <w:rsid w:val="4F161B19"/>
    <w:rsid w:val="4F7F321A"/>
    <w:rsid w:val="4FA233AD"/>
    <w:rsid w:val="4FA26F09"/>
    <w:rsid w:val="4FBD1F95"/>
    <w:rsid w:val="4FC74BC1"/>
    <w:rsid w:val="4FE17A31"/>
    <w:rsid w:val="4FF02E34"/>
    <w:rsid w:val="5060304C"/>
    <w:rsid w:val="507777F2"/>
    <w:rsid w:val="50903205"/>
    <w:rsid w:val="50CE7831"/>
    <w:rsid w:val="51142088"/>
    <w:rsid w:val="511A03D1"/>
    <w:rsid w:val="5127200F"/>
    <w:rsid w:val="512963B4"/>
    <w:rsid w:val="5133250E"/>
    <w:rsid w:val="51864D34"/>
    <w:rsid w:val="5196484B"/>
    <w:rsid w:val="51A60F32"/>
    <w:rsid w:val="51A90A23"/>
    <w:rsid w:val="51B704D7"/>
    <w:rsid w:val="51C92E73"/>
    <w:rsid w:val="51CE0489"/>
    <w:rsid w:val="51D51818"/>
    <w:rsid w:val="51F212E9"/>
    <w:rsid w:val="51F65C01"/>
    <w:rsid w:val="520B5239"/>
    <w:rsid w:val="52232583"/>
    <w:rsid w:val="522E2CD6"/>
    <w:rsid w:val="5264494A"/>
    <w:rsid w:val="528B0128"/>
    <w:rsid w:val="52C56ABB"/>
    <w:rsid w:val="52CD0741"/>
    <w:rsid w:val="52FE179C"/>
    <w:rsid w:val="531108EE"/>
    <w:rsid w:val="531225F7"/>
    <w:rsid w:val="53241E32"/>
    <w:rsid w:val="53530C46"/>
    <w:rsid w:val="53607807"/>
    <w:rsid w:val="536A1C52"/>
    <w:rsid w:val="538232D9"/>
    <w:rsid w:val="53A45945"/>
    <w:rsid w:val="53DF072C"/>
    <w:rsid w:val="54091C4C"/>
    <w:rsid w:val="5435659E"/>
    <w:rsid w:val="544113E6"/>
    <w:rsid w:val="54420D6A"/>
    <w:rsid w:val="54490D93"/>
    <w:rsid w:val="544F49E2"/>
    <w:rsid w:val="54813591"/>
    <w:rsid w:val="54881E90"/>
    <w:rsid w:val="5495528E"/>
    <w:rsid w:val="54994D7E"/>
    <w:rsid w:val="54A520DF"/>
    <w:rsid w:val="54B904E4"/>
    <w:rsid w:val="54CC0708"/>
    <w:rsid w:val="54D7233D"/>
    <w:rsid w:val="54DA02A2"/>
    <w:rsid w:val="54DE6C35"/>
    <w:rsid w:val="555C768D"/>
    <w:rsid w:val="55766E6E"/>
    <w:rsid w:val="55794BB0"/>
    <w:rsid w:val="558D0672"/>
    <w:rsid w:val="55AE6607"/>
    <w:rsid w:val="55D6790C"/>
    <w:rsid w:val="55F47291"/>
    <w:rsid w:val="56586573"/>
    <w:rsid w:val="56723AD9"/>
    <w:rsid w:val="569F41A2"/>
    <w:rsid w:val="56A603BA"/>
    <w:rsid w:val="56C67981"/>
    <w:rsid w:val="56F049FE"/>
    <w:rsid w:val="57055E9A"/>
    <w:rsid w:val="5717642E"/>
    <w:rsid w:val="57233025"/>
    <w:rsid w:val="573E1C0D"/>
    <w:rsid w:val="57405985"/>
    <w:rsid w:val="57555BD4"/>
    <w:rsid w:val="57C33332"/>
    <w:rsid w:val="57CC546B"/>
    <w:rsid w:val="57D52571"/>
    <w:rsid w:val="57E26A3C"/>
    <w:rsid w:val="57E36310"/>
    <w:rsid w:val="57EC3417"/>
    <w:rsid w:val="57EE53E1"/>
    <w:rsid w:val="57F37B1C"/>
    <w:rsid w:val="580469B3"/>
    <w:rsid w:val="58403763"/>
    <w:rsid w:val="58466FCB"/>
    <w:rsid w:val="585039A6"/>
    <w:rsid w:val="585A7A00"/>
    <w:rsid w:val="58670CF0"/>
    <w:rsid w:val="587F24DD"/>
    <w:rsid w:val="589F492D"/>
    <w:rsid w:val="58F06F37"/>
    <w:rsid w:val="59097FF9"/>
    <w:rsid w:val="59253085"/>
    <w:rsid w:val="592D12D6"/>
    <w:rsid w:val="59682F71"/>
    <w:rsid w:val="596C2A61"/>
    <w:rsid w:val="596F60AE"/>
    <w:rsid w:val="59760D08"/>
    <w:rsid w:val="59814033"/>
    <w:rsid w:val="59BB12F3"/>
    <w:rsid w:val="5A027D02"/>
    <w:rsid w:val="5A393FE1"/>
    <w:rsid w:val="5A4675B2"/>
    <w:rsid w:val="5A4A2677"/>
    <w:rsid w:val="5A4B3A33"/>
    <w:rsid w:val="5A511C57"/>
    <w:rsid w:val="5A690D4F"/>
    <w:rsid w:val="5A7D47FA"/>
    <w:rsid w:val="5ABF47B7"/>
    <w:rsid w:val="5AD07020"/>
    <w:rsid w:val="5AF75950"/>
    <w:rsid w:val="5AFE1DDF"/>
    <w:rsid w:val="5B305D11"/>
    <w:rsid w:val="5B4309DE"/>
    <w:rsid w:val="5B435571"/>
    <w:rsid w:val="5B4638CB"/>
    <w:rsid w:val="5B8222F6"/>
    <w:rsid w:val="5B913B1A"/>
    <w:rsid w:val="5BB73D3C"/>
    <w:rsid w:val="5BC00E43"/>
    <w:rsid w:val="5BC87CF7"/>
    <w:rsid w:val="5BCA1CC1"/>
    <w:rsid w:val="5BD13050"/>
    <w:rsid w:val="5C375183"/>
    <w:rsid w:val="5C39594A"/>
    <w:rsid w:val="5C632040"/>
    <w:rsid w:val="5C6C4B26"/>
    <w:rsid w:val="5C9B20E1"/>
    <w:rsid w:val="5C9E2452"/>
    <w:rsid w:val="5CB64C2D"/>
    <w:rsid w:val="5CD765E0"/>
    <w:rsid w:val="5CDF79EE"/>
    <w:rsid w:val="5CE768A3"/>
    <w:rsid w:val="5CF50FC0"/>
    <w:rsid w:val="5CFD76B1"/>
    <w:rsid w:val="5D192F00"/>
    <w:rsid w:val="5D1D22C5"/>
    <w:rsid w:val="5D2B49E2"/>
    <w:rsid w:val="5D6B74D4"/>
    <w:rsid w:val="5D911AAD"/>
    <w:rsid w:val="5DCA244C"/>
    <w:rsid w:val="5DF748C4"/>
    <w:rsid w:val="5DF966D3"/>
    <w:rsid w:val="5DFD0055"/>
    <w:rsid w:val="5DFE3EA4"/>
    <w:rsid w:val="5E31427A"/>
    <w:rsid w:val="5E385608"/>
    <w:rsid w:val="5E392C24"/>
    <w:rsid w:val="5E685D09"/>
    <w:rsid w:val="5E6951C1"/>
    <w:rsid w:val="5E734892"/>
    <w:rsid w:val="5E766130"/>
    <w:rsid w:val="5E9A3CC2"/>
    <w:rsid w:val="5EB410CD"/>
    <w:rsid w:val="5ED13367"/>
    <w:rsid w:val="5ED66574"/>
    <w:rsid w:val="5EF17565"/>
    <w:rsid w:val="5EF254FC"/>
    <w:rsid w:val="5F053010"/>
    <w:rsid w:val="5F0B6879"/>
    <w:rsid w:val="5F3715C2"/>
    <w:rsid w:val="5F61293D"/>
    <w:rsid w:val="5F764D4C"/>
    <w:rsid w:val="5FB52C88"/>
    <w:rsid w:val="5FC86518"/>
    <w:rsid w:val="5FFB7A6B"/>
    <w:rsid w:val="5FFD5426"/>
    <w:rsid w:val="5FFE63DD"/>
    <w:rsid w:val="602816AC"/>
    <w:rsid w:val="60432042"/>
    <w:rsid w:val="6051475F"/>
    <w:rsid w:val="60695F4D"/>
    <w:rsid w:val="606A75CF"/>
    <w:rsid w:val="607641C6"/>
    <w:rsid w:val="6082251F"/>
    <w:rsid w:val="60874625"/>
    <w:rsid w:val="60AA3E6F"/>
    <w:rsid w:val="60C27644"/>
    <w:rsid w:val="60CE0116"/>
    <w:rsid w:val="60D1764E"/>
    <w:rsid w:val="60D30661"/>
    <w:rsid w:val="60D37589"/>
    <w:rsid w:val="60EA4C00"/>
    <w:rsid w:val="60FD6695"/>
    <w:rsid w:val="6112750A"/>
    <w:rsid w:val="6115578D"/>
    <w:rsid w:val="6127358E"/>
    <w:rsid w:val="61442516"/>
    <w:rsid w:val="61461DEA"/>
    <w:rsid w:val="614A57AA"/>
    <w:rsid w:val="615458E4"/>
    <w:rsid w:val="61695AD8"/>
    <w:rsid w:val="61774699"/>
    <w:rsid w:val="617F70AA"/>
    <w:rsid w:val="61870689"/>
    <w:rsid w:val="61994610"/>
    <w:rsid w:val="61A44D62"/>
    <w:rsid w:val="61A60ADB"/>
    <w:rsid w:val="61A629EE"/>
    <w:rsid w:val="61B256D1"/>
    <w:rsid w:val="61D54F1C"/>
    <w:rsid w:val="61F14216"/>
    <w:rsid w:val="62065A1D"/>
    <w:rsid w:val="620D6DAC"/>
    <w:rsid w:val="6239194F"/>
    <w:rsid w:val="62405B23"/>
    <w:rsid w:val="625E7607"/>
    <w:rsid w:val="626D33A6"/>
    <w:rsid w:val="629767E0"/>
    <w:rsid w:val="62A96AD4"/>
    <w:rsid w:val="62B47227"/>
    <w:rsid w:val="62C51434"/>
    <w:rsid w:val="62DE42A4"/>
    <w:rsid w:val="63097573"/>
    <w:rsid w:val="630A578B"/>
    <w:rsid w:val="63104E6C"/>
    <w:rsid w:val="631D6B7A"/>
    <w:rsid w:val="634E7E04"/>
    <w:rsid w:val="63691DC0"/>
    <w:rsid w:val="636B5B38"/>
    <w:rsid w:val="63714235"/>
    <w:rsid w:val="63730E90"/>
    <w:rsid w:val="638766EA"/>
    <w:rsid w:val="63A37685"/>
    <w:rsid w:val="63AE2BE1"/>
    <w:rsid w:val="63B5196F"/>
    <w:rsid w:val="63BB2B64"/>
    <w:rsid w:val="63C17E4E"/>
    <w:rsid w:val="63C90AB0"/>
    <w:rsid w:val="63D7141F"/>
    <w:rsid w:val="63E1229E"/>
    <w:rsid w:val="644B6010"/>
    <w:rsid w:val="645E38EF"/>
    <w:rsid w:val="64846B72"/>
    <w:rsid w:val="64D37E39"/>
    <w:rsid w:val="64E33DF4"/>
    <w:rsid w:val="64E73D44"/>
    <w:rsid w:val="64F477DD"/>
    <w:rsid w:val="650A6555"/>
    <w:rsid w:val="650C50F9"/>
    <w:rsid w:val="652162C6"/>
    <w:rsid w:val="654B29EF"/>
    <w:rsid w:val="65735178"/>
    <w:rsid w:val="657362D5"/>
    <w:rsid w:val="658729D1"/>
    <w:rsid w:val="659732C0"/>
    <w:rsid w:val="65AB4911"/>
    <w:rsid w:val="65DF45BB"/>
    <w:rsid w:val="65EC0A86"/>
    <w:rsid w:val="661165BD"/>
    <w:rsid w:val="66124991"/>
    <w:rsid w:val="66316C4D"/>
    <w:rsid w:val="6635242D"/>
    <w:rsid w:val="663F14FE"/>
    <w:rsid w:val="6650370B"/>
    <w:rsid w:val="665054B9"/>
    <w:rsid w:val="6655487D"/>
    <w:rsid w:val="665A1E94"/>
    <w:rsid w:val="66862C89"/>
    <w:rsid w:val="66B75538"/>
    <w:rsid w:val="66BE68C6"/>
    <w:rsid w:val="671962B5"/>
    <w:rsid w:val="67254250"/>
    <w:rsid w:val="67264D49"/>
    <w:rsid w:val="673B1CC5"/>
    <w:rsid w:val="67650AF0"/>
    <w:rsid w:val="67874F0A"/>
    <w:rsid w:val="679C6C08"/>
    <w:rsid w:val="67AD54A4"/>
    <w:rsid w:val="67C97C09"/>
    <w:rsid w:val="67D5211A"/>
    <w:rsid w:val="67FC6E84"/>
    <w:rsid w:val="681744E0"/>
    <w:rsid w:val="68267388"/>
    <w:rsid w:val="68273FF7"/>
    <w:rsid w:val="682C160E"/>
    <w:rsid w:val="6835594A"/>
    <w:rsid w:val="68686AEA"/>
    <w:rsid w:val="68AD0FCE"/>
    <w:rsid w:val="68AD6BF3"/>
    <w:rsid w:val="68BE495C"/>
    <w:rsid w:val="68DE4FFE"/>
    <w:rsid w:val="69107EE6"/>
    <w:rsid w:val="69187F79"/>
    <w:rsid w:val="692C3FBB"/>
    <w:rsid w:val="693D1D24"/>
    <w:rsid w:val="695452C0"/>
    <w:rsid w:val="696B1F82"/>
    <w:rsid w:val="698A6F34"/>
    <w:rsid w:val="698E07D2"/>
    <w:rsid w:val="69A2602B"/>
    <w:rsid w:val="69A578CA"/>
    <w:rsid w:val="69AF0748"/>
    <w:rsid w:val="69B0084D"/>
    <w:rsid w:val="69D336CD"/>
    <w:rsid w:val="69F148BD"/>
    <w:rsid w:val="6A162576"/>
    <w:rsid w:val="6A3411E6"/>
    <w:rsid w:val="6A415844"/>
    <w:rsid w:val="6A582B8E"/>
    <w:rsid w:val="6A605D12"/>
    <w:rsid w:val="6A696B49"/>
    <w:rsid w:val="6A82079F"/>
    <w:rsid w:val="6A885221"/>
    <w:rsid w:val="6AAA62BC"/>
    <w:rsid w:val="6ABE1458"/>
    <w:rsid w:val="6ABF7D2B"/>
    <w:rsid w:val="6AD22940"/>
    <w:rsid w:val="6AF36749"/>
    <w:rsid w:val="6AF9611F"/>
    <w:rsid w:val="6B0D1DB4"/>
    <w:rsid w:val="6B1D09D4"/>
    <w:rsid w:val="6B3D425E"/>
    <w:rsid w:val="6B410883"/>
    <w:rsid w:val="6B8C2399"/>
    <w:rsid w:val="6BC27ED8"/>
    <w:rsid w:val="6BC77FCB"/>
    <w:rsid w:val="6C0332E9"/>
    <w:rsid w:val="6C2159A8"/>
    <w:rsid w:val="6C5A7E3D"/>
    <w:rsid w:val="6C6D29F5"/>
    <w:rsid w:val="6C6E6699"/>
    <w:rsid w:val="6C7517D5"/>
    <w:rsid w:val="6C9205D9"/>
    <w:rsid w:val="6CAE1F76"/>
    <w:rsid w:val="6CD9365F"/>
    <w:rsid w:val="6CEA21C3"/>
    <w:rsid w:val="6D4053A5"/>
    <w:rsid w:val="6DA16EC5"/>
    <w:rsid w:val="6DA560EA"/>
    <w:rsid w:val="6DB4632D"/>
    <w:rsid w:val="6DCF760B"/>
    <w:rsid w:val="6DEE7A91"/>
    <w:rsid w:val="6DF901E4"/>
    <w:rsid w:val="6E2D06F4"/>
    <w:rsid w:val="6E3A4A84"/>
    <w:rsid w:val="6E533BA2"/>
    <w:rsid w:val="6E7F06E9"/>
    <w:rsid w:val="6E927932"/>
    <w:rsid w:val="6EAB2E1E"/>
    <w:rsid w:val="6EB25336"/>
    <w:rsid w:val="6F0F25DB"/>
    <w:rsid w:val="6F6049BF"/>
    <w:rsid w:val="6F765F90"/>
    <w:rsid w:val="6F863CF9"/>
    <w:rsid w:val="6F9C351D"/>
    <w:rsid w:val="6FFD220E"/>
    <w:rsid w:val="7000585A"/>
    <w:rsid w:val="700D7F77"/>
    <w:rsid w:val="701D640C"/>
    <w:rsid w:val="701E5B93"/>
    <w:rsid w:val="704B11CB"/>
    <w:rsid w:val="705A140E"/>
    <w:rsid w:val="707A560C"/>
    <w:rsid w:val="707B3132"/>
    <w:rsid w:val="70983CE4"/>
    <w:rsid w:val="70C028F3"/>
    <w:rsid w:val="70CC398E"/>
    <w:rsid w:val="70D23371"/>
    <w:rsid w:val="70E4517B"/>
    <w:rsid w:val="710032F2"/>
    <w:rsid w:val="71117E32"/>
    <w:rsid w:val="712B6906"/>
    <w:rsid w:val="713E6A14"/>
    <w:rsid w:val="714A1482"/>
    <w:rsid w:val="715B068A"/>
    <w:rsid w:val="716C3D67"/>
    <w:rsid w:val="717E737E"/>
    <w:rsid w:val="71930018"/>
    <w:rsid w:val="719721EE"/>
    <w:rsid w:val="719B548F"/>
    <w:rsid w:val="71B374B1"/>
    <w:rsid w:val="71CF1988"/>
    <w:rsid w:val="71DC2CC3"/>
    <w:rsid w:val="7229553C"/>
    <w:rsid w:val="722E2B52"/>
    <w:rsid w:val="723E08BB"/>
    <w:rsid w:val="723E657D"/>
    <w:rsid w:val="724E6D50"/>
    <w:rsid w:val="727A5527"/>
    <w:rsid w:val="72A46970"/>
    <w:rsid w:val="72D051B2"/>
    <w:rsid w:val="72D61BF3"/>
    <w:rsid w:val="7315786E"/>
    <w:rsid w:val="732A02D1"/>
    <w:rsid w:val="732B3DBC"/>
    <w:rsid w:val="733F40A6"/>
    <w:rsid w:val="736D0D4E"/>
    <w:rsid w:val="7399224D"/>
    <w:rsid w:val="73A6496A"/>
    <w:rsid w:val="73B54BAD"/>
    <w:rsid w:val="73BE57AA"/>
    <w:rsid w:val="73C05A2C"/>
    <w:rsid w:val="74161AF0"/>
    <w:rsid w:val="74277859"/>
    <w:rsid w:val="7431692A"/>
    <w:rsid w:val="74324450"/>
    <w:rsid w:val="744D6A19"/>
    <w:rsid w:val="745717ED"/>
    <w:rsid w:val="746A5998"/>
    <w:rsid w:val="746D08D6"/>
    <w:rsid w:val="74711995"/>
    <w:rsid w:val="748D1686"/>
    <w:rsid w:val="74A403C0"/>
    <w:rsid w:val="74D05987"/>
    <w:rsid w:val="74DE700E"/>
    <w:rsid w:val="750556C0"/>
    <w:rsid w:val="75061B64"/>
    <w:rsid w:val="751B4EE4"/>
    <w:rsid w:val="75262145"/>
    <w:rsid w:val="75502DDF"/>
    <w:rsid w:val="756D4DE4"/>
    <w:rsid w:val="756E3266"/>
    <w:rsid w:val="758B206A"/>
    <w:rsid w:val="75B82733"/>
    <w:rsid w:val="75BB774E"/>
    <w:rsid w:val="75F638FF"/>
    <w:rsid w:val="764B11FB"/>
    <w:rsid w:val="766751CF"/>
    <w:rsid w:val="766A386A"/>
    <w:rsid w:val="76724FD8"/>
    <w:rsid w:val="76A35191"/>
    <w:rsid w:val="76A806BB"/>
    <w:rsid w:val="76B31878"/>
    <w:rsid w:val="76C03F95"/>
    <w:rsid w:val="76D96E05"/>
    <w:rsid w:val="7706409E"/>
    <w:rsid w:val="771D4F43"/>
    <w:rsid w:val="771F6F0D"/>
    <w:rsid w:val="7721127E"/>
    <w:rsid w:val="77422BFC"/>
    <w:rsid w:val="776E39F1"/>
    <w:rsid w:val="77732DB5"/>
    <w:rsid w:val="77AA6A0E"/>
    <w:rsid w:val="77AC0252"/>
    <w:rsid w:val="77E837A3"/>
    <w:rsid w:val="78061E7B"/>
    <w:rsid w:val="78080039"/>
    <w:rsid w:val="780A0000"/>
    <w:rsid w:val="78152A4A"/>
    <w:rsid w:val="7849412B"/>
    <w:rsid w:val="78574AAF"/>
    <w:rsid w:val="785C7CED"/>
    <w:rsid w:val="786A251A"/>
    <w:rsid w:val="78774BE5"/>
    <w:rsid w:val="787D213D"/>
    <w:rsid w:val="78820F77"/>
    <w:rsid w:val="788F3AE9"/>
    <w:rsid w:val="78A413FA"/>
    <w:rsid w:val="78CE3084"/>
    <w:rsid w:val="78DE407B"/>
    <w:rsid w:val="78DF4BA6"/>
    <w:rsid w:val="7904460D"/>
    <w:rsid w:val="79383E6C"/>
    <w:rsid w:val="795C61F7"/>
    <w:rsid w:val="796D46C6"/>
    <w:rsid w:val="797177C8"/>
    <w:rsid w:val="79AB29E6"/>
    <w:rsid w:val="79FE1404"/>
    <w:rsid w:val="7A057D3D"/>
    <w:rsid w:val="7A28257D"/>
    <w:rsid w:val="7A300278"/>
    <w:rsid w:val="7A35369A"/>
    <w:rsid w:val="7A6A66F1"/>
    <w:rsid w:val="7A777060"/>
    <w:rsid w:val="7A8C48BA"/>
    <w:rsid w:val="7AB7745D"/>
    <w:rsid w:val="7AC540CB"/>
    <w:rsid w:val="7ACA4958"/>
    <w:rsid w:val="7B03623F"/>
    <w:rsid w:val="7B05641A"/>
    <w:rsid w:val="7B597D4D"/>
    <w:rsid w:val="7B783090"/>
    <w:rsid w:val="7B8B2DC3"/>
    <w:rsid w:val="7B917CAE"/>
    <w:rsid w:val="7B9652C4"/>
    <w:rsid w:val="7C1032C9"/>
    <w:rsid w:val="7C184FB7"/>
    <w:rsid w:val="7C896BD7"/>
    <w:rsid w:val="7C8B294F"/>
    <w:rsid w:val="7CB2612E"/>
    <w:rsid w:val="7CBC51FE"/>
    <w:rsid w:val="7CC04CEF"/>
    <w:rsid w:val="7CD10CAA"/>
    <w:rsid w:val="7D083FA0"/>
    <w:rsid w:val="7D2A03BA"/>
    <w:rsid w:val="7D513B99"/>
    <w:rsid w:val="7D5316BF"/>
    <w:rsid w:val="7D7004C3"/>
    <w:rsid w:val="7D7B6E68"/>
    <w:rsid w:val="7D8A0E59"/>
    <w:rsid w:val="7DB008BF"/>
    <w:rsid w:val="7DC66335"/>
    <w:rsid w:val="7DE41504"/>
    <w:rsid w:val="7DE516D9"/>
    <w:rsid w:val="7DFF35F5"/>
    <w:rsid w:val="7E2F6E92"/>
    <w:rsid w:val="7E385994"/>
    <w:rsid w:val="7E4543F1"/>
    <w:rsid w:val="7E4E00D8"/>
    <w:rsid w:val="7E8D29AE"/>
    <w:rsid w:val="7E957AB5"/>
    <w:rsid w:val="7E967B0F"/>
    <w:rsid w:val="7E9832A1"/>
    <w:rsid w:val="7EB10D93"/>
    <w:rsid w:val="7EB937A4"/>
    <w:rsid w:val="7EDC56E4"/>
    <w:rsid w:val="7EF02F3D"/>
    <w:rsid w:val="7EFC18E2"/>
    <w:rsid w:val="7F1979F5"/>
    <w:rsid w:val="7F1D01D6"/>
    <w:rsid w:val="7F20562D"/>
    <w:rsid w:val="7F376DBE"/>
    <w:rsid w:val="7F4C3DE7"/>
    <w:rsid w:val="7F572FBC"/>
    <w:rsid w:val="7F594F87"/>
    <w:rsid w:val="7F741DC0"/>
    <w:rsid w:val="7FC0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qFormat/>
    <w:uiPriority w:val="0"/>
    <w:pPr>
      <w:keepNext/>
      <w:keepLines/>
      <w:spacing w:before="340" w:after="330" w:line="360" w:lineRule="auto"/>
      <w:jc w:val="center"/>
      <w:outlineLvl w:val="0"/>
    </w:pPr>
    <w:rPr>
      <w:rFonts w:asciiTheme="minorAscii" w:hAnsiTheme="minorAscii"/>
      <w:b/>
      <w:bCs/>
      <w:kern w:val="44"/>
      <w:sz w:val="44"/>
      <w:szCs w:val="44"/>
    </w:rPr>
  </w:style>
  <w:style w:type="paragraph" w:styleId="4">
    <w:name w:val="heading 2"/>
    <w:basedOn w:val="1"/>
    <w:next w:val="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kern w:val="0"/>
      <w:sz w:val="32"/>
      <w:szCs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99"/>
    <w:rPr>
      <w:rFonts w:ascii="Calibri" w:hAnsi="Calibri" w:eastAsia="宋体" w:cs="Times New Roman"/>
      <w:sz w:val="22"/>
      <w:szCs w:val="22"/>
      <w:lang w:val="en-US" w:eastAsia="zh-CN" w:bidi="ar-SA"/>
    </w:rPr>
  </w:style>
  <w:style w:type="paragraph" w:styleId="5">
    <w:name w:val="Normal Indent"/>
    <w:basedOn w:val="1"/>
    <w:qFormat/>
    <w:uiPriority w:val="0"/>
    <w:pPr>
      <w:ind w:firstLine="420"/>
    </w:pPr>
    <w:rPr>
      <w:rFonts w:ascii="Calibri" w:hAnsi="Calibri" w:eastAsia="宋体" w:cs="Times New Roman"/>
      <w:sz w:val="28"/>
      <w:szCs w:val="28"/>
    </w:rPr>
  </w:style>
  <w:style w:type="paragraph" w:styleId="8">
    <w:name w:val="caption"/>
    <w:basedOn w:val="1"/>
    <w:next w:val="1"/>
    <w:qFormat/>
    <w:uiPriority w:val="0"/>
    <w:rPr>
      <w:rFonts w:ascii="Cambria" w:hAnsi="Cambria" w:eastAsia="黑体"/>
      <w:sz w:val="20"/>
      <w:szCs w:val="20"/>
    </w:rPr>
  </w:style>
  <w:style w:type="paragraph" w:styleId="9">
    <w:name w:val="Body Text"/>
    <w:basedOn w:val="1"/>
    <w:next w:val="1"/>
    <w:unhideWhenUsed/>
    <w:qFormat/>
    <w:uiPriority w:val="99"/>
    <w:pPr>
      <w:spacing w:after="120"/>
    </w:pPr>
    <w:rPr>
      <w:rFonts w:ascii="Calibri" w:hAnsi="Calibri"/>
      <w:kern w:val="0"/>
      <w:sz w:val="20"/>
    </w:rPr>
  </w:style>
  <w:style w:type="paragraph" w:styleId="10">
    <w:name w:val="Body Text Indent"/>
    <w:basedOn w:val="1"/>
    <w:next w:val="11"/>
    <w:qFormat/>
    <w:uiPriority w:val="0"/>
    <w:pPr>
      <w:spacing w:line="500" w:lineRule="exact"/>
      <w:ind w:firstLine="560" w:firstLineChars="200"/>
    </w:pPr>
    <w:rPr>
      <w:rFonts w:ascii="宋体" w:hAnsi="宋体"/>
      <w:sz w:val="28"/>
      <w:szCs w:val="24"/>
    </w:rPr>
  </w:style>
  <w:style w:type="paragraph" w:styleId="11">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2">
    <w:name w:val="Plain Text"/>
    <w:basedOn w:val="1"/>
    <w:next w:val="13"/>
    <w:qFormat/>
    <w:uiPriority w:val="0"/>
    <w:rPr>
      <w:rFonts w:ascii="Courier New" w:hAnsi="Courier New"/>
      <w:kern w:val="0"/>
      <w:sz w:val="20"/>
      <w:szCs w:val="20"/>
    </w:rPr>
  </w:style>
  <w:style w:type="paragraph" w:styleId="13">
    <w:name w:val="index 7"/>
    <w:basedOn w:val="1"/>
    <w:next w:val="1"/>
    <w:unhideWhenUsed/>
    <w:qFormat/>
    <w:uiPriority w:val="99"/>
    <w:pPr>
      <w:ind w:left="1200" w:leftChars="1200"/>
    </w:pPr>
  </w:style>
  <w:style w:type="paragraph" w:styleId="14">
    <w:name w:val="Body Text Indent 2"/>
    <w:basedOn w:val="1"/>
    <w:next w:val="12"/>
    <w:link w:val="48"/>
    <w:qFormat/>
    <w:uiPriority w:val="0"/>
    <w:pPr>
      <w:spacing w:after="120" w:line="480" w:lineRule="auto"/>
      <w:ind w:left="420" w:leftChars="200"/>
    </w:pPr>
    <w:rPr>
      <w:rFonts w:ascii="Calibri" w:hAnsi="Calibri" w:eastAsia="宋体" w:cs="Times New Roman"/>
    </w:rPr>
  </w:style>
  <w:style w:type="paragraph" w:styleId="15">
    <w:name w:val="footer"/>
    <w:basedOn w:val="1"/>
    <w:qFormat/>
    <w:uiPriority w:val="0"/>
    <w:pPr>
      <w:tabs>
        <w:tab w:val="center" w:pos="4153"/>
        <w:tab w:val="right" w:pos="8306"/>
      </w:tabs>
      <w:wordWrap w:val="0"/>
      <w:topLinePunct/>
      <w:snapToGrid w:val="0"/>
      <w:jc w:val="left"/>
    </w:pPr>
    <w:rPr>
      <w:rFonts w:ascii="Times New Roman" w:hAnsi="Times New Roman" w:eastAsia="宋体" w:cs="Times New Roman"/>
      <w:sz w:val="18"/>
      <w:szCs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17">
    <w:name w:val="Body Text 2"/>
    <w:basedOn w:val="1"/>
    <w:next w:val="12"/>
    <w:qFormat/>
    <w:uiPriority w:val="0"/>
    <w:pPr>
      <w:spacing w:before="100" w:beforeAutospacing="1" w:after="100" w:afterAutospacing="1"/>
    </w:pPr>
    <w:rPr>
      <w:rFonts w:ascii="Times New Roman" w:hAnsi="Times New Roman" w:eastAsia="宋体" w:cs="Times New Roman"/>
      <w:sz w:val="24"/>
      <w:szCs w:val="24"/>
      <w:lang w:val="en-US" w:eastAsia="zh-CN" w:bidi="ar-SA"/>
    </w:r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21">
    <w:name w:val="Body Text First Indent"/>
    <w:basedOn w:val="1"/>
    <w:next w:val="22"/>
    <w:qFormat/>
    <w:uiPriority w:val="0"/>
    <w:pPr>
      <w:spacing w:line="360" w:lineRule="auto"/>
      <w:ind w:firstLine="420"/>
    </w:pPr>
    <w:rPr>
      <w:rFonts w:eastAsia="Arial Unicode MS"/>
      <w:color w:val="000000"/>
      <w:kern w:val="0"/>
      <w:sz w:val="28"/>
      <w:szCs w:val="28"/>
    </w:rPr>
  </w:style>
  <w:style w:type="paragraph" w:styleId="22">
    <w:name w:val="Body Text First Indent 2"/>
    <w:basedOn w:val="1"/>
    <w:next w:val="1"/>
    <w:qFormat/>
    <w:uiPriority w:val="0"/>
    <w:pPr>
      <w:spacing w:before="100" w:beforeLines="0" w:beforeAutospacing="1" w:after="120" w:afterLines="0" w:line="360" w:lineRule="auto"/>
      <w:ind w:left="420" w:firstLine="420"/>
    </w:pPr>
    <w:rPr>
      <w:rFonts w:eastAsia="Arial Unicode MS"/>
      <w:color w:val="000000"/>
      <w:kern w:val="0"/>
      <w:sz w:val="20"/>
      <w:szCs w:val="20"/>
    </w:rPr>
  </w:style>
  <w:style w:type="table" w:styleId="24">
    <w:name w:val="Table Grid"/>
    <w:basedOn w:val="2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qFormat/>
    <w:uiPriority w:val="99"/>
    <w:rPr>
      <w:color w:val="000000"/>
      <w:u w:val="none"/>
    </w:rPr>
  </w:style>
  <w:style w:type="character" w:styleId="34">
    <w:name w:val="HTML Code"/>
    <w:basedOn w:val="25"/>
    <w:qFormat/>
    <w:uiPriority w:val="0"/>
    <w:rPr>
      <w:rFonts w:hint="default"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无间隔1"/>
    <w:basedOn w:val="1"/>
    <w:next w:val="8"/>
    <w:qFormat/>
    <w:uiPriority w:val="1"/>
    <w:pPr>
      <w:spacing w:line="400" w:lineRule="exact"/>
    </w:pPr>
    <w:rPr>
      <w:sz w:val="24"/>
    </w:rPr>
  </w:style>
  <w:style w:type="paragraph" w:customStyle="1" w:styleId="39">
    <w:name w:val="Default"/>
    <w:basedOn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p0"/>
    <w:basedOn w:val="1"/>
    <w:qFormat/>
    <w:uiPriority w:val="0"/>
    <w:pPr>
      <w:widowControl/>
    </w:pPr>
    <w:rPr>
      <w:rFonts w:ascii="Times New Roman" w:hAnsi="Times New Roman" w:eastAsia="宋体" w:cs="Times New Roman"/>
      <w:kern w:val="0"/>
      <w:szCs w:val="21"/>
    </w:rPr>
  </w:style>
  <w:style w:type="character" w:customStyle="1" w:styleId="41">
    <w:name w:val="layui-layer-tabnow"/>
    <w:basedOn w:val="25"/>
    <w:qFormat/>
    <w:uiPriority w:val="0"/>
    <w:rPr>
      <w:bdr w:val="single" w:color="CCCCCC" w:sz="6" w:space="0"/>
      <w:shd w:val="clear" w:color="auto" w:fill="FFFFFF"/>
    </w:rPr>
  </w:style>
  <w:style w:type="character" w:customStyle="1" w:styleId="42">
    <w:name w:val="first-child"/>
    <w:basedOn w:val="25"/>
    <w:qFormat/>
    <w:uiPriority w:val="0"/>
  </w:style>
  <w:style w:type="character" w:customStyle="1" w:styleId="43">
    <w:name w:val="hover"/>
    <w:basedOn w:val="25"/>
    <w:qFormat/>
    <w:uiPriority w:val="0"/>
    <w:rPr>
      <w:color w:val="2590EB"/>
    </w:rPr>
  </w:style>
  <w:style w:type="character" w:customStyle="1" w:styleId="44">
    <w:name w:val="hover1"/>
    <w:basedOn w:val="25"/>
    <w:qFormat/>
    <w:uiPriority w:val="0"/>
    <w:rPr>
      <w:color w:val="2590EB"/>
    </w:rPr>
  </w:style>
  <w:style w:type="character" w:customStyle="1" w:styleId="45">
    <w:name w:val="hover2"/>
    <w:basedOn w:val="25"/>
    <w:qFormat/>
    <w:uiPriority w:val="0"/>
  </w:style>
  <w:style w:type="character" w:customStyle="1" w:styleId="46">
    <w:name w:val="mini-outputtext1"/>
    <w:basedOn w:val="25"/>
    <w:qFormat/>
    <w:uiPriority w:val="0"/>
  </w:style>
  <w:style w:type="character" w:customStyle="1" w:styleId="47">
    <w:name w:val="标题 1 字符"/>
    <w:basedOn w:val="25"/>
    <w:link w:val="3"/>
    <w:qFormat/>
    <w:uiPriority w:val="0"/>
    <w:rPr>
      <w:rFonts w:asciiTheme="minorAscii" w:hAnsiTheme="minorAscii" w:eastAsiaTheme="minorEastAsia" w:cstheme="minorBidi"/>
      <w:b/>
      <w:bCs/>
      <w:kern w:val="44"/>
      <w:sz w:val="44"/>
      <w:szCs w:val="44"/>
    </w:rPr>
  </w:style>
  <w:style w:type="character" w:customStyle="1" w:styleId="48">
    <w:name w:val="正文文本缩进 2 字符"/>
    <w:basedOn w:val="25"/>
    <w:link w:val="14"/>
    <w:qFormat/>
    <w:uiPriority w:val="0"/>
    <w:rPr>
      <w:rFonts w:ascii="Calibri" w:hAnsi="Calibri"/>
      <w:kern w:val="2"/>
      <w:sz w:val="21"/>
      <w:szCs w:val="22"/>
    </w:rPr>
  </w:style>
  <w:style w:type="character" w:customStyle="1" w:styleId="49">
    <w:name w:val="Unresolved Mention"/>
    <w:basedOn w:val="25"/>
    <w:semiHidden/>
    <w:unhideWhenUsed/>
    <w:qFormat/>
    <w:uiPriority w:val="99"/>
    <w:rPr>
      <w:color w:val="605E5C"/>
      <w:shd w:val="clear" w:color="auto" w:fill="E1DFDD"/>
    </w:rPr>
  </w:style>
  <w:style w:type="paragraph" w:customStyle="1" w:styleId="50">
    <w:name w:val="标题3-1"/>
    <w:basedOn w:val="6"/>
    <w:qFormat/>
    <w:uiPriority w:val="0"/>
    <w:pPr>
      <w:spacing w:before="100" w:beforeLines="0" w:beforeAutospacing="1" w:after="100" w:afterLines="0" w:afterAutospacing="1" w:line="410" w:lineRule="auto"/>
      <w:ind w:left="2225" w:hanging="425"/>
    </w:pPr>
    <w:rPr>
      <w:rFonts w:ascii="Courier New" w:hAnsi="Courier New" w:cs="Courier New"/>
      <w:sz w:val="24"/>
      <w:szCs w:val="24"/>
    </w:rPr>
  </w:style>
  <w:style w:type="paragraph" w:customStyle="1" w:styleId="51">
    <w:name w:val="Table Paragraph"/>
    <w:basedOn w:val="1"/>
    <w:qFormat/>
    <w:uiPriority w:val="0"/>
  </w:style>
  <w:style w:type="paragraph" w:customStyle="1" w:styleId="5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53">
    <w:name w:val="NormalCharacter"/>
    <w:qFormat/>
    <w:uiPriority w:val="0"/>
    <w:rPr>
      <w:rFonts w:ascii="Times New Roman" w:hAnsi="Times New Roman" w:eastAsia="宋体"/>
    </w:rPr>
  </w:style>
  <w:style w:type="character" w:customStyle="1" w:styleId="54">
    <w:name w:val="hover3"/>
    <w:basedOn w:val="25"/>
    <w:qFormat/>
    <w:uiPriority w:val="0"/>
  </w:style>
  <w:style w:type="paragraph" w:customStyle="1" w:styleId="55">
    <w:name w:val="*正文_0"/>
    <w:basedOn w:val="1"/>
    <w:next w:val="1"/>
    <w:qFormat/>
    <w:uiPriority w:val="0"/>
    <w:pPr>
      <w:widowControl/>
      <w:ind w:firstLine="482"/>
    </w:pPr>
    <w:rPr>
      <w:rFonts w:ascii="微软雅黑" w:hAnsi="微软雅黑" w:eastAsia="微软雅黑"/>
      <w:kern w:val="0"/>
      <w:szCs w:val="20"/>
    </w:rPr>
  </w:style>
  <w:style w:type="paragraph" w:styleId="56">
    <w:name w:val="List Paragraph"/>
    <w:basedOn w:val="1"/>
    <w:qFormat/>
    <w:uiPriority w:val="1"/>
    <w:pPr>
      <w:ind w:left="260" w:firstLine="420"/>
    </w:pPr>
    <w:rPr>
      <w:rFonts w:ascii="宋体" w:hAnsi="宋体" w:eastAsia="宋体" w:cs="宋体"/>
      <w:lang w:val="zh-CN" w:eastAsia="zh-CN" w:bidi="zh-CN"/>
    </w:rPr>
  </w:style>
  <w:style w:type="paragraph" w:customStyle="1" w:styleId="57">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58">
    <w:name w:val="Other|1"/>
    <w:basedOn w:val="1"/>
    <w:link w:val="64"/>
    <w:qFormat/>
    <w:uiPriority w:val="0"/>
    <w:pPr>
      <w:widowControl w:val="0"/>
      <w:shd w:val="clear" w:color="auto" w:fill="auto"/>
      <w:spacing w:line="261" w:lineRule="exact"/>
      <w:jc w:val="center"/>
    </w:pPr>
    <w:rPr>
      <w:rFonts w:ascii="宋体" w:hAnsi="宋体" w:eastAsia="宋体" w:cs="宋体"/>
      <w:sz w:val="20"/>
      <w:szCs w:val="20"/>
      <w:u w:val="none"/>
      <w:shd w:val="clear" w:color="auto" w:fill="auto"/>
    </w:rPr>
  </w:style>
  <w:style w:type="paragraph" w:customStyle="1" w:styleId="59">
    <w:name w:val="Normal_8"/>
    <w:qFormat/>
    <w:uiPriority w:val="0"/>
    <w:rPr>
      <w:rFonts w:ascii="黑体" w:hAnsi="黑体" w:eastAsia="黑体" w:cs="Times New Roman"/>
      <w:b/>
      <w:sz w:val="32"/>
      <w:szCs w:val="24"/>
      <w:lang w:bidi="ar-SA"/>
    </w:rPr>
  </w:style>
  <w:style w:type="paragraph" w:customStyle="1" w:styleId="60">
    <w:name w:val="*正文_4_0_0"/>
    <w:basedOn w:val="61"/>
    <w:next w:val="61"/>
    <w:qFormat/>
    <w:uiPriority w:val="0"/>
    <w:pPr>
      <w:widowControl/>
      <w:ind w:firstLine="482"/>
    </w:pPr>
    <w:rPr>
      <w:rFonts w:ascii="微软雅黑" w:hAnsi="微软雅黑" w:eastAsia="微软雅黑"/>
      <w:kern w:val="0"/>
      <w:szCs w:val="20"/>
    </w:rPr>
  </w:style>
  <w:style w:type="paragraph" w:customStyle="1" w:styleId="6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9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Other|1_"/>
    <w:basedOn w:val="25"/>
    <w:link w:val="58"/>
    <w:qFormat/>
    <w:uiPriority w:val="0"/>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69</Pages>
  <Words>9577</Words>
  <Characters>10484</Characters>
  <Lines>330</Lines>
  <Paragraphs>93</Paragraphs>
  <TotalTime>31</TotalTime>
  <ScaleCrop>false</ScaleCrop>
  <LinksUpToDate>false</LinksUpToDate>
  <CharactersWithSpaces>10550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2023-07-06T09:53:00Z</dcterms:created>
  <dc:creator>Administrator</dc:creator>
  <cp:lastModifiedBy>Administrator</cp:lastModifiedBy>
  <cp:lastPrinted>2026-05-25T03:43:00Z</cp:lastPrinted>
  <dcterms:modified xsi:type="dcterms:W3CDTF">2026-05-25T08:59:18Z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372D605AC40C407C8D3FE94495B969EB</vt:lpwstr>
  </property>
  <property fmtid="{D5CDD505-2E9C-101B-9397-08002B2CF9AE}" pid="4" name="KSOTemplateDocerSaveRecord">
    <vt:lpwstr>eyJoZGlkIjoiOGM0OWU0OTc4NjlhOTRhODU2ZmM2YWQ5YjQ2ZjIxMzIiLCJ1c2VySWQiOiIxNDg3MjQ3NDc0In0=</vt:lpwstr>
  </property>
</Properties>
</file>