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FE56C">
      <w:pPr>
        <w:keepNext w:val="0"/>
        <w:keepLines w:val="0"/>
        <w:pageBreakBefore w:val="0"/>
        <w:widowControl/>
        <w:kinsoku/>
        <w:wordWrap w:val="0"/>
        <w:overflowPunct/>
        <w:topLinePunct w:val="0"/>
        <w:autoSpaceDE/>
        <w:autoSpaceDN/>
        <w:bidi w:val="0"/>
        <w:adjustRightInd/>
        <w:snapToGrid w:val="0"/>
        <w:spacing w:line="900" w:lineRule="exact"/>
        <w:jc w:val="center"/>
        <w:textAlignment w:val="auto"/>
        <w:rPr>
          <w:rFonts w:hint="eastAsia" w:ascii="宋体" w:hAnsi="宋体" w:cs="宋体"/>
          <w:b/>
          <w:bCs/>
          <w:color w:val="auto"/>
          <w:kern w:val="0"/>
          <w:sz w:val="56"/>
          <w:szCs w:val="56"/>
          <w:highlight w:val="none"/>
        </w:rPr>
      </w:pPr>
      <w:r>
        <w:rPr>
          <w:rFonts w:hint="eastAsia" w:ascii="宋体" w:hAnsi="宋体" w:cs="宋体"/>
          <w:b/>
          <w:bCs/>
          <w:color w:val="auto"/>
          <w:kern w:val="0"/>
          <w:sz w:val="56"/>
          <w:szCs w:val="56"/>
          <w:highlight w:val="none"/>
        </w:rPr>
        <w:t>卢氏县官坡镇中心卫生院医养结合中心消防设施改造项目</w:t>
      </w:r>
    </w:p>
    <w:p w14:paraId="1D200AA5">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outlineLvl w:val="0"/>
        <w:rPr>
          <w:rFonts w:hint="eastAsia" w:ascii="宋体" w:hAnsi="宋体" w:cs="宋体"/>
          <w:b/>
          <w:bCs/>
          <w:color w:val="auto"/>
          <w:kern w:val="0"/>
          <w:sz w:val="60"/>
          <w:szCs w:val="60"/>
          <w:highlight w:val="none"/>
          <w:lang w:val="en-US" w:eastAsia="zh-CN"/>
        </w:rPr>
      </w:pPr>
      <w:bookmarkStart w:id="0" w:name="_Toc21680"/>
    </w:p>
    <w:p w14:paraId="5F9E5606">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outlineLvl w:val="0"/>
        <w:rPr>
          <w:b/>
          <w:bCs/>
          <w:color w:val="auto"/>
          <w:sz w:val="22"/>
          <w:szCs w:val="28"/>
          <w:highlight w:val="none"/>
        </w:rPr>
      </w:pPr>
      <w:bookmarkStart w:id="1" w:name="_Toc31373"/>
      <w:bookmarkStart w:id="2" w:name="_Toc9988"/>
      <w:r>
        <w:rPr>
          <w:rFonts w:hint="eastAsia" w:ascii="宋体" w:hAnsi="宋体" w:cs="宋体"/>
          <w:b/>
          <w:bCs/>
          <w:color w:val="auto"/>
          <w:kern w:val="0"/>
          <w:sz w:val="60"/>
          <w:szCs w:val="60"/>
          <w:highlight w:val="none"/>
          <w:lang w:val="en-US" w:eastAsia="zh-CN"/>
        </w:rPr>
        <w:t>竞争性磋商</w:t>
      </w:r>
      <w:r>
        <w:rPr>
          <w:rFonts w:hint="eastAsia" w:ascii="宋体" w:hAnsi="宋体" w:cs="宋体"/>
          <w:b/>
          <w:bCs/>
          <w:color w:val="auto"/>
          <w:kern w:val="0"/>
          <w:sz w:val="60"/>
          <w:szCs w:val="60"/>
          <w:highlight w:val="none"/>
        </w:rPr>
        <w:t>文件</w:t>
      </w:r>
      <w:bookmarkEnd w:id="0"/>
      <w:bookmarkEnd w:id="1"/>
      <w:bookmarkEnd w:id="2"/>
    </w:p>
    <w:p w14:paraId="62ED252E">
      <w:pPr>
        <w:pageBreakBefore w:val="0"/>
        <w:kinsoku/>
        <w:wordWrap w:val="0"/>
        <w:overflowPunct/>
        <w:bidi w:val="0"/>
        <w:snapToGrid w:val="0"/>
        <w:spacing w:line="360" w:lineRule="auto"/>
        <w:jc w:val="both"/>
        <w:rPr>
          <w:rFonts w:hint="eastAsia" w:ascii="宋体" w:hAnsi="宋体"/>
          <w:b/>
          <w:color w:val="auto"/>
          <w:sz w:val="28"/>
          <w:szCs w:val="28"/>
          <w:highlight w:val="none"/>
          <w:lang w:val="en-US" w:eastAsia="zh-CN"/>
        </w:rPr>
      </w:pPr>
    </w:p>
    <w:p w14:paraId="597E9393">
      <w:pPr>
        <w:pageBreakBefore w:val="0"/>
        <w:kinsoku/>
        <w:wordWrap w:val="0"/>
        <w:overflowPunct/>
        <w:bidi w:val="0"/>
        <w:snapToGrid w:val="0"/>
        <w:spacing w:line="360" w:lineRule="auto"/>
        <w:jc w:val="center"/>
        <w:rPr>
          <w:rFonts w:hint="eastAsia" w:ascii="宋体" w:hAnsi="宋体"/>
          <w:b/>
          <w:color w:val="auto"/>
          <w:sz w:val="28"/>
          <w:szCs w:val="28"/>
          <w:highlight w:val="none"/>
          <w:lang w:val="en-US" w:eastAsia="zh-CN"/>
        </w:rPr>
      </w:pPr>
    </w:p>
    <w:p w14:paraId="6CDC9FA3">
      <w:pPr>
        <w:widowControl/>
        <w:shd w:val="clear" w:color="auto" w:fill="FFFFFF"/>
        <w:spacing w:line="390" w:lineRule="atLeast"/>
        <w:ind w:firstLine="0" w:firstLineChars="0"/>
        <w:jc w:val="center"/>
        <w:rPr>
          <w:rFonts w:hint="default" w:ascii="宋体" w:hAnsi="宋体" w:eastAsia="宋体"/>
          <w:b/>
          <w:color w:val="auto"/>
          <w:kern w:val="2"/>
          <w:sz w:val="28"/>
          <w:szCs w:val="32"/>
          <w:lang w:val="en-US" w:eastAsia="zh-CN"/>
        </w:rPr>
      </w:pPr>
      <w:r>
        <w:rPr>
          <w:rFonts w:hint="eastAsia" w:ascii="宋体" w:hAnsi="宋体"/>
          <w:b/>
          <w:color w:val="auto"/>
          <w:sz w:val="28"/>
          <w:szCs w:val="28"/>
          <w:highlight w:val="none"/>
          <w:lang w:val="en-US" w:eastAsia="zh-CN"/>
        </w:rPr>
        <w:t>项目编号：三卢竞磋采购-2026-35、LSGZ[2026]089-ZC065</w:t>
      </w:r>
    </w:p>
    <w:p w14:paraId="5634897F">
      <w:pPr>
        <w:pageBreakBefore w:val="0"/>
        <w:kinsoku/>
        <w:wordWrap w:val="0"/>
        <w:overflowPunct/>
        <w:bidi w:val="0"/>
        <w:snapToGrid w:val="0"/>
        <w:spacing w:line="360" w:lineRule="auto"/>
        <w:jc w:val="center"/>
        <w:rPr>
          <w:rFonts w:hint="default" w:ascii="宋体" w:hAnsi="宋体" w:eastAsiaTheme="minorEastAsia"/>
          <w:b/>
          <w:color w:val="auto"/>
          <w:sz w:val="28"/>
          <w:szCs w:val="28"/>
          <w:highlight w:val="none"/>
          <w:lang w:val="en-US" w:eastAsia="zh-CN"/>
        </w:rPr>
      </w:pPr>
    </w:p>
    <w:p w14:paraId="67F0F714">
      <w:pPr>
        <w:pageBreakBefore w:val="0"/>
        <w:kinsoku/>
        <w:wordWrap w:val="0"/>
        <w:overflowPunct/>
        <w:bidi w:val="0"/>
        <w:snapToGrid w:val="0"/>
        <w:spacing w:line="360" w:lineRule="auto"/>
        <w:jc w:val="center"/>
        <w:rPr>
          <w:rFonts w:hint="eastAsia" w:ascii="宋体" w:hAnsi="宋体"/>
          <w:b/>
          <w:color w:val="auto"/>
          <w:sz w:val="36"/>
          <w:szCs w:val="36"/>
          <w:highlight w:val="none"/>
        </w:rPr>
      </w:pPr>
      <w:r>
        <w:rPr>
          <w:color w:val="auto"/>
          <w:highlight w:val="none"/>
        </w:rPr>
        <w:drawing>
          <wp:anchor distT="0" distB="0" distL="114300" distR="114300" simplePos="0" relativeHeight="251660288" behindDoc="1" locked="0" layoutInCell="1" allowOverlap="1">
            <wp:simplePos x="0" y="0"/>
            <wp:positionH relativeFrom="column">
              <wp:posOffset>2171700</wp:posOffset>
            </wp:positionH>
            <wp:positionV relativeFrom="paragraph">
              <wp:posOffset>187325</wp:posOffset>
            </wp:positionV>
            <wp:extent cx="1939290" cy="2428875"/>
            <wp:effectExtent l="0" t="0" r="3810" b="9525"/>
            <wp:wrapTight wrapText="bothSides">
              <wp:wrapPolygon>
                <wp:start x="0" y="0"/>
                <wp:lineTo x="0" y="21515"/>
                <wp:lineTo x="21430" y="21515"/>
                <wp:lineTo x="21430"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939290" cy="2428875"/>
                    </a:xfrm>
                    <a:prstGeom prst="rect">
                      <a:avLst/>
                    </a:prstGeom>
                    <a:noFill/>
                    <a:ln>
                      <a:noFill/>
                    </a:ln>
                  </pic:spPr>
                </pic:pic>
              </a:graphicData>
            </a:graphic>
          </wp:anchor>
        </w:drawing>
      </w:r>
      <w:r>
        <w:rPr>
          <w:rFonts w:hint="eastAsia" w:ascii="宋体" w:hAnsi="宋体"/>
          <w:b/>
          <w:color w:val="auto"/>
          <w:sz w:val="28"/>
          <w:szCs w:val="28"/>
          <w:highlight w:val="none"/>
          <w:lang w:val="en-US" w:eastAsia="zh-CN"/>
        </w:rPr>
        <w:t xml:space="preserve">                                       </w:t>
      </w:r>
    </w:p>
    <w:p w14:paraId="293054D0">
      <w:pPr>
        <w:pageBreakBefore w:val="0"/>
        <w:kinsoku/>
        <w:wordWrap w:val="0"/>
        <w:overflowPunct/>
        <w:bidi w:val="0"/>
        <w:rPr>
          <w:rFonts w:ascii="宋体" w:hAnsi="宋体"/>
          <w:color w:val="auto"/>
          <w:highlight w:val="none"/>
        </w:rPr>
      </w:pPr>
    </w:p>
    <w:p w14:paraId="06C4CE29">
      <w:pPr>
        <w:pageBreakBefore w:val="0"/>
        <w:kinsoku/>
        <w:wordWrap w:val="0"/>
        <w:overflowPunct/>
        <w:bidi w:val="0"/>
        <w:ind w:left="0" w:leftChars="0" w:firstLine="0" w:firstLineChars="0"/>
        <w:rPr>
          <w:rFonts w:ascii="宋体" w:hAnsi="宋体"/>
          <w:color w:val="auto"/>
          <w:highlight w:val="none"/>
        </w:rPr>
      </w:pPr>
    </w:p>
    <w:p w14:paraId="35EA9D18">
      <w:pPr>
        <w:pStyle w:val="4"/>
        <w:pageBreakBefore w:val="0"/>
        <w:kinsoku/>
        <w:wordWrap w:val="0"/>
        <w:overflowPunct/>
        <w:bidi w:val="0"/>
        <w:rPr>
          <w:rFonts w:ascii="宋体" w:hAnsi="宋体"/>
          <w:color w:val="auto"/>
          <w:highlight w:val="none"/>
        </w:rPr>
      </w:pPr>
    </w:p>
    <w:p w14:paraId="73D03417">
      <w:pPr>
        <w:pStyle w:val="5"/>
        <w:keepNext w:val="0"/>
        <w:keepLines w:val="0"/>
        <w:pageBreakBefore w:val="0"/>
        <w:kinsoku/>
        <w:wordWrap w:val="0"/>
        <w:overflowPunct/>
        <w:topLinePunct w:val="0"/>
        <w:autoSpaceDE/>
        <w:autoSpaceDN/>
        <w:bidi w:val="0"/>
        <w:adjustRightInd/>
        <w:spacing w:line="500" w:lineRule="exact"/>
        <w:jc w:val="both"/>
        <w:textAlignment w:val="auto"/>
        <w:rPr>
          <w:rFonts w:hint="eastAsia" w:ascii="宋体" w:hAnsi="宋体"/>
          <w:b/>
          <w:color w:val="auto"/>
          <w:spacing w:val="-6"/>
          <w:sz w:val="32"/>
          <w:szCs w:val="32"/>
          <w:highlight w:val="none"/>
        </w:rPr>
      </w:pPr>
    </w:p>
    <w:p w14:paraId="395FD1C8">
      <w:pPr>
        <w:pStyle w:val="5"/>
        <w:keepNext w:val="0"/>
        <w:keepLines w:val="0"/>
        <w:pageBreakBefore w:val="0"/>
        <w:kinsoku/>
        <w:wordWrap w:val="0"/>
        <w:overflowPunct/>
        <w:topLinePunct w:val="0"/>
        <w:autoSpaceDE/>
        <w:autoSpaceDN/>
        <w:bidi w:val="0"/>
        <w:adjustRightInd/>
        <w:spacing w:line="500" w:lineRule="exact"/>
        <w:jc w:val="both"/>
        <w:textAlignment w:val="auto"/>
        <w:rPr>
          <w:rFonts w:hint="eastAsia" w:ascii="宋体" w:hAnsi="宋体"/>
          <w:b/>
          <w:color w:val="auto"/>
          <w:spacing w:val="-6"/>
          <w:sz w:val="32"/>
          <w:szCs w:val="32"/>
          <w:highlight w:val="none"/>
        </w:rPr>
      </w:pPr>
    </w:p>
    <w:p w14:paraId="7B747C01">
      <w:pPr>
        <w:pStyle w:val="5"/>
        <w:keepNext w:val="0"/>
        <w:keepLines w:val="0"/>
        <w:pageBreakBefore w:val="0"/>
        <w:kinsoku/>
        <w:wordWrap w:val="0"/>
        <w:overflowPunct/>
        <w:topLinePunct w:val="0"/>
        <w:autoSpaceDE/>
        <w:autoSpaceDN/>
        <w:bidi w:val="0"/>
        <w:adjustRightInd/>
        <w:spacing w:line="500" w:lineRule="exact"/>
        <w:jc w:val="center"/>
        <w:textAlignment w:val="auto"/>
        <w:rPr>
          <w:rFonts w:hint="eastAsia" w:ascii="宋体" w:hAnsi="宋体"/>
          <w:b/>
          <w:color w:val="auto"/>
          <w:spacing w:val="-6"/>
          <w:sz w:val="32"/>
          <w:szCs w:val="32"/>
          <w:highlight w:val="none"/>
        </w:rPr>
      </w:pPr>
    </w:p>
    <w:p w14:paraId="242B0673">
      <w:pPr>
        <w:pStyle w:val="5"/>
        <w:keepNext w:val="0"/>
        <w:keepLines w:val="0"/>
        <w:pageBreakBefore w:val="0"/>
        <w:widowControl w:val="0"/>
        <w:kinsoku/>
        <w:wordWrap w:val="0"/>
        <w:overflowPunct/>
        <w:topLinePunct w:val="0"/>
        <w:autoSpaceDE/>
        <w:autoSpaceDN/>
        <w:bidi w:val="0"/>
        <w:adjustRightInd/>
        <w:snapToGrid/>
        <w:spacing w:line="760" w:lineRule="exact"/>
        <w:jc w:val="both"/>
        <w:textAlignment w:val="auto"/>
        <w:outlineLvl w:val="0"/>
        <w:rPr>
          <w:rFonts w:hint="eastAsia" w:ascii="宋体" w:hAnsi="宋体"/>
          <w:b/>
          <w:color w:val="auto"/>
          <w:spacing w:val="-6"/>
          <w:sz w:val="36"/>
          <w:szCs w:val="36"/>
          <w:highlight w:val="none"/>
          <w:lang w:val="en-US" w:eastAsia="zh-CN"/>
        </w:rPr>
      </w:pPr>
      <w:bookmarkStart w:id="3" w:name="_Toc2782"/>
    </w:p>
    <w:p w14:paraId="02F578D8">
      <w:pPr>
        <w:rPr>
          <w:rFonts w:hint="eastAsia"/>
          <w:lang w:val="en-US" w:eastAsia="zh-CN"/>
        </w:rPr>
      </w:pPr>
    </w:p>
    <w:p w14:paraId="6DB0EE95">
      <w:pPr>
        <w:pStyle w:val="5"/>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z w:val="36"/>
          <w:szCs w:val="36"/>
          <w:highlight w:val="none"/>
          <w:lang w:eastAsia="zh-CN"/>
        </w:rPr>
      </w:pPr>
      <w:bookmarkStart w:id="4" w:name="_Toc5831"/>
      <w:bookmarkStart w:id="5" w:name="_Toc30099"/>
      <w:r>
        <w:rPr>
          <w:rFonts w:hint="eastAsia" w:ascii="宋体" w:hAnsi="宋体"/>
          <w:b/>
          <w:color w:val="auto"/>
          <w:spacing w:val="-6"/>
          <w:sz w:val="36"/>
          <w:szCs w:val="36"/>
          <w:highlight w:val="none"/>
          <w:lang w:val="en-US" w:eastAsia="zh-CN"/>
        </w:rPr>
        <w:t>采购</w:t>
      </w:r>
      <w:r>
        <w:rPr>
          <w:rFonts w:hint="eastAsia" w:ascii="宋体" w:hAnsi="宋体"/>
          <w:b/>
          <w:color w:val="auto"/>
          <w:spacing w:val="-6"/>
          <w:sz w:val="36"/>
          <w:szCs w:val="36"/>
          <w:highlight w:val="none"/>
        </w:rPr>
        <w:t>人</w:t>
      </w:r>
      <w:r>
        <w:rPr>
          <w:rFonts w:hint="eastAsia" w:ascii="宋体" w:hAnsi="宋体"/>
          <w:b/>
          <w:color w:val="auto"/>
          <w:sz w:val="36"/>
          <w:szCs w:val="36"/>
          <w:highlight w:val="none"/>
        </w:rPr>
        <w:t>：</w:t>
      </w:r>
      <w:bookmarkEnd w:id="3"/>
      <w:bookmarkStart w:id="6" w:name="_Toc13009"/>
      <w:r>
        <w:rPr>
          <w:rFonts w:hint="eastAsia" w:ascii="宋体" w:hAnsi="宋体"/>
          <w:b/>
          <w:color w:val="auto"/>
          <w:sz w:val="36"/>
          <w:szCs w:val="36"/>
          <w:highlight w:val="none"/>
        </w:rPr>
        <w:t>卢氏县官坡镇中心卫生院</w:t>
      </w:r>
      <w:bookmarkEnd w:id="4"/>
      <w:bookmarkEnd w:id="5"/>
    </w:p>
    <w:p w14:paraId="5CE9BAA1">
      <w:pPr>
        <w:pStyle w:val="5"/>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z w:val="36"/>
          <w:szCs w:val="36"/>
          <w:highlight w:val="none"/>
          <w:lang w:eastAsia="zh-CN"/>
        </w:rPr>
      </w:pPr>
      <w:bookmarkStart w:id="7" w:name="_Toc21172"/>
      <w:bookmarkStart w:id="8" w:name="_Toc14853"/>
      <w:r>
        <w:rPr>
          <w:rFonts w:hint="eastAsia" w:ascii="宋体" w:hAnsi="宋体"/>
          <w:b/>
          <w:color w:val="auto"/>
          <w:sz w:val="36"/>
          <w:szCs w:val="36"/>
          <w:highlight w:val="none"/>
        </w:rPr>
        <w:t>代理机构：</w:t>
      </w:r>
      <w:bookmarkEnd w:id="6"/>
      <w:r>
        <w:rPr>
          <w:rFonts w:hint="eastAsia" w:ascii="宋体" w:hAnsi="宋体"/>
          <w:b/>
          <w:color w:val="auto"/>
          <w:sz w:val="36"/>
          <w:szCs w:val="36"/>
          <w:highlight w:val="none"/>
          <w:lang w:eastAsia="zh-CN"/>
        </w:rPr>
        <w:t>河南立旭工程管理有限公司</w:t>
      </w:r>
      <w:bookmarkEnd w:id="7"/>
      <w:bookmarkEnd w:id="8"/>
    </w:p>
    <w:p w14:paraId="3611AE9B">
      <w:pPr>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default" w:ascii="宋体" w:hAnsi="宋体" w:eastAsia="宋体"/>
          <w:b/>
          <w:color w:val="auto"/>
          <w:sz w:val="36"/>
          <w:szCs w:val="36"/>
          <w:highlight w:val="none"/>
          <w:lang w:val="en-US" w:eastAsia="zh-CN"/>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bookmarkStart w:id="9" w:name="_Toc6211"/>
      <w:bookmarkStart w:id="10" w:name="_Toc27151"/>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〇</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六</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五</w:t>
      </w:r>
      <w:bookmarkEnd w:id="9"/>
      <w:bookmarkEnd w:id="10"/>
      <w:r>
        <w:rPr>
          <w:rFonts w:hint="eastAsia" w:ascii="宋体" w:hAnsi="宋体"/>
          <w:b/>
          <w:color w:val="auto"/>
          <w:sz w:val="36"/>
          <w:szCs w:val="36"/>
          <w:highlight w:val="none"/>
          <w:lang w:val="en-US" w:eastAsia="zh-CN"/>
        </w:rPr>
        <w:t>月</w:t>
      </w:r>
    </w:p>
    <w:p w14:paraId="20049930">
      <w:pPr>
        <w:kinsoku/>
        <w:wordWrap w:val="0"/>
        <w:overflowPunct/>
        <w:topLinePunct w:val="0"/>
        <w:bidi w:val="0"/>
        <w:rPr>
          <w:rFonts w:hint="eastAsia" w:ascii="黑体" w:cs="宋体"/>
          <w:b w:val="0"/>
          <w:bCs/>
          <w:kern w:val="2"/>
          <w:sz w:val="36"/>
          <w:szCs w:val="36"/>
          <w:highlight w:val="none"/>
        </w:rPr>
      </w:pPr>
    </w:p>
    <w:sdt>
      <w:sdtPr>
        <w:rPr>
          <w:rFonts w:ascii="宋体" w:hAnsi="宋体" w:eastAsia="宋体" w:cstheme="minorBidi"/>
          <w:kern w:val="2"/>
          <w:sz w:val="24"/>
          <w:szCs w:val="32"/>
          <w:lang w:val="en-US" w:eastAsia="zh-CN" w:bidi="ar-SA"/>
        </w:rPr>
        <w:id w:val="147453163"/>
        <w15:color w:val="DBDBDB"/>
        <w:docPartObj>
          <w:docPartGallery w:val="Table of Contents"/>
          <w:docPartUnique/>
        </w:docPartObj>
      </w:sdtPr>
      <w:sdtEndPr>
        <w:rPr>
          <w:rFonts w:hint="eastAsia" w:ascii="黑体" w:cs="宋体" w:hAnsiTheme="minorHAnsi" w:eastAsiaTheme="minorEastAsia"/>
          <w:bCs/>
          <w:kern w:val="2"/>
          <w:sz w:val="21"/>
          <w:szCs w:val="28"/>
          <w:highlight w:val="none"/>
          <w:lang w:val="en-US" w:eastAsia="zh-CN" w:bidi="ar-SA"/>
        </w:rPr>
      </w:sdtEndPr>
      <w:sdtContent>
        <w:p w14:paraId="556E2A64">
          <w:pPr>
            <w:spacing w:before="0" w:beforeLines="0" w:after="0" w:afterLines="0" w:line="240" w:lineRule="auto"/>
            <w:ind w:left="0" w:leftChars="0" w:right="0" w:rightChars="0" w:firstLine="0" w:firstLineChars="0"/>
            <w:jc w:val="center"/>
            <w:rPr>
              <w:b/>
              <w:bCs/>
              <w:sz w:val="36"/>
              <w:szCs w:val="44"/>
            </w:rPr>
          </w:pPr>
          <w:r>
            <w:rPr>
              <w:rFonts w:ascii="宋体" w:hAnsi="宋体" w:eastAsia="宋体"/>
              <w:b/>
              <w:bCs/>
              <w:sz w:val="36"/>
              <w:szCs w:val="44"/>
            </w:rPr>
            <w:t>目</w:t>
          </w:r>
          <w:r>
            <w:rPr>
              <w:rFonts w:hint="eastAsia" w:ascii="宋体" w:hAnsi="宋体" w:eastAsia="宋体"/>
              <w:b/>
              <w:bCs/>
              <w:sz w:val="36"/>
              <w:szCs w:val="44"/>
              <w:lang w:val="en-US" w:eastAsia="zh-CN"/>
            </w:rPr>
            <w:t xml:space="preserve">  </w:t>
          </w:r>
          <w:r>
            <w:rPr>
              <w:rFonts w:ascii="宋体" w:hAnsi="宋体" w:eastAsia="宋体"/>
              <w:b/>
              <w:bCs/>
              <w:sz w:val="36"/>
              <w:szCs w:val="44"/>
            </w:rPr>
            <w:t>录</w:t>
          </w:r>
        </w:p>
        <w:p w14:paraId="111A70C3">
          <w:pPr>
            <w:pStyle w:val="14"/>
            <w:tabs>
              <w:tab w:val="right" w:leader="dot" w:pos="9632"/>
            </w:tabs>
            <w:rPr>
              <w:sz w:val="24"/>
              <w:szCs w:val="32"/>
            </w:rPr>
          </w:pPr>
          <w:r>
            <w:rPr>
              <w:rFonts w:hint="eastAsia" w:ascii="黑体" w:cs="宋体" w:hAnsiTheme="minorHAnsi" w:eastAsiaTheme="minorEastAsia"/>
              <w:bCs/>
              <w:kern w:val="2"/>
              <w:sz w:val="24"/>
              <w:szCs w:val="36"/>
              <w:highlight w:val="none"/>
              <w:lang w:val="en-US" w:eastAsia="zh-CN" w:bidi="ar-SA"/>
            </w:rPr>
            <w:fldChar w:fldCharType="begin"/>
          </w:r>
          <w:r>
            <w:rPr>
              <w:rFonts w:hint="eastAsia" w:ascii="黑体" w:cs="宋体" w:hAnsiTheme="minorHAnsi" w:eastAsiaTheme="minorEastAsia"/>
              <w:bCs/>
              <w:kern w:val="2"/>
              <w:sz w:val="24"/>
              <w:szCs w:val="36"/>
              <w:highlight w:val="none"/>
              <w:lang w:val="en-US" w:eastAsia="zh-CN" w:bidi="ar-SA"/>
            </w:rPr>
            <w:instrText xml:space="preserve">TOC \o "1-1" \h \u </w:instrText>
          </w:r>
          <w:r>
            <w:rPr>
              <w:rFonts w:hint="eastAsia" w:ascii="黑体" w:cs="宋体" w:hAnsiTheme="minorHAnsi" w:eastAsiaTheme="minorEastAsia"/>
              <w:bCs/>
              <w:kern w:val="2"/>
              <w:sz w:val="24"/>
              <w:szCs w:val="36"/>
              <w:highlight w:val="none"/>
              <w:lang w:val="en-US" w:eastAsia="zh-CN" w:bidi="ar-SA"/>
            </w:rPr>
            <w:fldChar w:fldCharType="separate"/>
          </w:r>
        </w:p>
        <w:p w14:paraId="6FDD4F9D">
          <w:pPr>
            <w:pStyle w:val="14"/>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_Toc1785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ascii="宋体" w:hAnsi="宋体" w:cs="宋体"/>
              <w:bCs/>
              <w:sz w:val="28"/>
              <w:szCs w:val="40"/>
              <w:highlight w:val="none"/>
            </w:rPr>
            <w:t>河南省政府采购合同融资政策告知函</w:t>
          </w:r>
          <w:r>
            <w:rPr>
              <w:sz w:val="28"/>
              <w:szCs w:val="36"/>
            </w:rPr>
            <w:tab/>
          </w:r>
          <w:r>
            <w:rPr>
              <w:sz w:val="28"/>
              <w:szCs w:val="36"/>
            </w:rPr>
            <w:fldChar w:fldCharType="begin"/>
          </w:r>
          <w:r>
            <w:rPr>
              <w:sz w:val="28"/>
              <w:szCs w:val="36"/>
            </w:rPr>
            <w:instrText xml:space="preserve"> PAGEREF _Toc1785 \h </w:instrText>
          </w:r>
          <w:r>
            <w:rPr>
              <w:sz w:val="28"/>
              <w:szCs w:val="36"/>
            </w:rPr>
            <w:fldChar w:fldCharType="separate"/>
          </w:r>
          <w:r>
            <w:rPr>
              <w:sz w:val="28"/>
              <w:szCs w:val="36"/>
            </w:rPr>
            <w:t>2</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219ED23D">
          <w:pPr>
            <w:pStyle w:val="14"/>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_Toc14839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rPr>
            <w:t>第一章 竞争性磋商公告</w:t>
          </w:r>
          <w:r>
            <w:rPr>
              <w:sz w:val="28"/>
              <w:szCs w:val="36"/>
            </w:rPr>
            <w:tab/>
          </w:r>
          <w:r>
            <w:rPr>
              <w:sz w:val="28"/>
              <w:szCs w:val="36"/>
            </w:rPr>
            <w:fldChar w:fldCharType="begin"/>
          </w:r>
          <w:r>
            <w:rPr>
              <w:sz w:val="28"/>
              <w:szCs w:val="36"/>
            </w:rPr>
            <w:instrText xml:space="preserve"> PAGEREF _Toc14839 \h </w:instrText>
          </w:r>
          <w:r>
            <w:rPr>
              <w:sz w:val="28"/>
              <w:szCs w:val="36"/>
            </w:rPr>
            <w:fldChar w:fldCharType="separate"/>
          </w:r>
          <w:r>
            <w:rPr>
              <w:sz w:val="28"/>
              <w:szCs w:val="36"/>
            </w:rPr>
            <w:t>3</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06651009">
          <w:pPr>
            <w:pStyle w:val="14"/>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_Toc4431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rPr>
            <w:t xml:space="preserve">第二章 </w:t>
          </w:r>
          <w:r>
            <w:rPr>
              <w:rFonts w:hint="eastAsia"/>
              <w:sz w:val="28"/>
              <w:szCs w:val="36"/>
              <w:lang w:eastAsia="zh-CN"/>
            </w:rPr>
            <w:t>响应人</w:t>
          </w:r>
          <w:r>
            <w:rPr>
              <w:rFonts w:hint="eastAsia"/>
              <w:sz w:val="28"/>
              <w:szCs w:val="36"/>
            </w:rPr>
            <w:t>须知</w:t>
          </w:r>
          <w:r>
            <w:rPr>
              <w:sz w:val="28"/>
              <w:szCs w:val="36"/>
            </w:rPr>
            <w:tab/>
          </w:r>
          <w:r>
            <w:rPr>
              <w:sz w:val="28"/>
              <w:szCs w:val="36"/>
            </w:rPr>
            <w:fldChar w:fldCharType="begin"/>
          </w:r>
          <w:r>
            <w:rPr>
              <w:sz w:val="28"/>
              <w:szCs w:val="36"/>
            </w:rPr>
            <w:instrText xml:space="preserve"> PAGEREF _Toc4431 \h </w:instrText>
          </w:r>
          <w:r>
            <w:rPr>
              <w:sz w:val="28"/>
              <w:szCs w:val="36"/>
            </w:rPr>
            <w:fldChar w:fldCharType="separate"/>
          </w:r>
          <w:r>
            <w:rPr>
              <w:sz w:val="28"/>
              <w:szCs w:val="36"/>
            </w:rPr>
            <w:t>8</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223F4D04">
          <w:pPr>
            <w:pStyle w:val="14"/>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_Toc12611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lang w:val="en-US" w:eastAsia="zh-CN"/>
            </w:rPr>
            <w:t xml:space="preserve">第三章 </w:t>
          </w:r>
          <w:r>
            <w:rPr>
              <w:rFonts w:hint="eastAsia"/>
              <w:sz w:val="28"/>
              <w:szCs w:val="36"/>
            </w:rPr>
            <w:t>评审标准</w:t>
          </w:r>
          <w:r>
            <w:rPr>
              <w:sz w:val="28"/>
              <w:szCs w:val="36"/>
            </w:rPr>
            <w:tab/>
          </w:r>
          <w:r>
            <w:rPr>
              <w:sz w:val="28"/>
              <w:szCs w:val="36"/>
            </w:rPr>
            <w:fldChar w:fldCharType="begin"/>
          </w:r>
          <w:r>
            <w:rPr>
              <w:sz w:val="28"/>
              <w:szCs w:val="36"/>
            </w:rPr>
            <w:instrText xml:space="preserve"> PAGEREF _Toc12611 \h </w:instrText>
          </w:r>
          <w:r>
            <w:rPr>
              <w:sz w:val="28"/>
              <w:szCs w:val="36"/>
            </w:rPr>
            <w:fldChar w:fldCharType="separate"/>
          </w:r>
          <w:r>
            <w:rPr>
              <w:sz w:val="28"/>
              <w:szCs w:val="36"/>
            </w:rPr>
            <w:t>26</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0D5C7EA2">
          <w:pPr>
            <w:pStyle w:val="14"/>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_Toc4430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lang w:val="en-US"/>
            </w:rPr>
            <w:t>第</w:t>
          </w:r>
          <w:r>
            <w:rPr>
              <w:rFonts w:hint="eastAsia"/>
              <w:sz w:val="28"/>
              <w:szCs w:val="36"/>
              <w:lang w:val="en-US" w:eastAsia="zh-CN"/>
            </w:rPr>
            <w:t>四</w:t>
          </w:r>
          <w:r>
            <w:rPr>
              <w:rFonts w:hint="eastAsia"/>
              <w:sz w:val="28"/>
              <w:szCs w:val="36"/>
              <w:lang w:val="en-US"/>
            </w:rPr>
            <w:t>章</w:t>
          </w:r>
          <w:r>
            <w:rPr>
              <w:rFonts w:hint="eastAsia"/>
              <w:sz w:val="28"/>
              <w:szCs w:val="36"/>
              <w:lang w:val="en-US" w:eastAsia="zh-CN"/>
            </w:rPr>
            <w:t xml:space="preserve"> </w:t>
          </w:r>
          <w:r>
            <w:rPr>
              <w:rFonts w:hint="default"/>
              <w:sz w:val="28"/>
              <w:szCs w:val="36"/>
              <w:lang w:val="en-US"/>
            </w:rPr>
            <w:t>工程量清单</w:t>
          </w:r>
          <w:r>
            <w:rPr>
              <w:sz w:val="28"/>
              <w:szCs w:val="36"/>
            </w:rPr>
            <w:tab/>
          </w:r>
          <w:r>
            <w:rPr>
              <w:sz w:val="28"/>
              <w:szCs w:val="36"/>
            </w:rPr>
            <w:fldChar w:fldCharType="begin"/>
          </w:r>
          <w:r>
            <w:rPr>
              <w:sz w:val="28"/>
              <w:szCs w:val="36"/>
            </w:rPr>
            <w:instrText xml:space="preserve"> PAGEREF _Toc4430 \h </w:instrText>
          </w:r>
          <w:r>
            <w:rPr>
              <w:sz w:val="28"/>
              <w:szCs w:val="36"/>
            </w:rPr>
            <w:fldChar w:fldCharType="separate"/>
          </w:r>
          <w:r>
            <w:rPr>
              <w:sz w:val="28"/>
              <w:szCs w:val="36"/>
            </w:rPr>
            <w:t>35</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08C158AD">
          <w:pPr>
            <w:pStyle w:val="14"/>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_Toc27044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rPr>
            <w:t>第五章</w:t>
          </w:r>
          <w:r>
            <w:rPr>
              <w:rFonts w:hint="eastAsia"/>
              <w:sz w:val="28"/>
              <w:szCs w:val="36"/>
              <w:lang w:val="en-US" w:eastAsia="zh-CN"/>
            </w:rPr>
            <w:t xml:space="preserve"> 图纸</w:t>
          </w:r>
          <w:r>
            <w:rPr>
              <w:sz w:val="28"/>
              <w:szCs w:val="36"/>
            </w:rPr>
            <w:tab/>
          </w:r>
          <w:r>
            <w:rPr>
              <w:sz w:val="28"/>
              <w:szCs w:val="36"/>
            </w:rPr>
            <w:fldChar w:fldCharType="begin"/>
          </w:r>
          <w:r>
            <w:rPr>
              <w:sz w:val="28"/>
              <w:szCs w:val="36"/>
            </w:rPr>
            <w:instrText xml:space="preserve"> PAGEREF _Toc27044 \h </w:instrText>
          </w:r>
          <w:r>
            <w:rPr>
              <w:sz w:val="28"/>
              <w:szCs w:val="36"/>
            </w:rPr>
            <w:fldChar w:fldCharType="separate"/>
          </w:r>
          <w:r>
            <w:rPr>
              <w:sz w:val="28"/>
              <w:szCs w:val="36"/>
            </w:rPr>
            <w:t>36</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453417E0">
          <w:pPr>
            <w:pStyle w:val="14"/>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_Toc28018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lang w:val="en-US" w:eastAsia="zh-CN"/>
            </w:rPr>
            <w:t xml:space="preserve">第六章 </w:t>
          </w:r>
          <w:r>
            <w:rPr>
              <w:rFonts w:hint="eastAsia"/>
              <w:sz w:val="28"/>
              <w:szCs w:val="36"/>
            </w:rPr>
            <w:t>合同条款及合同文件格式</w:t>
          </w:r>
          <w:r>
            <w:rPr>
              <w:sz w:val="28"/>
              <w:szCs w:val="36"/>
            </w:rPr>
            <w:tab/>
          </w:r>
          <w:r>
            <w:rPr>
              <w:sz w:val="28"/>
              <w:szCs w:val="36"/>
            </w:rPr>
            <w:fldChar w:fldCharType="begin"/>
          </w:r>
          <w:r>
            <w:rPr>
              <w:sz w:val="28"/>
              <w:szCs w:val="36"/>
            </w:rPr>
            <w:instrText xml:space="preserve"> PAGEREF _Toc28018 \h </w:instrText>
          </w:r>
          <w:r>
            <w:rPr>
              <w:sz w:val="28"/>
              <w:szCs w:val="36"/>
            </w:rPr>
            <w:fldChar w:fldCharType="separate"/>
          </w:r>
          <w:r>
            <w:rPr>
              <w:sz w:val="28"/>
              <w:szCs w:val="36"/>
            </w:rPr>
            <w:t>37</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604B792A">
          <w:pPr>
            <w:pStyle w:val="14"/>
            <w:tabs>
              <w:tab w:val="right" w:leader="dot" w:pos="9632"/>
            </w:tabs>
            <w:rPr>
              <w:sz w:val="24"/>
              <w:szCs w:val="32"/>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_Toc17511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rPr>
            <w:t>第</w:t>
          </w:r>
          <w:r>
            <w:rPr>
              <w:rFonts w:hint="eastAsia"/>
              <w:sz w:val="28"/>
              <w:szCs w:val="36"/>
              <w:lang w:val="en-US" w:eastAsia="zh-CN"/>
            </w:rPr>
            <w:t>七</w:t>
          </w:r>
          <w:r>
            <w:rPr>
              <w:rFonts w:hint="eastAsia"/>
              <w:sz w:val="28"/>
              <w:szCs w:val="36"/>
            </w:rPr>
            <w:t>章</w:t>
          </w:r>
          <w:r>
            <w:rPr>
              <w:rFonts w:hint="eastAsia"/>
              <w:sz w:val="28"/>
              <w:szCs w:val="36"/>
              <w:lang w:val="en-US" w:eastAsia="zh-CN"/>
            </w:rPr>
            <w:t xml:space="preserve"> </w:t>
          </w:r>
          <w:r>
            <w:rPr>
              <w:rFonts w:hint="eastAsia"/>
              <w:sz w:val="28"/>
              <w:szCs w:val="36"/>
              <w:lang w:eastAsia="zh-CN"/>
            </w:rPr>
            <w:t>响应</w:t>
          </w:r>
          <w:r>
            <w:rPr>
              <w:rFonts w:hint="eastAsia"/>
              <w:sz w:val="28"/>
              <w:szCs w:val="36"/>
            </w:rPr>
            <w:t>文件格式</w:t>
          </w:r>
          <w:r>
            <w:rPr>
              <w:sz w:val="28"/>
              <w:szCs w:val="36"/>
            </w:rPr>
            <w:tab/>
          </w:r>
          <w:r>
            <w:rPr>
              <w:sz w:val="28"/>
              <w:szCs w:val="36"/>
            </w:rPr>
            <w:fldChar w:fldCharType="begin"/>
          </w:r>
          <w:r>
            <w:rPr>
              <w:sz w:val="28"/>
              <w:szCs w:val="36"/>
            </w:rPr>
            <w:instrText xml:space="preserve"> PAGEREF _Toc17511 \h </w:instrText>
          </w:r>
          <w:r>
            <w:rPr>
              <w:sz w:val="28"/>
              <w:szCs w:val="36"/>
            </w:rPr>
            <w:fldChar w:fldCharType="separate"/>
          </w:r>
          <w:r>
            <w:rPr>
              <w:sz w:val="28"/>
              <w:szCs w:val="36"/>
            </w:rPr>
            <w:t>56</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50A9C0F1">
          <w:pPr>
            <w:pStyle w:val="14"/>
            <w:tabs>
              <w:tab w:val="right" w:leader="dot" w:pos="9632"/>
            </w:tabs>
            <w:rPr>
              <w:sz w:val="24"/>
              <w:szCs w:val="32"/>
            </w:rPr>
          </w:pPr>
        </w:p>
        <w:p w14:paraId="7E9D3978">
          <w:pPr>
            <w:kinsoku/>
            <w:wordWrap w:val="0"/>
            <w:overflowPunct/>
            <w:topLinePunct w:val="0"/>
            <w:bidi w:val="0"/>
            <w:rPr>
              <w:rFonts w:hint="eastAsia" w:ascii="黑体" w:cs="宋体" w:hAnsiTheme="minorHAnsi" w:eastAsiaTheme="minorEastAsia"/>
              <w:bCs/>
              <w:kern w:val="2"/>
              <w:sz w:val="21"/>
              <w:szCs w:val="28"/>
              <w:highlight w:val="none"/>
              <w:lang w:val="en-US" w:eastAsia="zh-CN" w:bidi="ar-SA"/>
            </w:rPr>
          </w:pPr>
          <w:r>
            <w:rPr>
              <w:rFonts w:hint="eastAsia" w:ascii="黑体" w:cs="宋体" w:hAnsiTheme="minorHAnsi" w:eastAsiaTheme="minorEastAsia"/>
              <w:bCs/>
              <w:kern w:val="2"/>
              <w:sz w:val="24"/>
              <w:szCs w:val="36"/>
              <w:highlight w:val="none"/>
              <w:lang w:val="en-US" w:eastAsia="zh-CN" w:bidi="ar-SA"/>
            </w:rPr>
            <w:fldChar w:fldCharType="end"/>
          </w:r>
        </w:p>
      </w:sdtContent>
    </w:sdt>
    <w:p w14:paraId="2B68D20E">
      <w:pPr>
        <w:kinsoku/>
        <w:wordWrap w:val="0"/>
        <w:overflowPunct/>
        <w:topLinePunct w:val="0"/>
        <w:bidi w:val="0"/>
        <w:rPr>
          <w:rFonts w:hint="eastAsia" w:ascii="黑体" w:cs="宋体" w:hAnsiTheme="minorHAnsi" w:eastAsiaTheme="minorEastAsia"/>
          <w:bCs/>
          <w:kern w:val="2"/>
          <w:sz w:val="21"/>
          <w:szCs w:val="28"/>
          <w:highlight w:val="none"/>
          <w:lang w:val="en-US" w:eastAsia="zh-CN" w:bidi="ar-SA"/>
        </w:rPr>
      </w:pPr>
    </w:p>
    <w:p w14:paraId="61D1DB11">
      <w:pPr>
        <w:kinsoku/>
        <w:wordWrap w:val="0"/>
        <w:overflowPunct/>
        <w:topLinePunct w:val="0"/>
        <w:bidi w:val="0"/>
        <w:spacing w:line="480" w:lineRule="auto"/>
        <w:jc w:val="center"/>
        <w:outlineLvl w:val="0"/>
        <w:rPr>
          <w:rFonts w:hint="eastAsia" w:ascii="宋体" w:hAnsi="宋体" w:cs="宋体"/>
          <w:b/>
          <w:bCs/>
          <w:sz w:val="28"/>
          <w:szCs w:val="28"/>
          <w:highlight w:val="none"/>
        </w:rPr>
        <w:sectPr>
          <w:footerReference r:id="rId5" w:type="default"/>
          <w:pgSz w:w="11900" w:h="16838"/>
          <w:pgMar w:top="1077" w:right="1134" w:bottom="1077" w:left="1134" w:header="720" w:footer="720" w:gutter="0"/>
          <w:pgNumType w:fmt="decimal" w:start="1"/>
          <w:cols w:space="720" w:num="1"/>
          <w:docGrid w:type="lines" w:linePitch="360" w:charSpace="0"/>
        </w:sectPr>
      </w:pPr>
      <w:bookmarkStart w:id="11" w:name="_Toc1785"/>
      <w:bookmarkStart w:id="12" w:name="_Toc3019"/>
      <w:bookmarkStart w:id="13" w:name="_Toc12846"/>
    </w:p>
    <w:p w14:paraId="43F3F557">
      <w:pPr>
        <w:kinsoku/>
        <w:wordWrap w:val="0"/>
        <w:overflowPunct/>
        <w:topLinePunct w:val="0"/>
        <w:bidi w:val="0"/>
        <w:spacing w:line="480" w:lineRule="auto"/>
        <w:jc w:val="center"/>
        <w:outlineLvl w:val="0"/>
        <w:rPr>
          <w:rFonts w:hint="eastAsia" w:ascii="宋体" w:hAnsi="宋体" w:cs="宋体"/>
          <w:b/>
          <w:bCs/>
          <w:sz w:val="28"/>
          <w:szCs w:val="28"/>
          <w:highlight w:val="none"/>
        </w:rPr>
      </w:pPr>
      <w:r>
        <w:rPr>
          <w:rFonts w:hint="eastAsia" w:ascii="宋体" w:hAnsi="宋体" w:cs="宋体"/>
          <w:b/>
          <w:bCs/>
          <w:sz w:val="28"/>
          <w:szCs w:val="28"/>
          <w:highlight w:val="none"/>
        </w:rPr>
        <w:t>河南省政府采购合同融资政策告知函</w:t>
      </w:r>
      <w:bookmarkEnd w:id="11"/>
      <w:bookmarkEnd w:id="12"/>
      <w:bookmarkEnd w:id="13"/>
    </w:p>
    <w:p w14:paraId="5045170D">
      <w:pPr>
        <w:keepNext w:val="0"/>
        <w:keepLines w:val="0"/>
        <w:pageBreakBefore w:val="0"/>
        <w:widowControl/>
        <w:kinsoku/>
        <w:wordWrap w:val="0"/>
        <w:overflowPunct/>
        <w:topLinePunct w:val="0"/>
        <w:autoSpaceDE/>
        <w:autoSpaceDN/>
        <w:bidi w:val="0"/>
        <w:adjustRightInd/>
        <w:snapToGrid/>
        <w:spacing w:line="600" w:lineRule="exact"/>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各供应商:</w:t>
      </w:r>
    </w:p>
    <w:p w14:paraId="221C909F">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欢迎贵公司参与河南省政府采购活动!</w:t>
      </w:r>
    </w:p>
    <w:p w14:paraId="6CBFEAA3">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157F12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贷款渠道和提供贷款的金融机构，可在河南省政府采购网“河南省政府采购合同融资平台”查询联系。</w:t>
      </w:r>
    </w:p>
    <w:p w14:paraId="71D40942">
      <w:pPr>
        <w:kinsoku/>
        <w:wordWrap w:val="0"/>
        <w:overflowPunct/>
        <w:topLinePunct w:val="0"/>
        <w:bidi w:val="0"/>
        <w:rPr>
          <w:sz w:val="22"/>
          <w:szCs w:val="28"/>
          <w:highlight w:val="none"/>
        </w:rPr>
      </w:pPr>
    </w:p>
    <w:p w14:paraId="774946EB">
      <w:pPr>
        <w:rPr>
          <w:rFonts w:hint="eastAsia" w:ascii="黑体" w:cs="宋体"/>
          <w:b/>
          <w:bCs w:val="0"/>
          <w:kern w:val="2"/>
          <w:sz w:val="36"/>
          <w:szCs w:val="36"/>
          <w:highlight w:val="none"/>
        </w:rPr>
      </w:pPr>
      <w:r>
        <w:rPr>
          <w:rFonts w:hint="eastAsia" w:ascii="黑体" w:cs="宋体"/>
          <w:b/>
          <w:bCs w:val="0"/>
          <w:kern w:val="2"/>
          <w:sz w:val="36"/>
          <w:szCs w:val="36"/>
          <w:highlight w:val="none"/>
        </w:rPr>
        <w:br w:type="page"/>
      </w:r>
    </w:p>
    <w:p w14:paraId="1E1C75B8">
      <w:pPr>
        <w:pStyle w:val="2"/>
        <w:bidi w:val="0"/>
        <w:rPr>
          <w:rFonts w:hint="eastAsia"/>
        </w:rPr>
      </w:pPr>
      <w:bookmarkStart w:id="14" w:name="_Toc14839"/>
      <w:bookmarkStart w:id="15" w:name="_Toc21405"/>
      <w:r>
        <w:rPr>
          <w:rFonts w:hint="eastAsia"/>
        </w:rPr>
        <w:t>第一章    竞争性磋商公告</w:t>
      </w:r>
      <w:bookmarkEnd w:id="14"/>
      <w:bookmarkEnd w:id="15"/>
    </w:p>
    <w:p w14:paraId="079B310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bookmarkStart w:id="16" w:name="_Toc2448"/>
      <w:r>
        <w:rPr>
          <w:rFonts w:hint="eastAsia" w:ascii="宋体" w:hAnsi="宋体"/>
          <w:color w:val="auto"/>
          <w:sz w:val="24"/>
          <w:szCs w:val="24"/>
          <w:highlight w:val="none"/>
          <w:lang w:eastAsia="zh-CN"/>
        </w:rPr>
        <w:t>河南立旭工程管理有限公司</w:t>
      </w:r>
      <w:r>
        <w:rPr>
          <w:rFonts w:hint="eastAsia" w:ascii="宋体" w:hAnsi="宋体" w:eastAsia="宋体"/>
          <w:color w:val="auto"/>
          <w:sz w:val="24"/>
          <w:szCs w:val="24"/>
          <w:highlight w:val="none"/>
        </w:rPr>
        <w:t>受</w:t>
      </w:r>
      <w:r>
        <w:rPr>
          <w:rFonts w:hint="eastAsia" w:ascii="宋体" w:hAnsi="宋体"/>
          <w:color w:val="auto"/>
          <w:sz w:val="24"/>
          <w:szCs w:val="24"/>
          <w:highlight w:val="none"/>
          <w:lang w:val="en-US" w:eastAsia="zh-CN"/>
        </w:rPr>
        <w:t>卢氏县官坡镇中心卫生院</w:t>
      </w:r>
      <w:r>
        <w:rPr>
          <w:rFonts w:hint="eastAsia" w:ascii="宋体" w:hAnsi="宋体" w:eastAsia="宋体"/>
          <w:color w:val="auto"/>
          <w:sz w:val="24"/>
          <w:szCs w:val="24"/>
          <w:highlight w:val="none"/>
        </w:rPr>
        <w:t>的委托，就</w:t>
      </w:r>
      <w:r>
        <w:rPr>
          <w:rFonts w:hint="eastAsia" w:ascii="宋体" w:hAnsi="宋体" w:eastAsia="宋体"/>
          <w:color w:val="auto"/>
          <w:sz w:val="24"/>
          <w:szCs w:val="24"/>
          <w:highlight w:val="none"/>
          <w:lang w:val="en-US" w:eastAsia="zh-CN"/>
        </w:rPr>
        <w:t>卢氏县官坡镇中心卫生院医养结合中心消防设施改造项目</w:t>
      </w:r>
      <w:r>
        <w:rPr>
          <w:rFonts w:hint="eastAsia" w:ascii="宋体" w:hAnsi="宋体" w:eastAsia="宋体"/>
          <w:color w:val="auto"/>
          <w:sz w:val="24"/>
          <w:szCs w:val="24"/>
          <w:highlight w:val="none"/>
        </w:rPr>
        <w:t>进行竞争性磋商</w:t>
      </w:r>
      <w:r>
        <w:rPr>
          <w:rFonts w:hint="eastAsia" w:ascii="宋体" w:hAnsi="宋体" w:eastAsia="宋体"/>
          <w:color w:val="auto"/>
          <w:sz w:val="24"/>
          <w:szCs w:val="24"/>
          <w:highlight w:val="none"/>
          <w:lang w:eastAsia="zh-CN"/>
        </w:rPr>
        <w:t>采购</w:t>
      </w:r>
      <w:r>
        <w:rPr>
          <w:rFonts w:hint="eastAsia" w:ascii="宋体" w:hAnsi="宋体" w:eastAsia="宋体"/>
          <w:color w:val="auto"/>
          <w:sz w:val="24"/>
          <w:szCs w:val="24"/>
          <w:highlight w:val="none"/>
        </w:rPr>
        <w:t>，</w:t>
      </w:r>
      <w:r>
        <w:rPr>
          <w:rFonts w:hint="eastAsia" w:ascii="宋体" w:hAnsi="宋体"/>
          <w:color w:val="auto"/>
          <w:sz w:val="24"/>
          <w:szCs w:val="24"/>
          <w:highlight w:val="none"/>
          <w:lang w:eastAsia="zh-CN"/>
        </w:rPr>
        <w:t>本项目</w:t>
      </w:r>
      <w:r>
        <w:rPr>
          <w:rFonts w:hint="eastAsia" w:ascii="宋体" w:hAnsi="宋体" w:eastAsia="宋体"/>
          <w:color w:val="auto"/>
          <w:sz w:val="24"/>
          <w:szCs w:val="24"/>
          <w:highlight w:val="none"/>
        </w:rPr>
        <w:t>已具备</w:t>
      </w:r>
      <w:r>
        <w:rPr>
          <w:rFonts w:hint="eastAsia" w:ascii="宋体" w:hAnsi="宋体"/>
          <w:color w:val="auto"/>
          <w:sz w:val="24"/>
          <w:szCs w:val="24"/>
          <w:highlight w:val="none"/>
          <w:lang w:eastAsia="zh-CN"/>
        </w:rPr>
        <w:t>磋商</w:t>
      </w:r>
      <w:r>
        <w:rPr>
          <w:rFonts w:hint="eastAsia" w:ascii="宋体" w:hAnsi="宋体" w:eastAsia="宋体"/>
          <w:color w:val="auto"/>
          <w:sz w:val="24"/>
          <w:szCs w:val="24"/>
          <w:highlight w:val="none"/>
        </w:rPr>
        <w:t>条件</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欢迎符合资格条件的</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参加。</w:t>
      </w:r>
    </w:p>
    <w:p w14:paraId="5275731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一</w:t>
      </w:r>
      <w:r>
        <w:rPr>
          <w:rFonts w:hint="eastAsia" w:ascii="宋体" w:hAnsi="宋体" w:eastAsia="宋体"/>
          <w:color w:val="auto"/>
          <w:sz w:val="24"/>
          <w:szCs w:val="24"/>
          <w:highlight w:val="none"/>
        </w:rPr>
        <w:t>、项目概况与磋商范围</w:t>
      </w:r>
      <w:bookmarkEnd w:id="16"/>
    </w:p>
    <w:p w14:paraId="29BF222D">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1、采购人：</w:t>
      </w:r>
      <w:r>
        <w:rPr>
          <w:rFonts w:hint="eastAsia" w:ascii="宋体" w:hAnsi="宋体"/>
          <w:color w:val="auto"/>
          <w:sz w:val="24"/>
          <w:szCs w:val="24"/>
          <w:highlight w:val="none"/>
          <w:lang w:val="en-US" w:eastAsia="zh-CN"/>
        </w:rPr>
        <w:t>卢氏县官坡镇中心卫生院</w:t>
      </w:r>
    </w:p>
    <w:p w14:paraId="7707B1A3">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项目名称：</w:t>
      </w:r>
      <w:r>
        <w:rPr>
          <w:rFonts w:hint="eastAsia" w:ascii="宋体" w:hAnsi="宋体" w:eastAsia="宋体"/>
          <w:color w:val="auto"/>
          <w:sz w:val="24"/>
          <w:szCs w:val="24"/>
          <w:highlight w:val="none"/>
          <w:lang w:val="en-US" w:eastAsia="zh-CN"/>
        </w:rPr>
        <w:t>卢氏县官坡镇中心卫生院医养结合中心消防设施改造项目</w:t>
      </w:r>
    </w:p>
    <w:p w14:paraId="5FF26F51">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、项目编号：</w:t>
      </w:r>
      <w:r>
        <w:rPr>
          <w:rFonts w:hint="eastAsia" w:ascii="宋体" w:hAnsi="宋体" w:eastAsia="宋体"/>
          <w:color w:val="auto"/>
          <w:sz w:val="24"/>
          <w:szCs w:val="24"/>
          <w:highlight w:val="none"/>
          <w:lang w:val="en-US" w:eastAsia="zh-CN"/>
        </w:rPr>
        <w:t>三卢竞磋采购-2026-35、LSGZ[2026]089-ZC065</w:t>
      </w:r>
    </w:p>
    <w:p w14:paraId="10D17323">
      <w:pPr>
        <w:kinsoku/>
        <w:wordWrap w:val="0"/>
        <w:overflowPunct/>
        <w:topLinePunct w:val="0"/>
        <w:bidi w:val="0"/>
        <w:spacing w:beforeAutospacing="0" w:afterAutospacing="0" w:line="600" w:lineRule="exact"/>
        <w:ind w:firstLine="480" w:firstLineChars="200"/>
        <w:rPr>
          <w:rFonts w:hint="eastAsia" w:ascii="宋体" w:hAnsi="宋体" w:eastAsia="宋体"/>
          <w:color w:val="0000FF"/>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、标段划分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一</w:t>
      </w:r>
      <w:r>
        <w:rPr>
          <w:rFonts w:hint="eastAsia" w:ascii="宋体" w:hAnsi="宋体" w:eastAsia="宋体"/>
          <w:color w:val="auto"/>
          <w:sz w:val="24"/>
          <w:szCs w:val="24"/>
          <w:highlight w:val="none"/>
          <w:lang w:eastAsia="zh-CN"/>
        </w:rPr>
        <w:t>个</w:t>
      </w:r>
      <w:r>
        <w:rPr>
          <w:rFonts w:hint="eastAsia" w:ascii="宋体" w:hAnsi="宋体" w:eastAsia="宋体"/>
          <w:color w:val="auto"/>
          <w:sz w:val="24"/>
          <w:szCs w:val="24"/>
          <w:highlight w:val="none"/>
        </w:rPr>
        <w:t>标段</w:t>
      </w:r>
    </w:p>
    <w:p w14:paraId="5C4DC805">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5、项目</w:t>
      </w:r>
      <w:r>
        <w:rPr>
          <w:rFonts w:hint="eastAsia" w:ascii="宋体" w:hAnsi="宋体" w:eastAsia="宋体"/>
          <w:color w:val="auto"/>
          <w:sz w:val="24"/>
          <w:szCs w:val="24"/>
          <w:highlight w:val="none"/>
        </w:rPr>
        <w:t>概况</w:t>
      </w:r>
      <w:r>
        <w:rPr>
          <w:rFonts w:hint="eastAsia" w:ascii="宋体" w:hAnsi="宋体" w:eastAsia="宋体"/>
          <w:color w:val="auto"/>
          <w:sz w:val="24"/>
          <w:szCs w:val="24"/>
          <w:highlight w:val="none"/>
          <w:lang w:val="en-US" w:eastAsia="zh-CN"/>
        </w:rPr>
        <w:t>：主要内容为卢氏县官坡镇中心卫生院医养结合中心消防设施改造。</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lang w:val="en-US" w:eastAsia="zh-CN"/>
        </w:rPr>
        <w:t>具体内容详见工程量清单）</w:t>
      </w:r>
    </w:p>
    <w:p w14:paraId="1CC449E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6、质量要求</w:t>
      </w:r>
      <w:r>
        <w:rPr>
          <w:rFonts w:hint="eastAsia" w:ascii="宋体" w:hAnsi="宋体" w:eastAsia="宋体"/>
          <w:color w:val="auto"/>
          <w:sz w:val="24"/>
          <w:szCs w:val="24"/>
          <w:highlight w:val="none"/>
        </w:rPr>
        <w:t>：达到国家现行建设工程施工质量验收规范合格</w:t>
      </w:r>
      <w:r>
        <w:rPr>
          <w:rFonts w:hint="eastAsia" w:ascii="宋体" w:hAnsi="宋体" w:eastAsia="宋体"/>
          <w:color w:val="auto"/>
          <w:sz w:val="24"/>
          <w:szCs w:val="24"/>
          <w:highlight w:val="none"/>
          <w:lang w:eastAsia="zh-CN"/>
        </w:rPr>
        <w:t>标准</w:t>
      </w:r>
    </w:p>
    <w:p w14:paraId="06D7C0E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招标</w:t>
      </w:r>
      <w:r>
        <w:rPr>
          <w:rFonts w:hint="eastAsia" w:ascii="宋体" w:hAnsi="宋体"/>
          <w:color w:val="auto"/>
          <w:sz w:val="24"/>
          <w:szCs w:val="24"/>
          <w:highlight w:val="none"/>
          <w:lang w:eastAsia="zh-CN"/>
        </w:rPr>
        <w:t>控制价</w:t>
      </w:r>
      <w:r>
        <w:rPr>
          <w:rFonts w:hint="eastAsia" w:ascii="宋体" w:hAnsi="宋体" w:eastAsia="宋体"/>
          <w:color w:val="auto"/>
          <w:sz w:val="24"/>
          <w:szCs w:val="24"/>
          <w:highlight w:val="none"/>
        </w:rPr>
        <w:t>：</w:t>
      </w:r>
      <w:r>
        <w:rPr>
          <w:rFonts w:hint="default"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val="en-US" w:eastAsia="zh-CN"/>
        </w:rPr>
        <w:t>718371.81元</w:t>
      </w:r>
    </w:p>
    <w:p w14:paraId="03F2B773">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、资金来源：</w:t>
      </w:r>
      <w:r>
        <w:rPr>
          <w:rFonts w:hint="eastAsia" w:ascii="宋体" w:hAnsi="宋体" w:eastAsia="宋体"/>
          <w:color w:val="auto"/>
          <w:sz w:val="24"/>
          <w:szCs w:val="24"/>
          <w:highlight w:val="none"/>
          <w:lang w:val="en-US" w:eastAsia="zh-CN"/>
        </w:rPr>
        <w:t>自筹资金，已落实</w:t>
      </w:r>
    </w:p>
    <w:p w14:paraId="5F16C516">
      <w:pPr>
        <w:kinsoku/>
        <w:wordWrap w:val="0"/>
        <w:overflowPunct/>
        <w:topLinePunct w:val="0"/>
        <w:bidi w:val="0"/>
        <w:spacing w:beforeAutospacing="0" w:afterAutospacing="0" w:line="600" w:lineRule="exact"/>
        <w:ind w:firstLine="480" w:firstLineChars="200"/>
        <w:rPr>
          <w:rFonts w:hint="default" w:ascii="宋体" w:hAnsi="宋体" w:eastAsia="宋体"/>
          <w:color w:val="000000" w:themeColor="text1"/>
          <w:sz w:val="24"/>
          <w:szCs w:val="24"/>
          <w:highlight w:val="none"/>
          <w:lang w:val="en-US"/>
          <w14:textFill>
            <w14:solidFill>
              <w14:schemeClr w14:val="tx1"/>
            </w14:solidFill>
          </w14:textFill>
        </w:rPr>
      </w:pP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w:t>
      </w:r>
      <w:r>
        <w:rPr>
          <w:rFonts w:hint="eastAsia" w:ascii="宋体" w:hAnsi="宋体" w:eastAsia="宋体" w:cs="Times New Roman"/>
          <w:color w:val="auto"/>
          <w:sz w:val="24"/>
          <w:szCs w:val="24"/>
          <w:highlight w:val="none"/>
        </w:rPr>
        <w:t>计划工期</w:t>
      </w:r>
      <w:r>
        <w:rPr>
          <w:rFonts w:hint="eastAsia" w:ascii="宋体" w:hAnsi="宋体" w:cs="Times New Roman"/>
          <w:color w:val="auto"/>
          <w:sz w:val="24"/>
          <w:szCs w:val="24"/>
          <w:highlight w:val="none"/>
          <w:lang w:eastAsia="zh-CN"/>
        </w:rPr>
        <w:t>：</w:t>
      </w:r>
      <w:r>
        <w:rPr>
          <w:rFonts w:hint="eastAsia" w:ascii="宋体" w:hAnsi="宋体" w:cs="Times New Roman"/>
          <w:color w:val="000000" w:themeColor="text1"/>
          <w:sz w:val="24"/>
          <w:szCs w:val="24"/>
          <w:highlight w:val="none"/>
          <w:lang w:val="en-US" w:eastAsia="zh-CN"/>
          <w14:textFill>
            <w14:solidFill>
              <w14:schemeClr w14:val="tx1"/>
            </w14:solidFill>
          </w14:textFill>
        </w:rPr>
        <w:t>50日历天</w:t>
      </w:r>
    </w:p>
    <w:p w14:paraId="74A0B50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w:t>
      </w:r>
      <w:bookmarkStart w:id="17" w:name="_Toc32606"/>
      <w:r>
        <w:rPr>
          <w:rFonts w:hint="eastAsia" w:ascii="宋体" w:hAnsi="宋体" w:eastAsia="宋体"/>
          <w:color w:val="auto"/>
          <w:sz w:val="24"/>
          <w:szCs w:val="24"/>
          <w:highlight w:val="none"/>
          <w:lang w:val="en-US" w:eastAsia="zh-CN"/>
        </w:rPr>
        <w:t>建设</w:t>
      </w:r>
      <w:r>
        <w:rPr>
          <w:rFonts w:hint="eastAsia" w:ascii="宋体" w:hAnsi="宋体" w:eastAsia="宋体"/>
          <w:color w:val="auto"/>
          <w:sz w:val="24"/>
          <w:szCs w:val="24"/>
          <w:highlight w:val="none"/>
        </w:rPr>
        <w:t>地点：</w:t>
      </w:r>
      <w:r>
        <w:rPr>
          <w:rFonts w:hint="eastAsia" w:ascii="宋体" w:hAnsi="宋体" w:eastAsia="宋体"/>
          <w:color w:val="auto"/>
          <w:sz w:val="24"/>
          <w:szCs w:val="24"/>
          <w:highlight w:val="none"/>
          <w:lang w:val="en-US" w:eastAsia="zh-CN"/>
        </w:rPr>
        <w:t>卢氏县官坡镇中心卫生院</w:t>
      </w:r>
    </w:p>
    <w:p w14:paraId="4EFF04FA">
      <w:pPr>
        <w:kinsoku/>
        <w:wordWrap w:val="0"/>
        <w:overflowPunct/>
        <w:topLinePunct w:val="0"/>
        <w:bidi w:val="0"/>
        <w:spacing w:beforeAutospacing="0" w:afterAutospacing="0" w:line="600" w:lineRule="exact"/>
        <w:ind w:firstLine="480" w:firstLineChars="200"/>
        <w:rPr>
          <w:rFonts w:hint="eastAsia" w:ascii="宋体" w:hAnsi="宋体" w:eastAsiaTheme="minorEastAsia"/>
          <w:color w:val="auto"/>
          <w:sz w:val="24"/>
          <w:szCs w:val="24"/>
          <w:highlight w:val="none"/>
          <w:lang w:eastAsia="zh-CN"/>
        </w:rPr>
      </w:pP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磋商范围</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竞争性磋商文件、工程量清单</w:t>
      </w:r>
      <w:r>
        <w:rPr>
          <w:rFonts w:hint="eastAsia" w:ascii="宋体" w:hAnsi="宋体" w:cs="宋体"/>
          <w:sz w:val="24"/>
          <w:szCs w:val="32"/>
        </w:rPr>
        <w:t>范围内的所有内容</w:t>
      </w:r>
    </w:p>
    <w:p w14:paraId="4B84A010">
      <w:pPr>
        <w:kinsoku/>
        <w:wordWrap w:val="0"/>
        <w:overflowPunct/>
        <w:topLinePunct w:val="0"/>
        <w:bidi w:val="0"/>
        <w:spacing w:beforeAutospacing="0" w:afterAutospacing="0" w:line="600" w:lineRule="exact"/>
        <w:ind w:firstLine="480" w:firstLineChars="200"/>
        <w:rPr>
          <w:rFonts w:hint="eastAsia" w:asciiTheme="majorEastAsia" w:hAnsiTheme="majorEastAsia" w:eastAsiaTheme="majorEastAsia" w:cstheme="majorEastAsia"/>
          <w:kern w:val="0"/>
          <w:sz w:val="24"/>
          <w:szCs w:val="24"/>
          <w:highlight w:val="none"/>
        </w:rPr>
      </w:pPr>
      <w:r>
        <w:rPr>
          <w:rFonts w:hint="eastAsia" w:ascii="宋体" w:hAnsi="宋体"/>
          <w:color w:val="auto"/>
          <w:sz w:val="24"/>
          <w:szCs w:val="24"/>
          <w:highlight w:val="none"/>
          <w:lang w:val="en-US" w:eastAsia="zh-CN"/>
        </w:rPr>
        <w:t>12、</w:t>
      </w:r>
      <w:r>
        <w:rPr>
          <w:rFonts w:hint="eastAsia" w:asciiTheme="majorEastAsia" w:hAnsiTheme="majorEastAsia" w:eastAsiaTheme="majorEastAsia" w:cstheme="majorEastAsia"/>
          <w:kern w:val="0"/>
          <w:sz w:val="24"/>
          <w:szCs w:val="24"/>
          <w:highlight w:val="none"/>
        </w:rPr>
        <w:t>保修期限：按照国家相关文件规定的质保期执行</w:t>
      </w:r>
    </w:p>
    <w:p w14:paraId="5D26F45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二、响应人资格要求</w:t>
      </w:r>
      <w:bookmarkEnd w:id="17"/>
      <w:bookmarkStart w:id="18" w:name="_Toc16513"/>
    </w:p>
    <w:p w14:paraId="4E6FAD67">
      <w:pPr>
        <w:kinsoku/>
        <w:wordWrap w:val="0"/>
        <w:overflowPunct/>
        <w:topLinePunct w:val="0"/>
        <w:bidi w:val="0"/>
        <w:spacing w:beforeAutospacing="0" w:afterAutospacing="0" w:line="600" w:lineRule="exact"/>
        <w:ind w:firstLine="480" w:firstLineChars="200"/>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rPr>
        <w:t>1、供应商符合《中华人民共和国政府采购法》第二十二条规定条件</w:t>
      </w:r>
      <w:r>
        <w:rPr>
          <w:rFonts w:hint="eastAsia" w:ascii="宋体" w:hAnsi="宋体" w:eastAsia="宋体" w:cs="宋体"/>
          <w:i w:val="0"/>
          <w:iCs w:val="0"/>
          <w:caps w:val="0"/>
          <w:color w:val="333333"/>
          <w:spacing w:val="0"/>
          <w:sz w:val="24"/>
          <w:szCs w:val="24"/>
          <w:highlight w:val="none"/>
          <w:lang w:eastAsia="zh-CN"/>
        </w:rPr>
        <w:t>；</w:t>
      </w:r>
    </w:p>
    <w:p w14:paraId="0D9E0F7A">
      <w:pPr>
        <w:kinsoku/>
        <w:wordWrap w:val="0"/>
        <w:overflowPunct/>
        <w:topLinePunct w:val="0"/>
        <w:bidi w:val="0"/>
        <w:spacing w:beforeAutospacing="0" w:afterAutospacing="0" w:line="600" w:lineRule="exact"/>
        <w:ind w:firstLine="480" w:firstLineChars="200"/>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2、落实政府采购政策满足的资格要求：根据《政府采购促进中小企业发展管理办法》（财库〔2020〕46号）规定，本项目专门面向中小企业采购,同时响应人须提供《中小企业声明函》；</w:t>
      </w:r>
    </w:p>
    <w:p w14:paraId="551D5E37">
      <w:pPr>
        <w:widowControl/>
        <w:shd w:val="clear" w:color="auto" w:fill="FFFFFF"/>
        <w:spacing w:line="52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3、本项目的特定资格要求：</w:t>
      </w:r>
    </w:p>
    <w:p w14:paraId="60913A93">
      <w:pPr>
        <w:kinsoku/>
        <w:wordWrap w:val="0"/>
        <w:overflowPunct/>
        <w:topLinePunct w:val="0"/>
        <w:bidi w:val="0"/>
        <w:spacing w:beforeAutospacing="0" w:afterAutospacing="0" w:line="600" w:lineRule="exact"/>
        <w:ind w:firstLine="480" w:firstLineChars="200"/>
        <w:rPr>
          <w:rFonts w:hint="eastAsia" w:ascii="宋体" w:hAnsi="宋体" w:eastAsia="宋体" w:cs="宋体"/>
          <w:i w:val="0"/>
          <w:iCs w:val="0"/>
          <w:caps w:val="0"/>
          <w:color w:val="333333"/>
          <w:spacing w:val="0"/>
          <w:sz w:val="24"/>
          <w:szCs w:val="24"/>
          <w:highlight w:val="none"/>
          <w:lang w:val="en-US" w:eastAsia="zh-CN"/>
        </w:rPr>
      </w:pPr>
    </w:p>
    <w:p w14:paraId="7D41ADCB">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3.1</w:t>
      </w:r>
      <w:r>
        <w:rPr>
          <w:rFonts w:hint="eastAsia" w:ascii="宋体" w:hAnsi="宋体" w:eastAsia="宋体"/>
          <w:color w:val="auto"/>
          <w:sz w:val="24"/>
          <w:szCs w:val="24"/>
          <w:highlight w:val="none"/>
          <w:lang w:val="en-US" w:eastAsia="zh-CN"/>
        </w:rPr>
        <w:t>、供应商须具有独立承担民事责任的能力，须提供有效的营业执照或其他证明材料；</w:t>
      </w:r>
    </w:p>
    <w:p w14:paraId="52A4B410">
      <w:pPr>
        <w:kinsoku/>
        <w:wordWrap w:val="0"/>
        <w:overflowPunct/>
        <w:topLinePunct w:val="0"/>
        <w:bidi w:val="0"/>
        <w:spacing w:beforeAutospacing="0" w:afterAutospacing="0" w:line="6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3.2</w:t>
      </w:r>
      <w:r>
        <w:rPr>
          <w:rFonts w:hint="eastAsia" w:ascii="宋体" w:hAnsi="宋体" w:eastAsia="宋体" w:cs="Times New Roman"/>
          <w:color w:val="auto"/>
          <w:sz w:val="24"/>
          <w:szCs w:val="24"/>
          <w:highlight w:val="none"/>
        </w:rPr>
        <w:t>、响应人须</w:t>
      </w:r>
      <w:r>
        <w:rPr>
          <w:rFonts w:hint="eastAsia" w:ascii="宋体" w:hAnsi="宋体" w:eastAsia="宋体" w:cs="Times New Roman"/>
          <w:color w:val="auto"/>
          <w:sz w:val="24"/>
          <w:szCs w:val="24"/>
          <w:highlight w:val="none"/>
          <w:lang w:val="en-US" w:eastAsia="zh-CN"/>
        </w:rPr>
        <w:t>具备</w:t>
      </w:r>
      <w:r>
        <w:rPr>
          <w:rFonts w:hint="eastAsia" w:ascii="宋体" w:hAnsi="宋体" w:eastAsia="宋体" w:cs="Times New Roman"/>
          <w:color w:val="auto"/>
          <w:sz w:val="24"/>
          <w:szCs w:val="24"/>
          <w:highlight w:val="none"/>
        </w:rPr>
        <w:t>消防设施工程专业承包二级（含）以上资质及有效的安全生产许可证，具</w:t>
      </w:r>
      <w:r>
        <w:rPr>
          <w:rFonts w:hint="eastAsia" w:ascii="宋体" w:hAnsi="宋体" w:eastAsia="宋体" w:cs="Times New Roman"/>
          <w:color w:val="auto"/>
          <w:sz w:val="24"/>
          <w:szCs w:val="24"/>
          <w:highlight w:val="none"/>
          <w:lang w:val="en-US" w:eastAsia="zh-CN"/>
        </w:rPr>
        <w:t>备</w:t>
      </w:r>
      <w:r>
        <w:rPr>
          <w:rFonts w:hint="eastAsia" w:ascii="宋体" w:hAnsi="宋体" w:eastAsia="宋体" w:cs="Times New Roman"/>
          <w:color w:val="auto"/>
          <w:sz w:val="24"/>
          <w:szCs w:val="24"/>
          <w:highlight w:val="none"/>
        </w:rPr>
        <w:t>相应的施工能力；</w:t>
      </w:r>
    </w:p>
    <w:p w14:paraId="2ED0846C">
      <w:pPr>
        <w:kinsoku/>
        <w:wordWrap w:val="0"/>
        <w:overflowPunct/>
        <w:topLinePunct w:val="0"/>
        <w:bidi w:val="0"/>
        <w:spacing w:beforeAutospacing="0" w:afterAutospacing="0" w:line="6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3.3</w:t>
      </w:r>
      <w:r>
        <w:rPr>
          <w:rFonts w:hint="eastAsia" w:ascii="宋体" w:hAnsi="宋体" w:eastAsia="宋体" w:cs="Times New Roman"/>
          <w:color w:val="auto"/>
          <w:sz w:val="24"/>
          <w:szCs w:val="24"/>
          <w:highlight w:val="none"/>
        </w:rPr>
        <w:t>、</w:t>
      </w:r>
      <w:r>
        <w:rPr>
          <w:spacing w:val="2"/>
          <w:sz w:val="24"/>
          <w:szCs w:val="24"/>
        </w:rPr>
        <w:t>拟派项目经理须具有</w:t>
      </w:r>
      <w:r>
        <w:rPr>
          <w:rFonts w:hint="eastAsia" w:ascii="宋体" w:hAnsi="宋体" w:cs="宋体"/>
          <w:sz w:val="24"/>
          <w:szCs w:val="32"/>
          <w:lang w:val="en-US" w:eastAsia="zh-CN"/>
        </w:rPr>
        <w:t>机电</w:t>
      </w:r>
      <w:r>
        <w:rPr>
          <w:rFonts w:hint="eastAsia" w:ascii="宋体" w:hAnsi="宋体" w:cs="宋体"/>
          <w:sz w:val="24"/>
          <w:szCs w:val="32"/>
          <w:lang w:eastAsia="zh-CN"/>
        </w:rPr>
        <w:t>工程</w:t>
      </w:r>
      <w:r>
        <w:rPr>
          <w:rFonts w:hint="eastAsia" w:ascii="宋体" w:hAnsi="宋体" w:cs="宋体"/>
          <w:sz w:val="24"/>
          <w:szCs w:val="32"/>
        </w:rPr>
        <w:t>专业贰级(含贰级)以上建造师资格和安全生产考核合格证</w:t>
      </w:r>
      <w:r>
        <w:rPr>
          <w:rFonts w:hint="eastAsia" w:ascii="宋体" w:hAnsi="宋体" w:eastAsia="宋体" w:cs="Times New Roman"/>
          <w:color w:val="auto"/>
          <w:sz w:val="24"/>
          <w:szCs w:val="24"/>
          <w:highlight w:val="none"/>
        </w:rPr>
        <w:t>，与投标单位签订劳动合同且未在其他在建工程项目中担任项目经理，已参加社会保险（近三个月任意一个月）；</w:t>
      </w:r>
    </w:p>
    <w:p w14:paraId="7A02B06C">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3.4、具有良好的财务状况（提供2025年度第三方审计机构出具的财务报告或自行承诺）；</w:t>
      </w:r>
    </w:p>
    <w:p w14:paraId="4E5490DE">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3.5、供应商具有依法缴纳税收和社会保障资金的良好记录（提供承诺书或近三个月企业税收证明材料）；</w:t>
      </w:r>
    </w:p>
    <w:p w14:paraId="3711100B">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3.6、参加政府采购活动前3年内在经营活动中没有骗取中标、重大违法记录、严重违约等问题。</w:t>
      </w:r>
    </w:p>
    <w:p w14:paraId="0C28DCCC">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3.7、参加政府采购活动前3年内无行贿犯罪记录，供应商出具的无行贿犯罪记录在中国裁判文书网自行查询或自行承诺（查询对象：企业、法定代表人、项目经理）；</w:t>
      </w:r>
    </w:p>
    <w:p w14:paraId="2E152112">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3.8、提供企业注册地工商管理部门出具的无商业贿赂和不正当竞争行为的查询证明（若当地工商管理部门不办理此项业务，供应商须自行出具本企业无商业贿赂和不正当竞争行为承诺书）；</w:t>
      </w:r>
    </w:p>
    <w:p w14:paraId="7042578E">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3.9、单位负责人为同一人或者存在直接控股、管理关系的不同供应商，不得参加同一合同项下的采购活动；（提供“国家企业信用信息公示系统”网页查询信息截图,查询信息应包含公司基本信息、股东信息及股权变更信息等相关信息；査询时间必须是招标公告发布以后开标时间以前，查询结果清晰可见)；</w:t>
      </w:r>
    </w:p>
    <w:p w14:paraId="14BA6C5F">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3.10、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信息截图或打印页，查询结果清晰可见)；</w:t>
      </w:r>
    </w:p>
    <w:p w14:paraId="249CD301">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3.11、本次磋商实行资格后审；</w:t>
      </w:r>
    </w:p>
    <w:p w14:paraId="538D3E63">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3.12、本项目不接受联合体投标。</w:t>
      </w:r>
    </w:p>
    <w:p w14:paraId="54F1ABE2">
      <w:pPr>
        <w:kinsoku/>
        <w:wordWrap w:val="0"/>
        <w:overflowPunct/>
        <w:topLinePunct w:val="0"/>
        <w:bidi w:val="0"/>
        <w:spacing w:beforeAutospacing="0" w:afterAutospacing="0" w:line="6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注：被列入失信被执行人、重大税收违法失信主体的企业做无效标处理。采购人或采购代理机构有权对投标人信用记录进行甄别和复查。</w:t>
      </w:r>
    </w:p>
    <w:p w14:paraId="624EAEB6">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三</w:t>
      </w:r>
      <w:r>
        <w:rPr>
          <w:rFonts w:hint="eastAsia" w:ascii="宋体" w:hAnsi="宋体" w:eastAsia="宋体"/>
          <w:color w:val="auto"/>
          <w:sz w:val="24"/>
          <w:szCs w:val="24"/>
          <w:highlight w:val="none"/>
        </w:rPr>
        <w:t>、磋商文件获取方式</w:t>
      </w:r>
    </w:p>
    <w:p w14:paraId="48FCFCD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招标文件获取方式：本项目没有报名环节，投标人凭CA数字证书通过三门峡市公共资源交易中心网（网址：http://gzjy.smx.gov.cn/），点击交易平台选择“市场主体登录”，在所参与项目右侧点击参与投标，即可直接下载本项目</w:t>
      </w:r>
      <w:r>
        <w:rPr>
          <w:rFonts w:hint="eastAsia" w:ascii="宋体" w:hAnsi="宋体" w:eastAsia="宋体"/>
          <w:color w:val="auto"/>
          <w:sz w:val="24"/>
          <w:szCs w:val="24"/>
          <w:highlight w:val="none"/>
          <w:lang w:val="en-US" w:eastAsia="zh-CN"/>
        </w:rPr>
        <w:t>竞争性磋商</w:t>
      </w:r>
      <w:r>
        <w:rPr>
          <w:rFonts w:hint="eastAsia" w:ascii="宋体" w:hAnsi="宋体" w:eastAsia="宋体"/>
          <w:color w:val="auto"/>
          <w:sz w:val="24"/>
          <w:szCs w:val="24"/>
          <w:highlight w:val="none"/>
        </w:rPr>
        <w:t>文件（招标文件中包含图纸、清单等投标所需一切内容）。</w:t>
      </w:r>
    </w:p>
    <w:p w14:paraId="2CDB9AD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办理CA证书：</w:t>
      </w: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HYPERLINK "http://gzjy.smx.gov.cn/bzzx/008001/20231102/4defc9b5-408e-47f2-9e9f-1f376a06ee1f.html"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http://gzjy.smx.gov.cn/bzzx/008001/20231102/4defc9b5-408e-47f2-9e9f-1f376a06ee1f.html</w:t>
      </w:r>
      <w:r>
        <w:rPr>
          <w:rFonts w:hint="eastAsia" w:ascii="宋体" w:hAnsi="宋体" w:eastAsia="宋体"/>
          <w:color w:val="auto"/>
          <w:sz w:val="24"/>
          <w:szCs w:val="24"/>
          <w:highlight w:val="none"/>
        </w:rPr>
        <w:fldChar w:fldCharType="end"/>
      </w:r>
    </w:p>
    <w:p w14:paraId="35B5F42B">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竞争性磋商</w:t>
      </w:r>
      <w:r>
        <w:rPr>
          <w:rFonts w:hint="eastAsia" w:ascii="宋体" w:hAnsi="宋体" w:eastAsia="宋体"/>
          <w:color w:val="auto"/>
          <w:sz w:val="24"/>
          <w:szCs w:val="24"/>
          <w:highlight w:val="none"/>
        </w:rPr>
        <w:t>文件下载时间：</w:t>
      </w:r>
      <w:r>
        <w:rPr>
          <w:rFonts w:hint="eastAsia" w:ascii="宋体" w:hAnsi="宋体" w:eastAsia="宋体"/>
          <w:color w:val="000000" w:themeColor="text1"/>
          <w:sz w:val="24"/>
          <w:szCs w:val="24"/>
          <w:highlight w:val="none"/>
          <w:lang w:val="en-US" w:eastAsia="zh-CN"/>
          <w14:textFill>
            <w14:solidFill>
              <w14:schemeClr w14:val="tx1"/>
            </w14:solidFill>
          </w14:textFill>
        </w:rPr>
        <w:t>2026</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val="en-US" w:eastAsia="zh-CN"/>
          <w14:textFill>
            <w14:solidFill>
              <w14:schemeClr w14:val="tx1"/>
            </w14:solidFill>
          </w14:textFill>
        </w:rPr>
        <w:t>05</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eastAsia="宋体"/>
          <w:color w:val="000000" w:themeColor="text1"/>
          <w:sz w:val="24"/>
          <w:szCs w:val="24"/>
          <w:highlight w:val="none"/>
          <w:lang w:val="en-US" w:eastAsia="zh-CN"/>
          <w14:textFill>
            <w14:solidFill>
              <w14:schemeClr w14:val="tx1"/>
            </w14:solidFill>
          </w14:textFill>
        </w:rPr>
        <w:t>23</w:t>
      </w:r>
      <w:r>
        <w:rPr>
          <w:rFonts w:hint="eastAsia" w:ascii="宋体" w:hAnsi="宋体" w:eastAsia="宋体"/>
          <w:color w:val="000000" w:themeColor="text1"/>
          <w:sz w:val="24"/>
          <w:szCs w:val="24"/>
          <w:highlight w:val="none"/>
          <w14:textFill>
            <w14:solidFill>
              <w14:schemeClr w14:val="tx1"/>
            </w14:solidFill>
          </w14:textFill>
        </w:rPr>
        <w:t>日</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时</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分至</w:t>
      </w:r>
      <w:r>
        <w:rPr>
          <w:rFonts w:hint="eastAsia" w:ascii="宋体" w:hAnsi="宋体" w:eastAsia="宋体"/>
          <w:color w:val="000000" w:themeColor="text1"/>
          <w:sz w:val="24"/>
          <w:szCs w:val="24"/>
          <w:highlight w:val="none"/>
          <w:lang w:val="en-US" w:eastAsia="zh-CN"/>
          <w14:textFill>
            <w14:solidFill>
              <w14:schemeClr w14:val="tx1"/>
            </w14:solidFill>
          </w14:textFill>
        </w:rPr>
        <w:t>2026</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val="en-US" w:eastAsia="zh-CN"/>
          <w14:textFill>
            <w14:solidFill>
              <w14:schemeClr w14:val="tx1"/>
            </w14:solidFill>
          </w14:textFill>
        </w:rPr>
        <w:t>06</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eastAsia="宋体"/>
          <w:color w:val="000000" w:themeColor="text1"/>
          <w:sz w:val="24"/>
          <w:szCs w:val="24"/>
          <w:highlight w:val="none"/>
          <w:lang w:val="en-US" w:eastAsia="zh-CN"/>
          <w14:textFill>
            <w14:solidFill>
              <w14:schemeClr w14:val="tx1"/>
            </w14:solidFill>
          </w14:textFill>
        </w:rPr>
        <w:t>08</w:t>
      </w:r>
      <w:r>
        <w:rPr>
          <w:rFonts w:hint="eastAsia" w:ascii="宋体" w:hAnsi="宋体" w:eastAsia="宋体"/>
          <w:color w:val="000000" w:themeColor="text1"/>
          <w:sz w:val="24"/>
          <w:szCs w:val="24"/>
          <w:highlight w:val="none"/>
          <w14:textFill>
            <w14:solidFill>
              <w14:schemeClr w14:val="tx1"/>
            </w14:solidFill>
          </w14:textFill>
        </w:rPr>
        <w:t>日</w:t>
      </w:r>
      <w:r>
        <w:rPr>
          <w:rFonts w:hint="eastAsia" w:ascii="宋体" w:hAnsi="宋体" w:eastAsia="宋体"/>
          <w:color w:val="000000" w:themeColor="text1"/>
          <w:sz w:val="24"/>
          <w:szCs w:val="24"/>
          <w:highlight w:val="none"/>
          <w:lang w:val="en-US" w:eastAsia="zh-CN"/>
          <w14:textFill>
            <w14:solidFill>
              <w14:schemeClr w14:val="tx1"/>
            </w14:solidFill>
          </w14:textFill>
        </w:rPr>
        <w:t>08</w:t>
      </w:r>
      <w:r>
        <w:rPr>
          <w:rFonts w:hint="eastAsia" w:ascii="宋体" w:hAnsi="宋体" w:eastAsia="宋体"/>
          <w:color w:val="000000" w:themeColor="text1"/>
          <w:sz w:val="24"/>
          <w:szCs w:val="24"/>
          <w:highlight w:val="none"/>
          <w14:textFill>
            <w14:solidFill>
              <w14:schemeClr w14:val="tx1"/>
            </w14:solidFill>
          </w14:textFill>
        </w:rPr>
        <w:t>时</w:t>
      </w:r>
      <w:r>
        <w:rPr>
          <w:rFonts w:hint="eastAsia" w:ascii="宋体" w:hAnsi="宋体" w:eastAsia="宋体"/>
          <w:color w:val="000000" w:themeColor="text1"/>
          <w:sz w:val="24"/>
          <w:szCs w:val="24"/>
          <w:highlight w:val="none"/>
          <w:lang w:val="en-US" w:eastAsia="zh-CN"/>
          <w14:textFill>
            <w14:solidFill>
              <w14:schemeClr w14:val="tx1"/>
            </w14:solidFill>
          </w14:textFill>
        </w:rPr>
        <w:t>40</w:t>
      </w:r>
      <w:r>
        <w:rPr>
          <w:rFonts w:hint="eastAsia" w:ascii="宋体" w:hAnsi="宋体" w:eastAsia="宋体"/>
          <w:color w:val="000000" w:themeColor="text1"/>
          <w:sz w:val="24"/>
          <w:szCs w:val="24"/>
          <w:highlight w:val="none"/>
          <w14:textFill>
            <w14:solidFill>
              <w14:schemeClr w14:val="tx1"/>
            </w14:solidFill>
          </w14:textFill>
        </w:rPr>
        <w:t>分</w:t>
      </w:r>
    </w:p>
    <w:p w14:paraId="675D7125">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3、本项目为全电子招标，不再收取招标文件费。</w:t>
      </w:r>
    </w:p>
    <w:p w14:paraId="5C86325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四</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投标人</w:t>
      </w:r>
      <w:r>
        <w:rPr>
          <w:rFonts w:hint="eastAsia" w:ascii="宋体" w:hAnsi="宋体" w:eastAsia="宋体"/>
          <w:color w:val="auto"/>
          <w:sz w:val="24"/>
          <w:szCs w:val="24"/>
          <w:highlight w:val="none"/>
        </w:rPr>
        <w:t>资料的提交</w:t>
      </w:r>
    </w:p>
    <w:p w14:paraId="7BBFF5D9">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本项目实行资格后审，审查内容以投标截止时间前在三门峡市公共资源交易系统上传的响应文件的信息为准。其上传资料真实性由</w:t>
      </w:r>
      <w:r>
        <w:rPr>
          <w:rFonts w:hint="eastAsia" w:ascii="宋体" w:hAnsi="宋体" w:eastAsia="宋体"/>
          <w:color w:val="auto"/>
          <w:sz w:val="24"/>
          <w:szCs w:val="24"/>
          <w:highlight w:val="none"/>
          <w:lang w:val="en-US" w:eastAsia="zh-CN"/>
        </w:rPr>
        <w:t>投标人</w:t>
      </w:r>
      <w:r>
        <w:rPr>
          <w:rFonts w:hint="eastAsia" w:ascii="宋体" w:hAnsi="宋体" w:eastAsia="宋体"/>
          <w:color w:val="auto"/>
          <w:sz w:val="24"/>
          <w:szCs w:val="24"/>
          <w:highlight w:val="none"/>
        </w:rPr>
        <w:t>自行承担，同时</w:t>
      </w:r>
      <w:r>
        <w:rPr>
          <w:rFonts w:hint="eastAsia" w:ascii="宋体" w:hAnsi="宋体" w:eastAsia="宋体"/>
          <w:color w:val="auto"/>
          <w:sz w:val="24"/>
          <w:szCs w:val="24"/>
          <w:highlight w:val="none"/>
          <w:lang w:val="en-US" w:eastAsia="zh-CN"/>
        </w:rPr>
        <w:t>响应人</w:t>
      </w:r>
      <w:r>
        <w:rPr>
          <w:rFonts w:hint="eastAsia" w:ascii="宋体" w:hAnsi="宋体" w:eastAsia="宋体"/>
          <w:color w:val="auto"/>
          <w:sz w:val="24"/>
          <w:szCs w:val="24"/>
          <w:highlight w:val="none"/>
        </w:rPr>
        <w:t>需要完善主体库信息。否则，由此造成应得分而未得分或资格审查不合格等情况的，由</w:t>
      </w:r>
      <w:r>
        <w:rPr>
          <w:rFonts w:hint="eastAsia" w:ascii="宋体" w:hAnsi="宋体" w:eastAsia="宋体"/>
          <w:color w:val="auto"/>
          <w:sz w:val="24"/>
          <w:szCs w:val="24"/>
          <w:highlight w:val="none"/>
          <w:lang w:val="en-US" w:eastAsia="zh-CN"/>
        </w:rPr>
        <w:t>响应人</w:t>
      </w:r>
      <w:r>
        <w:rPr>
          <w:rFonts w:hint="eastAsia" w:ascii="宋体" w:hAnsi="宋体" w:eastAsia="宋体"/>
          <w:color w:val="auto"/>
          <w:sz w:val="24"/>
          <w:szCs w:val="24"/>
          <w:highlight w:val="none"/>
        </w:rPr>
        <w:t>承担责任。</w:t>
      </w:r>
    </w:p>
    <w:p w14:paraId="5EE68D5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五</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保证金</w:t>
      </w:r>
    </w:p>
    <w:p w14:paraId="1554C85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按照《河南省财政厅关于优化政府采购营商环境有关问题的通知》（豫财购[2019]4号文）的要求本项目不再收取</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保证金。</w:t>
      </w:r>
    </w:p>
    <w:p w14:paraId="47F5F47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文件的递交截止时间及开评标地点</w:t>
      </w:r>
    </w:p>
    <w:p w14:paraId="4D380ACF">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文件递交的截止时间（开标时间</w:t>
      </w:r>
      <w:r>
        <w:rPr>
          <w:rFonts w:hint="eastAsia" w:ascii="宋体" w:hAnsi="宋体" w:eastAsia="宋体"/>
          <w:color w:val="000000" w:themeColor="text1"/>
          <w:sz w:val="24"/>
          <w:szCs w:val="24"/>
          <w:highlight w:val="none"/>
          <w14:textFill>
            <w14:solidFill>
              <w14:schemeClr w14:val="tx1"/>
            </w14:solidFill>
          </w14:textFill>
        </w:rPr>
        <w:t>）：202</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val="en-US" w:eastAsia="zh-CN"/>
          <w14:textFill>
            <w14:solidFill>
              <w14:schemeClr w14:val="tx1"/>
            </w14:solidFill>
          </w14:textFill>
        </w:rPr>
        <w:t>06</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eastAsia="宋体"/>
          <w:color w:val="000000" w:themeColor="text1"/>
          <w:sz w:val="24"/>
          <w:szCs w:val="24"/>
          <w:highlight w:val="none"/>
          <w:lang w:val="en-US" w:eastAsia="zh-CN"/>
          <w14:textFill>
            <w14:solidFill>
              <w14:schemeClr w14:val="tx1"/>
            </w14:solidFill>
          </w14:textFill>
        </w:rPr>
        <w:t>08</w:t>
      </w:r>
      <w:r>
        <w:rPr>
          <w:rFonts w:hint="eastAsia" w:ascii="宋体" w:hAnsi="宋体" w:eastAsia="宋体"/>
          <w:color w:val="000000" w:themeColor="text1"/>
          <w:sz w:val="24"/>
          <w:szCs w:val="24"/>
          <w:highlight w:val="none"/>
          <w14:textFill>
            <w14:solidFill>
              <w14:schemeClr w14:val="tx1"/>
            </w14:solidFill>
          </w14:textFill>
        </w:rPr>
        <w:t>日08时40分</w:t>
      </w:r>
    </w:p>
    <w:p w14:paraId="4FCDC22E">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2、开标地点：卢氏县公共资源交易中心四楼第</w:t>
      </w:r>
      <w:r>
        <w:rPr>
          <w:rFonts w:hint="eastAsia" w:ascii="宋体" w:hAnsi="宋体" w:eastAsia="宋体"/>
          <w:color w:val="000000" w:themeColor="text1"/>
          <w:sz w:val="24"/>
          <w:szCs w:val="24"/>
          <w:highlight w:val="none"/>
          <w:lang w:val="en-US" w:eastAsia="zh-CN"/>
          <w14:textFill>
            <w14:solidFill>
              <w14:schemeClr w14:val="tx1"/>
            </w14:solidFill>
          </w14:textFill>
        </w:rPr>
        <w:t>一</w:t>
      </w:r>
      <w:r>
        <w:rPr>
          <w:rFonts w:hint="eastAsia" w:ascii="宋体" w:hAnsi="宋体" w:eastAsia="宋体"/>
          <w:color w:val="000000" w:themeColor="text1"/>
          <w:sz w:val="24"/>
          <w:szCs w:val="24"/>
          <w:highlight w:val="none"/>
          <w14:textFill>
            <w14:solidFill>
              <w14:schemeClr w14:val="tx1"/>
            </w14:solidFill>
          </w14:textFill>
        </w:rPr>
        <w:t>开标室；</w:t>
      </w:r>
    </w:p>
    <w:p w14:paraId="155C81CE">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3、评标地点：卢氏县公共资源交易中心二楼第</w:t>
      </w:r>
      <w:r>
        <w:rPr>
          <w:rFonts w:hint="eastAsia" w:ascii="宋体" w:hAnsi="宋体" w:eastAsia="宋体"/>
          <w:color w:val="000000" w:themeColor="text1"/>
          <w:sz w:val="24"/>
          <w:szCs w:val="24"/>
          <w:highlight w:val="none"/>
          <w:lang w:val="en-US" w:eastAsia="zh-CN"/>
          <w14:textFill>
            <w14:solidFill>
              <w14:schemeClr w14:val="tx1"/>
            </w14:solidFill>
          </w14:textFill>
        </w:rPr>
        <w:t>一</w:t>
      </w:r>
      <w:r>
        <w:rPr>
          <w:rFonts w:hint="eastAsia" w:ascii="宋体" w:hAnsi="宋体" w:eastAsia="宋体"/>
          <w:color w:val="000000" w:themeColor="text1"/>
          <w:sz w:val="24"/>
          <w:szCs w:val="24"/>
          <w:highlight w:val="none"/>
          <w14:textFill>
            <w14:solidFill>
              <w14:schemeClr w14:val="tx1"/>
            </w14:solidFill>
          </w14:textFill>
        </w:rPr>
        <w:t>评标室；</w:t>
      </w:r>
    </w:p>
    <w:p w14:paraId="361F9863">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八</w:t>
      </w:r>
      <w:r>
        <w:rPr>
          <w:rFonts w:hint="eastAsia" w:ascii="宋体" w:hAnsi="宋体" w:eastAsia="宋体"/>
          <w:color w:val="000000" w:themeColor="text1"/>
          <w:sz w:val="24"/>
          <w:szCs w:val="24"/>
          <w:highlight w:val="none"/>
          <w14:textFill>
            <w14:solidFill>
              <w14:schemeClr w14:val="tx1"/>
            </w14:solidFill>
          </w14:textFill>
        </w:rPr>
        <w:t>、其他事项</w:t>
      </w:r>
    </w:p>
    <w:p w14:paraId="1DA47EB6">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1、本项目为不见面开标项目，开标当日，</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人无需到开标现场参加开标会议，</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人应当在投标截止时间前，登陆不见面开标大厅选择登陆三门峡市公共资源电子招投标系统进行登陆（网址为http://120.194.249.36:10094/BidOpening/bidopeninghallaction/hall/login）,在线准时参加开标活动并进行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文件解密等。每位</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人的解密时间为开标时间起30分钟内完成。因</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人原因未能解密、解密失败或解密超时的将被拒绝。</w:t>
      </w:r>
    </w:p>
    <w:p w14:paraId="79AE5C41">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2F7DFFF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3、评标打分部分：评标打分部分仍按照100分制原则进行，涉及到资格审查、企业荣誉、企业业绩等计分部分时，以投标单位自行上传到</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文件中的相应内容为准。</w:t>
      </w:r>
    </w:p>
    <w:p w14:paraId="1880A749">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4、在</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文件中要求</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人按照响应文件格式进行响应文件编制，在响应文件编制时，应明确将供应商企业基本情况、人员情况、财务情况、业绩情况编入</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文件，便于进行资格审查及评标打分。</w:t>
      </w:r>
    </w:p>
    <w:p w14:paraId="4152028B">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5、我单位（采购人）严格按三财购【2021】9号文要求的时限发布</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结果公告，发出</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通知书，签订采购合同，上传采购合同。</w:t>
      </w:r>
    </w:p>
    <w:p w14:paraId="5F87DD1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hint="eastAsia" w:ascii="宋体" w:hAnsi="宋体" w:eastAsia="宋体"/>
          <w:color w:val="auto"/>
          <w:sz w:val="24"/>
          <w:szCs w:val="24"/>
          <w:highlight w:val="none"/>
          <w:lang w:eastAsia="zh-CN"/>
        </w:rPr>
        <w:t>响应人</w:t>
      </w:r>
      <w:r>
        <w:rPr>
          <w:rFonts w:hint="eastAsia" w:ascii="宋体" w:hAnsi="宋体" w:eastAsia="宋体"/>
          <w:color w:val="auto"/>
          <w:sz w:val="24"/>
          <w:szCs w:val="24"/>
          <w:highlight w:val="none"/>
        </w:rPr>
        <w:t>应仔细阅读操作手册，在本公告中要求的截止时间前完成</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文件下载工作。因</w:t>
      </w:r>
      <w:r>
        <w:rPr>
          <w:rFonts w:hint="eastAsia" w:ascii="宋体" w:hAnsi="宋体" w:eastAsia="宋体"/>
          <w:color w:val="auto"/>
          <w:sz w:val="24"/>
          <w:szCs w:val="24"/>
          <w:highlight w:val="none"/>
          <w:lang w:eastAsia="zh-CN"/>
        </w:rPr>
        <w:t>响应人</w:t>
      </w:r>
      <w:r>
        <w:rPr>
          <w:rFonts w:hint="eastAsia" w:ascii="宋体" w:hAnsi="宋体" w:eastAsia="宋体"/>
          <w:color w:val="auto"/>
          <w:sz w:val="24"/>
          <w:szCs w:val="24"/>
          <w:highlight w:val="none"/>
        </w:rPr>
        <w:t>操作不当问题造成的无法下载</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文件等一切后果，由</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自行承担。</w:t>
      </w:r>
    </w:p>
    <w:p w14:paraId="6A7F43B3">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递交的响应文件不论中标与否均不予退还。</w:t>
      </w:r>
    </w:p>
    <w:p w14:paraId="44A5C8E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8、采购人不组织投标单位踏勘现场。</w:t>
      </w:r>
    </w:p>
    <w:p w14:paraId="38F71CF3">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、发布</w:t>
      </w:r>
      <w:r>
        <w:rPr>
          <w:rFonts w:hint="eastAsia" w:ascii="宋体" w:hAnsi="宋体" w:eastAsia="宋体"/>
          <w:color w:val="auto"/>
          <w:sz w:val="24"/>
          <w:szCs w:val="24"/>
          <w:highlight w:val="none"/>
          <w:lang w:val="en-US" w:eastAsia="zh-CN"/>
        </w:rPr>
        <w:t>竞争性磋商</w:t>
      </w:r>
      <w:r>
        <w:rPr>
          <w:rFonts w:hint="eastAsia" w:ascii="宋体" w:hAnsi="宋体" w:eastAsia="宋体"/>
          <w:color w:val="auto"/>
          <w:sz w:val="24"/>
          <w:szCs w:val="24"/>
          <w:highlight w:val="none"/>
        </w:rPr>
        <w:t>公告的媒介</w:t>
      </w:r>
    </w:p>
    <w:p w14:paraId="2663A92B">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auto"/>
          <w:sz w:val="24"/>
          <w:szCs w:val="24"/>
          <w:highlight w:val="none"/>
        </w:rPr>
        <w:t>本次</w:t>
      </w:r>
      <w:r>
        <w:rPr>
          <w:rFonts w:hint="eastAsia" w:ascii="宋体" w:hAnsi="宋体" w:eastAsia="宋体"/>
          <w:color w:val="000000" w:themeColor="text1"/>
          <w:sz w:val="24"/>
          <w:szCs w:val="24"/>
          <w:highlight w:val="none"/>
          <w14:textFill>
            <w14:solidFill>
              <w14:schemeClr w14:val="tx1"/>
            </w14:solidFill>
          </w14:textFill>
        </w:rPr>
        <w:t>公告在《中国采购与招标网》、《中国招标投标公共服务平台》、《河南省政府采购网》、《三门峡市公共资源交易中心网》同时发布。</w:t>
      </w:r>
    </w:p>
    <w:p w14:paraId="1973EAD7">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九</w:t>
      </w:r>
      <w:r>
        <w:rPr>
          <w:rFonts w:hint="eastAsia" w:ascii="宋体" w:hAnsi="宋体" w:eastAsia="宋体"/>
          <w:color w:val="000000" w:themeColor="text1"/>
          <w:sz w:val="24"/>
          <w:szCs w:val="24"/>
          <w:highlight w:val="none"/>
          <w14:textFill>
            <w14:solidFill>
              <w14:schemeClr w14:val="tx1"/>
            </w14:solidFill>
          </w14:textFill>
        </w:rPr>
        <w:t>、联系方式</w:t>
      </w:r>
    </w:p>
    <w:p w14:paraId="12EF0E3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监督单位：卢氏县政府采购办公室</w:t>
      </w:r>
    </w:p>
    <w:p w14:paraId="4820A219">
      <w:pPr>
        <w:kinsoku/>
        <w:wordWrap w:val="0"/>
        <w:overflowPunct/>
        <w:topLinePunct w:val="0"/>
        <w:bidi w:val="0"/>
        <w:spacing w:beforeAutospacing="0" w:afterAutospacing="0" w:line="6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联系人：郭亚楠</w:t>
      </w:r>
    </w:p>
    <w:p w14:paraId="038942FC">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en-US"/>
        </w:rPr>
      </w:pPr>
      <w:r>
        <w:rPr>
          <w:rFonts w:hint="eastAsia" w:ascii="宋体" w:hAnsi="宋体" w:eastAsia="宋体"/>
          <w:color w:val="auto"/>
          <w:sz w:val="24"/>
          <w:szCs w:val="24"/>
          <w:highlight w:val="none"/>
        </w:rPr>
        <w:t>电话：0398-7863556</w:t>
      </w:r>
      <w:bookmarkEnd w:id="18"/>
    </w:p>
    <w:p w14:paraId="0FE13690">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en-US"/>
        </w:rPr>
      </w:pPr>
      <w:r>
        <w:rPr>
          <w:rFonts w:hint="eastAsia" w:ascii="宋体" w:hAnsi="宋体" w:eastAsia="宋体"/>
          <w:color w:val="auto"/>
          <w:sz w:val="24"/>
          <w:szCs w:val="24"/>
          <w:highlight w:val="none"/>
          <w:lang w:val="en-US" w:eastAsia="en-US"/>
        </w:rPr>
        <w:t>地址：卢氏县城关镇解放路中段</w:t>
      </w:r>
    </w:p>
    <w:p w14:paraId="3F610EEA">
      <w:pPr>
        <w:kinsoku/>
        <w:wordWrap w:val="0"/>
        <w:overflowPunct/>
        <w:topLinePunct w:val="0"/>
        <w:bidi w:val="0"/>
        <w:spacing w:beforeAutospacing="0" w:afterAutospacing="0" w:line="600" w:lineRule="exact"/>
        <w:ind w:firstLine="480" w:firstLineChars="200"/>
        <w:rPr>
          <w:rFonts w:hint="default" w:ascii="宋体" w:hAnsi="宋体" w:eastAsia="宋体"/>
          <w:color w:val="auto"/>
          <w:sz w:val="24"/>
          <w:szCs w:val="24"/>
          <w:highlight w:val="none"/>
          <w:lang w:val="en-US" w:eastAsia="en-US"/>
        </w:rPr>
      </w:pPr>
      <w:r>
        <w:rPr>
          <w:rFonts w:hint="eastAsia" w:ascii="宋体" w:hAnsi="宋体" w:eastAsia="宋体"/>
          <w:color w:val="auto"/>
          <w:sz w:val="24"/>
          <w:szCs w:val="24"/>
          <w:highlight w:val="none"/>
          <w:lang w:val="en-US" w:eastAsia="en-US"/>
        </w:rPr>
        <w:t>监督单位：</w:t>
      </w:r>
      <w:r>
        <w:rPr>
          <w:rFonts w:hint="eastAsia" w:ascii="宋体" w:hAnsi="宋体" w:eastAsia="宋体"/>
          <w:color w:val="auto"/>
          <w:sz w:val="24"/>
          <w:szCs w:val="24"/>
          <w:highlight w:val="none"/>
          <w:lang w:val="en-US" w:eastAsia="zh-CN"/>
        </w:rPr>
        <w:t>卢氏县卫生健康委员会</w:t>
      </w:r>
    </w:p>
    <w:p w14:paraId="3F133F4E">
      <w:pPr>
        <w:kinsoku/>
        <w:wordWrap w:val="0"/>
        <w:overflowPunct/>
        <w:topLinePunct w:val="0"/>
        <w:bidi w:val="0"/>
        <w:spacing w:beforeAutospacing="0" w:afterAutospacing="0" w:line="600" w:lineRule="exact"/>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auto"/>
          <w:sz w:val="24"/>
          <w:szCs w:val="24"/>
          <w:highlight w:val="none"/>
          <w:lang w:val="en-US" w:eastAsia="en-US"/>
        </w:rPr>
        <w:t>联系人</w:t>
      </w:r>
      <w:r>
        <w:rPr>
          <w:rFonts w:hint="eastAsia" w:ascii="宋体" w:hAnsi="宋体" w:eastAsia="宋体"/>
          <w:color w:val="000000" w:themeColor="text1"/>
          <w:sz w:val="24"/>
          <w:szCs w:val="24"/>
          <w:highlight w:val="none"/>
          <w:lang w:val="en-US" w:eastAsia="en-US"/>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莫向阳</w:t>
      </w:r>
    </w:p>
    <w:p w14:paraId="468A35A3">
      <w:pPr>
        <w:kinsoku/>
        <w:wordWrap w:val="0"/>
        <w:overflowPunct/>
        <w:topLinePunct w:val="0"/>
        <w:bidi w:val="0"/>
        <w:spacing w:beforeAutospacing="0" w:afterAutospacing="0" w:line="600" w:lineRule="exact"/>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en-US"/>
          <w14:textFill>
            <w14:solidFill>
              <w14:schemeClr w14:val="tx1"/>
            </w14:solidFill>
          </w14:textFill>
        </w:rPr>
        <w:t>电话：0398-7181138</w:t>
      </w:r>
      <w:r>
        <w:rPr>
          <w:rFonts w:hint="eastAsia" w:ascii="宋体" w:hAnsi="宋体" w:eastAsia="宋体"/>
          <w:color w:val="000000" w:themeColor="text1"/>
          <w:sz w:val="24"/>
          <w:szCs w:val="24"/>
          <w:highlight w:val="none"/>
          <w:lang w:val="en-US" w:eastAsia="zh-CN"/>
          <w14:textFill>
            <w14:solidFill>
              <w14:schemeClr w14:val="tx1"/>
            </w14:solidFill>
          </w14:textFill>
        </w:rPr>
        <w:t>、13903987363</w:t>
      </w:r>
    </w:p>
    <w:p w14:paraId="0CEAC074">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en-US"/>
        </w:rPr>
      </w:pPr>
      <w:r>
        <w:rPr>
          <w:rFonts w:hint="eastAsia" w:ascii="宋体" w:hAnsi="宋体" w:eastAsia="宋体"/>
          <w:color w:val="auto"/>
          <w:sz w:val="24"/>
          <w:szCs w:val="24"/>
          <w:highlight w:val="none"/>
          <w:lang w:val="en-US" w:eastAsia="en-US"/>
        </w:rPr>
        <w:t>地址：卢氏县莘源西路与迎宾路交叉口</w:t>
      </w:r>
    </w:p>
    <w:p w14:paraId="0404D501">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en-US"/>
        </w:rPr>
        <w:t>采购人：</w:t>
      </w:r>
      <w:r>
        <w:rPr>
          <w:rFonts w:hint="eastAsia" w:ascii="宋体" w:hAnsi="宋体" w:eastAsia="宋体"/>
          <w:color w:val="auto"/>
          <w:sz w:val="24"/>
          <w:szCs w:val="24"/>
          <w:highlight w:val="none"/>
          <w:lang w:val="en-US" w:eastAsia="zh-CN"/>
        </w:rPr>
        <w:t>卢氏县官坡镇中心卫生院</w:t>
      </w:r>
    </w:p>
    <w:p w14:paraId="4773637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en-US"/>
        </w:rPr>
      </w:pPr>
      <w:r>
        <w:rPr>
          <w:rFonts w:hint="eastAsia" w:ascii="宋体" w:hAnsi="宋体" w:eastAsia="宋体"/>
          <w:color w:val="auto"/>
          <w:sz w:val="24"/>
          <w:szCs w:val="24"/>
          <w:highlight w:val="none"/>
          <w:lang w:val="en-US" w:eastAsia="en-US"/>
        </w:rPr>
        <w:t>联系人：陈惠超</w:t>
      </w:r>
    </w:p>
    <w:p w14:paraId="5954DE4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en-US"/>
        </w:rPr>
      </w:pPr>
      <w:r>
        <w:rPr>
          <w:rFonts w:hint="eastAsia" w:ascii="宋体" w:hAnsi="宋体" w:eastAsia="宋体"/>
          <w:color w:val="auto"/>
          <w:sz w:val="24"/>
          <w:szCs w:val="24"/>
          <w:highlight w:val="none"/>
          <w:lang w:val="en-US" w:eastAsia="en-US"/>
        </w:rPr>
        <w:t>电话：0398-7411120</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val="en-US" w:eastAsia="en-US"/>
        </w:rPr>
        <w:t>13525877771</w:t>
      </w:r>
    </w:p>
    <w:p w14:paraId="51EEE516">
      <w:pPr>
        <w:kinsoku/>
        <w:wordWrap w:val="0"/>
        <w:overflowPunct/>
        <w:topLinePunct w:val="0"/>
        <w:bidi w:val="0"/>
        <w:spacing w:beforeAutospacing="0" w:afterAutospacing="0" w:line="600" w:lineRule="exact"/>
        <w:ind w:firstLine="480" w:firstLineChars="200"/>
        <w:rPr>
          <w:rFonts w:hint="eastAsia" w:ascii="宋体" w:hAnsi="宋体" w:eastAsia="宋体" w:cs="宋体"/>
          <w:spacing w:val="6"/>
          <w:kern w:val="2"/>
          <w:sz w:val="24"/>
          <w:szCs w:val="24"/>
          <w:highlight w:val="none"/>
          <w:lang w:val="en-US" w:eastAsia="zh-CN"/>
        </w:rPr>
      </w:pPr>
      <w:r>
        <w:rPr>
          <w:rFonts w:hint="eastAsia" w:ascii="宋体" w:hAnsi="宋体" w:eastAsia="宋体"/>
          <w:color w:val="auto"/>
          <w:sz w:val="24"/>
          <w:szCs w:val="24"/>
          <w:highlight w:val="none"/>
          <w:lang w:val="en-US" w:eastAsia="en-US"/>
        </w:rPr>
        <w:t>地址：卢氏县官坡镇七里沟口</w:t>
      </w:r>
    </w:p>
    <w:p w14:paraId="4206587D">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en-US"/>
        </w:rPr>
      </w:pPr>
      <w:r>
        <w:rPr>
          <w:rFonts w:hint="eastAsia" w:ascii="宋体" w:hAnsi="宋体" w:eastAsia="宋体"/>
          <w:color w:val="auto"/>
          <w:sz w:val="24"/>
          <w:szCs w:val="24"/>
          <w:highlight w:val="none"/>
          <w:lang w:val="en-US" w:eastAsia="en-US"/>
        </w:rPr>
        <w:t>代理机构：河南立旭工程管理有限公司</w:t>
      </w:r>
    </w:p>
    <w:p w14:paraId="78A2E3ED">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en-US"/>
        </w:rPr>
      </w:pPr>
      <w:r>
        <w:rPr>
          <w:rFonts w:hint="eastAsia" w:ascii="宋体" w:hAnsi="宋体" w:eastAsia="宋体"/>
          <w:color w:val="auto"/>
          <w:sz w:val="24"/>
          <w:szCs w:val="24"/>
          <w:highlight w:val="none"/>
          <w:lang w:val="en-US" w:eastAsia="en-US"/>
        </w:rPr>
        <w:t>联系人：王珊</w:t>
      </w:r>
    </w:p>
    <w:p w14:paraId="26052B1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en-US"/>
        </w:rPr>
      </w:pPr>
      <w:r>
        <w:rPr>
          <w:rFonts w:hint="eastAsia" w:ascii="宋体" w:hAnsi="宋体" w:eastAsia="宋体"/>
          <w:color w:val="auto"/>
          <w:sz w:val="24"/>
          <w:szCs w:val="24"/>
          <w:highlight w:val="none"/>
          <w:lang w:val="en-US" w:eastAsia="en-US"/>
        </w:rPr>
        <w:t>电话：0398-7879880</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val="en-US" w:eastAsia="en-US"/>
        </w:rPr>
        <w:t>13030389566</w:t>
      </w:r>
    </w:p>
    <w:p w14:paraId="6B80503D">
      <w:pPr>
        <w:kinsoku/>
        <w:wordWrap w:val="0"/>
        <w:overflowPunct/>
        <w:topLinePunct w:val="0"/>
        <w:bidi w:val="0"/>
        <w:spacing w:beforeAutospacing="0" w:afterAutospacing="0" w:line="600" w:lineRule="exact"/>
        <w:ind w:firstLine="480" w:firstLineChars="200"/>
        <w:rPr>
          <w:rFonts w:hint="eastAsia" w:ascii="黑体" w:cs="宋体"/>
          <w:b/>
          <w:bCs w:val="0"/>
          <w:kern w:val="2"/>
          <w:sz w:val="32"/>
          <w:szCs w:val="32"/>
          <w:highlight w:val="none"/>
        </w:rPr>
      </w:pPr>
      <w:r>
        <w:rPr>
          <w:rFonts w:hint="eastAsia" w:ascii="宋体" w:hAnsi="宋体" w:eastAsia="宋体"/>
          <w:color w:val="auto"/>
          <w:sz w:val="24"/>
          <w:szCs w:val="24"/>
          <w:highlight w:val="none"/>
          <w:lang w:val="en-US" w:eastAsia="en-US"/>
        </w:rPr>
        <w:t>地址：河南省安阳市林州市黄华镇国家863科技产业园青商大厦6-33号</w:t>
      </w:r>
    </w:p>
    <w:p w14:paraId="26BAA4BF">
      <w:pPr>
        <w:rPr>
          <w:rFonts w:hint="eastAsia"/>
        </w:rPr>
      </w:pPr>
      <w:bookmarkStart w:id="19" w:name="_Toc4431"/>
      <w:bookmarkStart w:id="20" w:name="_Toc1993"/>
      <w:r>
        <w:rPr>
          <w:rFonts w:hint="eastAsia"/>
        </w:rPr>
        <w:br w:type="page"/>
      </w:r>
    </w:p>
    <w:p w14:paraId="054D1DC1">
      <w:pPr>
        <w:pStyle w:val="2"/>
        <w:bidi w:val="0"/>
        <w:rPr>
          <w:rFonts w:hint="eastAsia"/>
          <w:lang w:eastAsia="zh-CN"/>
        </w:rPr>
      </w:pPr>
      <w:r>
        <w:rPr>
          <w:rFonts w:hint="eastAsia"/>
        </w:rPr>
        <w:t xml:space="preserve">第二章    </w:t>
      </w:r>
      <w:r>
        <w:rPr>
          <w:rFonts w:hint="eastAsia"/>
          <w:lang w:eastAsia="zh-CN"/>
        </w:rPr>
        <w:t>响应人</w:t>
      </w:r>
      <w:r>
        <w:rPr>
          <w:rFonts w:hint="eastAsia"/>
        </w:rPr>
        <w:t>须知</w:t>
      </w:r>
      <w:bookmarkEnd w:id="19"/>
      <w:bookmarkEnd w:id="20"/>
    </w:p>
    <w:p w14:paraId="39CB4BE6">
      <w:pPr>
        <w:keepNext/>
        <w:keepLines/>
        <w:widowControl w:val="0"/>
        <w:kinsoku/>
        <w:wordWrap w:val="0"/>
        <w:overflowPunct/>
        <w:topLinePunct w:val="0"/>
        <w:bidi w:val="0"/>
        <w:spacing w:beforeAutospacing="0" w:afterAutospacing="0" w:line="600" w:lineRule="exact"/>
        <w:jc w:val="center"/>
        <w:outlineLvl w:val="1"/>
        <w:rPr>
          <w:rFonts w:hint="eastAsia" w:ascii="黑体" w:cs="宋体"/>
          <w:b/>
          <w:kern w:val="2"/>
          <w:sz w:val="28"/>
          <w:szCs w:val="28"/>
          <w:highlight w:val="none"/>
        </w:rPr>
      </w:pPr>
      <w:r>
        <w:rPr>
          <w:rFonts w:hint="eastAsia" w:ascii="宋体" w:hAnsi="宋体" w:cs="宋体"/>
          <w:b/>
          <w:kern w:val="2"/>
          <w:sz w:val="28"/>
          <w:szCs w:val="28"/>
          <w:highlight w:val="none"/>
          <w:lang w:eastAsia="zh-CN"/>
        </w:rPr>
        <w:t>响应人</w:t>
      </w:r>
      <w:r>
        <w:rPr>
          <w:rFonts w:hint="eastAsia" w:ascii="宋体" w:hAnsi="宋体" w:cs="宋体"/>
          <w:b/>
          <w:kern w:val="2"/>
          <w:sz w:val="28"/>
          <w:szCs w:val="28"/>
          <w:highlight w:val="none"/>
        </w:rPr>
        <w:t>须知前附表</w:t>
      </w:r>
    </w:p>
    <w:tbl>
      <w:tblPr>
        <w:tblStyle w:val="18"/>
        <w:tblpPr w:leftFromText="180" w:rightFromText="180" w:vertAnchor="text" w:horzAnchor="page" w:tblpX="1711"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26A5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278F7C85">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892CD53">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57BAA54">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编列内容</w:t>
            </w:r>
          </w:p>
        </w:tc>
      </w:tr>
      <w:tr w14:paraId="3B0E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ACE9CF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4AA1D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监督单位</w:t>
            </w:r>
            <w:r>
              <w:rPr>
                <w:rFonts w:hint="eastAsia" w:ascii="宋体" w:hAnsi="宋体" w:eastAsia="宋体" w:cs="宋体"/>
                <w:spacing w:val="6"/>
                <w:kern w:val="2"/>
                <w:sz w:val="24"/>
                <w:szCs w:val="24"/>
                <w:highlight w:val="none"/>
                <w:lang w:eastAsia="zh-CN"/>
              </w:rPr>
              <w:t>及</w:t>
            </w:r>
            <w:r>
              <w:rPr>
                <w:rFonts w:hint="eastAsia" w:ascii="宋体" w:hAnsi="宋体" w:eastAsia="宋体" w:cs="宋体"/>
                <w:spacing w:val="6"/>
                <w:kern w:val="2"/>
                <w:sz w:val="24"/>
                <w:szCs w:val="24"/>
                <w:highlight w:val="none"/>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C6993ED">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监督单位：卢氏县卫生健康委员会</w:t>
            </w:r>
          </w:p>
          <w:p w14:paraId="2C74F0C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联系人：莫向阳</w:t>
            </w:r>
          </w:p>
          <w:p w14:paraId="4735F781">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电话：0398-7181138、13903987363</w:t>
            </w:r>
          </w:p>
          <w:p w14:paraId="3C9CF05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地址：卢氏县莘源西路与迎宾路交叉口</w:t>
            </w:r>
          </w:p>
          <w:p w14:paraId="02E1E031">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采购人：卢氏县官坡镇中心卫生院</w:t>
            </w:r>
          </w:p>
          <w:p w14:paraId="56C22B4C">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联系人：陈惠超</w:t>
            </w:r>
          </w:p>
          <w:p w14:paraId="32679741">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电话：0398-7411120、13525877771</w:t>
            </w:r>
          </w:p>
          <w:p w14:paraId="7EA37FD4">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地址：卢氏县官坡镇七里沟口</w:t>
            </w:r>
          </w:p>
        </w:tc>
      </w:tr>
      <w:tr w14:paraId="7D46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65B670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724F7C1">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A381AE5">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代理机构：</w:t>
            </w:r>
            <w:r>
              <w:rPr>
                <w:rFonts w:hint="eastAsia" w:ascii="宋体" w:hAnsi="宋体" w:eastAsia="宋体" w:cs="宋体"/>
                <w:spacing w:val="6"/>
                <w:kern w:val="2"/>
                <w:sz w:val="24"/>
                <w:szCs w:val="24"/>
                <w:highlight w:val="none"/>
                <w:lang w:val="en-US" w:eastAsia="zh-CN"/>
              </w:rPr>
              <w:t>河南立旭工程管理有限公司</w:t>
            </w:r>
          </w:p>
          <w:p w14:paraId="1532BC8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联系人：王珊</w:t>
            </w:r>
          </w:p>
          <w:p w14:paraId="31AE1A4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电话：0398-7879880、13030389566</w:t>
            </w:r>
          </w:p>
          <w:p w14:paraId="3758601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lang w:val="en-US" w:eastAsia="zh-CN"/>
              </w:rPr>
              <w:t>地址：河南省安阳市林州市黄华镇国家863科技产业园青商大厦6-33号</w:t>
            </w:r>
          </w:p>
        </w:tc>
      </w:tr>
      <w:tr w14:paraId="2918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2EBADB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F0B8C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highlight w:val="none"/>
                <w14:textFill>
                  <w14:solidFill>
                    <w14:schemeClr w14:val="tx1"/>
                  </w14:solidFill>
                </w14:textFill>
              </w:rPr>
            </w:pPr>
            <w:r>
              <w:rPr>
                <w:rFonts w:hint="eastAsia" w:ascii="宋体" w:hAnsi="宋体" w:eastAsia="宋体" w:cs="宋体"/>
                <w:color w:val="000000" w:themeColor="text1"/>
                <w:spacing w:val="6"/>
                <w:kern w:val="2"/>
                <w:sz w:val="24"/>
                <w:szCs w:val="24"/>
                <w:highlight w:val="none"/>
                <w14:textFill>
                  <w14:solidFill>
                    <w14:schemeClr w14:val="tx1"/>
                  </w14:solidFill>
                </w14:textFill>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907FA62">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highlight w:val="none"/>
                <w:lang w:eastAsia="zh-CN"/>
                <w14:textFill>
                  <w14:solidFill>
                    <w14:schemeClr w14:val="tx1"/>
                  </w14:solidFill>
                </w14:textFill>
              </w:rPr>
            </w:pPr>
            <w:r>
              <w:rPr>
                <w:rFonts w:hint="eastAsia" w:ascii="宋体" w:hAnsi="宋体" w:eastAsia="宋体"/>
                <w:color w:val="auto"/>
                <w:sz w:val="24"/>
                <w:szCs w:val="24"/>
                <w:highlight w:val="none"/>
                <w:lang w:val="en-US" w:eastAsia="zh-CN"/>
              </w:rPr>
              <w:t>卢氏县官坡镇中心卫生院医养结合中心消防设施改造项目</w:t>
            </w:r>
          </w:p>
        </w:tc>
      </w:tr>
      <w:tr w14:paraId="2384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7A10732">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EC6AEF8">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highlight w:val="none"/>
                <w14:textFill>
                  <w14:solidFill>
                    <w14:schemeClr w14:val="tx1"/>
                  </w14:solidFill>
                </w14:textFill>
              </w:rPr>
            </w:pPr>
            <w:r>
              <w:rPr>
                <w:rFonts w:hint="eastAsia" w:ascii="宋体" w:hAnsi="宋体" w:eastAsia="宋体" w:cs="宋体"/>
                <w:color w:val="000000" w:themeColor="text1"/>
                <w:spacing w:val="6"/>
                <w:kern w:val="2"/>
                <w:sz w:val="24"/>
                <w:szCs w:val="24"/>
                <w:highlight w:val="none"/>
                <w14:textFill>
                  <w14:solidFill>
                    <w14:schemeClr w14:val="tx1"/>
                  </w14:solidFill>
                </w14:textFill>
              </w:rPr>
              <w:t>项目编号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58C3B3E4">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both"/>
              <w:textAlignment w:val="auto"/>
              <w:outlineLvl w:val="9"/>
              <w:rPr>
                <w:rFonts w:hint="eastAsia"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14:textFill>
                  <w14:solidFill>
                    <w14:schemeClr w14:val="tx1"/>
                  </w14:solidFill>
                </w14:textFill>
              </w:rPr>
              <w:t>三卢竞磋采购-2026-35、LSGZ[2026]089-ZC065</w:t>
            </w:r>
          </w:p>
        </w:tc>
      </w:tr>
      <w:tr w14:paraId="0011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1B7D30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CAB727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371E7D">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000000" w:themeColor="text1"/>
                <w:spacing w:val="6"/>
                <w:kern w:val="2"/>
                <w:sz w:val="24"/>
                <w:szCs w:val="24"/>
                <w:highlight w:val="none"/>
                <w:lang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卢氏县官坡镇中心卫生院</w:t>
            </w:r>
          </w:p>
        </w:tc>
      </w:tr>
      <w:tr w14:paraId="7B81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C9244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FE1DE7D">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AF7AC2F">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主要内容为卢氏县官坡镇中心卫生院医养结合中心消防设施改造。（具体内容详见工程量清单）</w:t>
            </w:r>
          </w:p>
        </w:tc>
      </w:tr>
      <w:tr w14:paraId="7BB6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75599F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91356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FFF6C8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竞争性磋商</w:t>
            </w:r>
          </w:p>
        </w:tc>
      </w:tr>
      <w:tr w14:paraId="74E1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3FDF48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94ABFB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kern w:val="2"/>
                <w:sz w:val="24"/>
                <w:szCs w:val="24"/>
                <w:highlight w:val="none"/>
                <w:lang w:val="en-US" w:eastAsia="zh-CN"/>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CE6C67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达到国家现行建设工程施工质量验收规范合格</w:t>
            </w:r>
            <w:r>
              <w:rPr>
                <w:rFonts w:hint="eastAsia" w:ascii="宋体" w:hAnsi="宋体" w:eastAsia="宋体" w:cs="宋体"/>
                <w:spacing w:val="6"/>
                <w:kern w:val="2"/>
                <w:sz w:val="24"/>
                <w:szCs w:val="24"/>
                <w:highlight w:val="none"/>
                <w:lang w:eastAsia="zh-CN"/>
              </w:rPr>
              <w:t>标准</w:t>
            </w:r>
          </w:p>
        </w:tc>
      </w:tr>
      <w:tr w14:paraId="136C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151A83C">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0ACFB4D">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6F5C53E">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highlight w:val="none"/>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50日历天</w:t>
            </w:r>
          </w:p>
        </w:tc>
      </w:tr>
      <w:tr w14:paraId="5093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7D35CF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BD72CC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资金来源</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E781E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rPr>
              <w:t>自筹资金，已落实</w:t>
            </w:r>
          </w:p>
        </w:tc>
      </w:tr>
      <w:tr w14:paraId="2EB8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F00C40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6C60F7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建设地点</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FD52B1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卢氏县</w:t>
            </w:r>
            <w:r>
              <w:rPr>
                <w:rFonts w:hint="eastAsia" w:ascii="宋体" w:hAnsi="宋体" w:eastAsia="宋体"/>
                <w:color w:val="auto"/>
                <w:sz w:val="24"/>
                <w:szCs w:val="24"/>
                <w:highlight w:val="none"/>
                <w:lang w:val="en-US" w:eastAsia="zh-CN"/>
              </w:rPr>
              <w:t>官坡镇中心卫生院</w:t>
            </w:r>
            <w:r>
              <w:rPr>
                <w:rFonts w:hint="eastAsia" w:ascii="宋体" w:hAnsi="宋体" w:eastAsia="宋体" w:cs="宋体"/>
                <w:color w:val="auto"/>
                <w:spacing w:val="6"/>
                <w:kern w:val="2"/>
                <w:sz w:val="24"/>
                <w:szCs w:val="24"/>
                <w:highlight w:val="none"/>
                <w:lang w:val="en-US" w:eastAsia="zh-CN"/>
              </w:rPr>
              <w:t xml:space="preserve">   </w:t>
            </w:r>
          </w:p>
        </w:tc>
      </w:tr>
      <w:tr w14:paraId="49D6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C3E44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BEEBCA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default" w:ascii="宋体" w:hAnsi="宋体" w:eastAsia="宋体" w:cs="宋体"/>
                <w:kern w:val="2"/>
                <w:sz w:val="24"/>
                <w:szCs w:val="24"/>
                <w:highlight w:val="none"/>
                <w:lang w:val="en-US" w:eastAsia="zh-CN"/>
              </w:rPr>
            </w:pPr>
            <w:r>
              <w:rPr>
                <w:rFonts w:hint="eastAsia" w:ascii="宋体" w:hAnsi="宋体" w:eastAsia="宋体" w:cs="宋体"/>
                <w:sz w:val="24"/>
                <w:szCs w:val="24"/>
                <w:highlight w:val="none"/>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48EF2C9">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val="en-US" w:eastAsia="zh-CN"/>
              </w:rPr>
              <w:t>718371.81元</w:t>
            </w:r>
          </w:p>
          <w:p w14:paraId="580EFDAB">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highlight w:val="none"/>
              </w:rPr>
              <w:t>招标控制价是采购人控制招标工程造价的最高限价</w:t>
            </w:r>
            <w:r>
              <w:rPr>
                <w:rFonts w:hint="eastAsia" w:ascii="宋体" w:hAnsi="宋体" w:eastAsia="宋体" w:cs="宋体"/>
                <w:spacing w:val="1"/>
                <w:sz w:val="24"/>
                <w:highlight w:val="none"/>
              </w:rPr>
              <w:t>，</w:t>
            </w:r>
            <w:r>
              <w:rPr>
                <w:rFonts w:hint="eastAsia" w:ascii="宋体" w:hAnsi="宋体" w:eastAsia="宋体" w:cs="宋体"/>
                <w:sz w:val="24"/>
                <w:highlight w:val="none"/>
              </w:rPr>
              <w:t>高于招标控制价的其磋商将被否决。一次报价和最终报价高于招标控制价的其磋商将被否决。</w:t>
            </w:r>
          </w:p>
        </w:tc>
      </w:tr>
      <w:tr w14:paraId="2BBA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07D347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18ED0A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30C52C">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竞争性磋商文件、工程量清单范围内的所有内容</w:t>
            </w:r>
          </w:p>
        </w:tc>
      </w:tr>
      <w:tr w14:paraId="1F16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597323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rPr>
              <w:t>1</w:t>
            </w:r>
            <w:r>
              <w:rPr>
                <w:rFonts w:hint="eastAsia" w:ascii="宋体" w:hAnsi="宋体" w:eastAsia="宋体" w:cs="宋体"/>
                <w:spacing w:val="6"/>
                <w:kern w:val="2"/>
                <w:sz w:val="24"/>
                <w:szCs w:val="24"/>
                <w:highlight w:val="none"/>
                <w:lang w:val="en-US" w:eastAsia="zh-CN"/>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CE9C08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40"/>
                <w:kern w:val="2"/>
                <w:sz w:val="24"/>
                <w:szCs w:val="24"/>
                <w:highlight w:val="none"/>
              </w:rPr>
            </w:pP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1340FEF">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kern w:val="2"/>
                <w:sz w:val="24"/>
                <w:szCs w:val="24"/>
                <w:highlight w:val="none"/>
              </w:rPr>
            </w:pPr>
            <w:r>
              <w:rPr>
                <w:rFonts w:hint="eastAsia" w:ascii="宋体" w:hAnsi="宋体" w:eastAsia="宋体" w:cs="宋体"/>
                <w:spacing w:val="6"/>
                <w:kern w:val="2"/>
                <w:sz w:val="24"/>
                <w:szCs w:val="24"/>
                <w:highlight w:val="none"/>
              </w:rPr>
              <w:t>具体详见公告部分</w:t>
            </w:r>
          </w:p>
        </w:tc>
      </w:tr>
      <w:tr w14:paraId="0E20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10AC40">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firstLine="252" w:firstLineChars="10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414B605">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AAA6E4D">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具体详见公告部分</w:t>
            </w:r>
          </w:p>
        </w:tc>
      </w:tr>
      <w:tr w14:paraId="0738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328695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E29E49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1A58F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不接受</w:t>
            </w:r>
          </w:p>
        </w:tc>
      </w:tr>
      <w:tr w14:paraId="050C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4B670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32111B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077608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不组织</w:t>
            </w:r>
          </w:p>
        </w:tc>
      </w:tr>
      <w:tr w14:paraId="3637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3342B0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2F8FD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CC8423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不召开</w:t>
            </w:r>
          </w:p>
        </w:tc>
      </w:tr>
      <w:tr w14:paraId="4896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E997A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E3418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7775CD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不允许</w:t>
            </w:r>
          </w:p>
        </w:tc>
      </w:tr>
      <w:tr w14:paraId="0152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BD72E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F1BEA8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4295BC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否</w:t>
            </w:r>
          </w:p>
        </w:tc>
      </w:tr>
      <w:tr w14:paraId="52B1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0487A2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118C6D7">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CC7D4A">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不允许</w:t>
            </w:r>
          </w:p>
        </w:tc>
      </w:tr>
      <w:tr w14:paraId="3075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7947D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w:t>
            </w:r>
            <w:r>
              <w:rPr>
                <w:rFonts w:hint="eastAsia" w:ascii="宋体" w:hAnsi="宋体" w:cs="宋体"/>
                <w:spacing w:val="6"/>
                <w:kern w:val="2"/>
                <w:sz w:val="24"/>
                <w:szCs w:val="24"/>
                <w:highlight w:val="none"/>
                <w:lang w:val="en-US" w:eastAsia="zh-CN"/>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B140BF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409EF3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20</w:t>
            </w:r>
            <w:r>
              <w:rPr>
                <w:rFonts w:hint="eastAsia" w:ascii="宋体" w:hAnsi="宋体" w:cs="宋体"/>
                <w:spacing w:val="-10"/>
                <w:kern w:val="2"/>
                <w:sz w:val="24"/>
                <w:szCs w:val="24"/>
                <w:highlight w:val="none"/>
                <w:lang w:val="en-US" w:eastAsia="zh-CN"/>
              </w:rPr>
              <w:t>23</w:t>
            </w:r>
            <w:r>
              <w:rPr>
                <w:rFonts w:hint="eastAsia" w:ascii="宋体" w:hAnsi="宋体" w:eastAsia="宋体" w:cs="宋体"/>
                <w:spacing w:val="-10"/>
                <w:kern w:val="2"/>
                <w:sz w:val="24"/>
                <w:szCs w:val="24"/>
                <w:highlight w:val="none"/>
              </w:rPr>
              <w:t>年01月01日以来完成类似项目</w:t>
            </w:r>
            <w:r>
              <w:rPr>
                <w:rFonts w:hint="eastAsia" w:ascii="宋体" w:hAnsi="宋体" w:cs="宋体"/>
                <w:kern w:val="0"/>
                <w:sz w:val="24"/>
                <w:szCs w:val="24"/>
                <w:highlight w:val="none"/>
              </w:rPr>
              <w:t>（以合同签订日期为准）</w:t>
            </w:r>
          </w:p>
        </w:tc>
      </w:tr>
      <w:tr w14:paraId="714D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80E2A9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A1D7B02">
            <w:pPr>
              <w:keepNext w:val="0"/>
              <w:keepLines w:val="0"/>
              <w:pageBreakBefore w:val="0"/>
              <w:kinsoku/>
              <w:wordWrap w:val="0"/>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cs="宋体"/>
                <w:sz w:val="24"/>
                <w:highlight w:val="none"/>
              </w:rPr>
              <w:t>构成</w:t>
            </w:r>
            <w:r>
              <w:rPr>
                <w:rFonts w:hint="eastAsia" w:ascii="宋体" w:hAnsi="宋体" w:cs="宋体"/>
                <w:sz w:val="24"/>
                <w:highlight w:val="none"/>
                <w:lang w:eastAsia="zh-CN"/>
              </w:rPr>
              <w:t>磋商</w:t>
            </w:r>
            <w:r>
              <w:rPr>
                <w:rFonts w:hint="eastAsia" w:ascii="宋体" w:hAnsi="宋体" w:cs="宋体"/>
                <w:sz w:val="24"/>
                <w:highlight w:val="none"/>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00F81EA">
            <w:pPr>
              <w:keepNext w:val="0"/>
              <w:keepLines w:val="0"/>
              <w:pageBreakBefore w:val="0"/>
              <w:kinsoku/>
              <w:wordWrap w:val="0"/>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cs="宋体"/>
                <w:sz w:val="24"/>
                <w:highlight w:val="none"/>
              </w:rPr>
              <w:t>对</w:t>
            </w:r>
            <w:r>
              <w:rPr>
                <w:rFonts w:hint="eastAsia" w:ascii="宋体" w:hAnsi="宋体" w:cs="宋体"/>
                <w:sz w:val="24"/>
                <w:highlight w:val="none"/>
                <w:lang w:eastAsia="zh-CN"/>
              </w:rPr>
              <w:t>磋商</w:t>
            </w:r>
            <w:r>
              <w:rPr>
                <w:rFonts w:hint="eastAsia" w:ascii="宋体" w:hAnsi="宋体" w:cs="宋体"/>
                <w:sz w:val="24"/>
                <w:highlight w:val="none"/>
              </w:rPr>
              <w:t>文件所作的澄清（含答疑）、修改，补充构成</w:t>
            </w:r>
            <w:r>
              <w:rPr>
                <w:rFonts w:hint="eastAsia" w:ascii="宋体" w:hAnsi="宋体" w:cs="宋体"/>
                <w:sz w:val="24"/>
                <w:highlight w:val="none"/>
                <w:lang w:eastAsia="zh-CN"/>
              </w:rPr>
              <w:t>磋商</w:t>
            </w:r>
            <w:r>
              <w:rPr>
                <w:rFonts w:hint="eastAsia" w:ascii="宋体" w:hAnsi="宋体" w:cs="宋体"/>
                <w:sz w:val="24"/>
                <w:highlight w:val="none"/>
              </w:rPr>
              <w:t>文件的组成部分</w:t>
            </w:r>
          </w:p>
        </w:tc>
      </w:tr>
      <w:tr w14:paraId="49A7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9B69F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D3AEBC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rPr>
            </w:pPr>
            <w:r>
              <w:rPr>
                <w:rFonts w:hint="eastAsia" w:ascii="宋体" w:hAnsi="宋体" w:eastAsia="宋体" w:cs="宋体"/>
                <w:spacing w:val="-10"/>
                <w:kern w:val="2"/>
                <w:sz w:val="24"/>
                <w:szCs w:val="24"/>
                <w:highlight w:val="none"/>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13BCCB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rPr>
            </w:pPr>
            <w:r>
              <w:rPr>
                <w:rFonts w:hint="eastAsia" w:ascii="宋体" w:hAnsi="宋体" w:eastAsia="宋体" w:cs="宋体"/>
                <w:spacing w:val="-10"/>
                <w:kern w:val="2"/>
                <w:sz w:val="24"/>
                <w:szCs w:val="24"/>
                <w:highlight w:val="none"/>
              </w:rPr>
              <w:t>近3年，指20</w:t>
            </w:r>
            <w:r>
              <w:rPr>
                <w:rFonts w:hint="eastAsia" w:ascii="宋体" w:hAnsi="宋体" w:cs="宋体"/>
                <w:spacing w:val="-10"/>
                <w:kern w:val="2"/>
                <w:sz w:val="24"/>
                <w:szCs w:val="24"/>
                <w:highlight w:val="none"/>
                <w:lang w:val="en-US" w:eastAsia="zh-CN"/>
              </w:rPr>
              <w:t>23</w:t>
            </w:r>
            <w:r>
              <w:rPr>
                <w:rFonts w:hint="eastAsia" w:ascii="宋体" w:hAnsi="宋体" w:eastAsia="宋体" w:cs="宋体"/>
                <w:spacing w:val="-10"/>
                <w:kern w:val="2"/>
                <w:sz w:val="24"/>
                <w:szCs w:val="24"/>
                <w:highlight w:val="none"/>
              </w:rPr>
              <w:t>年1月1日以来</w:t>
            </w:r>
          </w:p>
        </w:tc>
      </w:tr>
      <w:tr w14:paraId="57C6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5A1664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3157C38">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3AE8571">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响应文件递交截止时间5日前</w:t>
            </w:r>
          </w:p>
        </w:tc>
      </w:tr>
      <w:tr w14:paraId="08C7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13870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86011BE">
            <w:pPr>
              <w:keepNext w:val="0"/>
              <w:keepLines w:val="0"/>
              <w:pageBreakBefore w:val="0"/>
              <w:kinsoku/>
              <w:wordWrap w:val="0"/>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响应文件递</w:t>
            </w:r>
          </w:p>
          <w:p w14:paraId="1DC07C87">
            <w:pPr>
              <w:keepNext w:val="0"/>
              <w:keepLines w:val="0"/>
              <w:pageBreakBefore w:val="0"/>
              <w:kinsoku/>
              <w:wordWrap w:val="0"/>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0AE3651">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pacing w:val="6"/>
                <w:kern w:val="2"/>
                <w:sz w:val="24"/>
                <w:szCs w:val="24"/>
                <w:highlight w:val="none"/>
              </w:rPr>
              <w:t>具体详见公告部分</w:t>
            </w:r>
          </w:p>
        </w:tc>
      </w:tr>
      <w:tr w14:paraId="5687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63738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797785B">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042C5E">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0CB5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BEAD3E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D4D5CD">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14EB54E">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w:t>
            </w:r>
          </w:p>
        </w:tc>
      </w:tr>
      <w:tr w14:paraId="408E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7BDB46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w:t>
            </w:r>
            <w:r>
              <w:rPr>
                <w:rFonts w:hint="eastAsia" w:ascii="宋体" w:hAnsi="宋体" w:cs="宋体"/>
                <w:spacing w:val="6"/>
                <w:kern w:val="2"/>
                <w:sz w:val="24"/>
                <w:szCs w:val="24"/>
                <w:highlight w:val="none"/>
                <w:lang w:val="en-US" w:eastAsia="zh-CN"/>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9B710E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cs="宋体"/>
                <w:spacing w:val="-10"/>
                <w:kern w:val="2"/>
                <w:sz w:val="24"/>
                <w:szCs w:val="24"/>
                <w:highlight w:val="none"/>
                <w:lang w:eastAsia="zh-CN"/>
              </w:rPr>
              <w:t>响应</w:t>
            </w:r>
            <w:r>
              <w:rPr>
                <w:rFonts w:hint="eastAsia" w:ascii="宋体" w:hAnsi="宋体" w:eastAsia="宋体" w:cs="宋体"/>
                <w:spacing w:val="-10"/>
                <w:kern w:val="2"/>
                <w:sz w:val="24"/>
                <w:szCs w:val="24"/>
                <w:highlight w:val="none"/>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8D2A11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否</w:t>
            </w:r>
          </w:p>
        </w:tc>
      </w:tr>
      <w:tr w14:paraId="6504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CDC8FD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FBCB4B">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是否允许递交备选磋商方案</w:t>
            </w:r>
            <w:r>
              <w:rPr>
                <w:rFonts w:hint="eastAsia" w:ascii="宋体" w:hAnsi="宋体" w:eastAsia="宋体" w:cs="宋体"/>
                <w:spacing w:val="6"/>
                <w:kern w:val="2"/>
                <w:sz w:val="24"/>
                <w:szCs w:val="24"/>
                <w:highlight w:val="none"/>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31C3CD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不允许</w:t>
            </w:r>
          </w:p>
        </w:tc>
      </w:tr>
      <w:tr w14:paraId="4DA6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667DCD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EF5D26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spacing w:val="6"/>
                <w:kern w:val="2"/>
                <w:sz w:val="24"/>
                <w:szCs w:val="24"/>
                <w:highlight w:val="none"/>
              </w:rPr>
              <w:t>竞争性磋商有效</w:t>
            </w:r>
            <w:r>
              <w:rPr>
                <w:rFonts w:hint="eastAsia" w:ascii="宋体" w:hAnsi="宋体" w:eastAsia="宋体" w:cs="宋体"/>
                <w:kern w:val="2"/>
                <w:sz w:val="24"/>
                <w:szCs w:val="24"/>
                <w:highlight w:val="none"/>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C9D000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u w:val="single"/>
              </w:rPr>
              <w:t>60</w:t>
            </w:r>
            <w:r>
              <w:rPr>
                <w:rFonts w:hint="eastAsia" w:ascii="宋体" w:hAnsi="宋体" w:eastAsia="宋体" w:cs="宋体"/>
                <w:spacing w:val="6"/>
                <w:kern w:val="2"/>
                <w:sz w:val="24"/>
                <w:szCs w:val="24"/>
                <w:highlight w:val="none"/>
              </w:rPr>
              <w:t>日历天(</w:t>
            </w:r>
            <w:r>
              <w:rPr>
                <w:rFonts w:hint="eastAsia" w:ascii="宋体" w:hAnsi="宋体" w:eastAsia="宋体" w:cs="宋体"/>
                <w:spacing w:val="-3"/>
                <w:kern w:val="2"/>
                <w:sz w:val="24"/>
                <w:szCs w:val="24"/>
                <w:highlight w:val="none"/>
              </w:rPr>
              <w:t>指本次采购项目递交响应性文件截止之日起</w:t>
            </w:r>
            <w:r>
              <w:rPr>
                <w:rFonts w:hint="eastAsia" w:ascii="宋体" w:hAnsi="宋体" w:eastAsia="宋体" w:cs="宋体"/>
                <w:spacing w:val="6"/>
                <w:kern w:val="2"/>
                <w:sz w:val="24"/>
                <w:szCs w:val="24"/>
                <w:highlight w:val="none"/>
              </w:rPr>
              <w:t>)</w:t>
            </w:r>
          </w:p>
        </w:tc>
      </w:tr>
      <w:tr w14:paraId="04D1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0C56D7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1AC223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22785A5">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eastAsiaTheme="minorEastAsia"/>
                <w:spacing w:val="6"/>
                <w:kern w:val="2"/>
                <w:sz w:val="24"/>
                <w:szCs w:val="24"/>
                <w:highlight w:val="none"/>
                <w:lang w:val="en-US" w:eastAsia="zh-CN"/>
              </w:rPr>
            </w:pPr>
            <w:r>
              <w:rPr>
                <w:rFonts w:hint="eastAsia" w:ascii="宋体" w:hAnsi="宋体" w:cs="宋体"/>
                <w:sz w:val="24"/>
                <w:highlight w:val="none"/>
              </w:rPr>
              <w:t>按照《河南省财政厅关于优化政府采购营商环境有关问题的通知》（豫财购[2019]4号文）的要求本项目不再收取</w:t>
            </w:r>
            <w:r>
              <w:rPr>
                <w:rFonts w:hint="eastAsia" w:ascii="宋体" w:hAnsi="宋体" w:cs="宋体"/>
                <w:sz w:val="24"/>
                <w:highlight w:val="none"/>
                <w:lang w:eastAsia="zh-CN"/>
              </w:rPr>
              <w:t>磋商</w:t>
            </w:r>
            <w:r>
              <w:rPr>
                <w:rFonts w:hint="eastAsia" w:ascii="宋体" w:hAnsi="宋体" w:cs="宋体"/>
                <w:sz w:val="24"/>
                <w:highlight w:val="none"/>
              </w:rPr>
              <w:t>保证金</w:t>
            </w:r>
            <w:r>
              <w:rPr>
                <w:rFonts w:hint="eastAsia" w:ascii="宋体" w:hAnsi="宋体" w:cs="宋体"/>
                <w:sz w:val="24"/>
                <w:highlight w:val="none"/>
                <w:lang w:eastAsia="zh-CN"/>
              </w:rPr>
              <w:t>。</w:t>
            </w:r>
          </w:p>
        </w:tc>
      </w:tr>
      <w:tr w14:paraId="45D6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065EB9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40FE43A">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sz w:val="24"/>
                <w:szCs w:val="24"/>
                <w:highlight w:val="none"/>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8598E49">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电子化响应文件的签章：</w:t>
            </w:r>
          </w:p>
          <w:p w14:paraId="64BB7509">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1、响应人在生成电子化响应文件后，应对电子化响应文件进行签章，未对电子化响应文件进行签章的视为无效</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w:t>
            </w:r>
          </w:p>
          <w:p w14:paraId="687D1F72">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2、竞争性磋商文件中要求法定代表人或授权委托人盖章的，响应人在进行电子化响应文件签章时，以签盖法定代表人签章为准。</w:t>
            </w:r>
          </w:p>
          <w:p w14:paraId="1C78462D">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sz w:val="24"/>
                <w:highlight w:val="none"/>
              </w:rPr>
            </w:pPr>
            <w:r>
              <w:rPr>
                <w:rFonts w:hint="eastAsia" w:ascii="宋体" w:hAnsi="宋体" w:eastAsia="宋体" w:cs="宋体"/>
                <w:sz w:val="24"/>
                <w:szCs w:val="24"/>
                <w:highlight w:val="none"/>
              </w:rPr>
              <w:t>3、电子化响应文件工具请点击</w:t>
            </w:r>
            <w:r>
              <w:rPr>
                <w:rFonts w:ascii="宋体" w:hAnsi="宋体" w:eastAsia="宋体" w:cs="宋体"/>
                <w:sz w:val="24"/>
                <w:szCs w:val="24"/>
                <w:highlight w:val="none"/>
              </w:rPr>
              <w:t>https://download.bqpoint.com/download/downloadlist.html?SoftTypeCode=06</w:t>
            </w:r>
            <w:r>
              <w:rPr>
                <w:rFonts w:hint="eastAsia" w:ascii="宋体" w:hAnsi="宋体" w:eastAsia="宋体" w:cs="宋体"/>
                <w:sz w:val="24"/>
                <w:szCs w:val="24"/>
                <w:highlight w:val="none"/>
              </w:rPr>
              <w:t>进行下载。</w:t>
            </w:r>
          </w:p>
        </w:tc>
      </w:tr>
      <w:tr w14:paraId="7024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55DA52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DFF34E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响应文件</w:t>
            </w:r>
            <w:r>
              <w:rPr>
                <w:rFonts w:ascii="宋体" w:hAnsi="宋体" w:cs="宋体"/>
                <w:spacing w:val="6"/>
                <w:kern w:val="2"/>
                <w:sz w:val="24"/>
                <w:szCs w:val="24"/>
                <w:highlight w:val="none"/>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5D8C69A">
            <w:pPr>
              <w:widowControl w:val="0"/>
              <w:kinsoku/>
              <w:wordWrap w:val="0"/>
              <w:overflowPunct/>
              <w:topLinePunct w:val="0"/>
              <w:bidi w:val="0"/>
              <w:spacing w:line="360" w:lineRule="auto"/>
              <w:jc w:val="both"/>
              <w:rPr>
                <w:rFonts w:hint="eastAsia" w:ascii="宋体" w:hAnsi="宋体" w:eastAsia="宋体" w:cs="宋体"/>
                <w:spacing w:val="6"/>
                <w:kern w:val="2"/>
                <w:sz w:val="24"/>
                <w:szCs w:val="24"/>
                <w:highlight w:val="none"/>
                <w:lang w:val="en-US" w:eastAsia="zh-CN" w:bidi="ar-SA"/>
              </w:rPr>
            </w:pPr>
            <w:r>
              <w:rPr>
                <w:rFonts w:hint="eastAsia" w:ascii="宋体" w:hAnsi="宋体" w:cs="宋体"/>
                <w:spacing w:val="6"/>
                <w:kern w:val="2"/>
                <w:sz w:val="24"/>
                <w:szCs w:val="24"/>
                <w:highlight w:val="none"/>
              </w:rPr>
              <w:t>用CA在电子平台上传电子</w:t>
            </w:r>
            <w:r>
              <w:rPr>
                <w:rFonts w:hint="eastAsia" w:ascii="宋体" w:hAnsi="宋体" w:cs="宋体"/>
                <w:spacing w:val="6"/>
                <w:kern w:val="2"/>
                <w:sz w:val="24"/>
                <w:szCs w:val="24"/>
                <w:highlight w:val="none"/>
                <w:lang w:eastAsia="zh-CN"/>
              </w:rPr>
              <w:t>响应</w:t>
            </w:r>
            <w:r>
              <w:rPr>
                <w:rFonts w:hint="eastAsia" w:ascii="宋体" w:hAnsi="宋体" w:cs="宋体"/>
                <w:spacing w:val="6"/>
                <w:kern w:val="2"/>
                <w:sz w:val="24"/>
                <w:szCs w:val="24"/>
                <w:highlight w:val="none"/>
              </w:rPr>
              <w:t>文件</w:t>
            </w:r>
          </w:p>
        </w:tc>
      </w:tr>
      <w:tr w14:paraId="673D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DCDF9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EE5217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pacing w:val="-10"/>
                <w:kern w:val="2"/>
                <w:sz w:val="24"/>
                <w:szCs w:val="24"/>
                <w:highlight w:val="none"/>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9398F1F">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具体详见</w:t>
            </w:r>
            <w:r>
              <w:rPr>
                <w:rFonts w:hint="eastAsia" w:ascii="宋体" w:hAnsi="宋体" w:eastAsia="宋体" w:cs="宋体"/>
                <w:spacing w:val="6"/>
                <w:kern w:val="2"/>
                <w:sz w:val="24"/>
                <w:szCs w:val="24"/>
                <w:highlight w:val="none"/>
                <w:lang w:val="en-US" w:eastAsia="zh-CN"/>
              </w:rPr>
              <w:t>磋商</w:t>
            </w:r>
            <w:r>
              <w:rPr>
                <w:rFonts w:hint="eastAsia" w:ascii="宋体" w:hAnsi="宋体" w:eastAsia="宋体" w:cs="宋体"/>
                <w:spacing w:val="6"/>
                <w:kern w:val="2"/>
                <w:sz w:val="24"/>
                <w:szCs w:val="24"/>
                <w:highlight w:val="none"/>
              </w:rPr>
              <w:t>公告部分</w:t>
            </w:r>
          </w:p>
        </w:tc>
      </w:tr>
      <w:tr w14:paraId="408A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77BA4F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0C0633">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0217AA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磋商小组成员为3人，采购人代表1人，其余专家2人</w:t>
            </w:r>
            <w:r>
              <w:rPr>
                <w:rFonts w:hint="eastAsia" w:ascii="宋体" w:hAnsi="宋体" w:cs="宋体"/>
                <w:spacing w:val="6"/>
                <w:kern w:val="2"/>
                <w:sz w:val="24"/>
                <w:szCs w:val="24"/>
                <w:highlight w:val="none"/>
                <w:lang w:eastAsia="zh-CN"/>
              </w:rPr>
              <w:t>，</w:t>
            </w:r>
            <w:r>
              <w:rPr>
                <w:rFonts w:hint="eastAsia" w:ascii="宋体" w:hAnsi="宋体" w:eastAsia="宋体" w:cs="宋体"/>
                <w:spacing w:val="6"/>
                <w:kern w:val="2"/>
                <w:sz w:val="24"/>
                <w:szCs w:val="24"/>
                <w:highlight w:val="none"/>
                <w:lang w:eastAsia="zh-CN"/>
              </w:rPr>
              <w:t>开标后</w:t>
            </w:r>
            <w:r>
              <w:rPr>
                <w:rFonts w:hint="eastAsia" w:ascii="宋体" w:hAnsi="宋体" w:cs="宋体"/>
                <w:spacing w:val="6"/>
                <w:kern w:val="2"/>
                <w:sz w:val="24"/>
                <w:szCs w:val="24"/>
                <w:highlight w:val="none"/>
                <w:lang w:eastAsia="zh-CN"/>
              </w:rPr>
              <w:t>在</w:t>
            </w:r>
            <w:r>
              <w:rPr>
                <w:rFonts w:hint="eastAsia" w:ascii="宋体" w:hAnsi="宋体" w:cs="宋体"/>
                <w:spacing w:val="6"/>
                <w:kern w:val="2"/>
                <w:sz w:val="24"/>
                <w:szCs w:val="24"/>
                <w:highlight w:val="none"/>
                <w:lang w:val="en-US" w:eastAsia="zh-CN"/>
              </w:rPr>
              <w:t>三门峡市</w:t>
            </w:r>
            <w:r>
              <w:rPr>
                <w:rFonts w:hint="eastAsia" w:ascii="宋体" w:hAnsi="宋体" w:cs="宋体"/>
                <w:spacing w:val="6"/>
                <w:kern w:val="2"/>
                <w:sz w:val="24"/>
                <w:szCs w:val="24"/>
                <w:highlight w:val="none"/>
                <w:lang w:eastAsia="zh-CN"/>
              </w:rPr>
              <w:t>卢氏</w:t>
            </w:r>
            <w:r>
              <w:rPr>
                <w:rFonts w:hint="eastAsia" w:ascii="宋体" w:hAnsi="宋体" w:cs="宋体"/>
                <w:spacing w:val="6"/>
                <w:kern w:val="2"/>
                <w:sz w:val="24"/>
                <w:szCs w:val="24"/>
                <w:highlight w:val="none"/>
                <w:lang w:val="en-US" w:eastAsia="zh-CN"/>
              </w:rPr>
              <w:t>县抽取</w:t>
            </w:r>
            <w:r>
              <w:rPr>
                <w:rFonts w:hint="eastAsia" w:ascii="宋体" w:hAnsi="宋体" w:cs="宋体"/>
                <w:spacing w:val="6"/>
                <w:kern w:val="2"/>
                <w:sz w:val="24"/>
                <w:szCs w:val="24"/>
                <w:highlight w:val="none"/>
                <w:lang w:eastAsia="zh-CN"/>
              </w:rPr>
              <w:t>终端</w:t>
            </w:r>
            <w:r>
              <w:rPr>
                <w:rFonts w:hint="eastAsia" w:ascii="宋体" w:hAnsi="宋体" w:eastAsia="宋体" w:cs="宋体"/>
                <w:kern w:val="0"/>
                <w:sz w:val="24"/>
                <w:szCs w:val="24"/>
                <w:highlight w:val="none"/>
              </w:rPr>
              <w:t>通过</w:t>
            </w:r>
            <w:r>
              <w:rPr>
                <w:rFonts w:hint="eastAsia" w:ascii="宋体" w:hAnsi="宋体" w:eastAsia="宋体" w:cs="宋体"/>
                <w:kern w:val="0"/>
                <w:sz w:val="24"/>
                <w:szCs w:val="24"/>
                <w:highlight w:val="none"/>
                <w:lang w:eastAsia="zh-CN"/>
              </w:rPr>
              <w:t>相应</w:t>
            </w:r>
            <w:r>
              <w:rPr>
                <w:rFonts w:hint="eastAsia" w:ascii="宋体" w:hAnsi="宋体" w:eastAsia="宋体" w:cs="宋体"/>
                <w:kern w:val="0"/>
                <w:sz w:val="24"/>
                <w:szCs w:val="24"/>
                <w:highlight w:val="none"/>
              </w:rPr>
              <w:t>评标专家库中随机抽取</w:t>
            </w:r>
            <w:r>
              <w:rPr>
                <w:rFonts w:hint="eastAsia" w:ascii="宋体" w:hAnsi="宋体" w:eastAsia="宋体" w:cs="宋体"/>
                <w:spacing w:val="6"/>
                <w:kern w:val="2"/>
                <w:sz w:val="24"/>
                <w:szCs w:val="24"/>
                <w:highlight w:val="none"/>
              </w:rPr>
              <w:t>。</w:t>
            </w:r>
          </w:p>
        </w:tc>
      </w:tr>
      <w:tr w14:paraId="40AB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04872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3</w:t>
            </w:r>
            <w:r>
              <w:rPr>
                <w:rFonts w:hint="eastAsia" w:ascii="宋体" w:hAnsi="宋体" w:cs="宋体"/>
                <w:spacing w:val="6"/>
                <w:kern w:val="2"/>
                <w:sz w:val="24"/>
                <w:szCs w:val="24"/>
                <w:highlight w:val="none"/>
                <w:lang w:val="en-US" w:eastAsia="zh-CN"/>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2328562">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是否授权</w:t>
            </w:r>
            <w:r>
              <w:rPr>
                <w:rFonts w:hint="eastAsia" w:ascii="宋体" w:hAnsi="宋体" w:cs="宋体"/>
                <w:spacing w:val="6"/>
                <w:kern w:val="2"/>
                <w:sz w:val="24"/>
                <w:szCs w:val="24"/>
                <w:highlight w:val="none"/>
                <w:lang w:eastAsia="zh-CN"/>
              </w:rPr>
              <w:t>磋商小组</w:t>
            </w:r>
            <w:r>
              <w:rPr>
                <w:rFonts w:hint="eastAsia" w:ascii="宋体" w:hAnsi="宋体" w:eastAsia="宋体" w:cs="宋体"/>
                <w:spacing w:val="6"/>
                <w:kern w:val="2"/>
                <w:sz w:val="24"/>
                <w:szCs w:val="24"/>
                <w:highlight w:val="none"/>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67D1C01">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否，</w:t>
            </w:r>
            <w:r>
              <w:rPr>
                <w:rFonts w:hint="eastAsia" w:ascii="宋体" w:hAnsi="宋体" w:cs="宋体"/>
                <w:spacing w:val="6"/>
                <w:kern w:val="2"/>
                <w:sz w:val="24"/>
                <w:szCs w:val="24"/>
                <w:highlight w:val="none"/>
                <w:lang w:eastAsia="zh-CN"/>
              </w:rPr>
              <w:t>磋商小组</w:t>
            </w:r>
            <w:r>
              <w:rPr>
                <w:rFonts w:hint="eastAsia" w:ascii="宋体" w:hAnsi="宋体" w:eastAsia="宋体" w:cs="宋体"/>
                <w:spacing w:val="6"/>
                <w:kern w:val="2"/>
                <w:sz w:val="24"/>
                <w:szCs w:val="24"/>
                <w:highlight w:val="none"/>
              </w:rPr>
              <w:t>推选三名中标候选人</w:t>
            </w:r>
          </w:p>
        </w:tc>
      </w:tr>
      <w:tr w14:paraId="20E7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095E85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3</w:t>
            </w:r>
            <w:r>
              <w:rPr>
                <w:rFonts w:hint="eastAsia" w:ascii="宋体" w:hAnsi="宋体" w:cs="宋体"/>
                <w:spacing w:val="6"/>
                <w:kern w:val="2"/>
                <w:sz w:val="24"/>
                <w:szCs w:val="24"/>
                <w:highlight w:val="none"/>
                <w:lang w:val="en-US" w:eastAsia="zh-CN"/>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F722F8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评标标</w:t>
            </w:r>
          </w:p>
          <w:p w14:paraId="2A1BE69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5C036E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评定办法：由磋商小组采用综合评分法对提交最后报价的</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的响应文件和最后报价进行综合评分。综合评分法，是指响应文件满足磋商文件全部实质性要求且按评审因素的量化指标评审得分最高的</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为成交候选</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的评审方法（且推荐候选人为三名）</w:t>
            </w:r>
          </w:p>
        </w:tc>
      </w:tr>
      <w:tr w14:paraId="2733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55F5FC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BE581E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66CCC58">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rPr>
              <w:t>不收取</w:t>
            </w:r>
          </w:p>
        </w:tc>
      </w:tr>
      <w:tr w14:paraId="2EB7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FEE55F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2BFFDA">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eastAsia="zh-CN"/>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543DCF">
            <w:pPr>
              <w:kinsoku/>
              <w:wordWrap w:val="0"/>
              <w:overflowPunct/>
              <w:topLinePunct w:val="0"/>
              <w:bidi w:val="0"/>
              <w:spacing w:line="360" w:lineRule="auto"/>
              <w:rPr>
                <w:rFonts w:hint="default" w:eastAsia="宋体"/>
                <w:color w:val="auto"/>
                <w:highlight w:val="none"/>
                <w:lang w:val="en-US" w:eastAsia="zh-CN"/>
              </w:rPr>
            </w:pPr>
            <w:r>
              <w:rPr>
                <w:rFonts w:hint="eastAsia" w:ascii="宋体" w:hAnsi="宋体" w:cs="宋体"/>
                <w:color w:val="000000" w:themeColor="text1"/>
                <w:kern w:val="2"/>
                <w:sz w:val="24"/>
                <w:szCs w:val="24"/>
                <w:highlight w:val="none"/>
                <w:lang w:val="en-US" w:eastAsia="zh-CN"/>
                <w14:textFill>
                  <w14:solidFill>
                    <w14:schemeClr w14:val="tx1"/>
                  </w14:solidFill>
                </w14:textFill>
              </w:rPr>
              <w:t>双方签订合同时协商</w:t>
            </w:r>
          </w:p>
        </w:tc>
      </w:tr>
      <w:tr w14:paraId="1FCB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AD89B0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9CD23EC">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lang w:eastAsia="zh-CN"/>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503527E">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同时在</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《中国招标投标公共服务平台》</w:t>
            </w: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中国采购与招标网</w:t>
            </w:r>
            <w:r>
              <w:rPr>
                <w:rFonts w:hint="eastAsia" w:ascii="宋体" w:hAnsi="宋体" w:eastAsia="宋体" w:cs="宋体"/>
                <w:color w:val="000000" w:themeColor="text1"/>
                <w:kern w:val="2"/>
                <w:sz w:val="24"/>
                <w:szCs w:val="24"/>
                <w:highlight w:val="none"/>
                <w14:textFill>
                  <w14:solidFill>
                    <w14:schemeClr w14:val="tx1"/>
                  </w14:solidFill>
                </w14:textFill>
              </w:rPr>
              <w:t>》、《河南省政府采购网》、《三门峡市公共资源交易中心网》上发布</w:t>
            </w:r>
          </w:p>
        </w:tc>
      </w:tr>
      <w:tr w14:paraId="03DA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DBE76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A0CBBD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rPr>
              <w:t>其他</w:t>
            </w:r>
            <w:r>
              <w:rPr>
                <w:rFonts w:hint="eastAsia" w:ascii="宋体" w:hAnsi="宋体" w:eastAsia="宋体" w:cs="宋体"/>
                <w:spacing w:val="6"/>
                <w:kern w:val="2"/>
                <w:sz w:val="24"/>
                <w:szCs w:val="24"/>
                <w:highlight w:val="none"/>
                <w:lang w:eastAsia="zh-CN"/>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34841F">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1.电子化</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响应</w:t>
            </w:r>
            <w:r>
              <w:rPr>
                <w:rFonts w:hint="eastAsia" w:ascii="宋体" w:hAnsi="宋体" w:eastAsia="宋体" w:cs="宋体"/>
                <w:color w:val="000000" w:themeColor="text1"/>
                <w:kern w:val="2"/>
                <w:sz w:val="24"/>
                <w:szCs w:val="24"/>
                <w:highlight w:val="none"/>
                <w14:textFill>
                  <w14:solidFill>
                    <w14:schemeClr w14:val="tx1"/>
                  </w14:solidFill>
                </w14:textFill>
              </w:rPr>
              <w:t>文件应在投标截止时间前成功上传至三门峡市公共资源电子化交易系统。至</w:t>
            </w:r>
            <w:r>
              <w:rPr>
                <w:rFonts w:hint="eastAsia" w:ascii="宋体" w:hAnsi="宋体" w:eastAsia="宋体" w:cs="宋体"/>
                <w:color w:val="000000" w:themeColor="text1"/>
                <w:kern w:val="2"/>
                <w:sz w:val="24"/>
                <w:szCs w:val="24"/>
                <w:highlight w:val="none"/>
                <w:lang w:eastAsia="zh-CN"/>
                <w14:textFill>
                  <w14:solidFill>
                    <w14:schemeClr w14:val="tx1"/>
                  </w14:solidFill>
                </w14:textFill>
              </w:rPr>
              <w:t>递交</w:t>
            </w:r>
            <w:r>
              <w:rPr>
                <w:rFonts w:hint="eastAsia" w:ascii="宋体" w:hAnsi="宋体" w:eastAsia="宋体" w:cs="宋体"/>
                <w:color w:val="000000" w:themeColor="text1"/>
                <w:kern w:val="2"/>
                <w:sz w:val="24"/>
                <w:szCs w:val="24"/>
                <w:highlight w:val="none"/>
                <w14:textFill>
                  <w14:solidFill>
                    <w14:schemeClr w14:val="tx1"/>
                  </w14:solidFill>
                </w14:textFill>
              </w:rPr>
              <w:t>截止时间止，仍未上传成功的电子化</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响应</w:t>
            </w:r>
            <w:r>
              <w:rPr>
                <w:rFonts w:hint="eastAsia" w:ascii="宋体" w:hAnsi="宋体" w:eastAsia="宋体" w:cs="宋体"/>
                <w:color w:val="000000" w:themeColor="text1"/>
                <w:kern w:val="2"/>
                <w:sz w:val="24"/>
                <w:szCs w:val="24"/>
                <w:highlight w:val="none"/>
                <w14:textFill>
                  <w14:solidFill>
                    <w14:schemeClr w14:val="tx1"/>
                  </w14:solidFill>
                </w14:textFill>
              </w:rPr>
              <w:t>文件，将不予接受</w:t>
            </w:r>
            <w:r>
              <w:rPr>
                <w:rFonts w:hint="eastAsia" w:ascii="宋体" w:hAnsi="宋体" w:cs="宋体"/>
                <w:color w:val="000000" w:themeColor="text1"/>
                <w:kern w:val="2"/>
                <w:sz w:val="24"/>
                <w:szCs w:val="24"/>
                <w:highlight w:val="none"/>
                <w:lang w:eastAsia="zh-CN"/>
                <w14:textFill>
                  <w14:solidFill>
                    <w14:schemeClr w14:val="tx1"/>
                  </w14:solidFill>
                </w14:textFill>
              </w:rPr>
              <w:t>；</w:t>
            </w:r>
          </w:p>
          <w:p w14:paraId="61C05204">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2.开标时不再递交纸质投标文件</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中标</w:t>
            </w:r>
            <w:r>
              <w:rPr>
                <w:rFonts w:hint="eastAsia" w:ascii="宋体" w:hAnsi="宋体" w:cs="宋体"/>
                <w:color w:val="000000" w:themeColor="text1"/>
                <w:kern w:val="2"/>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kern w:val="2"/>
                <w:sz w:val="24"/>
                <w:szCs w:val="24"/>
                <w:highlight w:val="none"/>
                <w14:textFill>
                  <w14:solidFill>
                    <w14:schemeClr w14:val="tx1"/>
                  </w14:solidFill>
                </w14:textFill>
              </w:rPr>
              <w:t>领取</w:t>
            </w:r>
            <w:r>
              <w:rPr>
                <w:rFonts w:hint="eastAsia" w:ascii="宋体" w:hAnsi="宋体" w:cs="宋体"/>
                <w:color w:val="000000" w:themeColor="text1"/>
                <w:kern w:val="2"/>
                <w:sz w:val="24"/>
                <w:szCs w:val="24"/>
                <w:highlight w:val="none"/>
                <w:lang w:val="en-US" w:eastAsia="zh-CN"/>
                <w14:textFill>
                  <w14:solidFill>
                    <w14:schemeClr w14:val="tx1"/>
                  </w14:solidFill>
                </w14:textFill>
              </w:rPr>
              <w:t>中标</w:t>
            </w:r>
            <w:r>
              <w:rPr>
                <w:rFonts w:hint="eastAsia" w:ascii="宋体" w:hAnsi="宋体" w:eastAsia="宋体" w:cs="宋体"/>
                <w:color w:val="000000" w:themeColor="text1"/>
                <w:kern w:val="2"/>
                <w:sz w:val="24"/>
                <w:szCs w:val="24"/>
                <w:highlight w:val="none"/>
                <w14:textFill>
                  <w14:solidFill>
                    <w14:schemeClr w14:val="tx1"/>
                  </w14:solidFill>
                </w14:textFill>
              </w:rPr>
              <w:t>通知书时，须提供与上传电子版内容一致的纸质版</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响应</w:t>
            </w:r>
            <w:r>
              <w:rPr>
                <w:rFonts w:hint="eastAsia" w:ascii="宋体" w:hAnsi="宋体" w:eastAsia="宋体" w:cs="宋体"/>
                <w:color w:val="000000" w:themeColor="text1"/>
                <w:kern w:val="2"/>
                <w:sz w:val="24"/>
                <w:szCs w:val="24"/>
                <w:highlight w:val="none"/>
                <w14:textFill>
                  <w14:solidFill>
                    <w14:schemeClr w14:val="tx1"/>
                  </w14:solidFill>
                </w14:textFill>
              </w:rPr>
              <w:t>文件一份，不得采用活页夹形式装订</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应有目录，并逐页标注连续页码，需加盖公章</w:t>
            </w:r>
            <w:r>
              <w:rPr>
                <w:rFonts w:hint="eastAsia" w:ascii="宋体" w:hAnsi="宋体" w:cs="宋体"/>
                <w:color w:val="000000" w:themeColor="text1"/>
                <w:kern w:val="2"/>
                <w:sz w:val="24"/>
                <w:szCs w:val="24"/>
                <w:highlight w:val="none"/>
                <w:lang w:eastAsia="zh-CN"/>
                <w14:textFill>
                  <w14:solidFill>
                    <w14:schemeClr w14:val="tx1"/>
                  </w14:solidFill>
                </w14:textFill>
              </w:rPr>
              <w:t>。</w:t>
            </w:r>
          </w:p>
        </w:tc>
      </w:tr>
      <w:tr w14:paraId="7C3F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6A4131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7EA801">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F78734A">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招标代理服务收费按差额定率累进法计算。本项目采用“工程类”计费。</w:t>
            </w:r>
          </w:p>
          <w:p w14:paraId="329D8201">
            <w:pPr>
              <w:pageBreakBefore w:val="0"/>
              <w:kinsoku/>
              <w:wordWrap w:val="0"/>
              <w:overflowPunct/>
              <w:bidi w:val="0"/>
              <w:adjustRightInd w:val="0"/>
              <w:spacing w:line="480" w:lineRule="exact"/>
              <w:jc w:val="left"/>
              <w:textAlignment w:val="baseline"/>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代理费转账账户：</w:t>
            </w:r>
          </w:p>
          <w:p w14:paraId="3C2B16E1">
            <w:pPr>
              <w:pageBreakBefore w:val="0"/>
              <w:kinsoku/>
              <w:wordWrap w:val="0"/>
              <w:overflowPunct/>
              <w:bidi w:val="0"/>
              <w:adjustRightInd w:val="0"/>
              <w:spacing w:line="480" w:lineRule="exact"/>
              <w:jc w:val="left"/>
              <w:textAlignment w:val="baseline"/>
              <w:rPr>
                <w:rFonts w:hint="default" w:ascii="宋体" w:hAnsi="宋体" w:cs="宋体"/>
                <w:color w:val="000000" w:themeColor="text1"/>
                <w:sz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 xml:space="preserve">单位名称：河南立旭工程管理有限公司卢氏分公司 </w:t>
            </w:r>
          </w:p>
          <w:p w14:paraId="19ACCF9B">
            <w:pPr>
              <w:pageBreakBefore w:val="0"/>
              <w:kinsoku/>
              <w:wordWrap w:val="0"/>
              <w:overflowPunct/>
              <w:bidi w:val="0"/>
              <w:adjustRightInd w:val="0"/>
              <w:spacing w:line="480" w:lineRule="exact"/>
              <w:jc w:val="left"/>
              <w:textAlignment w:val="baseline"/>
              <w:rPr>
                <w:rFonts w:hint="default" w:ascii="宋体" w:hAnsi="宋体" w:cs="宋体"/>
                <w:color w:val="000000" w:themeColor="text1"/>
                <w:sz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统一社会信用代码：91411224MACMRQ8J3X</w:t>
            </w:r>
          </w:p>
          <w:p w14:paraId="18806A71">
            <w:pPr>
              <w:pageBreakBefore w:val="0"/>
              <w:kinsoku/>
              <w:wordWrap w:val="0"/>
              <w:overflowPunct/>
              <w:bidi w:val="0"/>
              <w:adjustRightInd w:val="0"/>
              <w:spacing w:line="480" w:lineRule="exact"/>
              <w:jc w:val="left"/>
              <w:textAlignment w:val="baseline"/>
              <w:rPr>
                <w:rFonts w:hint="default" w:ascii="宋体" w:hAnsi="宋体" w:cs="宋体"/>
                <w:color w:val="000000" w:themeColor="text1"/>
                <w:sz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账号：411228010130021601</w:t>
            </w:r>
          </w:p>
          <w:p w14:paraId="1793CEAD">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000000" w:themeColor="text1"/>
                <w:kern w:val="2"/>
                <w:sz w:val="24"/>
                <w:szCs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开户行：中原银行股份有限公司卢氏靖华路支行</w:t>
            </w:r>
          </w:p>
        </w:tc>
      </w:tr>
      <w:tr w14:paraId="3022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1470A1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4542AD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1C242FF">
            <w:pPr>
              <w:keepNext w:val="0"/>
              <w:keepLines w:val="0"/>
              <w:pageBreakBefore w:val="0"/>
              <w:kinsoku/>
              <w:wordWrap w:val="0"/>
              <w:overflowPunct/>
              <w:topLinePunct w:val="0"/>
              <w:autoSpaceDE/>
              <w:autoSpaceDN/>
              <w:bidi w:val="0"/>
              <w:spacing w:before="0" w:beforeLines="0" w:after="0" w:afterLines="0" w:line="400" w:lineRule="exact"/>
              <w:ind w:right="-153" w:rightChars="-73"/>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482F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2682DC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8E7B9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52807BE">
            <w:pPr>
              <w:keepNext w:val="0"/>
              <w:keepLines w:val="0"/>
              <w:pageBreakBefore w:val="0"/>
              <w:kinsoku/>
              <w:wordWrap w:val="0"/>
              <w:overflowPunct/>
              <w:topLinePunct w:val="0"/>
              <w:autoSpaceDE/>
              <w:autoSpaceDN/>
              <w:bidi w:val="0"/>
              <w:spacing w:before="0" w:beforeLines="0" w:after="0" w:afterLines="0" w:line="400" w:lineRule="exact"/>
              <w:ind w:right="-153" w:rightChars="-73"/>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需要解答的疑问以书面形式加盖单位公章递交至采购人或代理机构，逾期提交的问题概不做回复。采购人将需要解答的内容以公告形式发至所有潜在响应人。</w:t>
            </w:r>
          </w:p>
        </w:tc>
      </w:tr>
      <w:tr w14:paraId="7F5D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0CC3D7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C1C3EB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6233F2">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2947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34E63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059C57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382402A">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除响应人须知正文规定的情形外，除非已经产生中标候选人，在磋商有效期内同意延长磋商有效期的响应人少于三个的，采购人应当依法重新招标。</w:t>
            </w:r>
          </w:p>
        </w:tc>
      </w:tr>
      <w:tr w14:paraId="0D87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BD9152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CB7B8BC">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393B8BE">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构成竞争性磋商文件组成部分的“通用合同条款”、“专用合同条款”、“技术标准和要求”和“工程量清单”等章节中出现的措辞“发包人”和“承包人”，在招标磋商阶段应当分别按“采购人”和“响应人”进行理解。</w:t>
            </w:r>
          </w:p>
        </w:tc>
      </w:tr>
      <w:tr w14:paraId="082F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5A007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476184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3741DE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本项目的招标磋商活动及其相关当事人应当接受有管辖权的招标投标行政监督部门依法实施的监督。</w:t>
            </w:r>
          </w:p>
        </w:tc>
      </w:tr>
      <w:tr w14:paraId="4F80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19A72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50</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5DEF674">
            <w:pPr>
              <w:kinsoku/>
              <w:wordWrap w:val="0"/>
              <w:overflowPunct/>
              <w:topLinePunct w:val="0"/>
              <w:bidi w:val="0"/>
              <w:spacing w:line="360" w:lineRule="exact"/>
              <w:jc w:val="center"/>
              <w:rPr>
                <w:rFonts w:hint="eastAsia" w:ascii="宋体" w:hAnsi="宋体" w:eastAsia="宋体" w:cs="宋体"/>
                <w:spacing w:val="6"/>
                <w:kern w:val="2"/>
                <w:sz w:val="24"/>
                <w:szCs w:val="24"/>
                <w:highlight w:val="none"/>
              </w:rPr>
            </w:pPr>
            <w:r>
              <w:rPr>
                <w:rFonts w:hint="eastAsia" w:cs="宋体" w:asciiTheme="minorEastAsia" w:hAnsiTheme="minorEastAsia" w:eastAsiaTheme="minorEastAsia"/>
                <w:sz w:val="24"/>
                <w:highlight w:val="none"/>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914C883">
            <w:pPr>
              <w:kinsoku/>
              <w:wordWrap w:val="0"/>
              <w:overflowPunct/>
              <w:topLinePunct w:val="0"/>
              <w:bidi w:val="0"/>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本项目为</w:t>
            </w:r>
            <w:r>
              <w:rPr>
                <w:rFonts w:hint="eastAsia" w:cs="宋体" w:asciiTheme="minorEastAsia" w:hAnsiTheme="minorEastAsia"/>
                <w:sz w:val="24"/>
                <w:highlight w:val="none"/>
                <w:lang w:val="en-US" w:eastAsia="zh-CN"/>
              </w:rPr>
              <w:t>政府</w:t>
            </w:r>
            <w:r>
              <w:rPr>
                <w:rFonts w:hint="eastAsia" w:cs="宋体" w:asciiTheme="minorEastAsia" w:hAnsiTheme="minorEastAsia" w:eastAsiaTheme="minorEastAsia"/>
                <w:sz w:val="24"/>
                <w:highlight w:val="none"/>
              </w:rPr>
              <w:t>采购工程类项目</w:t>
            </w:r>
          </w:p>
          <w:p w14:paraId="0AD13B29">
            <w:pPr>
              <w:kinsoku/>
              <w:wordWrap w:val="0"/>
              <w:overflowPunct/>
              <w:topLinePunct w:val="0"/>
              <w:bidi w:val="0"/>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采购标的所属行业：建筑业</w:t>
            </w:r>
          </w:p>
          <w:p w14:paraId="695FBB06">
            <w:pPr>
              <w:kinsoku/>
              <w:wordWrap w:val="0"/>
              <w:overflowPunct/>
              <w:topLinePunct w:val="0"/>
              <w:bidi w:val="0"/>
              <w:spacing w:line="360" w:lineRule="exact"/>
              <w:jc w:val="left"/>
              <w:rPr>
                <w:rFonts w:hint="eastAsia" w:ascii="宋体" w:hAnsi="宋体" w:eastAsia="宋体" w:cs="宋体"/>
                <w:spacing w:val="6"/>
                <w:kern w:val="2"/>
                <w:sz w:val="24"/>
                <w:szCs w:val="24"/>
                <w:highlight w:val="none"/>
              </w:rPr>
            </w:pPr>
            <w:r>
              <w:rPr>
                <w:rFonts w:hint="eastAsia" w:cs="宋体" w:asciiTheme="minorEastAsia" w:hAnsiTheme="minorEastAsia" w:eastAsiaTheme="minorEastAsia"/>
                <w:sz w:val="24"/>
                <w:highlight w:val="none"/>
              </w:rPr>
              <w:t>划定标准为：《工业和信息化部、国家统计局、国家发展和改革委员会、财政部关于印发&lt;中小企业划型标准规定的通知&gt;（工信部联企业〔2011〕300号）规定的划分标准为依据。</w:t>
            </w:r>
          </w:p>
        </w:tc>
      </w:tr>
      <w:tr w14:paraId="38DA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6D4077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51</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22309D9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cs="宋体" w:asciiTheme="minorEastAsia" w:hAnsiTheme="minorEastAsia" w:eastAsiaTheme="minorEastAsia"/>
                <w:sz w:val="24"/>
                <w:highlight w:val="none"/>
                <w:lang w:val="en-US" w:eastAsia="zh-CN" w:bidi="ar-SA"/>
              </w:rPr>
            </w:pPr>
            <w:r>
              <w:rPr>
                <w:rFonts w:hint="eastAsia" w:ascii="宋体" w:hAnsi="宋体" w:eastAsia="宋体" w:cs="宋体"/>
                <w:b/>
                <w:kern w:val="2"/>
                <w:sz w:val="24"/>
                <w:szCs w:val="24"/>
                <w:highlight w:val="none"/>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0D87EEDE">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本项目为电子化、无纸化交易项目，</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文件是</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通过中心投标文件制作系统制作，并经过电子签章和加密后生成的电子版</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标时，将不再接受任何纸质文件资料。</w:t>
            </w:r>
          </w:p>
          <w:p w14:paraId="3D505C4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文件具体制作教材请</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通过CA证书登录三门峡市公共资源电子交易系统在“组件下载”中查看。</w:t>
            </w:r>
          </w:p>
          <w:p w14:paraId="5586BE3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温馨提示：本项目为电子化、无纸化交易项目，开标时不接受任何纸质资料，为保证您能</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标成功，请需仔细阅读以下条款。</w:t>
            </w:r>
          </w:p>
          <w:p w14:paraId="3DF52D3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一、电子化投标</w:t>
            </w:r>
          </w:p>
          <w:p w14:paraId="14641ED9">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文件的签章</w:t>
            </w:r>
          </w:p>
          <w:p w14:paraId="1EFD1AB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在生成电子化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文件后，应对电子化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文件进行签章，未进行签章的视为无效</w:t>
            </w:r>
            <w:r>
              <w:rPr>
                <w:rFonts w:hint="eastAsia" w:ascii="宋体" w:hAnsi="宋体" w:cs="宋体"/>
                <w:kern w:val="2"/>
                <w:sz w:val="24"/>
                <w:szCs w:val="24"/>
                <w:highlight w:val="none"/>
                <w:lang w:eastAsia="zh-CN"/>
              </w:rPr>
              <w:t>文件</w:t>
            </w:r>
            <w:r>
              <w:rPr>
                <w:rFonts w:hint="eastAsia" w:ascii="宋体" w:hAnsi="宋体" w:eastAsia="宋体" w:cs="宋体"/>
                <w:kern w:val="2"/>
                <w:sz w:val="24"/>
                <w:szCs w:val="24"/>
                <w:highlight w:val="none"/>
              </w:rPr>
              <w:t>。</w:t>
            </w:r>
          </w:p>
          <w:p w14:paraId="19C26A1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cs="宋体"/>
                <w:kern w:val="2"/>
                <w:sz w:val="24"/>
                <w:szCs w:val="24"/>
                <w:highlight w:val="none"/>
                <w:lang w:eastAsia="zh-CN"/>
              </w:rPr>
              <w:t>磋商</w:t>
            </w:r>
            <w:r>
              <w:rPr>
                <w:rFonts w:hint="eastAsia" w:ascii="宋体" w:hAnsi="宋体" w:eastAsia="宋体" w:cs="宋体"/>
                <w:kern w:val="2"/>
                <w:sz w:val="24"/>
                <w:szCs w:val="24"/>
                <w:highlight w:val="none"/>
              </w:rPr>
              <w:t>文件中要求法定代表人或授权委托人签字或盖章的，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在进行电子化响应文件</w:t>
            </w:r>
            <w:r>
              <w:rPr>
                <w:rFonts w:hint="eastAsia" w:ascii="宋体" w:hAnsi="宋体" w:eastAsia="宋体" w:cs="宋体"/>
                <w:kern w:val="2"/>
                <w:sz w:val="24"/>
                <w:szCs w:val="24"/>
                <w:highlight w:val="none"/>
                <w:lang w:eastAsia="zh-CN"/>
              </w:rPr>
              <w:t>需逐页</w:t>
            </w:r>
            <w:r>
              <w:rPr>
                <w:rFonts w:hint="eastAsia" w:ascii="宋体" w:hAnsi="宋体" w:eastAsia="宋体" w:cs="宋体"/>
                <w:kern w:val="2"/>
                <w:sz w:val="24"/>
                <w:szCs w:val="24"/>
                <w:highlight w:val="none"/>
              </w:rPr>
              <w:t>签章</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签章时以签盖法定代表人签章为准。电子化响应文件具体制作教材请</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通过CA证书登录三门峡市公共资源电子化交易系统在右上角“组建下载”中查看。</w:t>
            </w:r>
          </w:p>
          <w:p w14:paraId="46CCF861">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文件的格式及上传</w:t>
            </w:r>
          </w:p>
          <w:p w14:paraId="7D0D08A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所上传的电子化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文件，应是通过中心</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文件制作系统制作的，经过签章和加密后生成的电子版</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文件。上传</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文件格式后缀为SMXTF，上传完后，建议验证CA 锁是否正常。</w:t>
            </w:r>
          </w:p>
          <w:p w14:paraId="7C551A91">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注：</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投报多个标段的，每个标段均要生成独立的电子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w:t>
            </w:r>
          </w:p>
          <w:p w14:paraId="7E436DF1">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文件应在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截止时间前成功上传至三门峡市公共资源电子化交易系统。至</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截止时间止，仍未上传成功的电子化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文件将不予接收。</w:t>
            </w:r>
          </w:p>
          <w:p w14:paraId="4494141D">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注 ：如按照电子化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操作教材制作完成的电子化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文件无法上传的，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 xml:space="preserve">截止时间前尽早的联系中心技术人员，以便有充分的时间进行处理。 </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应充分考虑到处理技术问题和上传数据等工作所需的时间问题，</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文件未在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截止时间前成功上传的，其</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文件不予接收。</w:t>
            </w:r>
          </w:p>
          <w:p w14:paraId="4575AD5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技术联系电话：</w:t>
            </w:r>
            <w:r>
              <w:rPr>
                <w:rFonts w:hint="eastAsia" w:ascii="宋体" w:hAnsi="宋体" w:eastAsia="宋体" w:cs="宋体"/>
                <w:kern w:val="2"/>
                <w:sz w:val="24"/>
                <w:szCs w:val="24"/>
                <w:highlight w:val="none"/>
                <w:lang w:val="en-US" w:eastAsia="zh-CN"/>
              </w:rPr>
              <w:t>400-998-0000</w:t>
            </w:r>
          </w:p>
          <w:p w14:paraId="32EF69E9">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（四）电子化项目开标、解密、唱标、评标</w:t>
            </w:r>
          </w:p>
          <w:p w14:paraId="0E3770A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1、本项目采用电子化、无纸化进行招标，开标当日，</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无需到开标现场参加开标会议。</w:t>
            </w:r>
          </w:p>
          <w:p w14:paraId="6E5C341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应当在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截止时间前，登陆不见面开标大厅选择登陆三门峡市公共资源电子招</w:t>
            </w:r>
            <w:r>
              <w:rPr>
                <w:rFonts w:hint="eastAsia" w:ascii="宋体" w:hAnsi="宋体" w:cs="宋体"/>
                <w:kern w:val="2"/>
                <w:sz w:val="24"/>
                <w:szCs w:val="24"/>
                <w:highlight w:val="none"/>
                <w:lang w:eastAsia="zh-CN"/>
              </w:rPr>
              <w:t>投标</w:t>
            </w:r>
            <w:r>
              <w:rPr>
                <w:rFonts w:hint="eastAsia" w:ascii="宋体" w:hAnsi="宋体" w:eastAsia="宋体" w:cs="宋体"/>
                <w:kern w:val="2"/>
                <w:sz w:val="24"/>
                <w:szCs w:val="24"/>
                <w:highlight w:val="none"/>
              </w:rPr>
              <w:t>系统进行登陆http://120.194.249.36:10094/BidOpening/bidopeninghallaction/hall/login）,在线准时参加开标活动并进行</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文件解密等。每位</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的解密时间为开标时间起30分钟内完成。未按时解密的其</w:t>
            </w:r>
            <w:r>
              <w:rPr>
                <w:rFonts w:hint="eastAsia" w:ascii="宋体" w:hAnsi="宋体" w:cs="宋体"/>
                <w:kern w:val="2"/>
                <w:sz w:val="24"/>
                <w:szCs w:val="24"/>
                <w:highlight w:val="none"/>
                <w:lang w:eastAsia="zh-CN"/>
              </w:rPr>
              <w:t>响应文件</w:t>
            </w:r>
            <w:r>
              <w:rPr>
                <w:rFonts w:hint="eastAsia" w:ascii="宋体" w:hAnsi="宋体" w:eastAsia="宋体" w:cs="宋体"/>
                <w:kern w:val="2"/>
                <w:sz w:val="24"/>
                <w:szCs w:val="24"/>
                <w:highlight w:val="none"/>
              </w:rPr>
              <w:t>将被否决。因</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原因未能解密、解密失败或解密超时的将被拒绝。</w:t>
            </w:r>
          </w:p>
          <w:p w14:paraId="74EB07C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文件解密异常的处理</w:t>
            </w:r>
          </w:p>
          <w:p w14:paraId="5606CF8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如出现</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的电子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文件无法解密的情况，</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应及时致电中介服务机构说明。</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文件解密异常，按以下步骤进行处理：</w:t>
            </w:r>
          </w:p>
          <w:p w14:paraId="623FCF7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（1）首先由技术人员进行问题排查。</w:t>
            </w:r>
          </w:p>
          <w:p w14:paraId="01B0D5F2">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（2）经技术人员排查后，是</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文件自身问题导致</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文件无法解密的，该</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文件将不予接收、解密和唱标。开标会议继续进行。</w:t>
            </w:r>
          </w:p>
          <w:p w14:paraId="24958E3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（3）经技术人员排查后，如果是电子化交易系统问题造成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7F156F0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4、待所有</w:t>
            </w:r>
            <w:r>
              <w:rPr>
                <w:rFonts w:hint="eastAsia" w:ascii="宋体" w:hAnsi="宋体" w:cs="宋体"/>
                <w:kern w:val="2"/>
                <w:sz w:val="24"/>
                <w:szCs w:val="24"/>
                <w:highlight w:val="none"/>
                <w:lang w:eastAsia="zh-CN"/>
              </w:rPr>
              <w:t>响应人响应</w:t>
            </w:r>
            <w:r>
              <w:rPr>
                <w:rFonts w:hint="eastAsia" w:ascii="宋体" w:hAnsi="宋体" w:eastAsia="宋体" w:cs="宋体"/>
                <w:kern w:val="2"/>
                <w:sz w:val="24"/>
                <w:szCs w:val="24"/>
                <w:highlight w:val="none"/>
              </w:rPr>
              <w:t>文件解密完成后，由中介服务机构操作，对所有已解密</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文件进行唱标。</w:t>
            </w:r>
          </w:p>
          <w:p w14:paraId="3215F79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应保证在开标期间电话、电脑、网络能够正常工作，</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因停电、电脑病毒、网络堵塞等原因，未在规定的解密时间内对</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文件进行解密的，其</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文件不予接收、唱标。</w:t>
            </w:r>
          </w:p>
          <w:p w14:paraId="02CCD9B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5、开标时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可登录到交易系统中在开标大厅中点击开标一览表查看自己的报价。如对自己的唱标内容有异议的，应在唱标内容显示后10分钟内向</w:t>
            </w:r>
            <w:r>
              <w:rPr>
                <w:rFonts w:hint="eastAsia" w:ascii="宋体" w:hAnsi="宋体" w:cs="宋体"/>
                <w:sz w:val="24"/>
                <w:highlight w:val="none"/>
              </w:rPr>
              <w:t>中服务机构通过开标大厅对话框提出质疑。中介服务机构做好书面记录。</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未在规定时间内提出质疑的，视为认可</w:t>
            </w:r>
            <w:r>
              <w:rPr>
                <w:rFonts w:hint="eastAsia" w:ascii="宋体" w:hAnsi="宋体" w:eastAsia="宋体" w:cs="宋体"/>
                <w:kern w:val="2"/>
                <w:sz w:val="24"/>
                <w:szCs w:val="24"/>
                <w:highlight w:val="none"/>
                <w:lang w:eastAsia="zh-CN"/>
              </w:rPr>
              <w:t>唱标内容。</w:t>
            </w:r>
          </w:p>
          <w:p w14:paraId="3CA950B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343E41D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7、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47A0B5D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 相关证书原件的提交</w:t>
            </w:r>
          </w:p>
          <w:p w14:paraId="52D64B3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本项目实行资格后审，</w:t>
            </w:r>
            <w:r>
              <w:rPr>
                <w:rFonts w:hint="eastAsia" w:ascii="宋体" w:hAnsi="宋体" w:cs="宋体"/>
                <w:kern w:val="2"/>
                <w:sz w:val="24"/>
                <w:szCs w:val="24"/>
                <w:highlight w:val="none"/>
                <w:lang w:eastAsia="zh-CN"/>
              </w:rPr>
              <w:t>磋商</w:t>
            </w:r>
            <w:r>
              <w:rPr>
                <w:rFonts w:hint="eastAsia" w:ascii="宋体" w:hAnsi="宋体" w:eastAsia="宋体" w:cs="宋体"/>
                <w:kern w:val="2"/>
                <w:sz w:val="24"/>
                <w:szCs w:val="24"/>
                <w:highlight w:val="none"/>
              </w:rPr>
              <w:t>文件中要求</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提交资质、业绩、荣誉及单位人员等相关资料原件的，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需将原件扫描件制作到电子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文件中，其上传资料真实性由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自行承担，同时，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要完善主体库。</w:t>
            </w:r>
            <w:r>
              <w:rPr>
                <w:rFonts w:hint="eastAsia" w:ascii="宋体" w:hAnsi="宋体" w:cs="宋体"/>
                <w:kern w:val="2"/>
                <w:sz w:val="24"/>
                <w:szCs w:val="24"/>
                <w:highlight w:val="none"/>
                <w:lang w:eastAsia="zh-CN"/>
              </w:rPr>
              <w:t>磋商小组</w:t>
            </w:r>
            <w:r>
              <w:rPr>
                <w:rFonts w:hint="eastAsia" w:ascii="宋体" w:hAnsi="宋体" w:eastAsia="宋体" w:cs="宋体"/>
                <w:kern w:val="2"/>
                <w:sz w:val="24"/>
                <w:szCs w:val="24"/>
                <w:highlight w:val="none"/>
              </w:rPr>
              <w:t>对原件的核验工作按以下条款进行：</w:t>
            </w:r>
          </w:p>
          <w:p w14:paraId="335731C8">
            <w:pPr>
              <w:keepNext w:val="0"/>
              <w:keepLines w:val="0"/>
              <w:pageBreakBefore w:val="0"/>
              <w:widowControl w:val="0"/>
              <w:numPr>
                <w:ilvl w:val="0"/>
                <w:numId w:val="1"/>
              </w:numPr>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评标时，评委先查阅</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文件中是否具有该资料的原件扫描件，其上传资料真实性由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自行承担，同时，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需要完善主体库信息。本项目需要提交的原件扫描件以</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截止时间前在以</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自行上传到</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文件中的相应内容为准。规定时间外上传或更改的信息不作为评标依据。评标时不接受</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所提交的任何原件</w:t>
            </w:r>
            <w:r>
              <w:rPr>
                <w:rFonts w:hint="eastAsia" w:ascii="宋体" w:hAnsi="宋体" w:eastAsia="宋体" w:cs="宋体"/>
                <w:kern w:val="2"/>
                <w:sz w:val="24"/>
                <w:szCs w:val="24"/>
                <w:highlight w:val="none"/>
                <w:lang w:eastAsia="zh-CN"/>
              </w:rPr>
              <w:t>。</w:t>
            </w:r>
          </w:p>
          <w:p w14:paraId="6CF9E3F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(二</w:t>
            </w:r>
            <w:r>
              <w:rPr>
                <w:rFonts w:hint="eastAsia" w:ascii="宋体" w:hAnsi="宋体" w:eastAsia="宋体" w:cs="宋体"/>
                <w:kern w:val="2"/>
                <w:sz w:val="24"/>
                <w:szCs w:val="24"/>
                <w:highlight w:val="none"/>
              </w:rPr>
              <w:t>）</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需应仔细阅读操作手册，保证上传内容齐全，真实有效，原件扫描件清晰可辨。因</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上传原因导致应得分项而未得分或资格审查不合格等情况的，由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自行承担责任。</w:t>
            </w:r>
          </w:p>
          <w:p w14:paraId="70F02BC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cs="宋体" w:asciiTheme="minorEastAsia" w:hAnsiTheme="minorEastAsia" w:eastAsiaTheme="minorEastAsia"/>
                <w:sz w:val="24"/>
                <w:highlight w:val="none"/>
                <w:lang w:val="en-US" w:eastAsia="zh-CN" w:bidi="ar-SA"/>
              </w:rPr>
            </w:pPr>
            <w:r>
              <w:rPr>
                <w:rFonts w:hint="eastAsia" w:ascii="宋体" w:hAnsi="宋体" w:eastAsia="宋体" w:cs="宋体"/>
                <w:kern w:val="2"/>
                <w:sz w:val="24"/>
                <w:szCs w:val="24"/>
                <w:highlight w:val="none"/>
              </w:rPr>
              <w:t>提示：本项目为电子化、无纸化交易项目，开标时不再接受任何纸质资料，为保证您能</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标成功，请需仔细阅读以上条款。</w:t>
            </w:r>
          </w:p>
        </w:tc>
      </w:tr>
    </w:tbl>
    <w:p w14:paraId="76D8BCEA">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bookmarkStart w:id="21" w:name="_Toc461977414"/>
      <w:bookmarkEnd w:id="21"/>
      <w:bookmarkStart w:id="22" w:name="_Toc12657"/>
    </w:p>
    <w:p w14:paraId="56B96D2E">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1566B220">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eastAsiaTheme="minorEastAsia"/>
          <w:b/>
          <w:sz w:val="28"/>
          <w:szCs w:val="28"/>
          <w:highlight w:val="none"/>
          <w:lang w:eastAsia="zh-CN"/>
        </w:rPr>
      </w:pPr>
      <w:r>
        <w:rPr>
          <w:rFonts w:hint="eastAsia" w:ascii="宋体" w:hAnsi="宋体" w:cs="宋体"/>
          <w:b/>
          <w:sz w:val="28"/>
          <w:szCs w:val="28"/>
          <w:highlight w:val="none"/>
        </w:rPr>
        <w:t>一、</w:t>
      </w:r>
      <w:bookmarkEnd w:id="22"/>
      <w:r>
        <w:rPr>
          <w:rFonts w:hint="eastAsia" w:ascii="宋体" w:hAnsi="宋体" w:cs="宋体"/>
          <w:b/>
          <w:sz w:val="28"/>
          <w:szCs w:val="28"/>
          <w:highlight w:val="none"/>
          <w:lang w:val="en-US" w:eastAsia="zh-CN"/>
        </w:rPr>
        <w:t>总则</w:t>
      </w:r>
    </w:p>
    <w:p w14:paraId="05071067">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outlineLvl w:val="2"/>
        <w:rPr>
          <w:rFonts w:ascii="宋体" w:hAnsi="宋体" w:cs="宋体"/>
          <w:spacing w:val="-3"/>
          <w:sz w:val="24"/>
          <w:szCs w:val="24"/>
          <w:highlight w:val="none"/>
        </w:rPr>
      </w:pPr>
      <w:bookmarkStart w:id="23" w:name="_Toc19964"/>
      <w:r>
        <w:rPr>
          <w:rFonts w:hint="eastAsia" w:ascii="宋体" w:hAnsi="宋体" w:cs="宋体"/>
          <w:spacing w:val="-3"/>
          <w:sz w:val="24"/>
          <w:szCs w:val="24"/>
          <w:highlight w:val="none"/>
        </w:rPr>
        <w:t>1.适用范围</w:t>
      </w:r>
      <w:bookmarkEnd w:id="23"/>
    </w:p>
    <w:p w14:paraId="3CDA969B">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本竞争性磋商文件仅适用于竞争性磋商公告中所叙述项目的相关采购。</w:t>
      </w:r>
    </w:p>
    <w:p w14:paraId="3B53148B">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outlineLvl w:val="2"/>
        <w:rPr>
          <w:rFonts w:ascii="宋体" w:hAnsi="宋体" w:cs="宋体"/>
          <w:spacing w:val="-3"/>
          <w:sz w:val="24"/>
          <w:szCs w:val="24"/>
          <w:highlight w:val="none"/>
        </w:rPr>
      </w:pPr>
      <w:bookmarkStart w:id="24" w:name="_Toc7846"/>
      <w:r>
        <w:rPr>
          <w:rFonts w:hint="eastAsia" w:ascii="宋体" w:hAnsi="宋体" w:cs="宋体"/>
          <w:spacing w:val="-3"/>
          <w:sz w:val="24"/>
          <w:szCs w:val="24"/>
          <w:highlight w:val="none"/>
        </w:rPr>
        <w:t>2.定义</w:t>
      </w:r>
      <w:bookmarkEnd w:id="24"/>
    </w:p>
    <w:p w14:paraId="37E06A9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2.1  “采购人”系指本次项目内容的采购单位。</w:t>
      </w:r>
    </w:p>
    <w:p w14:paraId="0FEB961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2.2  “采购代理机构”系指本次采购项目活动组织方。</w:t>
      </w:r>
    </w:p>
    <w:p w14:paraId="00A86D0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2.3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”系指响应采购、参加磋商竞争的法人或者其他组织。</w:t>
      </w:r>
    </w:p>
    <w:p w14:paraId="56D4368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2.4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代表”系指代表</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参加本次磋商活动的</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的法定代表人或其委托代理人。</w:t>
      </w:r>
    </w:p>
    <w:p w14:paraId="33B0E70A">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2.5 “服务”系指</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按竞争性磋商文件规定提供采购人所要求的一切项目内容。</w:t>
      </w:r>
    </w:p>
    <w:p w14:paraId="3698FE2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2.6 “相关服务”系指竞争性磋商文件规定</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须承担的与本次采购项目相关的服务、协调工作以及其他类似的义务。</w:t>
      </w:r>
    </w:p>
    <w:p w14:paraId="2E3B3F5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2.7 “竞争性磋商文件有效期”系指本次采购项目递交响应性文件截止之日起至合同签订之日止的期限。成交</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的竞争性磋商文件有效期至合同完全履行止。</w:t>
      </w:r>
    </w:p>
    <w:p w14:paraId="6D11BF91">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2.8磋商范围、计划工期和质量要求</w:t>
      </w:r>
    </w:p>
    <w:p w14:paraId="0A34A84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2.8.1 磋商范围：见</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须知前附表。</w:t>
      </w:r>
    </w:p>
    <w:p w14:paraId="5CDBCD6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2.8.2 计划工期：见</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须知前附表。</w:t>
      </w:r>
    </w:p>
    <w:p w14:paraId="5F2812D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2.8.3 质量要求：见</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须知前附表。</w:t>
      </w:r>
    </w:p>
    <w:p w14:paraId="0E4BF75D">
      <w:pPr>
        <w:pageBreakBefore w:val="0"/>
        <w:kinsoku/>
        <w:wordWrap w:val="0"/>
        <w:overflowPunct/>
        <w:topLinePunct w:val="0"/>
        <w:bidi w:val="0"/>
        <w:snapToGrid/>
        <w:spacing w:before="0" w:beforeLines="0" w:after="0" w:afterLines="0" w:line="600" w:lineRule="exact"/>
        <w:ind w:left="0" w:leftChars="0" w:right="0" w:firstLine="468" w:firstLineChars="200"/>
        <w:textAlignment w:val="auto"/>
        <w:rPr>
          <w:rFonts w:hint="eastAsia" w:ascii="宋体" w:hAnsi="宋体" w:cs="宋体"/>
          <w:spacing w:val="-3"/>
          <w:sz w:val="24"/>
          <w:szCs w:val="24"/>
          <w:highlight w:val="none"/>
          <w:lang w:eastAsia="zh-CN"/>
        </w:rPr>
      </w:pPr>
      <w:bookmarkStart w:id="25" w:name="_Toc25077"/>
      <w:r>
        <w:rPr>
          <w:rFonts w:hint="eastAsia" w:ascii="宋体" w:hAnsi="宋体" w:cs="宋体"/>
          <w:spacing w:val="-3"/>
          <w:sz w:val="24"/>
          <w:szCs w:val="24"/>
          <w:highlight w:val="none"/>
        </w:rPr>
        <w:t>3.资金来</w:t>
      </w:r>
      <w:r>
        <w:rPr>
          <w:rFonts w:hint="eastAsia" w:ascii="宋体" w:hAnsi="宋体" w:cs="宋体"/>
          <w:spacing w:val="-3"/>
          <w:sz w:val="24"/>
          <w:szCs w:val="24"/>
          <w:highlight w:val="none"/>
          <w:lang w:eastAsia="zh-CN"/>
        </w:rPr>
        <w:t>源：</w:t>
      </w:r>
      <w:bookmarkEnd w:id="25"/>
      <w:bookmarkStart w:id="26" w:name="_Toc16278"/>
      <w:r>
        <w:rPr>
          <w:rFonts w:hint="eastAsia" w:ascii="宋体" w:hAnsi="宋体" w:cs="宋体"/>
          <w:spacing w:val="-3"/>
          <w:sz w:val="24"/>
          <w:szCs w:val="24"/>
          <w:highlight w:val="none"/>
          <w:lang w:val="en-US" w:eastAsia="zh-CN"/>
        </w:rPr>
        <w:t>自筹资金，已落实</w:t>
      </w:r>
      <w:r>
        <w:rPr>
          <w:rFonts w:hint="eastAsia" w:ascii="宋体" w:hAnsi="宋体" w:cs="宋体"/>
          <w:spacing w:val="-3"/>
          <w:sz w:val="24"/>
          <w:szCs w:val="24"/>
          <w:highlight w:val="none"/>
          <w:lang w:eastAsia="zh-CN"/>
        </w:rPr>
        <w:t>。</w:t>
      </w:r>
    </w:p>
    <w:p w14:paraId="4B9BF17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4.响应人资格要求</w:t>
      </w:r>
    </w:p>
    <w:p w14:paraId="6226717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4.1 响应人应具备承担本工程施工的资质条件、能力见具体详见响应人须知。</w:t>
      </w:r>
    </w:p>
    <w:p w14:paraId="6B99CE1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4.2 响应人不得存在下列情形之一：</w:t>
      </w:r>
    </w:p>
    <w:p w14:paraId="7E4D556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(l）为采购人不具有独立法人资格的附属机构（单位）；</w:t>
      </w:r>
    </w:p>
    <w:p w14:paraId="6634E55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(2）为本磋商项目前期准备提供设计或咨询服务，但设计施工总承包的除外；</w:t>
      </w:r>
    </w:p>
    <w:p w14:paraId="2D598B4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(3）为本磋商项目的监理人；</w:t>
      </w:r>
    </w:p>
    <w:p w14:paraId="5F3B833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(4）为本磋商项目的代建人；</w:t>
      </w:r>
    </w:p>
    <w:p w14:paraId="2206573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(5）为本磋商项目提供采购代理服务的；</w:t>
      </w:r>
    </w:p>
    <w:p w14:paraId="1373DAF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(6）与本磋商项目的监理人或代建人或采购代理机构同为一个法定代表人的；</w:t>
      </w:r>
    </w:p>
    <w:p w14:paraId="66DDAAF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(7）与本磋商项目的监理人或代建人或采购代理机构相互控股或参股的；</w:t>
      </w:r>
    </w:p>
    <w:p w14:paraId="449EB4F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(8）与本磋商项目的监理人或代建人或采购代理机构相互任职或工作的；</w:t>
      </w:r>
    </w:p>
    <w:p w14:paraId="1ED55E2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(9）被责令停业的；</w:t>
      </w:r>
    </w:p>
    <w:p w14:paraId="47C7D8D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(10）被暂停或取消磋商资格的；</w:t>
      </w:r>
    </w:p>
    <w:p w14:paraId="6F7E796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(11）财产被接管或冻结的；</w:t>
      </w:r>
    </w:p>
    <w:p w14:paraId="22D4919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(12）在最近三年内有骗取成交或严重违约或重大质量问题的。</w:t>
      </w:r>
    </w:p>
    <w:bookmarkEnd w:id="26"/>
    <w:p w14:paraId="59842B4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7" w:name="_Toc6584"/>
      <w:r>
        <w:rPr>
          <w:rFonts w:hint="eastAsia" w:ascii="宋体" w:hAnsi="宋体" w:cs="宋体"/>
          <w:spacing w:val="-3"/>
          <w:sz w:val="24"/>
          <w:szCs w:val="24"/>
          <w:highlight w:val="none"/>
        </w:rPr>
        <w:t>5.磋商费用</w:t>
      </w:r>
      <w:bookmarkEnd w:id="27"/>
    </w:p>
    <w:p w14:paraId="06E2D3C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不论磋商结果如何，</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均应自行承担所有与磋商有关的全部费用。</w:t>
      </w:r>
    </w:p>
    <w:p w14:paraId="0F5D2C5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8" w:name="_Toc13621"/>
      <w:r>
        <w:rPr>
          <w:rFonts w:hint="eastAsia" w:ascii="宋体" w:hAnsi="宋体" w:cs="宋体"/>
          <w:spacing w:val="-3"/>
          <w:sz w:val="24"/>
          <w:szCs w:val="24"/>
          <w:highlight w:val="none"/>
        </w:rPr>
        <w:t>6.联合体参加磋商</w:t>
      </w:r>
      <w:bookmarkEnd w:id="28"/>
    </w:p>
    <w:p w14:paraId="37291AF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6.1 本项目不接受联合体参加磋商。</w:t>
      </w:r>
    </w:p>
    <w:p w14:paraId="1E653E6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9" w:name="_Toc7233"/>
      <w:r>
        <w:rPr>
          <w:rFonts w:hint="eastAsia" w:ascii="宋体" w:hAnsi="宋体" w:cs="宋体"/>
          <w:spacing w:val="-3"/>
          <w:sz w:val="24"/>
          <w:szCs w:val="24"/>
          <w:highlight w:val="none"/>
        </w:rPr>
        <w:t>7.转包与分包</w:t>
      </w:r>
      <w:bookmarkEnd w:id="29"/>
    </w:p>
    <w:p w14:paraId="2C42014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7.1 本项目不允许采取转包方式履行合同。</w:t>
      </w:r>
    </w:p>
    <w:p w14:paraId="4440DA2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7.2 本项目不允许采取分包方式履行合同。</w:t>
      </w:r>
    </w:p>
    <w:p w14:paraId="364A159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30" w:name="_Toc21763"/>
      <w:r>
        <w:rPr>
          <w:rFonts w:hint="eastAsia" w:ascii="宋体" w:hAnsi="宋体" w:cs="宋体"/>
          <w:spacing w:val="-3"/>
          <w:sz w:val="24"/>
          <w:szCs w:val="24"/>
          <w:highlight w:val="none"/>
        </w:rPr>
        <w:t>8.特别说明：</w:t>
      </w:r>
      <w:bookmarkEnd w:id="30"/>
    </w:p>
    <w:p w14:paraId="07CFAF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8.1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参加磋商所使用的资格、信誉、荣誉、业绩与企业认证必须为本法人所拥有。</w:t>
      </w:r>
    </w:p>
    <w:p w14:paraId="53439BC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8.2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代表只能接受一个</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的委托参加磋商。</w:t>
      </w:r>
    </w:p>
    <w:p w14:paraId="0846DE1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8.3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在磋商活动中提供虚假材料或从事其他违法活动的,其响应无效，由相关部门查处。</w:t>
      </w:r>
    </w:p>
    <w:p w14:paraId="3231A62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31" w:name="_Toc20927"/>
      <w:r>
        <w:rPr>
          <w:rFonts w:hint="eastAsia" w:ascii="宋体" w:hAnsi="宋体" w:cs="宋体"/>
          <w:spacing w:val="-3"/>
          <w:sz w:val="24"/>
          <w:szCs w:val="24"/>
          <w:highlight w:val="none"/>
        </w:rPr>
        <w:t>9.质疑和投诉</w:t>
      </w:r>
      <w:bookmarkEnd w:id="31"/>
    </w:p>
    <w:p w14:paraId="0B5786F4">
      <w:pPr>
        <w:keepNext w:val="0"/>
        <w:keepLines w:val="0"/>
        <w:pageBreakBefore w:val="0"/>
        <w:widowControl w:val="0"/>
        <w:suppressLineNumbers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eastAsia="宋体" w:cs="宋体"/>
          <w:spacing w:val="-3"/>
          <w:sz w:val="24"/>
          <w:szCs w:val="24"/>
          <w:highlight w:val="none"/>
          <w:lang w:val="en-US"/>
        </w:rPr>
      </w:pPr>
      <w:r>
        <w:rPr>
          <w:rFonts w:hint="eastAsia" w:ascii="宋体" w:hAnsi="宋体" w:cs="宋体"/>
          <w:spacing w:val="-3"/>
          <w:sz w:val="24"/>
          <w:szCs w:val="24"/>
          <w:highlight w:val="none"/>
        </w:rPr>
        <w:t xml:space="preserve">9.1 </w:t>
      </w:r>
      <w:r>
        <w:rPr>
          <w:rFonts w:hint="eastAsia" w:ascii="宋体" w:hAnsi="宋体" w:eastAsia="宋体" w:cs="宋体"/>
          <w:spacing w:val="-3"/>
          <w:kern w:val="0"/>
          <w:sz w:val="24"/>
          <w:szCs w:val="24"/>
          <w:highlight w:val="none"/>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7E8C5F8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C1186B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32" w:name="_Toc21617"/>
      <w:r>
        <w:rPr>
          <w:rFonts w:hint="eastAsia" w:ascii="宋体" w:hAnsi="宋体" w:cs="宋体"/>
          <w:spacing w:val="-3"/>
          <w:sz w:val="24"/>
          <w:szCs w:val="24"/>
          <w:highlight w:val="none"/>
        </w:rPr>
        <w:t>10.</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的风险</w:t>
      </w:r>
      <w:bookmarkEnd w:id="32"/>
    </w:p>
    <w:p w14:paraId="422201B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没有按照竞争性磋商文件要求提供全部资料，或者</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没有对响应性文件在各方面都作出实质性响应是</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的风险，并可能导致其响应被拒绝。</w:t>
      </w:r>
    </w:p>
    <w:p w14:paraId="2FC6B7EE">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33" w:name="_Toc461977415"/>
      <w:bookmarkEnd w:id="33"/>
      <w:bookmarkStart w:id="34" w:name="_Toc22484"/>
      <w:r>
        <w:rPr>
          <w:rFonts w:hint="eastAsia" w:ascii="宋体" w:hAnsi="宋体" w:cs="宋体"/>
          <w:b/>
          <w:sz w:val="28"/>
          <w:szCs w:val="28"/>
          <w:highlight w:val="none"/>
        </w:rPr>
        <w:t>二、竞争性磋商文件</w:t>
      </w:r>
      <w:bookmarkEnd w:id="34"/>
    </w:p>
    <w:p w14:paraId="6E79777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11.竞争性磋商文件的构成。本竞争性磋商文件由以下部分组成：</w:t>
      </w:r>
    </w:p>
    <w:p w14:paraId="3996CA2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11.1 竞争性磋商公告</w:t>
      </w:r>
    </w:p>
    <w:p w14:paraId="759EA1E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11.2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w:t>
      </w:r>
    </w:p>
    <w:p w14:paraId="62C95C1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hint="default" w:ascii="宋体" w:hAnsi="宋体" w:cs="宋体"/>
          <w:spacing w:val="-3"/>
          <w:sz w:val="24"/>
          <w:szCs w:val="24"/>
          <w:highlight w:val="none"/>
          <w:lang w:val="en-US" w:eastAsia="zh-CN"/>
        </w:rPr>
      </w:pPr>
      <w:r>
        <w:rPr>
          <w:rFonts w:hint="eastAsia" w:ascii="宋体" w:hAnsi="宋体" w:cs="宋体"/>
          <w:spacing w:val="-3"/>
          <w:sz w:val="24"/>
          <w:szCs w:val="24"/>
          <w:highlight w:val="none"/>
        </w:rPr>
        <w:t xml:space="preserve">11.3 </w:t>
      </w:r>
      <w:r>
        <w:rPr>
          <w:rFonts w:hint="eastAsia" w:ascii="宋体" w:hAnsi="宋体" w:cs="宋体"/>
          <w:spacing w:val="-3"/>
          <w:sz w:val="24"/>
          <w:szCs w:val="24"/>
          <w:highlight w:val="none"/>
          <w:lang w:val="en-US" w:eastAsia="zh-CN"/>
        </w:rPr>
        <w:t>评审标准</w:t>
      </w:r>
    </w:p>
    <w:p w14:paraId="6FD1FF2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hint="eastAsia" w:ascii="宋体" w:hAnsi="宋体" w:cs="宋体"/>
          <w:spacing w:val="-3"/>
          <w:sz w:val="24"/>
          <w:szCs w:val="24"/>
          <w:highlight w:val="none"/>
          <w:lang w:val="en-US" w:eastAsia="zh-CN"/>
        </w:rPr>
      </w:pPr>
      <w:r>
        <w:rPr>
          <w:rFonts w:hint="eastAsia" w:ascii="宋体" w:hAnsi="宋体" w:cs="宋体"/>
          <w:spacing w:val="-3"/>
          <w:sz w:val="24"/>
          <w:szCs w:val="24"/>
          <w:highlight w:val="none"/>
          <w:lang w:val="en-US" w:eastAsia="zh-CN"/>
        </w:rPr>
        <w:t>11.4 工程量清单</w:t>
      </w:r>
    </w:p>
    <w:p w14:paraId="0479AE3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56" w:firstLineChars="200"/>
        <w:textAlignment w:val="auto"/>
        <w:rPr>
          <w:rFonts w:hint="eastAsia" w:ascii="宋体" w:hAnsi="宋体" w:cs="宋体" w:eastAsiaTheme="minorEastAsia"/>
          <w:spacing w:val="-6"/>
          <w:sz w:val="24"/>
          <w:szCs w:val="24"/>
          <w:highlight w:val="none"/>
          <w:lang w:val="en-US" w:eastAsia="zh-CN"/>
        </w:rPr>
      </w:pPr>
      <w:r>
        <w:rPr>
          <w:rFonts w:hint="eastAsia" w:ascii="宋体" w:hAnsi="宋体" w:cs="宋体"/>
          <w:spacing w:val="-6"/>
          <w:sz w:val="24"/>
          <w:szCs w:val="24"/>
          <w:highlight w:val="none"/>
        </w:rPr>
        <w:t>11.</w:t>
      </w:r>
      <w:r>
        <w:rPr>
          <w:rFonts w:hint="eastAsia" w:ascii="宋体" w:hAnsi="宋体" w:cs="宋体"/>
          <w:spacing w:val="-6"/>
          <w:sz w:val="24"/>
          <w:szCs w:val="24"/>
          <w:highlight w:val="none"/>
          <w:lang w:val="en-US" w:eastAsia="zh-CN"/>
        </w:rPr>
        <w:t>5</w:t>
      </w:r>
      <w:r>
        <w:rPr>
          <w:rFonts w:hint="eastAsia" w:ascii="宋体" w:hAnsi="宋体" w:cs="宋体"/>
          <w:spacing w:val="-6"/>
          <w:sz w:val="24"/>
          <w:szCs w:val="24"/>
          <w:highlight w:val="none"/>
        </w:rPr>
        <w:t xml:space="preserve"> </w:t>
      </w:r>
      <w:r>
        <w:rPr>
          <w:rFonts w:hint="eastAsia" w:ascii="宋体" w:hAnsi="宋体" w:cs="宋体"/>
          <w:spacing w:val="-6"/>
          <w:sz w:val="24"/>
          <w:szCs w:val="24"/>
          <w:highlight w:val="none"/>
          <w:lang w:val="en-US" w:eastAsia="zh-CN"/>
        </w:rPr>
        <w:t>图纸</w:t>
      </w:r>
    </w:p>
    <w:p w14:paraId="354E9BD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56" w:firstLineChars="200"/>
        <w:textAlignment w:val="auto"/>
        <w:rPr>
          <w:rFonts w:ascii="宋体" w:hAnsi="宋体" w:cs="宋体"/>
          <w:spacing w:val="-6"/>
          <w:sz w:val="24"/>
          <w:szCs w:val="24"/>
          <w:highlight w:val="none"/>
        </w:rPr>
      </w:pPr>
      <w:r>
        <w:rPr>
          <w:rFonts w:hint="eastAsia" w:ascii="宋体" w:hAnsi="宋体" w:cs="宋体"/>
          <w:spacing w:val="-6"/>
          <w:sz w:val="24"/>
          <w:szCs w:val="24"/>
          <w:highlight w:val="none"/>
          <w:lang w:val="en-US" w:eastAsia="zh-CN"/>
        </w:rPr>
        <w:t xml:space="preserve">11.6 </w:t>
      </w:r>
      <w:r>
        <w:rPr>
          <w:rFonts w:hint="eastAsia" w:ascii="宋体" w:hAnsi="宋体" w:cs="宋体"/>
          <w:spacing w:val="-6"/>
          <w:sz w:val="24"/>
          <w:szCs w:val="24"/>
          <w:highlight w:val="none"/>
        </w:rPr>
        <w:t>合同主要条款</w:t>
      </w:r>
    </w:p>
    <w:p w14:paraId="5C3DBCD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11.</w:t>
      </w:r>
      <w:r>
        <w:rPr>
          <w:rFonts w:hint="eastAsia" w:ascii="宋体" w:hAnsi="宋体" w:cs="宋体"/>
          <w:spacing w:val="-3"/>
          <w:sz w:val="24"/>
          <w:szCs w:val="24"/>
          <w:highlight w:val="none"/>
          <w:lang w:val="en-US" w:eastAsia="zh-CN"/>
        </w:rPr>
        <w:t>7</w:t>
      </w:r>
      <w:r>
        <w:rPr>
          <w:rFonts w:hint="eastAsia" w:ascii="宋体" w:hAnsi="宋体" w:cs="宋体"/>
          <w:spacing w:val="-3"/>
          <w:sz w:val="24"/>
          <w:szCs w:val="24"/>
          <w:highlight w:val="none"/>
        </w:rPr>
        <w:t xml:space="preserve"> 响应性文件格式</w:t>
      </w:r>
    </w:p>
    <w:p w14:paraId="567BFD2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12.竞争性磋商文件的澄清与修改</w:t>
      </w:r>
    </w:p>
    <w:p w14:paraId="078E2CA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12.1 采购代理机构对已发出的竞争性磋商文件进行必要澄清、修改或补充</w:t>
      </w:r>
      <w:r>
        <w:rPr>
          <w:rFonts w:hint="eastAsia" w:ascii="宋体" w:hAnsi="宋体" w:cs="宋体"/>
          <w:spacing w:val="-6"/>
          <w:sz w:val="24"/>
          <w:szCs w:val="24"/>
          <w:highlight w:val="none"/>
        </w:rPr>
        <w:t>的，应当在竞争性磋商文件要求提交响应性文件截止时间</w:t>
      </w:r>
      <w:r>
        <w:rPr>
          <w:rFonts w:hint="eastAsia" w:ascii="宋体" w:hAnsi="宋体" w:cs="宋体"/>
          <w:spacing w:val="-6"/>
          <w:sz w:val="24"/>
          <w:szCs w:val="24"/>
          <w:highlight w:val="none"/>
          <w:lang w:val="en-US" w:eastAsia="zh-CN"/>
        </w:rPr>
        <w:t>5</w:t>
      </w:r>
      <w:r>
        <w:rPr>
          <w:rFonts w:hint="eastAsia" w:ascii="宋体" w:hAnsi="宋体" w:cs="宋体"/>
          <w:spacing w:val="-6"/>
          <w:sz w:val="24"/>
          <w:szCs w:val="24"/>
          <w:highlight w:val="none"/>
        </w:rPr>
        <w:t>日（如至原定</w:t>
      </w:r>
      <w:r>
        <w:rPr>
          <w:rFonts w:hint="eastAsia" w:ascii="宋体" w:hAnsi="宋体" w:cs="宋体"/>
          <w:spacing w:val="-4"/>
          <w:sz w:val="24"/>
          <w:szCs w:val="24"/>
          <w:highlight w:val="none"/>
        </w:rPr>
        <w:t>截止时间不足</w:t>
      </w:r>
      <w:r>
        <w:rPr>
          <w:rFonts w:hint="eastAsia" w:ascii="宋体" w:hAnsi="宋体" w:cs="宋体"/>
          <w:spacing w:val="-4"/>
          <w:sz w:val="24"/>
          <w:szCs w:val="24"/>
          <w:highlight w:val="none"/>
          <w:lang w:val="en-US" w:eastAsia="zh-CN"/>
        </w:rPr>
        <w:t>5</w:t>
      </w:r>
      <w:r>
        <w:rPr>
          <w:rFonts w:hint="eastAsia" w:ascii="宋体" w:hAnsi="宋体" w:cs="宋体"/>
          <w:spacing w:val="-4"/>
          <w:sz w:val="24"/>
          <w:szCs w:val="24"/>
          <w:highlight w:val="none"/>
        </w:rPr>
        <w:t>日，则需延长磋商开始时间）前，在发布公告的相关媒体上发布更正公告</w:t>
      </w:r>
      <w:r>
        <w:rPr>
          <w:rFonts w:hint="eastAsia" w:ascii="宋体" w:hAnsi="宋体" w:cs="宋体"/>
          <w:spacing w:val="-3"/>
          <w:sz w:val="24"/>
          <w:szCs w:val="24"/>
          <w:highlight w:val="none"/>
        </w:rPr>
        <w:t>。竞争性磋商文件公示期间对竞争性磋商文件进行的澄清、修改或补充不受上述限制。</w:t>
      </w:r>
    </w:p>
    <w:p w14:paraId="1482E76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12.2 竞争性磋商文件澄清、修改或补充的内容为竞争性磋商文件的组成部分。</w:t>
      </w:r>
    </w:p>
    <w:p w14:paraId="6D6A1DB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5"/>
          <w:sz w:val="24"/>
          <w:szCs w:val="24"/>
          <w:highlight w:val="none"/>
        </w:rPr>
      </w:pPr>
      <w:r>
        <w:rPr>
          <w:rFonts w:hint="eastAsia" w:ascii="宋体" w:hAnsi="宋体" w:cs="宋体"/>
          <w:spacing w:val="-3"/>
          <w:sz w:val="24"/>
          <w:szCs w:val="24"/>
          <w:highlight w:val="none"/>
        </w:rPr>
        <w:t>12.3 竞争性磋商文件的澄清、修改或补充都应通过本采购代理机构以法定形式</w:t>
      </w:r>
      <w:r>
        <w:rPr>
          <w:rFonts w:hint="eastAsia" w:ascii="宋体" w:hAnsi="宋体" w:cs="宋体"/>
          <w:spacing w:val="-5"/>
          <w:sz w:val="24"/>
          <w:szCs w:val="24"/>
          <w:highlight w:val="none"/>
        </w:rPr>
        <w:t>发布。采购人未通过本采购代理机构对竞争性磋商文件进行的澄清、修改或补充无效，磋商时不予认可。</w:t>
      </w:r>
    </w:p>
    <w:p w14:paraId="27F0005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spacing w:val="-3"/>
          <w:sz w:val="24"/>
          <w:szCs w:val="24"/>
          <w:highlight w:val="none"/>
        </w:rPr>
        <w:t>12.4 采购代理机构可以视采购具体情况，延长递交响应性文件截止时间和</w:t>
      </w:r>
      <w:r>
        <w:rPr>
          <w:rFonts w:hint="eastAsia" w:ascii="宋体" w:hAnsi="宋体" w:cs="宋体"/>
          <w:spacing w:val="-4"/>
          <w:sz w:val="24"/>
          <w:szCs w:val="24"/>
          <w:highlight w:val="none"/>
        </w:rPr>
        <w:t>开始磋商时间，但至少应当在竞争性磋商文件要求提交响应性文件的截止时间</w:t>
      </w:r>
      <w:r>
        <w:rPr>
          <w:rFonts w:hint="eastAsia" w:ascii="宋体" w:hAnsi="宋体" w:cs="宋体"/>
          <w:spacing w:val="-4"/>
          <w:sz w:val="24"/>
          <w:szCs w:val="24"/>
          <w:highlight w:val="none"/>
          <w:lang w:val="en-US" w:eastAsia="zh-CN"/>
        </w:rPr>
        <w:t>5</w:t>
      </w:r>
      <w:r>
        <w:rPr>
          <w:rFonts w:hint="eastAsia" w:ascii="宋体" w:hAnsi="宋体" w:cs="宋体"/>
          <w:spacing w:val="-4"/>
          <w:sz w:val="24"/>
          <w:szCs w:val="24"/>
          <w:highlight w:val="none"/>
        </w:rPr>
        <w:t>日前，将变更时</w:t>
      </w:r>
      <w:r>
        <w:rPr>
          <w:rFonts w:hint="eastAsia" w:ascii="宋体" w:hAnsi="宋体" w:cs="宋体"/>
          <w:color w:val="000000" w:themeColor="text1"/>
          <w:spacing w:val="-4"/>
          <w:sz w:val="24"/>
          <w:szCs w:val="24"/>
          <w:highlight w:val="none"/>
          <w14:textFill>
            <w14:solidFill>
              <w14:schemeClr w14:val="tx1"/>
            </w14:solidFill>
          </w14:textFill>
        </w:rPr>
        <w:t>间在</w:t>
      </w:r>
      <w:r>
        <w:rPr>
          <w:rFonts w:hint="eastAsia" w:ascii="宋体" w:hAnsi="宋体" w:cs="宋体"/>
          <w:color w:val="000000" w:themeColor="text1"/>
          <w:spacing w:val="-4"/>
          <w:sz w:val="24"/>
          <w:szCs w:val="24"/>
          <w:highlight w:val="none"/>
          <w:lang w:val="en-US" w:eastAsia="zh-CN"/>
          <w14:textFill>
            <w14:solidFill>
              <w14:schemeClr w14:val="tx1"/>
            </w14:solidFill>
          </w14:textFill>
        </w:rPr>
        <w:t>《中国投标公共服务平台》</w:t>
      </w:r>
      <w:r>
        <w:rPr>
          <w:rFonts w:hint="eastAsia" w:ascii="宋体" w:hAnsi="宋体" w:cs="宋体"/>
          <w:color w:val="000000" w:themeColor="text1"/>
          <w:spacing w:val="-4"/>
          <w:sz w:val="24"/>
          <w:szCs w:val="24"/>
          <w:highlight w:val="none"/>
          <w14:textFill>
            <w14:solidFill>
              <w14:schemeClr w14:val="tx1"/>
            </w14:solidFill>
          </w14:textFill>
        </w:rPr>
        <w:t>、《</w:t>
      </w:r>
      <w:r>
        <w:rPr>
          <w:rFonts w:hint="eastAsia" w:ascii="宋体" w:hAnsi="宋体" w:cs="宋体"/>
          <w:color w:val="000000" w:themeColor="text1"/>
          <w:spacing w:val="-4"/>
          <w:sz w:val="24"/>
          <w:szCs w:val="24"/>
          <w:highlight w:val="none"/>
          <w:lang w:val="en-US" w:eastAsia="zh-CN"/>
          <w14:textFill>
            <w14:solidFill>
              <w14:schemeClr w14:val="tx1"/>
            </w14:solidFill>
          </w14:textFill>
        </w:rPr>
        <w:t>中国采购与招标网</w:t>
      </w:r>
      <w:r>
        <w:rPr>
          <w:rFonts w:hint="eastAsia" w:ascii="宋体" w:hAnsi="宋体" w:cs="宋体"/>
          <w:color w:val="000000" w:themeColor="text1"/>
          <w:spacing w:val="-4"/>
          <w:sz w:val="24"/>
          <w:szCs w:val="24"/>
          <w:highlight w:val="none"/>
          <w14:textFill>
            <w14:solidFill>
              <w14:schemeClr w14:val="tx1"/>
            </w14:solidFill>
          </w14:textFill>
        </w:rPr>
        <w:t>》、《河南省政府采购网》、《三门峡市公共资源交易中心网》等相关媒体上发布更正公告。</w:t>
      </w:r>
    </w:p>
    <w:p w14:paraId="2871CBF2">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35" w:name="_Toc461977416"/>
      <w:bookmarkEnd w:id="35"/>
      <w:bookmarkStart w:id="36" w:name="_Toc2226"/>
      <w:r>
        <w:rPr>
          <w:rFonts w:hint="eastAsia" w:ascii="宋体" w:hAnsi="宋体" w:cs="宋体"/>
          <w:b/>
          <w:sz w:val="28"/>
          <w:szCs w:val="28"/>
          <w:highlight w:val="none"/>
        </w:rPr>
        <w:t>三、响应性文件的编制</w:t>
      </w:r>
      <w:bookmarkEnd w:id="36"/>
    </w:p>
    <w:p w14:paraId="6D53730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13.要求</w:t>
      </w:r>
    </w:p>
    <w:p w14:paraId="7634845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13.1</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对所提供的全部资料的合法性、真实性负责。</w:t>
      </w:r>
    </w:p>
    <w:p w14:paraId="2347B7F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14.响应性文件的语言和计量单位</w:t>
      </w:r>
    </w:p>
    <w:p w14:paraId="3851D00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14.1 响应性文件以及</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与采购、代理机构就有关磋商事宜的所有来往函电均应使用简体中文书写。</w:t>
      </w:r>
    </w:p>
    <w:p w14:paraId="0818423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1DB55F5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15.响应性文件的组成。响应性文件应包括：详见磋商文件</w:t>
      </w:r>
    </w:p>
    <w:p w14:paraId="2C0FDD8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16.响应性文件有效期</w:t>
      </w:r>
    </w:p>
    <w:p w14:paraId="1CFABD4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16.1 响应性文件从所规定的递交响应性文件截止期之后开始生效，有效期不足将导致其响应性文件被拒绝。成交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的响应性文件有效期至合同完全履行止。</w:t>
      </w:r>
    </w:p>
    <w:p w14:paraId="6B2AAA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16.2 特殊情况下采购代理机构可于响应性文件有效期满之前要求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同意延长有效期，</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应在采购代理机构规定的期限内予以答复。</w:t>
      </w:r>
    </w:p>
    <w:p w14:paraId="61D20EE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17.磋商报价</w:t>
      </w:r>
    </w:p>
    <w:p w14:paraId="5BD1431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17.1 所有磋商报价均以人民币元为计算单位。</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的报价为项目实施所需的人工费、服务费、运输费、税费及完成项目所需其他一切费用。</w:t>
      </w:r>
    </w:p>
    <w:p w14:paraId="6EB47A8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17.2 </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要按初次报价一览表的内容填写。</w:t>
      </w:r>
    </w:p>
    <w:p w14:paraId="487EE12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17.3本次磋商应以人民币报价，</w:t>
      </w:r>
      <w:r>
        <w:rPr>
          <w:rFonts w:hint="eastAsia" w:ascii="宋体" w:hAnsi="宋体" w:cs="宋体"/>
          <w:spacing w:val="-4"/>
          <w:sz w:val="24"/>
          <w:szCs w:val="24"/>
          <w:highlight w:val="none"/>
          <w:lang w:val="en-US" w:eastAsia="zh-CN"/>
        </w:rPr>
        <w:t>各供应商需注意系统内磋商小组发起的</w:t>
      </w:r>
      <w:r>
        <w:rPr>
          <w:rFonts w:hint="eastAsia" w:ascii="宋体" w:hAnsi="宋体" w:cs="宋体"/>
          <w:spacing w:val="-4"/>
          <w:sz w:val="24"/>
          <w:szCs w:val="24"/>
          <w:highlight w:val="none"/>
        </w:rPr>
        <w:t>二次报价</w:t>
      </w:r>
      <w:r>
        <w:rPr>
          <w:rFonts w:hint="eastAsia" w:ascii="宋体" w:hAnsi="宋体" w:cs="宋体"/>
          <w:spacing w:val="-4"/>
          <w:sz w:val="24"/>
          <w:szCs w:val="24"/>
          <w:highlight w:val="none"/>
          <w:lang w:val="en-US" w:eastAsia="zh-CN"/>
        </w:rPr>
        <w:t>并在规定时间内进行二次报价</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lang w:val="en-US" w:eastAsia="zh-CN"/>
        </w:rPr>
        <w:t>评标过程如有相关答疑澄清，各供应商需注意并及时回复，未在规定时间内进行二次报价及相关澄清回复的按自动放弃处理</w:t>
      </w:r>
      <w:r>
        <w:rPr>
          <w:rFonts w:hint="eastAsia" w:ascii="宋体" w:hAnsi="宋体" w:cs="宋体"/>
          <w:spacing w:val="-4"/>
          <w:sz w:val="24"/>
          <w:szCs w:val="24"/>
          <w:highlight w:val="none"/>
        </w:rPr>
        <w:t>。</w:t>
      </w:r>
    </w:p>
    <w:p w14:paraId="6441F3E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18.磋商保证金</w:t>
      </w:r>
    </w:p>
    <w:p w14:paraId="0EE5FD4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cs="宋体"/>
          <w:spacing w:val="-4"/>
          <w:sz w:val="24"/>
          <w:szCs w:val="24"/>
          <w:highlight w:val="none"/>
        </w:rPr>
        <w:t>18.1按照《河南省财政厅关于优化政府采购营商环境有关问题的通知》（豫财购[2019]4号文）的要求本项目不再收取</w:t>
      </w:r>
      <w:r>
        <w:rPr>
          <w:rFonts w:hint="eastAsia" w:ascii="宋体" w:hAnsi="宋体" w:cs="宋体"/>
          <w:spacing w:val="-4"/>
          <w:sz w:val="24"/>
          <w:szCs w:val="24"/>
          <w:highlight w:val="none"/>
          <w:lang w:eastAsia="zh-CN"/>
        </w:rPr>
        <w:t>磋商</w:t>
      </w:r>
      <w:r>
        <w:rPr>
          <w:rFonts w:hint="eastAsia" w:ascii="宋体" w:hAnsi="宋体" w:cs="宋体"/>
          <w:spacing w:val="-4"/>
          <w:sz w:val="24"/>
          <w:szCs w:val="24"/>
          <w:highlight w:val="none"/>
        </w:rPr>
        <w:t>保证金</w:t>
      </w:r>
      <w:r>
        <w:rPr>
          <w:rFonts w:hint="eastAsia" w:ascii="宋体" w:hAnsi="宋体" w:cs="宋体"/>
          <w:spacing w:val="-4"/>
          <w:sz w:val="24"/>
          <w:szCs w:val="24"/>
          <w:highlight w:val="none"/>
          <w:lang w:eastAsia="zh-CN"/>
        </w:rPr>
        <w:t>。</w:t>
      </w:r>
    </w:p>
    <w:p w14:paraId="3807A5C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19. 响应性文件的签署</w:t>
      </w:r>
    </w:p>
    <w:p w14:paraId="133F4EC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lang w:eastAsia="zh-CN"/>
        </w:rPr>
      </w:pPr>
      <w:r>
        <w:rPr>
          <w:rFonts w:hint="eastAsia" w:ascii="宋体" w:hAnsi="宋体" w:cs="宋体"/>
          <w:spacing w:val="-4"/>
          <w:sz w:val="24"/>
          <w:szCs w:val="24"/>
          <w:highlight w:val="none"/>
        </w:rPr>
        <w:t xml:space="preserve">19.1 </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应按</w:t>
      </w:r>
      <w:r>
        <w:rPr>
          <w:rFonts w:hint="eastAsia" w:ascii="宋体" w:hAnsi="宋体" w:cs="宋体"/>
          <w:spacing w:val="-4"/>
          <w:sz w:val="24"/>
          <w:szCs w:val="24"/>
          <w:highlight w:val="none"/>
          <w:lang w:val="en-US" w:eastAsia="zh-CN"/>
        </w:rPr>
        <w:t>响应人前附表中要求</w:t>
      </w:r>
      <w:r>
        <w:rPr>
          <w:rFonts w:hint="eastAsia" w:ascii="宋体" w:hAnsi="宋体" w:cs="宋体"/>
          <w:spacing w:val="-4"/>
          <w:sz w:val="24"/>
          <w:szCs w:val="24"/>
          <w:highlight w:val="none"/>
        </w:rPr>
        <w:t>签署。响应性文件内容不完整、编排混乱导致被误读、漏读或者查找不到相关内容的，由</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负责</w:t>
      </w:r>
      <w:r>
        <w:rPr>
          <w:rFonts w:hint="eastAsia" w:ascii="宋体" w:hAnsi="宋体" w:cs="宋体"/>
          <w:spacing w:val="-4"/>
          <w:sz w:val="24"/>
          <w:szCs w:val="24"/>
          <w:highlight w:val="none"/>
          <w:lang w:eastAsia="zh-CN"/>
        </w:rPr>
        <w:t>。</w:t>
      </w:r>
    </w:p>
    <w:p w14:paraId="2AF677F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default" w:ascii="宋体" w:hAnsi="宋体" w:cs="宋体"/>
          <w:spacing w:val="-4"/>
          <w:sz w:val="24"/>
          <w:szCs w:val="24"/>
          <w:highlight w:val="none"/>
          <w:lang w:val="en-US" w:eastAsia="zh-CN"/>
        </w:rPr>
      </w:pPr>
      <w:bookmarkStart w:id="37" w:name="_Toc27830"/>
      <w:r>
        <w:rPr>
          <w:rFonts w:hint="eastAsia" w:ascii="宋体" w:hAnsi="宋体" w:cs="宋体"/>
          <w:spacing w:val="-4"/>
          <w:sz w:val="24"/>
          <w:szCs w:val="24"/>
          <w:highlight w:val="none"/>
          <w:lang w:val="en-US" w:eastAsia="zh-CN"/>
        </w:rPr>
        <w:t>20.控制价编制说明：详见盖章版招标控制价总说明</w:t>
      </w:r>
    </w:p>
    <w:p w14:paraId="524338F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spacing w:val="-4"/>
          <w:sz w:val="28"/>
          <w:szCs w:val="28"/>
          <w:highlight w:val="none"/>
        </w:rPr>
      </w:pPr>
      <w:r>
        <w:rPr>
          <w:rFonts w:hint="eastAsia" w:ascii="宋体" w:hAnsi="宋体" w:cs="宋体"/>
          <w:b/>
          <w:sz w:val="28"/>
          <w:szCs w:val="28"/>
          <w:highlight w:val="none"/>
        </w:rPr>
        <w:t>四、响应性文件的递交</w:t>
      </w:r>
      <w:bookmarkEnd w:id="37"/>
    </w:p>
    <w:p w14:paraId="60CE827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21</w:t>
      </w:r>
      <w:r>
        <w:rPr>
          <w:rFonts w:hint="eastAsia" w:ascii="宋体" w:hAnsi="宋体" w:cs="宋体"/>
          <w:spacing w:val="-4"/>
          <w:sz w:val="24"/>
          <w:szCs w:val="24"/>
          <w:highlight w:val="none"/>
        </w:rPr>
        <w:t>.响应性文件的递交</w:t>
      </w:r>
    </w:p>
    <w:p w14:paraId="07A115F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在响应文件截止时间前上传至三门峡市公共资源交易中心系统平台。</w:t>
      </w:r>
    </w:p>
    <w:p w14:paraId="5A5C7CB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22</w:t>
      </w:r>
      <w:r>
        <w:rPr>
          <w:rFonts w:hint="eastAsia" w:ascii="宋体" w:hAnsi="宋体" w:cs="宋体"/>
          <w:spacing w:val="-4"/>
          <w:sz w:val="24"/>
          <w:szCs w:val="24"/>
          <w:highlight w:val="none"/>
        </w:rPr>
        <w:t>.响应性文件的修改和撤回</w:t>
      </w:r>
    </w:p>
    <w:p w14:paraId="43B7F83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22</w:t>
      </w:r>
      <w:r>
        <w:rPr>
          <w:rFonts w:hint="eastAsia" w:ascii="宋体" w:hAnsi="宋体" w:cs="宋体"/>
          <w:spacing w:val="-4"/>
          <w:sz w:val="24"/>
          <w:szCs w:val="24"/>
          <w:highlight w:val="none"/>
        </w:rPr>
        <w:t>.1</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在递交竞争性磋商文件截止时间前，可以对所提交的响应性文件进行补充、修改或者撤回。</w:t>
      </w:r>
    </w:p>
    <w:p w14:paraId="0DCB8C8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23</w:t>
      </w:r>
      <w:r>
        <w:rPr>
          <w:rFonts w:hint="eastAsia" w:ascii="宋体" w:hAnsi="宋体" w:cs="宋体"/>
          <w:spacing w:val="-4"/>
          <w:sz w:val="24"/>
          <w:szCs w:val="24"/>
          <w:highlight w:val="none"/>
        </w:rPr>
        <w:t>.</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有下列情形之一的，采购人或采购代理机构将拒绝接受其响应性文件：</w:t>
      </w:r>
    </w:p>
    <w:p w14:paraId="775D51D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23</w:t>
      </w:r>
      <w:r>
        <w:rPr>
          <w:rFonts w:hint="eastAsia" w:ascii="宋体" w:hAnsi="宋体" w:cs="宋体"/>
          <w:spacing w:val="-4"/>
          <w:sz w:val="24"/>
          <w:szCs w:val="24"/>
          <w:highlight w:val="none"/>
        </w:rPr>
        <w:t>.1 在竞争性磋商文件规定的递交竞争性磋商文件截止时间之后上传竞争性磋商文件的。</w:t>
      </w:r>
    </w:p>
    <w:p w14:paraId="4E8D0DB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8"/>
          <w:szCs w:val="28"/>
          <w:highlight w:val="none"/>
        </w:rPr>
      </w:pPr>
      <w:r>
        <w:rPr>
          <w:rFonts w:hint="eastAsia" w:ascii="宋体" w:hAnsi="宋体" w:cs="宋体"/>
          <w:spacing w:val="-4"/>
          <w:sz w:val="24"/>
          <w:szCs w:val="24"/>
          <w:highlight w:val="none"/>
          <w:lang w:val="en-US" w:eastAsia="zh-CN"/>
        </w:rPr>
        <w:t>23</w:t>
      </w:r>
      <w:r>
        <w:rPr>
          <w:rFonts w:hint="eastAsia" w:ascii="宋体" w:hAnsi="宋体" w:cs="宋体"/>
          <w:spacing w:val="-4"/>
          <w:sz w:val="24"/>
          <w:szCs w:val="24"/>
          <w:highlight w:val="none"/>
        </w:rPr>
        <w:t>. 2未按竞争性磋商文件</w:t>
      </w:r>
      <w:r>
        <w:rPr>
          <w:rFonts w:hint="eastAsia" w:ascii="宋体" w:hAnsi="宋体" w:cs="宋体"/>
          <w:spacing w:val="-4"/>
          <w:sz w:val="24"/>
          <w:szCs w:val="24"/>
          <w:highlight w:val="none"/>
          <w:lang w:eastAsia="zh-CN"/>
        </w:rPr>
        <w:t>要求</w:t>
      </w:r>
      <w:r>
        <w:rPr>
          <w:rFonts w:hint="eastAsia" w:ascii="宋体" w:hAnsi="宋体" w:cs="宋体"/>
          <w:spacing w:val="-4"/>
          <w:sz w:val="24"/>
          <w:szCs w:val="24"/>
          <w:highlight w:val="none"/>
        </w:rPr>
        <w:t>参加磋商的。</w:t>
      </w:r>
    </w:p>
    <w:p w14:paraId="0B8DCBF2">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38" w:name="_Toc461977418"/>
      <w:bookmarkEnd w:id="38"/>
      <w:bookmarkStart w:id="39" w:name="_Toc9665"/>
      <w:r>
        <w:rPr>
          <w:rFonts w:hint="eastAsia" w:ascii="宋体" w:hAnsi="宋体" w:cs="宋体"/>
          <w:b/>
          <w:sz w:val="28"/>
          <w:szCs w:val="28"/>
          <w:highlight w:val="none"/>
        </w:rPr>
        <w:t>五、磋商</w:t>
      </w:r>
      <w:bookmarkEnd w:id="39"/>
    </w:p>
    <w:p w14:paraId="11328D2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cs="宋体"/>
          <w:spacing w:val="-4"/>
          <w:sz w:val="24"/>
          <w:szCs w:val="24"/>
          <w:highlight w:val="none"/>
          <w:lang w:val="en-US" w:eastAsia="zh-CN"/>
        </w:rPr>
        <w:t>24.</w:t>
      </w:r>
      <w:r>
        <w:rPr>
          <w:rFonts w:hint="eastAsia" w:ascii="宋体" w:hAnsi="宋体" w:cs="宋体"/>
          <w:spacing w:val="-4"/>
          <w:sz w:val="24"/>
          <w:szCs w:val="24"/>
          <w:highlight w:val="none"/>
        </w:rPr>
        <w:t>磋商仪式</w:t>
      </w:r>
    </w:p>
    <w:p w14:paraId="2240F8E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sz w:val="24"/>
          <w:szCs w:val="24"/>
          <w:highlight w:val="none"/>
          <w:shd w:val="clear" w:color="auto" w:fill="FFFFFF"/>
          <w:lang w:eastAsia="zh-CN"/>
        </w:rPr>
      </w:pPr>
      <w:r>
        <w:rPr>
          <w:rFonts w:hint="eastAsia" w:ascii="宋体" w:hAnsi="宋体" w:cs="宋体"/>
          <w:spacing w:val="-4"/>
          <w:sz w:val="24"/>
          <w:szCs w:val="24"/>
          <w:highlight w:val="none"/>
        </w:rPr>
        <w:t>磋商仪式由代理公司主持，竞争性磋商采购人代表、监督代表及有关工作人员参加，本项目为不见面开标项目，所有参与交易活动的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可以不到现场参加开标，</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进行远程开标解密工作，每位</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的解密时间为开标时间起</w:t>
      </w:r>
      <w:r>
        <w:rPr>
          <w:rFonts w:hint="eastAsia" w:ascii="宋体" w:hAnsi="宋体" w:cs="宋体"/>
          <w:spacing w:val="-4"/>
          <w:sz w:val="24"/>
          <w:szCs w:val="24"/>
          <w:highlight w:val="none"/>
          <w:lang w:val="en-US" w:eastAsia="zh-CN"/>
        </w:rPr>
        <w:t>3</w:t>
      </w:r>
      <w:r>
        <w:rPr>
          <w:rFonts w:hint="eastAsia" w:ascii="宋体" w:hAnsi="宋体" w:cs="宋体"/>
          <w:spacing w:val="-4"/>
          <w:sz w:val="24"/>
          <w:szCs w:val="24"/>
          <w:highlight w:val="none"/>
        </w:rPr>
        <w:t>0分钟内完成，</w:t>
      </w:r>
      <w:r>
        <w:rPr>
          <w:rFonts w:hint="eastAsia" w:ascii="宋体" w:hAnsi="宋体"/>
          <w:sz w:val="24"/>
          <w:szCs w:val="24"/>
          <w:highlight w:val="none"/>
          <w:shd w:val="clear" w:color="auto" w:fill="FFFFFF"/>
        </w:rPr>
        <w:t>因</w:t>
      </w:r>
      <w:r>
        <w:rPr>
          <w:rFonts w:hint="eastAsia" w:ascii="宋体" w:hAnsi="宋体"/>
          <w:sz w:val="24"/>
          <w:szCs w:val="24"/>
          <w:highlight w:val="none"/>
          <w:shd w:val="clear" w:color="auto" w:fill="FFFFFF"/>
          <w:lang w:eastAsia="zh-CN"/>
        </w:rPr>
        <w:t>响应人</w:t>
      </w:r>
      <w:r>
        <w:rPr>
          <w:rFonts w:hint="eastAsia" w:ascii="宋体" w:hAnsi="宋体"/>
          <w:sz w:val="24"/>
          <w:szCs w:val="24"/>
          <w:highlight w:val="none"/>
          <w:shd w:val="clear" w:color="auto" w:fill="FFFFFF"/>
        </w:rPr>
        <w:t>原因未能解密、解密失败或解密超时的将被拒绝</w:t>
      </w:r>
      <w:r>
        <w:rPr>
          <w:rFonts w:hint="eastAsia" w:ascii="宋体" w:hAnsi="宋体"/>
          <w:sz w:val="24"/>
          <w:szCs w:val="24"/>
          <w:highlight w:val="none"/>
          <w:shd w:val="clear" w:color="auto" w:fill="FFFFFF"/>
          <w:lang w:eastAsia="zh-CN"/>
        </w:rPr>
        <w:t>。</w:t>
      </w:r>
    </w:p>
    <w:p w14:paraId="74EC18E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25.</w:t>
      </w:r>
      <w:r>
        <w:rPr>
          <w:rFonts w:hint="eastAsia" w:ascii="宋体" w:hAnsi="宋体" w:cs="宋体"/>
          <w:spacing w:val="-4"/>
          <w:sz w:val="24"/>
          <w:szCs w:val="24"/>
          <w:highlight w:val="none"/>
        </w:rPr>
        <w:t>磋商小组</w:t>
      </w:r>
      <w:r>
        <w:rPr>
          <w:rFonts w:hint="eastAsia" w:ascii="宋体" w:hAnsi="宋体" w:cs="宋体"/>
          <w:spacing w:val="-4"/>
          <w:sz w:val="24"/>
          <w:szCs w:val="24"/>
          <w:highlight w:val="none"/>
        </w:rPr>
        <w:tab/>
      </w:r>
    </w:p>
    <w:p w14:paraId="36BD19E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1BBA29F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26.</w:t>
      </w:r>
      <w:r>
        <w:rPr>
          <w:rFonts w:hint="eastAsia" w:ascii="宋体" w:hAnsi="宋体" w:cs="宋体"/>
          <w:spacing w:val="-4"/>
          <w:sz w:val="24"/>
          <w:szCs w:val="24"/>
          <w:highlight w:val="none"/>
        </w:rPr>
        <w:t>磋商工作纪律及保密</w:t>
      </w:r>
    </w:p>
    <w:p w14:paraId="4FBC672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评审专家应当遵守评审工作纪律，不得泄露评审情况和评审中获悉的商业秘密。</w:t>
      </w:r>
    </w:p>
    <w:p w14:paraId="4BEB3DC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27.</w:t>
      </w:r>
      <w:r>
        <w:rPr>
          <w:rFonts w:hint="eastAsia" w:ascii="宋体" w:hAnsi="宋体" w:cs="宋体"/>
          <w:spacing w:val="-4"/>
          <w:sz w:val="24"/>
          <w:szCs w:val="24"/>
          <w:highlight w:val="none"/>
        </w:rPr>
        <w:t>磋商小组工作原则</w:t>
      </w:r>
    </w:p>
    <w:p w14:paraId="459037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w:t>
      </w:r>
    </w:p>
    <w:p w14:paraId="6208569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28.</w:t>
      </w:r>
      <w:r>
        <w:rPr>
          <w:rFonts w:hint="eastAsia" w:ascii="宋体" w:hAnsi="宋体" w:cs="宋体"/>
          <w:spacing w:val="-4"/>
          <w:sz w:val="24"/>
          <w:szCs w:val="24"/>
          <w:highlight w:val="none"/>
        </w:rPr>
        <w:t>响应文件审查</w:t>
      </w:r>
    </w:p>
    <w:p w14:paraId="5DEDFA2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磋商小组在对响应文件的有效性、完整性和响应程度进行审查时，可以要求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对响应文件中含义不明确、同类问题表述不一致或者有明显文字和计算错误的内容等作出必要的澄清、说明或者更正。</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的澄清、说明或者更正不得超出响应文件的范围或者改变响应文件的实质性内容。</w:t>
      </w:r>
    </w:p>
    <w:p w14:paraId="50C4F03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29.</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澄清</w:t>
      </w:r>
    </w:p>
    <w:p w14:paraId="4FCA555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澄清、说明或者更正响应文件将在电子系统作出。</w:t>
      </w:r>
    </w:p>
    <w:p w14:paraId="7C0ECAA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30.</w:t>
      </w:r>
      <w:r>
        <w:rPr>
          <w:rFonts w:hint="eastAsia" w:ascii="宋体" w:hAnsi="宋体" w:cs="宋体"/>
          <w:spacing w:val="-4"/>
          <w:sz w:val="24"/>
          <w:szCs w:val="24"/>
          <w:highlight w:val="none"/>
        </w:rPr>
        <w:t>磋商程序、最后报价、综合评分</w:t>
      </w:r>
    </w:p>
    <w:p w14:paraId="0AF4902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rPr>
        <w:t>在磋商过程中，磋商小组可以根据磋商文件和磋商情况实质性变动采购需求中的技术、服务要求以及合同草案条款，但不得变动磋商文件中的其他内容。</w:t>
      </w:r>
    </w:p>
    <w:p w14:paraId="23E316F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磋商文件能够详细列明采购标的的技术、服务要求的，磋商结束后，磋商小组应当要求所有实质性响应的供应商在规定时间内提交最后报价，提交最后报价的供应商不得少于3家。最后报价是</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响应文件的有效组成部分。</w:t>
      </w:r>
    </w:p>
    <w:p w14:paraId="1BDA9F2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rPr>
        <w:t>已提交响应文件的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，在提交最后报价之前，可以根据情况退出磋商。</w:t>
      </w:r>
    </w:p>
    <w:p w14:paraId="1C208A9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经磋商确定最终采购需求和提交最后报价的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后，由磋商小组采用综合评分法对提交最后报价的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的响应文件和最后报价进行综合评分。综合评分法，是指响应文件满足磋商文件全部实质性要求且按评审因素的量化指标评审得分最高的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为成交候选</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的评审方法。</w:t>
      </w:r>
    </w:p>
    <w:p w14:paraId="3ACDB89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评审时，磋商小组各成员独立对每个有效响应的文件进行评价、打分，然后汇总每个</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每项评分因素的得分。</w:t>
      </w:r>
    </w:p>
    <w:p w14:paraId="7E7B59A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磋商小组应当根据综合评分情况，按照评审得分由高到低顺序推荐3名成交候选</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并编写评审报告。评审得分相同的，按照最后报价由低到高的顺序推荐。评审得分且最后报价相同的，按照技术指标优劣顺序推荐。</w:t>
      </w:r>
    </w:p>
    <w:p w14:paraId="067C464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出现下列情形之一的，将终止竞争性磋商采购活动，发布项目终止公告并说明原因，重新开展采购活动：</w:t>
      </w:r>
    </w:p>
    <w:p w14:paraId="7E4FC90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1、不符合法律、法规和竞争性磋商文件中规定的其他实质性要求的；</w:t>
      </w:r>
    </w:p>
    <w:p w14:paraId="388733B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2、其他法律、法规及本竞争性磋商文件规定的属响应无效的情形。终止竞争性磋商采购活动的条款；</w:t>
      </w:r>
    </w:p>
    <w:p w14:paraId="641987F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3、因情况变化，不再符合规定的竞争性磋商采购方式适用情形的；出现影响采购公正的违法、违规行为的；</w:t>
      </w:r>
    </w:p>
    <w:p w14:paraId="0BAB283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cs="宋体"/>
          <w:spacing w:val="-4"/>
          <w:sz w:val="24"/>
          <w:szCs w:val="24"/>
          <w:highlight w:val="none"/>
        </w:rPr>
        <w:t>3</w:t>
      </w:r>
      <w:r>
        <w:rPr>
          <w:rFonts w:hint="eastAsia" w:ascii="宋体" w:hAnsi="宋体" w:cs="宋体"/>
          <w:spacing w:val="-4"/>
          <w:sz w:val="24"/>
          <w:szCs w:val="24"/>
          <w:highlight w:val="none"/>
          <w:lang w:val="en-US" w:eastAsia="zh-CN"/>
        </w:rPr>
        <w:t>1.</w:t>
      </w:r>
      <w:r>
        <w:rPr>
          <w:rFonts w:hint="eastAsia" w:ascii="宋体" w:hAnsi="宋体" w:cs="宋体"/>
          <w:spacing w:val="-4"/>
          <w:sz w:val="24"/>
          <w:szCs w:val="24"/>
          <w:highlight w:val="none"/>
        </w:rPr>
        <w:t>磋商截止时间结束后参加</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不足3家的，</w:t>
      </w:r>
      <w:r>
        <w:rPr>
          <w:rFonts w:hint="eastAsia" w:ascii="宋体" w:hAnsi="宋体" w:cs="宋体"/>
          <w:spacing w:val="-4"/>
          <w:sz w:val="24"/>
          <w:szCs w:val="24"/>
          <w:highlight w:val="none"/>
          <w:lang w:eastAsia="zh-CN"/>
        </w:rPr>
        <w:t>应</w:t>
      </w:r>
      <w:r>
        <w:rPr>
          <w:rFonts w:hint="eastAsia" w:ascii="宋体" w:hAnsi="宋体" w:cs="宋体"/>
          <w:spacing w:val="-4"/>
          <w:sz w:val="24"/>
          <w:szCs w:val="24"/>
          <w:highlight w:val="none"/>
        </w:rPr>
        <w:t>重新组织采购</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评审期间符合专业条件的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或者对磋商响应文件作出实质响应的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不足3家的，</w:t>
      </w:r>
      <w:r>
        <w:rPr>
          <w:rFonts w:hint="eastAsia" w:ascii="宋体" w:hAnsi="宋体" w:cs="宋体"/>
          <w:sz w:val="24"/>
          <w:szCs w:val="24"/>
          <w:highlight w:val="none"/>
        </w:rPr>
        <w:t>应重新组织采购</w:t>
      </w:r>
      <w:r>
        <w:rPr>
          <w:rFonts w:hint="eastAsia" w:ascii="宋体" w:hAnsi="宋体" w:cs="宋体"/>
          <w:sz w:val="24"/>
          <w:szCs w:val="24"/>
          <w:highlight w:val="none"/>
          <w:lang w:eastAsia="zh-CN"/>
        </w:rPr>
        <w:t>。</w:t>
      </w:r>
    </w:p>
    <w:p w14:paraId="60753759">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40" w:name="_Toc461977419"/>
      <w:bookmarkEnd w:id="40"/>
      <w:bookmarkStart w:id="41" w:name="_Toc12427"/>
      <w:r>
        <w:rPr>
          <w:rFonts w:hint="eastAsia" w:ascii="宋体" w:hAnsi="宋体" w:cs="宋体"/>
          <w:b/>
          <w:sz w:val="28"/>
          <w:szCs w:val="28"/>
          <w:highlight w:val="none"/>
        </w:rPr>
        <w:t>六、确定成交</w:t>
      </w:r>
      <w:bookmarkEnd w:id="41"/>
    </w:p>
    <w:p w14:paraId="45194DD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32.</w:t>
      </w:r>
      <w:r>
        <w:rPr>
          <w:rFonts w:hint="eastAsia" w:ascii="宋体" w:hAnsi="宋体" w:cs="宋体"/>
          <w:spacing w:val="-4"/>
          <w:sz w:val="24"/>
          <w:szCs w:val="24"/>
          <w:highlight w:val="none"/>
        </w:rPr>
        <w:t>评标结束后，采购人和其委托的采购代理机构，在政府采购项目评审结束</w:t>
      </w:r>
      <w:r>
        <w:rPr>
          <w:rFonts w:hint="eastAsia" w:ascii="宋体" w:hAnsi="宋体" w:cs="宋体"/>
          <w:spacing w:val="-4"/>
          <w:sz w:val="24"/>
          <w:szCs w:val="24"/>
          <w:highlight w:val="none"/>
          <w:lang w:eastAsia="zh-CN"/>
        </w:rPr>
        <w:t>当</w:t>
      </w:r>
      <w:r>
        <w:rPr>
          <w:rFonts w:hint="eastAsia" w:ascii="宋体" w:hAnsi="宋体" w:cs="宋体"/>
          <w:spacing w:val="-4"/>
          <w:sz w:val="24"/>
          <w:szCs w:val="24"/>
          <w:highlight w:val="none"/>
        </w:rPr>
        <w:t>日完成评标报告的报送、中标</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的确定、</w:t>
      </w:r>
      <w:r>
        <w:rPr>
          <w:rFonts w:hint="eastAsia" w:ascii="宋体" w:hAnsi="宋体" w:cs="宋体"/>
          <w:spacing w:val="-4"/>
          <w:sz w:val="24"/>
          <w:szCs w:val="24"/>
          <w:highlight w:val="none"/>
          <w:lang w:eastAsia="zh-CN"/>
        </w:rPr>
        <w:t>成交</w:t>
      </w:r>
      <w:r>
        <w:rPr>
          <w:rFonts w:hint="eastAsia" w:ascii="宋体" w:hAnsi="宋体" w:cs="宋体"/>
          <w:spacing w:val="-4"/>
          <w:sz w:val="24"/>
          <w:szCs w:val="24"/>
          <w:highlight w:val="none"/>
        </w:rPr>
        <w:t>公告的发布、成交通知书发出。成交通知书对采购人和中标</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具有同等法律效力。成交通知书发出后，采购人改变中标结果，或者成交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放弃中标，应按相关法律、规章、规范性文件的要求承担相应的法律责任。中标</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未按规定交纳服务费、领取成交通知书的视为自动放弃中标。</w:t>
      </w:r>
    </w:p>
    <w:p w14:paraId="094BADD4">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480" w:firstLineChars="200"/>
        <w:jc w:val="left"/>
        <w:textAlignment w:val="auto"/>
        <w:outlineLvl w:val="1"/>
        <w:rPr>
          <w:rFonts w:hint="eastAsia" w:ascii="宋体" w:hAnsi="宋体" w:cs="宋体"/>
          <w:b w:val="0"/>
          <w:bCs/>
          <w:sz w:val="24"/>
          <w:szCs w:val="24"/>
          <w:highlight w:val="none"/>
          <w:lang w:val="en-US" w:eastAsia="zh-CN"/>
        </w:rPr>
      </w:pPr>
      <w:bookmarkStart w:id="42" w:name="_Toc461977420"/>
      <w:bookmarkEnd w:id="42"/>
      <w:r>
        <w:rPr>
          <w:rFonts w:hint="eastAsia" w:ascii="宋体" w:hAnsi="宋体" w:cs="宋体"/>
          <w:b w:val="0"/>
          <w:bCs/>
          <w:sz w:val="24"/>
          <w:szCs w:val="24"/>
          <w:highlight w:val="none"/>
          <w:lang w:val="en-US" w:eastAsia="zh-CN"/>
        </w:rPr>
        <w:t>33.招标代理服务收费参照豫招协[2023]002号河南省招标投标协会关于印发《河南省招标代理服务收费指导意见》规定的收费标准收取中标服务费。</w:t>
      </w:r>
    </w:p>
    <w:p w14:paraId="29CF823C">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482" w:firstLineChars="200"/>
        <w:jc w:val="left"/>
        <w:textAlignment w:val="auto"/>
        <w:outlineLvl w:val="1"/>
        <w:rPr>
          <w:rFonts w:hint="default"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河南省招标代理服务费计算标准</w:t>
      </w:r>
    </w:p>
    <w:tbl>
      <w:tblPr>
        <w:tblStyle w:val="18"/>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9CA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DD3A6D">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E41E91">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967D7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98044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67B6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CCD227C">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2F7BEF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9284A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7BE381">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388B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D5F15A9">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86E13B">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753534">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4908FA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70B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7C6A39C">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691FF95">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12DD65">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6CB648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0662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37DF62">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7624F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443E5C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1877817">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7E2E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9CE252">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562A182">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D3E0A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793E28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0B82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4E88C1">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1D1AF0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693C5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6AB243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47F1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7258EF7F">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3435A26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28637F3C">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6F917147">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1BA3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21FB797">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741B35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59A04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C51E6DF">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62C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1C80BD">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FE3C8DB">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C641F37">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ED601B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2381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0EEE398">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69AD00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52F652">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D896A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3DE4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5229A10">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27AC82AA">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6FC49D4C">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5912275D">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1665A31F">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69D2CA39">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180496BD">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67C57FDF">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013B37A8">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firstLine="562" w:firstLineChars="200"/>
        <w:jc w:val="center"/>
        <w:textAlignment w:val="auto"/>
        <w:outlineLvl w:val="9"/>
        <w:rPr>
          <w:rFonts w:hint="eastAsia" w:ascii="宋体" w:hAnsi="宋体" w:cs="宋体"/>
          <w:b/>
          <w:sz w:val="28"/>
          <w:szCs w:val="28"/>
          <w:highlight w:val="none"/>
        </w:rPr>
      </w:pPr>
    </w:p>
    <w:p w14:paraId="4D3D4A08">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both"/>
        <w:textAlignment w:val="auto"/>
        <w:outlineLvl w:val="9"/>
        <w:rPr>
          <w:rFonts w:hint="eastAsia" w:ascii="宋体" w:hAnsi="宋体" w:cs="宋体"/>
          <w:b/>
          <w:sz w:val="28"/>
          <w:szCs w:val="28"/>
          <w:highlight w:val="none"/>
        </w:rPr>
      </w:pPr>
    </w:p>
    <w:p w14:paraId="47F86E09">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27A61F8D">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193B8124">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71A3C729">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36E0D03F">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79F4BB69">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378507EF">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ascii="宋体" w:hAnsi="宋体"/>
          <w:b/>
          <w:sz w:val="28"/>
          <w:szCs w:val="28"/>
          <w:highlight w:val="none"/>
        </w:rPr>
      </w:pPr>
      <w:r>
        <w:rPr>
          <w:rFonts w:hint="eastAsia" w:ascii="宋体" w:hAnsi="宋体" w:cs="宋体"/>
          <w:b/>
          <w:sz w:val="28"/>
          <w:szCs w:val="28"/>
          <w:highlight w:val="none"/>
        </w:rPr>
        <w:t>七、授予合同</w:t>
      </w:r>
    </w:p>
    <w:p w14:paraId="47FC55B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lang w:val="en-US" w:eastAsia="zh-CN"/>
        </w:rPr>
        <w:t>34.</w:t>
      </w:r>
      <w:r>
        <w:rPr>
          <w:rFonts w:hint="eastAsia" w:ascii="宋体" w:hAnsi="宋体" w:cs="宋体"/>
          <w:spacing w:val="-4"/>
          <w:sz w:val="24"/>
          <w:szCs w:val="24"/>
          <w:highlight w:val="none"/>
        </w:rPr>
        <w:t>签订合同</w:t>
      </w:r>
    </w:p>
    <w:p w14:paraId="686C88F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lang w:val="en-US" w:eastAsia="zh-CN"/>
        </w:rPr>
        <w:t>1）</w:t>
      </w:r>
      <w:r>
        <w:rPr>
          <w:rFonts w:hint="eastAsia" w:ascii="宋体" w:hAnsi="宋体" w:cs="宋体"/>
          <w:spacing w:val="-4"/>
          <w:sz w:val="24"/>
          <w:szCs w:val="24"/>
          <w:highlight w:val="none"/>
        </w:rPr>
        <w:t>采购人、成交供应商在成交通知书发出之日发出之日起在2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5B40BD2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lang w:val="en-US" w:eastAsia="zh-CN"/>
        </w:rPr>
        <w:t>2)</w:t>
      </w:r>
      <w:r>
        <w:rPr>
          <w:rFonts w:hint="eastAsia" w:ascii="宋体" w:hAnsi="宋体" w:cs="宋体"/>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22FDD8F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spacing w:val="-4"/>
          <w:sz w:val="24"/>
          <w:szCs w:val="24"/>
          <w:highlight w:val="none"/>
          <w:lang w:val="en-US" w:eastAsia="zh-CN"/>
        </w:rPr>
        <w:t>(3)</w:t>
      </w:r>
      <w:r>
        <w:rPr>
          <w:rFonts w:hint="eastAsia" w:ascii="宋体" w:hAnsi="宋体" w:cs="宋体"/>
          <w:spacing w:val="-4"/>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pacing w:val="-4"/>
          <w:sz w:val="24"/>
          <w:szCs w:val="24"/>
          <w:highlight w:val="none"/>
          <w:lang w:val="en-US" w:eastAsia="zh-CN"/>
        </w:rPr>
        <w:t>交候选供应商为成交供应商，也可以重新组织采购。</w:t>
      </w:r>
      <w:r>
        <w:rPr>
          <w:rFonts w:hint="eastAsia"/>
          <w:sz w:val="28"/>
          <w:szCs w:val="28"/>
          <w:highlight w:val="none"/>
        </w:rPr>
        <w:br w:type="page"/>
      </w:r>
      <w:bookmarkStart w:id="43" w:name="_Toc461977421"/>
      <w:bookmarkEnd w:id="43"/>
      <w:r>
        <w:rPr>
          <w:rFonts w:hint="eastAsia"/>
          <w:sz w:val="28"/>
          <w:szCs w:val="28"/>
          <w:highlight w:val="none"/>
          <w:lang w:val="en-US" w:eastAsia="zh-CN"/>
        </w:rPr>
        <w:t xml:space="preserve">   </w:t>
      </w: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w:t>
      </w:r>
    </w:p>
    <w:p w14:paraId="68F3D7F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中小企业划型标准规定</w:t>
      </w:r>
    </w:p>
    <w:tbl>
      <w:tblPr>
        <w:tblStyle w:val="18"/>
        <w:tblW w:w="9353" w:type="dxa"/>
        <w:jc w:val="center"/>
        <w:shd w:val="clear" w:color="auto" w:fill="FFFFFF"/>
        <w:tblLayout w:type="fixed"/>
        <w:tblCellMar>
          <w:top w:w="0" w:type="dxa"/>
          <w:left w:w="0" w:type="dxa"/>
          <w:bottom w:w="0" w:type="dxa"/>
          <w:right w:w="0" w:type="dxa"/>
        </w:tblCellMar>
      </w:tblPr>
      <w:tblGrid>
        <w:gridCol w:w="1144"/>
        <w:gridCol w:w="1492"/>
        <w:gridCol w:w="728"/>
        <w:gridCol w:w="1245"/>
        <w:gridCol w:w="1965"/>
        <w:gridCol w:w="1756"/>
        <w:gridCol w:w="1023"/>
      </w:tblGrid>
      <w:tr w14:paraId="2362B0F9">
        <w:tblPrEx>
          <w:tblCellMar>
            <w:top w:w="0" w:type="dxa"/>
            <w:left w:w="0" w:type="dxa"/>
            <w:bottom w:w="0" w:type="dxa"/>
            <w:right w:w="0" w:type="dxa"/>
          </w:tblCellMar>
        </w:tblPrEx>
        <w:trPr>
          <w:trHeight w:val="695" w:hRule="atLeast"/>
          <w:jc w:val="center"/>
        </w:trPr>
        <w:tc>
          <w:tcPr>
            <w:tcW w:w="1144"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29498BD9">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中行业名称</w:t>
            </w:r>
          </w:p>
        </w:tc>
        <w:tc>
          <w:tcPr>
            <w:tcW w:w="1492"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6838E5D8">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中指标名称</w:t>
            </w:r>
          </w:p>
        </w:tc>
        <w:tc>
          <w:tcPr>
            <w:tcW w:w="728"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0560913B">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中计量单位</w:t>
            </w:r>
          </w:p>
        </w:tc>
        <w:tc>
          <w:tcPr>
            <w:tcW w:w="1245"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6768B029">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大大型</w:t>
            </w:r>
          </w:p>
        </w:tc>
        <w:tc>
          <w:tcPr>
            <w:tcW w:w="1965"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341EB0D0">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中中型</w:t>
            </w:r>
          </w:p>
        </w:tc>
        <w:tc>
          <w:tcPr>
            <w:tcW w:w="1756"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1F465266">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中小型</w:t>
            </w:r>
          </w:p>
        </w:tc>
        <w:tc>
          <w:tcPr>
            <w:tcW w:w="1023"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3AF4E197">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微微型</w:t>
            </w:r>
          </w:p>
        </w:tc>
      </w:tr>
      <w:tr w14:paraId="7F82284A">
        <w:tblPrEx>
          <w:tblCellMar>
            <w:top w:w="0" w:type="dxa"/>
            <w:left w:w="0" w:type="dxa"/>
            <w:bottom w:w="0" w:type="dxa"/>
            <w:right w:w="0" w:type="dxa"/>
          </w:tblCellMar>
        </w:tblPrEx>
        <w:trPr>
          <w:trHeight w:val="682" w:hRule="atLeast"/>
          <w:jc w:val="center"/>
        </w:trPr>
        <w:tc>
          <w:tcPr>
            <w:tcW w:w="1144" w:type="dxa"/>
            <w:tcBorders>
              <w:top w:val="single" w:color="auto" w:sz="4" w:space="0"/>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437142EA">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农、林、牧、渔业</w:t>
            </w:r>
          </w:p>
        </w:tc>
        <w:tc>
          <w:tcPr>
            <w:tcW w:w="1492"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753349C4">
            <w:pPr>
              <w:pStyle w:val="15"/>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44E9D7A">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1980F824">
            <w:pPr>
              <w:pStyle w:val="15"/>
              <w:wordWrap w:val="0"/>
              <w:jc w:val="center"/>
              <w:rPr>
                <w:rFonts w:hint="eastAsia"/>
                <w:color w:val="auto"/>
                <w:sz w:val="21"/>
                <w:szCs w:val="21"/>
                <w:highlight w:val="none"/>
              </w:rPr>
            </w:pPr>
            <w:r>
              <w:rPr>
                <w:rFonts w:hint="eastAsia"/>
                <w:color w:val="auto"/>
                <w:spacing w:val="8"/>
                <w:sz w:val="21"/>
                <w:szCs w:val="21"/>
                <w:highlight w:val="none"/>
              </w:rPr>
              <w:t>Y≥20000</w:t>
            </w:r>
          </w:p>
        </w:tc>
        <w:tc>
          <w:tcPr>
            <w:tcW w:w="196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AAF1B60">
            <w:pPr>
              <w:pStyle w:val="15"/>
              <w:wordWrap w:val="0"/>
              <w:jc w:val="center"/>
              <w:rPr>
                <w:rFonts w:hint="eastAsia"/>
                <w:color w:val="auto"/>
                <w:sz w:val="21"/>
                <w:szCs w:val="21"/>
                <w:highlight w:val="none"/>
              </w:rPr>
            </w:pPr>
            <w:r>
              <w:rPr>
                <w:rFonts w:hint="eastAsia"/>
                <w:color w:val="auto"/>
                <w:spacing w:val="8"/>
                <w:sz w:val="21"/>
                <w:szCs w:val="21"/>
                <w:highlight w:val="none"/>
              </w:rPr>
              <w:t>500≤Y＜20000</w:t>
            </w:r>
          </w:p>
        </w:tc>
        <w:tc>
          <w:tcPr>
            <w:tcW w:w="1756"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3E02BF22">
            <w:pPr>
              <w:pStyle w:val="15"/>
              <w:wordWrap w:val="0"/>
              <w:jc w:val="center"/>
              <w:rPr>
                <w:rFonts w:hint="eastAsia"/>
                <w:color w:val="auto"/>
                <w:sz w:val="21"/>
                <w:szCs w:val="21"/>
                <w:highlight w:val="none"/>
              </w:rPr>
            </w:pPr>
            <w:r>
              <w:rPr>
                <w:rFonts w:hint="eastAsia"/>
                <w:color w:val="auto"/>
                <w:spacing w:val="8"/>
                <w:sz w:val="21"/>
                <w:szCs w:val="21"/>
                <w:highlight w:val="none"/>
              </w:rPr>
              <w:t>50≤Y＜500</w:t>
            </w:r>
          </w:p>
        </w:tc>
        <w:tc>
          <w:tcPr>
            <w:tcW w:w="1023"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5948F340">
            <w:pPr>
              <w:pStyle w:val="15"/>
              <w:wordWrap w:val="0"/>
              <w:jc w:val="center"/>
              <w:rPr>
                <w:rFonts w:hint="eastAsia"/>
                <w:color w:val="auto"/>
                <w:sz w:val="21"/>
                <w:szCs w:val="21"/>
                <w:highlight w:val="none"/>
              </w:rPr>
            </w:pPr>
            <w:r>
              <w:rPr>
                <w:rFonts w:hint="eastAsia"/>
                <w:color w:val="auto"/>
                <w:spacing w:val="8"/>
                <w:sz w:val="21"/>
                <w:szCs w:val="21"/>
                <w:highlight w:val="none"/>
              </w:rPr>
              <w:t>Y＜50</w:t>
            </w:r>
          </w:p>
        </w:tc>
      </w:tr>
      <w:tr w14:paraId="3873B7F1">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A54D1D0">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4F56D7">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4ACD770">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FF8185">
            <w:pPr>
              <w:pStyle w:val="15"/>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9604EF">
            <w:pPr>
              <w:pStyle w:val="15"/>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00034E0">
            <w:pPr>
              <w:pStyle w:val="15"/>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BC6385">
            <w:pPr>
              <w:pStyle w:val="15"/>
              <w:wordWrap w:val="0"/>
              <w:jc w:val="center"/>
              <w:rPr>
                <w:rFonts w:hint="eastAsia"/>
                <w:color w:val="auto"/>
                <w:sz w:val="21"/>
                <w:szCs w:val="21"/>
                <w:highlight w:val="none"/>
              </w:rPr>
            </w:pPr>
            <w:r>
              <w:rPr>
                <w:rFonts w:hint="eastAsia"/>
                <w:color w:val="auto"/>
                <w:spacing w:val="8"/>
                <w:sz w:val="21"/>
                <w:szCs w:val="21"/>
                <w:highlight w:val="none"/>
              </w:rPr>
              <w:t>X＜20</w:t>
            </w:r>
          </w:p>
        </w:tc>
      </w:tr>
      <w:tr w14:paraId="0209150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3C36DAC">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DAA86C">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E18802">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708C99">
            <w:pPr>
              <w:pStyle w:val="15"/>
              <w:wordWrap w:val="0"/>
              <w:jc w:val="center"/>
              <w:rPr>
                <w:rFonts w:hint="eastAsia"/>
                <w:color w:val="auto"/>
                <w:sz w:val="21"/>
                <w:szCs w:val="21"/>
                <w:highlight w:val="none"/>
              </w:rPr>
            </w:pPr>
            <w:r>
              <w:rPr>
                <w:rFonts w:hint="eastAsia"/>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F33533">
            <w:pPr>
              <w:pStyle w:val="15"/>
              <w:wordWrap w:val="0"/>
              <w:jc w:val="center"/>
              <w:rPr>
                <w:rFonts w:hint="eastAsia"/>
                <w:color w:val="auto"/>
                <w:sz w:val="21"/>
                <w:szCs w:val="21"/>
                <w:highlight w:val="none"/>
              </w:rPr>
            </w:pPr>
            <w:r>
              <w:rPr>
                <w:rFonts w:hint="eastAsia"/>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0AB8F6">
            <w:pPr>
              <w:pStyle w:val="15"/>
              <w:wordWrap w:val="0"/>
              <w:jc w:val="center"/>
              <w:rPr>
                <w:rFonts w:hint="eastAsia"/>
                <w:color w:val="auto"/>
                <w:sz w:val="21"/>
                <w:szCs w:val="21"/>
                <w:highlight w:val="none"/>
              </w:rPr>
            </w:pPr>
            <w:r>
              <w:rPr>
                <w:rFonts w:hint="eastAsia"/>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B16D80D">
            <w:pPr>
              <w:pStyle w:val="15"/>
              <w:wordWrap w:val="0"/>
              <w:jc w:val="center"/>
              <w:rPr>
                <w:rFonts w:hint="eastAsia"/>
                <w:color w:val="auto"/>
                <w:sz w:val="21"/>
                <w:szCs w:val="21"/>
                <w:highlight w:val="none"/>
              </w:rPr>
            </w:pPr>
            <w:r>
              <w:rPr>
                <w:rFonts w:hint="eastAsia"/>
                <w:color w:val="auto"/>
                <w:spacing w:val="8"/>
                <w:sz w:val="21"/>
                <w:szCs w:val="21"/>
                <w:highlight w:val="none"/>
              </w:rPr>
              <w:t>Y＜300</w:t>
            </w:r>
          </w:p>
        </w:tc>
      </w:tr>
      <w:tr w14:paraId="4A5ABD87">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AC3A0D2">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2D464B">
            <w:pPr>
              <w:pStyle w:val="15"/>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7421CF">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33FF3C">
            <w:pPr>
              <w:pStyle w:val="15"/>
              <w:wordWrap w:val="0"/>
              <w:jc w:val="center"/>
              <w:rPr>
                <w:rFonts w:hint="eastAsia"/>
                <w:color w:val="auto"/>
                <w:sz w:val="21"/>
                <w:szCs w:val="21"/>
                <w:highlight w:val="none"/>
              </w:rPr>
            </w:pPr>
            <w:r>
              <w:rPr>
                <w:rFonts w:hint="eastAsia"/>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4C9522">
            <w:pPr>
              <w:pStyle w:val="15"/>
              <w:wordWrap w:val="0"/>
              <w:jc w:val="center"/>
              <w:rPr>
                <w:rFonts w:hint="eastAsia"/>
                <w:color w:val="auto"/>
                <w:sz w:val="21"/>
                <w:szCs w:val="21"/>
                <w:highlight w:val="none"/>
              </w:rPr>
            </w:pPr>
            <w:r>
              <w:rPr>
                <w:rFonts w:hint="eastAsia"/>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20B3F3">
            <w:pPr>
              <w:pStyle w:val="15"/>
              <w:wordWrap w:val="0"/>
              <w:jc w:val="center"/>
              <w:rPr>
                <w:rFonts w:hint="eastAsia"/>
                <w:color w:val="auto"/>
                <w:sz w:val="21"/>
                <w:szCs w:val="21"/>
                <w:highlight w:val="none"/>
              </w:rPr>
            </w:pPr>
            <w:r>
              <w:rPr>
                <w:rFonts w:hint="eastAsia"/>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061426">
            <w:pPr>
              <w:pStyle w:val="15"/>
              <w:wordWrap w:val="0"/>
              <w:jc w:val="center"/>
              <w:rPr>
                <w:rFonts w:hint="eastAsia"/>
                <w:color w:val="auto"/>
                <w:sz w:val="21"/>
                <w:szCs w:val="21"/>
                <w:highlight w:val="none"/>
              </w:rPr>
            </w:pPr>
            <w:r>
              <w:rPr>
                <w:rFonts w:hint="eastAsia"/>
                <w:color w:val="auto"/>
                <w:spacing w:val="8"/>
                <w:sz w:val="21"/>
                <w:szCs w:val="21"/>
                <w:highlight w:val="none"/>
              </w:rPr>
              <w:t>Y＜300</w:t>
            </w:r>
          </w:p>
        </w:tc>
      </w:tr>
      <w:tr w14:paraId="1B2D50E7">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DB281F3">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61E516">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799298">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4FB13F">
            <w:pPr>
              <w:pStyle w:val="15"/>
              <w:wordWrap w:val="0"/>
              <w:jc w:val="center"/>
              <w:rPr>
                <w:rFonts w:hint="eastAsia"/>
                <w:color w:val="auto"/>
                <w:sz w:val="21"/>
                <w:szCs w:val="21"/>
                <w:highlight w:val="none"/>
              </w:rPr>
            </w:pPr>
            <w:r>
              <w:rPr>
                <w:rFonts w:hint="eastAsia"/>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DF3A36">
            <w:pPr>
              <w:pStyle w:val="15"/>
              <w:wordWrap w:val="0"/>
              <w:jc w:val="center"/>
              <w:rPr>
                <w:rFonts w:hint="eastAsia"/>
                <w:color w:val="auto"/>
                <w:sz w:val="21"/>
                <w:szCs w:val="21"/>
                <w:highlight w:val="none"/>
              </w:rPr>
            </w:pPr>
            <w:r>
              <w:rPr>
                <w:rFonts w:hint="eastAsia"/>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B7519A">
            <w:pPr>
              <w:pStyle w:val="15"/>
              <w:wordWrap w:val="0"/>
              <w:jc w:val="center"/>
              <w:rPr>
                <w:rFonts w:hint="eastAsia"/>
                <w:color w:val="auto"/>
                <w:sz w:val="21"/>
                <w:szCs w:val="21"/>
                <w:highlight w:val="none"/>
              </w:rPr>
            </w:pPr>
            <w:r>
              <w:rPr>
                <w:rFonts w:hint="eastAsia"/>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23173E">
            <w:pPr>
              <w:pStyle w:val="15"/>
              <w:wordWrap w:val="0"/>
              <w:jc w:val="center"/>
              <w:rPr>
                <w:rFonts w:hint="eastAsia"/>
                <w:color w:val="auto"/>
                <w:sz w:val="21"/>
                <w:szCs w:val="21"/>
                <w:highlight w:val="none"/>
              </w:rPr>
            </w:pPr>
            <w:r>
              <w:rPr>
                <w:rFonts w:hint="eastAsia"/>
                <w:color w:val="auto"/>
                <w:spacing w:val="8"/>
                <w:sz w:val="21"/>
                <w:szCs w:val="21"/>
                <w:highlight w:val="none"/>
              </w:rPr>
              <w:t>Z＜300</w:t>
            </w:r>
          </w:p>
        </w:tc>
      </w:tr>
      <w:tr w14:paraId="1A87306B">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D31A50A">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629148">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B2A5A">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95E7F7">
            <w:pPr>
              <w:pStyle w:val="15"/>
              <w:wordWrap w:val="0"/>
              <w:jc w:val="center"/>
              <w:rPr>
                <w:rFonts w:hint="eastAsia"/>
                <w:color w:val="auto"/>
                <w:sz w:val="21"/>
                <w:szCs w:val="21"/>
                <w:highlight w:val="none"/>
              </w:rPr>
            </w:pPr>
            <w:r>
              <w:rPr>
                <w:rFonts w:hint="eastAsia"/>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B67F86">
            <w:pPr>
              <w:pStyle w:val="15"/>
              <w:wordWrap w:val="0"/>
              <w:jc w:val="center"/>
              <w:rPr>
                <w:rFonts w:hint="eastAsia"/>
                <w:color w:val="auto"/>
                <w:sz w:val="21"/>
                <w:szCs w:val="21"/>
                <w:highlight w:val="none"/>
              </w:rPr>
            </w:pPr>
            <w:r>
              <w:rPr>
                <w:rFonts w:hint="eastAsia"/>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117D84">
            <w:pPr>
              <w:pStyle w:val="15"/>
              <w:wordWrap w:val="0"/>
              <w:jc w:val="center"/>
              <w:rPr>
                <w:rFonts w:hint="eastAsia"/>
                <w:color w:val="auto"/>
                <w:sz w:val="21"/>
                <w:szCs w:val="21"/>
                <w:highlight w:val="none"/>
              </w:rPr>
            </w:pPr>
            <w:r>
              <w:rPr>
                <w:rFonts w:hint="eastAsia"/>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942FAB">
            <w:pPr>
              <w:pStyle w:val="15"/>
              <w:wordWrap w:val="0"/>
              <w:jc w:val="center"/>
              <w:rPr>
                <w:rFonts w:hint="eastAsia"/>
                <w:color w:val="auto"/>
                <w:sz w:val="21"/>
                <w:szCs w:val="21"/>
                <w:highlight w:val="none"/>
              </w:rPr>
            </w:pPr>
            <w:r>
              <w:rPr>
                <w:rFonts w:hint="eastAsia"/>
                <w:color w:val="auto"/>
                <w:spacing w:val="8"/>
                <w:sz w:val="21"/>
                <w:szCs w:val="21"/>
                <w:highlight w:val="none"/>
              </w:rPr>
              <w:t>X＜5</w:t>
            </w:r>
          </w:p>
        </w:tc>
      </w:tr>
      <w:tr w14:paraId="1E331FF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EA43E02">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532C3F">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63E158">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E3979CC">
            <w:pPr>
              <w:pStyle w:val="15"/>
              <w:wordWrap w:val="0"/>
              <w:jc w:val="center"/>
              <w:rPr>
                <w:rFonts w:hint="eastAsia"/>
                <w:color w:val="auto"/>
                <w:sz w:val="21"/>
                <w:szCs w:val="21"/>
                <w:highlight w:val="none"/>
              </w:rPr>
            </w:pPr>
            <w:r>
              <w:rPr>
                <w:rFonts w:hint="eastAsia"/>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75A1294">
            <w:pPr>
              <w:pStyle w:val="15"/>
              <w:wordWrap w:val="0"/>
              <w:jc w:val="center"/>
              <w:rPr>
                <w:rFonts w:hint="eastAsia"/>
                <w:color w:val="auto"/>
                <w:sz w:val="21"/>
                <w:szCs w:val="21"/>
                <w:highlight w:val="none"/>
              </w:rPr>
            </w:pPr>
            <w:r>
              <w:rPr>
                <w:rFonts w:hint="eastAsia"/>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CC18EA">
            <w:pPr>
              <w:pStyle w:val="15"/>
              <w:wordWrap w:val="0"/>
              <w:jc w:val="center"/>
              <w:rPr>
                <w:rFonts w:hint="eastAsia"/>
                <w:color w:val="auto"/>
                <w:sz w:val="21"/>
                <w:szCs w:val="21"/>
                <w:highlight w:val="none"/>
              </w:rPr>
            </w:pPr>
            <w:r>
              <w:rPr>
                <w:rFonts w:hint="eastAsia"/>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71E8F1">
            <w:pPr>
              <w:pStyle w:val="15"/>
              <w:wordWrap w:val="0"/>
              <w:jc w:val="center"/>
              <w:rPr>
                <w:rFonts w:hint="eastAsia"/>
                <w:color w:val="auto"/>
                <w:sz w:val="21"/>
                <w:szCs w:val="21"/>
                <w:highlight w:val="none"/>
              </w:rPr>
            </w:pPr>
            <w:r>
              <w:rPr>
                <w:rFonts w:hint="eastAsia"/>
                <w:color w:val="auto"/>
                <w:spacing w:val="8"/>
                <w:sz w:val="21"/>
                <w:szCs w:val="21"/>
                <w:highlight w:val="none"/>
              </w:rPr>
              <w:t>Y＜1000</w:t>
            </w:r>
          </w:p>
        </w:tc>
      </w:tr>
      <w:tr w14:paraId="1FAE3A12">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A90910F">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B3B9CE">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F7406A8">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9A7A97">
            <w:pPr>
              <w:pStyle w:val="15"/>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3EF7AD">
            <w:pPr>
              <w:pStyle w:val="15"/>
              <w:wordWrap w:val="0"/>
              <w:jc w:val="center"/>
              <w:rPr>
                <w:rFonts w:hint="eastAsia"/>
                <w:color w:val="auto"/>
                <w:sz w:val="21"/>
                <w:szCs w:val="21"/>
                <w:highlight w:val="none"/>
              </w:rPr>
            </w:pPr>
            <w:r>
              <w:rPr>
                <w:rFonts w:hint="eastAsia"/>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9188BA">
            <w:pPr>
              <w:pStyle w:val="15"/>
              <w:wordWrap w:val="0"/>
              <w:jc w:val="center"/>
              <w:rPr>
                <w:rFonts w:hint="eastAsia"/>
                <w:color w:val="auto"/>
                <w:sz w:val="21"/>
                <w:szCs w:val="21"/>
                <w:highlight w:val="none"/>
              </w:rPr>
            </w:pPr>
            <w:r>
              <w:rPr>
                <w:rFonts w:hint="eastAsia"/>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F104C7">
            <w:pPr>
              <w:pStyle w:val="15"/>
              <w:wordWrap w:val="0"/>
              <w:jc w:val="center"/>
              <w:rPr>
                <w:rFonts w:hint="eastAsia"/>
                <w:color w:val="auto"/>
                <w:sz w:val="21"/>
                <w:szCs w:val="21"/>
                <w:highlight w:val="none"/>
              </w:rPr>
            </w:pPr>
            <w:r>
              <w:rPr>
                <w:rFonts w:hint="eastAsia"/>
                <w:color w:val="auto"/>
                <w:spacing w:val="8"/>
                <w:sz w:val="21"/>
                <w:szCs w:val="21"/>
                <w:highlight w:val="none"/>
              </w:rPr>
              <w:t>X＜10</w:t>
            </w:r>
          </w:p>
        </w:tc>
      </w:tr>
      <w:tr w14:paraId="26058609">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12B4B7D">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A52D06">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8CABE6B">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EA71BB">
            <w:pPr>
              <w:pStyle w:val="15"/>
              <w:wordWrap w:val="0"/>
              <w:jc w:val="center"/>
              <w:rPr>
                <w:rFonts w:hint="eastAsia"/>
                <w:color w:val="auto"/>
                <w:sz w:val="21"/>
                <w:szCs w:val="21"/>
                <w:highlight w:val="none"/>
              </w:rPr>
            </w:pPr>
            <w:r>
              <w:rPr>
                <w:rFonts w:hint="eastAsia"/>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3DB81F">
            <w:pPr>
              <w:pStyle w:val="15"/>
              <w:wordWrap w:val="0"/>
              <w:jc w:val="center"/>
              <w:rPr>
                <w:rFonts w:hint="eastAsia"/>
                <w:color w:val="auto"/>
                <w:sz w:val="21"/>
                <w:szCs w:val="21"/>
                <w:highlight w:val="none"/>
              </w:rPr>
            </w:pPr>
            <w:r>
              <w:rPr>
                <w:rFonts w:hint="eastAsia"/>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92E29A">
            <w:pPr>
              <w:pStyle w:val="15"/>
              <w:wordWrap w:val="0"/>
              <w:jc w:val="center"/>
              <w:rPr>
                <w:rFonts w:hint="eastAsia"/>
                <w:color w:val="auto"/>
                <w:sz w:val="21"/>
                <w:szCs w:val="21"/>
                <w:highlight w:val="none"/>
              </w:rPr>
            </w:pPr>
            <w:r>
              <w:rPr>
                <w:rFonts w:hint="eastAsia"/>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B97AE6">
            <w:pPr>
              <w:pStyle w:val="15"/>
              <w:wordWrap w:val="0"/>
              <w:jc w:val="center"/>
              <w:rPr>
                <w:rFonts w:hint="eastAsia"/>
                <w:color w:val="auto"/>
                <w:sz w:val="21"/>
                <w:szCs w:val="21"/>
                <w:highlight w:val="none"/>
              </w:rPr>
            </w:pPr>
            <w:r>
              <w:rPr>
                <w:rFonts w:hint="eastAsia"/>
                <w:color w:val="auto"/>
                <w:spacing w:val="8"/>
                <w:sz w:val="21"/>
                <w:szCs w:val="21"/>
                <w:highlight w:val="none"/>
              </w:rPr>
              <w:t>Y＜100</w:t>
            </w:r>
          </w:p>
        </w:tc>
      </w:tr>
      <w:tr w14:paraId="77D3498C">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23D1EEE">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09414C">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C6BEB7">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BC3BEB">
            <w:pPr>
              <w:pStyle w:val="15"/>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2E2646">
            <w:pPr>
              <w:pStyle w:val="15"/>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227B30">
            <w:pPr>
              <w:pStyle w:val="15"/>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3FE8247">
            <w:pPr>
              <w:pStyle w:val="15"/>
              <w:wordWrap w:val="0"/>
              <w:jc w:val="center"/>
              <w:rPr>
                <w:rFonts w:hint="eastAsia"/>
                <w:color w:val="auto"/>
                <w:sz w:val="21"/>
                <w:szCs w:val="21"/>
                <w:highlight w:val="none"/>
              </w:rPr>
            </w:pPr>
            <w:r>
              <w:rPr>
                <w:rFonts w:hint="eastAsia"/>
                <w:color w:val="auto"/>
                <w:spacing w:val="8"/>
                <w:sz w:val="21"/>
                <w:szCs w:val="21"/>
                <w:highlight w:val="none"/>
              </w:rPr>
              <w:t>X＜20</w:t>
            </w:r>
          </w:p>
        </w:tc>
      </w:tr>
      <w:tr w14:paraId="44650C36">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001A82A">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B0F058">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687985">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57D22F">
            <w:pPr>
              <w:pStyle w:val="15"/>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51DDB0">
            <w:pPr>
              <w:pStyle w:val="15"/>
              <w:wordWrap w:val="0"/>
              <w:jc w:val="center"/>
              <w:rPr>
                <w:rFonts w:hint="eastAsia"/>
                <w:color w:val="auto"/>
                <w:sz w:val="21"/>
                <w:szCs w:val="21"/>
                <w:highlight w:val="none"/>
              </w:rPr>
            </w:pPr>
            <w:r>
              <w:rPr>
                <w:rFonts w:hint="eastAsia"/>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F9460B">
            <w:pPr>
              <w:pStyle w:val="15"/>
              <w:wordWrap w:val="0"/>
              <w:jc w:val="center"/>
              <w:rPr>
                <w:rFonts w:hint="eastAsia"/>
                <w:color w:val="auto"/>
                <w:sz w:val="21"/>
                <w:szCs w:val="21"/>
                <w:highlight w:val="none"/>
              </w:rPr>
            </w:pPr>
            <w:r>
              <w:rPr>
                <w:rFonts w:hint="eastAsia"/>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2F34904">
            <w:pPr>
              <w:pStyle w:val="15"/>
              <w:wordWrap w:val="0"/>
              <w:jc w:val="center"/>
              <w:rPr>
                <w:rFonts w:hint="eastAsia"/>
                <w:color w:val="auto"/>
                <w:sz w:val="21"/>
                <w:szCs w:val="21"/>
                <w:highlight w:val="none"/>
              </w:rPr>
            </w:pPr>
            <w:r>
              <w:rPr>
                <w:rFonts w:hint="eastAsia"/>
                <w:color w:val="auto"/>
                <w:spacing w:val="8"/>
                <w:sz w:val="21"/>
                <w:szCs w:val="21"/>
                <w:highlight w:val="none"/>
              </w:rPr>
              <w:t>Y＜200</w:t>
            </w:r>
          </w:p>
        </w:tc>
      </w:tr>
      <w:tr w14:paraId="2CA3BB0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38D0937">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990E05">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7601BB">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14B5497">
            <w:pPr>
              <w:pStyle w:val="15"/>
              <w:wordWrap w:val="0"/>
              <w:jc w:val="center"/>
              <w:rPr>
                <w:rFonts w:hint="eastAsia"/>
                <w:color w:val="auto"/>
                <w:sz w:val="21"/>
                <w:szCs w:val="21"/>
                <w:highlight w:val="none"/>
              </w:rPr>
            </w:pPr>
            <w:r>
              <w:rPr>
                <w:rFonts w:hint="eastAsia"/>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83B0B3">
            <w:pPr>
              <w:pStyle w:val="15"/>
              <w:wordWrap w:val="0"/>
              <w:jc w:val="center"/>
              <w:rPr>
                <w:rFonts w:hint="eastAsia"/>
                <w:color w:val="auto"/>
                <w:sz w:val="21"/>
                <w:szCs w:val="21"/>
                <w:highlight w:val="none"/>
              </w:rPr>
            </w:pPr>
            <w:r>
              <w:rPr>
                <w:rFonts w:hint="eastAsia"/>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EE56B4">
            <w:pPr>
              <w:pStyle w:val="15"/>
              <w:wordWrap w:val="0"/>
              <w:jc w:val="center"/>
              <w:rPr>
                <w:rFonts w:hint="eastAsia"/>
                <w:color w:val="auto"/>
                <w:sz w:val="21"/>
                <w:szCs w:val="21"/>
                <w:highlight w:val="none"/>
              </w:rPr>
            </w:pPr>
            <w:r>
              <w:rPr>
                <w:rFonts w:hint="eastAsia"/>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2CDE48">
            <w:pPr>
              <w:pStyle w:val="15"/>
              <w:wordWrap w:val="0"/>
              <w:jc w:val="center"/>
              <w:rPr>
                <w:rFonts w:hint="eastAsia"/>
                <w:color w:val="auto"/>
                <w:sz w:val="21"/>
                <w:szCs w:val="21"/>
                <w:highlight w:val="none"/>
              </w:rPr>
            </w:pPr>
            <w:r>
              <w:rPr>
                <w:rFonts w:hint="eastAsia"/>
                <w:color w:val="auto"/>
                <w:spacing w:val="8"/>
                <w:sz w:val="21"/>
                <w:szCs w:val="21"/>
                <w:highlight w:val="none"/>
              </w:rPr>
              <w:t>X＜20</w:t>
            </w:r>
          </w:p>
        </w:tc>
      </w:tr>
      <w:tr w14:paraId="30D483AB">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2541589">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3D46A7">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2D99AC">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CB394A">
            <w:pPr>
              <w:pStyle w:val="15"/>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7FF703">
            <w:pPr>
              <w:pStyle w:val="15"/>
              <w:wordWrap w:val="0"/>
              <w:jc w:val="center"/>
              <w:rPr>
                <w:rFonts w:hint="eastAsia"/>
                <w:color w:val="auto"/>
                <w:sz w:val="21"/>
                <w:szCs w:val="21"/>
                <w:highlight w:val="none"/>
              </w:rPr>
            </w:pPr>
            <w:r>
              <w:rPr>
                <w:rFonts w:hint="eastAsia"/>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D47DB1">
            <w:pPr>
              <w:pStyle w:val="15"/>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F8FD84">
            <w:pPr>
              <w:pStyle w:val="15"/>
              <w:wordWrap w:val="0"/>
              <w:jc w:val="center"/>
              <w:rPr>
                <w:rFonts w:hint="eastAsia"/>
                <w:color w:val="auto"/>
                <w:sz w:val="21"/>
                <w:szCs w:val="21"/>
                <w:highlight w:val="none"/>
              </w:rPr>
            </w:pPr>
            <w:r>
              <w:rPr>
                <w:rFonts w:hint="eastAsia"/>
                <w:color w:val="auto"/>
                <w:spacing w:val="8"/>
                <w:sz w:val="21"/>
                <w:szCs w:val="21"/>
                <w:highlight w:val="none"/>
              </w:rPr>
              <w:t>Y＜100</w:t>
            </w:r>
          </w:p>
        </w:tc>
      </w:tr>
      <w:tr w14:paraId="5AABAB14">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FCDFF13">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8C3B20">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4894B3">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304EA1">
            <w:pPr>
              <w:pStyle w:val="15"/>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5B8DA43">
            <w:pPr>
              <w:pStyle w:val="15"/>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8E1772">
            <w:pPr>
              <w:pStyle w:val="15"/>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26366D">
            <w:pPr>
              <w:pStyle w:val="15"/>
              <w:wordWrap w:val="0"/>
              <w:jc w:val="center"/>
              <w:rPr>
                <w:rFonts w:hint="eastAsia"/>
                <w:color w:val="auto"/>
                <w:sz w:val="21"/>
                <w:szCs w:val="21"/>
                <w:highlight w:val="none"/>
              </w:rPr>
            </w:pPr>
            <w:r>
              <w:rPr>
                <w:rFonts w:hint="eastAsia"/>
                <w:color w:val="auto"/>
                <w:spacing w:val="8"/>
                <w:sz w:val="21"/>
                <w:szCs w:val="21"/>
                <w:highlight w:val="none"/>
              </w:rPr>
              <w:t>X＜20</w:t>
            </w:r>
          </w:p>
        </w:tc>
      </w:tr>
      <w:tr w14:paraId="5797FFAD">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390C1BB">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07019A">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74FC40">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E6E055">
            <w:pPr>
              <w:pStyle w:val="15"/>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4C1233">
            <w:pPr>
              <w:pStyle w:val="15"/>
              <w:wordWrap w:val="0"/>
              <w:jc w:val="center"/>
              <w:rPr>
                <w:rFonts w:hint="eastAsia"/>
                <w:color w:val="auto"/>
                <w:sz w:val="21"/>
                <w:szCs w:val="21"/>
                <w:highlight w:val="none"/>
              </w:rPr>
            </w:pPr>
            <w:r>
              <w:rPr>
                <w:rFonts w:hint="eastAsia"/>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F534DA1">
            <w:pPr>
              <w:pStyle w:val="15"/>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23EB01">
            <w:pPr>
              <w:pStyle w:val="15"/>
              <w:wordWrap w:val="0"/>
              <w:jc w:val="center"/>
              <w:rPr>
                <w:rFonts w:hint="eastAsia"/>
                <w:color w:val="auto"/>
                <w:sz w:val="21"/>
                <w:szCs w:val="21"/>
                <w:highlight w:val="none"/>
              </w:rPr>
            </w:pPr>
            <w:r>
              <w:rPr>
                <w:rFonts w:hint="eastAsia"/>
                <w:color w:val="auto"/>
                <w:spacing w:val="8"/>
                <w:sz w:val="21"/>
                <w:szCs w:val="21"/>
                <w:highlight w:val="none"/>
              </w:rPr>
              <w:t>Y＜100</w:t>
            </w:r>
          </w:p>
        </w:tc>
      </w:tr>
      <w:tr w14:paraId="7004E3D9">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3793F6">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B4F4EB">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70547FE">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C8392D">
            <w:pPr>
              <w:pStyle w:val="15"/>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5298D3">
            <w:pPr>
              <w:pStyle w:val="15"/>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42F800">
            <w:pPr>
              <w:pStyle w:val="15"/>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3D9299C">
            <w:pPr>
              <w:pStyle w:val="15"/>
              <w:wordWrap w:val="0"/>
              <w:jc w:val="center"/>
              <w:rPr>
                <w:rFonts w:hint="eastAsia"/>
                <w:color w:val="auto"/>
                <w:sz w:val="21"/>
                <w:szCs w:val="21"/>
                <w:highlight w:val="none"/>
              </w:rPr>
            </w:pPr>
            <w:r>
              <w:rPr>
                <w:rFonts w:hint="eastAsia"/>
                <w:color w:val="auto"/>
                <w:spacing w:val="8"/>
                <w:sz w:val="21"/>
                <w:szCs w:val="21"/>
                <w:highlight w:val="none"/>
              </w:rPr>
              <w:t>X＜10</w:t>
            </w:r>
          </w:p>
        </w:tc>
      </w:tr>
      <w:tr w14:paraId="7F096337">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74D46B">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6B4AD1">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108626">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C7B174">
            <w:pPr>
              <w:pStyle w:val="15"/>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0E3C63">
            <w:pPr>
              <w:pStyle w:val="15"/>
              <w:wordWrap w:val="0"/>
              <w:jc w:val="center"/>
              <w:rPr>
                <w:rFonts w:hint="eastAsia"/>
                <w:color w:val="auto"/>
                <w:sz w:val="21"/>
                <w:szCs w:val="21"/>
                <w:highlight w:val="none"/>
              </w:rPr>
            </w:pPr>
            <w:r>
              <w:rPr>
                <w:rFonts w:hint="eastAsia"/>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5961C3">
            <w:pPr>
              <w:pStyle w:val="15"/>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837439">
            <w:pPr>
              <w:pStyle w:val="15"/>
              <w:wordWrap w:val="0"/>
              <w:jc w:val="center"/>
              <w:rPr>
                <w:rFonts w:hint="eastAsia"/>
                <w:color w:val="auto"/>
                <w:sz w:val="21"/>
                <w:szCs w:val="21"/>
                <w:highlight w:val="none"/>
              </w:rPr>
            </w:pPr>
            <w:r>
              <w:rPr>
                <w:rFonts w:hint="eastAsia"/>
                <w:color w:val="auto"/>
                <w:spacing w:val="8"/>
                <w:sz w:val="21"/>
                <w:szCs w:val="21"/>
                <w:highlight w:val="none"/>
              </w:rPr>
              <w:t>Y＜100</w:t>
            </w:r>
          </w:p>
        </w:tc>
      </w:tr>
      <w:tr w14:paraId="2A8BEFD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34D0948">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2EB3C2">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C6A286">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EFAFE0">
            <w:pPr>
              <w:pStyle w:val="15"/>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436C9F">
            <w:pPr>
              <w:pStyle w:val="15"/>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108FDF">
            <w:pPr>
              <w:pStyle w:val="15"/>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3E4B31">
            <w:pPr>
              <w:pStyle w:val="15"/>
              <w:wordWrap w:val="0"/>
              <w:jc w:val="center"/>
              <w:rPr>
                <w:rFonts w:hint="eastAsia"/>
                <w:color w:val="auto"/>
                <w:sz w:val="21"/>
                <w:szCs w:val="21"/>
                <w:highlight w:val="none"/>
              </w:rPr>
            </w:pPr>
            <w:r>
              <w:rPr>
                <w:rFonts w:hint="eastAsia"/>
                <w:color w:val="auto"/>
                <w:spacing w:val="8"/>
                <w:sz w:val="21"/>
                <w:szCs w:val="21"/>
                <w:highlight w:val="none"/>
              </w:rPr>
              <w:t>X＜10</w:t>
            </w:r>
          </w:p>
        </w:tc>
      </w:tr>
      <w:tr w14:paraId="1A21E833">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auto" w:sz="4" w:space="0"/>
              <w:right w:val="single" w:color="4F81BD" w:sz="6" w:space="0"/>
            </w:tcBorders>
            <w:shd w:val="clear" w:color="auto" w:fill="FFFFFF"/>
            <w:noWrap w:val="0"/>
            <w:tcMar>
              <w:left w:w="105" w:type="dxa"/>
              <w:right w:w="105" w:type="dxa"/>
            </w:tcMar>
            <w:vAlign w:val="center"/>
          </w:tcPr>
          <w:p w14:paraId="2BE51025">
            <w:pPr>
              <w:wordWrap w:val="0"/>
              <w:jc w:val="center"/>
              <w:rPr>
                <w:rFonts w:hint="eastAsia" w:ascii="宋体" w:hAnsi="宋体" w:cs="宋体"/>
                <w:color w:val="auto"/>
                <w:spacing w:val="8"/>
                <w:szCs w:val="21"/>
                <w:highlight w:val="none"/>
              </w:rPr>
            </w:pPr>
          </w:p>
        </w:tc>
        <w:tc>
          <w:tcPr>
            <w:tcW w:w="1492"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60F80C94">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71A2CD84">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2C5CAAB4">
            <w:pPr>
              <w:pStyle w:val="15"/>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795C2508">
            <w:pPr>
              <w:pStyle w:val="15"/>
              <w:wordWrap w:val="0"/>
              <w:jc w:val="center"/>
              <w:rPr>
                <w:rFonts w:hint="eastAsia"/>
                <w:color w:val="auto"/>
                <w:sz w:val="21"/>
                <w:szCs w:val="21"/>
                <w:highlight w:val="none"/>
              </w:rPr>
            </w:pPr>
            <w:r>
              <w:rPr>
                <w:rFonts w:hint="eastAsia"/>
                <w:color w:val="auto"/>
                <w:spacing w:val="8"/>
                <w:sz w:val="21"/>
                <w:szCs w:val="21"/>
                <w:highlight w:val="none"/>
              </w:rPr>
              <w:t>2000≤Y＜10000</w:t>
            </w:r>
          </w:p>
        </w:tc>
        <w:tc>
          <w:tcPr>
            <w:tcW w:w="1756"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76A647E1">
            <w:pPr>
              <w:pStyle w:val="15"/>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6870A2B8">
            <w:pPr>
              <w:pStyle w:val="15"/>
              <w:wordWrap w:val="0"/>
              <w:jc w:val="center"/>
              <w:rPr>
                <w:rFonts w:hint="eastAsia"/>
                <w:color w:val="auto"/>
                <w:sz w:val="21"/>
                <w:szCs w:val="21"/>
                <w:highlight w:val="none"/>
              </w:rPr>
            </w:pPr>
            <w:r>
              <w:rPr>
                <w:rFonts w:hint="eastAsia"/>
                <w:color w:val="auto"/>
                <w:spacing w:val="8"/>
                <w:sz w:val="21"/>
                <w:szCs w:val="21"/>
                <w:highlight w:val="none"/>
              </w:rPr>
              <w:t>Y＜100</w:t>
            </w:r>
          </w:p>
        </w:tc>
      </w:tr>
      <w:tr w14:paraId="010982F5">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05326EF">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信息传输业 *</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EF1615">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014073">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8B0538">
            <w:pPr>
              <w:pStyle w:val="15"/>
              <w:wordWrap w:val="0"/>
              <w:jc w:val="center"/>
              <w:rPr>
                <w:rFonts w:hint="eastAsia"/>
                <w:color w:val="auto"/>
                <w:sz w:val="21"/>
                <w:szCs w:val="21"/>
                <w:highlight w:val="none"/>
              </w:rPr>
            </w:pPr>
            <w:r>
              <w:rPr>
                <w:rFonts w:hint="eastAsia"/>
                <w:color w:val="auto"/>
                <w:spacing w:val="8"/>
                <w:sz w:val="21"/>
                <w:szCs w:val="21"/>
                <w:highlight w:val="none"/>
              </w:rPr>
              <w:t>X≥2000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21D36D0">
            <w:pPr>
              <w:pStyle w:val="15"/>
              <w:wordWrap w:val="0"/>
              <w:jc w:val="center"/>
              <w:rPr>
                <w:rFonts w:hint="eastAsia"/>
                <w:color w:val="auto"/>
                <w:sz w:val="21"/>
                <w:szCs w:val="21"/>
                <w:highlight w:val="none"/>
              </w:rPr>
            </w:pPr>
            <w:r>
              <w:rPr>
                <w:rFonts w:hint="eastAsia"/>
                <w:color w:val="auto"/>
                <w:spacing w:val="8"/>
                <w:sz w:val="21"/>
                <w:szCs w:val="21"/>
                <w:highlight w:val="none"/>
              </w:rPr>
              <w:t>100≤X＜2000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3AF7719">
            <w:pPr>
              <w:pStyle w:val="15"/>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6918A3">
            <w:pPr>
              <w:pStyle w:val="15"/>
              <w:wordWrap w:val="0"/>
              <w:jc w:val="center"/>
              <w:rPr>
                <w:rFonts w:hint="eastAsia"/>
                <w:color w:val="auto"/>
                <w:sz w:val="21"/>
                <w:szCs w:val="21"/>
                <w:highlight w:val="none"/>
              </w:rPr>
            </w:pPr>
            <w:r>
              <w:rPr>
                <w:rFonts w:hint="eastAsia"/>
                <w:color w:val="auto"/>
                <w:spacing w:val="8"/>
                <w:sz w:val="21"/>
                <w:szCs w:val="21"/>
                <w:highlight w:val="none"/>
              </w:rPr>
              <w:t>X＜10</w:t>
            </w:r>
          </w:p>
        </w:tc>
      </w:tr>
      <w:tr w14:paraId="1D716FA4">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A2CF9E4">
            <w:pPr>
              <w:wordWrap w:val="0"/>
              <w:jc w:val="center"/>
              <w:rPr>
                <w:rFonts w:hint="eastAsia" w:ascii="宋体" w:hAnsi="宋体" w:cs="宋体"/>
                <w:color w:val="auto"/>
                <w:spacing w:val="8"/>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6772B306">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1BCB9E88">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0C58F735">
            <w:pPr>
              <w:pStyle w:val="15"/>
              <w:wordWrap w:val="0"/>
              <w:jc w:val="center"/>
              <w:rPr>
                <w:rFonts w:hint="eastAsia"/>
                <w:color w:val="auto"/>
                <w:sz w:val="21"/>
                <w:szCs w:val="21"/>
                <w:highlight w:val="none"/>
              </w:rPr>
            </w:pPr>
            <w:r>
              <w:rPr>
                <w:rFonts w:hint="eastAsia"/>
                <w:color w:val="auto"/>
                <w:spacing w:val="8"/>
                <w:sz w:val="21"/>
                <w:szCs w:val="21"/>
                <w:highlight w:val="none"/>
              </w:rPr>
              <w:t>Y≥100000</w:t>
            </w:r>
          </w:p>
        </w:tc>
        <w:tc>
          <w:tcPr>
            <w:tcW w:w="196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7BA5D19A">
            <w:pPr>
              <w:pStyle w:val="15"/>
              <w:wordWrap w:val="0"/>
              <w:jc w:val="center"/>
              <w:rPr>
                <w:rFonts w:hint="eastAsia"/>
                <w:color w:val="auto"/>
                <w:sz w:val="21"/>
                <w:szCs w:val="21"/>
                <w:highlight w:val="none"/>
              </w:rPr>
            </w:pPr>
            <w:r>
              <w:rPr>
                <w:rFonts w:hint="eastAsia"/>
                <w:color w:val="auto"/>
                <w:spacing w:val="8"/>
                <w:sz w:val="21"/>
                <w:szCs w:val="21"/>
                <w:highlight w:val="none"/>
              </w:rPr>
              <w:t>1000≤Y＜100000</w:t>
            </w:r>
          </w:p>
        </w:tc>
        <w:tc>
          <w:tcPr>
            <w:tcW w:w="1756"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04C00B1E">
            <w:pPr>
              <w:pStyle w:val="15"/>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5B6873A7">
            <w:pPr>
              <w:pStyle w:val="15"/>
              <w:wordWrap w:val="0"/>
              <w:jc w:val="center"/>
              <w:rPr>
                <w:rFonts w:hint="eastAsia"/>
                <w:color w:val="auto"/>
                <w:sz w:val="21"/>
                <w:szCs w:val="21"/>
                <w:highlight w:val="none"/>
              </w:rPr>
            </w:pPr>
            <w:r>
              <w:rPr>
                <w:rFonts w:hint="eastAsia"/>
                <w:color w:val="auto"/>
                <w:spacing w:val="8"/>
                <w:sz w:val="21"/>
                <w:szCs w:val="21"/>
                <w:highlight w:val="none"/>
              </w:rPr>
              <w:t>Y＜100</w:t>
            </w:r>
          </w:p>
        </w:tc>
      </w:tr>
      <w:tr w14:paraId="70F57A33">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400F812">
            <w:pPr>
              <w:pStyle w:val="15"/>
              <w:wordWrap w:val="0"/>
              <w:spacing w:line="240" w:lineRule="atLeast"/>
              <w:jc w:val="center"/>
              <w:rPr>
                <w:rFonts w:hint="eastAsia"/>
                <w:color w:val="auto"/>
                <w:sz w:val="21"/>
                <w:szCs w:val="21"/>
                <w:highlight w:val="none"/>
              </w:rPr>
            </w:pPr>
            <w:r>
              <w:rPr>
                <w:rFonts w:hint="eastAsia"/>
                <w:color w:val="auto"/>
                <w:spacing w:val="-15"/>
                <w:sz w:val="21"/>
                <w:szCs w:val="21"/>
                <w:highlight w:val="none"/>
              </w:rPr>
              <w:t>软件和信息技术服</w:t>
            </w:r>
            <w:r>
              <w:rPr>
                <w:rFonts w:hint="eastAsia"/>
                <w:color w:val="auto"/>
                <w:spacing w:val="8"/>
                <w:sz w:val="21"/>
                <w:szCs w:val="21"/>
                <w:highlight w:val="none"/>
              </w:rPr>
              <w:t>务业</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F9D9D6">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FE40E8A">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52B5736">
            <w:pPr>
              <w:pStyle w:val="15"/>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7ABDE86">
            <w:pPr>
              <w:pStyle w:val="15"/>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CEFDD8F">
            <w:pPr>
              <w:pStyle w:val="15"/>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2ED4CD4">
            <w:pPr>
              <w:pStyle w:val="15"/>
              <w:wordWrap w:val="0"/>
              <w:jc w:val="center"/>
              <w:rPr>
                <w:rFonts w:hint="eastAsia"/>
                <w:color w:val="auto"/>
                <w:sz w:val="21"/>
                <w:szCs w:val="21"/>
                <w:highlight w:val="none"/>
              </w:rPr>
            </w:pPr>
            <w:r>
              <w:rPr>
                <w:rFonts w:hint="eastAsia"/>
                <w:color w:val="auto"/>
                <w:spacing w:val="8"/>
                <w:sz w:val="21"/>
                <w:szCs w:val="21"/>
                <w:highlight w:val="none"/>
              </w:rPr>
              <w:t>X＜10</w:t>
            </w:r>
          </w:p>
        </w:tc>
      </w:tr>
      <w:tr w14:paraId="027BB29D">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4F81BD" w:sz="6" w:space="0"/>
              <w:right w:val="single" w:color="4F81BD" w:sz="6" w:space="0"/>
            </w:tcBorders>
            <w:shd w:val="clear" w:color="auto" w:fill="FFFFFF"/>
            <w:noWrap w:val="0"/>
            <w:tcMar>
              <w:left w:w="105" w:type="dxa"/>
              <w:right w:w="105" w:type="dxa"/>
            </w:tcMar>
            <w:vAlign w:val="center"/>
          </w:tcPr>
          <w:p w14:paraId="44BF1724">
            <w:pPr>
              <w:wordWrap w:val="0"/>
              <w:jc w:val="center"/>
              <w:rPr>
                <w:rFonts w:hint="eastAsia" w:ascii="宋体" w:hAnsi="宋体" w:cs="宋体"/>
                <w:color w:val="auto"/>
                <w:spacing w:val="8"/>
                <w:szCs w:val="21"/>
                <w:highlight w:val="none"/>
              </w:rPr>
            </w:pPr>
          </w:p>
        </w:tc>
        <w:tc>
          <w:tcPr>
            <w:tcW w:w="1492"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0274CB6C">
            <w:pPr>
              <w:pStyle w:val="15"/>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3ED1EB3E">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542A247">
            <w:pPr>
              <w:pStyle w:val="15"/>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05361851">
            <w:pPr>
              <w:pStyle w:val="15"/>
              <w:wordWrap w:val="0"/>
              <w:jc w:val="center"/>
              <w:rPr>
                <w:rFonts w:hint="eastAsia"/>
                <w:color w:val="auto"/>
                <w:sz w:val="21"/>
                <w:szCs w:val="21"/>
                <w:highlight w:val="none"/>
              </w:rPr>
            </w:pPr>
            <w:r>
              <w:rPr>
                <w:rFonts w:hint="eastAsia"/>
                <w:color w:val="auto"/>
                <w:spacing w:val="8"/>
                <w:sz w:val="21"/>
                <w:szCs w:val="21"/>
                <w:highlight w:val="none"/>
              </w:rPr>
              <w:t>1000≤Y＜10000</w:t>
            </w:r>
          </w:p>
        </w:tc>
        <w:tc>
          <w:tcPr>
            <w:tcW w:w="1756"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3EEE5F4C">
            <w:pPr>
              <w:pStyle w:val="15"/>
              <w:wordWrap w:val="0"/>
              <w:jc w:val="center"/>
              <w:rPr>
                <w:rFonts w:hint="eastAsia"/>
                <w:color w:val="auto"/>
                <w:sz w:val="21"/>
                <w:szCs w:val="21"/>
                <w:highlight w:val="none"/>
              </w:rPr>
            </w:pPr>
            <w:r>
              <w:rPr>
                <w:rFonts w:hint="eastAsia"/>
                <w:color w:val="auto"/>
                <w:spacing w:val="8"/>
                <w:sz w:val="21"/>
                <w:szCs w:val="21"/>
                <w:highlight w:val="none"/>
              </w:rPr>
              <w:t>50≤Y＜1000</w:t>
            </w:r>
          </w:p>
        </w:tc>
        <w:tc>
          <w:tcPr>
            <w:tcW w:w="1023"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E077327">
            <w:pPr>
              <w:pStyle w:val="15"/>
              <w:wordWrap w:val="0"/>
              <w:jc w:val="center"/>
              <w:rPr>
                <w:rFonts w:hint="eastAsia"/>
                <w:color w:val="auto"/>
                <w:sz w:val="21"/>
                <w:szCs w:val="21"/>
                <w:highlight w:val="none"/>
              </w:rPr>
            </w:pPr>
            <w:r>
              <w:rPr>
                <w:rFonts w:hint="eastAsia"/>
                <w:color w:val="auto"/>
                <w:spacing w:val="8"/>
                <w:sz w:val="21"/>
                <w:szCs w:val="21"/>
                <w:highlight w:val="none"/>
              </w:rPr>
              <w:t>Y＜50</w:t>
            </w:r>
          </w:p>
        </w:tc>
      </w:tr>
      <w:tr w14:paraId="32F498E3">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7A05DC0">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1678AD">
            <w:pPr>
              <w:pStyle w:val="15"/>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695007">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8D4DD1">
            <w:pPr>
              <w:pStyle w:val="15"/>
              <w:wordWrap w:val="0"/>
              <w:jc w:val="center"/>
              <w:rPr>
                <w:rFonts w:hint="eastAsia"/>
                <w:color w:val="auto"/>
                <w:sz w:val="21"/>
                <w:szCs w:val="21"/>
                <w:highlight w:val="none"/>
              </w:rPr>
            </w:pPr>
            <w:r>
              <w:rPr>
                <w:rFonts w:hint="eastAsia"/>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A10207">
            <w:pPr>
              <w:pStyle w:val="15"/>
              <w:wordWrap w:val="0"/>
              <w:jc w:val="center"/>
              <w:rPr>
                <w:rFonts w:hint="eastAsia"/>
                <w:color w:val="auto"/>
                <w:sz w:val="21"/>
                <w:szCs w:val="21"/>
                <w:highlight w:val="none"/>
              </w:rPr>
            </w:pPr>
            <w:r>
              <w:rPr>
                <w:rFonts w:hint="eastAsia"/>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195353">
            <w:pPr>
              <w:pStyle w:val="15"/>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3B170F">
            <w:pPr>
              <w:pStyle w:val="15"/>
              <w:wordWrap w:val="0"/>
              <w:jc w:val="center"/>
              <w:rPr>
                <w:rFonts w:hint="eastAsia"/>
                <w:color w:val="auto"/>
                <w:sz w:val="21"/>
                <w:szCs w:val="21"/>
                <w:highlight w:val="none"/>
              </w:rPr>
            </w:pPr>
            <w:r>
              <w:rPr>
                <w:rFonts w:hint="eastAsia"/>
                <w:color w:val="auto"/>
                <w:spacing w:val="8"/>
                <w:sz w:val="21"/>
                <w:szCs w:val="21"/>
                <w:highlight w:val="none"/>
              </w:rPr>
              <w:t>Y＜100</w:t>
            </w:r>
          </w:p>
        </w:tc>
      </w:tr>
      <w:tr w14:paraId="22B8569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FA9A8A7">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08ED87">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F74768">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AFD08B">
            <w:pPr>
              <w:pStyle w:val="15"/>
              <w:wordWrap w:val="0"/>
              <w:jc w:val="center"/>
              <w:rPr>
                <w:rFonts w:hint="eastAsia"/>
                <w:color w:val="auto"/>
                <w:sz w:val="21"/>
                <w:szCs w:val="21"/>
                <w:highlight w:val="none"/>
              </w:rPr>
            </w:pPr>
            <w:r>
              <w:rPr>
                <w:rFonts w:hint="eastAsia"/>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36F540">
            <w:pPr>
              <w:pStyle w:val="15"/>
              <w:wordWrap w:val="0"/>
              <w:jc w:val="center"/>
              <w:rPr>
                <w:rFonts w:hint="eastAsia"/>
                <w:color w:val="auto"/>
                <w:sz w:val="21"/>
                <w:szCs w:val="21"/>
                <w:highlight w:val="none"/>
              </w:rPr>
            </w:pPr>
            <w:r>
              <w:rPr>
                <w:rFonts w:hint="eastAsia"/>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154CBE">
            <w:pPr>
              <w:pStyle w:val="15"/>
              <w:wordWrap w:val="0"/>
              <w:jc w:val="center"/>
              <w:rPr>
                <w:rFonts w:hint="eastAsia"/>
                <w:color w:val="auto"/>
                <w:sz w:val="21"/>
                <w:szCs w:val="21"/>
                <w:highlight w:val="none"/>
              </w:rPr>
            </w:pPr>
            <w:r>
              <w:rPr>
                <w:rFonts w:hint="eastAsia"/>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D18291">
            <w:pPr>
              <w:pStyle w:val="15"/>
              <w:wordWrap w:val="0"/>
              <w:jc w:val="center"/>
              <w:rPr>
                <w:rFonts w:hint="eastAsia"/>
                <w:color w:val="auto"/>
                <w:sz w:val="21"/>
                <w:szCs w:val="21"/>
                <w:highlight w:val="none"/>
              </w:rPr>
            </w:pPr>
            <w:r>
              <w:rPr>
                <w:rFonts w:hint="eastAsia"/>
                <w:color w:val="auto"/>
                <w:spacing w:val="8"/>
                <w:sz w:val="21"/>
                <w:szCs w:val="21"/>
                <w:highlight w:val="none"/>
              </w:rPr>
              <w:t>Z＜2000</w:t>
            </w:r>
          </w:p>
        </w:tc>
      </w:tr>
      <w:tr w14:paraId="2874F197">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21B711C">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4E12C57">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0B6F43">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CADE3BE">
            <w:pPr>
              <w:pStyle w:val="15"/>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6CE0B0">
            <w:pPr>
              <w:pStyle w:val="15"/>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77B97F">
            <w:pPr>
              <w:pStyle w:val="15"/>
              <w:wordWrap w:val="0"/>
              <w:jc w:val="center"/>
              <w:rPr>
                <w:rFonts w:hint="eastAsia"/>
                <w:color w:val="auto"/>
                <w:sz w:val="21"/>
                <w:szCs w:val="21"/>
                <w:highlight w:val="none"/>
              </w:rPr>
            </w:pPr>
            <w:r>
              <w:rPr>
                <w:rFonts w:hint="eastAsia"/>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933E1C">
            <w:pPr>
              <w:pStyle w:val="15"/>
              <w:wordWrap w:val="0"/>
              <w:jc w:val="center"/>
              <w:rPr>
                <w:rFonts w:hint="eastAsia"/>
                <w:color w:val="auto"/>
                <w:sz w:val="21"/>
                <w:szCs w:val="21"/>
                <w:highlight w:val="none"/>
              </w:rPr>
            </w:pPr>
            <w:r>
              <w:rPr>
                <w:rFonts w:hint="eastAsia"/>
                <w:color w:val="auto"/>
                <w:spacing w:val="8"/>
                <w:sz w:val="21"/>
                <w:szCs w:val="21"/>
                <w:highlight w:val="none"/>
              </w:rPr>
              <w:t>X＜100</w:t>
            </w:r>
          </w:p>
        </w:tc>
      </w:tr>
      <w:tr w14:paraId="03B52AA9">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E0023F3">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25B25E">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2F15FB">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0B3F47">
            <w:pPr>
              <w:pStyle w:val="15"/>
              <w:wordWrap w:val="0"/>
              <w:jc w:val="center"/>
              <w:rPr>
                <w:rFonts w:hint="eastAsia"/>
                <w:color w:val="auto"/>
                <w:sz w:val="21"/>
                <w:szCs w:val="21"/>
                <w:highlight w:val="none"/>
              </w:rPr>
            </w:pPr>
            <w:r>
              <w:rPr>
                <w:rFonts w:hint="eastAsia"/>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B0418D">
            <w:pPr>
              <w:pStyle w:val="15"/>
              <w:wordWrap w:val="0"/>
              <w:jc w:val="center"/>
              <w:rPr>
                <w:rFonts w:hint="eastAsia"/>
                <w:color w:val="auto"/>
                <w:sz w:val="21"/>
                <w:szCs w:val="21"/>
                <w:highlight w:val="none"/>
              </w:rPr>
            </w:pPr>
            <w:r>
              <w:rPr>
                <w:rFonts w:hint="eastAsia"/>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DECE15">
            <w:pPr>
              <w:pStyle w:val="15"/>
              <w:wordWrap w:val="0"/>
              <w:jc w:val="center"/>
              <w:rPr>
                <w:rFonts w:hint="eastAsia"/>
                <w:color w:val="auto"/>
                <w:sz w:val="21"/>
                <w:szCs w:val="21"/>
                <w:highlight w:val="none"/>
              </w:rPr>
            </w:pPr>
            <w:r>
              <w:rPr>
                <w:rFonts w:hint="eastAsia"/>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9AC356">
            <w:pPr>
              <w:pStyle w:val="15"/>
              <w:wordWrap w:val="0"/>
              <w:jc w:val="center"/>
              <w:rPr>
                <w:rFonts w:hint="eastAsia"/>
                <w:color w:val="auto"/>
                <w:sz w:val="21"/>
                <w:szCs w:val="21"/>
                <w:highlight w:val="none"/>
              </w:rPr>
            </w:pPr>
            <w:r>
              <w:rPr>
                <w:rFonts w:hint="eastAsia"/>
                <w:color w:val="auto"/>
                <w:spacing w:val="8"/>
                <w:sz w:val="21"/>
                <w:szCs w:val="21"/>
                <w:highlight w:val="none"/>
              </w:rPr>
              <w:t>Y＜500</w:t>
            </w:r>
          </w:p>
        </w:tc>
      </w:tr>
      <w:tr w14:paraId="50D9D03C">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B9B1B22">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6B0515">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B4F035">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5AEFFB">
            <w:pPr>
              <w:pStyle w:val="15"/>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CA5AC3">
            <w:pPr>
              <w:pStyle w:val="15"/>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7B60EA">
            <w:pPr>
              <w:pStyle w:val="15"/>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8FAA1D">
            <w:pPr>
              <w:pStyle w:val="15"/>
              <w:wordWrap w:val="0"/>
              <w:jc w:val="center"/>
              <w:rPr>
                <w:rFonts w:hint="eastAsia"/>
                <w:color w:val="auto"/>
                <w:sz w:val="21"/>
                <w:szCs w:val="21"/>
                <w:highlight w:val="none"/>
              </w:rPr>
            </w:pPr>
            <w:r>
              <w:rPr>
                <w:rFonts w:hint="eastAsia"/>
                <w:color w:val="auto"/>
                <w:spacing w:val="8"/>
                <w:sz w:val="21"/>
                <w:szCs w:val="21"/>
                <w:highlight w:val="none"/>
              </w:rPr>
              <w:t>X＜10</w:t>
            </w:r>
          </w:p>
        </w:tc>
      </w:tr>
      <w:tr w14:paraId="6FD11F88">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CDCC418">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60E368">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093150">
            <w:pPr>
              <w:pStyle w:val="15"/>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686751">
            <w:pPr>
              <w:pStyle w:val="15"/>
              <w:wordWrap w:val="0"/>
              <w:jc w:val="center"/>
              <w:rPr>
                <w:rFonts w:hint="eastAsia"/>
                <w:color w:val="auto"/>
                <w:sz w:val="21"/>
                <w:szCs w:val="21"/>
                <w:highlight w:val="none"/>
              </w:rPr>
            </w:pPr>
            <w:r>
              <w:rPr>
                <w:rFonts w:hint="eastAsia"/>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A78C02">
            <w:pPr>
              <w:pStyle w:val="15"/>
              <w:wordWrap w:val="0"/>
              <w:jc w:val="center"/>
              <w:rPr>
                <w:rFonts w:hint="eastAsia"/>
                <w:color w:val="auto"/>
                <w:sz w:val="21"/>
                <w:szCs w:val="21"/>
                <w:highlight w:val="none"/>
              </w:rPr>
            </w:pPr>
            <w:r>
              <w:rPr>
                <w:rFonts w:hint="eastAsia"/>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E315A1C">
            <w:pPr>
              <w:pStyle w:val="15"/>
              <w:wordWrap w:val="0"/>
              <w:jc w:val="center"/>
              <w:rPr>
                <w:rFonts w:hint="eastAsia"/>
                <w:color w:val="auto"/>
                <w:sz w:val="21"/>
                <w:szCs w:val="21"/>
                <w:highlight w:val="none"/>
              </w:rPr>
            </w:pPr>
            <w:r>
              <w:rPr>
                <w:rFonts w:hint="eastAsia"/>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0CBD29">
            <w:pPr>
              <w:pStyle w:val="15"/>
              <w:wordWrap w:val="0"/>
              <w:jc w:val="center"/>
              <w:rPr>
                <w:rFonts w:hint="eastAsia"/>
                <w:color w:val="auto"/>
                <w:sz w:val="21"/>
                <w:szCs w:val="21"/>
                <w:highlight w:val="none"/>
              </w:rPr>
            </w:pPr>
            <w:r>
              <w:rPr>
                <w:rFonts w:hint="eastAsia"/>
                <w:color w:val="auto"/>
                <w:spacing w:val="8"/>
                <w:sz w:val="21"/>
                <w:szCs w:val="21"/>
                <w:highlight w:val="none"/>
              </w:rPr>
              <w:t>Z＜100</w:t>
            </w:r>
          </w:p>
        </w:tc>
      </w:tr>
      <w:tr w14:paraId="0BFED259">
        <w:tblPrEx>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2F4B465">
            <w:pPr>
              <w:pStyle w:val="15"/>
              <w:wordWrap w:val="0"/>
              <w:spacing w:line="240" w:lineRule="atLeast"/>
              <w:jc w:val="center"/>
              <w:rPr>
                <w:rFonts w:hint="eastAsia"/>
                <w:color w:val="auto"/>
                <w:sz w:val="21"/>
                <w:szCs w:val="21"/>
                <w:highlight w:val="none"/>
              </w:rPr>
            </w:pPr>
            <w:r>
              <w:rPr>
                <w:rFonts w:hint="eastAsia"/>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5ACE6A">
            <w:pPr>
              <w:pStyle w:val="15"/>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9CC34C">
            <w:pPr>
              <w:pStyle w:val="15"/>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5CFDA6">
            <w:pPr>
              <w:pStyle w:val="15"/>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6ABEF4">
            <w:pPr>
              <w:pStyle w:val="15"/>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13CCEE">
            <w:pPr>
              <w:pStyle w:val="15"/>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BEB023">
            <w:pPr>
              <w:pStyle w:val="15"/>
              <w:wordWrap w:val="0"/>
              <w:jc w:val="center"/>
              <w:rPr>
                <w:rFonts w:hint="eastAsia"/>
                <w:color w:val="auto"/>
                <w:sz w:val="21"/>
                <w:szCs w:val="21"/>
                <w:highlight w:val="none"/>
              </w:rPr>
            </w:pPr>
            <w:r>
              <w:rPr>
                <w:rFonts w:hint="eastAsia"/>
                <w:color w:val="auto"/>
                <w:spacing w:val="8"/>
                <w:sz w:val="21"/>
                <w:szCs w:val="21"/>
                <w:highlight w:val="none"/>
              </w:rPr>
              <w:t>X＜10</w:t>
            </w:r>
          </w:p>
        </w:tc>
      </w:tr>
    </w:tbl>
    <w:p w14:paraId="3BD2331F">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说明：1.大型、中型和小型企业须</w:t>
      </w:r>
      <w:r>
        <w:rPr>
          <w:rFonts w:hint="eastAsia" w:ascii="宋体" w:hAnsi="宋体" w:cs="宋体"/>
          <w:b/>
          <w:bCs/>
          <w:color w:val="auto"/>
          <w:kern w:val="0"/>
          <w:sz w:val="22"/>
          <w:szCs w:val="22"/>
          <w:highlight w:val="none"/>
        </w:rPr>
        <w:t>同时满足所列指标的下限，否则下划一档</w:t>
      </w:r>
      <w:r>
        <w:rPr>
          <w:rFonts w:hint="eastAsia" w:ascii="宋体" w:hAnsi="宋体" w:cs="宋体"/>
          <w:color w:val="auto"/>
          <w:kern w:val="0"/>
          <w:sz w:val="22"/>
          <w:szCs w:val="22"/>
          <w:highlight w:val="none"/>
        </w:rPr>
        <w:t>；微型企业只须满足所列指标中的一项即可。</w:t>
      </w:r>
    </w:p>
    <w:p w14:paraId="2EF18D8C">
      <w:pPr>
        <w:keepNext w:val="0"/>
        <w:keepLines w:val="0"/>
        <w:pageBreakBefore w:val="0"/>
        <w:widowControl w:val="0"/>
        <w:numPr>
          <w:ilvl w:val="0"/>
          <w:numId w:val="2"/>
        </w:numPr>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附表中各行业的范围以《国民经济行业分类》（GB/T4754-2017）为准。</w:t>
      </w:r>
      <w:r>
        <w:rPr>
          <w:rFonts w:hint="eastAsia" w:ascii="宋体" w:hAnsi="宋体" w:cs="宋体"/>
          <w:b/>
          <w:bCs/>
          <w:color w:val="auto"/>
          <w:kern w:val="0"/>
          <w:sz w:val="22"/>
          <w:szCs w:val="22"/>
          <w:highlight w:val="none"/>
        </w:rPr>
        <w:t>带*的项为行业组合类别</w:t>
      </w:r>
      <w:r>
        <w:rPr>
          <w:rFonts w:hint="eastAsia" w:ascii="宋体" w:hAnsi="宋体" w:cs="宋体"/>
          <w:color w:val="auto"/>
          <w:kern w:val="0"/>
          <w:sz w:val="22"/>
          <w:szCs w:val="22"/>
          <w:highlight w:val="none"/>
        </w:rPr>
        <w:t>，其中，</w:t>
      </w:r>
      <w:r>
        <w:rPr>
          <w:rFonts w:hint="eastAsia" w:ascii="宋体" w:hAnsi="宋体" w:cs="宋体"/>
          <w:b/>
          <w:bCs/>
          <w:color w:val="auto"/>
          <w:kern w:val="0"/>
          <w:sz w:val="22"/>
          <w:szCs w:val="22"/>
          <w:highlight w:val="none"/>
        </w:rPr>
        <w:t>工业</w:t>
      </w:r>
      <w:r>
        <w:rPr>
          <w:rFonts w:hint="eastAsia" w:ascii="宋体" w:hAnsi="宋体" w:cs="宋体"/>
          <w:color w:val="auto"/>
          <w:kern w:val="0"/>
          <w:sz w:val="22"/>
          <w:szCs w:val="22"/>
          <w:highlight w:val="none"/>
        </w:rPr>
        <w:t>包括采矿业，制造业，电力、热力、燃气及水生产和供应业；</w:t>
      </w:r>
      <w:r>
        <w:rPr>
          <w:rFonts w:hint="eastAsia" w:ascii="宋体" w:hAnsi="宋体" w:cs="宋体"/>
          <w:b/>
          <w:bCs/>
          <w:color w:val="auto"/>
          <w:kern w:val="0"/>
          <w:sz w:val="22"/>
          <w:szCs w:val="22"/>
          <w:highlight w:val="none"/>
        </w:rPr>
        <w:t>交通运输业</w:t>
      </w:r>
      <w:r>
        <w:rPr>
          <w:rFonts w:hint="eastAsia" w:ascii="宋体" w:hAnsi="宋体" w:cs="宋体"/>
          <w:color w:val="auto"/>
          <w:kern w:val="0"/>
          <w:sz w:val="22"/>
          <w:szCs w:val="22"/>
          <w:highlight w:val="none"/>
        </w:rPr>
        <w:t>包括道路运输业，水上运输业，航空运输业，管道运输业，多式联运和运输代理业、装卸搬运，不包括铁路运输业；</w:t>
      </w:r>
      <w:r>
        <w:rPr>
          <w:rFonts w:hint="eastAsia" w:ascii="宋体" w:hAnsi="宋体" w:cs="宋体"/>
          <w:b/>
          <w:bCs/>
          <w:color w:val="auto"/>
          <w:kern w:val="0"/>
          <w:sz w:val="22"/>
          <w:szCs w:val="22"/>
          <w:highlight w:val="none"/>
        </w:rPr>
        <w:t>仓储业</w:t>
      </w:r>
      <w:r>
        <w:rPr>
          <w:rFonts w:hint="eastAsia" w:ascii="宋体" w:hAnsi="宋体" w:cs="宋体"/>
          <w:color w:val="auto"/>
          <w:kern w:val="0"/>
          <w:sz w:val="22"/>
          <w:szCs w:val="22"/>
          <w:highlight w:val="none"/>
        </w:rPr>
        <w:t>包括通用仓储，低温仓储，危险品仓储，谷物、棉花等农产品仓储，中药材仓储和其他仓储业；</w:t>
      </w:r>
      <w:r>
        <w:rPr>
          <w:rFonts w:hint="eastAsia" w:ascii="宋体" w:hAnsi="宋体" w:cs="宋体"/>
          <w:b/>
          <w:bCs/>
          <w:color w:val="auto"/>
          <w:kern w:val="0"/>
          <w:sz w:val="22"/>
          <w:szCs w:val="22"/>
          <w:highlight w:val="none"/>
        </w:rPr>
        <w:t>信息传输业</w:t>
      </w:r>
      <w:r>
        <w:rPr>
          <w:rFonts w:hint="eastAsia" w:ascii="宋体" w:hAnsi="宋体" w:cs="宋体"/>
          <w:color w:val="auto"/>
          <w:kern w:val="0"/>
          <w:sz w:val="22"/>
          <w:szCs w:val="22"/>
          <w:highlight w:val="none"/>
        </w:rPr>
        <w:t>包括电信、广播电视和卫星传输服务，互联网和相关服务；</w:t>
      </w:r>
      <w:r>
        <w:rPr>
          <w:rFonts w:hint="eastAsia" w:ascii="宋体" w:hAnsi="宋体" w:cs="宋体"/>
          <w:b/>
          <w:bCs/>
          <w:color w:val="auto"/>
          <w:kern w:val="0"/>
          <w:sz w:val="22"/>
          <w:szCs w:val="22"/>
          <w:highlight w:val="none"/>
        </w:rPr>
        <w:t>其他未列明行业</w:t>
      </w:r>
      <w:r>
        <w:rPr>
          <w:rFonts w:hint="eastAsia" w:ascii="宋体" w:hAnsi="宋体" w:cs="宋体"/>
          <w:color w:val="auto"/>
          <w:kern w:val="0"/>
          <w:sz w:val="22"/>
          <w:szCs w:val="22"/>
          <w:highlight w:val="none"/>
        </w:rPr>
        <w:t>包括科学研究和技术服务业，水利、环境和公共设施管理业，居民服务、修理和其他服务业，社会工作，文化、体育和娱乐业，以及房地产中介服务，其他房地产业等，不包括自有房地产经营活动。</w:t>
      </w:r>
    </w:p>
    <w:p w14:paraId="1F7F86C7">
      <w:pPr>
        <w:keepNext w:val="0"/>
        <w:keepLines w:val="0"/>
        <w:pageBreakBefore w:val="0"/>
        <w:widowControl w:val="0"/>
        <w:numPr>
          <w:ilvl w:val="0"/>
          <w:numId w:val="2"/>
        </w:numPr>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企业划分指标以现行统计制度为准。</w:t>
      </w:r>
    </w:p>
    <w:p w14:paraId="41EA97CD">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（1）从业人员，是指期末从业人员数，没有期末从业人员数的，采用全年平均人员数代替。</w:t>
      </w:r>
    </w:p>
    <w:p w14:paraId="6B991D44">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A09243A">
      <w:pPr>
        <w:keepNext w:val="0"/>
        <w:keepLines w:val="0"/>
        <w:pageBreakBefore w:val="0"/>
        <w:widowControl w:val="0"/>
        <w:kinsoku/>
        <w:wordWrap w:val="0"/>
        <w:overflowPunct/>
        <w:topLinePunct w:val="0"/>
        <w:autoSpaceDE/>
        <w:autoSpaceDN/>
        <w:bidi w:val="0"/>
        <w:adjustRightInd/>
        <w:snapToGrid/>
        <w:spacing w:line="420" w:lineRule="exact"/>
        <w:ind w:left="420" w:left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（3）资产总额，采用资产总计代替。</w:t>
      </w:r>
    </w:p>
    <w:p w14:paraId="5F0C5F1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sz w:val="28"/>
          <w:szCs w:val="28"/>
          <w:highlight w:val="none"/>
          <w:lang w:val="en-US" w:eastAsia="zh-CN"/>
        </w:rPr>
        <w:sectPr>
          <w:footerReference r:id="rId6" w:type="default"/>
          <w:pgSz w:w="11900" w:h="16838"/>
          <w:pgMar w:top="1077" w:right="1134" w:bottom="1077" w:left="1134" w:header="720" w:footer="720" w:gutter="0"/>
          <w:pgNumType w:fmt="decimal"/>
          <w:cols w:space="720" w:num="1"/>
          <w:docGrid w:type="lines" w:linePitch="360" w:charSpace="0"/>
        </w:sectPr>
      </w:pPr>
    </w:p>
    <w:p w14:paraId="276D9208">
      <w:pPr>
        <w:pStyle w:val="2"/>
        <w:bidi w:val="0"/>
        <w:rPr>
          <w:rFonts w:hint="eastAsia"/>
        </w:rPr>
      </w:pPr>
      <w:bookmarkStart w:id="44" w:name="_Toc20560"/>
      <w:bookmarkStart w:id="45" w:name="_Toc12611"/>
      <w:r>
        <w:rPr>
          <w:rFonts w:hint="eastAsia"/>
          <w:lang w:val="en-US" w:eastAsia="zh-CN"/>
        </w:rPr>
        <w:t xml:space="preserve">第三章  </w:t>
      </w:r>
      <w:r>
        <w:rPr>
          <w:rFonts w:hint="eastAsia"/>
        </w:rPr>
        <w:t xml:space="preserve"> 评审标准</w:t>
      </w:r>
      <w:bookmarkEnd w:id="44"/>
      <w:bookmarkEnd w:id="45"/>
    </w:p>
    <w:p w14:paraId="2D62F663">
      <w:pPr>
        <w:widowControl w:val="0"/>
        <w:kinsoku/>
        <w:wordWrap w:val="0"/>
        <w:overflowPunct/>
        <w:topLinePunct w:val="0"/>
        <w:bidi w:val="0"/>
        <w:spacing w:beforeAutospacing="0" w:afterAutospacing="0" w:line="600" w:lineRule="exact"/>
        <w:jc w:val="center"/>
        <w:outlineLvl w:val="1"/>
        <w:rPr>
          <w:rFonts w:ascii="宋体" w:hAnsi="宋体" w:cs="宋体"/>
          <w:b/>
          <w:sz w:val="28"/>
          <w:szCs w:val="28"/>
          <w:highlight w:val="none"/>
        </w:rPr>
      </w:pPr>
      <w:r>
        <w:rPr>
          <w:rFonts w:hint="eastAsia" w:ascii="宋体" w:hAnsi="宋体" w:cs="宋体"/>
          <w:b/>
          <w:kern w:val="2"/>
          <w:sz w:val="28"/>
          <w:szCs w:val="28"/>
          <w:highlight w:val="none"/>
        </w:rPr>
        <w:t>评标办法前附表</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1288"/>
        <w:gridCol w:w="1813"/>
        <w:gridCol w:w="5607"/>
      </w:tblGrid>
      <w:tr w14:paraId="628C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2158" w:type="dxa"/>
            <w:gridSpan w:val="2"/>
            <w:tcBorders>
              <w:top w:val="single" w:color="auto" w:sz="4" w:space="0"/>
              <w:left w:val="single" w:color="auto" w:sz="4" w:space="0"/>
              <w:bottom w:val="single" w:color="auto" w:sz="4" w:space="0"/>
              <w:right w:val="single" w:color="auto" w:sz="4" w:space="0"/>
            </w:tcBorders>
            <w:noWrap w:val="0"/>
            <w:vAlign w:val="center"/>
          </w:tcPr>
          <w:p w14:paraId="185B258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2.1初步评审</w:t>
            </w:r>
          </w:p>
        </w:tc>
        <w:tc>
          <w:tcPr>
            <w:tcW w:w="1813" w:type="dxa"/>
            <w:tcBorders>
              <w:top w:val="single" w:color="auto" w:sz="4" w:space="0"/>
              <w:left w:val="nil"/>
              <w:bottom w:val="single" w:color="auto" w:sz="4" w:space="0"/>
              <w:right w:val="single" w:color="auto" w:sz="4" w:space="0"/>
            </w:tcBorders>
            <w:noWrap w:val="0"/>
            <w:vAlign w:val="center"/>
          </w:tcPr>
          <w:p w14:paraId="041F3A6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评审因素</w:t>
            </w:r>
          </w:p>
        </w:tc>
        <w:tc>
          <w:tcPr>
            <w:tcW w:w="5607" w:type="dxa"/>
            <w:tcBorders>
              <w:top w:val="single" w:color="auto" w:sz="4" w:space="0"/>
              <w:left w:val="nil"/>
              <w:bottom w:val="single" w:color="auto" w:sz="4" w:space="0"/>
              <w:right w:val="single" w:color="auto" w:sz="4" w:space="0"/>
            </w:tcBorders>
            <w:noWrap w:val="0"/>
            <w:vAlign w:val="center"/>
          </w:tcPr>
          <w:p w14:paraId="74315F6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评审标准</w:t>
            </w:r>
          </w:p>
        </w:tc>
      </w:tr>
      <w:tr w14:paraId="4957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20E802E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w:t>
            </w:r>
          </w:p>
        </w:tc>
        <w:tc>
          <w:tcPr>
            <w:tcW w:w="1288" w:type="dxa"/>
            <w:vMerge w:val="restart"/>
            <w:tcBorders>
              <w:top w:val="nil"/>
              <w:left w:val="nil"/>
              <w:bottom w:val="single" w:color="auto" w:sz="4" w:space="0"/>
              <w:right w:val="single" w:color="auto" w:sz="4" w:space="0"/>
            </w:tcBorders>
            <w:noWrap w:val="0"/>
            <w:vAlign w:val="center"/>
          </w:tcPr>
          <w:p w14:paraId="52038D89">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0000FF"/>
                <w:kern w:val="2"/>
                <w:sz w:val="24"/>
                <w:szCs w:val="24"/>
                <w:highlight w:val="none"/>
              </w:rPr>
            </w:pPr>
            <w:r>
              <w:rPr>
                <w:rFonts w:hint="eastAsia" w:ascii="宋体" w:hAnsi="宋体" w:eastAsia="宋体" w:cs="宋体"/>
                <w:spacing w:val="-4"/>
                <w:sz w:val="24"/>
                <w:szCs w:val="24"/>
                <w:highlight w:val="none"/>
              </w:rPr>
              <w:t>资格</w:t>
            </w:r>
            <w:r>
              <w:rPr>
                <w:rFonts w:hint="eastAsia" w:ascii="宋体" w:hAnsi="宋体" w:eastAsia="宋体" w:cs="宋体"/>
                <w:color w:val="auto"/>
                <w:kern w:val="2"/>
                <w:sz w:val="24"/>
                <w:szCs w:val="24"/>
                <w:highlight w:val="none"/>
              </w:rPr>
              <w:t>性</w:t>
            </w:r>
            <w:r>
              <w:rPr>
                <w:rFonts w:hint="eastAsia" w:ascii="宋体" w:hAnsi="宋体" w:eastAsia="宋体" w:cs="宋体"/>
                <w:spacing w:val="-4"/>
                <w:sz w:val="24"/>
                <w:szCs w:val="24"/>
                <w:highlight w:val="none"/>
              </w:rPr>
              <w:t>评审标准</w:t>
            </w:r>
          </w:p>
        </w:tc>
        <w:tc>
          <w:tcPr>
            <w:tcW w:w="1813" w:type="dxa"/>
            <w:tcBorders>
              <w:top w:val="single" w:color="auto" w:sz="4" w:space="0"/>
              <w:left w:val="nil"/>
              <w:bottom w:val="single" w:color="auto" w:sz="4" w:space="0"/>
              <w:right w:val="single" w:color="auto" w:sz="4" w:space="0"/>
            </w:tcBorders>
            <w:shd w:val="clear" w:color="auto" w:fill="auto"/>
            <w:noWrap w:val="0"/>
            <w:vAlign w:val="center"/>
          </w:tcPr>
          <w:p w14:paraId="7C3275D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落实政府采购政策满足的资格要求</w:t>
            </w:r>
          </w:p>
        </w:tc>
        <w:tc>
          <w:tcPr>
            <w:tcW w:w="5607" w:type="dxa"/>
            <w:tcBorders>
              <w:top w:val="single" w:color="auto" w:sz="4" w:space="0"/>
              <w:left w:val="nil"/>
              <w:bottom w:val="single" w:color="auto" w:sz="4" w:space="0"/>
              <w:right w:val="single" w:color="auto" w:sz="4" w:space="0"/>
            </w:tcBorders>
            <w:shd w:val="clear" w:color="auto" w:fill="auto"/>
            <w:noWrap w:val="0"/>
            <w:vAlign w:val="center"/>
          </w:tcPr>
          <w:p w14:paraId="29D1830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根据《政府采购促进中小企业发展管理办法》（财库〔2020〕46号）规定，本项目专门面向中小企业采购,同时响应人须提供《中小企业声明函》</w:t>
            </w:r>
          </w:p>
        </w:tc>
      </w:tr>
      <w:tr w14:paraId="4816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870" w:type="dxa"/>
            <w:vMerge w:val="continue"/>
            <w:tcBorders>
              <w:left w:val="single" w:color="auto" w:sz="4" w:space="0"/>
              <w:right w:val="single" w:color="auto" w:sz="4" w:space="0"/>
            </w:tcBorders>
            <w:noWrap w:val="0"/>
            <w:vAlign w:val="center"/>
          </w:tcPr>
          <w:p w14:paraId="54029EB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p>
        </w:tc>
        <w:tc>
          <w:tcPr>
            <w:tcW w:w="1288" w:type="dxa"/>
            <w:vMerge w:val="continue"/>
            <w:tcBorders>
              <w:left w:val="nil"/>
              <w:right w:val="single" w:color="auto" w:sz="4" w:space="0"/>
            </w:tcBorders>
            <w:noWrap w:val="0"/>
            <w:vAlign w:val="center"/>
          </w:tcPr>
          <w:p w14:paraId="09F70F4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spacing w:val="-4"/>
                <w:sz w:val="24"/>
                <w:szCs w:val="24"/>
                <w:highlight w:val="none"/>
              </w:rPr>
            </w:pPr>
          </w:p>
        </w:tc>
        <w:tc>
          <w:tcPr>
            <w:tcW w:w="1813" w:type="dxa"/>
            <w:tcBorders>
              <w:top w:val="single" w:color="auto" w:sz="4" w:space="0"/>
              <w:left w:val="nil"/>
              <w:bottom w:val="single" w:color="auto" w:sz="4" w:space="0"/>
              <w:right w:val="single" w:color="auto" w:sz="4" w:space="0"/>
            </w:tcBorders>
            <w:shd w:val="clear" w:color="auto" w:fill="auto"/>
            <w:noWrap w:val="0"/>
            <w:vAlign w:val="center"/>
          </w:tcPr>
          <w:p w14:paraId="19F2962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营业执照</w:t>
            </w:r>
          </w:p>
        </w:tc>
        <w:tc>
          <w:tcPr>
            <w:tcW w:w="5607" w:type="dxa"/>
            <w:tcBorders>
              <w:top w:val="single" w:color="auto" w:sz="4" w:space="0"/>
              <w:left w:val="nil"/>
              <w:right w:val="single" w:color="auto" w:sz="4" w:space="0"/>
            </w:tcBorders>
            <w:shd w:val="clear" w:color="auto" w:fill="auto"/>
            <w:noWrap w:val="0"/>
            <w:vAlign w:val="center"/>
          </w:tcPr>
          <w:p w14:paraId="23A23E1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供应商须具有独立承担民事责任的能力，须提供有效的营业执照或其他证明材料</w:t>
            </w:r>
          </w:p>
        </w:tc>
      </w:tr>
      <w:tr w14:paraId="7285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5724AE3C">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5B67BAD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43F5CA3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企业资质能力</w:t>
            </w:r>
          </w:p>
        </w:tc>
        <w:tc>
          <w:tcPr>
            <w:tcW w:w="5607" w:type="dxa"/>
            <w:tcBorders>
              <w:top w:val="single" w:color="auto" w:sz="4" w:space="0"/>
              <w:left w:val="nil"/>
              <w:bottom w:val="single" w:color="auto" w:sz="4" w:space="0"/>
              <w:right w:val="single" w:color="auto" w:sz="4" w:space="0"/>
            </w:tcBorders>
            <w:noWrap w:val="0"/>
            <w:vAlign w:val="center"/>
          </w:tcPr>
          <w:p w14:paraId="5BD4BA4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Times New Roman"/>
                <w:color w:val="auto"/>
                <w:sz w:val="24"/>
                <w:szCs w:val="24"/>
                <w:highlight w:val="none"/>
              </w:rPr>
              <w:t>响应人须</w:t>
            </w:r>
            <w:r>
              <w:rPr>
                <w:rFonts w:hint="eastAsia" w:ascii="宋体" w:hAnsi="宋体" w:eastAsia="宋体" w:cs="Times New Roman"/>
                <w:color w:val="auto"/>
                <w:sz w:val="24"/>
                <w:szCs w:val="24"/>
                <w:highlight w:val="none"/>
                <w:lang w:val="en-US" w:eastAsia="zh-CN"/>
              </w:rPr>
              <w:t>具备</w:t>
            </w:r>
            <w:r>
              <w:rPr>
                <w:rFonts w:hint="eastAsia" w:ascii="宋体" w:hAnsi="宋体" w:eastAsia="宋体" w:cs="Times New Roman"/>
                <w:color w:val="auto"/>
                <w:sz w:val="24"/>
                <w:szCs w:val="24"/>
                <w:highlight w:val="none"/>
              </w:rPr>
              <w:t>消防设施工程专业承包二级（含）以上资质及有效的安全生产许可证，具</w:t>
            </w:r>
            <w:r>
              <w:rPr>
                <w:rFonts w:hint="eastAsia" w:ascii="宋体" w:hAnsi="宋体" w:eastAsia="宋体" w:cs="Times New Roman"/>
                <w:color w:val="auto"/>
                <w:sz w:val="24"/>
                <w:szCs w:val="24"/>
                <w:highlight w:val="none"/>
                <w:lang w:val="en-US" w:eastAsia="zh-CN"/>
              </w:rPr>
              <w:t>备</w:t>
            </w:r>
            <w:r>
              <w:rPr>
                <w:rFonts w:hint="eastAsia" w:ascii="宋体" w:hAnsi="宋体" w:eastAsia="宋体" w:cs="Times New Roman"/>
                <w:color w:val="auto"/>
                <w:sz w:val="24"/>
                <w:szCs w:val="24"/>
                <w:highlight w:val="none"/>
              </w:rPr>
              <w:t>相应的施工能力</w:t>
            </w:r>
            <w:r>
              <w:rPr>
                <w:rFonts w:hint="eastAsia" w:ascii="宋体" w:hAnsi="宋体" w:eastAsia="宋体" w:cs="Times New Roman"/>
                <w:color w:val="auto"/>
                <w:sz w:val="24"/>
                <w:szCs w:val="24"/>
                <w:highlight w:val="none"/>
                <w:lang w:eastAsia="zh-CN"/>
              </w:rPr>
              <w:t>；</w:t>
            </w:r>
          </w:p>
        </w:tc>
      </w:tr>
      <w:tr w14:paraId="1D37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057D7BA0">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5B482218">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64C621F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项目经理</w:t>
            </w:r>
          </w:p>
        </w:tc>
        <w:tc>
          <w:tcPr>
            <w:tcW w:w="5607" w:type="dxa"/>
            <w:tcBorders>
              <w:top w:val="single" w:color="auto" w:sz="4" w:space="0"/>
              <w:left w:val="nil"/>
              <w:bottom w:val="single" w:color="auto" w:sz="4" w:space="0"/>
              <w:right w:val="single" w:color="auto" w:sz="4" w:space="0"/>
            </w:tcBorders>
            <w:noWrap w:val="0"/>
            <w:vAlign w:val="center"/>
          </w:tcPr>
          <w:p w14:paraId="30555F7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spacing w:val="2"/>
                <w:sz w:val="24"/>
                <w:szCs w:val="24"/>
                <w:lang w:val="en-US" w:eastAsia="zh-CN"/>
              </w:rPr>
              <w:t>须</w:t>
            </w:r>
            <w:r>
              <w:rPr>
                <w:spacing w:val="2"/>
                <w:sz w:val="24"/>
                <w:szCs w:val="24"/>
              </w:rPr>
              <w:t>具有</w:t>
            </w:r>
            <w:r>
              <w:rPr>
                <w:rFonts w:hint="eastAsia" w:ascii="宋体" w:hAnsi="宋体" w:cs="宋体"/>
                <w:sz w:val="24"/>
                <w:szCs w:val="32"/>
                <w:lang w:val="en-US" w:eastAsia="zh-CN"/>
              </w:rPr>
              <w:t>机电</w:t>
            </w:r>
            <w:r>
              <w:rPr>
                <w:rFonts w:hint="eastAsia" w:ascii="宋体" w:hAnsi="宋体" w:cs="宋体"/>
                <w:sz w:val="24"/>
                <w:szCs w:val="32"/>
                <w:lang w:eastAsia="zh-CN"/>
              </w:rPr>
              <w:t>工程</w:t>
            </w:r>
            <w:r>
              <w:rPr>
                <w:rFonts w:hint="eastAsia" w:ascii="宋体" w:hAnsi="宋体" w:cs="宋体"/>
                <w:sz w:val="24"/>
                <w:szCs w:val="32"/>
              </w:rPr>
              <w:t>专业贰级(含贰级)以上建造师资格和安全生产考核合格证</w:t>
            </w:r>
            <w:r>
              <w:rPr>
                <w:rFonts w:hint="eastAsia" w:ascii="宋体" w:hAnsi="宋体" w:eastAsia="宋体" w:cs="Times New Roman"/>
                <w:color w:val="auto"/>
                <w:sz w:val="24"/>
                <w:szCs w:val="24"/>
                <w:highlight w:val="none"/>
              </w:rPr>
              <w:t>，与投标单位签订劳动合同且未在其他在建工程项目中担任项目经理，已参加社会保险（近三个月任意一个月）</w:t>
            </w:r>
          </w:p>
        </w:tc>
      </w:tr>
      <w:tr w14:paraId="634E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462B26E8">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45A77847">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0C568AA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财务状况</w:t>
            </w:r>
          </w:p>
        </w:tc>
        <w:tc>
          <w:tcPr>
            <w:tcW w:w="5607" w:type="dxa"/>
            <w:tcBorders>
              <w:top w:val="single" w:color="auto" w:sz="4" w:space="0"/>
              <w:left w:val="nil"/>
              <w:bottom w:val="single" w:color="auto" w:sz="4" w:space="0"/>
              <w:right w:val="single" w:color="auto" w:sz="4" w:space="0"/>
            </w:tcBorders>
            <w:noWrap w:val="0"/>
            <w:vAlign w:val="center"/>
          </w:tcPr>
          <w:p w14:paraId="3A17828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具有良好的财务状况（提供2025年度第三方审计机构出具的财务报告或自行承诺）；</w:t>
            </w:r>
          </w:p>
        </w:tc>
      </w:tr>
      <w:tr w14:paraId="7141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2DC26720">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2A50700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77EF221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依法缴纳税收的证明资料</w:t>
            </w:r>
          </w:p>
        </w:tc>
        <w:tc>
          <w:tcPr>
            <w:tcW w:w="5607" w:type="dxa"/>
            <w:tcBorders>
              <w:top w:val="single" w:color="auto" w:sz="4" w:space="0"/>
              <w:left w:val="nil"/>
              <w:bottom w:val="single" w:color="auto" w:sz="4" w:space="0"/>
              <w:right w:val="single" w:color="auto" w:sz="4" w:space="0"/>
            </w:tcBorders>
            <w:noWrap w:val="0"/>
            <w:vAlign w:val="center"/>
          </w:tcPr>
          <w:p w14:paraId="1BFB6BE5">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b w:val="0"/>
                <w:bCs w:val="0"/>
                <w:color w:val="auto"/>
                <w:sz w:val="24"/>
                <w:highlight w:val="none"/>
                <w:lang w:val="en-US" w:eastAsia="zh-CN"/>
              </w:rPr>
              <w:t>供应商具有依法缴纳税收和社会保障资金的良好记录（提供承诺书或近三个月企业税收证明材料）；</w:t>
            </w:r>
          </w:p>
        </w:tc>
      </w:tr>
      <w:tr w14:paraId="7583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54555C5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39B61BF7">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7228E23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无行贿犯罪</w:t>
            </w:r>
            <w:r>
              <w:rPr>
                <w:rFonts w:hint="eastAsia" w:ascii="宋体" w:hAnsi="宋体" w:eastAsia="宋体" w:cs="宋体"/>
                <w:color w:val="auto"/>
                <w:kern w:val="2"/>
                <w:sz w:val="24"/>
                <w:szCs w:val="24"/>
                <w:highlight w:val="none"/>
              </w:rPr>
              <w:t>查询</w:t>
            </w:r>
          </w:p>
        </w:tc>
        <w:tc>
          <w:tcPr>
            <w:tcW w:w="5607" w:type="dxa"/>
            <w:tcBorders>
              <w:top w:val="single" w:color="auto" w:sz="4" w:space="0"/>
              <w:left w:val="nil"/>
              <w:bottom w:val="single" w:color="auto" w:sz="4" w:space="0"/>
              <w:right w:val="single" w:color="auto" w:sz="4" w:space="0"/>
            </w:tcBorders>
            <w:noWrap w:val="0"/>
            <w:vAlign w:val="center"/>
          </w:tcPr>
          <w:p w14:paraId="6C71518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b w:val="0"/>
                <w:bCs w:val="0"/>
                <w:color w:val="auto"/>
                <w:sz w:val="24"/>
                <w:highlight w:val="none"/>
                <w:lang w:val="en-US" w:eastAsia="zh-CN"/>
              </w:rPr>
              <w:t>参加政府采购活动前3年内无行贿犯罪记录，供应商出具的无行贿犯罪记录在中国裁判文书网自行查询或自行承诺（查询对象：企业、法定代表人、项目经理）；</w:t>
            </w:r>
          </w:p>
        </w:tc>
      </w:tr>
      <w:tr w14:paraId="05E6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64DDCDB3">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45C2929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7931B61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无商业贿赂和不正当竞争行为</w:t>
            </w:r>
          </w:p>
        </w:tc>
        <w:tc>
          <w:tcPr>
            <w:tcW w:w="5607" w:type="dxa"/>
            <w:tcBorders>
              <w:top w:val="single" w:color="auto" w:sz="4" w:space="0"/>
              <w:left w:val="nil"/>
              <w:bottom w:val="single" w:color="auto" w:sz="4" w:space="0"/>
              <w:right w:val="single" w:color="auto" w:sz="4" w:space="0"/>
            </w:tcBorders>
            <w:noWrap w:val="0"/>
            <w:vAlign w:val="center"/>
          </w:tcPr>
          <w:p w14:paraId="61204FC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提供企业注册地工商管理部门出具的无商业贿赂和不正当竞争行为的查询证明（若当地工商管理部门不办理此项业务，供应商须自行出具本企业无商业贿赂和不正当竞争行为承诺书）；</w:t>
            </w:r>
          </w:p>
        </w:tc>
      </w:tr>
      <w:tr w14:paraId="2682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7A70691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2C07C21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2A34C19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kern w:val="2"/>
                <w:sz w:val="24"/>
                <w:szCs w:val="24"/>
                <w:highlight w:val="none"/>
              </w:rPr>
            </w:pPr>
            <w:r>
              <w:rPr>
                <w:rFonts w:hint="eastAsia"/>
                <w:color w:val="auto"/>
                <w:sz w:val="24"/>
                <w:szCs w:val="24"/>
                <w:highlight w:val="none"/>
                <w:lang w:eastAsia="zh-CN"/>
              </w:rPr>
              <w:t>控股、管理关系等</w:t>
            </w:r>
          </w:p>
        </w:tc>
        <w:tc>
          <w:tcPr>
            <w:tcW w:w="5607" w:type="dxa"/>
            <w:tcBorders>
              <w:top w:val="single" w:color="auto" w:sz="4" w:space="0"/>
              <w:left w:val="nil"/>
              <w:bottom w:val="single" w:color="auto" w:sz="4" w:space="0"/>
              <w:right w:val="single" w:color="auto" w:sz="4" w:space="0"/>
            </w:tcBorders>
            <w:noWrap w:val="0"/>
            <w:vAlign w:val="center"/>
          </w:tcPr>
          <w:p w14:paraId="28E35AC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b w:val="0"/>
                <w:bCs w:val="0"/>
                <w:color w:val="auto"/>
                <w:sz w:val="24"/>
                <w:highlight w:val="none"/>
                <w:lang w:val="en-US" w:eastAsia="zh-CN"/>
              </w:rPr>
              <w:t>单位负责人为同一人或者存在直接控股、管理关系的不同供应商，不得参加同一合同项下的采购活动；（提供“国家企业信用信息公示系统”网页查询信息截图,查询信息应包含公司基本信息、股东信息及股权变更信息等相关信息；査询时间必须是招标公告发布以后开标时间以前，查询结果清晰可见)；</w:t>
            </w:r>
          </w:p>
        </w:tc>
      </w:tr>
      <w:tr w14:paraId="2777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3105261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46142F2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3ED13CF9">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网站查询信息</w:t>
            </w:r>
          </w:p>
        </w:tc>
        <w:tc>
          <w:tcPr>
            <w:tcW w:w="5607" w:type="dxa"/>
            <w:tcBorders>
              <w:top w:val="single" w:color="auto" w:sz="4" w:space="0"/>
              <w:left w:val="nil"/>
              <w:bottom w:val="single" w:color="auto" w:sz="4" w:space="0"/>
              <w:right w:val="single" w:color="auto" w:sz="4" w:space="0"/>
            </w:tcBorders>
            <w:noWrap w:val="0"/>
            <w:vAlign w:val="center"/>
          </w:tcPr>
          <w:p w14:paraId="18B7884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5F4B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3989ED6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64682423">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6CF282C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其他内容</w:t>
            </w:r>
          </w:p>
        </w:tc>
        <w:tc>
          <w:tcPr>
            <w:tcW w:w="5607" w:type="dxa"/>
            <w:tcBorders>
              <w:top w:val="single" w:color="auto" w:sz="4" w:space="0"/>
              <w:left w:val="nil"/>
              <w:bottom w:val="single" w:color="auto" w:sz="4" w:space="0"/>
              <w:right w:val="single" w:color="auto" w:sz="4" w:space="0"/>
            </w:tcBorders>
            <w:noWrap w:val="0"/>
            <w:vAlign w:val="center"/>
          </w:tcPr>
          <w:p w14:paraId="1757913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竞争性磋商文件</w:t>
            </w:r>
            <w:r>
              <w:rPr>
                <w:rFonts w:hint="eastAsia" w:ascii="宋体" w:hAnsi="宋体" w:eastAsia="宋体" w:cs="宋体"/>
                <w:color w:val="auto"/>
                <w:kern w:val="2"/>
                <w:sz w:val="24"/>
                <w:szCs w:val="24"/>
                <w:highlight w:val="none"/>
                <w:lang w:eastAsia="zh-CN"/>
              </w:rPr>
              <w:t>及公告</w:t>
            </w:r>
            <w:r>
              <w:rPr>
                <w:rFonts w:hint="eastAsia" w:ascii="宋体" w:hAnsi="宋体" w:eastAsia="宋体" w:cs="宋体"/>
                <w:color w:val="auto"/>
                <w:kern w:val="2"/>
                <w:sz w:val="24"/>
                <w:szCs w:val="24"/>
                <w:highlight w:val="none"/>
              </w:rPr>
              <w:t>规定的其他资料</w:t>
            </w:r>
          </w:p>
        </w:tc>
      </w:tr>
      <w:tr w14:paraId="6A73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3403ECE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w:t>
            </w:r>
          </w:p>
        </w:tc>
        <w:tc>
          <w:tcPr>
            <w:tcW w:w="1288" w:type="dxa"/>
            <w:vMerge w:val="restart"/>
            <w:tcBorders>
              <w:top w:val="nil"/>
              <w:left w:val="nil"/>
              <w:bottom w:val="single" w:color="auto" w:sz="4" w:space="0"/>
              <w:right w:val="single" w:color="auto" w:sz="4" w:space="0"/>
            </w:tcBorders>
            <w:noWrap w:val="0"/>
            <w:vAlign w:val="center"/>
          </w:tcPr>
          <w:p w14:paraId="069DCE4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响应性评审标准</w:t>
            </w:r>
          </w:p>
        </w:tc>
        <w:tc>
          <w:tcPr>
            <w:tcW w:w="1813" w:type="dxa"/>
            <w:tcBorders>
              <w:top w:val="single" w:color="auto" w:sz="4" w:space="0"/>
              <w:left w:val="nil"/>
              <w:bottom w:val="single" w:color="auto" w:sz="4" w:space="0"/>
              <w:right w:val="single" w:color="auto" w:sz="4" w:space="0"/>
            </w:tcBorders>
            <w:noWrap w:val="0"/>
            <w:vAlign w:val="center"/>
          </w:tcPr>
          <w:p w14:paraId="23F8158E">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质量要求</w:t>
            </w:r>
          </w:p>
        </w:tc>
        <w:tc>
          <w:tcPr>
            <w:tcW w:w="5607" w:type="dxa"/>
            <w:tcBorders>
              <w:top w:val="single" w:color="auto" w:sz="4" w:space="0"/>
              <w:left w:val="nil"/>
              <w:bottom w:val="single" w:color="auto" w:sz="4" w:space="0"/>
              <w:right w:val="single" w:color="auto" w:sz="4" w:space="0"/>
            </w:tcBorders>
            <w:noWrap w:val="0"/>
            <w:vAlign w:val="center"/>
          </w:tcPr>
          <w:p w14:paraId="15316505">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达到国家现行建设工程施工质量验收规范合格标准</w:t>
            </w:r>
          </w:p>
        </w:tc>
      </w:tr>
      <w:tr w14:paraId="55A9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61338A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6A6D0C3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41B26D7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计划工期</w:t>
            </w:r>
          </w:p>
        </w:tc>
        <w:tc>
          <w:tcPr>
            <w:tcW w:w="5607" w:type="dxa"/>
            <w:tcBorders>
              <w:top w:val="single" w:color="auto" w:sz="4" w:space="0"/>
              <w:left w:val="nil"/>
              <w:bottom w:val="single" w:color="auto" w:sz="4" w:space="0"/>
              <w:right w:val="single" w:color="auto" w:sz="4" w:space="0"/>
            </w:tcBorders>
            <w:noWrap w:val="0"/>
            <w:vAlign w:val="center"/>
          </w:tcPr>
          <w:p w14:paraId="2EA42B5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50日历天</w:t>
            </w:r>
          </w:p>
        </w:tc>
      </w:tr>
      <w:tr w14:paraId="7E63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343A39AB">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w:t>
            </w:r>
          </w:p>
        </w:tc>
        <w:tc>
          <w:tcPr>
            <w:tcW w:w="1288" w:type="dxa"/>
            <w:vMerge w:val="continue"/>
            <w:tcBorders>
              <w:top w:val="nil"/>
              <w:left w:val="nil"/>
              <w:bottom w:val="single" w:color="auto" w:sz="4" w:space="0"/>
              <w:right w:val="single" w:color="auto" w:sz="4" w:space="0"/>
            </w:tcBorders>
            <w:noWrap w:val="0"/>
            <w:vAlign w:val="center"/>
          </w:tcPr>
          <w:p w14:paraId="447DFD2D">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417D3E2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磋商有效期</w:t>
            </w:r>
          </w:p>
        </w:tc>
        <w:tc>
          <w:tcPr>
            <w:tcW w:w="5607" w:type="dxa"/>
            <w:tcBorders>
              <w:top w:val="single" w:color="auto" w:sz="4" w:space="0"/>
              <w:left w:val="nil"/>
              <w:bottom w:val="single" w:color="auto" w:sz="4" w:space="0"/>
              <w:right w:val="single" w:color="auto" w:sz="4" w:space="0"/>
            </w:tcBorders>
            <w:noWrap w:val="0"/>
            <w:vAlign w:val="center"/>
          </w:tcPr>
          <w:p w14:paraId="1D5BF8D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符合第二章“响应人须知”规定</w:t>
            </w:r>
          </w:p>
        </w:tc>
      </w:tr>
      <w:tr w14:paraId="5274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778A7D43">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6026BA4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3CC2704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磋商内容及范围</w:t>
            </w:r>
          </w:p>
        </w:tc>
        <w:tc>
          <w:tcPr>
            <w:tcW w:w="5607" w:type="dxa"/>
            <w:tcBorders>
              <w:top w:val="single" w:color="auto" w:sz="4" w:space="0"/>
              <w:left w:val="nil"/>
              <w:bottom w:val="single" w:color="auto" w:sz="4" w:space="0"/>
              <w:right w:val="single" w:color="auto" w:sz="4" w:space="0"/>
            </w:tcBorders>
            <w:noWrap w:val="0"/>
            <w:vAlign w:val="center"/>
          </w:tcPr>
          <w:p w14:paraId="7E9E5C1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符合第二章“响应人须知”规定</w:t>
            </w:r>
          </w:p>
        </w:tc>
      </w:tr>
      <w:tr w14:paraId="20CA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2"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2B2A4944">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2C8F43A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77A91CB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磋商报价</w:t>
            </w:r>
          </w:p>
        </w:tc>
        <w:tc>
          <w:tcPr>
            <w:tcW w:w="5607" w:type="dxa"/>
            <w:tcBorders>
              <w:top w:val="single" w:color="auto" w:sz="4" w:space="0"/>
              <w:left w:val="nil"/>
              <w:bottom w:val="single" w:color="auto" w:sz="4" w:space="0"/>
              <w:right w:val="single" w:color="auto" w:sz="4" w:space="0"/>
            </w:tcBorders>
            <w:noWrap w:val="0"/>
            <w:vAlign w:val="center"/>
          </w:tcPr>
          <w:p w14:paraId="6533D1B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招标控制价：718371.81元</w:t>
            </w:r>
          </w:p>
          <w:p w14:paraId="4496133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响应人磋商总报价不得高于采购人公布的招标控制价，否则其投标将予否决。</w:t>
            </w:r>
          </w:p>
          <w:p w14:paraId="62529A6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4745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10E3EC7">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514FEA9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66B3D79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其他内容</w:t>
            </w:r>
          </w:p>
        </w:tc>
        <w:tc>
          <w:tcPr>
            <w:tcW w:w="5607" w:type="dxa"/>
            <w:tcBorders>
              <w:top w:val="single" w:color="auto" w:sz="4" w:space="0"/>
              <w:left w:val="nil"/>
              <w:bottom w:val="single" w:color="auto" w:sz="4" w:space="0"/>
              <w:right w:val="single" w:color="auto" w:sz="4" w:space="0"/>
            </w:tcBorders>
            <w:noWrap w:val="0"/>
            <w:vAlign w:val="center"/>
          </w:tcPr>
          <w:p w14:paraId="5C156D0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磋商文件规定的其他内容</w:t>
            </w:r>
          </w:p>
        </w:tc>
      </w:tr>
      <w:tr w14:paraId="3930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870" w:type="dxa"/>
            <w:vMerge w:val="restart"/>
            <w:tcBorders>
              <w:top w:val="single" w:color="auto" w:sz="4" w:space="0"/>
              <w:left w:val="single" w:color="auto" w:sz="4" w:space="0"/>
              <w:right w:val="single" w:color="auto" w:sz="4" w:space="0"/>
            </w:tcBorders>
            <w:noWrap w:val="0"/>
            <w:vAlign w:val="center"/>
          </w:tcPr>
          <w:p w14:paraId="2B9D9A7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2.1.3</w:t>
            </w:r>
          </w:p>
        </w:tc>
        <w:tc>
          <w:tcPr>
            <w:tcW w:w="1288" w:type="dxa"/>
            <w:vMerge w:val="restart"/>
            <w:tcBorders>
              <w:top w:val="single" w:color="auto" w:sz="4" w:space="0"/>
              <w:left w:val="single" w:color="auto" w:sz="4" w:space="0"/>
              <w:right w:val="single" w:color="auto" w:sz="4" w:space="0"/>
            </w:tcBorders>
            <w:noWrap w:val="0"/>
            <w:vAlign w:val="center"/>
          </w:tcPr>
          <w:p w14:paraId="466F920E">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形式</w:t>
            </w:r>
            <w:r>
              <w:rPr>
                <w:rFonts w:hint="eastAsia" w:ascii="宋体" w:hAnsi="宋体" w:eastAsia="宋体" w:cs="宋体"/>
                <w:color w:val="auto"/>
                <w:kern w:val="2"/>
                <w:sz w:val="24"/>
                <w:szCs w:val="24"/>
                <w:highlight w:val="none"/>
              </w:rPr>
              <w:t>性</w:t>
            </w:r>
            <w:r>
              <w:rPr>
                <w:rFonts w:hint="eastAsia" w:ascii="宋体" w:hAnsi="宋体" w:eastAsia="宋体" w:cs="宋体"/>
                <w:color w:val="auto"/>
                <w:sz w:val="24"/>
                <w:szCs w:val="24"/>
                <w:highlight w:val="none"/>
                <w:lang w:val="en-US" w:eastAsia="zh-CN" w:bidi="ar-SA"/>
              </w:rPr>
              <w:t>评审标准</w:t>
            </w:r>
          </w:p>
        </w:tc>
        <w:tc>
          <w:tcPr>
            <w:tcW w:w="1813" w:type="dxa"/>
            <w:tcBorders>
              <w:top w:val="single" w:color="auto" w:sz="4" w:space="0"/>
              <w:left w:val="nil"/>
              <w:bottom w:val="single" w:color="auto" w:sz="4" w:space="0"/>
              <w:right w:val="single" w:color="auto" w:sz="4" w:space="0"/>
            </w:tcBorders>
            <w:noWrap w:val="0"/>
            <w:vAlign w:val="center"/>
          </w:tcPr>
          <w:p w14:paraId="4B27734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响应人名称</w:t>
            </w:r>
          </w:p>
        </w:tc>
        <w:tc>
          <w:tcPr>
            <w:tcW w:w="5607" w:type="dxa"/>
            <w:tcBorders>
              <w:top w:val="single" w:color="auto" w:sz="4" w:space="0"/>
              <w:left w:val="nil"/>
              <w:bottom w:val="single" w:color="auto" w:sz="4" w:space="0"/>
              <w:right w:val="single" w:color="auto" w:sz="4" w:space="0"/>
            </w:tcBorders>
            <w:noWrap w:val="0"/>
            <w:vAlign w:val="center"/>
          </w:tcPr>
          <w:p w14:paraId="430D6B6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与营业执照、资质证书等名称一致</w:t>
            </w:r>
          </w:p>
        </w:tc>
      </w:tr>
      <w:tr w14:paraId="626E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70" w:type="dxa"/>
            <w:vMerge w:val="continue"/>
            <w:tcBorders>
              <w:left w:val="single" w:color="auto" w:sz="4" w:space="0"/>
              <w:right w:val="single" w:color="auto" w:sz="4" w:space="0"/>
            </w:tcBorders>
            <w:noWrap w:val="0"/>
            <w:vAlign w:val="center"/>
          </w:tcPr>
          <w:p w14:paraId="1EEEB70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left w:val="single" w:color="auto" w:sz="4" w:space="0"/>
              <w:right w:val="single" w:color="auto" w:sz="4" w:space="0"/>
            </w:tcBorders>
            <w:noWrap w:val="0"/>
            <w:vAlign w:val="center"/>
          </w:tcPr>
          <w:p w14:paraId="75FB9E6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p>
        </w:tc>
        <w:tc>
          <w:tcPr>
            <w:tcW w:w="1813" w:type="dxa"/>
            <w:tcBorders>
              <w:top w:val="single" w:color="auto" w:sz="4" w:space="0"/>
              <w:left w:val="nil"/>
              <w:bottom w:val="single" w:color="auto" w:sz="4" w:space="0"/>
              <w:right w:val="single" w:color="auto" w:sz="4" w:space="0"/>
            </w:tcBorders>
            <w:noWrap w:val="0"/>
            <w:vAlign w:val="center"/>
          </w:tcPr>
          <w:p w14:paraId="5DC2A11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签字盖章</w:t>
            </w:r>
          </w:p>
        </w:tc>
        <w:tc>
          <w:tcPr>
            <w:tcW w:w="5607" w:type="dxa"/>
            <w:tcBorders>
              <w:top w:val="single" w:color="auto" w:sz="4" w:space="0"/>
              <w:left w:val="nil"/>
              <w:bottom w:val="single" w:color="auto" w:sz="4" w:space="0"/>
              <w:right w:val="single" w:color="auto" w:sz="4" w:space="0"/>
            </w:tcBorders>
            <w:noWrap w:val="0"/>
            <w:vAlign w:val="center"/>
          </w:tcPr>
          <w:p w14:paraId="374C04B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符合第二章“响应人须知”规定</w:t>
            </w:r>
          </w:p>
        </w:tc>
      </w:tr>
      <w:tr w14:paraId="1AC7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70" w:type="dxa"/>
            <w:vMerge w:val="continue"/>
            <w:tcBorders>
              <w:left w:val="single" w:color="auto" w:sz="4" w:space="0"/>
              <w:right w:val="single" w:color="auto" w:sz="4" w:space="0"/>
            </w:tcBorders>
            <w:noWrap w:val="0"/>
            <w:vAlign w:val="center"/>
          </w:tcPr>
          <w:p w14:paraId="7EDF9DD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left w:val="single" w:color="auto" w:sz="4" w:space="0"/>
              <w:right w:val="single" w:color="auto" w:sz="4" w:space="0"/>
            </w:tcBorders>
            <w:noWrap w:val="0"/>
            <w:vAlign w:val="center"/>
          </w:tcPr>
          <w:p w14:paraId="611CDAB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11C05DE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磋商响应性文件格式</w:t>
            </w:r>
          </w:p>
        </w:tc>
        <w:tc>
          <w:tcPr>
            <w:tcW w:w="5607" w:type="dxa"/>
            <w:tcBorders>
              <w:top w:val="single" w:color="auto" w:sz="4" w:space="0"/>
              <w:left w:val="nil"/>
              <w:bottom w:val="single" w:color="auto" w:sz="4" w:space="0"/>
              <w:right w:val="single" w:color="auto" w:sz="4" w:space="0"/>
            </w:tcBorders>
            <w:noWrap w:val="0"/>
            <w:vAlign w:val="center"/>
          </w:tcPr>
          <w:p w14:paraId="440F29F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符合磋商文件格式要求</w:t>
            </w:r>
          </w:p>
        </w:tc>
      </w:tr>
      <w:tr w14:paraId="14EF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870" w:type="dxa"/>
            <w:vMerge w:val="continue"/>
            <w:tcBorders>
              <w:left w:val="single" w:color="auto" w:sz="4" w:space="0"/>
              <w:bottom w:val="single" w:color="auto" w:sz="4" w:space="0"/>
              <w:right w:val="single" w:color="auto" w:sz="4" w:space="0"/>
            </w:tcBorders>
            <w:noWrap w:val="0"/>
            <w:vAlign w:val="center"/>
          </w:tcPr>
          <w:p w14:paraId="6BBC85A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left w:val="single" w:color="auto" w:sz="4" w:space="0"/>
              <w:bottom w:val="single" w:color="auto" w:sz="4" w:space="0"/>
              <w:right w:val="single" w:color="auto" w:sz="4" w:space="0"/>
            </w:tcBorders>
            <w:noWrap w:val="0"/>
            <w:vAlign w:val="center"/>
          </w:tcPr>
          <w:p w14:paraId="22DC1E8D">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4743629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报价唯一</w:t>
            </w:r>
          </w:p>
        </w:tc>
        <w:tc>
          <w:tcPr>
            <w:tcW w:w="5607" w:type="dxa"/>
            <w:tcBorders>
              <w:top w:val="single" w:color="auto" w:sz="4" w:space="0"/>
              <w:left w:val="nil"/>
              <w:bottom w:val="single" w:color="auto" w:sz="4" w:space="0"/>
              <w:right w:val="single" w:color="auto" w:sz="4" w:space="0"/>
            </w:tcBorders>
            <w:noWrap w:val="0"/>
            <w:vAlign w:val="center"/>
          </w:tcPr>
          <w:p w14:paraId="22D5BE8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只能有一个有效报价</w:t>
            </w:r>
          </w:p>
        </w:tc>
      </w:tr>
    </w:tbl>
    <w:p w14:paraId="1636811D">
      <w:pPr>
        <w:pStyle w:val="5"/>
        <w:kinsoku/>
        <w:wordWrap w:val="0"/>
        <w:overflowPunct/>
        <w:topLinePunct w:val="0"/>
        <w:bidi w:val="0"/>
        <w:spacing w:after="0"/>
        <w:jc w:val="both"/>
        <w:outlineLvl w:val="0"/>
        <w:rPr>
          <w:rFonts w:hint="eastAsia"/>
          <w:kern w:val="2"/>
          <w:sz w:val="28"/>
          <w:szCs w:val="28"/>
          <w:highlight w:val="none"/>
        </w:rPr>
      </w:pPr>
    </w:p>
    <w:tbl>
      <w:tblPr>
        <w:tblStyle w:val="18"/>
        <w:tblpPr w:leftFromText="180" w:rightFromText="180" w:vertAnchor="text" w:horzAnchor="page" w:tblpX="1322" w:tblpY="617"/>
        <w:tblOverlap w:val="never"/>
        <w:tblW w:w="9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533"/>
        <w:gridCol w:w="7230"/>
      </w:tblGrid>
      <w:tr w14:paraId="4E00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99" w:type="dxa"/>
            <w:gridSpan w:val="3"/>
            <w:tcBorders>
              <w:top w:val="single" w:color="auto" w:sz="4" w:space="0"/>
              <w:left w:val="single" w:color="auto" w:sz="4" w:space="0"/>
              <w:bottom w:val="single" w:color="auto" w:sz="4" w:space="0"/>
              <w:right w:val="single" w:color="auto" w:sz="4" w:space="0"/>
            </w:tcBorders>
            <w:vAlign w:val="center"/>
          </w:tcPr>
          <w:p w14:paraId="39D4ED16">
            <w:pPr>
              <w:pStyle w:val="5"/>
              <w:kinsoku/>
              <w:wordWrap w:val="0"/>
              <w:overflowPunct/>
              <w:topLinePunct w:val="0"/>
              <w:bidi w:val="0"/>
              <w:jc w:val="center"/>
              <w:outlineLvl w:val="0"/>
              <w:rPr>
                <w:rFonts w:hint="eastAsia" w:ascii="宋体" w:hAnsi="宋体" w:eastAsia="宋体" w:cs="宋体"/>
                <w:b w:val="0"/>
                <w:bCs w:val="0"/>
                <w:kern w:val="2"/>
                <w:sz w:val="24"/>
                <w:szCs w:val="24"/>
                <w:highlight w:val="none"/>
              </w:rPr>
            </w:pPr>
            <w:r>
              <w:rPr>
                <w:rFonts w:hint="eastAsia"/>
                <w:kern w:val="2"/>
                <w:sz w:val="28"/>
                <w:szCs w:val="28"/>
                <w:highlight w:val="none"/>
              </w:rPr>
              <w:t xml:space="preserve"> </w:t>
            </w:r>
            <w:bookmarkStart w:id="46" w:name="_Toc28614"/>
            <w:bookmarkStart w:id="47" w:name="_Toc15008"/>
            <w:bookmarkStart w:id="48" w:name="_Toc24407"/>
            <w:r>
              <w:rPr>
                <w:rFonts w:hint="eastAsia" w:ascii="宋体" w:hAnsi="宋体" w:eastAsia="宋体" w:cs="宋体"/>
                <w:b/>
                <w:kern w:val="0"/>
                <w:sz w:val="28"/>
                <w:szCs w:val="28"/>
                <w:highlight w:val="none"/>
                <w:lang w:val="en-US" w:eastAsia="zh-CN" w:bidi="ar-SA"/>
              </w:rPr>
              <w:t>详细评审标准</w:t>
            </w:r>
            <w:bookmarkEnd w:id="46"/>
            <w:bookmarkEnd w:id="47"/>
            <w:bookmarkEnd w:id="48"/>
          </w:p>
        </w:tc>
      </w:tr>
      <w:tr w14:paraId="03DD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669" w:type="dxa"/>
            <w:gridSpan w:val="2"/>
            <w:tcBorders>
              <w:top w:val="single" w:color="auto" w:sz="4" w:space="0"/>
              <w:left w:val="single" w:color="auto" w:sz="4" w:space="0"/>
              <w:bottom w:val="single" w:color="auto" w:sz="4" w:space="0"/>
              <w:right w:val="single" w:color="auto" w:sz="4" w:space="0"/>
            </w:tcBorders>
            <w:vAlign w:val="center"/>
          </w:tcPr>
          <w:p w14:paraId="19E30C01">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条款内容</w:t>
            </w:r>
          </w:p>
        </w:tc>
        <w:tc>
          <w:tcPr>
            <w:tcW w:w="7230" w:type="dxa"/>
            <w:tcBorders>
              <w:top w:val="single" w:color="auto" w:sz="4" w:space="0"/>
              <w:left w:val="nil"/>
              <w:bottom w:val="single" w:color="auto" w:sz="4" w:space="0"/>
              <w:right w:val="single" w:color="auto" w:sz="4" w:space="0"/>
            </w:tcBorders>
            <w:vAlign w:val="center"/>
          </w:tcPr>
          <w:p w14:paraId="289A7379">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编列内容</w:t>
            </w:r>
          </w:p>
        </w:tc>
      </w:tr>
      <w:tr w14:paraId="50F8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669" w:type="dxa"/>
            <w:gridSpan w:val="2"/>
            <w:tcBorders>
              <w:top w:val="single" w:color="auto" w:sz="4" w:space="0"/>
              <w:left w:val="single" w:color="auto" w:sz="4" w:space="0"/>
              <w:bottom w:val="single" w:color="auto" w:sz="4" w:space="0"/>
              <w:right w:val="single" w:color="auto" w:sz="4" w:space="0"/>
            </w:tcBorders>
            <w:vAlign w:val="center"/>
          </w:tcPr>
          <w:p w14:paraId="67477A63">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分值构成</w:t>
            </w:r>
          </w:p>
          <w:p w14:paraId="4CBBF49E">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（总分100分）</w:t>
            </w:r>
          </w:p>
        </w:tc>
        <w:tc>
          <w:tcPr>
            <w:tcW w:w="7230" w:type="dxa"/>
            <w:tcBorders>
              <w:top w:val="single" w:color="auto" w:sz="4" w:space="0"/>
              <w:left w:val="nil"/>
              <w:bottom w:val="single" w:color="auto" w:sz="4" w:space="0"/>
              <w:right w:val="single" w:color="auto" w:sz="4" w:space="0"/>
            </w:tcBorders>
            <w:vAlign w:val="center"/>
          </w:tcPr>
          <w:p w14:paraId="7EA0D933">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投标报价：</w:t>
            </w:r>
            <w:r>
              <w:rPr>
                <w:rFonts w:hint="eastAsia" w:ascii="宋体" w:hAnsi="宋体" w:eastAsia="宋体" w:cs="宋体"/>
                <w:b w:val="0"/>
                <w:bCs w:val="0"/>
                <w:kern w:val="2"/>
                <w:sz w:val="24"/>
                <w:szCs w:val="24"/>
                <w:highlight w:val="none"/>
                <w:lang w:val="en-US" w:eastAsia="zh-CN"/>
              </w:rPr>
              <w:t>3</w:t>
            </w:r>
            <w:r>
              <w:rPr>
                <w:rFonts w:hint="eastAsia" w:ascii="宋体" w:hAnsi="宋体" w:eastAsia="宋体" w:cs="宋体"/>
                <w:b w:val="0"/>
                <w:bCs w:val="0"/>
                <w:kern w:val="2"/>
                <w:sz w:val="24"/>
                <w:szCs w:val="24"/>
                <w:highlight w:val="none"/>
              </w:rPr>
              <w:t>0分</w:t>
            </w:r>
          </w:p>
          <w:p w14:paraId="6B470C1C">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技术部分：</w:t>
            </w:r>
            <w:r>
              <w:rPr>
                <w:rFonts w:hint="eastAsia" w:ascii="宋体" w:hAnsi="宋体" w:eastAsia="宋体" w:cs="宋体"/>
                <w:b w:val="0"/>
                <w:bCs w:val="0"/>
                <w:kern w:val="2"/>
                <w:sz w:val="24"/>
                <w:szCs w:val="24"/>
                <w:highlight w:val="none"/>
                <w:lang w:val="en-US" w:eastAsia="zh-CN"/>
              </w:rPr>
              <w:t>50</w:t>
            </w:r>
            <w:r>
              <w:rPr>
                <w:rFonts w:hint="eastAsia" w:ascii="宋体" w:hAnsi="宋体" w:eastAsia="宋体" w:cs="宋体"/>
                <w:b w:val="0"/>
                <w:bCs w:val="0"/>
                <w:kern w:val="2"/>
                <w:sz w:val="24"/>
                <w:szCs w:val="24"/>
                <w:highlight w:val="none"/>
              </w:rPr>
              <w:t>分</w:t>
            </w:r>
          </w:p>
          <w:p w14:paraId="48A79455">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highlight w:val="none"/>
                <w:lang w:val="en-US" w:eastAsia="zh-CN"/>
              </w:rPr>
              <w:t>商务</w:t>
            </w:r>
            <w:r>
              <w:rPr>
                <w:rFonts w:hint="eastAsia" w:ascii="宋体" w:hAnsi="宋体" w:eastAsia="宋体" w:cs="宋体"/>
                <w:b w:val="0"/>
                <w:bCs w:val="0"/>
                <w:kern w:val="2"/>
                <w:sz w:val="24"/>
                <w:szCs w:val="24"/>
                <w:highlight w:val="none"/>
              </w:rPr>
              <w:t>部分：</w:t>
            </w:r>
            <w:r>
              <w:rPr>
                <w:rFonts w:hint="eastAsia" w:ascii="宋体" w:hAnsi="宋体" w:eastAsia="宋体" w:cs="宋体"/>
                <w:b w:val="0"/>
                <w:bCs w:val="0"/>
                <w:kern w:val="2"/>
                <w:sz w:val="24"/>
                <w:szCs w:val="24"/>
                <w:highlight w:val="none"/>
                <w:lang w:val="en-US" w:eastAsia="zh-CN"/>
              </w:rPr>
              <w:t>20</w:t>
            </w:r>
            <w:r>
              <w:rPr>
                <w:rFonts w:hint="eastAsia" w:ascii="宋体" w:hAnsi="宋体" w:eastAsia="宋体" w:cs="宋体"/>
                <w:b w:val="0"/>
                <w:bCs w:val="0"/>
                <w:kern w:val="2"/>
                <w:sz w:val="24"/>
                <w:szCs w:val="24"/>
                <w:highlight w:val="none"/>
              </w:rPr>
              <w:t>分</w:t>
            </w:r>
          </w:p>
        </w:tc>
      </w:tr>
      <w:tr w14:paraId="18E7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69" w:type="dxa"/>
            <w:gridSpan w:val="2"/>
            <w:tcBorders>
              <w:top w:val="single" w:color="auto" w:sz="4" w:space="0"/>
              <w:left w:val="single" w:color="auto" w:sz="4" w:space="0"/>
              <w:bottom w:val="single" w:color="auto" w:sz="4" w:space="0"/>
              <w:right w:val="single" w:color="auto" w:sz="4" w:space="0"/>
            </w:tcBorders>
            <w:vAlign w:val="center"/>
          </w:tcPr>
          <w:p w14:paraId="2BD722EB">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招标采购预算</w:t>
            </w:r>
          </w:p>
        </w:tc>
        <w:tc>
          <w:tcPr>
            <w:tcW w:w="7230" w:type="dxa"/>
            <w:tcBorders>
              <w:top w:val="single" w:color="auto" w:sz="4" w:space="0"/>
              <w:left w:val="nil"/>
              <w:bottom w:val="single" w:color="auto" w:sz="4" w:space="0"/>
              <w:right w:val="single" w:color="auto" w:sz="4" w:space="0"/>
            </w:tcBorders>
            <w:vAlign w:val="center"/>
          </w:tcPr>
          <w:p w14:paraId="326EC30D">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本项目设招标采购预算，响应人的总报价超出采购预算的</w:t>
            </w:r>
            <w:r>
              <w:rPr>
                <w:rFonts w:hint="eastAsia" w:ascii="宋体" w:hAnsi="宋体" w:eastAsia="宋体" w:cs="宋体"/>
                <w:b w:val="0"/>
                <w:bCs/>
                <w:kern w:val="2"/>
                <w:sz w:val="24"/>
                <w:szCs w:val="24"/>
                <w:highlight w:val="none"/>
                <w:lang w:val="en-US" w:eastAsia="zh-CN"/>
              </w:rPr>
              <w:t>采购人不予接受且</w:t>
            </w:r>
            <w:r>
              <w:rPr>
                <w:rFonts w:hint="eastAsia" w:ascii="宋体" w:hAnsi="宋体" w:eastAsia="宋体" w:cs="宋体"/>
                <w:b w:val="0"/>
                <w:i w:val="0"/>
                <w:caps w:val="0"/>
                <w:color w:val="000000"/>
                <w:spacing w:val="0"/>
                <w:w w:val="100"/>
                <w:kern w:val="2"/>
                <w:sz w:val="24"/>
                <w:szCs w:val="24"/>
                <w:highlight w:val="none"/>
                <w:lang w:val="en-US" w:eastAsia="zh-CN"/>
              </w:rPr>
              <w:t>按无效标处理。</w:t>
            </w:r>
          </w:p>
        </w:tc>
      </w:tr>
      <w:tr w14:paraId="001D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69" w:type="dxa"/>
            <w:gridSpan w:val="2"/>
            <w:tcBorders>
              <w:top w:val="single" w:color="auto" w:sz="4" w:space="0"/>
              <w:left w:val="single" w:color="auto" w:sz="4" w:space="0"/>
              <w:bottom w:val="single" w:color="auto" w:sz="4" w:space="0"/>
              <w:right w:val="single" w:color="auto" w:sz="4" w:space="0"/>
            </w:tcBorders>
            <w:vAlign w:val="center"/>
          </w:tcPr>
          <w:p w14:paraId="35C649F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评标基准值计算</w:t>
            </w:r>
          </w:p>
          <w:p w14:paraId="3E390AE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方法</w:t>
            </w:r>
          </w:p>
        </w:tc>
        <w:tc>
          <w:tcPr>
            <w:tcW w:w="7230" w:type="dxa"/>
            <w:tcBorders>
              <w:top w:val="single" w:color="auto" w:sz="4" w:space="0"/>
              <w:left w:val="nil"/>
              <w:bottom w:val="single" w:color="auto" w:sz="4" w:space="0"/>
              <w:right w:val="single" w:color="auto" w:sz="4" w:space="0"/>
            </w:tcBorders>
            <w:vAlign w:val="center"/>
          </w:tcPr>
          <w:p w14:paraId="3F27506E">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1、低于采购预算且通过初步评审的有效响应人报价为有效报价。</w:t>
            </w:r>
          </w:p>
          <w:p w14:paraId="1693B7E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2、评标基准价=满足磋商文件要求的最低有效报价为基准价</w:t>
            </w:r>
          </w:p>
        </w:tc>
      </w:tr>
      <w:tr w14:paraId="635D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tcBorders>
              <w:top w:val="single" w:color="auto" w:sz="4" w:space="0"/>
              <w:left w:val="single" w:color="auto" w:sz="4" w:space="0"/>
              <w:bottom w:val="single" w:color="auto" w:sz="4" w:space="0"/>
              <w:right w:val="single" w:color="auto" w:sz="4" w:space="0"/>
            </w:tcBorders>
            <w:vAlign w:val="center"/>
          </w:tcPr>
          <w:p w14:paraId="174C4FF2">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评审项</w:t>
            </w:r>
          </w:p>
        </w:tc>
        <w:tc>
          <w:tcPr>
            <w:tcW w:w="1533" w:type="dxa"/>
            <w:tcBorders>
              <w:top w:val="single" w:color="auto" w:sz="4" w:space="0"/>
              <w:left w:val="nil"/>
              <w:bottom w:val="single" w:color="auto" w:sz="4" w:space="0"/>
              <w:right w:val="single" w:color="auto" w:sz="4" w:space="0"/>
            </w:tcBorders>
            <w:vAlign w:val="center"/>
          </w:tcPr>
          <w:p w14:paraId="4A28FAA0">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编列内容</w:t>
            </w:r>
          </w:p>
        </w:tc>
        <w:tc>
          <w:tcPr>
            <w:tcW w:w="7230" w:type="dxa"/>
            <w:tcBorders>
              <w:top w:val="single" w:color="auto" w:sz="4" w:space="0"/>
              <w:left w:val="nil"/>
              <w:bottom w:val="single" w:color="auto" w:sz="4" w:space="0"/>
              <w:right w:val="single" w:color="auto" w:sz="4" w:space="0"/>
            </w:tcBorders>
            <w:vAlign w:val="center"/>
          </w:tcPr>
          <w:p w14:paraId="183DBE90">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评审方法</w:t>
            </w:r>
          </w:p>
        </w:tc>
      </w:tr>
      <w:tr w14:paraId="7432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1136" w:type="dxa"/>
            <w:tcBorders>
              <w:top w:val="single" w:color="auto" w:sz="4" w:space="0"/>
              <w:left w:val="single" w:color="auto" w:sz="4" w:space="0"/>
              <w:bottom w:val="single" w:color="auto" w:sz="4" w:space="0"/>
              <w:right w:val="single" w:color="auto" w:sz="4" w:space="0"/>
            </w:tcBorders>
            <w:vAlign w:val="center"/>
          </w:tcPr>
          <w:p w14:paraId="2C623FEC">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投标报价</w:t>
            </w:r>
          </w:p>
          <w:p w14:paraId="737CF4B2">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0分）</w:t>
            </w:r>
          </w:p>
        </w:tc>
        <w:tc>
          <w:tcPr>
            <w:tcW w:w="1533" w:type="dxa"/>
            <w:tcBorders>
              <w:top w:val="single" w:color="auto" w:sz="4" w:space="0"/>
              <w:left w:val="nil"/>
              <w:bottom w:val="single" w:color="auto" w:sz="4" w:space="0"/>
              <w:right w:val="single" w:color="auto" w:sz="4" w:space="0"/>
            </w:tcBorders>
            <w:vAlign w:val="center"/>
          </w:tcPr>
          <w:p w14:paraId="26E3FB3F">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投标报价</w:t>
            </w:r>
          </w:p>
          <w:p w14:paraId="64D9677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0分）</w:t>
            </w:r>
          </w:p>
        </w:tc>
        <w:tc>
          <w:tcPr>
            <w:tcW w:w="7230" w:type="dxa"/>
            <w:tcBorders>
              <w:top w:val="single" w:color="auto" w:sz="4" w:space="0"/>
              <w:left w:val="nil"/>
              <w:bottom w:val="single" w:color="auto" w:sz="4" w:space="0"/>
              <w:right w:val="single" w:color="auto" w:sz="4" w:space="0"/>
            </w:tcBorders>
            <w:vAlign w:val="center"/>
          </w:tcPr>
          <w:p w14:paraId="4CF62312">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1、价格分采用低价优先法计算，即满足磋商文件通过资格性和符合性审查且价格最低的最终投标报价为评标基准价，其价格得分为满分30分。</w:t>
            </w:r>
          </w:p>
          <w:p w14:paraId="08E1047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2、其他响应人的价格分统一按照下列公式计算：</w:t>
            </w:r>
          </w:p>
          <w:p w14:paraId="3B704A4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投标报价得分=(评标基准价／投标报价)×30%*100</w:t>
            </w:r>
          </w:p>
          <w:p w14:paraId="5C9BC661">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43B8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136" w:type="dxa"/>
            <w:vMerge w:val="restart"/>
            <w:tcBorders>
              <w:top w:val="single" w:color="auto" w:sz="4" w:space="0"/>
              <w:left w:val="single" w:color="auto" w:sz="4" w:space="0"/>
              <w:right w:val="single" w:color="auto" w:sz="4" w:space="0"/>
            </w:tcBorders>
            <w:vAlign w:val="center"/>
          </w:tcPr>
          <w:p w14:paraId="07E4E3E1">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p>
          <w:p w14:paraId="78D07AFE">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p>
          <w:p w14:paraId="3DB849D7">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技术部分</w:t>
            </w:r>
          </w:p>
          <w:p w14:paraId="2240CC1C">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（50分）</w:t>
            </w:r>
          </w:p>
          <w:p w14:paraId="0E335697">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right w:val="single" w:color="auto" w:sz="4" w:space="0"/>
            </w:tcBorders>
            <w:vAlign w:val="center"/>
          </w:tcPr>
          <w:p w14:paraId="6EEF150B">
            <w:pPr>
              <w:keepNext w:val="0"/>
              <w:keepLines w:val="0"/>
              <w:pageBreakBefore w:val="0"/>
              <w:widowControl/>
              <w:kinsoku/>
              <w:wordWrap w:val="0"/>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内容完整性</w:t>
            </w:r>
          </w:p>
          <w:p w14:paraId="18D48FA6">
            <w:pPr>
              <w:keepNext w:val="0"/>
              <w:keepLines w:val="0"/>
              <w:pageBreakBefore w:val="0"/>
              <w:widowControl/>
              <w:kinsoku/>
              <w:wordWrap w:val="0"/>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（0-4分）</w:t>
            </w:r>
          </w:p>
        </w:tc>
        <w:tc>
          <w:tcPr>
            <w:tcW w:w="7230" w:type="dxa"/>
            <w:tcBorders>
              <w:top w:val="single" w:color="auto" w:sz="4" w:space="0"/>
              <w:left w:val="nil"/>
              <w:right w:val="single" w:color="auto" w:sz="4" w:space="0"/>
            </w:tcBorders>
            <w:vAlign w:val="center"/>
          </w:tcPr>
          <w:p w14:paraId="0A3ACEE2">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响应文件编制的主要内容完整、科学、对各专业工程叙述切实可行的得4分；</w:t>
            </w:r>
          </w:p>
          <w:p w14:paraId="5B3A1B51">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响应文件主要内容大致完整，满足磋商文件要求得2分；</w:t>
            </w:r>
          </w:p>
          <w:p w14:paraId="695AC50E">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响应文件基本满足磋商文件要求的得1分；</w:t>
            </w:r>
          </w:p>
          <w:p w14:paraId="44E6985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不符合磋商文件要求不得分。</w:t>
            </w:r>
          </w:p>
        </w:tc>
      </w:tr>
      <w:tr w14:paraId="15B8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36" w:type="dxa"/>
            <w:vMerge w:val="continue"/>
            <w:tcBorders>
              <w:left w:val="single" w:color="auto" w:sz="4" w:space="0"/>
              <w:right w:val="single" w:color="auto" w:sz="4" w:space="0"/>
            </w:tcBorders>
            <w:vAlign w:val="center"/>
          </w:tcPr>
          <w:p w14:paraId="28947C4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right w:val="single" w:color="auto" w:sz="4" w:space="0"/>
            </w:tcBorders>
            <w:vAlign w:val="center"/>
          </w:tcPr>
          <w:p w14:paraId="5DE9D3E4">
            <w:pPr>
              <w:keepNext w:val="0"/>
              <w:keepLines w:val="0"/>
              <w:pageBreakBefore w:val="0"/>
              <w:widowControl/>
              <w:kinsoku/>
              <w:wordWrap w:val="0"/>
              <w:overflowPunct/>
              <w:topLinePunct w:val="0"/>
              <w:bidi w:val="0"/>
              <w:spacing w:line="440" w:lineRule="exact"/>
              <w:ind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施工方案与技术措施</w:t>
            </w:r>
          </w:p>
          <w:p w14:paraId="7AD4916E">
            <w:pPr>
              <w:keepNext w:val="0"/>
              <w:keepLines w:val="0"/>
              <w:pageBreakBefore w:val="0"/>
              <w:widowControl/>
              <w:kinsoku/>
              <w:wordWrap w:val="0"/>
              <w:overflowPunct/>
              <w:topLinePunct w:val="0"/>
              <w:bidi w:val="0"/>
              <w:spacing w:line="440" w:lineRule="exact"/>
              <w:ind w:right="0"/>
              <w:jc w:val="center"/>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分）</w:t>
            </w:r>
          </w:p>
        </w:tc>
        <w:tc>
          <w:tcPr>
            <w:tcW w:w="7230" w:type="dxa"/>
            <w:tcBorders>
              <w:top w:val="single" w:color="auto" w:sz="4" w:space="0"/>
              <w:left w:val="nil"/>
              <w:right w:val="single" w:color="auto" w:sz="4" w:space="0"/>
            </w:tcBorders>
            <w:vAlign w:val="center"/>
          </w:tcPr>
          <w:p w14:paraId="49C3C3E5">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施工方案总体安排完整、科学运用先进、流水段的划分、各项交叉作业切合实际得6分；</w:t>
            </w:r>
          </w:p>
          <w:p w14:paraId="5EE369DD">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施工方案安排大体上符合项目特点、施工工艺及机械符合施工要求得4分；</w:t>
            </w:r>
          </w:p>
          <w:p w14:paraId="2288DA3A">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施工方案总体安排简略、欠完善的得2分 ；</w:t>
            </w:r>
          </w:p>
          <w:p w14:paraId="348024F2">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bookmarkStart w:id="728" w:name="_GoBack"/>
            <w:bookmarkEnd w:id="728"/>
          </w:p>
        </w:tc>
      </w:tr>
      <w:tr w14:paraId="1B1E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136" w:type="dxa"/>
            <w:vMerge w:val="continue"/>
            <w:tcBorders>
              <w:left w:val="single" w:color="auto" w:sz="4" w:space="0"/>
              <w:right w:val="single" w:color="auto" w:sz="4" w:space="0"/>
            </w:tcBorders>
            <w:vAlign w:val="center"/>
          </w:tcPr>
          <w:p w14:paraId="43E7026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right w:val="single" w:color="auto" w:sz="4" w:space="0"/>
            </w:tcBorders>
            <w:vAlign w:val="center"/>
          </w:tcPr>
          <w:p w14:paraId="4D4EEDF0">
            <w:pPr>
              <w:keepNext w:val="0"/>
              <w:keepLines w:val="0"/>
              <w:pageBreakBefore w:val="0"/>
              <w:widowControl/>
              <w:kinsoku/>
              <w:wordWrap w:val="0"/>
              <w:overflowPunct/>
              <w:topLinePunct w:val="0"/>
              <w:bidi w:val="0"/>
              <w:spacing w:line="440" w:lineRule="exact"/>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质量管理体系与措施</w:t>
            </w:r>
          </w:p>
          <w:p w14:paraId="309074D1">
            <w:pPr>
              <w:keepNext w:val="0"/>
              <w:keepLines w:val="0"/>
              <w:pageBreakBefore w:val="0"/>
              <w:widowControl/>
              <w:kinsoku/>
              <w:wordWrap w:val="0"/>
              <w:overflowPunct/>
              <w:topLinePunct w:val="0"/>
              <w:bidi w:val="0"/>
              <w:spacing w:line="440" w:lineRule="exact"/>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分）</w:t>
            </w:r>
          </w:p>
        </w:tc>
        <w:tc>
          <w:tcPr>
            <w:tcW w:w="7230" w:type="dxa"/>
            <w:tcBorders>
              <w:top w:val="single" w:color="auto" w:sz="4" w:space="0"/>
              <w:left w:val="nil"/>
              <w:right w:val="single" w:color="auto" w:sz="4" w:space="0"/>
            </w:tcBorders>
            <w:vAlign w:val="center"/>
          </w:tcPr>
          <w:p w14:paraId="7AFAF926">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质量管理组织机构形式合理，质量保证措施完整得力、经济、安全、切实可行的得6分；</w:t>
            </w:r>
          </w:p>
          <w:p w14:paraId="438A0C36">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质量管理组织机构形式大体上合理，质量保证措施大致完整的得4分；</w:t>
            </w:r>
          </w:p>
          <w:p w14:paraId="4AD0F67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质量管理组织机构形式不太明确，措施简略、欠完善的得2分；</w:t>
            </w:r>
          </w:p>
          <w:p w14:paraId="6512A8AD">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p>
        </w:tc>
      </w:tr>
      <w:tr w14:paraId="3373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136" w:type="dxa"/>
            <w:vMerge w:val="continue"/>
            <w:tcBorders>
              <w:left w:val="single" w:color="auto" w:sz="4" w:space="0"/>
              <w:right w:val="single" w:color="auto" w:sz="4" w:space="0"/>
            </w:tcBorders>
            <w:vAlign w:val="center"/>
          </w:tcPr>
          <w:p w14:paraId="1173036E">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right w:val="single" w:color="auto" w:sz="4" w:space="0"/>
            </w:tcBorders>
            <w:vAlign w:val="center"/>
          </w:tcPr>
          <w:p w14:paraId="7B59821D">
            <w:pPr>
              <w:keepNext w:val="0"/>
              <w:keepLines w:val="0"/>
              <w:pageBreakBefore w:val="0"/>
              <w:widowControl/>
              <w:kinsoku/>
              <w:wordWrap w:val="0"/>
              <w:overflowPunct/>
              <w:topLinePunct w:val="0"/>
              <w:bidi w:val="0"/>
              <w:spacing w:line="44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安全管理体系与措施</w:t>
            </w:r>
          </w:p>
          <w:p w14:paraId="61B339E6">
            <w:pPr>
              <w:keepNext w:val="0"/>
              <w:keepLines w:val="0"/>
              <w:pageBreakBefore w:val="0"/>
              <w:widowControl/>
              <w:kinsoku/>
              <w:wordWrap w:val="0"/>
              <w:overflowPunct/>
              <w:topLinePunct w:val="0"/>
              <w:bidi w:val="0"/>
              <w:spacing w:line="440" w:lineRule="exact"/>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c>
          <w:tcPr>
            <w:tcW w:w="7230" w:type="dxa"/>
            <w:tcBorders>
              <w:top w:val="single" w:color="auto" w:sz="4" w:space="0"/>
              <w:left w:val="nil"/>
              <w:right w:val="single" w:color="auto" w:sz="4" w:space="0"/>
            </w:tcBorders>
            <w:vAlign w:val="center"/>
          </w:tcPr>
          <w:p w14:paraId="0372838F">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安全管理体系和措施合理完整、安全管理制度严谨可行的得6分；</w:t>
            </w:r>
          </w:p>
          <w:p w14:paraId="3056C813">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安全管理体系和措施大致合理、安全管理制度较为可行的得4分；</w:t>
            </w:r>
          </w:p>
          <w:p w14:paraId="4D7D57D1">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安全管理体系和措施简略、欠完善的得2分；</w:t>
            </w:r>
          </w:p>
          <w:p w14:paraId="732732F0">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p>
        </w:tc>
      </w:tr>
      <w:tr w14:paraId="7F50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136" w:type="dxa"/>
            <w:vMerge w:val="continue"/>
            <w:tcBorders>
              <w:left w:val="single" w:color="auto" w:sz="4" w:space="0"/>
              <w:right w:val="single" w:color="auto" w:sz="4" w:space="0"/>
            </w:tcBorders>
            <w:vAlign w:val="center"/>
          </w:tcPr>
          <w:p w14:paraId="42181BCD">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bottom w:val="single" w:color="auto" w:sz="4" w:space="0"/>
              <w:right w:val="single" w:color="auto" w:sz="4" w:space="0"/>
            </w:tcBorders>
            <w:vAlign w:val="top"/>
          </w:tcPr>
          <w:p w14:paraId="3308B1E9">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文明施工、环境保护管理体系及施工现场扬尘治理措施</w:t>
            </w:r>
          </w:p>
          <w:p w14:paraId="4B443A74">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（0-6分）</w:t>
            </w:r>
          </w:p>
        </w:tc>
        <w:tc>
          <w:tcPr>
            <w:tcW w:w="7230" w:type="dxa"/>
            <w:tcBorders>
              <w:top w:val="single" w:color="auto" w:sz="4" w:space="0"/>
              <w:left w:val="nil"/>
              <w:bottom w:val="single" w:color="auto" w:sz="4" w:space="0"/>
              <w:right w:val="single" w:color="auto" w:sz="4" w:space="0"/>
            </w:tcBorders>
            <w:vAlign w:val="top"/>
          </w:tcPr>
          <w:p w14:paraId="175ADAEF">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文明施工、环境保护管理体系健全，扬尘治理措施科学合理、先进可行的得 6 分；</w:t>
            </w:r>
          </w:p>
          <w:p w14:paraId="4AE41584">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文明施工、环境保护管理体系基本健全，扬尘治理措施基本可行的得 4 分；</w:t>
            </w:r>
          </w:p>
          <w:p w14:paraId="3CE97D3A">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文明施工、环境保护管理体系及施工现场扬尘治理措施一般的得 2 分。</w:t>
            </w:r>
          </w:p>
          <w:p w14:paraId="2F794FBA">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p>
        </w:tc>
      </w:tr>
      <w:tr w14:paraId="18D0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1136" w:type="dxa"/>
            <w:vMerge w:val="continue"/>
            <w:tcBorders>
              <w:left w:val="single" w:color="auto" w:sz="4" w:space="0"/>
              <w:right w:val="single" w:color="auto" w:sz="4" w:space="0"/>
            </w:tcBorders>
            <w:vAlign w:val="center"/>
          </w:tcPr>
          <w:p w14:paraId="17E0232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bottom w:val="single" w:color="auto" w:sz="4" w:space="0"/>
              <w:right w:val="single" w:color="auto" w:sz="4" w:space="0"/>
            </w:tcBorders>
            <w:vAlign w:val="center"/>
          </w:tcPr>
          <w:p w14:paraId="31189020">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p>
          <w:p w14:paraId="72D16C1A">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p>
          <w:p w14:paraId="7D33F51A">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工期保证措施</w:t>
            </w:r>
          </w:p>
          <w:p w14:paraId="4DA676AD">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（0-6分）</w:t>
            </w:r>
          </w:p>
        </w:tc>
        <w:tc>
          <w:tcPr>
            <w:tcW w:w="7230" w:type="dxa"/>
            <w:tcBorders>
              <w:top w:val="single" w:color="auto" w:sz="4" w:space="0"/>
              <w:left w:val="nil"/>
              <w:bottom w:val="single" w:color="auto" w:sz="4" w:space="0"/>
              <w:right w:val="single" w:color="auto" w:sz="4" w:space="0"/>
            </w:tcBorders>
            <w:vAlign w:val="top"/>
          </w:tcPr>
          <w:p w14:paraId="637B5534">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工期承诺满足磋商文件要求，工期保证措施合理且有针对性，有具体的违约责任承诺的得 6 分；</w:t>
            </w:r>
          </w:p>
          <w:p w14:paraId="7781D97C">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工期承诺满足磋商文件要求，工期保证措施基本合理，有违约责任承诺的得 4 分；</w:t>
            </w:r>
          </w:p>
          <w:p w14:paraId="4600E4DC">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工期承诺满足磋商文件要求，工期保证措施一般的得 2 分。</w:t>
            </w:r>
          </w:p>
          <w:p w14:paraId="7D4B7DCD">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p>
        </w:tc>
      </w:tr>
      <w:tr w14:paraId="13A6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36" w:type="dxa"/>
            <w:vMerge w:val="continue"/>
            <w:tcBorders>
              <w:left w:val="single" w:color="auto" w:sz="4" w:space="0"/>
              <w:right w:val="single" w:color="auto" w:sz="4" w:space="0"/>
            </w:tcBorders>
            <w:vAlign w:val="center"/>
          </w:tcPr>
          <w:p w14:paraId="2651C2A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bottom w:val="single" w:color="auto" w:sz="4" w:space="0"/>
              <w:right w:val="single" w:color="auto" w:sz="4" w:space="0"/>
            </w:tcBorders>
            <w:vAlign w:val="center"/>
          </w:tcPr>
          <w:p w14:paraId="6D60B1EE">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p>
          <w:p w14:paraId="30987141">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拟投入资源配备计划</w:t>
            </w:r>
          </w:p>
          <w:p w14:paraId="73B291DE">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（0-4分）</w:t>
            </w:r>
          </w:p>
        </w:tc>
        <w:tc>
          <w:tcPr>
            <w:tcW w:w="7230" w:type="dxa"/>
            <w:tcBorders>
              <w:top w:val="single" w:color="auto" w:sz="4" w:space="0"/>
              <w:left w:val="nil"/>
              <w:bottom w:val="single" w:color="auto" w:sz="4" w:space="0"/>
              <w:right w:val="single" w:color="auto" w:sz="4" w:space="0"/>
            </w:tcBorders>
            <w:vAlign w:val="top"/>
          </w:tcPr>
          <w:p w14:paraId="6A826951">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机械设备配置合理、先进，劳动力、主要物资调配投入计划合理、准确的得 4 分；</w:t>
            </w:r>
          </w:p>
          <w:p w14:paraId="400ADC2E">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机械设备配置基本合理，劳动力、主要物资调配投入计划基本合理的得 2 分；</w:t>
            </w:r>
          </w:p>
          <w:p w14:paraId="5EB65A65">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拟投入资源配备计划一般的得 1 分。</w:t>
            </w:r>
          </w:p>
          <w:p w14:paraId="39922527">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p>
        </w:tc>
      </w:tr>
      <w:tr w14:paraId="17C7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6" w:type="dxa"/>
            <w:vMerge w:val="continue"/>
            <w:tcBorders>
              <w:left w:val="single" w:color="auto" w:sz="4" w:space="0"/>
              <w:right w:val="single" w:color="auto" w:sz="4" w:space="0"/>
            </w:tcBorders>
            <w:vAlign w:val="top"/>
          </w:tcPr>
          <w:p w14:paraId="3CEAE940">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bottom w:val="single" w:color="auto" w:sz="4" w:space="0"/>
            </w:tcBorders>
            <w:vAlign w:val="center"/>
          </w:tcPr>
          <w:p w14:paraId="4172656E">
            <w:pPr>
              <w:pStyle w:val="26"/>
              <w:spacing w:before="3" w:line="359" w:lineRule="auto"/>
              <w:jc w:val="center"/>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施工进度表或网络计划图</w:t>
            </w:r>
          </w:p>
          <w:p w14:paraId="11FD9491">
            <w:pPr>
              <w:pStyle w:val="26"/>
              <w:spacing w:before="3" w:line="359" w:lineRule="auto"/>
              <w:jc w:val="center"/>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w:t>
            </w:r>
            <w:r>
              <w:rPr>
                <w:rFonts w:hint="eastAsia" w:ascii="宋体" w:hAnsi="宋体" w:eastAsia="宋体" w:cs="宋体"/>
                <w:spacing w:val="-3"/>
                <w:kern w:val="2"/>
                <w:sz w:val="24"/>
                <w:szCs w:val="24"/>
                <w:lang w:val="en-US" w:eastAsia="zh-CN" w:bidi="ar-SA"/>
              </w:rPr>
              <w:t>0-</w:t>
            </w:r>
            <w:r>
              <w:rPr>
                <w:rFonts w:ascii="宋体" w:hAnsi="宋体" w:eastAsia="宋体" w:cs="宋体"/>
                <w:spacing w:val="-3"/>
                <w:kern w:val="2"/>
                <w:sz w:val="24"/>
                <w:szCs w:val="24"/>
                <w:lang w:val="en-US" w:eastAsia="en-US" w:bidi="ar-SA"/>
              </w:rPr>
              <w:t>4分）</w:t>
            </w:r>
          </w:p>
        </w:tc>
        <w:tc>
          <w:tcPr>
            <w:tcW w:w="7230" w:type="dxa"/>
            <w:tcBorders>
              <w:bottom w:val="single" w:color="auto" w:sz="4" w:space="0"/>
            </w:tcBorders>
            <w:vAlign w:val="top"/>
          </w:tcPr>
          <w:p w14:paraId="78FDCEF8">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关键线路清晰、准确、完整、计划编制合理、可行、满足磋商文件对工期的要求的得 4 分；</w:t>
            </w:r>
          </w:p>
          <w:p w14:paraId="15FB1F16">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关键线路基本准确，计划编制基本可行的得 2分；</w:t>
            </w:r>
          </w:p>
          <w:p w14:paraId="0E8C6855">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施工进度表或网络计划图一般的得 1 分。</w:t>
            </w:r>
          </w:p>
          <w:p w14:paraId="470A3E4C">
            <w:pPr>
              <w:pStyle w:val="26"/>
              <w:spacing w:before="3" w:line="359" w:lineRule="auto"/>
              <w:jc w:val="both"/>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未提供的为 0 分。</w:t>
            </w:r>
          </w:p>
        </w:tc>
      </w:tr>
      <w:tr w14:paraId="7CDF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6" w:type="dxa"/>
            <w:vMerge w:val="continue"/>
            <w:tcBorders>
              <w:left w:val="single" w:color="auto" w:sz="4" w:space="0"/>
              <w:right w:val="single" w:color="auto" w:sz="4" w:space="0"/>
            </w:tcBorders>
            <w:vAlign w:val="top"/>
          </w:tcPr>
          <w:p w14:paraId="06CCC36F">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bottom w:val="single" w:color="auto" w:sz="4" w:space="0"/>
            </w:tcBorders>
            <w:vAlign w:val="center"/>
          </w:tcPr>
          <w:p w14:paraId="4BA15049">
            <w:pPr>
              <w:pStyle w:val="26"/>
              <w:spacing w:before="3" w:line="359" w:lineRule="auto"/>
              <w:jc w:val="center"/>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技术创新的应用实施措施</w:t>
            </w:r>
          </w:p>
          <w:p w14:paraId="28323518">
            <w:pPr>
              <w:pStyle w:val="26"/>
              <w:spacing w:before="3" w:line="359" w:lineRule="auto"/>
              <w:jc w:val="center"/>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w:t>
            </w:r>
            <w:r>
              <w:rPr>
                <w:rFonts w:hint="eastAsia" w:ascii="宋体" w:hAnsi="宋体" w:eastAsia="宋体" w:cs="宋体"/>
                <w:spacing w:val="-3"/>
                <w:kern w:val="2"/>
                <w:sz w:val="24"/>
                <w:szCs w:val="24"/>
                <w:lang w:val="en-US" w:eastAsia="zh-CN" w:bidi="ar-SA"/>
              </w:rPr>
              <w:t>0-</w:t>
            </w:r>
            <w:r>
              <w:rPr>
                <w:rFonts w:ascii="宋体" w:hAnsi="宋体" w:eastAsia="宋体" w:cs="宋体"/>
                <w:spacing w:val="-3"/>
                <w:kern w:val="2"/>
                <w:sz w:val="24"/>
                <w:szCs w:val="24"/>
                <w:lang w:val="en-US" w:eastAsia="en-US" w:bidi="ar-SA"/>
              </w:rPr>
              <w:t>4分）</w:t>
            </w:r>
          </w:p>
        </w:tc>
        <w:tc>
          <w:tcPr>
            <w:tcW w:w="7230" w:type="dxa"/>
            <w:tcBorders>
              <w:bottom w:val="single" w:color="auto" w:sz="4" w:space="0"/>
            </w:tcBorders>
            <w:vAlign w:val="top"/>
          </w:tcPr>
          <w:p w14:paraId="080710A8">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节能减排、绿色施工、工艺创新等技术创新的应用实施措施符合工程情况，具有针对性、可行性、经济适用性的得 4 分；</w:t>
            </w:r>
          </w:p>
          <w:p w14:paraId="252EB789">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节能减排、绿色施工、工艺创新等技术创新的应用实施措施基本符合工程情况，具有针对性的得2 分；</w:t>
            </w:r>
          </w:p>
          <w:p w14:paraId="4CD6A46A">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技术创新的应用实施措施一般的得 1 分。</w:t>
            </w:r>
          </w:p>
          <w:p w14:paraId="1296CAC3">
            <w:pPr>
              <w:pStyle w:val="26"/>
              <w:spacing w:before="3" w:line="359" w:lineRule="auto"/>
              <w:jc w:val="both"/>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未提供的为 0 分。</w:t>
            </w:r>
          </w:p>
        </w:tc>
      </w:tr>
      <w:tr w14:paraId="6543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36" w:type="dxa"/>
            <w:vMerge w:val="continue"/>
            <w:tcBorders>
              <w:left w:val="single" w:color="auto" w:sz="4" w:space="0"/>
              <w:right w:val="single" w:color="auto" w:sz="4" w:space="0"/>
            </w:tcBorders>
            <w:vAlign w:val="top"/>
          </w:tcPr>
          <w:p w14:paraId="569B60D8">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vAlign w:val="center"/>
          </w:tcPr>
          <w:p w14:paraId="68CEAC3B">
            <w:pPr>
              <w:spacing w:line="287" w:lineRule="auto"/>
              <w:jc w:val="center"/>
              <w:rPr>
                <w:rFonts w:ascii="宋体" w:hAnsi="宋体" w:eastAsia="宋体" w:cs="宋体"/>
                <w:spacing w:val="-3"/>
                <w:kern w:val="2"/>
                <w:sz w:val="24"/>
                <w:szCs w:val="24"/>
                <w:lang w:val="en-US" w:eastAsia="en-US" w:bidi="ar-SA"/>
              </w:rPr>
            </w:pPr>
          </w:p>
          <w:p w14:paraId="608A6777">
            <w:pPr>
              <w:pStyle w:val="26"/>
              <w:spacing w:before="78" w:line="219" w:lineRule="auto"/>
              <w:jc w:val="center"/>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风险管理措施</w:t>
            </w:r>
          </w:p>
          <w:p w14:paraId="3834A792">
            <w:pPr>
              <w:pStyle w:val="26"/>
              <w:spacing w:before="182" w:line="220" w:lineRule="auto"/>
              <w:jc w:val="center"/>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w:t>
            </w:r>
            <w:r>
              <w:rPr>
                <w:rFonts w:hint="eastAsia" w:ascii="宋体" w:hAnsi="宋体" w:eastAsia="宋体" w:cs="宋体"/>
                <w:spacing w:val="-3"/>
                <w:kern w:val="2"/>
                <w:sz w:val="24"/>
                <w:szCs w:val="24"/>
                <w:lang w:val="en-US" w:eastAsia="zh-CN" w:bidi="ar-SA"/>
              </w:rPr>
              <w:t>0-</w:t>
            </w:r>
            <w:r>
              <w:rPr>
                <w:rFonts w:ascii="宋体" w:hAnsi="宋体" w:eastAsia="宋体" w:cs="宋体"/>
                <w:spacing w:val="-3"/>
                <w:kern w:val="2"/>
                <w:sz w:val="24"/>
                <w:szCs w:val="24"/>
                <w:lang w:val="en-US" w:eastAsia="en-US" w:bidi="ar-SA"/>
              </w:rPr>
              <w:t>4分）</w:t>
            </w:r>
          </w:p>
        </w:tc>
        <w:tc>
          <w:tcPr>
            <w:tcW w:w="7230" w:type="dxa"/>
            <w:vAlign w:val="top"/>
          </w:tcPr>
          <w:p w14:paraId="6B1A0D8A">
            <w:pPr>
              <w:pStyle w:val="26"/>
              <w:spacing w:before="117" w:line="360"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风险防控管理措施齐全，风险预控符合规范要求，风险控制要点定位准确，各阶段风险控制及应急措施得力的得 4 分；</w:t>
            </w:r>
          </w:p>
          <w:p w14:paraId="6DE8C4FD">
            <w:pPr>
              <w:pStyle w:val="26"/>
              <w:spacing w:line="360"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风险防控管理措施基本齐全，风险预控符合规范要求，风险控制要点定位基本准确，有各阶段风险控制及应急措施的得 2 分；</w:t>
            </w:r>
          </w:p>
          <w:p w14:paraId="116AD1E8">
            <w:pPr>
              <w:pStyle w:val="26"/>
              <w:spacing w:line="219" w:lineRule="auto"/>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风险管理措施一般的得 1 分。</w:t>
            </w:r>
          </w:p>
          <w:p w14:paraId="4DEE4BC7">
            <w:pPr>
              <w:pStyle w:val="26"/>
              <w:spacing w:before="182" w:line="219" w:lineRule="auto"/>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未提供的为 0 分。</w:t>
            </w:r>
          </w:p>
        </w:tc>
      </w:tr>
      <w:tr w14:paraId="7596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136" w:type="dxa"/>
            <w:vMerge w:val="restart"/>
            <w:vAlign w:val="top"/>
          </w:tcPr>
          <w:p w14:paraId="7D3CC1BA">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4C3734B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5775E068">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56B27B72">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kern w:val="2"/>
                <w:sz w:val="24"/>
                <w:szCs w:val="24"/>
                <w:highlight w:val="none"/>
                <w:lang w:val="en-US" w:eastAsia="zh-CN"/>
              </w:rPr>
              <w:t>商务</w:t>
            </w:r>
            <w:r>
              <w:rPr>
                <w:rFonts w:hint="eastAsia" w:ascii="宋体" w:hAnsi="宋体" w:eastAsia="宋体" w:cs="宋体"/>
                <w:b w:val="0"/>
                <w:i w:val="0"/>
                <w:caps w:val="0"/>
                <w:color w:val="000000"/>
                <w:spacing w:val="0"/>
                <w:w w:val="100"/>
                <w:kern w:val="2"/>
                <w:sz w:val="24"/>
                <w:szCs w:val="24"/>
                <w:highlight w:val="none"/>
                <w:lang w:val="en-US" w:eastAsia="zh-CN"/>
              </w:rPr>
              <w:t>部分</w:t>
            </w:r>
          </w:p>
          <w:p w14:paraId="52A8F775">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（20分）</w:t>
            </w:r>
          </w:p>
        </w:tc>
        <w:tc>
          <w:tcPr>
            <w:tcW w:w="1533" w:type="dxa"/>
            <w:vAlign w:val="center"/>
          </w:tcPr>
          <w:p w14:paraId="4830792D">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企业业绩</w:t>
            </w:r>
          </w:p>
          <w:p w14:paraId="4CA62E47">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（0-6分）</w:t>
            </w:r>
          </w:p>
        </w:tc>
        <w:tc>
          <w:tcPr>
            <w:tcW w:w="7230" w:type="dxa"/>
            <w:vAlign w:val="center"/>
          </w:tcPr>
          <w:p w14:paraId="7B4DFD83">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企业2023年1月1日以来企业承担过的类似工程业绩（提供合同协议书和中标通知书原件扫描件，时间以合同协议书签订时间为准）每提供一份得3分，最多得6分，不提供不得分；</w:t>
            </w:r>
          </w:p>
        </w:tc>
      </w:tr>
      <w:tr w14:paraId="1B4F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136" w:type="dxa"/>
            <w:vMerge w:val="continue"/>
            <w:vAlign w:val="top"/>
          </w:tcPr>
          <w:p w14:paraId="446CBDA8">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vAlign w:val="center"/>
          </w:tcPr>
          <w:p w14:paraId="1A0CB9F2">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项目经理业绩（0-4分）</w:t>
            </w:r>
          </w:p>
        </w:tc>
        <w:tc>
          <w:tcPr>
            <w:tcW w:w="7230" w:type="dxa"/>
            <w:vAlign w:val="center"/>
          </w:tcPr>
          <w:p w14:paraId="2BFA3327">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2023年1月1日以来承担过的类似工程业绩（提供合同协议书和中标通知书原件扫描件，时间以合同协议书签订时间为准）每提供一份得2分，最多得4分，不提供不得分；</w:t>
            </w:r>
          </w:p>
        </w:tc>
      </w:tr>
      <w:tr w14:paraId="171A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1136" w:type="dxa"/>
            <w:vMerge w:val="continue"/>
            <w:vAlign w:val="top"/>
          </w:tcPr>
          <w:p w14:paraId="7C61B875">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vMerge w:val="restart"/>
            <w:vAlign w:val="center"/>
          </w:tcPr>
          <w:p w14:paraId="40222DC0">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优惠承诺及履职尽责承诺</w:t>
            </w:r>
          </w:p>
          <w:p w14:paraId="5F3B8B83">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w:t>
            </w:r>
            <w:r>
              <w:rPr>
                <w:rFonts w:hint="eastAsia" w:ascii="宋体" w:hAnsi="宋体" w:cs="宋体"/>
                <w:b w:val="0"/>
                <w:i w:val="0"/>
                <w:caps w:val="0"/>
                <w:color w:val="000000"/>
                <w:spacing w:val="0"/>
                <w:w w:val="100"/>
                <w:kern w:val="2"/>
                <w:sz w:val="24"/>
                <w:szCs w:val="24"/>
                <w:highlight w:val="none"/>
                <w:lang w:val="en-US" w:eastAsia="zh-CN"/>
              </w:rPr>
              <w:t>10</w:t>
            </w:r>
            <w:r>
              <w:rPr>
                <w:rFonts w:hint="eastAsia" w:ascii="宋体" w:hAnsi="宋体" w:eastAsia="宋体" w:cs="宋体"/>
                <w:b w:val="0"/>
                <w:i w:val="0"/>
                <w:caps w:val="0"/>
                <w:color w:val="000000"/>
                <w:spacing w:val="0"/>
                <w:w w:val="100"/>
                <w:kern w:val="2"/>
                <w:sz w:val="24"/>
                <w:szCs w:val="24"/>
                <w:highlight w:val="none"/>
                <w:lang w:val="en-US" w:eastAsia="zh-CN"/>
              </w:rPr>
              <w:t>分）</w:t>
            </w:r>
          </w:p>
        </w:tc>
        <w:tc>
          <w:tcPr>
            <w:tcW w:w="7230" w:type="dxa"/>
            <w:vAlign w:val="center"/>
          </w:tcPr>
          <w:p w14:paraId="19489021">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履职尽责承诺：</w:t>
            </w:r>
            <w:r>
              <w:rPr>
                <w:rFonts w:hint="default" w:ascii="宋体" w:hAnsi="宋体" w:eastAsia="宋体" w:cs="宋体"/>
                <w:kern w:val="2"/>
                <w:sz w:val="24"/>
                <w:szCs w:val="24"/>
                <w:highlight w:val="none"/>
                <w:lang w:val="en-US" w:eastAsia="zh-CN"/>
              </w:rPr>
              <w:t>1.具有全面、详实、可行、合法有效的保证技术措施落实到位的承诺和落实不到位的处理承诺，其中包括各关键岗位人员的在岗、更换等展职尽责承诺的得</w:t>
            </w:r>
            <w:r>
              <w:rPr>
                <w:rFonts w:hint="eastAsia" w:ascii="宋体" w:hAnsi="宋体" w:eastAsia="宋体" w:cs="宋体"/>
                <w:kern w:val="2"/>
                <w:sz w:val="24"/>
                <w:szCs w:val="24"/>
                <w:highlight w:val="none"/>
                <w:lang w:val="en-US" w:eastAsia="zh-CN"/>
              </w:rPr>
              <w:t>6</w:t>
            </w:r>
            <w:r>
              <w:rPr>
                <w:rFonts w:hint="default" w:ascii="宋体" w:hAnsi="宋体" w:eastAsia="宋体" w:cs="宋体"/>
                <w:kern w:val="2"/>
                <w:sz w:val="24"/>
                <w:szCs w:val="24"/>
                <w:highlight w:val="none"/>
                <w:lang w:val="en-US" w:eastAsia="zh-CN"/>
              </w:rPr>
              <w:t>分</w:t>
            </w:r>
            <w:r>
              <w:rPr>
                <w:rFonts w:hint="eastAsia" w:ascii="宋体" w:hAnsi="宋体" w:eastAsia="宋体" w:cs="宋体"/>
                <w:kern w:val="2"/>
                <w:sz w:val="24"/>
                <w:szCs w:val="24"/>
                <w:highlight w:val="none"/>
                <w:lang w:val="en-US" w:eastAsia="zh-CN"/>
              </w:rPr>
              <w:t>；</w:t>
            </w:r>
          </w:p>
          <w:p w14:paraId="273F9BCC">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 xml:space="preserve">2.具有可行、合法有效的保证技术措施落实到位的承诺和落实不到位的处理承诺的得 </w:t>
            </w:r>
            <w:r>
              <w:rPr>
                <w:rFonts w:hint="eastAsia" w:ascii="宋体" w:hAnsi="宋体" w:eastAsia="宋体" w:cs="宋体"/>
                <w:kern w:val="2"/>
                <w:sz w:val="24"/>
                <w:szCs w:val="24"/>
                <w:highlight w:val="none"/>
                <w:lang w:val="en-US" w:eastAsia="zh-CN"/>
              </w:rPr>
              <w:t xml:space="preserve">4 </w:t>
            </w:r>
            <w:r>
              <w:rPr>
                <w:rFonts w:hint="default" w:ascii="宋体" w:hAnsi="宋体" w:eastAsia="宋体" w:cs="宋体"/>
                <w:kern w:val="2"/>
                <w:sz w:val="24"/>
                <w:szCs w:val="24"/>
                <w:highlight w:val="none"/>
                <w:lang w:val="en-US" w:eastAsia="zh-CN"/>
              </w:rPr>
              <w:t>分</w:t>
            </w:r>
            <w:r>
              <w:rPr>
                <w:rFonts w:hint="eastAsia" w:ascii="宋体" w:hAnsi="宋体" w:eastAsia="宋体" w:cs="宋体"/>
                <w:kern w:val="2"/>
                <w:sz w:val="24"/>
                <w:szCs w:val="24"/>
                <w:highlight w:val="none"/>
                <w:lang w:val="en-US" w:eastAsia="zh-CN"/>
              </w:rPr>
              <w:t>；</w:t>
            </w:r>
          </w:p>
          <w:p w14:paraId="2048759D">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3.履职尽责承诺一般的得</w:t>
            </w:r>
            <w:r>
              <w:rPr>
                <w:rFonts w:hint="eastAsia" w:ascii="宋体" w:hAnsi="宋体" w:eastAsia="宋体" w:cs="宋体"/>
                <w:kern w:val="2"/>
                <w:sz w:val="24"/>
                <w:szCs w:val="24"/>
                <w:highlight w:val="none"/>
                <w:lang w:val="en-US" w:eastAsia="zh-CN"/>
              </w:rPr>
              <w:t xml:space="preserve">2 </w:t>
            </w:r>
            <w:r>
              <w:rPr>
                <w:rFonts w:hint="default" w:ascii="宋体" w:hAnsi="宋体" w:eastAsia="宋体" w:cs="宋体"/>
                <w:kern w:val="2"/>
                <w:sz w:val="24"/>
                <w:szCs w:val="24"/>
                <w:highlight w:val="none"/>
                <w:lang w:val="en-US" w:eastAsia="zh-CN"/>
              </w:rPr>
              <w:t>分。</w:t>
            </w:r>
          </w:p>
          <w:p w14:paraId="1948EEE4">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未提供的为 0 分。</w:t>
            </w:r>
          </w:p>
        </w:tc>
      </w:tr>
      <w:tr w14:paraId="1D50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136" w:type="dxa"/>
            <w:vMerge w:val="continue"/>
            <w:vAlign w:val="top"/>
          </w:tcPr>
          <w:p w14:paraId="2D8A5DD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vMerge w:val="continue"/>
            <w:vAlign w:val="top"/>
          </w:tcPr>
          <w:p w14:paraId="36CFFEB3">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p>
        </w:tc>
        <w:tc>
          <w:tcPr>
            <w:tcW w:w="7230" w:type="dxa"/>
            <w:vAlign w:val="center"/>
          </w:tcPr>
          <w:p w14:paraId="2B37BE2B">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Courier New"/>
                <w:sz w:val="24"/>
                <w:szCs w:val="24"/>
                <w:highlight w:val="none"/>
              </w:rPr>
            </w:pPr>
            <w:r>
              <w:rPr>
                <w:rFonts w:hint="eastAsia" w:ascii="宋体" w:hAnsi="宋体" w:eastAsia="宋体" w:cs="Courier New"/>
                <w:sz w:val="24"/>
                <w:szCs w:val="24"/>
                <w:highlight w:val="none"/>
              </w:rPr>
              <w:t xml:space="preserve">优惠承诺：1.优惠承诺符合工程实际情况，确保依法依规，优惠合理，详实可行的得 </w:t>
            </w:r>
            <w:r>
              <w:rPr>
                <w:rFonts w:hint="eastAsia" w:ascii="宋体" w:hAnsi="宋体" w:eastAsia="宋体" w:cs="Courier New"/>
                <w:sz w:val="24"/>
                <w:szCs w:val="24"/>
                <w:highlight w:val="none"/>
                <w:lang w:val="en-US" w:eastAsia="zh-CN"/>
              </w:rPr>
              <w:t xml:space="preserve">4 </w:t>
            </w:r>
            <w:r>
              <w:rPr>
                <w:rFonts w:hint="eastAsia" w:ascii="宋体" w:hAnsi="宋体" w:eastAsia="宋体" w:cs="Courier New"/>
                <w:sz w:val="24"/>
                <w:szCs w:val="24"/>
                <w:highlight w:val="none"/>
              </w:rPr>
              <w:t>分；</w:t>
            </w:r>
          </w:p>
          <w:p w14:paraId="2C7945EA">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Courier New"/>
                <w:sz w:val="24"/>
                <w:szCs w:val="24"/>
                <w:highlight w:val="none"/>
              </w:rPr>
            </w:pPr>
            <w:r>
              <w:rPr>
                <w:rFonts w:hint="eastAsia" w:ascii="宋体" w:hAnsi="宋体" w:eastAsia="宋体" w:cs="Courier New"/>
                <w:sz w:val="24"/>
                <w:szCs w:val="24"/>
                <w:highlight w:val="none"/>
              </w:rPr>
              <w:t>2.优惠承诺符合工程实际情况，确保依法依规，优惠基本合理，基本详实可行的得 2 分；</w:t>
            </w:r>
          </w:p>
          <w:p w14:paraId="7D1D18AB">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Courier New"/>
                <w:sz w:val="24"/>
                <w:szCs w:val="24"/>
                <w:highlight w:val="none"/>
              </w:rPr>
            </w:pPr>
            <w:r>
              <w:rPr>
                <w:rFonts w:hint="eastAsia" w:ascii="宋体" w:hAnsi="宋体" w:eastAsia="宋体" w:cs="Courier New"/>
                <w:sz w:val="24"/>
                <w:szCs w:val="24"/>
                <w:highlight w:val="none"/>
              </w:rPr>
              <w:t>3.优惠承诺一般的得1 分；</w:t>
            </w:r>
          </w:p>
          <w:p w14:paraId="0BC02D28">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rPr>
            </w:pPr>
            <w:r>
              <w:rPr>
                <w:rFonts w:hint="eastAsia" w:ascii="宋体" w:hAnsi="宋体" w:eastAsia="宋体" w:cs="Courier New"/>
                <w:sz w:val="24"/>
                <w:szCs w:val="24"/>
                <w:highlight w:val="none"/>
              </w:rPr>
              <w:t>未提供的为 0 分。</w:t>
            </w:r>
          </w:p>
        </w:tc>
      </w:tr>
      <w:tr w14:paraId="7CB9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899" w:type="dxa"/>
            <w:gridSpan w:val="3"/>
            <w:vAlign w:val="top"/>
          </w:tcPr>
          <w:p w14:paraId="577A7A71">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综合得分=商务标得分＋技术标得分＋综合标得分。</w:t>
            </w:r>
          </w:p>
          <w:p w14:paraId="29B99CD2">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磋商小组完成对技术标、商务标和综合标的汇总后取平均值作为该</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的最终得分。</w:t>
            </w:r>
          </w:p>
          <w:p w14:paraId="13181803">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 xml:space="preserve">本办法计算过程中分值按四舍五入保留三位小数，结果按四舍五入保留两位小数。 </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的报价应包含</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所承诺的应达到的工程质量标准及其他承诺应达到的标准所包含的所有费用。</w:t>
            </w:r>
          </w:p>
          <w:p w14:paraId="6698834A">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rPr>
              <w:t>注：</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rPr>
              <w:t>评标过程中涉及到资格审查、企业业绩等计分部分时，以</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自行上传到</w:t>
            </w:r>
            <w:r>
              <w:rPr>
                <w:rFonts w:hint="eastAsia" w:asciiTheme="minorEastAsia" w:hAnsiTheme="minorEastAsia" w:eastAsiaTheme="minorEastAsia" w:cstheme="minorEastAsia"/>
                <w:b w:val="0"/>
                <w:bCs/>
                <w:sz w:val="24"/>
                <w:szCs w:val="24"/>
                <w:highlight w:val="none"/>
                <w:lang w:eastAsia="zh-CN"/>
              </w:rPr>
              <w:t>响应</w:t>
            </w:r>
            <w:r>
              <w:rPr>
                <w:rFonts w:hint="eastAsia" w:asciiTheme="minorEastAsia" w:hAnsiTheme="minorEastAsia" w:eastAsiaTheme="minorEastAsia" w:cstheme="minorEastAsia"/>
                <w:b w:val="0"/>
                <w:bCs/>
                <w:sz w:val="24"/>
                <w:szCs w:val="24"/>
                <w:highlight w:val="none"/>
              </w:rPr>
              <w:t>文件中的相应内容为准</w:t>
            </w:r>
            <w:r>
              <w:rPr>
                <w:rFonts w:hint="eastAsia" w:asciiTheme="minorEastAsia" w:hAnsiTheme="minorEastAsia" w:eastAsiaTheme="minorEastAsia" w:cstheme="minorEastAsia"/>
                <w:b w:val="0"/>
                <w:bCs/>
                <w:sz w:val="24"/>
                <w:szCs w:val="24"/>
                <w:highlight w:val="none"/>
                <w:lang w:eastAsia="zh-CN"/>
              </w:rPr>
              <w:t>。</w:t>
            </w:r>
          </w:p>
          <w:p w14:paraId="35DE375D">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2、评标开始后，不再接受任何补充材料。</w:t>
            </w:r>
          </w:p>
          <w:p w14:paraId="39512EBF">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rPr>
              <w:t>投标人对投标文件信息的真实性、有效性、清晰可辩性负责。</w:t>
            </w:r>
          </w:p>
          <w:p w14:paraId="02218BA3">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宋体" w:hAnsi="宋体" w:eastAsia="宋体" w:cs="宋体"/>
                <w:kern w:val="2"/>
                <w:sz w:val="24"/>
                <w:szCs w:val="24"/>
                <w:highlight w:val="none"/>
              </w:rPr>
            </w:pPr>
            <w:r>
              <w:rPr>
                <w:rFonts w:hint="eastAsia" w:asciiTheme="minorEastAsia" w:hAnsiTheme="minorEastAsia" w:eastAsiaTheme="minorEastAsia" w:cstheme="minorEastAsia"/>
                <w:b w:val="0"/>
                <w:bCs/>
                <w:sz w:val="24"/>
                <w:szCs w:val="24"/>
                <w:highlight w:val="none"/>
                <w:lang w:val="en-US" w:eastAsia="zh-CN"/>
              </w:rPr>
              <w:t xml:space="preserve">4、项目经理业绩与企业业绩不重复计分。  </w:t>
            </w:r>
          </w:p>
        </w:tc>
      </w:tr>
    </w:tbl>
    <w:p w14:paraId="53288DE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r>
        <w:rPr>
          <w:rFonts w:hint="eastAsia" w:ascii="宋体" w:cs="宋体"/>
          <w:b/>
          <w:bCs/>
          <w:spacing w:val="-4"/>
          <w:sz w:val="24"/>
          <w:szCs w:val="24"/>
          <w:highlight w:val="none"/>
        </w:rPr>
        <w:t>1.评标方法</w:t>
      </w:r>
    </w:p>
    <w:p w14:paraId="7FE8F87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本次评标先进行资格审查。通过资格审查的</w:t>
      </w:r>
      <w:r>
        <w:rPr>
          <w:rFonts w:hint="eastAsia" w:ascii="宋体" w:cs="宋体"/>
          <w:spacing w:val="-4"/>
          <w:sz w:val="24"/>
          <w:szCs w:val="24"/>
          <w:highlight w:val="none"/>
          <w:lang w:val="en-US" w:eastAsia="zh-CN"/>
        </w:rPr>
        <w:t>供应商</w:t>
      </w:r>
      <w:r>
        <w:rPr>
          <w:rFonts w:hint="eastAsia" w:ascii="宋体" w:cs="宋体"/>
          <w:spacing w:val="-4"/>
          <w:sz w:val="24"/>
          <w:szCs w:val="24"/>
          <w:highlight w:val="none"/>
        </w:rPr>
        <w:t>进行下一步的综合得分评审。形式评审、资格评审、响应性评审未合格的按无效标处理。</w:t>
      </w:r>
    </w:p>
    <w:p w14:paraId="7F57ACFB">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3778C7B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49" w:name="_Toc449367501"/>
      <w:r>
        <w:rPr>
          <w:rFonts w:hint="eastAsia" w:ascii="宋体" w:cs="宋体"/>
          <w:b/>
          <w:bCs/>
          <w:spacing w:val="-4"/>
          <w:sz w:val="24"/>
          <w:szCs w:val="24"/>
          <w:highlight w:val="none"/>
        </w:rPr>
        <w:t>2. 评审标准</w:t>
      </w:r>
      <w:bookmarkEnd w:id="49"/>
    </w:p>
    <w:p w14:paraId="1C604D0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 初步评审标准 </w:t>
      </w:r>
    </w:p>
    <w:p w14:paraId="7C944E1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2.1.1 形式评审标准：见评标办法前附表。 </w:t>
      </w:r>
    </w:p>
    <w:p w14:paraId="2A231AEB">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2.1.2 资格评审标准：见评标办法前附表。 </w:t>
      </w:r>
    </w:p>
    <w:p w14:paraId="44CC8C8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2.1.3 响应性评审标准：见评标办法前附表。 </w:t>
      </w:r>
    </w:p>
    <w:p w14:paraId="2A7F171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2.2 分值构成与评分标准 </w:t>
      </w:r>
    </w:p>
    <w:p w14:paraId="05EC8CF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2.2.1 分值构成</w:t>
      </w:r>
    </w:p>
    <w:p w14:paraId="17CDABA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w:t>
      </w:r>
      <w:r>
        <w:rPr>
          <w:rFonts w:hint="eastAsia" w:ascii="宋体" w:cs="宋体"/>
          <w:spacing w:val="-4"/>
          <w:sz w:val="24"/>
          <w:szCs w:val="24"/>
          <w:highlight w:val="none"/>
          <w:lang w:val="en-US" w:eastAsia="zh-CN"/>
        </w:rPr>
        <w:t>报价</w:t>
      </w:r>
      <w:r>
        <w:rPr>
          <w:rFonts w:hint="eastAsia" w:ascii="宋体" w:cs="宋体"/>
          <w:spacing w:val="-4"/>
          <w:sz w:val="24"/>
          <w:szCs w:val="24"/>
          <w:highlight w:val="none"/>
        </w:rPr>
        <w:t>部分：见评标办法前附表；</w:t>
      </w:r>
    </w:p>
    <w:p w14:paraId="240BF8C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w:t>
      </w:r>
      <w:r>
        <w:rPr>
          <w:rFonts w:hint="eastAsia" w:ascii="宋体" w:cs="宋体"/>
          <w:spacing w:val="-4"/>
          <w:sz w:val="24"/>
          <w:szCs w:val="24"/>
          <w:highlight w:val="none"/>
          <w:lang w:val="en-US" w:eastAsia="zh-CN"/>
        </w:rPr>
        <w:t>商务</w:t>
      </w:r>
      <w:r>
        <w:rPr>
          <w:rFonts w:hint="eastAsia" w:ascii="宋体" w:cs="宋体"/>
          <w:spacing w:val="-4"/>
          <w:sz w:val="24"/>
          <w:szCs w:val="24"/>
          <w:highlight w:val="none"/>
        </w:rPr>
        <w:t>部分：见评标办法前附表；</w:t>
      </w:r>
    </w:p>
    <w:p w14:paraId="3DAB1CA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（3）技术部分：见评标办法前附表；</w:t>
      </w:r>
    </w:p>
    <w:p w14:paraId="5527C9E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2.2.4评分标准</w:t>
      </w:r>
    </w:p>
    <w:p w14:paraId="5BDE5E3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w:t>
      </w:r>
      <w:r>
        <w:rPr>
          <w:rFonts w:hint="eastAsia" w:ascii="宋体" w:cs="宋体"/>
          <w:spacing w:val="-4"/>
          <w:sz w:val="24"/>
          <w:szCs w:val="24"/>
          <w:highlight w:val="none"/>
          <w:lang w:val="en-US" w:eastAsia="zh-CN"/>
        </w:rPr>
        <w:t>报价</w:t>
      </w:r>
      <w:r>
        <w:rPr>
          <w:rFonts w:hint="eastAsia" w:ascii="宋体" w:cs="宋体"/>
          <w:spacing w:val="-4"/>
          <w:sz w:val="24"/>
          <w:szCs w:val="24"/>
          <w:highlight w:val="none"/>
        </w:rPr>
        <w:t>部分：见评标办法前附表；</w:t>
      </w:r>
    </w:p>
    <w:p w14:paraId="15554DB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w:t>
      </w:r>
      <w:r>
        <w:rPr>
          <w:rFonts w:hint="eastAsia" w:ascii="宋体" w:cs="宋体"/>
          <w:spacing w:val="-4"/>
          <w:sz w:val="24"/>
          <w:szCs w:val="24"/>
          <w:highlight w:val="none"/>
          <w:lang w:val="en-US" w:eastAsia="zh-CN"/>
        </w:rPr>
        <w:t>商务</w:t>
      </w:r>
      <w:r>
        <w:rPr>
          <w:rFonts w:hint="eastAsia" w:ascii="宋体" w:cs="宋体"/>
          <w:spacing w:val="-4"/>
          <w:sz w:val="24"/>
          <w:szCs w:val="24"/>
          <w:highlight w:val="none"/>
        </w:rPr>
        <w:t>部分：见评标办法前附表；</w:t>
      </w:r>
    </w:p>
    <w:p w14:paraId="3C5F6F45">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（3）技术部分：见评标办法前附表；</w:t>
      </w:r>
    </w:p>
    <w:p w14:paraId="1E03D30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50" w:name="_Toc449367502"/>
      <w:r>
        <w:rPr>
          <w:rFonts w:hint="eastAsia" w:ascii="宋体" w:cs="宋体"/>
          <w:b/>
          <w:bCs/>
          <w:spacing w:val="-4"/>
          <w:sz w:val="24"/>
          <w:szCs w:val="24"/>
          <w:highlight w:val="none"/>
        </w:rPr>
        <w:t>3.评标程序</w:t>
      </w:r>
      <w:bookmarkEnd w:id="50"/>
    </w:p>
    <w:p w14:paraId="77E5CC1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3.1 初步评审 </w:t>
      </w:r>
    </w:p>
    <w:p w14:paraId="1488D32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3.1.1竞争性磋商小组依据本章规定的评审标准对响应文件进行初步评审。有一项不符合评审标准的，作废标处理。</w:t>
      </w:r>
    </w:p>
    <w:p w14:paraId="3043AA3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3.1.2 响应人有以下情形之一的，其投标作废标处理：</w:t>
      </w:r>
    </w:p>
    <w:p w14:paraId="141FEF5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（1）串通投标或弄虚作假或有其他违法行为的；</w:t>
      </w:r>
    </w:p>
    <w:p w14:paraId="1B443BE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（2）不按竞争性磋商小组要求澄清、说明或补正的。</w:t>
      </w:r>
    </w:p>
    <w:p w14:paraId="1FB0B3C5">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7EEA2B2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(1）响应文件中的大写金额与小写金额不一致的，以大写金额为准；</w:t>
      </w:r>
    </w:p>
    <w:p w14:paraId="4EFF217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(2）总价金额与依据单价计算出的结果不一致的，以单价金额为准修正总价，但单价金额小数点有明显错误的除外。</w:t>
      </w:r>
    </w:p>
    <w:p w14:paraId="63EF6F6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3.2 详细评审 </w:t>
      </w:r>
    </w:p>
    <w:p w14:paraId="30C5AA6B">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3.2.1 竞争性磋商小组按本章规定的量化因素和分值进行打分，并计算出综合评估得分。每个响应人最终得分为各评委打分的算术平均值。</w:t>
      </w:r>
    </w:p>
    <w:p w14:paraId="082C1C01">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(1）按本章详细评审标准规定的评审因素和分值对报价部分计算出得分A；</w:t>
      </w:r>
    </w:p>
    <w:p w14:paraId="24B0AE0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(2）按本章详细评审标准规定的评审因素和分值对</w:t>
      </w:r>
      <w:r>
        <w:rPr>
          <w:rFonts w:hint="eastAsia" w:ascii="宋体" w:cs="宋体"/>
          <w:spacing w:val="-4"/>
          <w:sz w:val="24"/>
          <w:szCs w:val="24"/>
          <w:highlight w:val="none"/>
          <w:lang w:val="en-US" w:eastAsia="zh-CN"/>
        </w:rPr>
        <w:t>商务</w:t>
      </w:r>
      <w:r>
        <w:rPr>
          <w:rFonts w:hint="eastAsia" w:ascii="宋体" w:cs="宋体"/>
          <w:spacing w:val="-4"/>
          <w:sz w:val="24"/>
          <w:szCs w:val="24"/>
          <w:highlight w:val="none"/>
        </w:rPr>
        <w:t>部分计算出得分B；</w:t>
      </w:r>
    </w:p>
    <w:p w14:paraId="50D6695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(3）按本章详细评审标准规定的评审因素和分值对技术部分计算出得分C；</w:t>
      </w:r>
    </w:p>
    <w:p w14:paraId="63A889A3">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3.2.2 评分分值计算保留小数点后两位，小数点后第三位“四舍五入”。</w:t>
      </w:r>
    </w:p>
    <w:p w14:paraId="647E1FB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3.2.3 响应人得分=A 十B 十C 。</w:t>
      </w:r>
    </w:p>
    <w:p w14:paraId="2702E30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322E821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3.3 响应文件的澄清和补正 </w:t>
      </w:r>
    </w:p>
    <w:p w14:paraId="06C448F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3136168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3.3.2澄清、说明和补正不得改变响应文件的实质性内容（算术性错误修正的除外）。响应人的书面澄清、说明和补正属于响应文件的组成部分。 </w:t>
      </w:r>
    </w:p>
    <w:p w14:paraId="544E325A">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3.3.3 竞争性磋商小组对响应人提交的澄清、说明或补正有疑问的，可以要求响应人进一步澄清、说明或补正，直至满足竞争性磋商小组的要求。</w:t>
      </w:r>
    </w:p>
    <w:p w14:paraId="7EA83D8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3.4定标办法</w:t>
      </w:r>
    </w:p>
    <w:p w14:paraId="2E40DDF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3.4.1 竞争性磋商小组按照上述办法打分，最后按照各响应人最终得分从高到低排序。</w:t>
      </w:r>
    </w:p>
    <w:p w14:paraId="2A947E8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27D78CB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4EBFA63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3.4.4 成交人确定后，面向社会公示，公示期为1个工作日，采购人向成交响应人签发成交通知书，采购人与成交响应人应自成交通知书签发之日起1个工作日内签定合同。</w:t>
      </w:r>
    </w:p>
    <w:p w14:paraId="182F6D43">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51" w:name="_Toc449367503"/>
      <w:r>
        <w:rPr>
          <w:rFonts w:hint="eastAsia" w:ascii="宋体" w:cs="宋体"/>
          <w:b/>
          <w:bCs/>
          <w:spacing w:val="-4"/>
          <w:sz w:val="24"/>
          <w:szCs w:val="24"/>
          <w:highlight w:val="none"/>
        </w:rPr>
        <w:t>4. 评标注意事项</w:t>
      </w:r>
      <w:bookmarkEnd w:id="51"/>
    </w:p>
    <w:p w14:paraId="3FF0D20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竞争性磋商小组应按下列原则进行评分汇总统计：</w:t>
      </w:r>
    </w:p>
    <w:p w14:paraId="27AD195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1、分数计算过程中，保留两位小数，小数点后第三位四舍五入。</w:t>
      </w:r>
    </w:p>
    <w:p w14:paraId="30EFD03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2、分数汇总时，将所有评委打分取算术平均值作为该响应人的最终得分。</w:t>
      </w:r>
    </w:p>
    <w:p w14:paraId="15BD1ADC">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52" w:name="_Toc449367504"/>
      <w:r>
        <w:rPr>
          <w:rFonts w:hint="eastAsia" w:ascii="宋体" w:cs="宋体"/>
          <w:b/>
          <w:bCs/>
          <w:spacing w:val="-4"/>
          <w:sz w:val="24"/>
          <w:szCs w:val="24"/>
          <w:highlight w:val="none"/>
        </w:rPr>
        <w:t>5.评标报告</w:t>
      </w:r>
      <w:bookmarkEnd w:id="52"/>
    </w:p>
    <w:p w14:paraId="613E2CC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jc w:val="left"/>
        <w:textAlignment w:val="baseline"/>
        <w:rPr>
          <w:rFonts w:hint="eastAsia" w:ascii="宋体" w:cs="宋体"/>
          <w:spacing w:val="-4"/>
          <w:sz w:val="24"/>
          <w:szCs w:val="24"/>
          <w:highlight w:val="none"/>
        </w:rPr>
      </w:pPr>
      <w:r>
        <w:rPr>
          <w:rFonts w:hint="eastAsia" w:ascii="宋体" w:cs="宋体"/>
          <w:spacing w:val="-4"/>
          <w:sz w:val="24"/>
          <w:szCs w:val="24"/>
          <w:highlight w:val="none"/>
        </w:rPr>
        <w:t>竞争性磋商小组根据响应人须知前附表的规定向采购人提交评标报告。评标报告应当由全体竞争性磋商小组成员签字，并于评标结束后抄送有关行政监督部门。</w:t>
      </w:r>
    </w:p>
    <w:p w14:paraId="21AF8BD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right="0" w:firstLine="464" w:firstLineChars="200"/>
        <w:jc w:val="left"/>
        <w:textAlignment w:val="auto"/>
        <w:rPr>
          <w:rFonts w:hint="eastAsia" w:ascii="黑体" w:cs="宋体"/>
          <w:b/>
          <w:kern w:val="2"/>
          <w:sz w:val="32"/>
          <w:szCs w:val="32"/>
          <w:highlight w:val="none"/>
          <w:lang w:val="en-US" w:eastAsia="zh-CN"/>
        </w:rPr>
      </w:pPr>
      <w:r>
        <w:rPr>
          <w:rFonts w:hint="eastAsia" w:ascii="宋体" w:cs="宋体"/>
          <w:spacing w:val="-4"/>
          <w:sz w:val="24"/>
          <w:szCs w:val="24"/>
          <w:highlight w:val="none"/>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黑体" w:cs="宋体"/>
          <w:b/>
          <w:kern w:val="2"/>
          <w:sz w:val="32"/>
          <w:szCs w:val="32"/>
          <w:highlight w:val="none"/>
          <w:lang w:val="en-US" w:eastAsia="zh-CN"/>
        </w:rPr>
        <w:t xml:space="preserve"> </w:t>
      </w:r>
    </w:p>
    <w:p w14:paraId="3EF6E5C0">
      <w:pPr>
        <w:pStyle w:val="2"/>
        <w:bidi w:val="0"/>
        <w:rPr>
          <w:rFonts w:hint="default" w:ascii="黑体" w:cs="宋体"/>
          <w:b/>
          <w:kern w:val="2"/>
          <w:szCs w:val="32"/>
          <w:highlight w:val="none"/>
          <w:lang w:val="en-US"/>
        </w:rPr>
      </w:pPr>
      <w:bookmarkStart w:id="53" w:name="_Toc4430"/>
      <w:r>
        <w:rPr>
          <w:rFonts w:hint="eastAsia"/>
          <w:lang w:val="en-US"/>
        </w:rPr>
        <w:t>第</w:t>
      </w:r>
      <w:r>
        <w:rPr>
          <w:rFonts w:hint="eastAsia"/>
          <w:lang w:val="en-US" w:eastAsia="zh-CN"/>
        </w:rPr>
        <w:t>四</w:t>
      </w:r>
      <w:r>
        <w:rPr>
          <w:rFonts w:hint="eastAsia"/>
          <w:lang w:val="en-US"/>
        </w:rPr>
        <w:t>章</w:t>
      </w:r>
      <w:r>
        <w:rPr>
          <w:rFonts w:hint="eastAsia"/>
          <w:lang w:val="en-US" w:eastAsia="zh-CN"/>
        </w:rPr>
        <w:t xml:space="preserve">  </w:t>
      </w:r>
      <w:r>
        <w:rPr>
          <w:rFonts w:hint="default"/>
          <w:lang w:val="en-US"/>
        </w:rPr>
        <w:t>工程量清单</w:t>
      </w:r>
      <w:bookmarkEnd w:id="53"/>
    </w:p>
    <w:p w14:paraId="5E6DDD2C">
      <w:pPr>
        <w:widowControl w:val="0"/>
        <w:kinsoku/>
        <w:wordWrap w:val="0"/>
        <w:overflowPunct/>
        <w:topLinePunct w:val="0"/>
        <w:autoSpaceDE w:val="0"/>
        <w:autoSpaceDN w:val="0"/>
        <w:bidi w:val="0"/>
        <w:adjustRightInd w:val="0"/>
        <w:spacing w:beforeAutospacing="0" w:afterAutospacing="0" w:line="600" w:lineRule="exact"/>
        <w:ind w:right="-58" w:firstLine="3808" w:firstLineChars="1400"/>
        <w:jc w:val="both"/>
        <w:rPr>
          <w:rFonts w:hint="eastAsia" w:ascii="宋体" w:hAnsi="宋体" w:cs="宋体"/>
          <w:color w:val="auto"/>
          <w:spacing w:val="-4"/>
          <w:sz w:val="28"/>
          <w:szCs w:val="28"/>
          <w:highlight w:val="none"/>
          <w:lang w:val="en-US" w:eastAsia="zh-CN"/>
        </w:rPr>
      </w:pPr>
    </w:p>
    <w:p w14:paraId="3B007096">
      <w:pPr>
        <w:widowControl w:val="0"/>
        <w:kinsoku/>
        <w:wordWrap w:val="0"/>
        <w:overflowPunct/>
        <w:topLinePunct w:val="0"/>
        <w:autoSpaceDE w:val="0"/>
        <w:autoSpaceDN w:val="0"/>
        <w:bidi w:val="0"/>
        <w:adjustRightInd w:val="0"/>
        <w:spacing w:beforeAutospacing="0" w:afterAutospacing="0" w:line="600" w:lineRule="exact"/>
        <w:ind w:right="-58" w:firstLine="560" w:firstLineChars="200"/>
        <w:jc w:val="center"/>
        <w:rPr>
          <w:rFonts w:hint="eastAsia" w:ascii="宋体" w:hAnsi="宋体" w:cs="宋体"/>
          <w:color w:val="C00000"/>
          <w:spacing w:val="-4"/>
          <w:sz w:val="28"/>
          <w:szCs w:val="28"/>
          <w:highlight w:val="none"/>
          <w:lang w:val="en-US" w:eastAsia="zh-CN"/>
        </w:rPr>
      </w:pPr>
      <w:r>
        <w:rPr>
          <w:rFonts w:hint="eastAsia"/>
          <w:color w:val="auto"/>
          <w:sz w:val="28"/>
          <w:szCs w:val="28"/>
          <w:highlight w:val="none"/>
        </w:rPr>
        <w:t>三门峡公共交易中心网站上自行下载</w:t>
      </w:r>
    </w:p>
    <w:p w14:paraId="1A6F0753">
      <w:pPr>
        <w:widowControl w:val="0"/>
        <w:kinsoku/>
        <w:wordWrap w:val="0"/>
        <w:overflowPunct/>
        <w:topLinePunct w:val="0"/>
        <w:autoSpaceDE w:val="0"/>
        <w:autoSpaceDN w:val="0"/>
        <w:bidi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highlight w:val="none"/>
          <w:lang w:val="en-US" w:eastAsia="zh-CN"/>
        </w:rPr>
      </w:pPr>
    </w:p>
    <w:p w14:paraId="0E74750E">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4FCB7F46">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54E4783">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4785E691">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C720E6A">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4DD5738">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2278A1B">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278DE0D1">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6A45789">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67917BE1">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39BB7631">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17EC388A">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61387835">
      <w:pPr>
        <w:kinsoku/>
        <w:wordWrap w:val="0"/>
        <w:overflowPunct/>
        <w:topLinePunct w:val="0"/>
        <w:bidi w:val="0"/>
        <w:spacing w:beforeAutospacing="0" w:afterAutospacing="0" w:line="600" w:lineRule="exact"/>
        <w:rPr>
          <w:rFonts w:hint="eastAsia" w:ascii="黑体" w:cs="宋体"/>
          <w:b w:val="0"/>
          <w:bCs/>
          <w:kern w:val="2"/>
          <w:sz w:val="28"/>
          <w:szCs w:val="28"/>
          <w:highlight w:val="none"/>
          <w:lang w:val="en-US" w:eastAsia="zh-CN"/>
        </w:rPr>
      </w:pPr>
    </w:p>
    <w:p w14:paraId="192D750B">
      <w:pPr>
        <w:keepNext/>
        <w:widowControl w:val="0"/>
        <w:kinsoku/>
        <w:wordWrap w:val="0"/>
        <w:overflowPunct/>
        <w:topLinePunct w:val="0"/>
        <w:bidi w:val="0"/>
        <w:spacing w:beforeAutospacing="0" w:afterAutospacing="0" w:line="600" w:lineRule="exact"/>
        <w:jc w:val="both"/>
        <w:outlineLvl w:val="9"/>
        <w:rPr>
          <w:rFonts w:hint="eastAsia" w:ascii="黑体" w:cs="宋体"/>
          <w:b/>
          <w:kern w:val="2"/>
          <w:sz w:val="28"/>
          <w:szCs w:val="28"/>
          <w:highlight w:val="none"/>
        </w:rPr>
      </w:pPr>
      <w:bookmarkStart w:id="54" w:name="_Toc7143"/>
    </w:p>
    <w:p w14:paraId="7672AC4B">
      <w:pPr>
        <w:keepNext/>
        <w:widowControl w:val="0"/>
        <w:numPr>
          <w:ilvl w:val="0"/>
          <w:numId w:val="0"/>
        </w:numPr>
        <w:kinsoku/>
        <w:wordWrap w:val="0"/>
        <w:overflowPunct/>
        <w:topLinePunct w:val="0"/>
        <w:bidi w:val="0"/>
        <w:spacing w:beforeAutospacing="0" w:afterAutospacing="0" w:line="600" w:lineRule="exact"/>
        <w:jc w:val="both"/>
        <w:outlineLvl w:val="9"/>
        <w:rPr>
          <w:rFonts w:hint="eastAsia" w:ascii="黑体" w:hAnsi="Times New Roman" w:eastAsia="宋体" w:cs="宋体"/>
          <w:b/>
          <w:kern w:val="2"/>
          <w:sz w:val="28"/>
          <w:szCs w:val="28"/>
          <w:highlight w:val="none"/>
          <w:lang w:val="en-US" w:eastAsia="zh-CN" w:bidi="ar-SA"/>
        </w:rPr>
      </w:pPr>
    </w:p>
    <w:p w14:paraId="17BF8701">
      <w:pPr>
        <w:pStyle w:val="2"/>
        <w:bidi w:val="0"/>
        <w:rPr>
          <w:rFonts w:hint="eastAsia"/>
          <w:lang w:val="en-US" w:eastAsia="zh-CN"/>
        </w:rPr>
      </w:pPr>
      <w:r>
        <w:rPr>
          <w:rFonts w:hint="eastAsia" w:ascii="黑体" w:hAnsi="Times New Roman" w:eastAsia="宋体" w:cs="宋体"/>
          <w:b/>
          <w:kern w:val="2"/>
          <w:szCs w:val="28"/>
          <w:highlight w:val="none"/>
          <w:lang w:val="en-US" w:eastAsia="zh-CN" w:bidi="ar-SA"/>
        </w:rPr>
        <w:br w:type="page"/>
      </w:r>
      <w:bookmarkStart w:id="55" w:name="_Toc27044"/>
      <w:r>
        <w:rPr>
          <w:rFonts w:hint="eastAsia"/>
        </w:rPr>
        <w:t>第五章</w:t>
      </w:r>
      <w:r>
        <w:rPr>
          <w:rFonts w:hint="eastAsia"/>
          <w:lang w:val="en-US" w:eastAsia="zh-CN"/>
        </w:rPr>
        <w:t xml:space="preserve">  图纸</w:t>
      </w:r>
      <w:bookmarkEnd w:id="55"/>
    </w:p>
    <w:p w14:paraId="6CE25C7F">
      <w:pPr>
        <w:widowControl w:val="0"/>
        <w:kinsoku/>
        <w:wordWrap w:val="0"/>
        <w:overflowPunct/>
        <w:topLinePunct w:val="0"/>
        <w:autoSpaceDE w:val="0"/>
        <w:autoSpaceDN w:val="0"/>
        <w:bidi w:val="0"/>
        <w:adjustRightInd w:val="0"/>
        <w:spacing w:beforeAutospacing="0" w:afterAutospacing="0" w:line="600" w:lineRule="exact"/>
        <w:ind w:right="-58" w:firstLine="560" w:firstLineChars="200"/>
        <w:jc w:val="center"/>
        <w:rPr>
          <w:rFonts w:hint="eastAsia" w:ascii="黑体" w:hAnsi="Times New Roman" w:eastAsia="宋体" w:cs="宋体"/>
          <w:b/>
          <w:kern w:val="2"/>
          <w:sz w:val="32"/>
          <w:szCs w:val="32"/>
          <w:highlight w:val="none"/>
          <w:lang w:val="en-US" w:eastAsia="zh-CN" w:bidi="ar-SA"/>
        </w:rPr>
        <w:sectPr>
          <w:pgSz w:w="11900" w:h="16838"/>
          <w:pgMar w:top="1077" w:right="1134" w:bottom="1077" w:left="1134" w:header="720" w:footer="720" w:gutter="0"/>
          <w:pgNumType w:fmt="decimal"/>
          <w:cols w:space="720" w:num="1"/>
          <w:docGrid w:type="lines" w:linePitch="360" w:charSpace="0"/>
        </w:sectPr>
      </w:pPr>
      <w:r>
        <w:rPr>
          <w:rFonts w:hint="eastAsia"/>
          <w:color w:val="auto"/>
          <w:sz w:val="28"/>
          <w:szCs w:val="28"/>
          <w:highlight w:val="none"/>
        </w:rPr>
        <w:t>三门峡公共交易中心网站上自行下载附</w:t>
      </w:r>
    </w:p>
    <w:p w14:paraId="0D23B069">
      <w:pPr>
        <w:pStyle w:val="2"/>
        <w:bidi w:val="0"/>
      </w:pPr>
      <w:bookmarkStart w:id="56" w:name="_Toc28018"/>
      <w:bookmarkStart w:id="57" w:name="_Toc28084"/>
      <w:r>
        <w:rPr>
          <w:rFonts w:hint="eastAsia"/>
          <w:lang w:val="en-US" w:eastAsia="zh-CN"/>
        </w:rPr>
        <w:t xml:space="preserve">第六章 </w:t>
      </w:r>
      <w:r>
        <w:rPr>
          <w:rFonts w:hint="eastAsia"/>
        </w:rPr>
        <w:t>合同条款及合同文件格式</w:t>
      </w:r>
      <w:bookmarkEnd w:id="54"/>
      <w:bookmarkEnd w:id="56"/>
      <w:bookmarkEnd w:id="57"/>
    </w:p>
    <w:p w14:paraId="68F1F4E0">
      <w:pPr>
        <w:keepNext/>
        <w:widowControl w:val="0"/>
        <w:kinsoku/>
        <w:wordWrap w:val="0"/>
        <w:overflowPunct/>
        <w:topLinePunct w:val="0"/>
        <w:bidi w:val="0"/>
        <w:spacing w:beforeAutospacing="0" w:afterAutospacing="0" w:line="600" w:lineRule="exact"/>
        <w:ind w:left="720" w:hanging="720"/>
        <w:jc w:val="center"/>
        <w:outlineLvl w:val="0"/>
        <w:rPr>
          <w:rFonts w:ascii="黑体"/>
          <w:b/>
          <w:kern w:val="2"/>
          <w:sz w:val="28"/>
          <w:szCs w:val="28"/>
          <w:highlight w:val="none"/>
        </w:rPr>
      </w:pPr>
      <w:bookmarkStart w:id="58" w:name="_Toc27433"/>
      <w:bookmarkStart w:id="59" w:name="_Toc5575"/>
      <w:bookmarkStart w:id="60" w:name="_Toc5336"/>
      <w:bookmarkStart w:id="61" w:name="_Toc18606"/>
      <w:r>
        <w:rPr>
          <w:rFonts w:hint="eastAsia" w:ascii="黑体" w:cs="宋体"/>
          <w:b/>
          <w:kern w:val="2"/>
          <w:sz w:val="28"/>
          <w:szCs w:val="28"/>
          <w:highlight w:val="none"/>
        </w:rPr>
        <w:t>（以</w:t>
      </w:r>
      <w:r>
        <w:rPr>
          <w:rFonts w:hint="eastAsia" w:ascii="黑体" w:cs="宋体"/>
          <w:b/>
          <w:kern w:val="2"/>
          <w:sz w:val="28"/>
          <w:szCs w:val="28"/>
          <w:highlight w:val="none"/>
          <w:lang w:eastAsia="zh-CN"/>
        </w:rPr>
        <w:t>实际</w:t>
      </w:r>
      <w:r>
        <w:rPr>
          <w:rFonts w:hint="eastAsia" w:ascii="黑体" w:cs="宋体"/>
          <w:b/>
          <w:kern w:val="2"/>
          <w:sz w:val="28"/>
          <w:szCs w:val="28"/>
          <w:highlight w:val="none"/>
        </w:rPr>
        <w:t>签订</w:t>
      </w:r>
      <w:r>
        <w:rPr>
          <w:rFonts w:hint="eastAsia" w:ascii="黑体" w:cs="宋体"/>
          <w:b/>
          <w:kern w:val="2"/>
          <w:sz w:val="28"/>
          <w:szCs w:val="28"/>
          <w:highlight w:val="none"/>
          <w:lang w:eastAsia="zh-CN"/>
        </w:rPr>
        <w:t>合同</w:t>
      </w:r>
      <w:r>
        <w:rPr>
          <w:rFonts w:hint="eastAsia" w:ascii="黑体" w:cs="宋体"/>
          <w:b/>
          <w:kern w:val="2"/>
          <w:sz w:val="28"/>
          <w:szCs w:val="28"/>
          <w:highlight w:val="none"/>
        </w:rPr>
        <w:t>为准）</w:t>
      </w:r>
      <w:bookmarkEnd w:id="58"/>
      <w:bookmarkEnd w:id="59"/>
      <w:bookmarkEnd w:id="60"/>
      <w:bookmarkEnd w:id="61"/>
    </w:p>
    <w:p w14:paraId="2A3C4C01">
      <w:pPr>
        <w:keepNext/>
        <w:widowControl w:val="0"/>
        <w:kinsoku/>
        <w:wordWrap w:val="0"/>
        <w:overflowPunct/>
        <w:topLinePunct w:val="0"/>
        <w:bidi w:val="0"/>
        <w:spacing w:beforeAutospacing="0" w:afterAutospacing="0" w:line="600" w:lineRule="exact"/>
        <w:ind w:left="720" w:hanging="720"/>
        <w:jc w:val="center"/>
        <w:outlineLvl w:val="0"/>
        <w:rPr>
          <w:rFonts w:hint="eastAsia" w:ascii="黑体" w:hAnsi="Times New Roman" w:eastAsia="宋体" w:cs="宋体"/>
          <w:b/>
          <w:kern w:val="2"/>
          <w:sz w:val="28"/>
          <w:szCs w:val="28"/>
          <w:highlight w:val="none"/>
        </w:rPr>
      </w:pPr>
      <w:bookmarkStart w:id="62" w:name="_Toc461977428"/>
      <w:bookmarkEnd w:id="62"/>
      <w:bookmarkStart w:id="63" w:name="_Toc13053"/>
      <w:bookmarkStart w:id="64" w:name="_Toc15460"/>
      <w:bookmarkStart w:id="65" w:name="_Toc18775"/>
      <w:bookmarkStart w:id="66" w:name="_Toc21009"/>
      <w:r>
        <w:rPr>
          <w:rFonts w:hint="eastAsia" w:ascii="黑体" w:hAnsi="Times New Roman" w:eastAsia="宋体" w:cs="宋体"/>
          <w:b/>
          <w:kern w:val="2"/>
          <w:sz w:val="28"/>
          <w:szCs w:val="28"/>
          <w:highlight w:val="none"/>
        </w:rPr>
        <w:t>(仅供参考)</w:t>
      </w:r>
      <w:bookmarkEnd w:id="63"/>
      <w:bookmarkEnd w:id="64"/>
      <w:bookmarkEnd w:id="65"/>
    </w:p>
    <w:p w14:paraId="7CDE0184">
      <w:pPr>
        <w:kinsoku/>
        <w:wordWrap w:val="0"/>
        <w:overflowPunct/>
        <w:topLinePunct w:val="0"/>
        <w:bidi w:val="0"/>
        <w:jc w:val="center"/>
        <w:outlineLvl w:val="1"/>
        <w:rPr>
          <w:rFonts w:ascii="宋体" w:hAnsi="宋体"/>
          <w:b/>
          <w:bCs w:val="0"/>
          <w:sz w:val="28"/>
          <w:szCs w:val="28"/>
          <w:highlight w:val="none"/>
        </w:rPr>
      </w:pPr>
      <w:r>
        <w:rPr>
          <w:rFonts w:hint="eastAsia" w:ascii="宋体" w:hAnsi="宋体"/>
          <w:b/>
          <w:bCs w:val="0"/>
          <w:sz w:val="28"/>
          <w:szCs w:val="28"/>
          <w:highlight w:val="none"/>
        </w:rPr>
        <w:t>第一部分</w:t>
      </w:r>
      <w:r>
        <w:rPr>
          <w:rFonts w:hint="eastAsia" w:ascii="宋体" w:hAnsi="宋体"/>
          <w:b/>
          <w:bCs w:val="0"/>
          <w:sz w:val="28"/>
          <w:szCs w:val="28"/>
          <w:highlight w:val="none"/>
          <w:lang w:val="en-US" w:eastAsia="zh-CN"/>
        </w:rPr>
        <w:t xml:space="preserve">  </w:t>
      </w:r>
      <w:r>
        <w:rPr>
          <w:rFonts w:hint="eastAsia" w:ascii="宋体" w:hAnsi="宋体"/>
          <w:b/>
          <w:bCs w:val="0"/>
          <w:sz w:val="28"/>
          <w:szCs w:val="28"/>
          <w:highlight w:val="none"/>
        </w:rPr>
        <w:t>合同协议书</w:t>
      </w:r>
    </w:p>
    <w:p w14:paraId="48A6785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hint="eastAsia" w:ascii="宋体" w:hAnsi="Courier New" w:cs="宋体"/>
          <w:sz w:val="24"/>
          <w:szCs w:val="24"/>
          <w:highlight w:val="none"/>
        </w:rPr>
        <w:t>发包方</w:t>
      </w:r>
      <w:r>
        <w:rPr>
          <w:rFonts w:ascii="宋体" w:hAnsi="Courier New" w:cs="宋体"/>
          <w:sz w:val="24"/>
          <w:szCs w:val="24"/>
          <w:highlight w:val="none"/>
        </w:rPr>
        <w:t>（全称）：</w:t>
      </w:r>
      <w:r>
        <w:rPr>
          <w:rFonts w:hint="eastAsia" w:ascii="宋体" w:hAnsi="Courier New" w:cs="宋体"/>
          <w:sz w:val="24"/>
          <w:szCs w:val="24"/>
          <w:highlight w:val="none"/>
          <w:u w:val="single"/>
        </w:rPr>
        <w:t></w:t>
      </w:r>
    </w:p>
    <w:p w14:paraId="0930D2D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hint="eastAsia" w:ascii="宋体" w:hAnsi="Courier New" w:cs="宋体"/>
          <w:sz w:val="24"/>
          <w:szCs w:val="24"/>
          <w:highlight w:val="none"/>
        </w:rPr>
        <w:t>承包人</w:t>
      </w:r>
      <w:r>
        <w:rPr>
          <w:rFonts w:ascii="宋体" w:hAnsi="Courier New" w:cs="宋体"/>
          <w:sz w:val="24"/>
          <w:szCs w:val="24"/>
          <w:highlight w:val="none"/>
        </w:rPr>
        <w:t>（全称）：</w:t>
      </w:r>
      <w:r>
        <w:rPr>
          <w:rFonts w:hint="eastAsia" w:ascii="宋体" w:hAnsi="Courier New" w:cs="宋体"/>
          <w:sz w:val="24"/>
          <w:szCs w:val="24"/>
          <w:highlight w:val="none"/>
          <w:u w:val="single"/>
        </w:rPr>
        <w:t>    </w:t>
      </w:r>
    </w:p>
    <w:p w14:paraId="0370B69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根据</w:t>
      </w:r>
      <w:r>
        <w:rPr>
          <w:rFonts w:hint="eastAsia" w:ascii="宋体" w:hAnsi="Courier New" w:cs="宋体"/>
          <w:sz w:val="24"/>
          <w:szCs w:val="24"/>
          <w:highlight w:val="none"/>
          <w:u w:val="single"/>
        </w:rPr>
        <w:t></w:t>
      </w:r>
      <w:r>
        <w:rPr>
          <w:rFonts w:hint="eastAsia" w:ascii="宋体" w:hAnsi="Courier New" w:cs="宋体"/>
          <w:sz w:val="24"/>
          <w:szCs w:val="24"/>
          <w:highlight w:val="none"/>
          <w:u w:val="single"/>
          <w:lang w:val="en-US" w:eastAsia="zh-CN"/>
        </w:rPr>
        <w:t xml:space="preserve">  </w:t>
      </w:r>
      <w:r>
        <w:rPr>
          <w:rFonts w:hint="eastAsia" w:ascii="宋体" w:hAnsi="Courier New" w:cs="宋体"/>
          <w:sz w:val="24"/>
          <w:szCs w:val="24"/>
          <w:highlight w:val="none"/>
        </w:rPr>
        <w:t>中标通知书和</w:t>
      </w:r>
      <w:r>
        <w:rPr>
          <w:rFonts w:ascii="宋体" w:hAnsi="Courier New" w:cs="宋体"/>
          <w:sz w:val="24"/>
          <w:szCs w:val="24"/>
          <w:highlight w:val="none"/>
        </w:rPr>
        <w:t>《中华人民共和国合同法》、《中华人民共和国建筑法》及有关法律规定，遵循平等、自愿、公平和诚实信用的原则，双方就工程施工及有关事项协商一致</w:t>
      </w:r>
      <w:r>
        <w:rPr>
          <w:rFonts w:hint="eastAsia" w:ascii="宋体" w:hAnsi="Courier New" w:cs="宋体"/>
          <w:sz w:val="24"/>
          <w:szCs w:val="24"/>
          <w:highlight w:val="none"/>
        </w:rPr>
        <w:t>，</w:t>
      </w:r>
      <w:r>
        <w:rPr>
          <w:rFonts w:ascii="宋体" w:hAnsi="Courier New" w:cs="宋体"/>
          <w:sz w:val="24"/>
          <w:szCs w:val="24"/>
          <w:highlight w:val="none"/>
        </w:rPr>
        <w:t>共同达成如下协议：</w:t>
      </w:r>
    </w:p>
    <w:p w14:paraId="071A32D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一、工程概况</w:t>
      </w:r>
    </w:p>
    <w:p w14:paraId="006252D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sz w:val="24"/>
          <w:szCs w:val="24"/>
          <w:highlight w:val="none"/>
          <w:lang w:val="en-US"/>
        </w:rPr>
      </w:pPr>
      <w:r>
        <w:rPr>
          <w:rFonts w:ascii="宋体" w:hAnsi="Courier New" w:cs="宋体"/>
          <w:bCs/>
          <w:sz w:val="24"/>
          <w:szCs w:val="24"/>
          <w:highlight w:val="none"/>
        </w:rPr>
        <w:t>1.工程名称</w:t>
      </w:r>
      <w:r>
        <w:rPr>
          <w:rFonts w:ascii="宋体" w:hAnsi="Courier New" w:cs="宋体"/>
          <w:sz w:val="24"/>
          <w:szCs w:val="24"/>
          <w:highlight w:val="none"/>
        </w:rPr>
        <w:t>：</w:t>
      </w:r>
      <w:r>
        <w:rPr>
          <w:rFonts w:hint="eastAsia" w:ascii="宋体" w:hAnsi="Courier New" w:cs="宋体"/>
          <w:sz w:val="24"/>
          <w:szCs w:val="24"/>
          <w:highlight w:val="none"/>
          <w:u w:val="single"/>
          <w:lang w:val="en-US" w:eastAsia="zh-CN"/>
        </w:rPr>
        <w:t xml:space="preserve">                            </w:t>
      </w:r>
    </w:p>
    <w:p w14:paraId="54EA8CE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2.工程地点：</w:t>
      </w:r>
      <w:r>
        <w:rPr>
          <w:rFonts w:hint="eastAsia" w:ascii="宋体" w:hAnsi="Courier New" w:cs="宋体"/>
          <w:sz w:val="24"/>
          <w:szCs w:val="24"/>
          <w:highlight w:val="none"/>
          <w:u w:val="single"/>
          <w:lang w:val="en-US" w:eastAsia="zh-CN"/>
        </w:rPr>
        <w:t xml:space="preserve">                  </w:t>
      </w:r>
    </w:p>
    <w:p w14:paraId="066A336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3.工程立项批准文号：</w:t>
      </w:r>
      <w:r>
        <w:rPr>
          <w:rFonts w:hint="eastAsia" w:ascii="宋体" w:hAnsi="Courier New" w:cs="宋体"/>
          <w:sz w:val="24"/>
          <w:szCs w:val="24"/>
          <w:highlight w:val="none"/>
          <w:u w:val="single"/>
        </w:rPr>
        <w:t></w:t>
      </w:r>
    </w:p>
    <w:p w14:paraId="1336ECE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4.资金来源：</w:t>
      </w:r>
      <w:r>
        <w:rPr>
          <w:rFonts w:hint="eastAsia" w:ascii="宋体" w:hAnsi="Courier New" w:cs="宋体"/>
          <w:sz w:val="24"/>
          <w:szCs w:val="24"/>
          <w:highlight w:val="none"/>
          <w:lang w:val="en-US" w:eastAsia="zh-CN"/>
        </w:rPr>
        <w:t xml:space="preserve"> </w:t>
      </w:r>
      <w:r>
        <w:rPr>
          <w:rFonts w:hint="eastAsia" w:ascii="宋体" w:hAnsi="Courier New" w:cs="宋体"/>
          <w:sz w:val="24"/>
          <w:szCs w:val="24"/>
          <w:highlight w:val="none"/>
          <w:u w:val="single"/>
          <w:lang w:val="en-US" w:eastAsia="zh-CN"/>
        </w:rPr>
        <w:t xml:space="preserve">               </w:t>
      </w:r>
    </w:p>
    <w:p w14:paraId="34B6772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5.工程内容：</w:t>
      </w:r>
      <w:r>
        <w:rPr>
          <w:rFonts w:hint="eastAsia" w:ascii="宋体" w:hAnsi="Courier New" w:cs="宋体"/>
          <w:sz w:val="24"/>
          <w:szCs w:val="24"/>
          <w:highlight w:val="none"/>
          <w:u w:val="single"/>
          <w:lang w:val="en-US" w:eastAsia="zh-CN"/>
        </w:rPr>
        <w:t xml:space="preserve">                  </w:t>
      </w:r>
    </w:p>
    <w:p w14:paraId="0930AEB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hint="eastAsia" w:ascii="宋体" w:hAnsi="Courier New" w:cs="宋体"/>
          <w:sz w:val="24"/>
          <w:szCs w:val="24"/>
          <w:highlight w:val="none"/>
        </w:rPr>
        <w:t>6</w:t>
      </w:r>
      <w:r>
        <w:rPr>
          <w:rFonts w:ascii="宋体" w:hAnsi="Courier New" w:cs="宋体"/>
          <w:sz w:val="24"/>
          <w:szCs w:val="24"/>
          <w:highlight w:val="none"/>
        </w:rPr>
        <w:t>.工程承包范围：</w:t>
      </w:r>
      <w:r>
        <w:rPr>
          <w:rFonts w:hint="eastAsia" w:ascii="宋体" w:hAnsi="Courier New" w:cs="宋体"/>
          <w:sz w:val="24"/>
          <w:szCs w:val="24"/>
          <w:highlight w:val="none"/>
          <w:u w:val="single"/>
          <w:lang w:val="en-US" w:eastAsia="zh-CN"/>
        </w:rPr>
        <w:t xml:space="preserve">                       </w:t>
      </w:r>
    </w:p>
    <w:p w14:paraId="1061628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highlight w:val="none"/>
        </w:rPr>
      </w:pPr>
      <w:r>
        <w:rPr>
          <w:rFonts w:ascii="宋体" w:hAnsi="Courier New" w:cs="宋体"/>
          <w:b/>
          <w:sz w:val="24"/>
          <w:szCs w:val="24"/>
          <w:highlight w:val="none"/>
        </w:rPr>
        <w:t>二、合同工期</w:t>
      </w:r>
    </w:p>
    <w:p w14:paraId="3F6C71C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计划开工日期：</w:t>
      </w:r>
      <w:r>
        <w:rPr>
          <w:rFonts w:hint="eastAsia" w:ascii="宋体" w:hAnsi="Courier New" w:cs="宋体"/>
          <w:sz w:val="24"/>
          <w:szCs w:val="24"/>
          <w:highlight w:val="none"/>
          <w:u w:val="single"/>
        </w:rPr>
        <w:t></w:t>
      </w:r>
      <w:r>
        <w:rPr>
          <w:rFonts w:ascii="宋体" w:hAnsi="Courier New" w:cs="宋体"/>
          <w:sz w:val="24"/>
          <w:szCs w:val="24"/>
          <w:highlight w:val="none"/>
          <w:u w:val="single"/>
        </w:rPr>
        <w:t>年</w:t>
      </w:r>
      <w:r>
        <w:rPr>
          <w:rFonts w:hint="eastAsia" w:ascii="宋体" w:hAnsi="Courier New" w:cs="宋体"/>
          <w:sz w:val="24"/>
          <w:szCs w:val="24"/>
          <w:highlight w:val="none"/>
          <w:u w:val="single"/>
        </w:rPr>
        <w:t></w:t>
      </w:r>
      <w:r>
        <w:rPr>
          <w:rFonts w:ascii="宋体" w:hAnsi="Courier New" w:cs="宋体"/>
          <w:sz w:val="24"/>
          <w:szCs w:val="24"/>
          <w:highlight w:val="none"/>
          <w:u w:val="single"/>
        </w:rPr>
        <w:t>月</w:t>
      </w:r>
      <w:r>
        <w:rPr>
          <w:rFonts w:hint="eastAsia" w:ascii="宋体" w:hAnsi="Courier New" w:cs="宋体"/>
          <w:sz w:val="24"/>
          <w:szCs w:val="24"/>
          <w:highlight w:val="none"/>
          <w:u w:val="single"/>
        </w:rPr>
        <w:t></w:t>
      </w:r>
      <w:r>
        <w:rPr>
          <w:rFonts w:ascii="宋体" w:hAnsi="Courier New" w:cs="宋体"/>
          <w:sz w:val="24"/>
          <w:szCs w:val="24"/>
          <w:highlight w:val="none"/>
          <w:u w:val="single"/>
        </w:rPr>
        <w:t>日</w:t>
      </w:r>
    </w:p>
    <w:p w14:paraId="0F0A543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计划竣工日期：</w:t>
      </w:r>
      <w:r>
        <w:rPr>
          <w:rFonts w:hint="eastAsia" w:ascii="宋体" w:hAnsi="Courier New" w:cs="宋体"/>
          <w:sz w:val="24"/>
          <w:szCs w:val="24"/>
          <w:highlight w:val="none"/>
          <w:u w:val="single"/>
        </w:rPr>
        <w:t></w:t>
      </w:r>
      <w:r>
        <w:rPr>
          <w:rFonts w:ascii="宋体" w:hAnsi="Courier New" w:cs="宋体"/>
          <w:sz w:val="24"/>
          <w:szCs w:val="24"/>
          <w:highlight w:val="none"/>
          <w:u w:val="single"/>
        </w:rPr>
        <w:t>年</w:t>
      </w:r>
      <w:r>
        <w:rPr>
          <w:rFonts w:hint="eastAsia" w:ascii="宋体" w:hAnsi="Courier New" w:cs="宋体"/>
          <w:sz w:val="24"/>
          <w:szCs w:val="24"/>
          <w:highlight w:val="none"/>
          <w:u w:val="single"/>
        </w:rPr>
        <w:t></w:t>
      </w:r>
      <w:r>
        <w:rPr>
          <w:rFonts w:ascii="宋体" w:hAnsi="Courier New" w:cs="宋体"/>
          <w:sz w:val="24"/>
          <w:szCs w:val="24"/>
          <w:highlight w:val="none"/>
          <w:u w:val="single"/>
        </w:rPr>
        <w:t>月</w:t>
      </w:r>
      <w:r>
        <w:rPr>
          <w:rFonts w:hint="eastAsia" w:ascii="宋体" w:hAnsi="Courier New" w:cs="宋体"/>
          <w:sz w:val="24"/>
          <w:szCs w:val="24"/>
          <w:highlight w:val="none"/>
          <w:u w:val="single"/>
        </w:rPr>
        <w:t></w:t>
      </w:r>
      <w:r>
        <w:rPr>
          <w:rFonts w:ascii="宋体" w:hAnsi="Courier New" w:cs="宋体"/>
          <w:sz w:val="24"/>
          <w:szCs w:val="24"/>
          <w:highlight w:val="none"/>
          <w:u w:val="single"/>
        </w:rPr>
        <w:t>日</w:t>
      </w:r>
    </w:p>
    <w:p w14:paraId="54C126C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工期总日历天数：</w:t>
      </w:r>
      <w:r>
        <w:rPr>
          <w:rFonts w:hint="eastAsia" w:ascii="宋体" w:hAnsi="Courier New" w:cs="宋体"/>
          <w:sz w:val="24"/>
          <w:szCs w:val="24"/>
          <w:highlight w:val="none"/>
          <w:u w:val="single"/>
        </w:rPr>
        <w:t></w:t>
      </w:r>
      <w:r>
        <w:rPr>
          <w:rFonts w:ascii="宋体" w:hAnsi="Courier New" w:cs="宋体"/>
          <w:sz w:val="24"/>
          <w:szCs w:val="24"/>
          <w:highlight w:val="none"/>
          <w:u w:val="single"/>
        </w:rPr>
        <w:t>天</w:t>
      </w:r>
    </w:p>
    <w:p w14:paraId="399ADF1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三、质量标准</w:t>
      </w:r>
    </w:p>
    <w:p w14:paraId="3B44661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工程质量</w:t>
      </w:r>
      <w:r>
        <w:rPr>
          <w:rFonts w:hint="eastAsia" w:ascii="宋体" w:hAnsi="Courier New" w:cs="宋体"/>
          <w:sz w:val="24"/>
          <w:szCs w:val="24"/>
          <w:highlight w:val="none"/>
          <w:u w:val="single"/>
        </w:rPr>
        <w:t></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w:t>
      </w:r>
    </w:p>
    <w:p w14:paraId="02F2120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四、签约合同价与合同价格形式</w:t>
      </w:r>
      <w:r>
        <w:rPr>
          <w:rFonts w:ascii="宋体" w:hAnsi="Courier New" w:cs="宋体"/>
          <w:bCs/>
          <w:sz w:val="24"/>
          <w:szCs w:val="24"/>
          <w:highlight w:val="none"/>
        </w:rPr>
        <w:tab/>
      </w:r>
    </w:p>
    <w:p w14:paraId="6063856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1.签约合同价为：</w:t>
      </w:r>
    </w:p>
    <w:p w14:paraId="4376F97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人民币（大写）(¥元)；</w:t>
      </w:r>
    </w:p>
    <w:p w14:paraId="4DE1820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其中：</w:t>
      </w:r>
    </w:p>
    <w:p w14:paraId="397151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（1）安全文明施工费：</w:t>
      </w:r>
    </w:p>
    <w:p w14:paraId="610DCE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01F610E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（2）材料和工程设备暂估价金额：</w:t>
      </w:r>
    </w:p>
    <w:p w14:paraId="38B041BF">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57F1A05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（3）专业工程暂估价金额：</w:t>
      </w:r>
    </w:p>
    <w:p w14:paraId="4DB8674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7A92F48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（4）暂列金额：</w:t>
      </w:r>
    </w:p>
    <w:p w14:paraId="25313B1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2C637EC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2.合同价格形式：。</w:t>
      </w:r>
    </w:p>
    <w:p w14:paraId="54AD0DA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五、项目经理</w:t>
      </w:r>
    </w:p>
    <w:p w14:paraId="614FD32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承包人项目经理：</w:t>
      </w:r>
      <w:r>
        <w:rPr>
          <w:rFonts w:hint="eastAsia" w:ascii="宋体" w:hAnsi="Courier New" w:cs="宋体"/>
          <w:sz w:val="24"/>
          <w:szCs w:val="24"/>
          <w:highlight w:val="none"/>
          <w:u w:val="single"/>
        </w:rPr>
        <w:t></w:t>
      </w:r>
      <w:r>
        <w:rPr>
          <w:rFonts w:ascii="宋体" w:hAnsi="Courier New" w:cs="宋体"/>
          <w:sz w:val="24"/>
          <w:szCs w:val="24"/>
          <w:highlight w:val="none"/>
          <w:u w:val="single"/>
        </w:rPr>
        <w:t>。</w:t>
      </w:r>
    </w:p>
    <w:p w14:paraId="799B095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六、合同文件构成</w:t>
      </w:r>
    </w:p>
    <w:p w14:paraId="6F9890E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本协议书与下列文件一起构成合同文件：</w:t>
      </w:r>
    </w:p>
    <w:p w14:paraId="37A2BDE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Courier New" w:cs="宋体" w:eastAsiaTheme="minorEastAsia"/>
          <w:sz w:val="24"/>
          <w:szCs w:val="24"/>
          <w:highlight w:val="none"/>
          <w:lang w:eastAsia="zh-CN"/>
        </w:rPr>
      </w:pPr>
      <w:r>
        <w:rPr>
          <w:rFonts w:hint="eastAsia" w:ascii="宋体" w:hAnsi="Courier New" w:cs="宋体"/>
          <w:sz w:val="24"/>
          <w:szCs w:val="24"/>
          <w:highlight w:val="none"/>
        </w:rPr>
        <w:t>（1）</w:t>
      </w:r>
      <w:r>
        <w:rPr>
          <w:rFonts w:hint="eastAsia" w:ascii="宋体" w:hAnsi="Courier New" w:cs="宋体"/>
          <w:sz w:val="24"/>
          <w:szCs w:val="24"/>
          <w:highlight w:val="none"/>
          <w:lang w:eastAsia="zh-CN"/>
        </w:rPr>
        <w:t>磋商文件</w:t>
      </w:r>
    </w:p>
    <w:p w14:paraId="0A41CA1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2</w:t>
      </w:r>
      <w:r>
        <w:rPr>
          <w:rFonts w:ascii="宋体" w:hAnsi="Courier New" w:cs="宋体"/>
          <w:sz w:val="24"/>
          <w:szCs w:val="24"/>
          <w:highlight w:val="none"/>
        </w:rPr>
        <w:t>）中标通知书；</w:t>
      </w:r>
    </w:p>
    <w:p w14:paraId="76AD0E0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3</w:t>
      </w:r>
      <w:r>
        <w:rPr>
          <w:rFonts w:ascii="宋体" w:hAnsi="Courier New" w:cs="宋体"/>
          <w:sz w:val="24"/>
          <w:szCs w:val="24"/>
          <w:highlight w:val="none"/>
        </w:rPr>
        <w:t>）</w:t>
      </w:r>
      <w:r>
        <w:rPr>
          <w:rFonts w:hint="eastAsia" w:ascii="宋体" w:hAnsi="Courier New" w:cs="宋体"/>
          <w:sz w:val="24"/>
          <w:szCs w:val="24"/>
          <w:highlight w:val="none"/>
        </w:rPr>
        <w:t>投标文件、</w:t>
      </w:r>
      <w:r>
        <w:rPr>
          <w:rFonts w:ascii="宋体" w:hAnsi="Courier New" w:cs="宋体"/>
          <w:sz w:val="24"/>
          <w:szCs w:val="24"/>
          <w:highlight w:val="none"/>
        </w:rPr>
        <w:t>投标函及其附录；</w:t>
      </w:r>
    </w:p>
    <w:p w14:paraId="35FEC05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4</w:t>
      </w:r>
      <w:r>
        <w:rPr>
          <w:rFonts w:ascii="宋体" w:hAnsi="Courier New" w:cs="宋体"/>
          <w:sz w:val="24"/>
          <w:szCs w:val="24"/>
          <w:highlight w:val="none"/>
        </w:rPr>
        <w:t>）专用合同条款及其附件；</w:t>
      </w:r>
    </w:p>
    <w:p w14:paraId="1167131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5</w:t>
      </w:r>
      <w:r>
        <w:rPr>
          <w:rFonts w:ascii="宋体" w:hAnsi="Courier New" w:cs="宋体"/>
          <w:sz w:val="24"/>
          <w:szCs w:val="24"/>
          <w:highlight w:val="none"/>
        </w:rPr>
        <w:t>）通用合同条款；</w:t>
      </w:r>
    </w:p>
    <w:p w14:paraId="7AC1ACB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6</w:t>
      </w:r>
      <w:r>
        <w:rPr>
          <w:rFonts w:ascii="宋体" w:hAnsi="Courier New" w:cs="宋体"/>
          <w:sz w:val="24"/>
          <w:szCs w:val="24"/>
          <w:highlight w:val="none"/>
        </w:rPr>
        <w:t>）技术标准和要求；</w:t>
      </w:r>
    </w:p>
    <w:p w14:paraId="5E95F42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7</w:t>
      </w:r>
      <w:r>
        <w:rPr>
          <w:rFonts w:ascii="宋体" w:hAnsi="Courier New" w:cs="宋体"/>
          <w:sz w:val="24"/>
          <w:szCs w:val="24"/>
          <w:highlight w:val="none"/>
        </w:rPr>
        <w:t>）图纸；</w:t>
      </w:r>
    </w:p>
    <w:p w14:paraId="35FEC8E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8</w:t>
      </w:r>
      <w:r>
        <w:rPr>
          <w:rFonts w:ascii="宋体" w:hAnsi="Courier New" w:cs="宋体"/>
          <w:sz w:val="24"/>
          <w:szCs w:val="24"/>
          <w:highlight w:val="none"/>
        </w:rPr>
        <w:t>）已标价工程量清单；</w:t>
      </w:r>
    </w:p>
    <w:p w14:paraId="238C39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9</w:t>
      </w:r>
      <w:r>
        <w:rPr>
          <w:rFonts w:ascii="宋体" w:hAnsi="Courier New" w:cs="宋体"/>
          <w:sz w:val="24"/>
          <w:szCs w:val="24"/>
          <w:highlight w:val="none"/>
        </w:rPr>
        <w:t>）其他合同文件。</w:t>
      </w:r>
    </w:p>
    <w:p w14:paraId="7666C95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在合同订立及履行过程中形成的与合同有关的文件均构成合同文件组成部分。</w:t>
      </w:r>
    </w:p>
    <w:p w14:paraId="1A04132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上述各项合同文件包括合同当事人就该项合同文件所作出的补充和修改，属于同一类内容的文件，应以最新签署的为准。</w:t>
      </w:r>
      <w:r>
        <w:rPr>
          <w:rFonts w:hint="eastAsia" w:ascii="宋体" w:hAnsi="Courier New" w:cs="宋体"/>
          <w:sz w:val="24"/>
          <w:szCs w:val="24"/>
          <w:highlight w:val="none"/>
        </w:rPr>
        <w:t>专用合同条款及其附件须经合同当事人签字或盖章。</w:t>
      </w:r>
    </w:p>
    <w:p w14:paraId="245898C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七、承诺</w:t>
      </w:r>
    </w:p>
    <w:p w14:paraId="4D38697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 承包人承诺按照法律规定及合同约定组织完成工程施工，确保工程质量和安全，不进行转包及违法分包，并在缺陷责任期及保修期内承担相应的工程维修责任。</w:t>
      </w:r>
    </w:p>
    <w:p w14:paraId="55CEE78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 xml:space="preserve"> 2. 发包人和承包人</w:t>
      </w:r>
      <w:r>
        <w:rPr>
          <w:rFonts w:hint="eastAsia" w:ascii="宋体" w:hAnsi="Courier New" w:cs="宋体"/>
          <w:sz w:val="24"/>
          <w:szCs w:val="24"/>
          <w:highlight w:val="none"/>
        </w:rPr>
        <w:t>是</w:t>
      </w:r>
      <w:r>
        <w:rPr>
          <w:rFonts w:ascii="宋体" w:hAnsi="Courier New" w:cs="宋体"/>
          <w:sz w:val="24"/>
          <w:szCs w:val="24"/>
          <w:highlight w:val="none"/>
        </w:rPr>
        <w:t>通过招投标形式签订合同的，双方理解并</w:t>
      </w:r>
      <w:r>
        <w:rPr>
          <w:rFonts w:hint="eastAsia" w:ascii="宋体" w:hAnsi="Courier New" w:cs="宋体"/>
          <w:sz w:val="24"/>
          <w:szCs w:val="24"/>
          <w:highlight w:val="none"/>
        </w:rPr>
        <w:t>承诺</w:t>
      </w:r>
      <w:r>
        <w:rPr>
          <w:rFonts w:ascii="宋体" w:hAnsi="Courier New" w:cs="宋体"/>
          <w:sz w:val="24"/>
          <w:szCs w:val="24"/>
          <w:highlight w:val="none"/>
        </w:rPr>
        <w:t>不再就同一工程另行签订与合同实质性内容相背离的协议。</w:t>
      </w:r>
    </w:p>
    <w:p w14:paraId="3225DBE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highlight w:val="none"/>
        </w:rPr>
      </w:pPr>
      <w:r>
        <w:rPr>
          <w:rFonts w:ascii="宋体" w:hAnsi="Courier New" w:cs="宋体"/>
          <w:b/>
          <w:sz w:val="24"/>
          <w:szCs w:val="24"/>
          <w:highlight w:val="none"/>
        </w:rPr>
        <w:t>八、词语含义</w:t>
      </w:r>
    </w:p>
    <w:p w14:paraId="040476B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本协议书中词语含义与第二部分通用合同条款中赋予的含义相同。</w:t>
      </w:r>
    </w:p>
    <w:p w14:paraId="3258659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九、签订时间</w:t>
      </w:r>
    </w:p>
    <w:p w14:paraId="2EFAE24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本合同于</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年</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月</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日签订。</w:t>
      </w:r>
    </w:p>
    <w:p w14:paraId="1A2A4844">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十、签订地点</w:t>
      </w:r>
    </w:p>
    <w:p w14:paraId="56E0D89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本合同在签订。</w:t>
      </w:r>
    </w:p>
    <w:p w14:paraId="7B78B7D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十一、补充协议</w:t>
      </w:r>
    </w:p>
    <w:p w14:paraId="2A0CEA9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b/>
          <w:sz w:val="24"/>
          <w:szCs w:val="24"/>
          <w:highlight w:val="none"/>
        </w:rPr>
      </w:pPr>
      <w:r>
        <w:rPr>
          <w:rFonts w:ascii="宋体" w:hAnsi="Courier New" w:cs="宋体"/>
          <w:sz w:val="24"/>
          <w:szCs w:val="24"/>
          <w:highlight w:val="none"/>
        </w:rPr>
        <w:t>合同未尽事宜，合同当事人另行签订补充协议</w:t>
      </w:r>
      <w:r>
        <w:rPr>
          <w:rFonts w:hint="eastAsia" w:ascii="宋体" w:hAnsi="Courier New" w:cs="宋体"/>
          <w:sz w:val="24"/>
          <w:szCs w:val="24"/>
          <w:highlight w:val="none"/>
        </w:rPr>
        <w:t>，</w:t>
      </w:r>
      <w:r>
        <w:rPr>
          <w:rFonts w:ascii="宋体" w:hAnsi="Courier New" w:cs="宋体"/>
          <w:sz w:val="24"/>
          <w:szCs w:val="24"/>
          <w:highlight w:val="none"/>
        </w:rPr>
        <w:t>补充协议是合同的组成部分。</w:t>
      </w:r>
    </w:p>
    <w:p w14:paraId="4F0B105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十二、合同生效</w:t>
      </w:r>
    </w:p>
    <w:p w14:paraId="6A7EDB9F">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本合同自</w:t>
      </w:r>
      <w:r>
        <w:rPr>
          <w:rFonts w:hint="eastAsia" w:ascii="宋体" w:hAnsi="Courier New" w:cs="宋体"/>
          <w:sz w:val="24"/>
          <w:szCs w:val="24"/>
          <w:highlight w:val="none"/>
          <w:u w:val="single"/>
        </w:rPr>
        <w:t>签订之日起</w:t>
      </w:r>
      <w:r>
        <w:rPr>
          <w:rFonts w:ascii="宋体" w:hAnsi="Courier New" w:cs="宋体"/>
          <w:sz w:val="24"/>
          <w:szCs w:val="24"/>
          <w:highlight w:val="none"/>
        </w:rPr>
        <w:t>生效。</w:t>
      </w:r>
    </w:p>
    <w:p w14:paraId="5002A24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十三、合同份数</w:t>
      </w:r>
    </w:p>
    <w:p w14:paraId="182725C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bCs/>
          <w:sz w:val="24"/>
          <w:szCs w:val="24"/>
          <w:highlight w:val="none"/>
        </w:rPr>
        <w:t>本合同一式份，均具有同等法律效力，发包人执份，承包人执份。</w:t>
      </w:r>
    </w:p>
    <w:p w14:paraId="130D581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p>
    <w:p w14:paraId="30D7D6D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发包人：  (公章)                      承包人：  (公章)</w:t>
      </w:r>
    </w:p>
    <w:p w14:paraId="20A6006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法定代表人或其委托代理人：</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法定代表人或其委托代理人：</w:t>
      </w:r>
    </w:p>
    <w:p w14:paraId="4D9B63F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（签字）</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（签字）</w:t>
      </w:r>
    </w:p>
    <w:p w14:paraId="1DE133B1">
      <w:pPr>
        <w:keepNext w:val="0"/>
        <w:keepLines w:val="0"/>
        <w:pageBreakBefore w:val="0"/>
        <w:widowControl/>
        <w:tabs>
          <w:tab w:val="left" w:pos="142"/>
          <w:tab w:val="left" w:pos="4410"/>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hint="eastAsia" w:ascii="宋体" w:hAnsi="宋体" w:cs="宋体"/>
          <w:kern w:val="1"/>
          <w:sz w:val="24"/>
          <w:szCs w:val="24"/>
          <w:highlight w:val="none"/>
        </w:rPr>
        <w:t>组织机构代码：</w:t>
      </w:r>
      <w:r>
        <w:rPr>
          <w:rFonts w:hint="eastAsia" w:ascii="宋体" w:hAnsi="Courier New" w:cs="宋体"/>
          <w:sz w:val="24"/>
          <w:szCs w:val="24"/>
          <w:highlight w:val="none"/>
          <w:u w:val="single"/>
        </w:rPr>
        <w:t xml:space="preserve">       </w:t>
      </w:r>
      <w:r>
        <w:rPr>
          <w:rFonts w:hint="eastAsia" w:ascii="宋体" w:hAnsi="Courier New" w:cs="宋体"/>
          <w:sz w:val="24"/>
          <w:szCs w:val="24"/>
          <w:highlight w:val="none"/>
          <w:u w:val="single"/>
          <w:lang w:val="en-US" w:eastAsia="zh-CN"/>
        </w:rPr>
        <w:t xml:space="preserve">         </w:t>
      </w:r>
      <w:r>
        <w:rPr>
          <w:rFonts w:hint="eastAsia" w:ascii="宋体" w:hAnsi="宋体" w:cs="宋体"/>
          <w:kern w:val="1"/>
          <w:sz w:val="24"/>
          <w:szCs w:val="24"/>
          <w:highlight w:val="none"/>
        </w:rPr>
        <w:t>组织机构代码</w:t>
      </w:r>
      <w:r>
        <w:rPr>
          <w:rFonts w:hint="eastAsia" w:ascii="宋体" w:hAnsi="Courier New" w:cs="宋体"/>
          <w:sz w:val="24"/>
          <w:szCs w:val="24"/>
          <w:highlight w:val="none"/>
          <w:u w:val="single"/>
        </w:rPr>
        <w:t xml:space="preserve">：                    </w:t>
      </w:r>
    </w:p>
    <w:p w14:paraId="793CBAC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地址</w:t>
      </w:r>
      <w:r>
        <w:rPr>
          <w:rFonts w:hint="eastAsia" w:ascii="宋体" w:hAnsi="宋体" w:cs="宋体"/>
          <w:kern w:val="1"/>
          <w:sz w:val="24"/>
          <w:szCs w:val="24"/>
          <w:highlight w:val="none"/>
          <w:lang w:eastAsia="zh-CN"/>
        </w:rPr>
        <w:t>：</w:t>
      </w:r>
      <w:r>
        <w:rPr>
          <w:rFonts w:hint="eastAsia" w:ascii="宋体" w:hAnsi="宋体" w:cs="宋体"/>
          <w:kern w:val="1"/>
          <w:sz w:val="24"/>
          <w:szCs w:val="24"/>
          <w:highlight w:val="none"/>
          <w:lang w:val="en-US" w:eastAsia="zh-CN"/>
        </w:rPr>
        <w:t xml:space="preserve"> </w:t>
      </w:r>
      <w:r>
        <w:rPr>
          <w:rFonts w:hint="eastAsia" w:ascii="宋体" w:hAnsi="宋体" w:cs="宋体"/>
          <w:kern w:val="1"/>
          <w:sz w:val="24"/>
          <w:szCs w:val="24"/>
          <w:highlight w:val="none"/>
          <w:u w:val="single"/>
          <w:lang w:val="en-US" w:eastAsia="zh-CN"/>
        </w:rPr>
        <w:t xml:space="preserve">                             </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地址：</w:t>
      </w:r>
      <w:r>
        <w:rPr>
          <w:rFonts w:hint="eastAsia" w:ascii="宋体" w:hAnsi="Courier New" w:cs="宋体"/>
          <w:sz w:val="24"/>
          <w:szCs w:val="24"/>
          <w:highlight w:val="none"/>
          <w:u w:val="single"/>
        </w:rPr>
        <w:t xml:space="preserve">                </w:t>
      </w:r>
    </w:p>
    <w:p w14:paraId="66E6CB3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宋体" w:cs="宋体"/>
          <w:kern w:val="1"/>
          <w:sz w:val="24"/>
          <w:szCs w:val="24"/>
          <w:highlight w:val="none"/>
        </w:rPr>
        <w:t>邮政编码：</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邮政编码：</w:t>
      </w:r>
      <w:r>
        <w:rPr>
          <w:rFonts w:hint="eastAsia" w:ascii="宋体" w:hAnsi="Courier New" w:cs="宋体"/>
          <w:sz w:val="24"/>
          <w:szCs w:val="24"/>
          <w:highlight w:val="none"/>
          <w:u w:val="single"/>
        </w:rPr>
        <w:t>            </w:t>
      </w:r>
    </w:p>
    <w:p w14:paraId="2BB3740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法定代表人：</w:t>
      </w:r>
      <w:r>
        <w:rPr>
          <w:rFonts w:hint="eastAsia" w:ascii="宋体" w:hAnsi="Courier New" w:cs="宋体"/>
          <w:sz w:val="24"/>
          <w:szCs w:val="24"/>
          <w:highlight w:val="none"/>
          <w:u w:val="single"/>
        </w:rPr>
        <w:t xml:space="preserve">                      </w:t>
      </w:r>
      <w:r>
        <w:rPr>
          <w:rFonts w:ascii="宋体" w:hAnsi="宋体" w:cs="宋体"/>
          <w:kern w:val="1"/>
          <w:sz w:val="24"/>
          <w:szCs w:val="24"/>
          <w:highlight w:val="none"/>
        </w:rPr>
        <w:t>法定代表人：</w:t>
      </w:r>
      <w:r>
        <w:rPr>
          <w:rFonts w:hint="eastAsia" w:ascii="宋体" w:hAnsi="Courier New" w:cs="宋体"/>
          <w:sz w:val="24"/>
          <w:szCs w:val="24"/>
          <w:highlight w:val="none"/>
          <w:u w:val="single"/>
        </w:rPr>
        <w:t xml:space="preserve">                    </w:t>
      </w:r>
    </w:p>
    <w:p w14:paraId="2E4E9C1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委托代理人：</w:t>
      </w:r>
      <w:r>
        <w:rPr>
          <w:rFonts w:hint="eastAsia" w:ascii="宋体" w:hAnsi="Courier New" w:cs="宋体"/>
          <w:sz w:val="24"/>
          <w:szCs w:val="24"/>
          <w:highlight w:val="none"/>
          <w:u w:val="single"/>
        </w:rPr>
        <w:t xml:space="preserve">                      </w:t>
      </w:r>
      <w:r>
        <w:rPr>
          <w:rFonts w:ascii="宋体" w:hAnsi="宋体" w:cs="宋体"/>
          <w:kern w:val="1"/>
          <w:sz w:val="24"/>
          <w:szCs w:val="24"/>
          <w:highlight w:val="none"/>
        </w:rPr>
        <w:t>委托代理人：</w:t>
      </w:r>
      <w:r>
        <w:rPr>
          <w:rFonts w:hint="eastAsia" w:ascii="宋体" w:hAnsi="Courier New" w:cs="宋体"/>
          <w:sz w:val="24"/>
          <w:szCs w:val="24"/>
          <w:highlight w:val="none"/>
          <w:u w:val="single"/>
        </w:rPr>
        <w:t xml:space="preserve">                    </w:t>
      </w:r>
    </w:p>
    <w:p w14:paraId="65E71E9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电话：</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电话：</w:t>
      </w:r>
      <w:r>
        <w:rPr>
          <w:rFonts w:hint="eastAsia" w:ascii="宋体" w:hAnsi="Courier New" w:cs="宋体"/>
          <w:sz w:val="24"/>
          <w:szCs w:val="24"/>
          <w:highlight w:val="none"/>
          <w:u w:val="single"/>
        </w:rPr>
        <w:t xml:space="preserve">            </w:t>
      </w:r>
    </w:p>
    <w:p w14:paraId="4E77217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传真：</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传真：</w:t>
      </w:r>
      <w:r>
        <w:rPr>
          <w:rFonts w:hint="eastAsia" w:ascii="宋体" w:hAnsi="Courier New" w:cs="宋体"/>
          <w:sz w:val="24"/>
          <w:szCs w:val="24"/>
          <w:highlight w:val="none"/>
          <w:u w:val="single"/>
        </w:rPr>
        <w:t xml:space="preserve">             </w:t>
      </w:r>
    </w:p>
    <w:p w14:paraId="64B72B4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宋体" w:cs="宋体"/>
          <w:kern w:val="1"/>
          <w:sz w:val="24"/>
          <w:szCs w:val="24"/>
          <w:highlight w:val="none"/>
        </w:rPr>
        <w:t>电子信箱：</w:t>
      </w:r>
      <w:r>
        <w:rPr>
          <w:rFonts w:hint="eastAsia" w:ascii="宋体" w:hAnsi="Courier New" w:cs="宋体"/>
          <w:sz w:val="24"/>
          <w:szCs w:val="24"/>
          <w:highlight w:val="none"/>
          <w:u w:val="single"/>
        </w:rPr>
        <w:t>            </w:t>
      </w:r>
      <w:r>
        <w:rPr>
          <w:rFonts w:ascii="宋体" w:hAnsi="宋体" w:cs="宋体"/>
          <w:kern w:val="1"/>
          <w:sz w:val="24"/>
          <w:szCs w:val="24"/>
          <w:highlight w:val="none"/>
        </w:rPr>
        <w:t>电子信箱：</w:t>
      </w:r>
      <w:r>
        <w:rPr>
          <w:rFonts w:hint="eastAsia" w:ascii="宋体" w:hAnsi="Courier New" w:cs="宋体"/>
          <w:sz w:val="24"/>
          <w:szCs w:val="24"/>
          <w:highlight w:val="none"/>
          <w:u w:val="single"/>
        </w:rPr>
        <w:t xml:space="preserve">          </w:t>
      </w:r>
    </w:p>
    <w:p w14:paraId="4C986F1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开户银行：</w:t>
      </w:r>
      <w:r>
        <w:rPr>
          <w:rFonts w:hint="eastAsia" w:ascii="宋体" w:hAnsi="Courier New" w:cs="宋体"/>
          <w:sz w:val="24"/>
          <w:szCs w:val="24"/>
          <w:highlight w:val="none"/>
          <w:u w:val="single"/>
        </w:rPr>
        <w:t>              </w:t>
      </w:r>
      <w:r>
        <w:rPr>
          <w:rFonts w:ascii="宋体" w:hAnsi="宋体" w:cs="宋体"/>
          <w:kern w:val="1"/>
          <w:sz w:val="24"/>
          <w:szCs w:val="24"/>
          <w:highlight w:val="none"/>
        </w:rPr>
        <w:t>开户银行：</w:t>
      </w:r>
      <w:r>
        <w:rPr>
          <w:rFonts w:hint="eastAsia" w:ascii="宋体" w:hAnsi="Courier New" w:cs="宋体"/>
          <w:sz w:val="24"/>
          <w:szCs w:val="24"/>
          <w:highlight w:val="none"/>
          <w:u w:val="single"/>
        </w:rPr>
        <w:t xml:space="preserve">         </w:t>
      </w:r>
    </w:p>
    <w:p w14:paraId="765B4A0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Courier New" w:cs="宋体"/>
          <w:sz w:val="24"/>
          <w:szCs w:val="24"/>
          <w:highlight w:val="none"/>
          <w:u w:val="single"/>
        </w:rPr>
      </w:pPr>
      <w:r>
        <w:rPr>
          <w:rFonts w:ascii="宋体" w:hAnsi="宋体" w:cs="宋体"/>
          <w:kern w:val="1"/>
          <w:sz w:val="24"/>
          <w:szCs w:val="24"/>
          <w:highlight w:val="none"/>
        </w:rPr>
        <w:t>账号：</w:t>
      </w:r>
      <w:r>
        <w:rPr>
          <w:rFonts w:hint="eastAsia" w:ascii="宋体" w:hAnsi="Courier New" w:cs="宋体"/>
          <w:sz w:val="24"/>
          <w:szCs w:val="24"/>
          <w:highlight w:val="none"/>
          <w:u w:val="single"/>
        </w:rPr>
        <w:t>                    </w:t>
      </w:r>
      <w:r>
        <w:rPr>
          <w:rFonts w:ascii="宋体" w:hAnsi="宋体" w:cs="宋体"/>
          <w:kern w:val="1"/>
          <w:sz w:val="24"/>
          <w:szCs w:val="24"/>
          <w:highlight w:val="none"/>
        </w:rPr>
        <w:t>账号：</w:t>
      </w:r>
      <w:r>
        <w:rPr>
          <w:rFonts w:hint="eastAsia" w:ascii="宋体" w:hAnsi="Courier New" w:cs="宋体"/>
          <w:sz w:val="24"/>
          <w:szCs w:val="24"/>
          <w:highlight w:val="none"/>
          <w:u w:val="single"/>
        </w:rPr>
        <w:t>              </w:t>
      </w:r>
    </w:p>
    <w:bookmarkEnd w:id="66"/>
    <w:p w14:paraId="616080AF">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045842F1">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4BD4AD6D">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1D8EB4A">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6ABE15A">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4D3C629">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B577B27">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0902F35">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2FF74B3">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4C306BDC">
      <w:pPr>
        <w:keepNext w:val="0"/>
        <w:keepLines w:val="0"/>
        <w:pageBreakBefore w:val="0"/>
        <w:widowControl/>
        <w:kinsoku/>
        <w:wordWrap w:val="0"/>
        <w:overflowPunct/>
        <w:topLinePunct w:val="0"/>
        <w:autoSpaceDE/>
        <w:autoSpaceDN/>
        <w:bidi w:val="0"/>
        <w:adjustRightInd/>
        <w:snapToGrid/>
        <w:spacing w:line="460" w:lineRule="exact"/>
        <w:jc w:val="both"/>
        <w:textAlignment w:val="auto"/>
        <w:outlineLvl w:val="9"/>
        <w:rPr>
          <w:rFonts w:hint="eastAsia" w:ascii="宋体" w:hAnsi="宋体"/>
          <w:b/>
          <w:sz w:val="24"/>
          <w:szCs w:val="24"/>
          <w:highlight w:val="none"/>
        </w:rPr>
      </w:pPr>
    </w:p>
    <w:p w14:paraId="030EE9A5">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1"/>
        <w:rPr>
          <w:rFonts w:ascii="宋体" w:hAnsi="宋体"/>
          <w:b/>
          <w:sz w:val="28"/>
          <w:szCs w:val="28"/>
          <w:highlight w:val="none"/>
        </w:rPr>
      </w:pPr>
      <w:r>
        <w:rPr>
          <w:rFonts w:hint="eastAsia" w:ascii="宋体" w:hAnsi="宋体"/>
          <w:b/>
          <w:sz w:val="28"/>
          <w:szCs w:val="28"/>
          <w:highlight w:val="none"/>
        </w:rPr>
        <w:t>第二部分</w:t>
      </w:r>
      <w:r>
        <w:rPr>
          <w:rFonts w:hint="eastAsia" w:ascii="宋体" w:hAnsi="宋体"/>
          <w:b/>
          <w:sz w:val="28"/>
          <w:szCs w:val="28"/>
          <w:highlight w:val="none"/>
          <w:lang w:val="en-US" w:eastAsia="zh-CN"/>
        </w:rPr>
        <w:t xml:space="preserve">  </w:t>
      </w:r>
      <w:r>
        <w:rPr>
          <w:rFonts w:hint="eastAsia" w:ascii="宋体" w:hAnsi="宋体"/>
          <w:b/>
          <w:sz w:val="28"/>
          <w:szCs w:val="28"/>
          <w:highlight w:val="none"/>
        </w:rPr>
        <w:t>通用合同条款</w:t>
      </w:r>
    </w:p>
    <w:p w14:paraId="1EE555D3">
      <w:pPr>
        <w:keepNext w:val="0"/>
        <w:keepLines w:val="0"/>
        <w:pageBreakBefore w:val="0"/>
        <w:widowControl/>
        <w:tabs>
          <w:tab w:val="left" w:pos="2580"/>
        </w:tabs>
        <w:kinsoku/>
        <w:wordWrap w:val="0"/>
        <w:overflowPunct/>
        <w:topLinePunct w:val="0"/>
        <w:autoSpaceDE/>
        <w:autoSpaceDN/>
        <w:bidi w:val="0"/>
        <w:adjustRightInd/>
        <w:snapToGrid/>
        <w:spacing w:line="460" w:lineRule="exact"/>
        <w:ind w:left="10" w:firstLine="482"/>
        <w:jc w:val="center"/>
        <w:textAlignment w:val="auto"/>
        <w:rPr>
          <w:rFonts w:ascii="宋体" w:hAnsi="宋体" w:cs="宋体"/>
          <w:b/>
          <w:kern w:val="1"/>
          <w:sz w:val="24"/>
          <w:szCs w:val="24"/>
          <w:highlight w:val="none"/>
        </w:rPr>
      </w:pPr>
      <w:r>
        <w:rPr>
          <w:rFonts w:ascii="宋体" w:hAnsi="宋体" w:cs="宋体"/>
          <w:b/>
          <w:kern w:val="1"/>
          <w:sz w:val="24"/>
          <w:szCs w:val="24"/>
          <w:highlight w:val="none"/>
        </w:rPr>
        <w:t>使用住房城乡建设部、工商总局建市[2013]56号文印发的</w:t>
      </w:r>
    </w:p>
    <w:p w14:paraId="49CB1D8C">
      <w:pPr>
        <w:keepNext w:val="0"/>
        <w:keepLines w:val="0"/>
        <w:pageBreakBefore w:val="0"/>
        <w:widowControl/>
        <w:kinsoku/>
        <w:wordWrap w:val="0"/>
        <w:overflowPunct/>
        <w:topLinePunct w:val="0"/>
        <w:autoSpaceDE/>
        <w:autoSpaceDN/>
        <w:bidi w:val="0"/>
        <w:adjustRightInd/>
        <w:snapToGrid/>
        <w:spacing w:line="460" w:lineRule="exact"/>
        <w:jc w:val="center"/>
        <w:textAlignment w:val="auto"/>
        <w:rPr>
          <w:rFonts w:ascii="宋体" w:hAnsi="宋体" w:cs="宋体"/>
          <w:sz w:val="24"/>
          <w:szCs w:val="24"/>
          <w:highlight w:val="none"/>
        </w:rPr>
      </w:pPr>
      <w:r>
        <w:rPr>
          <w:rFonts w:ascii="宋体" w:hAnsi="宋体" w:cs="宋体"/>
          <w:b/>
          <w:kern w:val="1"/>
          <w:sz w:val="24"/>
          <w:szCs w:val="24"/>
          <w:highlight w:val="none"/>
        </w:rPr>
        <w:t>《建设工程施工合同(示范文本)》（GF-2013-0201）通用合同条款。</w:t>
      </w:r>
    </w:p>
    <w:p w14:paraId="1EC218B1">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ascii="宋体" w:hAnsi="宋体"/>
          <w:b/>
          <w:sz w:val="24"/>
          <w:szCs w:val="24"/>
          <w:highlight w:val="none"/>
        </w:rPr>
      </w:pPr>
    </w:p>
    <w:p w14:paraId="7FD9847C">
      <w:pPr>
        <w:keepNext w:val="0"/>
        <w:keepLines w:val="0"/>
        <w:pageBreakBefore w:val="0"/>
        <w:widowControl/>
        <w:kinsoku/>
        <w:wordWrap w:val="0"/>
        <w:overflowPunct/>
        <w:topLinePunct w:val="0"/>
        <w:autoSpaceDE/>
        <w:autoSpaceDN/>
        <w:bidi w:val="0"/>
        <w:adjustRightInd/>
        <w:snapToGrid/>
        <w:spacing w:line="460" w:lineRule="exact"/>
        <w:textAlignment w:val="auto"/>
        <w:outlineLvl w:val="9"/>
        <w:rPr>
          <w:rFonts w:ascii="宋体" w:hAnsi="宋体"/>
          <w:b/>
          <w:sz w:val="24"/>
          <w:szCs w:val="24"/>
          <w:highlight w:val="none"/>
        </w:rPr>
      </w:pPr>
    </w:p>
    <w:p w14:paraId="49D76BA7">
      <w:pPr>
        <w:keepNext w:val="0"/>
        <w:keepLines w:val="0"/>
        <w:pageBreakBefore w:val="0"/>
        <w:widowControl/>
        <w:kinsoku/>
        <w:wordWrap w:val="0"/>
        <w:overflowPunct/>
        <w:topLinePunct w:val="0"/>
        <w:autoSpaceDE/>
        <w:autoSpaceDN/>
        <w:bidi w:val="0"/>
        <w:adjustRightInd/>
        <w:snapToGrid/>
        <w:spacing w:line="460" w:lineRule="exact"/>
        <w:textAlignment w:val="auto"/>
        <w:rPr>
          <w:sz w:val="24"/>
          <w:szCs w:val="24"/>
          <w:highlight w:val="none"/>
        </w:rPr>
      </w:pPr>
    </w:p>
    <w:p w14:paraId="5086B73C">
      <w:pPr>
        <w:keepNext w:val="0"/>
        <w:keepLines w:val="0"/>
        <w:pageBreakBefore w:val="0"/>
        <w:widowControl/>
        <w:kinsoku/>
        <w:wordWrap w:val="0"/>
        <w:overflowPunct/>
        <w:topLinePunct w:val="0"/>
        <w:autoSpaceDE/>
        <w:autoSpaceDN/>
        <w:bidi w:val="0"/>
        <w:adjustRightInd/>
        <w:snapToGrid/>
        <w:spacing w:line="460" w:lineRule="exact"/>
        <w:jc w:val="left"/>
        <w:textAlignment w:val="auto"/>
        <w:rPr>
          <w:rFonts w:ascii="宋体" w:hAnsi="宋体"/>
          <w:b/>
          <w:sz w:val="24"/>
          <w:szCs w:val="24"/>
          <w:highlight w:val="none"/>
        </w:rPr>
      </w:pPr>
      <w:r>
        <w:rPr>
          <w:rFonts w:ascii="宋体" w:hAnsi="宋体"/>
          <w:b/>
          <w:sz w:val="24"/>
          <w:szCs w:val="24"/>
          <w:highlight w:val="none"/>
        </w:rPr>
        <w:br w:type="page"/>
      </w:r>
    </w:p>
    <w:p w14:paraId="1B318F0C">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1"/>
        <w:rPr>
          <w:rFonts w:ascii="宋体" w:hAnsi="宋体"/>
          <w:b/>
          <w:sz w:val="28"/>
          <w:szCs w:val="28"/>
          <w:highlight w:val="none"/>
        </w:rPr>
      </w:pPr>
      <w:r>
        <w:rPr>
          <w:rFonts w:hint="eastAsia" w:ascii="宋体" w:hAnsi="宋体"/>
          <w:b/>
          <w:sz w:val="28"/>
          <w:szCs w:val="28"/>
          <w:highlight w:val="none"/>
        </w:rPr>
        <w:t>第三部分</w:t>
      </w:r>
      <w:r>
        <w:rPr>
          <w:rFonts w:hint="eastAsia" w:ascii="宋体" w:hAnsi="宋体"/>
          <w:b/>
          <w:sz w:val="28"/>
          <w:szCs w:val="28"/>
          <w:highlight w:val="none"/>
          <w:lang w:val="en-US" w:eastAsia="zh-CN"/>
        </w:rPr>
        <w:t xml:space="preserve">  </w:t>
      </w:r>
      <w:r>
        <w:rPr>
          <w:rFonts w:hint="eastAsia" w:ascii="宋体" w:hAnsi="宋体"/>
          <w:b/>
          <w:sz w:val="28"/>
          <w:szCs w:val="28"/>
          <w:highlight w:val="none"/>
        </w:rPr>
        <w:t>专用合同条款</w:t>
      </w:r>
    </w:p>
    <w:p w14:paraId="520CF06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67" w:name="_Toc351203633"/>
      <w:bookmarkEnd w:id="67"/>
      <w:r>
        <w:rPr>
          <w:rFonts w:ascii="宋体" w:hAnsi="Courier New" w:cs="宋体"/>
          <w:b/>
          <w:sz w:val="24"/>
          <w:szCs w:val="24"/>
          <w:highlight w:val="none"/>
        </w:rPr>
        <w:t>1</w:t>
      </w:r>
      <w:bookmarkStart w:id="68" w:name="_Toc296891196"/>
      <w:bookmarkEnd w:id="68"/>
      <w:bookmarkStart w:id="69" w:name="_Toc297120456"/>
      <w:bookmarkEnd w:id="69"/>
      <w:bookmarkStart w:id="70" w:name="_Toc292559361"/>
      <w:bookmarkEnd w:id="70"/>
      <w:bookmarkStart w:id="71" w:name="_Toc297048342"/>
      <w:bookmarkEnd w:id="71"/>
      <w:bookmarkStart w:id="72" w:name="_Toc296890984"/>
      <w:bookmarkEnd w:id="72"/>
      <w:bookmarkStart w:id="73" w:name="_Toc296503156"/>
      <w:bookmarkEnd w:id="73"/>
      <w:bookmarkStart w:id="74" w:name="_Toc296944495"/>
      <w:bookmarkEnd w:id="74"/>
      <w:bookmarkStart w:id="75" w:name="_Toc296346657"/>
      <w:bookmarkEnd w:id="75"/>
      <w:bookmarkStart w:id="76" w:name="_Toc296347155"/>
      <w:bookmarkEnd w:id="76"/>
      <w:bookmarkStart w:id="77" w:name="_Toc292559866"/>
      <w:bookmarkEnd w:id="77"/>
      <w:r>
        <w:rPr>
          <w:rFonts w:ascii="宋体" w:hAnsi="Courier New" w:cs="宋体"/>
          <w:b/>
          <w:sz w:val="24"/>
          <w:szCs w:val="24"/>
          <w:highlight w:val="none"/>
        </w:rPr>
        <w:t>. 一般约定</w:t>
      </w:r>
    </w:p>
    <w:p w14:paraId="075F1DF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 词语定义</w:t>
      </w:r>
    </w:p>
    <w:p w14:paraId="5837862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1.1.1合同</w:t>
      </w:r>
    </w:p>
    <w:p w14:paraId="78CD0B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1.1.1.10其他合同文件包括：</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磋商文件</w:t>
      </w:r>
      <w:r>
        <w:rPr>
          <w:rFonts w:hint="eastAsia" w:ascii="宋体" w:hAnsi="宋体" w:cs="宋体"/>
          <w:sz w:val="24"/>
          <w:szCs w:val="24"/>
          <w:highlight w:val="none"/>
          <w:u w:val="single"/>
        </w:rPr>
        <w:t>、中标通知书、投标文件、投标函及投标函附录、专用合同条款及其附件、通用合同条款、技术标准和要求、图纸、已标价工程量清单、其它合同文件</w:t>
      </w:r>
      <w:r>
        <w:rPr>
          <w:rFonts w:ascii="宋体" w:hAnsi="Courier New" w:cs="宋体"/>
          <w:sz w:val="24"/>
          <w:szCs w:val="24"/>
          <w:highlight w:val="none"/>
        </w:rPr>
        <w:t>。</w:t>
      </w:r>
    </w:p>
    <w:p w14:paraId="1020DB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 合同当事人及其他相关方</w:t>
      </w:r>
    </w:p>
    <w:p w14:paraId="05C515E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1.1.2.4监理人：</w:t>
      </w:r>
    </w:p>
    <w:p w14:paraId="0389C38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名称：</w:t>
      </w:r>
      <w:r>
        <w:rPr>
          <w:rFonts w:hint="eastAsia" w:ascii="宋体" w:hAnsi="宋体" w:cs="宋体"/>
          <w:sz w:val="24"/>
          <w:szCs w:val="24"/>
          <w:highlight w:val="none"/>
          <w:u w:val="single"/>
        </w:rPr>
        <w:t></w:t>
      </w:r>
      <w:r>
        <w:rPr>
          <w:rFonts w:ascii="宋体" w:hAnsi="Courier New" w:cs="宋体"/>
          <w:sz w:val="24"/>
          <w:szCs w:val="24"/>
          <w:highlight w:val="none"/>
        </w:rPr>
        <w:t>；</w:t>
      </w:r>
    </w:p>
    <w:p w14:paraId="4ACBD09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资质类别和等级：</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1ABFFA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ED0030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1A1BB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3FABC1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1.1.2.5 设计人：</w:t>
      </w:r>
    </w:p>
    <w:p w14:paraId="441D152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名称：</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1D5F9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资质类别和等级：</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7A76B8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7CAD80D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0B5F68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3C454E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 工程和设备</w:t>
      </w:r>
    </w:p>
    <w:p w14:paraId="3AFB608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1.1.3.7 作为施工现场组成部分的其他场所包括：</w:t>
      </w:r>
      <w:r>
        <w:rPr>
          <w:rFonts w:hint="eastAsia" w:ascii="宋体" w:hAnsi="宋体" w:cs="宋体"/>
          <w:sz w:val="24"/>
          <w:szCs w:val="24"/>
          <w:highlight w:val="none"/>
          <w:u w:val="single"/>
        </w:rPr>
        <w:t xml:space="preserve"> /   </w:t>
      </w:r>
      <w:r>
        <w:rPr>
          <w:rFonts w:ascii="宋体" w:hAnsi="Courier New" w:cs="宋体"/>
          <w:sz w:val="24"/>
          <w:szCs w:val="24"/>
          <w:highlight w:val="none"/>
        </w:rPr>
        <w:t>。</w:t>
      </w:r>
    </w:p>
    <w:p w14:paraId="535E66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1.1.3.9 永久占地包括：</w:t>
      </w:r>
      <w:r>
        <w:rPr>
          <w:rFonts w:hint="eastAsia" w:ascii="宋体" w:hAnsi="宋体" w:cs="宋体"/>
          <w:sz w:val="24"/>
          <w:szCs w:val="24"/>
          <w:highlight w:val="none"/>
          <w:u w:val="single"/>
        </w:rPr>
        <w:t></w:t>
      </w:r>
      <w:r>
        <w:rPr>
          <w:rFonts w:ascii="宋体" w:hAnsi="Courier New" w:cs="宋体"/>
          <w:sz w:val="24"/>
          <w:szCs w:val="24"/>
          <w:highlight w:val="none"/>
        </w:rPr>
        <w:t>。</w:t>
      </w:r>
    </w:p>
    <w:p w14:paraId="5BEC3C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1.1.3.10 临时占地包括：</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EBCCB1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1.3法律</w:t>
      </w:r>
    </w:p>
    <w:p w14:paraId="62697D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适用于合同的其他规范性文件：</w:t>
      </w:r>
      <w:r>
        <w:rPr>
          <w:rFonts w:hint="eastAsia" w:ascii="宋体" w:hAnsi="Courier New" w:cs="宋体"/>
          <w:sz w:val="24"/>
          <w:szCs w:val="24"/>
          <w:highlight w:val="none"/>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sz w:val="24"/>
          <w:szCs w:val="24"/>
          <w:highlight w:val="none"/>
        </w:rPr>
        <w:t>。</w:t>
      </w:r>
    </w:p>
    <w:p w14:paraId="24B69E4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 标准和规范</w:t>
      </w:r>
    </w:p>
    <w:p w14:paraId="76B010B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1.4.1适用于工程的标准规范包括：</w:t>
      </w:r>
      <w:r>
        <w:rPr>
          <w:rFonts w:hint="eastAsia" w:ascii="宋体" w:hAnsi="Courier New" w:cs="宋体"/>
          <w:sz w:val="24"/>
          <w:szCs w:val="24"/>
          <w:highlight w:val="none"/>
          <w:u w:val="single"/>
        </w:rPr>
        <w:t>《建设工程工程量清单计价规范》（GB50500-2013）、《建筑工程施工质量验收统一标准》及现行标准、规范等</w:t>
      </w:r>
      <w:r>
        <w:rPr>
          <w:rFonts w:ascii="宋体" w:hAnsi="Courier New" w:cs="宋体"/>
          <w:sz w:val="24"/>
          <w:szCs w:val="24"/>
          <w:highlight w:val="none"/>
        </w:rPr>
        <w:t>。</w:t>
      </w:r>
    </w:p>
    <w:p w14:paraId="195F679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1.4.2 发包人提供国外标准、规范的名称：</w:t>
      </w:r>
    </w:p>
    <w:p w14:paraId="27011E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178FBA7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发包人提供国外标准、规范的份数：</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626E10A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发包人提供国外标准、规范的名称：</w:t>
      </w:r>
      <w:r>
        <w:rPr>
          <w:rFonts w:hint="eastAsia" w:ascii="宋体" w:hAnsi="Courier New" w:cs="宋体"/>
          <w:sz w:val="24"/>
          <w:szCs w:val="24"/>
          <w:highlight w:val="none"/>
          <w:u w:val="single"/>
        </w:rPr>
        <w:t>/</w:t>
      </w:r>
      <w:r>
        <w:rPr>
          <w:rFonts w:ascii="宋体" w:hAnsi="Courier New" w:cs="宋体"/>
          <w:sz w:val="24"/>
          <w:szCs w:val="24"/>
          <w:highlight w:val="none"/>
        </w:rPr>
        <w:t>。</w:t>
      </w:r>
    </w:p>
    <w:p w14:paraId="61A77C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1.4.3发包人对工程的技术标准和功能要求的特殊要求：</w:t>
      </w:r>
      <w:r>
        <w:rPr>
          <w:rFonts w:hint="eastAsia" w:ascii="宋体" w:hAnsi="宋体" w:cs="宋体"/>
          <w:sz w:val="24"/>
          <w:szCs w:val="24"/>
          <w:highlight w:val="none"/>
          <w:u w:val="single"/>
        </w:rPr>
        <w:t>/</w:t>
      </w:r>
      <w:r>
        <w:rPr>
          <w:rFonts w:ascii="宋体" w:hAnsi="Courier New" w:cs="宋体"/>
          <w:sz w:val="24"/>
          <w:szCs w:val="24"/>
          <w:highlight w:val="none"/>
        </w:rPr>
        <w:t>。</w:t>
      </w:r>
    </w:p>
    <w:p w14:paraId="0A69AA4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1.5 合同文件的优先顺序</w:t>
      </w:r>
    </w:p>
    <w:p w14:paraId="736D6FF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合同文件组成及优先顺序为：</w:t>
      </w:r>
      <w:r>
        <w:rPr>
          <w:rFonts w:hint="eastAsia" w:ascii="宋体" w:hAnsi="Courier New" w:cs="宋体"/>
          <w:sz w:val="24"/>
          <w:szCs w:val="24"/>
          <w:highlight w:val="none"/>
          <w:u w:val="single"/>
        </w:rPr>
        <w:t>（1）</w:t>
      </w:r>
      <w:r>
        <w:rPr>
          <w:rFonts w:hint="eastAsia" w:ascii="宋体" w:hAnsi="Courier New" w:cs="宋体"/>
          <w:sz w:val="24"/>
          <w:szCs w:val="24"/>
          <w:highlight w:val="none"/>
          <w:u w:val="single"/>
          <w:lang w:eastAsia="zh-CN"/>
        </w:rPr>
        <w:t>磋商文件</w:t>
      </w:r>
      <w:r>
        <w:rPr>
          <w:rFonts w:hint="eastAsia" w:ascii="宋体" w:hAnsi="Courier New" w:cs="宋体"/>
          <w:sz w:val="24"/>
          <w:szCs w:val="24"/>
          <w:highlight w:val="none"/>
          <w:u w:val="single"/>
        </w:rPr>
        <w:t>；</w:t>
      </w:r>
      <w:r>
        <w:rPr>
          <w:rFonts w:ascii="宋体" w:hAnsi="Courier New" w:cs="宋体"/>
          <w:sz w:val="24"/>
          <w:szCs w:val="24"/>
          <w:highlight w:val="none"/>
          <w:u w:val="single"/>
        </w:rPr>
        <w:t>（</w:t>
      </w:r>
      <w:r>
        <w:rPr>
          <w:rFonts w:hint="eastAsia" w:ascii="宋体" w:hAnsi="Courier New" w:cs="宋体"/>
          <w:sz w:val="24"/>
          <w:szCs w:val="24"/>
          <w:highlight w:val="none"/>
          <w:u w:val="single"/>
        </w:rPr>
        <w:t>2</w:t>
      </w:r>
      <w:r>
        <w:rPr>
          <w:rFonts w:ascii="宋体" w:hAnsi="Courier New" w:cs="宋体"/>
          <w:sz w:val="24"/>
          <w:szCs w:val="24"/>
          <w:highlight w:val="none"/>
          <w:u w:val="single"/>
        </w:rPr>
        <w:t>）中标通知书（如果有）；（</w:t>
      </w:r>
      <w:r>
        <w:rPr>
          <w:rFonts w:hint="eastAsia" w:ascii="宋体" w:hAnsi="Courier New" w:cs="宋体"/>
          <w:sz w:val="24"/>
          <w:szCs w:val="24"/>
          <w:highlight w:val="none"/>
          <w:u w:val="single"/>
        </w:rPr>
        <w:t>3</w:t>
      </w:r>
      <w:r>
        <w:rPr>
          <w:rFonts w:ascii="宋体" w:hAnsi="Courier New" w:cs="宋体"/>
          <w:sz w:val="24"/>
          <w:szCs w:val="24"/>
          <w:highlight w:val="none"/>
          <w:u w:val="single"/>
        </w:rPr>
        <w:t>）投标函及其附录（如果有）；（</w:t>
      </w:r>
      <w:r>
        <w:rPr>
          <w:rFonts w:hint="eastAsia" w:ascii="宋体" w:hAnsi="Courier New" w:cs="宋体"/>
          <w:sz w:val="24"/>
          <w:szCs w:val="24"/>
          <w:highlight w:val="none"/>
          <w:u w:val="single"/>
        </w:rPr>
        <w:t>4</w:t>
      </w:r>
      <w:r>
        <w:rPr>
          <w:rFonts w:ascii="宋体" w:hAnsi="Courier New" w:cs="宋体"/>
          <w:sz w:val="24"/>
          <w:szCs w:val="24"/>
          <w:highlight w:val="none"/>
          <w:u w:val="single"/>
        </w:rPr>
        <w:t>）专用合同条款及其附件；（</w:t>
      </w:r>
      <w:r>
        <w:rPr>
          <w:rFonts w:hint="eastAsia" w:ascii="宋体" w:hAnsi="Courier New" w:cs="宋体"/>
          <w:sz w:val="24"/>
          <w:szCs w:val="24"/>
          <w:highlight w:val="none"/>
          <w:u w:val="single"/>
        </w:rPr>
        <w:t>5</w:t>
      </w:r>
      <w:r>
        <w:rPr>
          <w:rFonts w:ascii="宋体" w:hAnsi="Courier New" w:cs="宋体"/>
          <w:sz w:val="24"/>
          <w:szCs w:val="24"/>
          <w:highlight w:val="none"/>
          <w:u w:val="single"/>
        </w:rPr>
        <w:t>）通用合同条款；（</w:t>
      </w:r>
      <w:r>
        <w:rPr>
          <w:rFonts w:hint="eastAsia" w:ascii="宋体" w:hAnsi="Courier New" w:cs="宋体"/>
          <w:sz w:val="24"/>
          <w:szCs w:val="24"/>
          <w:highlight w:val="none"/>
          <w:u w:val="single"/>
        </w:rPr>
        <w:t>6</w:t>
      </w:r>
      <w:r>
        <w:rPr>
          <w:rFonts w:ascii="宋体" w:hAnsi="Courier New" w:cs="宋体"/>
          <w:sz w:val="24"/>
          <w:szCs w:val="24"/>
          <w:highlight w:val="none"/>
          <w:u w:val="single"/>
        </w:rPr>
        <w:t>）技术标准和要求；（</w:t>
      </w:r>
      <w:r>
        <w:rPr>
          <w:rFonts w:hint="eastAsia" w:ascii="宋体" w:hAnsi="Courier New" w:cs="宋体"/>
          <w:sz w:val="24"/>
          <w:szCs w:val="24"/>
          <w:highlight w:val="none"/>
          <w:u w:val="single"/>
        </w:rPr>
        <w:t>7</w:t>
      </w:r>
      <w:r>
        <w:rPr>
          <w:rFonts w:ascii="宋体" w:hAnsi="Courier New" w:cs="宋体"/>
          <w:sz w:val="24"/>
          <w:szCs w:val="24"/>
          <w:highlight w:val="none"/>
          <w:u w:val="single"/>
        </w:rPr>
        <w:t>）图纸；（</w:t>
      </w:r>
      <w:r>
        <w:rPr>
          <w:rFonts w:hint="eastAsia" w:ascii="宋体" w:hAnsi="Courier New" w:cs="宋体"/>
          <w:sz w:val="24"/>
          <w:szCs w:val="24"/>
          <w:highlight w:val="none"/>
          <w:u w:val="single"/>
        </w:rPr>
        <w:t>8</w:t>
      </w:r>
      <w:r>
        <w:rPr>
          <w:rFonts w:ascii="宋体" w:hAnsi="Courier New" w:cs="宋体"/>
          <w:sz w:val="24"/>
          <w:szCs w:val="24"/>
          <w:highlight w:val="none"/>
          <w:u w:val="single"/>
        </w:rPr>
        <w:t>）已标价工程量清单；（</w:t>
      </w:r>
      <w:r>
        <w:rPr>
          <w:rFonts w:hint="eastAsia" w:ascii="宋体" w:hAnsi="Courier New" w:cs="宋体"/>
          <w:sz w:val="24"/>
          <w:szCs w:val="24"/>
          <w:highlight w:val="none"/>
          <w:u w:val="single"/>
        </w:rPr>
        <w:t>9</w:t>
      </w:r>
      <w:r>
        <w:rPr>
          <w:rFonts w:ascii="宋体" w:hAnsi="Courier New" w:cs="宋体"/>
          <w:sz w:val="24"/>
          <w:szCs w:val="24"/>
          <w:highlight w:val="none"/>
          <w:u w:val="single"/>
        </w:rPr>
        <w:t>）其他合同文件</w:t>
      </w:r>
      <w:r>
        <w:rPr>
          <w:rFonts w:ascii="宋体" w:hAnsi="Courier New" w:cs="宋体"/>
          <w:sz w:val="24"/>
          <w:szCs w:val="24"/>
          <w:highlight w:val="none"/>
        </w:rPr>
        <w:t>。</w:t>
      </w:r>
    </w:p>
    <w:p w14:paraId="3DF83AE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 图纸和承包人文件</w:t>
      </w:r>
      <w:r>
        <w:rPr>
          <w:rFonts w:ascii="宋体" w:hAnsi="Courier New" w:cs="宋体"/>
          <w:b/>
          <w:sz w:val="24"/>
          <w:szCs w:val="24"/>
          <w:highlight w:val="none"/>
        </w:rPr>
        <w:tab/>
      </w:r>
    </w:p>
    <w:p w14:paraId="4EE2BBA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 图纸的提供</w:t>
      </w:r>
    </w:p>
    <w:p w14:paraId="6073040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发包人向承包人提供图纸的期限：</w:t>
      </w:r>
      <w:r>
        <w:rPr>
          <w:rFonts w:hint="eastAsia" w:ascii="宋体" w:hAnsi="宋体" w:cs="宋体"/>
          <w:sz w:val="24"/>
          <w:szCs w:val="24"/>
          <w:highlight w:val="none"/>
          <w:u w:val="single"/>
        </w:rPr>
        <w:t>进场三天内</w:t>
      </w:r>
      <w:r>
        <w:rPr>
          <w:rFonts w:ascii="宋体" w:hAnsi="宋体" w:cs="宋体"/>
          <w:sz w:val="24"/>
          <w:szCs w:val="24"/>
          <w:highlight w:val="none"/>
          <w:u w:val="single"/>
        </w:rPr>
        <w:t>；</w:t>
      </w:r>
    </w:p>
    <w:p w14:paraId="13C4033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发包人向承包人提供图纸的数量：</w:t>
      </w:r>
      <w:r>
        <w:rPr>
          <w:rFonts w:hint="eastAsia" w:ascii="宋体" w:hAnsi="宋体" w:cs="宋体"/>
          <w:sz w:val="24"/>
          <w:szCs w:val="24"/>
          <w:highlight w:val="none"/>
          <w:u w:val="single"/>
        </w:rPr>
        <w:t>1份</w:t>
      </w:r>
      <w:r>
        <w:rPr>
          <w:rFonts w:ascii="宋体" w:hAnsi="宋体" w:cs="宋体"/>
          <w:sz w:val="24"/>
          <w:szCs w:val="24"/>
          <w:highlight w:val="none"/>
          <w:u w:val="single"/>
        </w:rPr>
        <w:t>；</w:t>
      </w:r>
    </w:p>
    <w:p w14:paraId="6BBBB9F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发包人向承包人提供图纸的内容：</w:t>
      </w:r>
      <w:r>
        <w:rPr>
          <w:rFonts w:hint="eastAsia" w:ascii="宋体" w:hAnsi="宋体" w:cs="宋体"/>
          <w:sz w:val="24"/>
          <w:szCs w:val="24"/>
          <w:highlight w:val="none"/>
          <w:u w:val="single"/>
        </w:rPr>
        <w:t>施工图设计</w:t>
      </w:r>
      <w:r>
        <w:rPr>
          <w:rFonts w:ascii="宋体" w:hAnsi="Courier New" w:cs="宋体"/>
          <w:sz w:val="24"/>
          <w:szCs w:val="24"/>
          <w:highlight w:val="none"/>
          <w:u w:val="single"/>
        </w:rPr>
        <w:t>。</w:t>
      </w:r>
    </w:p>
    <w:p w14:paraId="1243E6D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1.6.4 承包人文件</w:t>
      </w:r>
    </w:p>
    <w:p w14:paraId="30D91CA0">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Courier New" w:cs="宋体"/>
          <w:sz w:val="24"/>
          <w:szCs w:val="24"/>
          <w:highlight w:val="none"/>
          <w:u w:val="single"/>
        </w:rPr>
      </w:pPr>
      <w:r>
        <w:rPr>
          <w:rFonts w:ascii="宋体" w:hAnsi="Courier New" w:cs="宋体"/>
          <w:sz w:val="24"/>
          <w:szCs w:val="24"/>
          <w:highlight w:val="none"/>
        </w:rPr>
        <w:t>需要由承包人提供的文件，包括：</w:t>
      </w:r>
      <w:r>
        <w:rPr>
          <w:rFonts w:hint="eastAsia" w:ascii="宋体" w:hAnsi="宋体" w:cs="宋体"/>
          <w:sz w:val="24"/>
          <w:szCs w:val="24"/>
          <w:highlight w:val="none"/>
          <w:u w:val="single"/>
        </w:rPr>
        <w:t></w:t>
      </w:r>
      <w:r>
        <w:rPr>
          <w:rFonts w:ascii="宋体" w:hAnsi="宋体" w:cs="宋体"/>
          <w:sz w:val="24"/>
          <w:szCs w:val="24"/>
          <w:highlight w:val="none"/>
          <w:u w:val="single"/>
        </w:rPr>
        <w:t>施工组织设计</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16E6232D">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宋体" w:cs="宋体"/>
          <w:sz w:val="24"/>
          <w:szCs w:val="24"/>
          <w:highlight w:val="none"/>
          <w:u w:val="single"/>
        </w:rPr>
      </w:pPr>
      <w:r>
        <w:rPr>
          <w:rFonts w:ascii="宋体" w:hAnsi="Courier New" w:cs="宋体"/>
          <w:sz w:val="24"/>
          <w:szCs w:val="24"/>
          <w:highlight w:val="none"/>
        </w:rPr>
        <w:t>承包人提供的文件的期限为：</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86F7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承包人提供的文件的数量为：</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30E4C8D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承包人提供的文件的形式为：</w:t>
      </w:r>
      <w:r>
        <w:rPr>
          <w:rFonts w:hint="eastAsia" w:ascii="宋体" w:hAnsi="宋体" w:cs="宋体"/>
          <w:sz w:val="24"/>
          <w:szCs w:val="24"/>
          <w:highlight w:val="none"/>
          <w:u w:val="single"/>
        </w:rPr>
        <w:t>书面形式</w:t>
      </w:r>
      <w:r>
        <w:rPr>
          <w:rFonts w:ascii="宋体" w:hAnsi="Courier New" w:cs="宋体"/>
          <w:sz w:val="24"/>
          <w:szCs w:val="24"/>
          <w:highlight w:val="none"/>
          <w:u w:val="single"/>
        </w:rPr>
        <w:t>；</w:t>
      </w:r>
    </w:p>
    <w:p w14:paraId="67FC33D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w:t>
      </w:r>
      <w:r>
        <w:rPr>
          <w:rFonts w:hint="eastAsia" w:ascii="宋体" w:hAnsi="Courier New" w:cs="宋体"/>
          <w:sz w:val="24"/>
          <w:szCs w:val="24"/>
          <w:highlight w:val="none"/>
        </w:rPr>
        <w:t>审批</w:t>
      </w:r>
      <w:r>
        <w:rPr>
          <w:rFonts w:ascii="宋体" w:hAnsi="Courier New" w:cs="宋体"/>
          <w:sz w:val="24"/>
          <w:szCs w:val="24"/>
          <w:highlight w:val="none"/>
        </w:rPr>
        <w:t>承包人文件的期限：</w:t>
      </w:r>
      <w:r>
        <w:rPr>
          <w:rFonts w:hint="eastAsia" w:ascii="宋体" w:hAnsi="宋体" w:cs="宋体"/>
          <w:sz w:val="24"/>
          <w:szCs w:val="24"/>
          <w:highlight w:val="none"/>
          <w:u w:val="single"/>
        </w:rPr>
        <w:t>执行通用条款</w:t>
      </w:r>
      <w:r>
        <w:rPr>
          <w:rFonts w:ascii="宋体" w:hAnsi="Courier New" w:cs="宋体"/>
          <w:sz w:val="24"/>
          <w:szCs w:val="24"/>
          <w:highlight w:val="none"/>
          <w:u w:val="single"/>
        </w:rPr>
        <w:t>。</w:t>
      </w:r>
    </w:p>
    <w:p w14:paraId="0519F01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1.6.5 现场图纸准备</w:t>
      </w:r>
    </w:p>
    <w:p w14:paraId="745850F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关于现场图纸准备的约定：</w:t>
      </w:r>
      <w:r>
        <w:rPr>
          <w:rFonts w:hint="eastAsia" w:ascii="宋体" w:hAnsi="宋体" w:cs="宋体"/>
          <w:sz w:val="24"/>
          <w:szCs w:val="24"/>
          <w:highlight w:val="none"/>
          <w:u w:val="single"/>
        </w:rPr>
        <w:t>执行通用条款</w:t>
      </w:r>
      <w:r>
        <w:rPr>
          <w:rFonts w:ascii="宋体" w:hAnsi="Courier New" w:cs="宋体"/>
          <w:sz w:val="24"/>
          <w:szCs w:val="24"/>
          <w:highlight w:val="none"/>
          <w:u w:val="single"/>
        </w:rPr>
        <w:t>。</w:t>
      </w:r>
    </w:p>
    <w:p w14:paraId="49953FD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1.7 联络</w:t>
      </w:r>
    </w:p>
    <w:p w14:paraId="2DC33CD7">
      <w:pPr>
        <w:keepNext w:val="0"/>
        <w:keepLines w:val="0"/>
        <w:pageBreakBefore w:val="0"/>
        <w:widowControl/>
        <w:kinsoku/>
        <w:wordWrap w:val="0"/>
        <w:overflowPunct/>
        <w:topLinePunct w:val="0"/>
        <w:autoSpaceDE/>
        <w:autoSpaceDN/>
        <w:bidi w:val="0"/>
        <w:adjustRightInd/>
        <w:snapToGrid/>
        <w:spacing w:line="460" w:lineRule="exact"/>
        <w:ind w:left="420"/>
        <w:jc w:val="left"/>
        <w:textAlignment w:val="auto"/>
        <w:rPr>
          <w:rFonts w:ascii="宋体" w:hAnsi="Courier New" w:cs="宋体"/>
          <w:sz w:val="24"/>
          <w:szCs w:val="24"/>
          <w:highlight w:val="none"/>
        </w:rPr>
      </w:pPr>
      <w:r>
        <w:rPr>
          <w:rFonts w:ascii="宋体" w:hAnsi="Courier New" w:cs="宋体"/>
          <w:sz w:val="24"/>
          <w:szCs w:val="24"/>
          <w:highlight w:val="none"/>
        </w:rPr>
        <w:t>1.7.1发包人和承包人应当在</w:t>
      </w:r>
      <w:r>
        <w:rPr>
          <w:rFonts w:hint="eastAsia" w:ascii="宋体" w:hAnsi="宋体" w:cs="宋体"/>
          <w:sz w:val="24"/>
          <w:szCs w:val="24"/>
          <w:highlight w:val="none"/>
          <w:u w:val="single"/>
        </w:rPr>
        <w:t></w:t>
      </w:r>
      <w:r>
        <w:rPr>
          <w:rFonts w:ascii="宋体" w:hAnsi="宋体" w:cs="宋体"/>
          <w:sz w:val="24"/>
          <w:szCs w:val="24"/>
          <w:highlight w:val="none"/>
          <w:u w:val="single"/>
        </w:rPr>
        <w:t>7</w:t>
      </w:r>
      <w:r>
        <w:rPr>
          <w:rFonts w:ascii="宋体" w:hAnsi="Courier New" w:cs="宋体"/>
          <w:sz w:val="24"/>
          <w:szCs w:val="24"/>
          <w:highlight w:val="none"/>
        </w:rPr>
        <w:t>天内将与合同有关的通知、批准、证明、证书、指示、指令、要求、请求、同意、意见、确定和决定等书面函件送达对方当事人。</w:t>
      </w:r>
    </w:p>
    <w:p w14:paraId="6011867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1.7.2 发包人接收文件的地点：</w:t>
      </w:r>
      <w:r>
        <w:rPr>
          <w:rFonts w:hint="eastAsia" w:ascii="宋体" w:hAnsi="宋体" w:cs="宋体"/>
          <w:sz w:val="24"/>
          <w:szCs w:val="24"/>
          <w:highlight w:val="none"/>
          <w:u w:val="single"/>
        </w:rPr>
        <w:t>业主办公室</w:t>
      </w:r>
      <w:r>
        <w:rPr>
          <w:rFonts w:ascii="宋体" w:hAnsi="Courier New" w:cs="宋体"/>
          <w:sz w:val="24"/>
          <w:szCs w:val="24"/>
          <w:highlight w:val="none"/>
          <w:u w:val="single"/>
        </w:rPr>
        <w:t>；</w:t>
      </w:r>
    </w:p>
    <w:p w14:paraId="2A52A3C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发包人指定的接收人为：</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C6469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承包人接收文件的地点：</w:t>
      </w:r>
      <w:r>
        <w:rPr>
          <w:rFonts w:hint="eastAsia" w:ascii="宋体" w:hAnsi="宋体" w:cs="宋体"/>
          <w:sz w:val="24"/>
          <w:szCs w:val="24"/>
          <w:highlight w:val="none"/>
          <w:u w:val="single"/>
        </w:rPr>
        <w:t>项目经理办公室</w:t>
      </w:r>
      <w:r>
        <w:rPr>
          <w:rFonts w:ascii="宋体" w:hAnsi="Courier New" w:cs="宋体"/>
          <w:sz w:val="24"/>
          <w:szCs w:val="24"/>
          <w:highlight w:val="none"/>
          <w:u w:val="single"/>
        </w:rPr>
        <w:t>；</w:t>
      </w:r>
    </w:p>
    <w:p w14:paraId="39E428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承包人指定的接收人为：</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208398C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监理人接收文件的地点：</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1F7AC84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监理人指定的接收人为：</w:t>
      </w:r>
      <w:r>
        <w:rPr>
          <w:rFonts w:hint="eastAsia" w:ascii="宋体" w:hAnsi="宋体" w:cs="宋体"/>
          <w:sz w:val="24"/>
          <w:szCs w:val="24"/>
          <w:highlight w:val="none"/>
          <w:u w:val="single"/>
        </w:rPr>
        <w:t>/          </w:t>
      </w:r>
      <w:r>
        <w:rPr>
          <w:rFonts w:ascii="宋体" w:hAnsi="Courier New" w:cs="宋体"/>
          <w:sz w:val="24"/>
          <w:szCs w:val="24"/>
          <w:highlight w:val="none"/>
          <w:u w:val="single"/>
        </w:rPr>
        <w:t>。</w:t>
      </w:r>
    </w:p>
    <w:p w14:paraId="724C547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1.10 交通运输</w:t>
      </w:r>
    </w:p>
    <w:p w14:paraId="276967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78" w:name="_Toc303539100"/>
      <w:bookmarkEnd w:id="78"/>
      <w:bookmarkStart w:id="79" w:name="_Toc318581155"/>
      <w:bookmarkEnd w:id="79"/>
      <w:bookmarkStart w:id="80" w:name="_Toc300934943"/>
      <w:bookmarkEnd w:id="80"/>
      <w:bookmarkStart w:id="81" w:name="_Toc312677986"/>
      <w:bookmarkEnd w:id="81"/>
      <w:bookmarkStart w:id="82" w:name="_Toc304295521"/>
      <w:bookmarkEnd w:id="82"/>
      <w:r>
        <w:rPr>
          <w:rFonts w:ascii="宋体" w:hAnsi="Courier New" w:cs="宋体"/>
          <w:sz w:val="24"/>
          <w:szCs w:val="24"/>
          <w:highlight w:val="none"/>
        </w:rPr>
        <w:t>.10.1 出入现场的权利</w:t>
      </w:r>
    </w:p>
    <w:p w14:paraId="540B97C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关于出入现场的权利的约定：</w:t>
      </w:r>
      <w:r>
        <w:rPr>
          <w:rFonts w:hint="eastAsia" w:ascii="宋体" w:hAnsi="宋体" w:cs="宋体"/>
          <w:sz w:val="24"/>
          <w:szCs w:val="24"/>
          <w:highlight w:val="none"/>
          <w:u w:val="single"/>
        </w:rPr>
        <w:t>执行通用条款。</w:t>
      </w:r>
    </w:p>
    <w:p w14:paraId="6D52A98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83" w:name="_Toc304295522"/>
      <w:bookmarkEnd w:id="83"/>
      <w:bookmarkStart w:id="84" w:name="_Toc300934944"/>
      <w:bookmarkEnd w:id="84"/>
      <w:bookmarkStart w:id="85" w:name="_Toc312677987"/>
      <w:bookmarkEnd w:id="85"/>
      <w:bookmarkStart w:id="86" w:name="_Toc303539101"/>
      <w:bookmarkEnd w:id="86"/>
      <w:bookmarkStart w:id="87" w:name="_Toc318581156"/>
      <w:bookmarkEnd w:id="87"/>
      <w:r>
        <w:rPr>
          <w:rFonts w:ascii="宋体" w:hAnsi="Courier New" w:cs="宋体"/>
          <w:sz w:val="24"/>
          <w:szCs w:val="24"/>
          <w:highlight w:val="none"/>
        </w:rPr>
        <w:t>.10.3 场内交通</w:t>
      </w:r>
    </w:p>
    <w:p w14:paraId="3D2970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关于场外交通和场内交通的边界的约定：</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B52320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关于发包人向承包人免费提供满足工程施工需要的场内道路和交通设施的约定：</w:t>
      </w:r>
      <w:r>
        <w:rPr>
          <w:rFonts w:ascii="宋体" w:hAnsi="Courier New" w:cs="宋体"/>
          <w:sz w:val="24"/>
          <w:szCs w:val="24"/>
          <w:highlight w:val="none"/>
          <w:u w:val="single"/>
        </w:rPr>
        <w:t>发包人不提供</w:t>
      </w:r>
      <w:r>
        <w:rPr>
          <w:rFonts w:ascii="宋体" w:hAnsi="Courier New" w:cs="宋体"/>
          <w:sz w:val="24"/>
          <w:szCs w:val="24"/>
          <w:highlight w:val="none"/>
        </w:rPr>
        <w:t>。</w:t>
      </w:r>
      <w:bookmarkStart w:id="88" w:name="_Toc318581157"/>
      <w:bookmarkEnd w:id="88"/>
    </w:p>
    <w:p w14:paraId="6AE8075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1.10.4超大件和超重件的运输</w:t>
      </w:r>
    </w:p>
    <w:p w14:paraId="43A2F8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运输超大件或超重件所需的道路和桥梁临时加固改造费用和其他有关费用由承包人承担。</w:t>
      </w:r>
    </w:p>
    <w:p w14:paraId="2E20A00D">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1.11 知识产权</w:t>
      </w:r>
    </w:p>
    <w:p w14:paraId="5F0A7E1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sz w:val="24"/>
          <w:szCs w:val="24"/>
          <w:highlight w:val="none"/>
          <w:u w:val="single"/>
        </w:rPr>
        <w:t>按通用条款1.11执行</w:t>
      </w:r>
      <w:r>
        <w:rPr>
          <w:rFonts w:ascii="宋体" w:hAnsi="Courier New" w:cs="宋体"/>
          <w:sz w:val="24"/>
          <w:szCs w:val="24"/>
          <w:highlight w:val="none"/>
        </w:rPr>
        <w:t>。</w:t>
      </w:r>
    </w:p>
    <w:p w14:paraId="268B4D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关于发包人提供的上述文件的使用限制的要求：未经发包人书面同意，承包人不得为了合同以外的目的而复制、使用上述文件或将之提供给任何第三方。</w:t>
      </w:r>
    </w:p>
    <w:p w14:paraId="738C66D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1.11.2 关于承包人为实施工程所编制文件的著作权的归属：</w:t>
      </w:r>
      <w:r>
        <w:rPr>
          <w:rFonts w:hint="eastAsia" w:ascii="宋体" w:hAnsi="Courier New" w:cs="宋体"/>
          <w:sz w:val="24"/>
          <w:szCs w:val="24"/>
          <w:highlight w:val="none"/>
          <w:u w:val="single"/>
        </w:rPr>
        <w:t>按通用条款1.11执行</w:t>
      </w:r>
      <w:r>
        <w:rPr>
          <w:rFonts w:ascii="宋体" w:hAnsi="Courier New" w:cs="宋体"/>
          <w:sz w:val="24"/>
          <w:szCs w:val="24"/>
          <w:highlight w:val="none"/>
        </w:rPr>
        <w:t>。</w:t>
      </w:r>
    </w:p>
    <w:p w14:paraId="235CD6A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关于承包人提供的上述文件的使用限制的要求：未经发包人书面同意，承包人不得为了合同以外的目的而复制、使用上述文件或将之提供给任何第三方。</w:t>
      </w:r>
    </w:p>
    <w:p w14:paraId="37C99F8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w:t>
      </w:r>
      <w:r>
        <w:rPr>
          <w:rFonts w:hint="eastAsia" w:ascii="宋体" w:hAnsi="Courier New" w:cs="宋体"/>
          <w:sz w:val="24"/>
          <w:szCs w:val="24"/>
          <w:highlight w:val="none"/>
        </w:rPr>
        <w:t>3</w:t>
      </w:r>
      <w:r>
        <w:rPr>
          <w:rFonts w:ascii="宋体" w:hAnsi="Courier New" w:cs="宋体"/>
          <w:sz w:val="24"/>
          <w:szCs w:val="24"/>
          <w:highlight w:val="none"/>
        </w:rPr>
        <w:t xml:space="preserve"> 承包人在施工过程中所采用的专利、专有技术、技术秘密的使用费的承担方式：</w:t>
      </w:r>
      <w:r>
        <w:rPr>
          <w:rFonts w:hint="eastAsia" w:ascii="宋体" w:hAnsi="Courier New" w:cs="宋体"/>
          <w:sz w:val="24"/>
          <w:szCs w:val="24"/>
          <w:highlight w:val="none"/>
        </w:rPr>
        <w:t>执行通用条款</w:t>
      </w:r>
      <w:r>
        <w:rPr>
          <w:rFonts w:ascii="宋体" w:hAnsi="Courier New" w:cs="宋体"/>
          <w:sz w:val="24"/>
          <w:szCs w:val="24"/>
          <w:highlight w:val="none"/>
        </w:rPr>
        <w:t>。</w:t>
      </w:r>
    </w:p>
    <w:p w14:paraId="11CEDB7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1.13工程量清单错误的修正</w:t>
      </w:r>
    </w:p>
    <w:p w14:paraId="1A29C0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出现工程量清单错误时，是否调整合同价格：</w:t>
      </w:r>
      <w:r>
        <w:rPr>
          <w:rFonts w:ascii="宋体" w:hAnsi="宋体" w:cs="宋体"/>
          <w:sz w:val="24"/>
          <w:szCs w:val="24"/>
          <w:highlight w:val="none"/>
          <w:u w:val="single"/>
        </w:rPr>
        <w:t>是</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31023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允许调整合同价格的工程量偏差范围：</w:t>
      </w:r>
      <w:r>
        <w:rPr>
          <w:rFonts w:hint="eastAsia" w:ascii="宋体" w:hAnsi="Courier New" w:cs="宋体"/>
          <w:sz w:val="24"/>
          <w:szCs w:val="24"/>
          <w:highlight w:val="none"/>
          <w:u w:val="single"/>
        </w:rPr>
        <w:t>超出签约合同价正负3%以外的对正负3%以外的部分相应增减</w:t>
      </w:r>
      <w:r>
        <w:rPr>
          <w:rFonts w:ascii="宋体" w:hAnsi="Courier New" w:cs="宋体"/>
          <w:sz w:val="24"/>
          <w:szCs w:val="24"/>
          <w:highlight w:val="none"/>
        </w:rPr>
        <w:t>。</w:t>
      </w:r>
    </w:p>
    <w:p w14:paraId="1F4DC23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89" w:name="_Toc351203634"/>
      <w:bookmarkEnd w:id="89"/>
      <w:r>
        <w:rPr>
          <w:rFonts w:ascii="宋体" w:hAnsi="Courier New" w:cs="宋体"/>
          <w:b/>
          <w:sz w:val="24"/>
          <w:szCs w:val="24"/>
          <w:highlight w:val="none"/>
        </w:rPr>
        <w:t>2</w:t>
      </w:r>
      <w:bookmarkStart w:id="90" w:name="_Toc292559867"/>
      <w:bookmarkEnd w:id="90"/>
      <w:bookmarkStart w:id="91" w:name="_Toc297048343"/>
      <w:bookmarkEnd w:id="91"/>
      <w:bookmarkStart w:id="92" w:name="_Toc296944496"/>
      <w:bookmarkEnd w:id="92"/>
      <w:bookmarkStart w:id="93" w:name="_Toc296346658"/>
      <w:bookmarkEnd w:id="93"/>
      <w:bookmarkStart w:id="94" w:name="_Toc296891197"/>
      <w:bookmarkEnd w:id="94"/>
      <w:bookmarkStart w:id="95" w:name="_Toc297120457"/>
      <w:bookmarkEnd w:id="95"/>
      <w:bookmarkStart w:id="96" w:name="_Toc296503157"/>
      <w:bookmarkEnd w:id="96"/>
      <w:bookmarkStart w:id="97" w:name="_Toc292559362"/>
      <w:bookmarkEnd w:id="97"/>
      <w:bookmarkStart w:id="98" w:name="_Toc296890985"/>
      <w:bookmarkEnd w:id="98"/>
      <w:bookmarkStart w:id="99" w:name="_Toc296347156"/>
      <w:bookmarkEnd w:id="99"/>
      <w:r>
        <w:rPr>
          <w:rFonts w:ascii="宋体" w:hAnsi="Courier New" w:cs="宋体"/>
          <w:b/>
          <w:sz w:val="24"/>
          <w:szCs w:val="24"/>
          <w:highlight w:val="none"/>
        </w:rPr>
        <w:t>. 发包人</w:t>
      </w:r>
    </w:p>
    <w:p w14:paraId="36ACFE1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2.2 发包人代表</w:t>
      </w:r>
    </w:p>
    <w:p w14:paraId="6ED725B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发包人代表：</w:t>
      </w:r>
    </w:p>
    <w:p w14:paraId="63DDD99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姓名：</w:t>
      </w:r>
      <w:r>
        <w:rPr>
          <w:rFonts w:hint="eastAsia" w:ascii="宋体" w:hAnsi="宋体" w:cs="宋体"/>
          <w:sz w:val="24"/>
          <w:szCs w:val="24"/>
          <w:highlight w:val="none"/>
          <w:u w:val="single"/>
        </w:rPr>
        <w:t>   </w:t>
      </w:r>
      <w:r>
        <w:rPr>
          <w:rFonts w:ascii="宋体" w:hAnsi="宋体" w:cs="宋体"/>
          <w:sz w:val="24"/>
          <w:szCs w:val="24"/>
          <w:highlight w:val="none"/>
          <w:u w:val="single"/>
        </w:rPr>
        <w:t>；</w:t>
      </w:r>
    </w:p>
    <w:p w14:paraId="1C882C0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身份证号：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1DE63A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职务：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EBFAB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   </w:t>
      </w:r>
      <w:r>
        <w:rPr>
          <w:rFonts w:ascii="宋体" w:hAnsi="宋体" w:cs="宋体"/>
          <w:sz w:val="24"/>
          <w:szCs w:val="24"/>
          <w:highlight w:val="none"/>
          <w:u w:val="single"/>
        </w:rPr>
        <w:t>；</w:t>
      </w:r>
    </w:p>
    <w:p w14:paraId="21487F3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87490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5FA9F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发包人对发包人代表的授权范围如下：</w:t>
      </w:r>
      <w:r>
        <w:rPr>
          <w:rFonts w:hint="eastAsia" w:ascii="宋体" w:hAnsi="Courier New" w:cs="宋体"/>
          <w:sz w:val="24"/>
          <w:szCs w:val="24"/>
          <w:highlight w:val="none"/>
          <w:u w:val="single"/>
        </w:rPr>
        <w:t>协调沟通，审批工程款，批复合同价调整及与工程相关的事宜</w:t>
      </w:r>
      <w:r>
        <w:rPr>
          <w:rFonts w:ascii="宋体" w:hAnsi="Courier New" w:cs="宋体"/>
          <w:sz w:val="24"/>
          <w:szCs w:val="24"/>
          <w:highlight w:val="none"/>
        </w:rPr>
        <w:t>。</w:t>
      </w:r>
    </w:p>
    <w:p w14:paraId="6AED7B4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2.4 施工现场、施工条件和基础资料的提供</w:t>
      </w:r>
    </w:p>
    <w:p w14:paraId="2ACC2E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2.4.1 提供施工现场</w:t>
      </w:r>
    </w:p>
    <w:p w14:paraId="57447E6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关于发包人移交施工现场的期限要求：</w:t>
      </w:r>
      <w:r>
        <w:rPr>
          <w:rFonts w:ascii="宋体" w:hAnsi="Courier New" w:cs="宋体"/>
          <w:sz w:val="24"/>
          <w:szCs w:val="24"/>
          <w:highlight w:val="none"/>
          <w:u w:val="single"/>
        </w:rPr>
        <w:t>开工日期7天前</w:t>
      </w:r>
      <w:r>
        <w:rPr>
          <w:rFonts w:ascii="宋体" w:hAnsi="Courier New" w:cs="宋体"/>
          <w:sz w:val="24"/>
          <w:szCs w:val="24"/>
          <w:highlight w:val="none"/>
        </w:rPr>
        <w:t>。</w:t>
      </w:r>
    </w:p>
    <w:p w14:paraId="31E6964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2.4.2 提供施工条件</w:t>
      </w:r>
    </w:p>
    <w:p w14:paraId="3989CA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关于发包人应负责提供施工</w:t>
      </w:r>
      <w:r>
        <w:rPr>
          <w:rFonts w:hint="eastAsia" w:ascii="宋体" w:hAnsi="Courier New" w:cs="宋体"/>
          <w:sz w:val="24"/>
          <w:szCs w:val="24"/>
          <w:highlight w:val="none"/>
        </w:rPr>
        <w:t>所需要的条件，</w:t>
      </w:r>
      <w:r>
        <w:rPr>
          <w:rFonts w:ascii="宋体" w:hAnsi="Courier New" w:cs="宋体"/>
          <w:sz w:val="24"/>
          <w:szCs w:val="24"/>
          <w:highlight w:val="none"/>
        </w:rPr>
        <w:t>包括：</w:t>
      </w:r>
      <w:r>
        <w:rPr>
          <w:rFonts w:hint="eastAsia" w:ascii="宋体" w:hAnsi="Courier New" w:cs="宋体"/>
          <w:sz w:val="24"/>
          <w:szCs w:val="24"/>
          <w:highlight w:val="none"/>
          <w:u w:val="single"/>
        </w:rPr>
        <w:t>以目前现场情况</w:t>
      </w:r>
      <w:r>
        <w:rPr>
          <w:rFonts w:ascii="宋体" w:hAnsi="Courier New" w:cs="宋体"/>
          <w:sz w:val="24"/>
          <w:szCs w:val="24"/>
          <w:highlight w:val="none"/>
          <w:u w:val="single"/>
        </w:rPr>
        <w:t>向承包人提供施工所需要的交通条件</w:t>
      </w:r>
      <w:r>
        <w:rPr>
          <w:rFonts w:ascii="宋体" w:hAnsi="Courier New" w:cs="宋体"/>
          <w:sz w:val="24"/>
          <w:szCs w:val="24"/>
          <w:highlight w:val="none"/>
        </w:rPr>
        <w:t>。</w:t>
      </w:r>
    </w:p>
    <w:p w14:paraId="4B2E3E2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2.5 资金来源证明及支付担保</w:t>
      </w:r>
    </w:p>
    <w:p w14:paraId="763703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发包人提供资金来源证明的期限要求：</w:t>
      </w:r>
      <w:r>
        <w:rPr>
          <w:rFonts w:ascii="宋体" w:hAnsi="Courier New" w:cs="宋体"/>
          <w:sz w:val="24"/>
          <w:szCs w:val="24"/>
          <w:highlight w:val="none"/>
          <w:u w:val="single"/>
        </w:rPr>
        <w:t>在收到承包人要求提供资金来源证明的书面通知后28天内</w:t>
      </w:r>
      <w:r>
        <w:rPr>
          <w:rFonts w:ascii="宋体" w:hAnsi="Courier New" w:cs="宋体"/>
          <w:sz w:val="24"/>
          <w:szCs w:val="24"/>
          <w:highlight w:val="none"/>
        </w:rPr>
        <w:t>。</w:t>
      </w:r>
    </w:p>
    <w:p w14:paraId="02B582D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发包人是否提供支付担保：</w:t>
      </w:r>
      <w:r>
        <w:rPr>
          <w:rFonts w:hint="eastAsia" w:ascii="宋体" w:hAnsi="宋体" w:cs="宋体"/>
          <w:sz w:val="24"/>
          <w:szCs w:val="24"/>
          <w:highlight w:val="none"/>
          <w:u w:val="single"/>
        </w:rPr>
        <w:t>不提供</w:t>
      </w:r>
      <w:r>
        <w:rPr>
          <w:rFonts w:ascii="宋体" w:hAnsi="宋体" w:cs="宋体"/>
          <w:sz w:val="24"/>
          <w:szCs w:val="24"/>
          <w:highlight w:val="none"/>
          <w:u w:val="single"/>
        </w:rPr>
        <w:t>。</w:t>
      </w:r>
    </w:p>
    <w:p w14:paraId="1FFEA80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发包人提供支付担保的形式：</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70404B2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00" w:name="_Toc351203635"/>
      <w:bookmarkEnd w:id="100"/>
      <w:r>
        <w:rPr>
          <w:rFonts w:ascii="宋体" w:hAnsi="Courier New" w:cs="宋体"/>
          <w:b/>
          <w:sz w:val="24"/>
          <w:szCs w:val="24"/>
          <w:highlight w:val="none"/>
        </w:rPr>
        <w:t>3</w:t>
      </w:r>
      <w:bookmarkStart w:id="101" w:name="_Toc292559363"/>
      <w:bookmarkEnd w:id="101"/>
      <w:bookmarkStart w:id="102" w:name="_Toc296890986"/>
      <w:bookmarkEnd w:id="102"/>
      <w:bookmarkStart w:id="103" w:name="_Toc296944497"/>
      <w:bookmarkEnd w:id="103"/>
      <w:bookmarkStart w:id="104" w:name="_Toc296891198"/>
      <w:bookmarkEnd w:id="104"/>
      <w:bookmarkStart w:id="105" w:name="_Toc297120458"/>
      <w:bookmarkEnd w:id="105"/>
      <w:bookmarkStart w:id="106" w:name="_Toc296346659"/>
      <w:bookmarkEnd w:id="106"/>
      <w:bookmarkStart w:id="107" w:name="_Toc292559868"/>
      <w:bookmarkEnd w:id="107"/>
      <w:bookmarkStart w:id="108" w:name="_Toc296347157"/>
      <w:bookmarkEnd w:id="108"/>
      <w:bookmarkStart w:id="109" w:name="_Toc296503158"/>
      <w:bookmarkEnd w:id="109"/>
      <w:bookmarkStart w:id="110" w:name="_Toc297048344"/>
      <w:bookmarkEnd w:id="110"/>
      <w:r>
        <w:rPr>
          <w:rFonts w:ascii="宋体" w:hAnsi="Courier New" w:cs="宋体"/>
          <w:b/>
          <w:sz w:val="24"/>
          <w:szCs w:val="24"/>
          <w:highlight w:val="none"/>
        </w:rPr>
        <w:t>. 承包人</w:t>
      </w:r>
    </w:p>
    <w:p w14:paraId="393AD30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3.1 承包人的一般义务</w:t>
      </w:r>
    </w:p>
    <w:p w14:paraId="7BF8F58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（5）承包人提交的竣工资料的内容：</w:t>
      </w:r>
      <w:r>
        <w:rPr>
          <w:rFonts w:hint="eastAsia" w:ascii="宋体" w:hAnsi="Courier New" w:cs="宋体"/>
          <w:sz w:val="24"/>
          <w:szCs w:val="24"/>
          <w:highlight w:val="none"/>
          <w:u w:val="single"/>
        </w:rPr>
        <w:t>向发包人提供竣工验收报告及完整的竣工资料（含竣工图）</w:t>
      </w:r>
      <w:r>
        <w:rPr>
          <w:rFonts w:ascii="宋体" w:hAnsi="Courier New" w:cs="宋体"/>
          <w:sz w:val="24"/>
          <w:szCs w:val="24"/>
          <w:highlight w:val="none"/>
        </w:rPr>
        <w:t>。</w:t>
      </w:r>
    </w:p>
    <w:p w14:paraId="400F641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承包人需要提交的竣工资料套数：</w:t>
      </w:r>
      <w:r>
        <w:rPr>
          <w:rFonts w:hint="eastAsia" w:ascii="宋体" w:hAnsi="Courier New" w:cs="宋体"/>
          <w:sz w:val="24"/>
          <w:szCs w:val="24"/>
          <w:highlight w:val="none"/>
          <w:u w:val="single"/>
        </w:rPr>
        <w:t>六套</w:t>
      </w:r>
      <w:r>
        <w:rPr>
          <w:rFonts w:ascii="宋体" w:hAnsi="Courier New" w:cs="宋体"/>
          <w:sz w:val="24"/>
          <w:szCs w:val="24"/>
          <w:highlight w:val="none"/>
        </w:rPr>
        <w:t>。</w:t>
      </w:r>
    </w:p>
    <w:p w14:paraId="449EAD3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承包人提交的竣工资料的费用承担：</w:t>
      </w:r>
      <w:r>
        <w:rPr>
          <w:rFonts w:hint="eastAsia" w:ascii="宋体" w:hAnsi="Courier New" w:cs="宋体"/>
          <w:sz w:val="24"/>
          <w:szCs w:val="24"/>
          <w:highlight w:val="none"/>
          <w:u w:val="single"/>
        </w:rPr>
        <w:t>由</w:t>
      </w:r>
      <w:r>
        <w:rPr>
          <w:rFonts w:ascii="宋体" w:hAnsi="Courier New" w:cs="宋体"/>
          <w:sz w:val="24"/>
          <w:szCs w:val="24"/>
          <w:highlight w:val="none"/>
          <w:u w:val="single"/>
        </w:rPr>
        <w:t>承包人</w:t>
      </w:r>
      <w:r>
        <w:rPr>
          <w:rFonts w:hint="eastAsia" w:ascii="宋体" w:hAnsi="Courier New" w:cs="宋体"/>
          <w:sz w:val="24"/>
          <w:szCs w:val="24"/>
          <w:highlight w:val="none"/>
          <w:u w:val="single"/>
        </w:rPr>
        <w:t>承担</w:t>
      </w:r>
      <w:r>
        <w:rPr>
          <w:rFonts w:ascii="宋体" w:hAnsi="Courier New" w:cs="宋体"/>
          <w:sz w:val="24"/>
          <w:szCs w:val="24"/>
          <w:highlight w:val="none"/>
        </w:rPr>
        <w:t>。</w:t>
      </w:r>
    </w:p>
    <w:p w14:paraId="49E05C8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承包人提交的竣工资料移交时间：</w:t>
      </w:r>
      <w:r>
        <w:rPr>
          <w:rFonts w:hint="eastAsia" w:ascii="宋体" w:hAnsi="Courier New" w:cs="宋体"/>
          <w:sz w:val="24"/>
          <w:szCs w:val="24"/>
          <w:highlight w:val="none"/>
          <w:u w:val="single"/>
        </w:rPr>
        <w:t>五大责任主体验收合格后7天内</w:t>
      </w:r>
      <w:r>
        <w:rPr>
          <w:rFonts w:ascii="宋体" w:hAnsi="Courier New" w:cs="宋体"/>
          <w:sz w:val="24"/>
          <w:szCs w:val="24"/>
          <w:highlight w:val="none"/>
        </w:rPr>
        <w:t>。</w:t>
      </w:r>
    </w:p>
    <w:p w14:paraId="6BC0582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承包人提交的竣工资料形式要求：</w:t>
      </w:r>
      <w:r>
        <w:rPr>
          <w:rFonts w:ascii="宋体" w:hAnsi="Courier New" w:cs="宋体"/>
          <w:sz w:val="24"/>
          <w:szCs w:val="24"/>
          <w:highlight w:val="none"/>
          <w:u w:val="single"/>
        </w:rPr>
        <w:t>纸质书面形式</w:t>
      </w:r>
      <w:r>
        <w:rPr>
          <w:rFonts w:hint="eastAsia" w:ascii="宋体" w:hAnsi="Courier New" w:cs="宋体"/>
          <w:sz w:val="24"/>
          <w:szCs w:val="24"/>
          <w:highlight w:val="none"/>
          <w:u w:val="single"/>
        </w:rPr>
        <w:t>，胶装成册</w:t>
      </w:r>
      <w:r>
        <w:rPr>
          <w:rFonts w:ascii="宋体" w:hAnsi="Courier New" w:cs="宋体"/>
          <w:sz w:val="24"/>
          <w:szCs w:val="24"/>
          <w:highlight w:val="none"/>
        </w:rPr>
        <w:t>。</w:t>
      </w:r>
    </w:p>
    <w:p w14:paraId="2CEB970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（6）承包人应履行的其他义务：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91FDC2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3.2 项目经理</w:t>
      </w:r>
    </w:p>
    <w:p w14:paraId="3F1EA02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3.2.1 项目经理：</w:t>
      </w:r>
    </w:p>
    <w:p w14:paraId="6BA76F0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姓名</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A43140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身份证号</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8EEB1B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建造师执业资格等级</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3A880A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建造师注册证书号：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0F49BF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建造师执业印章号：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5F617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安全生产考核合格证书号：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D689E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E65F8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18978C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11F78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承包人对项目经理的授权范围如下：</w:t>
      </w:r>
      <w:r>
        <w:rPr>
          <w:rFonts w:hint="eastAsia" w:ascii="宋体" w:hAnsi="Courier New" w:cs="宋体"/>
          <w:sz w:val="24"/>
          <w:szCs w:val="24"/>
          <w:highlight w:val="none"/>
          <w:u w:val="single"/>
        </w:rPr>
        <w:t>对质量、安全、进度负责</w:t>
      </w:r>
      <w:r>
        <w:rPr>
          <w:rFonts w:ascii="宋体" w:hAnsi="Courier New" w:cs="宋体"/>
          <w:sz w:val="24"/>
          <w:szCs w:val="24"/>
          <w:highlight w:val="none"/>
        </w:rPr>
        <w:t>。</w:t>
      </w:r>
    </w:p>
    <w:p w14:paraId="4B8B844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关于项目经理每月在施工现场的时间要求：</w:t>
      </w:r>
      <w:r>
        <w:rPr>
          <w:rFonts w:hint="eastAsia" w:ascii="宋体" w:hAnsi="Courier New" w:cs="宋体"/>
          <w:sz w:val="24"/>
          <w:szCs w:val="24"/>
          <w:highlight w:val="none"/>
          <w:u w:val="single"/>
        </w:rPr>
        <w:t>22天</w:t>
      </w:r>
      <w:r>
        <w:rPr>
          <w:rFonts w:ascii="宋体" w:hAnsi="Courier New" w:cs="宋体"/>
          <w:sz w:val="24"/>
          <w:szCs w:val="24"/>
          <w:highlight w:val="none"/>
        </w:rPr>
        <w:t>。</w:t>
      </w:r>
    </w:p>
    <w:p w14:paraId="7E2B0C8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承包人未提交劳动合同，以及没有为项目经理缴纳社会保险证明的违约责任：</w:t>
      </w:r>
      <w:r>
        <w:rPr>
          <w:rFonts w:ascii="宋体" w:hAnsi="Courier New" w:cs="宋体"/>
          <w:sz w:val="24"/>
          <w:szCs w:val="24"/>
          <w:highlight w:val="none"/>
          <w:u w:val="single"/>
        </w:rPr>
        <w:t>承包人不提交上述文件的，项目经理无权履行职责，发包人有权要求更换项目经理，由此增加的费用和（或）延误的工期由承包人承担</w:t>
      </w:r>
      <w:r>
        <w:rPr>
          <w:rFonts w:ascii="宋体" w:hAnsi="Courier New" w:cs="宋体"/>
          <w:sz w:val="24"/>
          <w:szCs w:val="24"/>
          <w:highlight w:val="none"/>
        </w:rPr>
        <w:t>。</w:t>
      </w:r>
    </w:p>
    <w:p w14:paraId="1F28D010">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3.2.2 项目经理未经批准，擅自离开施工现场的违约责任：。</w:t>
      </w:r>
    </w:p>
    <w:p w14:paraId="598F3AA8">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3.2.3 承包人擅自更换项目经理的违约责任：。</w:t>
      </w:r>
    </w:p>
    <w:p w14:paraId="433EDBFB">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3.2.4 承包人无正当理由拒绝更换项目经理的违约责任：。</w:t>
      </w:r>
    </w:p>
    <w:p w14:paraId="3DD7D09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3.3 承包人人员</w:t>
      </w:r>
    </w:p>
    <w:p w14:paraId="68C58B3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3.3.1 承包人提交项目管理机构及施工现场管理人员安排报告的期限：</w:t>
      </w:r>
      <w:r>
        <w:rPr>
          <w:rFonts w:ascii="宋体" w:hAnsi="Courier New" w:cs="宋体"/>
          <w:sz w:val="24"/>
          <w:szCs w:val="24"/>
          <w:highlight w:val="none"/>
          <w:u w:val="single"/>
        </w:rPr>
        <w:t>承包人应在接到开工通知后7天内</w:t>
      </w:r>
      <w:r>
        <w:rPr>
          <w:rFonts w:ascii="宋体" w:hAnsi="Courier New" w:cs="宋体"/>
          <w:sz w:val="24"/>
          <w:szCs w:val="24"/>
          <w:highlight w:val="none"/>
        </w:rPr>
        <w:t>。</w:t>
      </w:r>
    </w:p>
    <w:p w14:paraId="635C5F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3.3.3 承包人无正当理由拒绝撤换主要施工管理人员的违约责任：。</w:t>
      </w:r>
    </w:p>
    <w:p w14:paraId="2FA9C5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3.3.4 承包人主要施工管理人员离开施工现场的批准要求：</w:t>
      </w:r>
      <w:r>
        <w:rPr>
          <w:rFonts w:hint="eastAsia" w:ascii="宋体" w:hAnsi="Courier New" w:cs="宋体"/>
          <w:spacing w:val="-4"/>
          <w:sz w:val="24"/>
          <w:szCs w:val="24"/>
          <w:highlight w:val="none"/>
          <w:u w:val="single"/>
        </w:rPr>
        <w:t>按通用条款3.3.4条款执</w:t>
      </w:r>
      <w:r>
        <w:rPr>
          <w:rFonts w:hint="eastAsia" w:ascii="宋体" w:hAnsi="Courier New" w:cs="宋体"/>
          <w:sz w:val="24"/>
          <w:szCs w:val="24"/>
          <w:highlight w:val="none"/>
          <w:u w:val="single"/>
        </w:rPr>
        <w:t>行</w:t>
      </w:r>
      <w:r>
        <w:rPr>
          <w:rFonts w:ascii="宋体" w:hAnsi="Courier New" w:cs="宋体"/>
          <w:sz w:val="24"/>
          <w:szCs w:val="24"/>
          <w:highlight w:val="none"/>
        </w:rPr>
        <w:t>。</w:t>
      </w:r>
    </w:p>
    <w:p w14:paraId="1D8EC7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3.3.5承包人擅自更换主要施工管理人员的违约责任</w:t>
      </w:r>
      <w:r>
        <w:rPr>
          <w:rFonts w:ascii="宋体" w:hAnsi="Courier New" w:cs="宋体"/>
          <w:sz w:val="24"/>
          <w:szCs w:val="24"/>
          <w:highlight w:val="none"/>
          <w:u w:val="single"/>
        </w:rPr>
        <w:t>每发生一次罚款</w:t>
      </w:r>
      <w:r>
        <w:rPr>
          <w:rFonts w:hint="eastAsia" w:ascii="宋体" w:hAnsi="Courier New" w:cs="宋体"/>
          <w:sz w:val="24"/>
          <w:szCs w:val="24"/>
          <w:highlight w:val="none"/>
          <w:u w:val="single"/>
        </w:rPr>
        <w:t>5千</w:t>
      </w:r>
      <w:r>
        <w:rPr>
          <w:rFonts w:ascii="宋体" w:hAnsi="Courier New" w:cs="宋体"/>
          <w:sz w:val="24"/>
          <w:szCs w:val="24"/>
          <w:highlight w:val="none"/>
          <w:u w:val="single"/>
        </w:rPr>
        <w:t>元</w:t>
      </w:r>
      <w:r>
        <w:rPr>
          <w:rFonts w:ascii="宋体" w:hAnsi="Courier New" w:cs="宋体"/>
          <w:sz w:val="24"/>
          <w:szCs w:val="24"/>
          <w:highlight w:val="none"/>
        </w:rPr>
        <w:t>。</w:t>
      </w:r>
    </w:p>
    <w:p w14:paraId="072171C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承包人主要施工管理人员擅自离开施工现场的违约责任：</w:t>
      </w:r>
      <w:r>
        <w:rPr>
          <w:rFonts w:hint="eastAsia" w:ascii="宋体" w:hAnsi="Courier New" w:cs="宋体"/>
          <w:sz w:val="24"/>
          <w:szCs w:val="24"/>
          <w:highlight w:val="none"/>
          <w:u w:val="single"/>
        </w:rPr>
        <w:t>每发生一次罚款5千元</w:t>
      </w:r>
      <w:r>
        <w:rPr>
          <w:rFonts w:hint="eastAsia" w:ascii="宋体" w:hAnsi="Courier New" w:cs="宋体"/>
          <w:sz w:val="24"/>
          <w:szCs w:val="24"/>
          <w:highlight w:val="none"/>
        </w:rPr>
        <w:t>。</w:t>
      </w:r>
    </w:p>
    <w:p w14:paraId="30BC1D4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w:t>
      </w:r>
      <w:bookmarkStart w:id="111" w:name="_Toc296503159"/>
      <w:bookmarkEnd w:id="111"/>
      <w:bookmarkStart w:id="112" w:name="_Toc296346660"/>
      <w:bookmarkEnd w:id="112"/>
      <w:bookmarkStart w:id="113" w:name="_Toc303539102"/>
      <w:bookmarkEnd w:id="113"/>
      <w:bookmarkStart w:id="114" w:name="_Toc292559364"/>
      <w:bookmarkEnd w:id="114"/>
      <w:bookmarkStart w:id="115" w:name="_Toc292559869"/>
      <w:bookmarkEnd w:id="115"/>
      <w:bookmarkStart w:id="116" w:name="_Toc304295523"/>
      <w:bookmarkEnd w:id="116"/>
      <w:bookmarkStart w:id="117" w:name="_Toc296891199"/>
      <w:bookmarkEnd w:id="117"/>
      <w:bookmarkStart w:id="118" w:name="_Toc296944498"/>
      <w:bookmarkEnd w:id="118"/>
      <w:bookmarkStart w:id="119" w:name="_Toc297048345"/>
      <w:bookmarkEnd w:id="119"/>
      <w:bookmarkStart w:id="120" w:name="_Toc296347158"/>
      <w:bookmarkEnd w:id="120"/>
      <w:bookmarkStart w:id="121" w:name="_Toc300934945"/>
      <w:bookmarkEnd w:id="121"/>
      <w:bookmarkStart w:id="122" w:name="_Toc297120459"/>
      <w:bookmarkEnd w:id="122"/>
      <w:bookmarkStart w:id="123" w:name="_Toc312677988"/>
      <w:bookmarkEnd w:id="123"/>
      <w:bookmarkStart w:id="124" w:name="_Toc297123492"/>
      <w:bookmarkEnd w:id="124"/>
      <w:bookmarkStart w:id="125" w:name="_Toc296890987"/>
      <w:bookmarkEnd w:id="125"/>
      <w:bookmarkStart w:id="126" w:name="_Toc297216151"/>
      <w:bookmarkEnd w:id="126"/>
      <w:r>
        <w:rPr>
          <w:rFonts w:ascii="宋体" w:hAnsi="Courier New" w:cs="宋体"/>
          <w:b/>
          <w:sz w:val="24"/>
          <w:szCs w:val="24"/>
          <w:highlight w:val="none"/>
        </w:rPr>
        <w:t>.5 分包</w:t>
      </w:r>
    </w:p>
    <w:p w14:paraId="20C45C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bookmarkStart w:id="127" w:name="_Toc292559365"/>
      <w:bookmarkEnd w:id="127"/>
      <w:bookmarkStart w:id="128" w:name="_Toc296890988"/>
      <w:bookmarkEnd w:id="128"/>
      <w:bookmarkStart w:id="129" w:name="_Toc297216152"/>
      <w:bookmarkEnd w:id="129"/>
      <w:bookmarkStart w:id="130" w:name="_Toc297120460"/>
      <w:bookmarkEnd w:id="130"/>
      <w:bookmarkStart w:id="131" w:name="_Toc318581158"/>
      <w:bookmarkEnd w:id="131"/>
      <w:bookmarkStart w:id="132" w:name="_Toc296347159"/>
      <w:bookmarkEnd w:id="132"/>
      <w:bookmarkStart w:id="133" w:name="_Toc296944499"/>
      <w:bookmarkEnd w:id="133"/>
      <w:bookmarkStart w:id="134" w:name="_Toc297048346"/>
      <w:bookmarkEnd w:id="134"/>
      <w:bookmarkStart w:id="135" w:name="_Toc296891200"/>
      <w:bookmarkEnd w:id="135"/>
      <w:bookmarkStart w:id="136" w:name="_Toc296503160"/>
      <w:bookmarkEnd w:id="136"/>
      <w:bookmarkStart w:id="137" w:name="_Toc303539103"/>
      <w:bookmarkEnd w:id="137"/>
      <w:bookmarkStart w:id="138" w:name="_Toc297123493"/>
      <w:bookmarkEnd w:id="138"/>
      <w:bookmarkStart w:id="139" w:name="_Toc304295524"/>
      <w:bookmarkEnd w:id="139"/>
      <w:bookmarkStart w:id="140" w:name="_Toc292559870"/>
      <w:bookmarkEnd w:id="140"/>
      <w:bookmarkStart w:id="141" w:name="_Toc300934946"/>
      <w:bookmarkEnd w:id="141"/>
      <w:bookmarkStart w:id="142" w:name="_Toc296346661"/>
      <w:bookmarkEnd w:id="142"/>
      <w:bookmarkStart w:id="143" w:name="_Toc312677989"/>
      <w:bookmarkEnd w:id="143"/>
      <w:r>
        <w:rPr>
          <w:rFonts w:ascii="宋体" w:hAnsi="Courier New" w:cs="宋体"/>
          <w:sz w:val="24"/>
          <w:szCs w:val="24"/>
          <w:highlight w:val="none"/>
        </w:rPr>
        <w:t>.5.1 分包的一般约定</w:t>
      </w:r>
    </w:p>
    <w:p w14:paraId="540ACAF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禁止分包的工程包括：</w:t>
      </w:r>
      <w:r>
        <w:rPr>
          <w:rFonts w:hint="eastAsia" w:ascii="宋体" w:hAnsi="Courier New" w:cs="宋体"/>
          <w:sz w:val="24"/>
          <w:szCs w:val="24"/>
          <w:highlight w:val="none"/>
          <w:u w:val="single"/>
        </w:rPr>
        <w:t>按通用条款3.5.1条款执行</w:t>
      </w:r>
      <w:r>
        <w:rPr>
          <w:rFonts w:ascii="宋体" w:hAnsi="Courier New" w:cs="宋体"/>
          <w:sz w:val="24"/>
          <w:szCs w:val="24"/>
          <w:highlight w:val="none"/>
        </w:rPr>
        <w:t>。</w:t>
      </w:r>
    </w:p>
    <w:p w14:paraId="6A55C9F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主体结构、关键性工作的范围：。</w:t>
      </w:r>
    </w:p>
    <w:p w14:paraId="350518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bookmarkStart w:id="144" w:name="_Toc318581159"/>
      <w:bookmarkEnd w:id="144"/>
      <w:bookmarkStart w:id="145" w:name="_Toc312677990"/>
      <w:bookmarkEnd w:id="145"/>
      <w:r>
        <w:rPr>
          <w:rFonts w:ascii="宋体" w:hAnsi="Courier New" w:cs="宋体"/>
          <w:sz w:val="24"/>
          <w:szCs w:val="24"/>
          <w:highlight w:val="none"/>
        </w:rPr>
        <w:t>.5.2分包的确定</w:t>
      </w:r>
    </w:p>
    <w:p w14:paraId="58A53B0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允许分包的专业工程包括</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 xml:space="preserve">  /   </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CB3C1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其他关于分包的约定：</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69FC1D8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3.5.4 分包合同价款</w:t>
      </w:r>
    </w:p>
    <w:p w14:paraId="1E01E8F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关于分包合同价款支付的约定：</w:t>
      </w:r>
      <w:r>
        <w:rPr>
          <w:rFonts w:hint="eastAsia" w:ascii="宋体" w:hAnsi="Courier New" w:cs="宋体"/>
          <w:sz w:val="24"/>
          <w:szCs w:val="24"/>
          <w:highlight w:val="none"/>
          <w:u w:val="single"/>
        </w:rPr>
        <w:t>/</w:t>
      </w:r>
      <w:r>
        <w:rPr>
          <w:rFonts w:ascii="宋体" w:hAnsi="Courier New" w:cs="宋体"/>
          <w:sz w:val="24"/>
          <w:szCs w:val="24"/>
          <w:highlight w:val="none"/>
        </w:rPr>
        <w:t>。</w:t>
      </w:r>
    </w:p>
    <w:p w14:paraId="1642B6F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3.6 工程照管与成品、半成品保护</w:t>
      </w:r>
    </w:p>
    <w:p w14:paraId="7172B10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pacing w:val="-12"/>
          <w:sz w:val="24"/>
          <w:szCs w:val="24"/>
          <w:highlight w:val="none"/>
          <w:u w:val="single"/>
        </w:rPr>
      </w:pPr>
      <w:r>
        <w:rPr>
          <w:rFonts w:ascii="宋体" w:hAnsi="Courier New" w:cs="宋体"/>
          <w:sz w:val="24"/>
          <w:szCs w:val="24"/>
          <w:highlight w:val="none"/>
        </w:rPr>
        <w:t>承包人负责照管工程及工程相关的材料、工程设备的起始时间：</w:t>
      </w:r>
      <w:r>
        <w:rPr>
          <w:rFonts w:hint="eastAsia" w:ascii="宋体" w:hAnsi="Courier New" w:cs="宋体"/>
          <w:spacing w:val="-12"/>
          <w:sz w:val="24"/>
          <w:szCs w:val="24"/>
          <w:highlight w:val="none"/>
          <w:u w:val="single"/>
        </w:rPr>
        <w:t>按通用条款3.6条款执行</w:t>
      </w:r>
      <w:r>
        <w:rPr>
          <w:rFonts w:ascii="宋体" w:hAnsi="Courier New" w:cs="宋体"/>
          <w:spacing w:val="-12"/>
          <w:sz w:val="24"/>
          <w:szCs w:val="24"/>
          <w:highlight w:val="none"/>
        </w:rPr>
        <w:t>。</w:t>
      </w:r>
    </w:p>
    <w:p w14:paraId="1E6FBD4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3.7 履约担保</w:t>
      </w:r>
    </w:p>
    <w:p w14:paraId="2C5DC27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承包人是否提供履约担保：</w:t>
      </w:r>
      <w:r>
        <w:rPr>
          <w:rFonts w:hint="eastAsia" w:ascii="宋体" w:hAnsi="Courier New" w:cs="宋体"/>
          <w:sz w:val="24"/>
          <w:szCs w:val="24"/>
          <w:highlight w:val="none"/>
        </w:rPr>
        <w:t>是</w:t>
      </w:r>
      <w:r>
        <w:rPr>
          <w:rFonts w:ascii="宋体" w:hAnsi="Courier New" w:cs="宋体"/>
          <w:sz w:val="24"/>
          <w:szCs w:val="24"/>
          <w:highlight w:val="none"/>
        </w:rPr>
        <w:t>。</w:t>
      </w:r>
    </w:p>
    <w:p w14:paraId="646FB9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承包人提供履约担保的形式</w:t>
      </w:r>
      <w:r>
        <w:rPr>
          <w:rFonts w:hint="eastAsia" w:ascii="宋体" w:hAnsi="Courier New" w:cs="宋体"/>
          <w:sz w:val="24"/>
          <w:szCs w:val="24"/>
          <w:highlight w:val="none"/>
        </w:rPr>
        <w:t>、金额及期限的</w:t>
      </w:r>
      <w:r>
        <w:rPr>
          <w:rFonts w:ascii="宋体" w:hAnsi="Courier New" w:cs="宋体"/>
          <w:sz w:val="24"/>
          <w:szCs w:val="24"/>
          <w:highlight w:val="none"/>
        </w:rPr>
        <w:t>：。</w:t>
      </w:r>
    </w:p>
    <w:p w14:paraId="3E9FF35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46" w:name="_Toc351203636"/>
      <w:bookmarkEnd w:id="146"/>
      <w:r>
        <w:rPr>
          <w:rFonts w:ascii="宋体" w:hAnsi="Courier New" w:cs="宋体"/>
          <w:b/>
          <w:sz w:val="24"/>
          <w:szCs w:val="24"/>
          <w:highlight w:val="none"/>
        </w:rPr>
        <w:t>4</w:t>
      </w:r>
      <w:bookmarkStart w:id="147" w:name="_Toc296891202"/>
      <w:bookmarkEnd w:id="147"/>
      <w:bookmarkStart w:id="148" w:name="_Toc292559871"/>
      <w:bookmarkEnd w:id="148"/>
      <w:bookmarkStart w:id="149" w:name="_Toc292559366"/>
      <w:bookmarkEnd w:id="149"/>
      <w:bookmarkStart w:id="150" w:name="_Toc297048348"/>
      <w:bookmarkEnd w:id="150"/>
      <w:bookmarkStart w:id="151" w:name="_Toc296944501"/>
      <w:bookmarkEnd w:id="151"/>
      <w:bookmarkStart w:id="152" w:name="_Toc267251413"/>
      <w:bookmarkEnd w:id="152"/>
      <w:bookmarkStart w:id="153" w:name="_Toc296347161"/>
      <w:bookmarkEnd w:id="153"/>
      <w:bookmarkStart w:id="154" w:name="_Toc296890990"/>
      <w:bookmarkEnd w:id="154"/>
      <w:bookmarkStart w:id="155" w:name="_Toc296503162"/>
      <w:bookmarkEnd w:id="155"/>
      <w:bookmarkStart w:id="156" w:name="_Toc297120462"/>
      <w:bookmarkEnd w:id="156"/>
      <w:bookmarkStart w:id="157" w:name="_Toc296346663"/>
      <w:bookmarkEnd w:id="157"/>
      <w:r>
        <w:rPr>
          <w:rFonts w:ascii="宋体" w:hAnsi="Courier New" w:cs="宋体"/>
          <w:b/>
          <w:sz w:val="24"/>
          <w:szCs w:val="24"/>
          <w:highlight w:val="none"/>
        </w:rPr>
        <w:t>. 监理人</w:t>
      </w:r>
    </w:p>
    <w:p w14:paraId="6C2F45AA">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4.1监理人的一般规定</w:t>
      </w:r>
    </w:p>
    <w:p w14:paraId="4DD414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关于监理人的监理内容：</w:t>
      </w:r>
      <w:r>
        <w:rPr>
          <w:rFonts w:hint="eastAsia" w:ascii="宋体" w:hAnsi="Courier New" w:cs="宋体"/>
          <w:sz w:val="24"/>
          <w:szCs w:val="24"/>
          <w:highlight w:val="none"/>
          <w:u w:val="single"/>
        </w:rPr>
        <w:t>/</w:t>
      </w:r>
      <w:r>
        <w:rPr>
          <w:rFonts w:ascii="宋体" w:hAnsi="Courier New" w:cs="宋体"/>
          <w:sz w:val="24"/>
          <w:szCs w:val="24"/>
          <w:highlight w:val="none"/>
        </w:rPr>
        <w:t>。</w:t>
      </w:r>
    </w:p>
    <w:p w14:paraId="24CD98B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关于监理人的监理权限：</w:t>
      </w:r>
      <w:r>
        <w:rPr>
          <w:rFonts w:hint="eastAsia" w:ascii="宋体" w:hAnsi="Courier New" w:cs="宋体"/>
          <w:sz w:val="24"/>
          <w:szCs w:val="24"/>
          <w:highlight w:val="none"/>
          <w:u w:val="single"/>
        </w:rPr>
        <w:t>/</w:t>
      </w:r>
      <w:r>
        <w:rPr>
          <w:rFonts w:ascii="宋体" w:hAnsi="Courier New" w:cs="宋体"/>
          <w:sz w:val="24"/>
          <w:szCs w:val="24"/>
          <w:highlight w:val="none"/>
        </w:rPr>
        <w:t>。</w:t>
      </w:r>
    </w:p>
    <w:p w14:paraId="2A63534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关于监理人在施工现场的办公场所、生活场所的提供和费用承担的约定：</w:t>
      </w:r>
      <w:r>
        <w:rPr>
          <w:rFonts w:ascii="宋体" w:hAnsi="Courier New" w:cs="宋体"/>
          <w:sz w:val="24"/>
          <w:szCs w:val="24"/>
          <w:highlight w:val="none"/>
          <w:u w:val="single"/>
        </w:rPr>
        <w:t>/</w:t>
      </w:r>
      <w:r>
        <w:rPr>
          <w:rFonts w:ascii="宋体" w:hAnsi="Courier New" w:cs="宋体"/>
          <w:sz w:val="24"/>
          <w:szCs w:val="24"/>
          <w:highlight w:val="none"/>
        </w:rPr>
        <w:t>。</w:t>
      </w:r>
    </w:p>
    <w:p w14:paraId="54F947D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4.2 监理人员</w:t>
      </w:r>
    </w:p>
    <w:p w14:paraId="2E4E8BA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总监理工程师：</w:t>
      </w:r>
    </w:p>
    <w:p w14:paraId="239082B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姓名：</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2D3F39A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职务：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26CFB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监理工程师执业资格证书号：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277652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2C0A29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34B435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EE0D7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关于监理人的其他约定：</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7B479BD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4.4 商定或确定</w:t>
      </w:r>
    </w:p>
    <w:p w14:paraId="16FC4781">
      <w:pPr>
        <w:keepNext w:val="0"/>
        <w:keepLines w:val="0"/>
        <w:pageBreakBefore w:val="0"/>
        <w:widowControl/>
        <w:kinsoku/>
        <w:wordWrap w:val="0"/>
        <w:overflowPunct/>
        <w:topLinePunct w:val="0"/>
        <w:autoSpaceDE/>
        <w:autoSpaceDN/>
        <w:bidi w:val="0"/>
        <w:adjustRightInd/>
        <w:snapToGrid/>
        <w:spacing w:line="460" w:lineRule="exact"/>
        <w:ind w:firstLine="456" w:firstLineChars="200"/>
        <w:jc w:val="center"/>
        <w:textAlignment w:val="auto"/>
        <w:rPr>
          <w:rFonts w:ascii="宋体" w:hAnsi="Courier New" w:cs="宋体"/>
          <w:spacing w:val="-6"/>
          <w:sz w:val="24"/>
          <w:szCs w:val="24"/>
          <w:highlight w:val="none"/>
        </w:rPr>
      </w:pPr>
      <w:bookmarkStart w:id="158" w:name="_Toc267251418"/>
      <w:bookmarkEnd w:id="158"/>
      <w:r>
        <w:rPr>
          <w:rFonts w:ascii="宋体" w:hAnsi="Courier New" w:cs="宋体"/>
          <w:spacing w:val="-6"/>
          <w:sz w:val="24"/>
          <w:szCs w:val="24"/>
          <w:highlight w:val="none"/>
        </w:rPr>
        <w:t>在发包人和承包人不能通过协商达成一致意见时，发包人授权监理人对以下事项进行确定：</w:t>
      </w:r>
    </w:p>
    <w:p w14:paraId="026D386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r>
        <w:rPr>
          <w:rFonts w:hint="eastAsia" w:ascii="宋体" w:hAnsi="Courier New" w:cs="宋体"/>
          <w:sz w:val="24"/>
          <w:szCs w:val="24"/>
          <w:highlight w:val="none"/>
          <w:u w:val="single"/>
        </w:rPr>
        <w:t>/</w:t>
      </w:r>
      <w:r>
        <w:rPr>
          <w:rFonts w:ascii="宋体" w:hAnsi="Courier New" w:cs="宋体"/>
          <w:sz w:val="24"/>
          <w:szCs w:val="24"/>
          <w:highlight w:val="none"/>
        </w:rPr>
        <w:t>；</w:t>
      </w:r>
    </w:p>
    <w:p w14:paraId="27A862A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u w:val="single"/>
        </w:rPr>
        <w:t>/</w:t>
      </w:r>
      <w:r>
        <w:rPr>
          <w:rFonts w:ascii="宋体" w:hAnsi="Courier New" w:cs="宋体"/>
          <w:sz w:val="24"/>
          <w:szCs w:val="24"/>
          <w:highlight w:val="none"/>
        </w:rPr>
        <w:t>。</w:t>
      </w:r>
    </w:p>
    <w:p w14:paraId="13B1B1C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59" w:name="_Toc351203637"/>
      <w:bookmarkEnd w:id="159"/>
      <w:r>
        <w:rPr>
          <w:rFonts w:ascii="宋体" w:hAnsi="Courier New" w:cs="宋体"/>
          <w:b/>
          <w:sz w:val="24"/>
          <w:szCs w:val="24"/>
          <w:highlight w:val="none"/>
        </w:rPr>
        <w:t>5</w:t>
      </w:r>
      <w:bookmarkStart w:id="160" w:name="_Toc296503163"/>
      <w:bookmarkEnd w:id="160"/>
      <w:bookmarkStart w:id="161" w:name="_Toc297048349"/>
      <w:bookmarkEnd w:id="161"/>
      <w:bookmarkStart w:id="162" w:name="_Toc292559367"/>
      <w:bookmarkEnd w:id="162"/>
      <w:bookmarkStart w:id="163" w:name="_Toc297120463"/>
      <w:bookmarkEnd w:id="163"/>
      <w:bookmarkStart w:id="164" w:name="_Toc292559872"/>
      <w:bookmarkEnd w:id="164"/>
      <w:bookmarkStart w:id="165" w:name="_Toc296891203"/>
      <w:bookmarkEnd w:id="165"/>
      <w:bookmarkStart w:id="166" w:name="_Toc296347162"/>
      <w:bookmarkEnd w:id="166"/>
      <w:bookmarkStart w:id="167" w:name="_Toc296890991"/>
      <w:bookmarkEnd w:id="167"/>
      <w:bookmarkStart w:id="168" w:name="_Toc296944502"/>
      <w:bookmarkEnd w:id="168"/>
      <w:bookmarkStart w:id="169" w:name="_Toc296346664"/>
      <w:bookmarkEnd w:id="169"/>
      <w:r>
        <w:rPr>
          <w:rFonts w:ascii="宋体" w:hAnsi="Courier New" w:cs="宋体"/>
          <w:b/>
          <w:sz w:val="24"/>
          <w:szCs w:val="24"/>
          <w:highlight w:val="none"/>
        </w:rPr>
        <w:t>. 工程质量</w:t>
      </w:r>
    </w:p>
    <w:p w14:paraId="57B9866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5.1 质量要求</w:t>
      </w:r>
    </w:p>
    <w:p w14:paraId="5020D8C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5</w:t>
      </w:r>
      <w:bookmarkStart w:id="170" w:name="_Toc300934949"/>
      <w:bookmarkEnd w:id="170"/>
      <w:bookmarkStart w:id="171" w:name="_Toc318581164"/>
      <w:bookmarkEnd w:id="171"/>
      <w:bookmarkStart w:id="172" w:name="_Toc312677997"/>
      <w:bookmarkEnd w:id="172"/>
      <w:bookmarkStart w:id="173" w:name="_Toc304295527"/>
      <w:bookmarkEnd w:id="173"/>
      <w:bookmarkStart w:id="174" w:name="_Toc297216155"/>
      <w:bookmarkEnd w:id="174"/>
      <w:bookmarkStart w:id="175" w:name="_Toc303539106"/>
      <w:bookmarkEnd w:id="175"/>
      <w:bookmarkStart w:id="176" w:name="_Toc297123496"/>
      <w:bookmarkEnd w:id="176"/>
      <w:r>
        <w:rPr>
          <w:rFonts w:ascii="宋体" w:hAnsi="Courier New" w:cs="宋体"/>
          <w:sz w:val="24"/>
          <w:szCs w:val="24"/>
          <w:highlight w:val="none"/>
        </w:rPr>
        <w:t>.1.1 特殊质量标准和要求：。</w:t>
      </w:r>
    </w:p>
    <w:p w14:paraId="519C5B2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关于工程奖项的约定：。</w:t>
      </w:r>
    </w:p>
    <w:p w14:paraId="24D53B82">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5.3 隐蔽工程检查</w:t>
      </w:r>
    </w:p>
    <w:p w14:paraId="430EC5C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5.3.2承包人提前通知</w:t>
      </w:r>
      <w:r>
        <w:rPr>
          <w:rFonts w:hint="eastAsia" w:ascii="宋体" w:hAnsi="Courier New" w:cs="宋体"/>
          <w:sz w:val="24"/>
          <w:szCs w:val="24"/>
          <w:highlight w:val="none"/>
        </w:rPr>
        <w:t>发包</w:t>
      </w:r>
      <w:r>
        <w:rPr>
          <w:rFonts w:ascii="宋体" w:hAnsi="Courier New" w:cs="宋体"/>
          <w:sz w:val="24"/>
          <w:szCs w:val="24"/>
          <w:highlight w:val="none"/>
        </w:rPr>
        <w:t>人隐蔽工程检查的期限的约定：</w:t>
      </w:r>
      <w:r>
        <w:rPr>
          <w:rFonts w:ascii="宋体" w:hAnsi="Courier New" w:cs="宋体"/>
          <w:sz w:val="24"/>
          <w:szCs w:val="24"/>
          <w:highlight w:val="none"/>
          <w:u w:val="single"/>
        </w:rPr>
        <w:t>承包人应在</w:t>
      </w:r>
      <w:r>
        <w:rPr>
          <w:rFonts w:hint="eastAsia" w:ascii="宋体" w:hAnsi="Courier New" w:cs="宋体"/>
          <w:sz w:val="24"/>
          <w:szCs w:val="24"/>
          <w:highlight w:val="none"/>
          <w:u w:val="single"/>
        </w:rPr>
        <w:t>共同</w:t>
      </w:r>
      <w:r>
        <w:rPr>
          <w:rFonts w:ascii="宋体" w:hAnsi="Courier New" w:cs="宋体"/>
          <w:sz w:val="24"/>
          <w:szCs w:val="24"/>
          <w:highlight w:val="none"/>
          <w:u w:val="single"/>
        </w:rPr>
        <w:t>检查前48小时书面通知</w:t>
      </w:r>
      <w:r>
        <w:rPr>
          <w:rFonts w:hint="eastAsia" w:ascii="宋体" w:hAnsi="Courier New" w:cs="宋体"/>
          <w:sz w:val="24"/>
          <w:szCs w:val="24"/>
          <w:highlight w:val="none"/>
          <w:u w:val="single"/>
        </w:rPr>
        <w:t>发包人</w:t>
      </w:r>
      <w:r>
        <w:rPr>
          <w:rFonts w:ascii="宋体" w:hAnsi="Courier New" w:cs="宋体"/>
          <w:sz w:val="24"/>
          <w:szCs w:val="24"/>
          <w:highlight w:val="none"/>
          <w:u w:val="single"/>
        </w:rPr>
        <w:t>检查</w:t>
      </w:r>
      <w:r>
        <w:rPr>
          <w:rFonts w:ascii="宋体" w:hAnsi="Courier New" w:cs="宋体"/>
          <w:sz w:val="24"/>
          <w:szCs w:val="24"/>
          <w:highlight w:val="none"/>
        </w:rPr>
        <w:t>。</w:t>
      </w:r>
    </w:p>
    <w:p w14:paraId="33459AA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Courier New" w:cs="宋体"/>
          <w:sz w:val="24"/>
          <w:szCs w:val="24"/>
          <w:highlight w:val="none"/>
        </w:rPr>
        <w:t>发包人</w:t>
      </w:r>
      <w:r>
        <w:rPr>
          <w:rFonts w:ascii="宋体" w:hAnsi="Courier New" w:cs="宋体"/>
          <w:sz w:val="24"/>
          <w:szCs w:val="24"/>
          <w:highlight w:val="none"/>
        </w:rPr>
        <w:t>不能按时进行检查时，应提前</w:t>
      </w:r>
      <w:r>
        <w:rPr>
          <w:rFonts w:hint="eastAsia" w:ascii="宋体" w:hAnsi="Courier New" w:cs="宋体"/>
          <w:sz w:val="24"/>
          <w:szCs w:val="24"/>
          <w:highlight w:val="none"/>
          <w:u w:val="single"/>
        </w:rPr>
        <w:t xml:space="preserve">      24      </w:t>
      </w:r>
      <w:r>
        <w:rPr>
          <w:rFonts w:ascii="宋体" w:hAnsi="Courier New" w:cs="宋体"/>
          <w:sz w:val="24"/>
          <w:szCs w:val="24"/>
          <w:highlight w:val="none"/>
        </w:rPr>
        <w:t>小时提交书面延期要求。</w:t>
      </w:r>
    </w:p>
    <w:p w14:paraId="2097DB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关于延期最长不得超过：</w:t>
      </w:r>
      <w:r>
        <w:rPr>
          <w:rFonts w:hint="eastAsia" w:ascii="宋体" w:hAnsi="Courier New" w:cs="宋体"/>
          <w:sz w:val="24"/>
          <w:szCs w:val="24"/>
          <w:highlight w:val="none"/>
          <w:u w:val="single"/>
        </w:rPr>
        <w:t xml:space="preserve">      48</w:t>
      </w:r>
      <w:r>
        <w:rPr>
          <w:rFonts w:ascii="宋体" w:hAnsi="Courier New" w:cs="宋体"/>
          <w:sz w:val="24"/>
          <w:szCs w:val="24"/>
          <w:highlight w:val="none"/>
        </w:rPr>
        <w:t>小时。</w:t>
      </w:r>
    </w:p>
    <w:p w14:paraId="4CA3394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77" w:name="_Toc351203638"/>
      <w:bookmarkEnd w:id="177"/>
      <w:r>
        <w:rPr>
          <w:rFonts w:ascii="宋体" w:hAnsi="Courier New" w:cs="宋体"/>
          <w:b/>
          <w:sz w:val="24"/>
          <w:szCs w:val="24"/>
          <w:highlight w:val="none"/>
        </w:rPr>
        <w:t>6. 安全文明施工与环境保护</w:t>
      </w:r>
    </w:p>
    <w:p w14:paraId="46258E55">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6.1安全文明施工</w:t>
      </w:r>
    </w:p>
    <w:p w14:paraId="1A5A13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 xml:space="preserve">   6.1.1 项目安全生产的达标目标及相应事项的约定：</w:t>
      </w:r>
      <w:r>
        <w:rPr>
          <w:rFonts w:ascii="宋体" w:hAnsi="Courier New" w:cs="宋体"/>
          <w:sz w:val="24"/>
          <w:szCs w:val="24"/>
          <w:highlight w:val="none"/>
          <w:u w:val="single"/>
        </w:rPr>
        <w:t>遵守国家和工程所在地有关安全生产的要求</w:t>
      </w:r>
      <w:r>
        <w:rPr>
          <w:rFonts w:ascii="宋体" w:hAnsi="Courier New" w:cs="宋体"/>
          <w:sz w:val="24"/>
          <w:szCs w:val="24"/>
          <w:highlight w:val="none"/>
        </w:rPr>
        <w:t>。</w:t>
      </w:r>
    </w:p>
    <w:p w14:paraId="038460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6.1.4 关于治安保卫的特别约定：</w:t>
      </w:r>
      <w:r>
        <w:rPr>
          <w:rFonts w:hint="eastAsia" w:ascii="宋体" w:hAnsi="Courier New" w:cs="宋体"/>
          <w:sz w:val="24"/>
          <w:szCs w:val="24"/>
          <w:highlight w:val="none"/>
        </w:rPr>
        <w:t>按通用条款6.1.4款执行</w:t>
      </w:r>
      <w:r>
        <w:rPr>
          <w:rFonts w:ascii="宋体" w:hAnsi="Courier New" w:cs="宋体"/>
          <w:sz w:val="24"/>
          <w:szCs w:val="24"/>
          <w:highlight w:val="none"/>
        </w:rPr>
        <w:t>。</w:t>
      </w:r>
    </w:p>
    <w:p w14:paraId="7839910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关于编制施工场地治安管理计划的约定：</w:t>
      </w:r>
      <w:r>
        <w:rPr>
          <w:rFonts w:ascii="宋体" w:hAnsi="Courier New" w:cs="宋体"/>
          <w:sz w:val="24"/>
          <w:szCs w:val="24"/>
          <w:highlight w:val="none"/>
          <w:u w:val="single"/>
        </w:rPr>
        <w:t>按通用条款6.1.4款执行</w:t>
      </w:r>
      <w:r>
        <w:rPr>
          <w:rFonts w:ascii="宋体" w:hAnsi="Courier New" w:cs="宋体"/>
          <w:sz w:val="24"/>
          <w:szCs w:val="24"/>
          <w:highlight w:val="none"/>
        </w:rPr>
        <w:t>。</w:t>
      </w:r>
    </w:p>
    <w:p w14:paraId="1A182C0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6.1.5 文明施工</w:t>
      </w:r>
    </w:p>
    <w:p w14:paraId="77372582">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hint="eastAsia" w:ascii="宋体" w:hAnsi="Courier New" w:cs="宋体"/>
          <w:sz w:val="24"/>
          <w:szCs w:val="24"/>
          <w:highlight w:val="none"/>
        </w:rPr>
        <w:t>合同当事人对文明施工的要求：</w:t>
      </w:r>
      <w:r>
        <w:rPr>
          <w:rFonts w:hint="eastAsia" w:ascii="宋体" w:hAnsi="Courier New" w:cs="宋体"/>
          <w:sz w:val="24"/>
          <w:szCs w:val="24"/>
          <w:highlight w:val="none"/>
          <w:u w:val="single"/>
        </w:rPr>
        <w:t>承包人在工程施工期间，应当采取措施保持施工现场平整，物料堆放整齐。工程所在地有关政府行政管理部门有特殊要求的，按照其要求执行</w:t>
      </w:r>
      <w:r>
        <w:rPr>
          <w:rFonts w:hint="eastAsia" w:ascii="宋体" w:hAnsi="Courier New" w:cs="宋体"/>
          <w:sz w:val="24"/>
          <w:szCs w:val="24"/>
          <w:highlight w:val="none"/>
        </w:rPr>
        <w:t>。</w:t>
      </w:r>
    </w:p>
    <w:p w14:paraId="2EB1D2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6.1.6 关于安全文明施工费支付比例和支付期限的约定：。</w:t>
      </w:r>
    </w:p>
    <w:p w14:paraId="0851D9D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78" w:name="_Toc351203639"/>
      <w:bookmarkEnd w:id="178"/>
      <w:r>
        <w:rPr>
          <w:rFonts w:ascii="宋体" w:hAnsi="Courier New" w:cs="宋体"/>
          <w:b/>
          <w:sz w:val="24"/>
          <w:szCs w:val="24"/>
          <w:highlight w:val="none"/>
        </w:rPr>
        <w:t>7. 工期和进度</w:t>
      </w:r>
    </w:p>
    <w:p w14:paraId="412CBFF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7.1 施工组织设计</w:t>
      </w:r>
    </w:p>
    <w:p w14:paraId="4576F0A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7.1.</w:t>
      </w:r>
      <w:r>
        <w:rPr>
          <w:rFonts w:hint="eastAsia" w:ascii="宋体" w:hAnsi="Courier New" w:cs="宋体"/>
          <w:sz w:val="24"/>
          <w:szCs w:val="24"/>
          <w:highlight w:val="none"/>
        </w:rPr>
        <w:t>1 合同当事人约定的</w:t>
      </w:r>
      <w:r>
        <w:rPr>
          <w:rFonts w:ascii="宋体" w:hAnsi="Courier New" w:cs="宋体"/>
          <w:sz w:val="24"/>
          <w:szCs w:val="24"/>
          <w:highlight w:val="none"/>
        </w:rPr>
        <w:t>施工组织设计</w:t>
      </w:r>
      <w:r>
        <w:rPr>
          <w:rFonts w:hint="eastAsia" w:ascii="宋体" w:hAnsi="Courier New" w:cs="宋体"/>
          <w:sz w:val="24"/>
          <w:szCs w:val="24"/>
          <w:highlight w:val="none"/>
        </w:rPr>
        <w:t>应包括的其他内容</w:t>
      </w:r>
      <w:r>
        <w:rPr>
          <w:rFonts w:ascii="宋体" w:hAnsi="Courier New" w:cs="宋体"/>
          <w:sz w:val="24"/>
          <w:szCs w:val="24"/>
          <w:highlight w:val="none"/>
        </w:rPr>
        <w:t>：</w:t>
      </w:r>
      <w:r>
        <w:rPr>
          <w:rFonts w:ascii="宋体" w:hAnsi="Courier New" w:cs="宋体"/>
          <w:sz w:val="24"/>
          <w:szCs w:val="24"/>
          <w:highlight w:val="none"/>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sz w:val="24"/>
          <w:szCs w:val="24"/>
          <w:highlight w:val="none"/>
          <w:u w:val="single"/>
        </w:rPr>
        <w:t>；（9）合同当事人约定的其他内容</w:t>
      </w:r>
      <w:r>
        <w:rPr>
          <w:rFonts w:ascii="宋体" w:hAnsi="Courier New" w:cs="宋体"/>
          <w:sz w:val="24"/>
          <w:szCs w:val="24"/>
          <w:highlight w:val="none"/>
          <w:u w:val="single"/>
        </w:rPr>
        <w:t>。</w:t>
      </w:r>
    </w:p>
    <w:p w14:paraId="4F06147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7.1.2 施工组织设计的提交和修改</w:t>
      </w:r>
    </w:p>
    <w:p w14:paraId="65FA151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承包人提交详细施工组织设计的期限的约定：</w:t>
      </w:r>
      <w:r>
        <w:rPr>
          <w:rFonts w:ascii="宋体" w:hAnsi="Courier New" w:cs="宋体"/>
          <w:sz w:val="24"/>
          <w:szCs w:val="24"/>
          <w:highlight w:val="none"/>
          <w:u w:val="single"/>
        </w:rPr>
        <w:t>承包人应在合同签订后14天内，但最迟不得晚于开工日期前7天</w:t>
      </w:r>
      <w:r>
        <w:rPr>
          <w:rFonts w:ascii="宋体" w:hAnsi="Courier New" w:cs="宋体"/>
          <w:sz w:val="24"/>
          <w:szCs w:val="24"/>
          <w:highlight w:val="none"/>
        </w:rPr>
        <w:t>。</w:t>
      </w:r>
    </w:p>
    <w:p w14:paraId="6E15632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发包人在收到</w:t>
      </w:r>
      <w:r>
        <w:rPr>
          <w:rFonts w:hint="eastAsia" w:ascii="宋体" w:hAnsi="Courier New" w:cs="宋体"/>
          <w:sz w:val="24"/>
          <w:szCs w:val="24"/>
          <w:highlight w:val="none"/>
        </w:rPr>
        <w:t>详细的施工组织设计</w:t>
      </w:r>
      <w:r>
        <w:rPr>
          <w:rFonts w:ascii="宋体" w:hAnsi="Courier New" w:cs="宋体"/>
          <w:sz w:val="24"/>
          <w:szCs w:val="24"/>
          <w:highlight w:val="none"/>
        </w:rPr>
        <w:t>后确认或提出修改意见的期限：</w:t>
      </w:r>
      <w:r>
        <w:rPr>
          <w:rFonts w:hint="eastAsia" w:ascii="宋体" w:hAnsi="Courier New" w:cs="宋体"/>
          <w:sz w:val="24"/>
          <w:szCs w:val="24"/>
          <w:highlight w:val="none"/>
          <w:u w:val="single"/>
        </w:rPr>
        <w:t xml:space="preserve"> 7天内</w:t>
      </w:r>
      <w:r>
        <w:rPr>
          <w:rFonts w:ascii="宋体" w:hAnsi="Courier New" w:cs="宋体"/>
          <w:sz w:val="24"/>
          <w:szCs w:val="24"/>
          <w:highlight w:val="none"/>
        </w:rPr>
        <w:t>。</w:t>
      </w:r>
    </w:p>
    <w:p w14:paraId="296063B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79" w:name="_Toc304295541"/>
      <w:bookmarkEnd w:id="179"/>
      <w:bookmarkStart w:id="180" w:name="_Toc303539123"/>
      <w:bookmarkEnd w:id="180"/>
      <w:bookmarkStart w:id="181" w:name="_Toc300934966"/>
      <w:bookmarkEnd w:id="181"/>
      <w:bookmarkStart w:id="182" w:name="_Toc312677479"/>
      <w:bookmarkEnd w:id="182"/>
      <w:bookmarkStart w:id="183" w:name="_Toc297123514"/>
      <w:bookmarkEnd w:id="183"/>
      <w:bookmarkStart w:id="184" w:name="_Toc312678005"/>
      <w:bookmarkEnd w:id="184"/>
      <w:bookmarkStart w:id="185" w:name="_Toc297216173"/>
      <w:bookmarkEnd w:id="185"/>
      <w:r>
        <w:rPr>
          <w:rFonts w:ascii="宋体" w:hAnsi="Courier New" w:cs="宋体"/>
          <w:sz w:val="24"/>
          <w:szCs w:val="24"/>
          <w:highlight w:val="none"/>
        </w:rPr>
        <w:t>.2 施工进度计划</w:t>
      </w:r>
    </w:p>
    <w:p w14:paraId="57FD16F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7.2.2 施工进度计划的修订</w:t>
      </w:r>
    </w:p>
    <w:p w14:paraId="08B0808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发包人在收到修订的施工进度计划后确认或提出修改意见的期限：</w:t>
      </w:r>
      <w:r>
        <w:rPr>
          <w:rFonts w:ascii="宋体" w:hAnsi="Courier New" w:cs="宋体"/>
          <w:sz w:val="24"/>
          <w:szCs w:val="24"/>
          <w:highlight w:val="none"/>
          <w:u w:val="single"/>
        </w:rPr>
        <w:t xml:space="preserve"> 7天内</w:t>
      </w:r>
      <w:r>
        <w:rPr>
          <w:rFonts w:ascii="宋体" w:hAnsi="Courier New" w:cs="宋体"/>
          <w:sz w:val="24"/>
          <w:szCs w:val="24"/>
          <w:highlight w:val="none"/>
        </w:rPr>
        <w:t>。</w:t>
      </w:r>
    </w:p>
    <w:p w14:paraId="0AFA175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 开工</w:t>
      </w:r>
    </w:p>
    <w:p w14:paraId="1AA598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7.3.1 开工准备</w:t>
      </w:r>
    </w:p>
    <w:p w14:paraId="194EF7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关于承包人提交工程开工报审表的期限：</w:t>
      </w:r>
      <w:r>
        <w:rPr>
          <w:rFonts w:hint="eastAsia" w:ascii="宋体" w:hAnsi="Courier New" w:cs="宋体"/>
          <w:sz w:val="24"/>
          <w:szCs w:val="24"/>
          <w:highlight w:val="none"/>
          <w:u w:val="single"/>
        </w:rPr>
        <w:t>同专用条款</w:t>
      </w:r>
      <w:r>
        <w:rPr>
          <w:rFonts w:ascii="宋体" w:hAnsi="Courier New" w:cs="宋体"/>
          <w:sz w:val="24"/>
          <w:szCs w:val="24"/>
          <w:highlight w:val="none"/>
          <w:u w:val="single"/>
        </w:rPr>
        <w:t>7.1.2</w:t>
      </w:r>
      <w:r>
        <w:rPr>
          <w:rFonts w:hint="eastAsia" w:ascii="宋体" w:hAnsi="Courier New" w:cs="宋体"/>
          <w:sz w:val="24"/>
          <w:szCs w:val="24"/>
          <w:highlight w:val="none"/>
          <w:u w:val="single"/>
        </w:rPr>
        <w:t>款</w:t>
      </w:r>
      <w:r>
        <w:rPr>
          <w:rFonts w:ascii="宋体" w:hAnsi="Courier New" w:cs="宋体"/>
          <w:sz w:val="24"/>
          <w:szCs w:val="24"/>
          <w:highlight w:val="none"/>
        </w:rPr>
        <w:t>。</w:t>
      </w:r>
    </w:p>
    <w:p w14:paraId="5E57747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关于发包人应完成的其他开工准备工作及期限：。</w:t>
      </w:r>
    </w:p>
    <w:p w14:paraId="48BBB50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关于承包人应完成的其他开工准备工作及期限：。</w:t>
      </w:r>
    </w:p>
    <w:p w14:paraId="01A7BE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7.3.2开工通知</w:t>
      </w:r>
    </w:p>
    <w:p w14:paraId="6871184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因发包人原因造成未能在计划开工日期之日起</w:t>
      </w:r>
      <w:r>
        <w:rPr>
          <w:rFonts w:hint="eastAsia" w:ascii="宋体" w:hAnsi="Courier New" w:cs="宋体"/>
          <w:sz w:val="24"/>
          <w:szCs w:val="24"/>
          <w:highlight w:val="none"/>
        </w:rPr>
        <w:t>120</w:t>
      </w:r>
      <w:r>
        <w:rPr>
          <w:rFonts w:ascii="宋体" w:hAnsi="Courier New" w:cs="宋体"/>
          <w:sz w:val="24"/>
          <w:szCs w:val="24"/>
          <w:highlight w:val="none"/>
        </w:rPr>
        <w:t>天内发出开工通知的，承包人有权提出价格调整要求，或者解除合同。</w:t>
      </w:r>
    </w:p>
    <w:p w14:paraId="2614585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7.4 测量放线</w:t>
      </w:r>
    </w:p>
    <w:p w14:paraId="6D57FC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7.4.1发包人向承包人提供测量基准点、基准线和水准点及其书面资料的期限：。</w:t>
      </w:r>
    </w:p>
    <w:p w14:paraId="233D94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86" w:name="_Toc300934968"/>
      <w:bookmarkEnd w:id="186"/>
      <w:bookmarkStart w:id="187" w:name="_Toc297216175"/>
      <w:bookmarkEnd w:id="187"/>
      <w:bookmarkStart w:id="188" w:name="_Toc303539125"/>
      <w:bookmarkEnd w:id="188"/>
      <w:bookmarkStart w:id="189" w:name="_Toc312677484"/>
      <w:bookmarkEnd w:id="189"/>
      <w:bookmarkStart w:id="190" w:name="_Toc297123516"/>
      <w:bookmarkEnd w:id="190"/>
      <w:bookmarkStart w:id="191" w:name="_Toc312678010"/>
      <w:bookmarkEnd w:id="191"/>
      <w:bookmarkStart w:id="192" w:name="_Toc304295546"/>
      <w:bookmarkEnd w:id="192"/>
      <w:r>
        <w:rPr>
          <w:rFonts w:ascii="宋体" w:hAnsi="Courier New" w:cs="宋体"/>
          <w:sz w:val="24"/>
          <w:szCs w:val="24"/>
          <w:highlight w:val="none"/>
        </w:rPr>
        <w:t>.5 工期延误</w:t>
      </w:r>
    </w:p>
    <w:p w14:paraId="2BB7D74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7.5.1 因发包人原因导致工期延误</w:t>
      </w:r>
    </w:p>
    <w:p w14:paraId="174BEB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（7）因发包人原因导致工期延误的其他情形：</w:t>
      </w:r>
      <w:r>
        <w:rPr>
          <w:rFonts w:ascii="宋体" w:hAnsi="Courier New" w:cs="宋体"/>
          <w:sz w:val="24"/>
          <w:szCs w:val="24"/>
          <w:highlight w:val="none"/>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sz w:val="24"/>
          <w:szCs w:val="24"/>
          <w:highlight w:val="none"/>
          <w:u w:val="single"/>
        </w:rPr>
        <w:t>3</w:t>
      </w:r>
      <w:r>
        <w:rPr>
          <w:rFonts w:ascii="宋体" w:hAnsi="Courier New" w:cs="宋体"/>
          <w:sz w:val="24"/>
          <w:szCs w:val="24"/>
          <w:highlight w:val="none"/>
          <w:u w:val="single"/>
        </w:rPr>
        <w:t>）发包人未能在计划开工日期之日起7天内同意下达开工通知的；（</w:t>
      </w:r>
      <w:r>
        <w:rPr>
          <w:rFonts w:hint="eastAsia" w:ascii="宋体" w:hAnsi="Courier New" w:cs="宋体"/>
          <w:sz w:val="24"/>
          <w:szCs w:val="24"/>
          <w:highlight w:val="none"/>
          <w:u w:val="single"/>
        </w:rPr>
        <w:t>4</w:t>
      </w:r>
      <w:r>
        <w:rPr>
          <w:rFonts w:ascii="宋体" w:hAnsi="Courier New" w:cs="宋体"/>
          <w:sz w:val="24"/>
          <w:szCs w:val="24"/>
          <w:highlight w:val="none"/>
          <w:u w:val="single"/>
        </w:rPr>
        <w:t>）发包人未能按合同约定日期支付工程预付款、进度款或竣工结算款的；（</w:t>
      </w:r>
      <w:r>
        <w:rPr>
          <w:rFonts w:hint="eastAsia" w:ascii="宋体" w:hAnsi="Courier New" w:cs="宋体"/>
          <w:sz w:val="24"/>
          <w:szCs w:val="24"/>
          <w:highlight w:val="none"/>
          <w:u w:val="single"/>
        </w:rPr>
        <w:t>5</w:t>
      </w:r>
      <w:r>
        <w:rPr>
          <w:rFonts w:ascii="宋体" w:hAnsi="Courier New" w:cs="宋体"/>
          <w:sz w:val="24"/>
          <w:szCs w:val="24"/>
          <w:highlight w:val="none"/>
          <w:u w:val="single"/>
        </w:rPr>
        <w:t>）监理人未按合同约定发出指示、批准等文件的</w:t>
      </w:r>
      <w:r>
        <w:rPr>
          <w:rFonts w:hint="eastAsia" w:ascii="宋体" w:hAnsi="Courier New" w:cs="宋体"/>
          <w:sz w:val="24"/>
          <w:szCs w:val="24"/>
          <w:highlight w:val="none"/>
          <w:u w:val="single"/>
        </w:rPr>
        <w:t>工期顺延</w:t>
      </w:r>
      <w:r>
        <w:rPr>
          <w:rFonts w:ascii="宋体" w:hAnsi="Courier New" w:cs="宋体"/>
          <w:sz w:val="24"/>
          <w:szCs w:val="24"/>
          <w:highlight w:val="none"/>
        </w:rPr>
        <w:t>。</w:t>
      </w:r>
    </w:p>
    <w:p w14:paraId="06EEB94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93" w:name="_Toc312678012"/>
      <w:bookmarkEnd w:id="193"/>
      <w:bookmarkStart w:id="194" w:name="_Toc312677486"/>
      <w:bookmarkEnd w:id="194"/>
      <w:bookmarkStart w:id="195" w:name="_Toc297216177"/>
      <w:bookmarkEnd w:id="195"/>
      <w:bookmarkStart w:id="196" w:name="_Toc300934970"/>
      <w:bookmarkEnd w:id="196"/>
      <w:bookmarkStart w:id="197" w:name="_Toc303539127"/>
      <w:bookmarkEnd w:id="197"/>
      <w:bookmarkStart w:id="198" w:name="_Toc304295548"/>
      <w:bookmarkEnd w:id="198"/>
      <w:bookmarkStart w:id="199" w:name="_Toc318581169"/>
      <w:bookmarkEnd w:id="199"/>
      <w:bookmarkStart w:id="200" w:name="_Toc297123518"/>
      <w:bookmarkEnd w:id="200"/>
      <w:r>
        <w:rPr>
          <w:rFonts w:ascii="宋体" w:hAnsi="Courier New" w:cs="宋体"/>
          <w:sz w:val="24"/>
          <w:szCs w:val="24"/>
          <w:highlight w:val="none"/>
        </w:rPr>
        <w:t>.5.2 因承包人原因导致工期延误</w:t>
      </w:r>
    </w:p>
    <w:p w14:paraId="783E4BC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因</w:t>
      </w:r>
      <w:bookmarkStart w:id="201" w:name="_Toc312677487"/>
      <w:bookmarkEnd w:id="201"/>
      <w:bookmarkStart w:id="202" w:name="_Toc318581170"/>
      <w:bookmarkEnd w:id="202"/>
      <w:bookmarkStart w:id="203" w:name="_Toc312678013"/>
      <w:bookmarkEnd w:id="203"/>
      <w:r>
        <w:rPr>
          <w:rFonts w:ascii="宋体" w:hAnsi="Courier New" w:cs="宋体"/>
          <w:sz w:val="24"/>
          <w:szCs w:val="24"/>
          <w:highlight w:val="none"/>
        </w:rPr>
        <w:t>承包人原因造成工期延误，逾期竣工违约金的计算方法为：</w:t>
      </w:r>
      <w:r>
        <w:rPr>
          <w:rFonts w:hint="eastAsia" w:ascii="宋体" w:hAnsi="Courier New" w:cs="宋体"/>
          <w:sz w:val="24"/>
          <w:szCs w:val="24"/>
          <w:highlight w:val="none"/>
          <w:u w:val="single"/>
        </w:rPr>
        <w:t>每天1000元累计计算</w:t>
      </w:r>
      <w:r>
        <w:rPr>
          <w:rFonts w:ascii="宋体" w:hAnsi="Courier New" w:cs="宋体"/>
          <w:sz w:val="24"/>
          <w:szCs w:val="24"/>
          <w:highlight w:val="none"/>
        </w:rPr>
        <w:t>。</w:t>
      </w:r>
    </w:p>
    <w:p w14:paraId="74B69BE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因承包人原因造成工期延误，逾</w:t>
      </w:r>
      <w:bookmarkStart w:id="204" w:name="_Toc318581171"/>
      <w:bookmarkEnd w:id="204"/>
      <w:bookmarkStart w:id="205" w:name="_Toc312678014"/>
      <w:bookmarkEnd w:id="205"/>
      <w:r>
        <w:rPr>
          <w:rFonts w:ascii="宋体" w:hAnsi="Courier New" w:cs="宋体"/>
          <w:sz w:val="24"/>
          <w:szCs w:val="24"/>
          <w:highlight w:val="none"/>
        </w:rPr>
        <w:t>期竣工违约金的上限：</w:t>
      </w:r>
      <w:r>
        <w:rPr>
          <w:rFonts w:hint="eastAsia" w:ascii="宋体" w:hAnsi="Courier New" w:cs="宋体"/>
          <w:sz w:val="24"/>
          <w:szCs w:val="24"/>
          <w:highlight w:val="none"/>
          <w:u w:val="single"/>
        </w:rPr>
        <w:t>10万元</w:t>
      </w:r>
      <w:r>
        <w:rPr>
          <w:rFonts w:ascii="宋体" w:hAnsi="Courier New" w:cs="宋体"/>
          <w:sz w:val="24"/>
          <w:szCs w:val="24"/>
          <w:highlight w:val="none"/>
        </w:rPr>
        <w:t>。</w:t>
      </w:r>
    </w:p>
    <w:p w14:paraId="7DE2BA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206" w:name="_Toc303539128"/>
      <w:bookmarkEnd w:id="206"/>
      <w:bookmarkStart w:id="207" w:name="_Toc304295549"/>
      <w:bookmarkEnd w:id="207"/>
      <w:bookmarkStart w:id="208" w:name="_Toc297123519"/>
      <w:bookmarkEnd w:id="208"/>
      <w:bookmarkStart w:id="209" w:name="_Toc300934971"/>
      <w:bookmarkEnd w:id="209"/>
      <w:bookmarkStart w:id="210" w:name="_Toc297216178"/>
      <w:bookmarkEnd w:id="210"/>
      <w:bookmarkStart w:id="211" w:name="_Toc312678015"/>
      <w:bookmarkEnd w:id="211"/>
      <w:r>
        <w:rPr>
          <w:rFonts w:ascii="宋体" w:hAnsi="Courier New" w:cs="宋体"/>
          <w:sz w:val="24"/>
          <w:szCs w:val="24"/>
          <w:highlight w:val="none"/>
        </w:rPr>
        <w:t>.6 不利物质条件</w:t>
      </w:r>
    </w:p>
    <w:p w14:paraId="72F37BF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212" w:name="_Toc312678016"/>
      <w:bookmarkEnd w:id="212"/>
      <w:bookmarkStart w:id="213" w:name="_Toc297123520"/>
      <w:bookmarkEnd w:id="213"/>
      <w:bookmarkStart w:id="214" w:name="_Toc318581172"/>
      <w:bookmarkEnd w:id="214"/>
      <w:bookmarkStart w:id="215" w:name="_Toc300934972"/>
      <w:bookmarkEnd w:id="215"/>
      <w:bookmarkStart w:id="216" w:name="_Toc304295550"/>
      <w:bookmarkEnd w:id="216"/>
      <w:bookmarkStart w:id="217" w:name="_Toc297216179"/>
      <w:bookmarkEnd w:id="217"/>
      <w:bookmarkStart w:id="218" w:name="_Toc303539129"/>
      <w:bookmarkEnd w:id="218"/>
      <w:r>
        <w:rPr>
          <w:rFonts w:ascii="宋体" w:hAnsi="Courier New" w:cs="宋体"/>
          <w:sz w:val="24"/>
          <w:szCs w:val="24"/>
          <w:highlight w:val="none"/>
        </w:rPr>
        <w:t>不利物质条件的其他情形和有关约定：</w:t>
      </w:r>
      <w:r>
        <w:rPr>
          <w:rFonts w:hint="eastAsia" w:ascii="宋体" w:hAnsi="Courier New" w:cs="宋体"/>
          <w:sz w:val="24"/>
          <w:szCs w:val="24"/>
          <w:highlight w:val="none"/>
          <w:u w:val="single"/>
        </w:rPr>
        <w:t>按通用条款</w:t>
      </w:r>
      <w:r>
        <w:rPr>
          <w:rFonts w:ascii="宋体" w:hAnsi="Courier New" w:cs="宋体"/>
          <w:sz w:val="24"/>
          <w:szCs w:val="24"/>
          <w:highlight w:val="none"/>
          <w:u w:val="single"/>
        </w:rPr>
        <w:t>7.6</w:t>
      </w:r>
      <w:r>
        <w:rPr>
          <w:rFonts w:hint="eastAsia" w:ascii="宋体" w:hAnsi="Courier New" w:cs="宋体"/>
          <w:sz w:val="24"/>
          <w:szCs w:val="24"/>
          <w:highlight w:val="none"/>
          <w:u w:val="single"/>
        </w:rPr>
        <w:t>款执行</w:t>
      </w:r>
      <w:r>
        <w:rPr>
          <w:rFonts w:ascii="宋体" w:hAnsi="Courier New" w:cs="宋体"/>
          <w:sz w:val="24"/>
          <w:szCs w:val="24"/>
          <w:highlight w:val="none"/>
        </w:rPr>
        <w:t>。</w:t>
      </w:r>
    </w:p>
    <w:p w14:paraId="29EED8D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219" w:name="_Toc304295551"/>
      <w:bookmarkEnd w:id="219"/>
      <w:bookmarkStart w:id="220" w:name="_Toc297216180"/>
      <w:bookmarkEnd w:id="220"/>
      <w:bookmarkStart w:id="221" w:name="_Toc303539130"/>
      <w:bookmarkEnd w:id="221"/>
      <w:bookmarkStart w:id="222" w:name="_Toc300934973"/>
      <w:bookmarkEnd w:id="222"/>
      <w:bookmarkStart w:id="223" w:name="_Toc297123521"/>
      <w:bookmarkEnd w:id="223"/>
      <w:bookmarkStart w:id="224" w:name="_Toc312678017"/>
      <w:bookmarkEnd w:id="224"/>
      <w:r>
        <w:rPr>
          <w:rFonts w:ascii="宋体" w:hAnsi="Courier New" w:cs="宋体"/>
          <w:sz w:val="24"/>
          <w:szCs w:val="24"/>
          <w:highlight w:val="none"/>
        </w:rPr>
        <w:t>.7异常恶劣的气候条件</w:t>
      </w:r>
    </w:p>
    <w:p w14:paraId="32658DA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发包人和承包人同意以下情形视为异常恶劣的气候条件：</w:t>
      </w:r>
    </w:p>
    <w:p w14:paraId="3201984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r>
        <w:rPr>
          <w:rFonts w:hint="eastAsia" w:ascii="宋体" w:hAnsi="Courier New" w:cs="宋体"/>
          <w:sz w:val="24"/>
          <w:szCs w:val="24"/>
          <w:highlight w:val="none"/>
          <w:u w:val="single"/>
        </w:rPr>
        <w:t>日气温超过37摄氏度或低于零下10摄氏度</w:t>
      </w:r>
      <w:r>
        <w:rPr>
          <w:rFonts w:ascii="宋体" w:hAnsi="Courier New" w:cs="宋体"/>
          <w:sz w:val="24"/>
          <w:szCs w:val="24"/>
          <w:highlight w:val="none"/>
          <w:u w:val="single"/>
        </w:rPr>
        <w:t>；</w:t>
      </w:r>
    </w:p>
    <w:p w14:paraId="04CA461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u w:val="single"/>
        </w:rPr>
        <w:t>雷电强降雨、24小时内降水量达到50.0mm的暴雨</w:t>
      </w:r>
      <w:r>
        <w:rPr>
          <w:rFonts w:ascii="宋体" w:hAnsi="Courier New" w:cs="宋体"/>
          <w:sz w:val="24"/>
          <w:szCs w:val="24"/>
          <w:highlight w:val="none"/>
        </w:rPr>
        <w:t>；</w:t>
      </w:r>
    </w:p>
    <w:p w14:paraId="6E1A01E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r>
        <w:rPr>
          <w:rFonts w:hint="eastAsia" w:ascii="宋体" w:hAnsi="Courier New" w:cs="宋体"/>
          <w:sz w:val="24"/>
          <w:szCs w:val="24"/>
          <w:highlight w:val="none"/>
          <w:u w:val="single"/>
        </w:rPr>
        <w:t>大雪、冰雹、冰灾、龙卷风、6级以上大风、雾霾等</w:t>
      </w:r>
      <w:r>
        <w:rPr>
          <w:rFonts w:ascii="宋体" w:hAnsi="Courier New" w:cs="宋体"/>
          <w:sz w:val="24"/>
          <w:szCs w:val="24"/>
          <w:highlight w:val="none"/>
          <w:u w:val="single"/>
        </w:rPr>
        <w:t>。</w:t>
      </w:r>
    </w:p>
    <w:p w14:paraId="05FE80B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7.9 提前竣工的奖励</w:t>
      </w:r>
    </w:p>
    <w:p w14:paraId="2AA7BC4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7.9.2提前竣工的奖励：</w:t>
      </w:r>
      <w:r>
        <w:rPr>
          <w:rFonts w:ascii="宋体" w:hAnsi="Courier New" w:cs="宋体"/>
          <w:sz w:val="24"/>
          <w:szCs w:val="24"/>
          <w:highlight w:val="none"/>
          <w:u w:val="single"/>
        </w:rPr>
        <w:t>由双方协商确定。</w:t>
      </w:r>
    </w:p>
    <w:p w14:paraId="217EBC6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225" w:name="_Toc351203640"/>
      <w:bookmarkEnd w:id="225"/>
      <w:r>
        <w:rPr>
          <w:rFonts w:ascii="宋体" w:hAnsi="Courier New" w:cs="宋体"/>
          <w:b/>
          <w:sz w:val="24"/>
          <w:szCs w:val="24"/>
          <w:highlight w:val="none"/>
        </w:rPr>
        <w:t>8. 材料与设备</w:t>
      </w:r>
    </w:p>
    <w:p w14:paraId="67E2989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8</w:t>
      </w:r>
      <w:bookmarkStart w:id="226" w:name="_Toc297123527"/>
      <w:bookmarkEnd w:id="226"/>
      <w:bookmarkStart w:id="227" w:name="_Toc296503167"/>
      <w:bookmarkEnd w:id="227"/>
      <w:bookmarkStart w:id="228" w:name="_Toc296891207"/>
      <w:bookmarkEnd w:id="228"/>
      <w:bookmarkStart w:id="229" w:name="_Toc292559372"/>
      <w:bookmarkEnd w:id="229"/>
      <w:bookmarkStart w:id="230" w:name="_Toc300934979"/>
      <w:bookmarkEnd w:id="230"/>
      <w:bookmarkStart w:id="231" w:name="_Toc280868654"/>
      <w:bookmarkEnd w:id="231"/>
      <w:bookmarkStart w:id="232" w:name="_Toc280868656"/>
      <w:bookmarkEnd w:id="232"/>
      <w:bookmarkStart w:id="233" w:name="_Toc297120467"/>
      <w:bookmarkEnd w:id="233"/>
      <w:bookmarkStart w:id="234" w:name="_Toc303539136"/>
      <w:bookmarkEnd w:id="234"/>
      <w:bookmarkStart w:id="235" w:name="_Toc304295556"/>
      <w:bookmarkEnd w:id="235"/>
      <w:bookmarkStart w:id="236" w:name="_Toc296346668"/>
      <w:bookmarkEnd w:id="236"/>
      <w:bookmarkStart w:id="237" w:name="_Toc267251424"/>
      <w:bookmarkEnd w:id="237"/>
      <w:bookmarkStart w:id="238" w:name="_Toc297048353"/>
      <w:bookmarkEnd w:id="238"/>
      <w:bookmarkStart w:id="239" w:name="_Toc312677493"/>
      <w:bookmarkEnd w:id="239"/>
      <w:bookmarkStart w:id="240" w:name="_Toc296944506"/>
      <w:bookmarkEnd w:id="240"/>
      <w:bookmarkStart w:id="241" w:name="_Toc296347166"/>
      <w:bookmarkEnd w:id="241"/>
      <w:bookmarkStart w:id="242" w:name="_Toc312678019"/>
      <w:bookmarkEnd w:id="242"/>
      <w:bookmarkStart w:id="243" w:name="_Toc296890995"/>
      <w:bookmarkEnd w:id="243"/>
      <w:bookmarkStart w:id="244" w:name="_Toc297216186"/>
      <w:bookmarkEnd w:id="244"/>
      <w:bookmarkStart w:id="245" w:name="_Toc280868655"/>
      <w:bookmarkEnd w:id="245"/>
      <w:bookmarkStart w:id="246" w:name="_Toc292559877"/>
      <w:bookmarkEnd w:id="246"/>
      <w:r>
        <w:rPr>
          <w:rFonts w:ascii="宋体" w:hAnsi="Courier New" w:cs="宋体"/>
          <w:b/>
          <w:sz w:val="24"/>
          <w:szCs w:val="24"/>
          <w:highlight w:val="none"/>
        </w:rPr>
        <w:t>.4材料与工程设备的保管与使用</w:t>
      </w:r>
    </w:p>
    <w:p w14:paraId="261C245D">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8</w:t>
      </w:r>
      <w:bookmarkStart w:id="247" w:name="_Toc296891208"/>
      <w:bookmarkEnd w:id="247"/>
      <w:bookmarkStart w:id="248" w:name="_Toc296346669"/>
      <w:bookmarkEnd w:id="248"/>
      <w:bookmarkStart w:id="249" w:name="_Toc296944507"/>
      <w:bookmarkEnd w:id="249"/>
      <w:bookmarkStart w:id="250" w:name="_Toc296347167"/>
      <w:bookmarkEnd w:id="250"/>
      <w:bookmarkStart w:id="251" w:name="_Toc297216187"/>
      <w:bookmarkEnd w:id="251"/>
      <w:bookmarkStart w:id="252" w:name="_Toc303539137"/>
      <w:bookmarkEnd w:id="252"/>
      <w:bookmarkStart w:id="253" w:name="_Toc297123528"/>
      <w:bookmarkEnd w:id="253"/>
      <w:bookmarkStart w:id="254" w:name="_Toc300934980"/>
      <w:bookmarkEnd w:id="254"/>
      <w:bookmarkStart w:id="255" w:name="_Toc292559878"/>
      <w:bookmarkEnd w:id="255"/>
      <w:bookmarkStart w:id="256" w:name="_Toc318581173"/>
      <w:bookmarkEnd w:id="256"/>
      <w:bookmarkStart w:id="257" w:name="_Toc296890996"/>
      <w:bookmarkEnd w:id="257"/>
      <w:bookmarkStart w:id="258" w:name="_Toc297048354"/>
      <w:bookmarkEnd w:id="258"/>
      <w:bookmarkStart w:id="259" w:name="_Toc296503168"/>
      <w:bookmarkEnd w:id="259"/>
      <w:bookmarkStart w:id="260" w:name="_Toc312677494"/>
      <w:bookmarkEnd w:id="260"/>
      <w:bookmarkStart w:id="261" w:name="_Toc304295557"/>
      <w:bookmarkEnd w:id="261"/>
      <w:bookmarkStart w:id="262" w:name="_Toc312678020"/>
      <w:bookmarkEnd w:id="262"/>
      <w:bookmarkStart w:id="263" w:name="_Toc297120468"/>
      <w:bookmarkEnd w:id="263"/>
      <w:bookmarkStart w:id="264" w:name="_Toc292559373"/>
      <w:bookmarkEnd w:id="264"/>
      <w:r>
        <w:rPr>
          <w:rFonts w:ascii="宋体" w:hAnsi="Courier New" w:cs="宋体"/>
          <w:sz w:val="24"/>
          <w:szCs w:val="24"/>
          <w:highlight w:val="none"/>
        </w:rPr>
        <w:t>.4.1发包人供应的材料设备的保管费用的承担：</w:t>
      </w:r>
      <w:r>
        <w:rPr>
          <w:rFonts w:hint="eastAsia" w:ascii="宋体" w:hAnsi="Courier New" w:cs="宋体"/>
          <w:sz w:val="24"/>
          <w:szCs w:val="24"/>
          <w:highlight w:val="none"/>
          <w:u w:val="single"/>
        </w:rPr>
        <w:t>按通用条款8</w:t>
      </w:r>
      <w:r>
        <w:rPr>
          <w:rFonts w:ascii="宋体" w:hAnsi="Courier New" w:cs="宋体"/>
          <w:sz w:val="24"/>
          <w:szCs w:val="24"/>
          <w:highlight w:val="none"/>
          <w:u w:val="single"/>
        </w:rPr>
        <w:t>.</w:t>
      </w:r>
      <w:r>
        <w:rPr>
          <w:rFonts w:hint="eastAsia" w:ascii="宋体" w:hAnsi="Courier New" w:cs="宋体"/>
          <w:sz w:val="24"/>
          <w:szCs w:val="24"/>
          <w:highlight w:val="none"/>
          <w:u w:val="single"/>
        </w:rPr>
        <w:t>4.1款执行</w:t>
      </w:r>
      <w:r>
        <w:rPr>
          <w:rFonts w:ascii="宋体" w:hAnsi="Courier New" w:cs="宋体"/>
          <w:sz w:val="24"/>
          <w:szCs w:val="24"/>
          <w:highlight w:val="none"/>
        </w:rPr>
        <w:t>。</w:t>
      </w:r>
    </w:p>
    <w:p w14:paraId="07D91AE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8.6 样品</w:t>
      </w:r>
    </w:p>
    <w:p w14:paraId="7E5FBFD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8.6.1</w:t>
      </w:r>
      <w:r>
        <w:rPr>
          <w:rFonts w:ascii="宋体" w:hAnsi="Courier New" w:cs="宋体"/>
          <w:sz w:val="24"/>
          <w:szCs w:val="24"/>
          <w:highlight w:val="none"/>
        </w:rPr>
        <w:tab/>
      </w:r>
      <w:r>
        <w:rPr>
          <w:rFonts w:ascii="宋体" w:hAnsi="Courier New" w:cs="宋体"/>
          <w:sz w:val="24"/>
          <w:szCs w:val="24"/>
          <w:highlight w:val="none"/>
        </w:rPr>
        <w:t>样品的报送</w:t>
      </w:r>
      <w:r>
        <w:rPr>
          <w:rFonts w:hint="eastAsia" w:ascii="宋体" w:hAnsi="Courier New" w:cs="宋体"/>
          <w:sz w:val="24"/>
          <w:szCs w:val="24"/>
          <w:highlight w:val="none"/>
        </w:rPr>
        <w:t>与封存</w:t>
      </w:r>
    </w:p>
    <w:p w14:paraId="0A87BD0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需要承包人报送样品的材料或工程设备，样品的种类、名称、规格、数量要求：。</w:t>
      </w:r>
    </w:p>
    <w:p w14:paraId="0CF1975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8.8 施工设备和临时设施</w:t>
      </w:r>
    </w:p>
    <w:p w14:paraId="481625F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8.8.1 承包人提供的施工设备和临时设施</w:t>
      </w:r>
    </w:p>
    <w:p w14:paraId="1D60B4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关于修建临时设施费用承担的约定：</w:t>
      </w:r>
      <w:r>
        <w:rPr>
          <w:rFonts w:hint="eastAsia" w:ascii="宋体" w:hAnsi="Courier New" w:cs="宋体"/>
          <w:sz w:val="24"/>
          <w:szCs w:val="24"/>
          <w:highlight w:val="none"/>
          <w:u w:val="single"/>
        </w:rPr>
        <w:t>按通用条款8</w:t>
      </w:r>
      <w:r>
        <w:rPr>
          <w:rFonts w:ascii="宋体" w:hAnsi="Courier New" w:cs="宋体"/>
          <w:sz w:val="24"/>
          <w:szCs w:val="24"/>
          <w:highlight w:val="none"/>
          <w:u w:val="single"/>
        </w:rPr>
        <w:t>.</w:t>
      </w:r>
      <w:r>
        <w:rPr>
          <w:rFonts w:hint="eastAsia" w:ascii="宋体" w:hAnsi="Courier New" w:cs="宋体"/>
          <w:sz w:val="24"/>
          <w:szCs w:val="24"/>
          <w:highlight w:val="none"/>
          <w:u w:val="single"/>
        </w:rPr>
        <w:t>8款执行，由承包人承担</w:t>
      </w:r>
      <w:r>
        <w:rPr>
          <w:rFonts w:ascii="宋体" w:hAnsi="Courier New" w:cs="宋体"/>
          <w:sz w:val="24"/>
          <w:szCs w:val="24"/>
          <w:highlight w:val="none"/>
        </w:rPr>
        <w:t>。</w:t>
      </w:r>
    </w:p>
    <w:p w14:paraId="2CBBF36D">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265" w:name="_Toc351203641"/>
      <w:bookmarkEnd w:id="265"/>
      <w:r>
        <w:rPr>
          <w:rFonts w:ascii="宋体" w:hAnsi="Courier New" w:cs="宋体"/>
          <w:b/>
          <w:sz w:val="24"/>
          <w:szCs w:val="24"/>
          <w:highlight w:val="none"/>
        </w:rPr>
        <w:t>9</w:t>
      </w:r>
      <w:bookmarkStart w:id="266" w:name="_Toc292559883"/>
      <w:bookmarkEnd w:id="266"/>
      <w:bookmarkStart w:id="267" w:name="_Toc297048359"/>
      <w:bookmarkEnd w:id="267"/>
      <w:bookmarkStart w:id="268" w:name="_Toc312677495"/>
      <w:bookmarkEnd w:id="268"/>
      <w:bookmarkStart w:id="269" w:name="_Toc267251427"/>
      <w:bookmarkEnd w:id="269"/>
      <w:bookmarkStart w:id="270" w:name="_Toc297120473"/>
      <w:bookmarkEnd w:id="270"/>
      <w:bookmarkStart w:id="271" w:name="_Toc297123533"/>
      <w:bookmarkEnd w:id="271"/>
      <w:bookmarkStart w:id="272" w:name="_Toc297216192"/>
      <w:bookmarkEnd w:id="272"/>
      <w:bookmarkStart w:id="273" w:name="_Toc296944512"/>
      <w:bookmarkEnd w:id="273"/>
      <w:bookmarkStart w:id="274" w:name="_Toc300934982"/>
      <w:bookmarkEnd w:id="274"/>
      <w:bookmarkStart w:id="275" w:name="_Toc303539139"/>
      <w:bookmarkEnd w:id="275"/>
      <w:bookmarkStart w:id="276" w:name="_Toc292559378"/>
      <w:bookmarkEnd w:id="276"/>
      <w:bookmarkStart w:id="277" w:name="_Toc267251428"/>
      <w:bookmarkEnd w:id="277"/>
      <w:bookmarkStart w:id="278" w:name="_Toc296503173"/>
      <w:bookmarkEnd w:id="278"/>
      <w:bookmarkStart w:id="279" w:name="_Toc296347172"/>
      <w:bookmarkEnd w:id="279"/>
      <w:bookmarkStart w:id="280" w:name="_Toc312678021"/>
      <w:bookmarkEnd w:id="280"/>
      <w:bookmarkStart w:id="281" w:name="_Toc296346674"/>
      <w:bookmarkEnd w:id="281"/>
      <w:bookmarkStart w:id="282" w:name="_Toc296891213"/>
      <w:bookmarkEnd w:id="282"/>
      <w:bookmarkStart w:id="283" w:name="_Toc296891001"/>
      <w:bookmarkEnd w:id="283"/>
      <w:bookmarkStart w:id="284" w:name="_Toc304295559"/>
      <w:bookmarkEnd w:id="284"/>
      <w:r>
        <w:rPr>
          <w:rFonts w:ascii="宋体" w:hAnsi="Courier New" w:cs="宋体"/>
          <w:b/>
          <w:sz w:val="24"/>
          <w:szCs w:val="24"/>
          <w:highlight w:val="none"/>
        </w:rPr>
        <w:t>. 试验与检验</w:t>
      </w:r>
    </w:p>
    <w:p w14:paraId="778F151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w:t>
      </w:r>
      <w:bookmarkStart w:id="285" w:name="_Toc312677496"/>
      <w:bookmarkEnd w:id="285"/>
      <w:bookmarkStart w:id="286" w:name="_Toc312678022"/>
      <w:bookmarkEnd w:id="286"/>
      <w:bookmarkStart w:id="287" w:name="_Toc297123534"/>
      <w:bookmarkEnd w:id="287"/>
      <w:bookmarkStart w:id="288" w:name="_Toc297216193"/>
      <w:bookmarkEnd w:id="288"/>
      <w:bookmarkStart w:id="289" w:name="_Toc300934983"/>
      <w:bookmarkEnd w:id="289"/>
      <w:bookmarkStart w:id="290" w:name="_Toc303539140"/>
      <w:bookmarkEnd w:id="290"/>
      <w:bookmarkStart w:id="291" w:name="_Toc304295560"/>
      <w:bookmarkEnd w:id="291"/>
      <w:r>
        <w:rPr>
          <w:rFonts w:ascii="宋体" w:hAnsi="Courier New" w:cs="宋体"/>
          <w:sz w:val="24"/>
          <w:szCs w:val="24"/>
          <w:highlight w:val="none"/>
        </w:rPr>
        <w:t>.1试验设备与试验人员</w:t>
      </w:r>
    </w:p>
    <w:p w14:paraId="57D5439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w:t>
      </w:r>
      <w:bookmarkStart w:id="292" w:name="_Toc312678023"/>
      <w:bookmarkEnd w:id="292"/>
      <w:bookmarkStart w:id="293" w:name="_Toc303539141"/>
      <w:bookmarkEnd w:id="293"/>
      <w:bookmarkStart w:id="294" w:name="_Toc304295561"/>
      <w:bookmarkEnd w:id="294"/>
      <w:bookmarkStart w:id="295" w:name="_Toc318581174"/>
      <w:bookmarkEnd w:id="295"/>
      <w:bookmarkStart w:id="296" w:name="_Toc297123535"/>
      <w:bookmarkEnd w:id="296"/>
      <w:bookmarkStart w:id="297" w:name="_Toc300934984"/>
      <w:bookmarkEnd w:id="297"/>
      <w:bookmarkStart w:id="298" w:name="_Toc312677497"/>
      <w:bookmarkEnd w:id="298"/>
      <w:bookmarkStart w:id="299" w:name="_Toc297216194"/>
      <w:bookmarkEnd w:id="299"/>
      <w:r>
        <w:rPr>
          <w:rFonts w:ascii="宋体" w:hAnsi="Courier New" w:cs="宋体"/>
          <w:sz w:val="24"/>
          <w:szCs w:val="24"/>
          <w:highlight w:val="none"/>
        </w:rPr>
        <w:t>.1.2 试验设备</w:t>
      </w:r>
    </w:p>
    <w:p w14:paraId="2612EF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施工现场需要配置的试验场所：</w:t>
      </w:r>
      <w:bookmarkStart w:id="300" w:name="_Toc312678024"/>
      <w:bookmarkEnd w:id="300"/>
      <w:bookmarkStart w:id="301" w:name="_Toc300934985"/>
      <w:bookmarkEnd w:id="301"/>
      <w:bookmarkStart w:id="302" w:name="_Toc303539142"/>
      <w:bookmarkEnd w:id="302"/>
      <w:bookmarkStart w:id="303" w:name="_Toc297123536"/>
      <w:bookmarkEnd w:id="303"/>
      <w:bookmarkStart w:id="304" w:name="_Toc297216195"/>
      <w:bookmarkEnd w:id="304"/>
      <w:bookmarkStart w:id="305" w:name="_Toc312677498"/>
      <w:bookmarkEnd w:id="305"/>
      <w:bookmarkStart w:id="306" w:name="_Toc304295562"/>
      <w:bookmarkEnd w:id="306"/>
      <w:r>
        <w:rPr>
          <w:rFonts w:hint="eastAsia" w:ascii="宋体" w:hAnsi="Courier New" w:cs="宋体"/>
          <w:sz w:val="24"/>
          <w:szCs w:val="24"/>
          <w:highlight w:val="none"/>
          <w:u w:val="single"/>
        </w:rPr>
        <w:t>/</w:t>
      </w:r>
      <w:r>
        <w:rPr>
          <w:rFonts w:ascii="宋体" w:hAnsi="Courier New" w:cs="宋体"/>
          <w:sz w:val="24"/>
          <w:szCs w:val="24"/>
          <w:highlight w:val="none"/>
        </w:rPr>
        <w:t>。</w:t>
      </w:r>
    </w:p>
    <w:p w14:paraId="3736FD7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施工现场需要配备的试验设备：</w:t>
      </w:r>
      <w:r>
        <w:rPr>
          <w:rFonts w:hint="eastAsia" w:ascii="宋体" w:hAnsi="Courier New" w:cs="宋体"/>
          <w:sz w:val="24"/>
          <w:szCs w:val="24"/>
          <w:highlight w:val="none"/>
          <w:u w:val="single"/>
        </w:rPr>
        <w:t>/</w:t>
      </w:r>
      <w:r>
        <w:rPr>
          <w:rFonts w:ascii="宋体" w:hAnsi="Courier New" w:cs="宋体"/>
          <w:sz w:val="24"/>
          <w:szCs w:val="24"/>
          <w:highlight w:val="none"/>
        </w:rPr>
        <w:t>。</w:t>
      </w:r>
    </w:p>
    <w:p w14:paraId="7D64B7E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施工现场需要具备的其他试验条件：</w:t>
      </w:r>
      <w:r>
        <w:rPr>
          <w:rFonts w:hint="eastAsia" w:ascii="宋体" w:hAnsi="Courier New" w:cs="宋体"/>
          <w:sz w:val="24"/>
          <w:szCs w:val="24"/>
          <w:highlight w:val="none"/>
          <w:u w:val="single"/>
        </w:rPr>
        <w:t>/</w:t>
      </w:r>
      <w:r>
        <w:rPr>
          <w:rFonts w:ascii="宋体" w:hAnsi="Courier New" w:cs="宋体"/>
          <w:sz w:val="24"/>
          <w:szCs w:val="24"/>
          <w:highlight w:val="none"/>
        </w:rPr>
        <w:t>。</w:t>
      </w:r>
    </w:p>
    <w:p w14:paraId="67EB15A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9.4 现场工艺试验</w:t>
      </w:r>
    </w:p>
    <w:p w14:paraId="4B50997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现场工艺试验的有关约定：</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0344EC8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307" w:name="_Toc351203642"/>
      <w:bookmarkEnd w:id="307"/>
      <w:r>
        <w:rPr>
          <w:rFonts w:ascii="宋体" w:hAnsi="Courier New" w:cs="宋体"/>
          <w:b/>
          <w:sz w:val="24"/>
          <w:szCs w:val="24"/>
          <w:highlight w:val="none"/>
        </w:rPr>
        <w:t>1</w:t>
      </w:r>
      <w:bookmarkStart w:id="308" w:name="_Toc292559903"/>
      <w:bookmarkEnd w:id="308"/>
      <w:bookmarkStart w:id="309" w:name="_Toc267251442"/>
      <w:bookmarkEnd w:id="309"/>
      <w:bookmarkStart w:id="310" w:name="_Toc297120493"/>
      <w:bookmarkEnd w:id="310"/>
      <w:bookmarkStart w:id="311" w:name="_Toc296891021"/>
      <w:bookmarkEnd w:id="311"/>
      <w:bookmarkStart w:id="312" w:name="_Toc267251433"/>
      <w:bookmarkEnd w:id="312"/>
      <w:bookmarkStart w:id="313" w:name="_Toc303539146"/>
      <w:bookmarkEnd w:id="313"/>
      <w:bookmarkStart w:id="314" w:name="_Toc292559398"/>
      <w:bookmarkEnd w:id="314"/>
      <w:bookmarkStart w:id="315" w:name="_Toc267251440"/>
      <w:bookmarkEnd w:id="315"/>
      <w:bookmarkStart w:id="316" w:name="_Toc267251441"/>
      <w:bookmarkEnd w:id="316"/>
      <w:bookmarkStart w:id="317" w:name="_Toc297216199"/>
      <w:bookmarkEnd w:id="317"/>
      <w:bookmarkStart w:id="318" w:name="_Toc296503193"/>
      <w:bookmarkEnd w:id="318"/>
      <w:bookmarkStart w:id="319" w:name="_Toc267251439"/>
      <w:bookmarkEnd w:id="319"/>
      <w:bookmarkStart w:id="320" w:name="_Toc312677499"/>
      <w:bookmarkEnd w:id="320"/>
      <w:bookmarkStart w:id="321" w:name="_Toc312678025"/>
      <w:bookmarkEnd w:id="321"/>
      <w:bookmarkStart w:id="322" w:name="_Toc296347192"/>
      <w:bookmarkEnd w:id="322"/>
      <w:bookmarkStart w:id="323" w:name="_Toc267251435"/>
      <w:bookmarkEnd w:id="323"/>
      <w:bookmarkStart w:id="324" w:name="_Toc296891233"/>
      <w:bookmarkEnd w:id="324"/>
      <w:bookmarkStart w:id="325" w:name="_Toc296944532"/>
      <w:bookmarkEnd w:id="325"/>
      <w:bookmarkStart w:id="326" w:name="_Toc297048379"/>
      <w:bookmarkEnd w:id="326"/>
      <w:bookmarkStart w:id="327" w:name="_Toc304295566"/>
      <w:bookmarkEnd w:id="327"/>
      <w:bookmarkStart w:id="328" w:name="_Toc300934989"/>
      <w:bookmarkEnd w:id="328"/>
      <w:bookmarkStart w:id="329" w:name="_Toc297123540"/>
      <w:bookmarkEnd w:id="329"/>
      <w:bookmarkStart w:id="330" w:name="_Toc267251437"/>
      <w:bookmarkEnd w:id="330"/>
      <w:bookmarkStart w:id="331" w:name="_Toc296346694"/>
      <w:bookmarkEnd w:id="331"/>
      <w:r>
        <w:rPr>
          <w:rFonts w:ascii="宋体" w:hAnsi="Courier New" w:cs="宋体"/>
          <w:b/>
          <w:sz w:val="24"/>
          <w:szCs w:val="24"/>
          <w:highlight w:val="none"/>
        </w:rPr>
        <w:t>0. 变更</w:t>
      </w:r>
    </w:p>
    <w:p w14:paraId="74A4E81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32" w:name="_Toc296347193"/>
      <w:bookmarkEnd w:id="332"/>
      <w:bookmarkStart w:id="333" w:name="_Toc297123541"/>
      <w:bookmarkEnd w:id="333"/>
      <w:bookmarkStart w:id="334" w:name="_Toc303539147"/>
      <w:bookmarkEnd w:id="334"/>
      <w:bookmarkStart w:id="335" w:name="_Toc292559399"/>
      <w:bookmarkEnd w:id="335"/>
      <w:bookmarkStart w:id="336" w:name="_Toc304295567"/>
      <w:bookmarkEnd w:id="336"/>
      <w:bookmarkStart w:id="337" w:name="_Toc296503194"/>
      <w:bookmarkEnd w:id="337"/>
      <w:bookmarkStart w:id="338" w:name="_Toc312677500"/>
      <w:bookmarkEnd w:id="338"/>
      <w:bookmarkStart w:id="339" w:name="_Toc296891234"/>
      <w:bookmarkEnd w:id="339"/>
      <w:bookmarkStart w:id="340" w:name="_Toc297048380"/>
      <w:bookmarkEnd w:id="340"/>
      <w:bookmarkStart w:id="341" w:name="_Toc296346695"/>
      <w:bookmarkEnd w:id="341"/>
      <w:bookmarkStart w:id="342" w:name="_Toc300934990"/>
      <w:bookmarkEnd w:id="342"/>
      <w:bookmarkStart w:id="343" w:name="_Toc297216200"/>
      <w:bookmarkEnd w:id="343"/>
      <w:bookmarkStart w:id="344" w:name="_Toc296891022"/>
      <w:bookmarkEnd w:id="344"/>
      <w:bookmarkStart w:id="345" w:name="_Toc297120494"/>
      <w:bookmarkEnd w:id="345"/>
      <w:bookmarkStart w:id="346" w:name="_Toc296944533"/>
      <w:bookmarkEnd w:id="346"/>
      <w:bookmarkStart w:id="347" w:name="_Toc292559904"/>
      <w:bookmarkEnd w:id="347"/>
      <w:bookmarkStart w:id="348" w:name="_Toc312678026"/>
      <w:bookmarkEnd w:id="348"/>
      <w:r>
        <w:rPr>
          <w:rFonts w:ascii="宋体" w:hAnsi="Courier New" w:cs="宋体"/>
          <w:sz w:val="24"/>
          <w:szCs w:val="24"/>
          <w:highlight w:val="none"/>
        </w:rPr>
        <w:t>0.1变更的范围</w:t>
      </w:r>
    </w:p>
    <w:p w14:paraId="15E280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关于变更的范围的约定：</w:t>
      </w:r>
      <w:r>
        <w:rPr>
          <w:rFonts w:ascii="宋体" w:hAnsi="Courier New" w:cs="宋体"/>
          <w:sz w:val="24"/>
          <w:szCs w:val="24"/>
          <w:highlight w:val="none"/>
          <w:u w:val="single"/>
        </w:rPr>
        <w:t>（1）</w:t>
      </w:r>
      <w:r>
        <w:rPr>
          <w:rFonts w:ascii="宋体" w:hAnsi="Courier New" w:cs="宋体"/>
          <w:spacing w:val="-6"/>
          <w:sz w:val="24"/>
          <w:szCs w:val="24"/>
          <w:highlight w:val="none"/>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sz w:val="24"/>
          <w:szCs w:val="24"/>
          <w:highlight w:val="none"/>
          <w:u w:val="single"/>
        </w:rPr>
        <w:t>间安排或实施顺序</w:t>
      </w:r>
      <w:r>
        <w:rPr>
          <w:rFonts w:ascii="宋体" w:hAnsi="Courier New" w:cs="宋体"/>
          <w:sz w:val="24"/>
          <w:szCs w:val="24"/>
          <w:highlight w:val="none"/>
        </w:rPr>
        <w:t>。</w:t>
      </w:r>
    </w:p>
    <w:p w14:paraId="0542A19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10.4 变更估价</w:t>
      </w:r>
    </w:p>
    <w:p w14:paraId="6138524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10.4.1 变更估价原则</w:t>
      </w:r>
    </w:p>
    <w:p w14:paraId="52677C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关于变更估价的约定:。</w:t>
      </w:r>
    </w:p>
    <w:p w14:paraId="632798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49" w:name="_Toc297120497"/>
      <w:bookmarkEnd w:id="349"/>
      <w:bookmarkStart w:id="350" w:name="_Toc296891237"/>
      <w:bookmarkEnd w:id="350"/>
      <w:bookmarkStart w:id="351" w:name="_Toc292559402"/>
      <w:bookmarkEnd w:id="351"/>
      <w:bookmarkStart w:id="352" w:name="_Toc312677503"/>
      <w:bookmarkEnd w:id="352"/>
      <w:bookmarkStart w:id="353" w:name="_Toc296347196"/>
      <w:bookmarkEnd w:id="353"/>
      <w:bookmarkStart w:id="354" w:name="_Toc297123544"/>
      <w:bookmarkEnd w:id="354"/>
      <w:bookmarkStart w:id="355" w:name="_Toc304295570"/>
      <w:bookmarkEnd w:id="355"/>
      <w:bookmarkStart w:id="356" w:name="_Toc292559907"/>
      <w:bookmarkEnd w:id="356"/>
      <w:bookmarkStart w:id="357" w:name="_Toc296346698"/>
      <w:bookmarkEnd w:id="357"/>
      <w:bookmarkStart w:id="358" w:name="_Toc312678029"/>
      <w:bookmarkEnd w:id="358"/>
      <w:bookmarkStart w:id="359" w:name="_Toc296891025"/>
      <w:bookmarkEnd w:id="359"/>
      <w:bookmarkStart w:id="360" w:name="_Toc303539150"/>
      <w:bookmarkEnd w:id="360"/>
      <w:bookmarkStart w:id="361" w:name="_Toc296944536"/>
      <w:bookmarkEnd w:id="361"/>
      <w:bookmarkStart w:id="362" w:name="_Toc297048383"/>
      <w:bookmarkEnd w:id="362"/>
      <w:bookmarkStart w:id="363" w:name="_Toc296503197"/>
      <w:bookmarkEnd w:id="363"/>
      <w:bookmarkStart w:id="364" w:name="_Toc300934993"/>
      <w:bookmarkEnd w:id="364"/>
      <w:bookmarkStart w:id="365" w:name="_Toc297216203"/>
      <w:bookmarkEnd w:id="365"/>
      <w:r>
        <w:rPr>
          <w:rFonts w:ascii="宋体" w:hAnsi="Courier New" w:cs="宋体"/>
          <w:sz w:val="24"/>
          <w:szCs w:val="24"/>
          <w:highlight w:val="none"/>
        </w:rPr>
        <w:t>0.5承</w:t>
      </w:r>
      <w:bookmarkStart w:id="366" w:name="_Toc296347202"/>
      <w:bookmarkEnd w:id="366"/>
      <w:bookmarkStart w:id="367" w:name="_Toc296346704"/>
      <w:bookmarkEnd w:id="367"/>
      <w:bookmarkStart w:id="368" w:name="_Toc296891031"/>
      <w:bookmarkEnd w:id="368"/>
      <w:bookmarkStart w:id="369" w:name="_Toc292559913"/>
      <w:bookmarkEnd w:id="369"/>
      <w:bookmarkStart w:id="370" w:name="_Toc297120503"/>
      <w:bookmarkEnd w:id="370"/>
      <w:bookmarkStart w:id="371" w:name="_Toc296891243"/>
      <w:bookmarkEnd w:id="371"/>
      <w:bookmarkStart w:id="372" w:name="_Toc297048389"/>
      <w:bookmarkEnd w:id="372"/>
      <w:bookmarkStart w:id="373" w:name="_Toc297123545"/>
      <w:bookmarkEnd w:id="373"/>
      <w:bookmarkStart w:id="374" w:name="_Toc292559408"/>
      <w:bookmarkEnd w:id="374"/>
      <w:bookmarkStart w:id="375" w:name="_Toc303539151"/>
      <w:bookmarkEnd w:id="375"/>
      <w:bookmarkStart w:id="376" w:name="_Toc296944542"/>
      <w:bookmarkEnd w:id="376"/>
      <w:bookmarkStart w:id="377" w:name="_Toc300934994"/>
      <w:bookmarkEnd w:id="377"/>
      <w:bookmarkStart w:id="378" w:name="_Toc297216204"/>
      <w:bookmarkEnd w:id="378"/>
      <w:bookmarkStart w:id="379" w:name="_Toc296503203"/>
      <w:bookmarkEnd w:id="379"/>
      <w:r>
        <w:rPr>
          <w:rFonts w:ascii="宋体" w:hAnsi="Courier New" w:cs="宋体"/>
          <w:sz w:val="24"/>
          <w:szCs w:val="24"/>
          <w:highlight w:val="none"/>
        </w:rPr>
        <w:t>包人的合理化建议</w:t>
      </w:r>
    </w:p>
    <w:p w14:paraId="28D89A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发包人审批承包人合理化建议的期限：</w:t>
      </w:r>
      <w:r>
        <w:rPr>
          <w:rFonts w:hint="eastAsia" w:ascii="宋体" w:hAnsi="Courier New" w:cs="宋体"/>
          <w:sz w:val="24"/>
          <w:szCs w:val="24"/>
          <w:highlight w:val="none"/>
          <w:u w:val="single"/>
        </w:rPr>
        <w:t>/</w:t>
      </w:r>
      <w:r>
        <w:rPr>
          <w:rFonts w:ascii="宋体" w:hAnsi="Courier New" w:cs="宋体"/>
          <w:sz w:val="24"/>
          <w:szCs w:val="24"/>
          <w:highlight w:val="none"/>
        </w:rPr>
        <w:t>。</w:t>
      </w:r>
    </w:p>
    <w:p w14:paraId="69967F8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w:t>
      </w:r>
      <w:bookmarkStart w:id="380" w:name="_Toc292559914"/>
      <w:bookmarkEnd w:id="380"/>
      <w:bookmarkStart w:id="381" w:name="_Toc296891244"/>
      <w:bookmarkEnd w:id="381"/>
      <w:bookmarkStart w:id="382" w:name="_Toc312678030"/>
      <w:bookmarkEnd w:id="382"/>
      <w:bookmarkStart w:id="383" w:name="_Toc297123546"/>
      <w:bookmarkEnd w:id="383"/>
      <w:bookmarkStart w:id="384" w:name="_Toc303539152"/>
      <w:bookmarkEnd w:id="384"/>
      <w:bookmarkStart w:id="385" w:name="_Toc312677504"/>
      <w:bookmarkEnd w:id="385"/>
      <w:bookmarkStart w:id="386" w:name="_Toc318581175"/>
      <w:bookmarkEnd w:id="386"/>
      <w:bookmarkStart w:id="387" w:name="_Toc304295571"/>
      <w:bookmarkEnd w:id="387"/>
      <w:bookmarkStart w:id="388" w:name="_Toc297216205"/>
      <w:bookmarkEnd w:id="388"/>
      <w:bookmarkStart w:id="389" w:name="_Toc297048390"/>
      <w:bookmarkEnd w:id="389"/>
      <w:bookmarkStart w:id="390" w:name="_Toc296347203"/>
      <w:bookmarkEnd w:id="390"/>
      <w:bookmarkStart w:id="391" w:name="_Toc296346705"/>
      <w:bookmarkEnd w:id="391"/>
      <w:bookmarkStart w:id="392" w:name="_Toc300934995"/>
      <w:bookmarkEnd w:id="392"/>
      <w:bookmarkStart w:id="393" w:name="_Toc292559409"/>
      <w:bookmarkEnd w:id="393"/>
      <w:bookmarkStart w:id="394" w:name="_Toc296891032"/>
      <w:bookmarkEnd w:id="394"/>
      <w:bookmarkStart w:id="395" w:name="_Toc296944543"/>
      <w:bookmarkEnd w:id="395"/>
      <w:bookmarkStart w:id="396" w:name="_Toc297120504"/>
      <w:bookmarkEnd w:id="396"/>
      <w:bookmarkStart w:id="397" w:name="_Toc296503204"/>
      <w:bookmarkEnd w:id="397"/>
      <w:r>
        <w:rPr>
          <w:rFonts w:ascii="宋体" w:hAnsi="Courier New" w:cs="宋体"/>
          <w:sz w:val="24"/>
          <w:szCs w:val="24"/>
          <w:highlight w:val="none"/>
        </w:rPr>
        <w:t>包人提出的合理化建议降低了合同价格或者提高了工程经济效益的奖励的方法和金额为：。</w:t>
      </w:r>
    </w:p>
    <w:p w14:paraId="3101DA7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98" w:name="_Toc297123548"/>
      <w:bookmarkEnd w:id="398"/>
      <w:bookmarkStart w:id="399" w:name="_Toc297120499"/>
      <w:bookmarkEnd w:id="399"/>
      <w:bookmarkStart w:id="400" w:name="_Toc296347198"/>
      <w:bookmarkEnd w:id="400"/>
      <w:bookmarkStart w:id="401" w:name="_Toc300934997"/>
      <w:bookmarkEnd w:id="401"/>
      <w:bookmarkStart w:id="402" w:name="_Toc296346700"/>
      <w:bookmarkEnd w:id="402"/>
      <w:bookmarkStart w:id="403" w:name="_Toc296891239"/>
      <w:bookmarkEnd w:id="403"/>
      <w:bookmarkStart w:id="404" w:name="_Toc296944538"/>
      <w:bookmarkEnd w:id="404"/>
      <w:bookmarkStart w:id="405" w:name="_Toc292559404"/>
      <w:bookmarkEnd w:id="405"/>
      <w:bookmarkStart w:id="406" w:name="_Toc297216207"/>
      <w:bookmarkEnd w:id="406"/>
      <w:bookmarkStart w:id="407" w:name="_Toc296503199"/>
      <w:bookmarkEnd w:id="407"/>
      <w:bookmarkStart w:id="408" w:name="_Toc296891027"/>
      <w:bookmarkEnd w:id="408"/>
      <w:bookmarkStart w:id="409" w:name="_Toc312677507"/>
      <w:bookmarkEnd w:id="409"/>
      <w:bookmarkStart w:id="410" w:name="_Toc303539154"/>
      <w:bookmarkEnd w:id="410"/>
      <w:bookmarkStart w:id="411" w:name="_Toc297048385"/>
      <w:bookmarkEnd w:id="411"/>
      <w:bookmarkStart w:id="412" w:name="_Toc312678033"/>
      <w:bookmarkEnd w:id="412"/>
      <w:bookmarkStart w:id="413" w:name="_Toc304295574"/>
      <w:bookmarkEnd w:id="413"/>
      <w:bookmarkStart w:id="414" w:name="_Toc292559909"/>
      <w:bookmarkEnd w:id="414"/>
      <w:r>
        <w:rPr>
          <w:rFonts w:ascii="宋体" w:hAnsi="Courier New" w:cs="宋体"/>
          <w:sz w:val="24"/>
          <w:szCs w:val="24"/>
          <w:highlight w:val="none"/>
        </w:rPr>
        <w:t>0.7 暂估价</w:t>
      </w:r>
    </w:p>
    <w:p w14:paraId="70B1E4E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暂</w:t>
      </w:r>
      <w:bookmarkStart w:id="415" w:name="_Toc318581176"/>
      <w:bookmarkEnd w:id="415"/>
      <w:bookmarkStart w:id="416" w:name="_Toc312678034"/>
      <w:bookmarkEnd w:id="416"/>
      <w:bookmarkStart w:id="417" w:name="_Toc312677508"/>
      <w:bookmarkEnd w:id="417"/>
      <w:r>
        <w:rPr>
          <w:rFonts w:ascii="宋体" w:hAnsi="Courier New" w:cs="宋体"/>
          <w:sz w:val="24"/>
          <w:szCs w:val="24"/>
          <w:highlight w:val="none"/>
        </w:rPr>
        <w:t>估价材料和工程设备的明细详见附件</w:t>
      </w:r>
      <w:r>
        <w:rPr>
          <w:rFonts w:hint="eastAsia" w:ascii="宋体" w:hAnsi="Courier New" w:cs="宋体"/>
          <w:sz w:val="24"/>
          <w:szCs w:val="24"/>
          <w:highlight w:val="none"/>
        </w:rPr>
        <w:t>11：《</w:t>
      </w:r>
      <w:r>
        <w:rPr>
          <w:rFonts w:ascii="宋体" w:hAnsi="Courier New" w:cs="宋体"/>
          <w:sz w:val="24"/>
          <w:szCs w:val="24"/>
          <w:highlight w:val="none"/>
        </w:rPr>
        <w:t>暂估价一览表</w:t>
      </w:r>
      <w:r>
        <w:rPr>
          <w:rFonts w:hint="eastAsia" w:ascii="宋体" w:hAnsi="Courier New" w:cs="宋体"/>
          <w:sz w:val="24"/>
          <w:szCs w:val="24"/>
          <w:highlight w:val="none"/>
        </w:rPr>
        <w:t>》。</w:t>
      </w:r>
    </w:p>
    <w:p w14:paraId="3638EE8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418" w:name="_Toc312678035"/>
      <w:bookmarkEnd w:id="418"/>
      <w:bookmarkStart w:id="419" w:name="_Toc312677509"/>
      <w:bookmarkEnd w:id="419"/>
      <w:bookmarkStart w:id="420" w:name="_Toc318581177"/>
      <w:bookmarkEnd w:id="420"/>
      <w:r>
        <w:rPr>
          <w:rFonts w:ascii="宋体" w:hAnsi="Courier New" w:cs="宋体"/>
          <w:sz w:val="24"/>
          <w:szCs w:val="24"/>
          <w:highlight w:val="none"/>
        </w:rPr>
        <w:t>0.7.1 依法必须招标的暂估价项目</w:t>
      </w:r>
    </w:p>
    <w:p w14:paraId="260E4342">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Courier New" w:cs="宋体"/>
          <w:sz w:val="24"/>
          <w:szCs w:val="24"/>
          <w:highlight w:val="none"/>
        </w:rPr>
      </w:pPr>
      <w:r>
        <w:rPr>
          <w:rFonts w:ascii="宋体" w:hAnsi="Courier New" w:cs="宋体"/>
          <w:sz w:val="24"/>
          <w:szCs w:val="24"/>
          <w:highlight w:val="none"/>
        </w:rPr>
        <w:t>对于依法必须招标的暂估价项目</w:t>
      </w:r>
      <w:r>
        <w:rPr>
          <w:rFonts w:hint="eastAsia" w:ascii="宋体" w:hAnsi="Courier New" w:cs="宋体"/>
          <w:sz w:val="24"/>
          <w:szCs w:val="24"/>
          <w:highlight w:val="none"/>
          <w:u w:val="single"/>
        </w:rPr>
        <w:t>由发包人依法进行招标确定暂估价供应商或分包人</w:t>
      </w:r>
      <w:r>
        <w:rPr>
          <w:rFonts w:hint="eastAsia" w:ascii="宋体" w:hAnsi="Courier New" w:cs="宋体"/>
          <w:sz w:val="24"/>
          <w:szCs w:val="24"/>
          <w:highlight w:val="none"/>
        </w:rPr>
        <w:t>。</w:t>
      </w:r>
    </w:p>
    <w:p w14:paraId="3AE634D4">
      <w:pPr>
        <w:keepNext w:val="0"/>
        <w:keepLines w:val="0"/>
        <w:pageBreakBefore w:val="0"/>
        <w:widowControl/>
        <w:kinsoku/>
        <w:wordWrap w:val="0"/>
        <w:overflowPunct/>
        <w:topLinePunct w:val="0"/>
        <w:autoSpaceDE/>
        <w:autoSpaceDN/>
        <w:bidi w:val="0"/>
        <w:adjustRightInd/>
        <w:snapToGrid/>
        <w:spacing w:line="460" w:lineRule="exact"/>
        <w:ind w:left="424" w:leftChars="202"/>
        <w:textAlignment w:val="auto"/>
        <w:rPr>
          <w:rFonts w:ascii="宋体" w:hAnsi="Courier New" w:cs="宋体"/>
          <w:sz w:val="24"/>
          <w:szCs w:val="24"/>
          <w:highlight w:val="none"/>
        </w:rPr>
      </w:pPr>
      <w:r>
        <w:rPr>
          <w:rFonts w:ascii="宋体" w:hAnsi="Courier New" w:cs="宋体"/>
          <w:sz w:val="24"/>
          <w:szCs w:val="24"/>
          <w:highlight w:val="none"/>
        </w:rPr>
        <w:t>10.7.2 不属于依法必须招标的暂估价项目</w:t>
      </w:r>
    </w:p>
    <w:p w14:paraId="46945E6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color w:val="FF0000"/>
          <w:sz w:val="24"/>
          <w:szCs w:val="24"/>
          <w:highlight w:val="none"/>
        </w:rPr>
      </w:pPr>
      <w:r>
        <w:rPr>
          <w:rFonts w:ascii="宋体" w:hAnsi="Courier New" w:cs="宋体"/>
          <w:sz w:val="24"/>
          <w:szCs w:val="24"/>
          <w:highlight w:val="none"/>
        </w:rPr>
        <w:t>对于不属于依法必须招标的暂估价项目</w:t>
      </w:r>
      <w:r>
        <w:rPr>
          <w:rFonts w:ascii="宋体" w:hAnsi="Courier New" w:cs="宋体"/>
          <w:sz w:val="24"/>
          <w:szCs w:val="24"/>
          <w:highlight w:val="none"/>
          <w:u w:val="single"/>
        </w:rPr>
        <w:t>由发包人</w:t>
      </w:r>
      <w:r>
        <w:rPr>
          <w:rFonts w:hint="eastAsia" w:ascii="宋体" w:hAnsi="Courier New" w:cs="宋体"/>
          <w:sz w:val="24"/>
          <w:szCs w:val="24"/>
          <w:highlight w:val="none"/>
          <w:u w:val="single"/>
        </w:rPr>
        <w:t>、</w:t>
      </w:r>
      <w:r>
        <w:rPr>
          <w:rFonts w:ascii="宋体" w:hAnsi="Courier New" w:cs="宋体"/>
          <w:sz w:val="24"/>
          <w:szCs w:val="24"/>
          <w:highlight w:val="none"/>
          <w:u w:val="single"/>
        </w:rPr>
        <w:t>承包人</w:t>
      </w:r>
      <w:r>
        <w:rPr>
          <w:rFonts w:hint="eastAsia" w:ascii="宋体" w:hAnsi="Courier New" w:cs="宋体"/>
          <w:sz w:val="24"/>
          <w:szCs w:val="24"/>
          <w:highlight w:val="none"/>
          <w:u w:val="single"/>
        </w:rPr>
        <w:t>、监理和监督单位</w:t>
      </w:r>
      <w:r>
        <w:rPr>
          <w:rFonts w:ascii="宋体" w:hAnsi="Courier New" w:cs="宋体"/>
          <w:sz w:val="24"/>
          <w:szCs w:val="24"/>
          <w:highlight w:val="none"/>
          <w:u w:val="single"/>
        </w:rPr>
        <w:t>共同</w:t>
      </w:r>
      <w:r>
        <w:rPr>
          <w:rFonts w:hint="eastAsia" w:ascii="宋体" w:hAnsi="Courier New" w:cs="宋体"/>
          <w:sz w:val="24"/>
          <w:szCs w:val="24"/>
          <w:highlight w:val="none"/>
          <w:u w:val="single"/>
        </w:rPr>
        <w:t>询价</w:t>
      </w:r>
      <w:r>
        <w:rPr>
          <w:rFonts w:ascii="宋体" w:hAnsi="Courier New" w:cs="宋体"/>
          <w:sz w:val="24"/>
          <w:szCs w:val="24"/>
          <w:highlight w:val="none"/>
          <w:u w:val="single"/>
        </w:rPr>
        <w:t>确定暂估价供应商或分包人</w:t>
      </w:r>
      <w:r>
        <w:rPr>
          <w:rFonts w:ascii="宋体" w:hAnsi="Courier New" w:cs="宋体"/>
          <w:sz w:val="24"/>
          <w:szCs w:val="24"/>
          <w:highlight w:val="none"/>
        </w:rPr>
        <w:t>。</w:t>
      </w:r>
    </w:p>
    <w:p w14:paraId="34C6176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10.8 暂列金额</w:t>
      </w:r>
    </w:p>
    <w:p w14:paraId="4BC1CB6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合同当事人关于暂列金额使用的约定：。</w:t>
      </w:r>
    </w:p>
    <w:p w14:paraId="5B9206C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21" w:name="_Toc351203643"/>
      <w:bookmarkEnd w:id="421"/>
      <w:r>
        <w:rPr>
          <w:rFonts w:ascii="宋体" w:hAnsi="Courier New" w:cs="宋体"/>
          <w:b/>
          <w:sz w:val="24"/>
          <w:szCs w:val="24"/>
          <w:highlight w:val="none"/>
        </w:rPr>
        <w:t>11. 价格调整</w:t>
      </w:r>
    </w:p>
    <w:p w14:paraId="33560D7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22" w:name="_Toc296944540"/>
      <w:bookmarkEnd w:id="422"/>
      <w:bookmarkStart w:id="423" w:name="_Toc297216209"/>
      <w:bookmarkEnd w:id="423"/>
      <w:bookmarkStart w:id="424" w:name="_Toc296346702"/>
      <w:bookmarkEnd w:id="424"/>
      <w:bookmarkStart w:id="425" w:name="_Toc297120501"/>
      <w:bookmarkEnd w:id="425"/>
      <w:bookmarkStart w:id="426" w:name="_Toc292559406"/>
      <w:bookmarkEnd w:id="426"/>
      <w:bookmarkStart w:id="427" w:name="_Toc292559911"/>
      <w:bookmarkEnd w:id="427"/>
      <w:bookmarkStart w:id="428" w:name="_Toc312678039"/>
      <w:bookmarkEnd w:id="428"/>
      <w:bookmarkStart w:id="429" w:name="_Toc296503201"/>
      <w:bookmarkEnd w:id="429"/>
      <w:bookmarkStart w:id="430" w:name="_Toc296891029"/>
      <w:bookmarkEnd w:id="430"/>
      <w:bookmarkStart w:id="431" w:name="_Toc296347200"/>
      <w:bookmarkEnd w:id="431"/>
      <w:bookmarkStart w:id="432" w:name="_Toc296891241"/>
      <w:bookmarkEnd w:id="432"/>
      <w:bookmarkStart w:id="433" w:name="_Toc303539157"/>
      <w:bookmarkEnd w:id="433"/>
      <w:bookmarkStart w:id="434" w:name="_Toc297048387"/>
      <w:bookmarkEnd w:id="434"/>
      <w:bookmarkStart w:id="435" w:name="_Toc297123550"/>
      <w:bookmarkEnd w:id="435"/>
      <w:bookmarkStart w:id="436" w:name="_Toc304295577"/>
      <w:bookmarkEnd w:id="436"/>
      <w:bookmarkStart w:id="437" w:name="_Toc300935000"/>
      <w:bookmarkEnd w:id="437"/>
      <w:r>
        <w:rPr>
          <w:rFonts w:ascii="宋体" w:hAnsi="Courier New" w:cs="宋体"/>
          <w:b/>
          <w:sz w:val="24"/>
          <w:szCs w:val="24"/>
          <w:highlight w:val="none"/>
        </w:rPr>
        <w:t>11.1 市场价格波动引起的调整</w:t>
      </w:r>
    </w:p>
    <w:p w14:paraId="0209488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市场价格波动是否调整合同价格的约定：</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40EAE8F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因市场价格波动调整合同价格，采用以下第</w:t>
      </w:r>
      <w:r>
        <w:rPr>
          <w:rFonts w:hint="eastAsia" w:ascii="宋体" w:hAnsi="Courier New" w:cs="宋体"/>
          <w:sz w:val="24"/>
          <w:szCs w:val="24"/>
          <w:highlight w:val="none"/>
          <w:u w:val="single"/>
        </w:rPr>
        <w:t xml:space="preserve">/  </w:t>
      </w:r>
      <w:r>
        <w:rPr>
          <w:rFonts w:ascii="宋体" w:hAnsi="Courier New" w:cs="宋体"/>
          <w:sz w:val="24"/>
          <w:szCs w:val="24"/>
          <w:highlight w:val="none"/>
        </w:rPr>
        <w:t>种方式对合同价格进行调整：</w:t>
      </w:r>
    </w:p>
    <w:p w14:paraId="5EBCF1D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第1种方式：采用价格指数</w:t>
      </w:r>
      <w:r>
        <w:rPr>
          <w:rFonts w:hint="eastAsia" w:ascii="宋体" w:hAnsi="Courier New" w:cs="宋体"/>
          <w:sz w:val="24"/>
          <w:szCs w:val="24"/>
          <w:highlight w:val="none"/>
        </w:rPr>
        <w:t>进行价格</w:t>
      </w:r>
      <w:r>
        <w:rPr>
          <w:rFonts w:ascii="宋体" w:hAnsi="Courier New" w:cs="宋体"/>
          <w:sz w:val="24"/>
          <w:szCs w:val="24"/>
          <w:highlight w:val="none"/>
        </w:rPr>
        <w:t>调整。</w:t>
      </w:r>
    </w:p>
    <w:p w14:paraId="46C63D6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第2种方式：采用造价信息</w:t>
      </w:r>
      <w:r>
        <w:rPr>
          <w:rFonts w:hint="eastAsia" w:ascii="宋体" w:hAnsi="Courier New" w:cs="宋体"/>
          <w:sz w:val="24"/>
          <w:szCs w:val="24"/>
          <w:highlight w:val="none"/>
        </w:rPr>
        <w:t>进行价格</w:t>
      </w:r>
      <w:r>
        <w:rPr>
          <w:rFonts w:ascii="宋体" w:hAnsi="Courier New" w:cs="宋体"/>
          <w:sz w:val="24"/>
          <w:szCs w:val="24"/>
          <w:highlight w:val="none"/>
        </w:rPr>
        <w:t>调整。</w:t>
      </w:r>
    </w:p>
    <w:p w14:paraId="7B2008E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（2）关于基准价格的约定：。</w:t>
      </w:r>
    </w:p>
    <w:p w14:paraId="2DE77E3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38" w:name="_Toc296503205"/>
      <w:bookmarkEnd w:id="438"/>
      <w:bookmarkStart w:id="439" w:name="_Toc297048391"/>
      <w:bookmarkEnd w:id="439"/>
      <w:bookmarkStart w:id="440" w:name="_Toc303539159"/>
      <w:bookmarkEnd w:id="440"/>
      <w:bookmarkStart w:id="441" w:name="_Toc296347204"/>
      <w:bookmarkEnd w:id="441"/>
      <w:bookmarkStart w:id="442" w:name="_Toc296346706"/>
      <w:bookmarkEnd w:id="442"/>
      <w:bookmarkStart w:id="443" w:name="_Toc297123552"/>
      <w:bookmarkEnd w:id="443"/>
      <w:bookmarkStart w:id="444" w:name="_Toc351203644"/>
      <w:bookmarkEnd w:id="444"/>
      <w:bookmarkStart w:id="445" w:name="_Toc292559915"/>
      <w:bookmarkEnd w:id="445"/>
      <w:bookmarkStart w:id="446" w:name="_Toc296944544"/>
      <w:bookmarkEnd w:id="446"/>
      <w:bookmarkStart w:id="447" w:name="_Toc300935002"/>
      <w:bookmarkEnd w:id="447"/>
      <w:bookmarkStart w:id="448" w:name="_Toc304295579"/>
      <w:bookmarkEnd w:id="448"/>
      <w:bookmarkStart w:id="449" w:name="_Toc297216211"/>
      <w:bookmarkEnd w:id="449"/>
      <w:bookmarkStart w:id="450" w:name="_Toc296891033"/>
      <w:bookmarkEnd w:id="450"/>
      <w:bookmarkStart w:id="451" w:name="_Toc296891245"/>
      <w:bookmarkEnd w:id="451"/>
      <w:bookmarkStart w:id="452" w:name="_Toc297120505"/>
      <w:bookmarkEnd w:id="452"/>
      <w:bookmarkStart w:id="453" w:name="_Toc312678040"/>
      <w:bookmarkEnd w:id="453"/>
      <w:bookmarkStart w:id="454" w:name="_Toc292559410"/>
      <w:bookmarkEnd w:id="454"/>
      <w:r>
        <w:rPr>
          <w:rFonts w:ascii="宋体" w:hAnsi="Courier New" w:cs="宋体"/>
          <w:b/>
          <w:sz w:val="24"/>
          <w:szCs w:val="24"/>
          <w:highlight w:val="none"/>
        </w:rPr>
        <w:t>12. 合同价格、计量与支付</w:t>
      </w:r>
    </w:p>
    <w:p w14:paraId="6F62A01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55" w:name="_Toc303539160"/>
      <w:bookmarkEnd w:id="455"/>
      <w:bookmarkStart w:id="456" w:name="_Toc296503206"/>
      <w:bookmarkEnd w:id="456"/>
      <w:bookmarkStart w:id="457" w:name="_Toc312678041"/>
      <w:bookmarkEnd w:id="457"/>
      <w:bookmarkStart w:id="458" w:name="_Toc296891034"/>
      <w:bookmarkEnd w:id="458"/>
      <w:bookmarkStart w:id="459" w:name="_Toc296944545"/>
      <w:bookmarkEnd w:id="459"/>
      <w:bookmarkStart w:id="460" w:name="_Toc296346707"/>
      <w:bookmarkEnd w:id="460"/>
      <w:bookmarkStart w:id="461" w:name="_Toc300935003"/>
      <w:bookmarkEnd w:id="461"/>
      <w:bookmarkStart w:id="462" w:name="_Toc292559411"/>
      <w:bookmarkEnd w:id="462"/>
      <w:bookmarkStart w:id="463" w:name="_Toc292559916"/>
      <w:bookmarkEnd w:id="463"/>
      <w:bookmarkStart w:id="464" w:name="_Toc297216212"/>
      <w:bookmarkEnd w:id="464"/>
      <w:bookmarkStart w:id="465" w:name="_Toc297120506"/>
      <w:bookmarkEnd w:id="465"/>
      <w:bookmarkStart w:id="466" w:name="_Toc296891246"/>
      <w:bookmarkEnd w:id="466"/>
      <w:bookmarkStart w:id="467" w:name="_Toc297048392"/>
      <w:bookmarkEnd w:id="467"/>
      <w:bookmarkStart w:id="468" w:name="_Toc267251461"/>
      <w:bookmarkEnd w:id="468"/>
      <w:bookmarkStart w:id="469" w:name="_Toc304295580"/>
      <w:bookmarkEnd w:id="469"/>
      <w:bookmarkStart w:id="470" w:name="_Toc296347205"/>
      <w:bookmarkEnd w:id="470"/>
      <w:bookmarkStart w:id="471" w:name="_Toc297123553"/>
      <w:bookmarkEnd w:id="471"/>
      <w:r>
        <w:rPr>
          <w:rFonts w:ascii="宋体" w:hAnsi="Courier New" w:cs="宋体"/>
          <w:b/>
          <w:sz w:val="24"/>
          <w:szCs w:val="24"/>
          <w:highlight w:val="none"/>
        </w:rPr>
        <w:t>12.1 合同价格形式</w:t>
      </w:r>
    </w:p>
    <w:p w14:paraId="6111790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1、本合同价款采用</w:t>
      </w:r>
      <w:r>
        <w:rPr>
          <w:rFonts w:hint="eastAsia" w:ascii="宋体" w:hAnsi="Courier New" w:cs="宋体"/>
          <w:sz w:val="24"/>
          <w:szCs w:val="24"/>
          <w:highlight w:val="none"/>
          <w:u w:val="single"/>
        </w:rPr>
        <w:t>固定单/总价</w:t>
      </w:r>
      <w:r>
        <w:rPr>
          <w:rFonts w:ascii="宋体" w:hAnsi="Courier New" w:cs="宋体"/>
          <w:sz w:val="24"/>
          <w:szCs w:val="24"/>
          <w:highlight w:val="none"/>
          <w:u w:val="single"/>
        </w:rPr>
        <w:t>合同</w:t>
      </w:r>
      <w:r>
        <w:rPr>
          <w:rFonts w:ascii="宋体" w:hAnsi="Courier New" w:cs="宋体"/>
          <w:sz w:val="24"/>
          <w:szCs w:val="24"/>
          <w:highlight w:val="none"/>
        </w:rPr>
        <w:t>方式确定。</w:t>
      </w:r>
    </w:p>
    <w:p w14:paraId="7240BA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（1）采用固定</w:t>
      </w:r>
      <w:r>
        <w:rPr>
          <w:rFonts w:hint="eastAsia" w:ascii="宋体" w:hAnsi="Courier New" w:cs="宋体"/>
          <w:sz w:val="24"/>
          <w:szCs w:val="24"/>
          <w:highlight w:val="none"/>
        </w:rPr>
        <w:t>总</w:t>
      </w:r>
      <w:r>
        <w:rPr>
          <w:rFonts w:ascii="宋体" w:hAnsi="Courier New" w:cs="宋体"/>
          <w:sz w:val="24"/>
          <w:szCs w:val="24"/>
          <w:highlight w:val="none"/>
        </w:rPr>
        <w:t>价合同，合同价款中包括的风险范围：</w:t>
      </w:r>
    </w:p>
    <w:p w14:paraId="71D66E4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宋体" w:cs="宋体"/>
          <w:sz w:val="24"/>
          <w:szCs w:val="24"/>
          <w:highlight w:val="none"/>
        </w:rPr>
        <w:t>①</w:t>
      </w:r>
      <w:r>
        <w:rPr>
          <w:rFonts w:ascii="宋体" w:hAnsi="Courier New" w:cs="宋体"/>
          <w:sz w:val="24"/>
          <w:szCs w:val="24"/>
          <w:highlight w:val="none"/>
        </w:rPr>
        <w:t>风险费用的计算方法：</w:t>
      </w:r>
      <w:r>
        <w:rPr>
          <w:rFonts w:hint="eastAsia" w:ascii="宋体" w:hAnsi="Courier New" w:cs="宋体"/>
          <w:sz w:val="24"/>
          <w:szCs w:val="24"/>
          <w:highlight w:val="none"/>
          <w:u w:val="single"/>
        </w:rPr>
        <w:t>/；</w:t>
      </w:r>
    </w:p>
    <w:p w14:paraId="7A00853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宋体" w:cs="宋体"/>
          <w:sz w:val="24"/>
          <w:szCs w:val="24"/>
          <w:highlight w:val="none"/>
        </w:rPr>
        <w:t>②</w:t>
      </w:r>
      <w:r>
        <w:rPr>
          <w:rFonts w:ascii="宋体" w:hAnsi="Courier New" w:cs="宋体"/>
          <w:sz w:val="24"/>
          <w:szCs w:val="24"/>
          <w:highlight w:val="none"/>
        </w:rPr>
        <w:t>风险范围以外合同价款调整方法：</w:t>
      </w:r>
      <w:r>
        <w:rPr>
          <w:rFonts w:hint="eastAsia" w:ascii="宋体" w:hAnsi="Courier New" w:cs="宋体"/>
          <w:sz w:val="24"/>
          <w:szCs w:val="24"/>
          <w:highlight w:val="none"/>
          <w:u w:val="single"/>
        </w:rPr>
        <w:t>当</w:t>
      </w:r>
      <w:r>
        <w:rPr>
          <w:rFonts w:hint="eastAsia" w:ascii="宋体" w:hAnsi="Courier New" w:cs="宋体"/>
          <w:sz w:val="24"/>
          <w:szCs w:val="24"/>
          <w:highlight w:val="none"/>
          <w:u w:val="single"/>
          <w:lang w:eastAsia="zh-CN"/>
        </w:rPr>
        <w:t>磋商文件</w:t>
      </w:r>
      <w:r>
        <w:rPr>
          <w:rFonts w:hint="eastAsia" w:ascii="宋体" w:hAnsi="Courier New" w:cs="宋体"/>
          <w:sz w:val="24"/>
          <w:szCs w:val="24"/>
          <w:highlight w:val="none"/>
          <w:u w:val="single"/>
        </w:rPr>
        <w:t>工程量清单中所列的工程量与实际完成工程量不符或由于设计变更引起工程量增减时,按以下原则结算；</w:t>
      </w:r>
    </w:p>
    <w:p w14:paraId="0D622CA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按照《建设工程工程量清单计价规范》（2013年）计算规则计算增减的工程量。</w:t>
      </w:r>
    </w:p>
    <w:p w14:paraId="41A0C43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工程量增减幅度在±3%以外的按中标相应项目的单价结算；</w:t>
      </w:r>
    </w:p>
    <w:p w14:paraId="2A6EA0E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如承包人投标文件的综合单价明显不合理，调整工程造价时按照工程招标控制价时的相应单价执行。</w:t>
      </w:r>
    </w:p>
    <w:p w14:paraId="048BAE2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ADAF8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宋体" w:cs="宋体"/>
          <w:color w:val="000000"/>
          <w:sz w:val="24"/>
          <w:szCs w:val="24"/>
          <w:highlight w:val="none"/>
        </w:rPr>
        <w:t>当合同双方对调整综合单价发生争议时,可提请审计部门审定。</w:t>
      </w:r>
    </w:p>
    <w:p w14:paraId="4184721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72" w:name="_Toc312678042"/>
      <w:bookmarkEnd w:id="472"/>
      <w:bookmarkStart w:id="473" w:name="_Toc292559917"/>
      <w:bookmarkEnd w:id="473"/>
      <w:bookmarkStart w:id="474" w:name="_Toc296891247"/>
      <w:bookmarkEnd w:id="474"/>
      <w:bookmarkStart w:id="475" w:name="_Toc300935004"/>
      <w:bookmarkEnd w:id="475"/>
      <w:bookmarkStart w:id="476" w:name="_Toc297216213"/>
      <w:bookmarkEnd w:id="476"/>
      <w:bookmarkStart w:id="477" w:name="_Toc297123554"/>
      <w:bookmarkEnd w:id="477"/>
      <w:bookmarkStart w:id="478" w:name="_Toc304295581"/>
      <w:bookmarkEnd w:id="478"/>
      <w:bookmarkStart w:id="479" w:name="_Toc296347206"/>
      <w:bookmarkEnd w:id="479"/>
      <w:bookmarkStart w:id="480" w:name="_Toc296346708"/>
      <w:bookmarkEnd w:id="480"/>
      <w:bookmarkStart w:id="481" w:name="_Toc297120507"/>
      <w:bookmarkEnd w:id="481"/>
      <w:bookmarkStart w:id="482" w:name="_Toc303539161"/>
      <w:bookmarkEnd w:id="482"/>
      <w:bookmarkStart w:id="483" w:name="_Toc297048393"/>
      <w:bookmarkEnd w:id="483"/>
      <w:bookmarkStart w:id="484" w:name="_Toc296944546"/>
      <w:bookmarkEnd w:id="484"/>
      <w:bookmarkStart w:id="485" w:name="_Toc292559412"/>
      <w:bookmarkEnd w:id="485"/>
      <w:bookmarkStart w:id="486" w:name="_Toc296891035"/>
      <w:bookmarkEnd w:id="486"/>
      <w:bookmarkStart w:id="487" w:name="_Toc296503207"/>
      <w:bookmarkEnd w:id="487"/>
      <w:r>
        <w:rPr>
          <w:rFonts w:ascii="宋体" w:hAnsi="Courier New" w:cs="宋体"/>
          <w:b/>
          <w:sz w:val="24"/>
          <w:szCs w:val="24"/>
          <w:highlight w:val="none"/>
        </w:rPr>
        <w:t>12.2 预付款</w:t>
      </w:r>
    </w:p>
    <w:p w14:paraId="0E35AEB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12.2.1 预付款的支付</w:t>
      </w:r>
    </w:p>
    <w:p w14:paraId="6F2344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预付款支付比例或金额：</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52590F1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预付款支付期限：</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08029D5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预付款扣回的方式：</w:t>
      </w:r>
      <w:r>
        <w:rPr>
          <w:rFonts w:hint="eastAsia" w:ascii="宋体" w:hAnsi="Courier New" w:cs="宋体"/>
          <w:sz w:val="24"/>
          <w:szCs w:val="24"/>
          <w:highlight w:val="none"/>
          <w:u w:val="single"/>
        </w:rPr>
        <w:t>/</w:t>
      </w:r>
      <w:r>
        <w:rPr>
          <w:rFonts w:ascii="宋体" w:hAnsi="Courier New" w:cs="宋体"/>
          <w:sz w:val="24"/>
          <w:szCs w:val="24"/>
          <w:highlight w:val="none"/>
        </w:rPr>
        <w:t>。</w:t>
      </w:r>
    </w:p>
    <w:p w14:paraId="5FDE1E0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12.2.2 预付款担保</w:t>
      </w:r>
    </w:p>
    <w:p w14:paraId="5AF8F1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承包人提交预付款担保的期限：</w:t>
      </w: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1C6D994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预付款担保的形式为：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16550DF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12.3 计量</w:t>
      </w:r>
    </w:p>
    <w:p w14:paraId="4FB1CDC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12.3.1 计量原则</w:t>
      </w:r>
    </w:p>
    <w:p w14:paraId="6A7AC1B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工程量计算规则：。</w:t>
      </w:r>
    </w:p>
    <w:p w14:paraId="1A42F9A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12.3.2 计量周期</w:t>
      </w:r>
    </w:p>
    <w:p w14:paraId="7E804AE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关于计量周期的约定：</w:t>
      </w:r>
      <w:r>
        <w:rPr>
          <w:rFonts w:hint="eastAsia" w:ascii="宋体" w:hAnsi="Courier New" w:cs="宋体"/>
          <w:sz w:val="24"/>
          <w:szCs w:val="24"/>
          <w:highlight w:val="none"/>
          <w:u w:val="single"/>
        </w:rPr>
        <w:t>按形象进度付款</w:t>
      </w:r>
      <w:r>
        <w:rPr>
          <w:rFonts w:ascii="宋体" w:hAnsi="Courier New" w:cs="宋体"/>
          <w:sz w:val="24"/>
          <w:szCs w:val="24"/>
          <w:highlight w:val="none"/>
        </w:rPr>
        <w:t>。</w:t>
      </w:r>
    </w:p>
    <w:p w14:paraId="4D5EF9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12.3.3 单价合同的计量</w:t>
      </w:r>
    </w:p>
    <w:p w14:paraId="531ED6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关于单价合同计量的约定：</w:t>
      </w:r>
      <w:r>
        <w:rPr>
          <w:rFonts w:hint="eastAsia" w:ascii="宋体" w:hAnsi="Courier New" w:cs="宋体"/>
          <w:sz w:val="24"/>
          <w:szCs w:val="24"/>
          <w:highlight w:val="none"/>
          <w:u w:val="single"/>
        </w:rPr>
        <w:t>/</w:t>
      </w:r>
      <w:r>
        <w:rPr>
          <w:rFonts w:ascii="宋体" w:hAnsi="Courier New" w:cs="宋体"/>
          <w:sz w:val="24"/>
          <w:szCs w:val="24"/>
          <w:highlight w:val="none"/>
        </w:rPr>
        <w:t>。</w:t>
      </w:r>
    </w:p>
    <w:p w14:paraId="601ABF2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12.3.4 总价合同的计量</w:t>
      </w:r>
    </w:p>
    <w:p w14:paraId="594A6F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关于总价合同计量的约定：</w:t>
      </w:r>
      <w:r>
        <w:rPr>
          <w:rFonts w:ascii="宋体" w:hAnsi="Courier New" w:cs="宋体"/>
          <w:sz w:val="24"/>
          <w:szCs w:val="24"/>
          <w:highlight w:val="none"/>
          <w:u w:val="single"/>
        </w:rPr>
        <w:t>按通用条款12.3.4款执行</w:t>
      </w:r>
      <w:r>
        <w:rPr>
          <w:rFonts w:ascii="宋体" w:hAnsi="Courier New" w:cs="宋体"/>
          <w:sz w:val="24"/>
          <w:szCs w:val="24"/>
          <w:highlight w:val="none"/>
        </w:rPr>
        <w:t>。</w:t>
      </w:r>
    </w:p>
    <w:p w14:paraId="00A2C47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12.3.5总价合同采用支付分解表计量支付的，是否适用第12.3.4 项</w:t>
      </w:r>
      <w:r>
        <w:rPr>
          <w:rFonts w:hint="eastAsia" w:ascii="宋体" w:hAnsi="Courier New" w:cs="宋体"/>
          <w:sz w:val="24"/>
          <w:szCs w:val="24"/>
          <w:highlight w:val="none"/>
        </w:rPr>
        <w:t>〔</w:t>
      </w:r>
      <w:r>
        <w:rPr>
          <w:rFonts w:ascii="宋体" w:hAnsi="Courier New" w:cs="宋体"/>
          <w:sz w:val="24"/>
          <w:szCs w:val="24"/>
          <w:highlight w:val="none"/>
        </w:rPr>
        <w:t>总价合同的计量</w:t>
      </w:r>
      <w:r>
        <w:rPr>
          <w:rFonts w:hint="eastAsia" w:ascii="宋体" w:hAnsi="Courier New" w:cs="宋体"/>
          <w:sz w:val="24"/>
          <w:szCs w:val="24"/>
          <w:highlight w:val="none"/>
        </w:rPr>
        <w:t>〕</w:t>
      </w:r>
      <w:r>
        <w:rPr>
          <w:rFonts w:ascii="宋体" w:hAnsi="Courier New" w:cs="宋体"/>
          <w:sz w:val="24"/>
          <w:szCs w:val="24"/>
          <w:highlight w:val="none"/>
        </w:rPr>
        <w:t>约定</w:t>
      </w:r>
      <w:r>
        <w:rPr>
          <w:rFonts w:hint="eastAsia" w:ascii="宋体" w:hAnsi="Courier New" w:cs="宋体"/>
          <w:sz w:val="24"/>
          <w:szCs w:val="24"/>
          <w:highlight w:val="none"/>
        </w:rPr>
        <w:t>进行计量：</w:t>
      </w:r>
      <w:r>
        <w:rPr>
          <w:rFonts w:ascii="宋体" w:hAnsi="Courier New" w:cs="宋体"/>
          <w:sz w:val="24"/>
          <w:szCs w:val="24"/>
          <w:highlight w:val="none"/>
        </w:rPr>
        <w:t>。</w:t>
      </w:r>
    </w:p>
    <w:p w14:paraId="5E70135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12.3.6其他价格形式合同的计量</w:t>
      </w:r>
    </w:p>
    <w:p w14:paraId="242C757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其他价格形式的计量方式和程序：。</w:t>
      </w:r>
    </w:p>
    <w:p w14:paraId="353BA27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12.4 工程进度款支付</w:t>
      </w:r>
    </w:p>
    <w:p w14:paraId="342A79E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color w:val="FF0000"/>
          <w:spacing w:val="6"/>
          <w:sz w:val="24"/>
          <w:szCs w:val="24"/>
          <w:highlight w:val="none"/>
          <w:u w:val="single"/>
        </w:rPr>
      </w:pPr>
      <w:r>
        <w:rPr>
          <w:rFonts w:ascii="宋体" w:hAnsi="Courier New" w:cs="宋体"/>
          <w:sz w:val="24"/>
          <w:szCs w:val="24"/>
          <w:highlight w:val="none"/>
        </w:rPr>
        <w:t>双方约定的工程进度款支付的方式和时间：</w:t>
      </w:r>
      <w:r>
        <w:rPr>
          <w:rFonts w:hint="eastAsia" w:ascii="宋体" w:hAnsi="Courier New" w:cs="宋体"/>
          <w:sz w:val="24"/>
          <w:szCs w:val="24"/>
          <w:highlight w:val="none"/>
          <w:u w:val="single"/>
        </w:rPr>
        <w:t>以发包人于承包方签订的合同为准</w:t>
      </w:r>
      <w:r>
        <w:rPr>
          <w:rFonts w:ascii="宋体" w:hAnsi="Courier New" w:cs="宋体"/>
          <w:sz w:val="24"/>
          <w:szCs w:val="24"/>
          <w:highlight w:val="none"/>
          <w:u w:val="single"/>
        </w:rPr>
        <w:t>。</w:t>
      </w:r>
    </w:p>
    <w:p w14:paraId="7CFC151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88" w:name="_Toc304295593"/>
      <w:bookmarkEnd w:id="488"/>
      <w:bookmarkStart w:id="489" w:name="_Toc297120519"/>
      <w:bookmarkEnd w:id="489"/>
      <w:bookmarkStart w:id="490" w:name="_Toc312678053"/>
      <w:bookmarkEnd w:id="490"/>
      <w:bookmarkStart w:id="491" w:name="_Toc296347218"/>
      <w:bookmarkEnd w:id="491"/>
      <w:bookmarkStart w:id="492" w:name="_Toc292559929"/>
      <w:bookmarkEnd w:id="492"/>
      <w:bookmarkStart w:id="493" w:name="_Toc351203645"/>
      <w:bookmarkEnd w:id="493"/>
      <w:bookmarkStart w:id="494" w:name="_Toc303539172"/>
      <w:bookmarkEnd w:id="494"/>
      <w:bookmarkStart w:id="495" w:name="_Toc296891259"/>
      <w:bookmarkEnd w:id="495"/>
      <w:bookmarkStart w:id="496" w:name="_Toc296346720"/>
      <w:bookmarkEnd w:id="496"/>
      <w:bookmarkStart w:id="497" w:name="_Toc297048405"/>
      <w:bookmarkEnd w:id="497"/>
      <w:bookmarkStart w:id="498" w:name="_Toc292559424"/>
      <w:bookmarkEnd w:id="498"/>
      <w:bookmarkStart w:id="499" w:name="_Toc297216223"/>
      <w:bookmarkEnd w:id="499"/>
      <w:bookmarkStart w:id="500" w:name="_Toc296503219"/>
      <w:bookmarkEnd w:id="500"/>
      <w:bookmarkStart w:id="501" w:name="_Toc296944558"/>
      <w:bookmarkEnd w:id="501"/>
      <w:bookmarkStart w:id="502" w:name="_Toc297123564"/>
      <w:bookmarkEnd w:id="502"/>
      <w:bookmarkStart w:id="503" w:name="_Toc296891047"/>
      <w:bookmarkEnd w:id="503"/>
      <w:bookmarkStart w:id="504" w:name="_Toc300935015"/>
      <w:bookmarkEnd w:id="504"/>
      <w:r>
        <w:rPr>
          <w:rFonts w:ascii="宋体" w:hAnsi="Courier New" w:cs="宋体"/>
          <w:b/>
          <w:sz w:val="24"/>
          <w:szCs w:val="24"/>
          <w:highlight w:val="none"/>
        </w:rPr>
        <w:t>13.验收和工程试车</w:t>
      </w:r>
    </w:p>
    <w:p w14:paraId="7F3EE97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13.1 分部分项工程验收</w:t>
      </w:r>
    </w:p>
    <w:p w14:paraId="34F587F6">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13.1.2监理人不能按时进行验收时，应提前</w:t>
      </w:r>
      <w:r>
        <w:rPr>
          <w:rFonts w:ascii="宋体" w:hAnsi="Courier New" w:cs="宋体"/>
          <w:sz w:val="24"/>
          <w:szCs w:val="24"/>
          <w:highlight w:val="none"/>
          <w:u w:val="single"/>
        </w:rPr>
        <w:t xml:space="preserve">   24    </w:t>
      </w:r>
      <w:r>
        <w:rPr>
          <w:rFonts w:ascii="宋体" w:hAnsi="Courier New" w:cs="宋体"/>
          <w:sz w:val="24"/>
          <w:szCs w:val="24"/>
          <w:highlight w:val="none"/>
        </w:rPr>
        <w:t>小时提交书面延期要求。</w:t>
      </w:r>
    </w:p>
    <w:p w14:paraId="787CE75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b/>
          <w:sz w:val="24"/>
          <w:szCs w:val="24"/>
          <w:highlight w:val="none"/>
        </w:rPr>
      </w:pPr>
      <w:r>
        <w:rPr>
          <w:rFonts w:ascii="宋体" w:hAnsi="Courier New" w:cs="宋体"/>
          <w:sz w:val="24"/>
          <w:szCs w:val="24"/>
          <w:highlight w:val="none"/>
        </w:rPr>
        <w:t>关于延期最长不得超过：</w:t>
      </w:r>
      <w:r>
        <w:rPr>
          <w:rFonts w:hint="eastAsia" w:ascii="宋体" w:hAnsi="Courier New" w:cs="宋体"/>
          <w:sz w:val="24"/>
          <w:szCs w:val="24"/>
          <w:highlight w:val="none"/>
          <w:u w:val="single"/>
        </w:rPr>
        <w:t>48</w:t>
      </w:r>
      <w:r>
        <w:rPr>
          <w:rFonts w:ascii="宋体" w:hAnsi="Courier New" w:cs="宋体"/>
          <w:sz w:val="24"/>
          <w:szCs w:val="24"/>
          <w:highlight w:val="none"/>
        </w:rPr>
        <w:t>小时。</w:t>
      </w:r>
    </w:p>
    <w:p w14:paraId="106864B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505" w:name="_Toc296944562"/>
      <w:bookmarkEnd w:id="505"/>
      <w:bookmarkStart w:id="506" w:name="_Toc304295596"/>
      <w:bookmarkEnd w:id="506"/>
      <w:bookmarkStart w:id="507" w:name="_Toc292559933"/>
      <w:bookmarkEnd w:id="507"/>
      <w:bookmarkStart w:id="508" w:name="_Toc267251471"/>
      <w:bookmarkEnd w:id="508"/>
      <w:bookmarkStart w:id="509" w:name="_Toc267251470"/>
      <w:bookmarkEnd w:id="509"/>
      <w:bookmarkStart w:id="510" w:name="_Toc296891051"/>
      <w:bookmarkEnd w:id="510"/>
      <w:bookmarkStart w:id="511" w:name="_Toc267251474"/>
      <w:bookmarkEnd w:id="511"/>
      <w:bookmarkStart w:id="512" w:name="_Toc297216224"/>
      <w:bookmarkEnd w:id="512"/>
      <w:bookmarkStart w:id="513" w:name="_Toc297048409"/>
      <w:bookmarkEnd w:id="513"/>
      <w:bookmarkStart w:id="514" w:name="_Toc312678056"/>
      <w:bookmarkEnd w:id="514"/>
      <w:bookmarkStart w:id="515" w:name="_Toc267251475"/>
      <w:bookmarkEnd w:id="515"/>
      <w:bookmarkStart w:id="516" w:name="_Toc292559428"/>
      <w:bookmarkEnd w:id="516"/>
      <w:bookmarkStart w:id="517" w:name="_Toc267251476"/>
      <w:bookmarkEnd w:id="517"/>
      <w:bookmarkStart w:id="518" w:name="_Toc297120523"/>
      <w:bookmarkEnd w:id="518"/>
      <w:bookmarkStart w:id="519" w:name="_Toc296347222"/>
      <w:bookmarkEnd w:id="519"/>
      <w:bookmarkStart w:id="520" w:name="_Toc303539173"/>
      <w:bookmarkEnd w:id="520"/>
      <w:bookmarkStart w:id="521" w:name="_Toc300935016"/>
      <w:bookmarkEnd w:id="521"/>
      <w:bookmarkStart w:id="522" w:name="_Toc297123565"/>
      <w:bookmarkEnd w:id="522"/>
      <w:bookmarkStart w:id="523" w:name="_Toc296503223"/>
      <w:bookmarkEnd w:id="523"/>
      <w:bookmarkStart w:id="524" w:name="_Toc296346724"/>
      <w:bookmarkEnd w:id="524"/>
      <w:bookmarkStart w:id="525" w:name="_Toc267251472"/>
      <w:bookmarkEnd w:id="525"/>
      <w:bookmarkStart w:id="526" w:name="_Toc296891263"/>
      <w:bookmarkEnd w:id="526"/>
      <w:bookmarkStart w:id="527" w:name="_Toc267251473"/>
      <w:bookmarkEnd w:id="527"/>
      <w:r>
        <w:rPr>
          <w:rFonts w:ascii="宋体" w:hAnsi="Courier New" w:cs="宋体"/>
          <w:sz w:val="24"/>
          <w:szCs w:val="24"/>
          <w:highlight w:val="none"/>
        </w:rPr>
        <w:t>13.2 竣工验收</w:t>
      </w:r>
    </w:p>
    <w:p w14:paraId="6098D70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528" w:name="_Toc280868705"/>
      <w:bookmarkEnd w:id="528"/>
      <w:bookmarkStart w:id="529" w:name="_Toc280868709"/>
      <w:bookmarkEnd w:id="529"/>
      <w:bookmarkStart w:id="530" w:name="_Toc280868704"/>
      <w:bookmarkEnd w:id="530"/>
      <w:bookmarkStart w:id="531" w:name="_Toc280868707"/>
      <w:bookmarkEnd w:id="531"/>
      <w:bookmarkStart w:id="532" w:name="_Toc280868708"/>
      <w:bookmarkEnd w:id="532"/>
      <w:bookmarkStart w:id="533" w:name="_Toc280868706"/>
      <w:bookmarkEnd w:id="533"/>
      <w:r>
        <w:rPr>
          <w:rFonts w:ascii="宋体" w:hAnsi="Courier New" w:cs="宋体"/>
          <w:sz w:val="24"/>
          <w:szCs w:val="24"/>
          <w:highlight w:val="none"/>
        </w:rPr>
        <w:t>13.2.2竣工验收程序</w:t>
      </w:r>
    </w:p>
    <w:p w14:paraId="017F81C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关于竣工验收程序的约定：</w:t>
      </w:r>
      <w:r>
        <w:rPr>
          <w:rFonts w:hint="eastAsia" w:ascii="宋体" w:hAnsi="Courier New" w:cs="宋体"/>
          <w:sz w:val="24"/>
          <w:szCs w:val="24"/>
          <w:highlight w:val="none"/>
          <w:u w:val="single"/>
        </w:rPr>
        <w:t>按通用条款13.2.2款执行</w:t>
      </w:r>
      <w:r>
        <w:rPr>
          <w:rFonts w:ascii="宋体" w:hAnsi="Courier New" w:cs="宋体"/>
          <w:sz w:val="24"/>
          <w:szCs w:val="24"/>
          <w:highlight w:val="none"/>
        </w:rPr>
        <w:t>。</w:t>
      </w:r>
    </w:p>
    <w:p w14:paraId="4738DF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发包人不按照本项约定组织竣工验收、颁发工程接收证书的违约金的计算方法：</w:t>
      </w:r>
      <w:r>
        <w:rPr>
          <w:rFonts w:hint="eastAsia" w:ascii="宋体" w:hAnsi="Courier New" w:cs="宋体"/>
          <w:sz w:val="24"/>
          <w:szCs w:val="24"/>
          <w:highlight w:val="none"/>
          <w:u w:val="single"/>
        </w:rPr>
        <w:t>/</w:t>
      </w:r>
      <w:r>
        <w:rPr>
          <w:rFonts w:ascii="宋体" w:hAnsi="Courier New" w:cs="宋体"/>
          <w:sz w:val="24"/>
          <w:szCs w:val="24"/>
          <w:highlight w:val="none"/>
        </w:rPr>
        <w:t>。</w:t>
      </w:r>
    </w:p>
    <w:p w14:paraId="18D94A9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13.2.5移交、接收全部与部分工程</w:t>
      </w:r>
    </w:p>
    <w:p w14:paraId="6A89B8EF">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承包人向发包人移交工程的期限：</w:t>
      </w:r>
      <w:r>
        <w:rPr>
          <w:rFonts w:ascii="宋体" w:hAnsi="Courier New" w:cs="宋体"/>
          <w:sz w:val="24"/>
          <w:szCs w:val="24"/>
          <w:highlight w:val="none"/>
          <w:u w:val="single"/>
        </w:rPr>
        <w:t>在颁发工程接收证书后7天内完成工程的移交</w:t>
      </w:r>
      <w:r>
        <w:rPr>
          <w:rFonts w:ascii="宋体" w:hAnsi="Courier New" w:cs="宋体"/>
          <w:sz w:val="24"/>
          <w:szCs w:val="24"/>
          <w:highlight w:val="none"/>
        </w:rPr>
        <w:t>。</w:t>
      </w:r>
    </w:p>
    <w:p w14:paraId="41AB597B">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发包人未按本合同约定接收全部或部分工程的，违约金的计算方法为：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2F8D15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承包人未按时移交工程的，违约金的计算方法为：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2F6E513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 工程试车</w:t>
      </w:r>
    </w:p>
    <w:p w14:paraId="2B0704C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13.3.1 试车程序</w:t>
      </w:r>
    </w:p>
    <w:p w14:paraId="09122BE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工程试车内容：</w:t>
      </w:r>
      <w:r>
        <w:rPr>
          <w:rFonts w:hint="eastAsia" w:ascii="宋体" w:hAnsi="Courier New" w:cs="宋体"/>
          <w:sz w:val="24"/>
          <w:szCs w:val="24"/>
          <w:highlight w:val="none"/>
          <w:u w:val="single"/>
        </w:rPr>
        <w:t>按通用条款13.3.1款执行</w:t>
      </w:r>
      <w:r>
        <w:rPr>
          <w:rFonts w:ascii="宋体" w:hAnsi="Courier New" w:cs="宋体"/>
          <w:sz w:val="24"/>
          <w:szCs w:val="24"/>
          <w:highlight w:val="none"/>
        </w:rPr>
        <w:t>。</w:t>
      </w:r>
    </w:p>
    <w:p w14:paraId="45209C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（1）单机无负荷试车费用由</w:t>
      </w:r>
      <w:r>
        <w:rPr>
          <w:rFonts w:ascii="宋体" w:hAnsi="Courier New" w:cs="宋体"/>
          <w:sz w:val="24"/>
          <w:szCs w:val="24"/>
          <w:highlight w:val="none"/>
          <w:u w:val="single"/>
        </w:rPr>
        <w:t>承包人</w:t>
      </w:r>
      <w:r>
        <w:rPr>
          <w:rFonts w:ascii="宋体" w:hAnsi="Courier New" w:cs="宋体"/>
          <w:sz w:val="24"/>
          <w:szCs w:val="24"/>
          <w:highlight w:val="none"/>
        </w:rPr>
        <w:t>承担；</w:t>
      </w:r>
    </w:p>
    <w:p w14:paraId="034804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（2）无负荷联动试车费用由</w:t>
      </w:r>
      <w:r>
        <w:rPr>
          <w:rFonts w:ascii="宋体" w:hAnsi="Courier New" w:cs="宋体"/>
          <w:sz w:val="24"/>
          <w:szCs w:val="24"/>
          <w:highlight w:val="none"/>
          <w:u w:val="single"/>
        </w:rPr>
        <w:t>承包人</w:t>
      </w:r>
      <w:r>
        <w:rPr>
          <w:rFonts w:ascii="宋体" w:hAnsi="Courier New" w:cs="宋体"/>
          <w:sz w:val="24"/>
          <w:szCs w:val="24"/>
          <w:highlight w:val="none"/>
        </w:rPr>
        <w:t>承担。</w:t>
      </w:r>
    </w:p>
    <w:p w14:paraId="746443E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13.3.3 投料试车</w:t>
      </w:r>
    </w:p>
    <w:p w14:paraId="2914DE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关于投料试车相关事项的约定：</w:t>
      </w:r>
      <w:r>
        <w:rPr>
          <w:rFonts w:ascii="宋体" w:hAnsi="Courier New" w:cs="宋体"/>
          <w:sz w:val="24"/>
          <w:szCs w:val="24"/>
          <w:highlight w:val="none"/>
        </w:rPr>
        <w:t>。</w:t>
      </w:r>
    </w:p>
    <w:p w14:paraId="6C26146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13.6 竣工退场</w:t>
      </w:r>
    </w:p>
    <w:p w14:paraId="43AA91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13.6.1 竣工退场</w:t>
      </w:r>
    </w:p>
    <w:p w14:paraId="0BBB1A4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承包人完成竣工退场的期限：。</w:t>
      </w:r>
      <w:bookmarkStart w:id="534" w:name="_Toc351203646"/>
      <w:bookmarkEnd w:id="534"/>
    </w:p>
    <w:p w14:paraId="00CE87B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sz w:val="24"/>
          <w:szCs w:val="24"/>
          <w:highlight w:val="none"/>
        </w:rPr>
      </w:pPr>
      <w:r>
        <w:rPr>
          <w:rFonts w:ascii="宋体" w:hAnsi="Courier New" w:cs="宋体"/>
          <w:b/>
          <w:bCs/>
          <w:sz w:val="24"/>
          <w:szCs w:val="24"/>
          <w:highlight w:val="none"/>
        </w:rPr>
        <w:t>14. 竣工结算</w:t>
      </w:r>
    </w:p>
    <w:p w14:paraId="3B56ADB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14.1 竣工付款申请</w:t>
      </w:r>
    </w:p>
    <w:p w14:paraId="5137570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承包人提交竣工付款申请单的期限：。</w:t>
      </w:r>
    </w:p>
    <w:p w14:paraId="191018C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竣工付款申请单应包括的内容：</w:t>
      </w:r>
      <w:r>
        <w:rPr>
          <w:rFonts w:ascii="宋体" w:hAnsi="Courier New" w:cs="宋体"/>
          <w:sz w:val="24"/>
          <w:szCs w:val="24"/>
          <w:highlight w:val="none"/>
          <w:u w:val="single"/>
        </w:rPr>
        <w:t>（1）竣工结算合同价格；（2）发包人已支付承包人的款项；（3）应扣留的质量保证金；（4）发包人应支付承包人的合同价款</w:t>
      </w:r>
      <w:r>
        <w:rPr>
          <w:rFonts w:hint="eastAsia" w:ascii="宋体" w:hAnsi="Courier New" w:cs="宋体"/>
          <w:sz w:val="24"/>
          <w:szCs w:val="24"/>
          <w:highlight w:val="none"/>
          <w:u w:val="single"/>
        </w:rPr>
        <w:t>；（5）随财政要求而变</w:t>
      </w:r>
      <w:r>
        <w:rPr>
          <w:rFonts w:ascii="宋体" w:hAnsi="Courier New" w:cs="宋体"/>
          <w:sz w:val="24"/>
          <w:szCs w:val="24"/>
          <w:highlight w:val="none"/>
        </w:rPr>
        <w:t>。</w:t>
      </w:r>
    </w:p>
    <w:p w14:paraId="2FA5DDF2">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14.2 竣工结算审核</w:t>
      </w:r>
    </w:p>
    <w:p w14:paraId="1F3F6CC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w:t>
      </w:r>
      <w:r>
        <w:rPr>
          <w:rFonts w:hint="eastAsia" w:ascii="宋体" w:hAnsi="Courier New" w:cs="宋体"/>
          <w:sz w:val="24"/>
          <w:szCs w:val="24"/>
          <w:highlight w:val="none"/>
        </w:rPr>
        <w:t>审批</w:t>
      </w:r>
      <w:r>
        <w:rPr>
          <w:rFonts w:ascii="宋体" w:hAnsi="Courier New" w:cs="宋体"/>
          <w:sz w:val="24"/>
          <w:szCs w:val="24"/>
          <w:highlight w:val="none"/>
        </w:rPr>
        <w:t>竣工付款申请单的期限：</w:t>
      </w: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7F023D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发包人完成竣工付款的期限：</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77A30E5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关于竣工付款证书异议部分复核的方式和程序：</w:t>
      </w:r>
      <w:r>
        <w:rPr>
          <w:rFonts w:ascii="宋体" w:hAnsi="Courier New" w:cs="宋体"/>
          <w:sz w:val="24"/>
          <w:szCs w:val="24"/>
          <w:highlight w:val="none"/>
        </w:rPr>
        <w:t>。</w:t>
      </w:r>
    </w:p>
    <w:p w14:paraId="7DCA87E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14.4 最终结清</w:t>
      </w:r>
    </w:p>
    <w:p w14:paraId="73FA33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14.4.1 最终结清申请单</w:t>
      </w:r>
    </w:p>
    <w:p w14:paraId="245777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承包人提交最终结清申请单的份数：。</w:t>
      </w:r>
    </w:p>
    <w:p w14:paraId="4564A2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承包人提交最终结算申请单的期限：。</w:t>
      </w:r>
    </w:p>
    <w:p w14:paraId="183D98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14.4.2 最终结清证书和支付</w:t>
      </w:r>
    </w:p>
    <w:p w14:paraId="5430583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（1）发包人完成最终结清申请单的</w:t>
      </w:r>
      <w:r>
        <w:rPr>
          <w:rFonts w:hint="eastAsia" w:ascii="宋体" w:hAnsi="Courier New" w:cs="宋体"/>
          <w:sz w:val="24"/>
          <w:szCs w:val="24"/>
          <w:highlight w:val="none"/>
        </w:rPr>
        <w:t>审批</w:t>
      </w:r>
      <w:r>
        <w:rPr>
          <w:rFonts w:ascii="宋体" w:hAnsi="Courier New" w:cs="宋体"/>
          <w:sz w:val="24"/>
          <w:szCs w:val="24"/>
          <w:highlight w:val="none"/>
        </w:rPr>
        <w:t>并颁发最终结清证书的期限：。</w:t>
      </w:r>
    </w:p>
    <w:p w14:paraId="4CC6C2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（2）发包人完成支付的期限：。</w:t>
      </w:r>
    </w:p>
    <w:p w14:paraId="507959A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35" w:name="_Toc267251496"/>
      <w:bookmarkEnd w:id="535"/>
      <w:bookmarkStart w:id="536" w:name="_Toc267251494"/>
      <w:bookmarkEnd w:id="536"/>
      <w:bookmarkStart w:id="537" w:name="_Toc267251510"/>
      <w:bookmarkEnd w:id="537"/>
      <w:bookmarkStart w:id="538" w:name="_Toc267251504"/>
      <w:bookmarkEnd w:id="538"/>
      <w:bookmarkStart w:id="539" w:name="_Toc267251482"/>
      <w:bookmarkEnd w:id="539"/>
      <w:bookmarkStart w:id="540" w:name="_Toc267251497"/>
      <w:bookmarkEnd w:id="540"/>
      <w:bookmarkStart w:id="541" w:name="_Toc267251508"/>
      <w:bookmarkEnd w:id="541"/>
      <w:bookmarkStart w:id="542" w:name="_Toc267251484"/>
      <w:bookmarkEnd w:id="542"/>
      <w:bookmarkStart w:id="543" w:name="_Toc267251488"/>
      <w:bookmarkEnd w:id="543"/>
      <w:bookmarkStart w:id="544" w:name="_Toc267251486"/>
      <w:bookmarkEnd w:id="544"/>
      <w:bookmarkStart w:id="545" w:name="_Toc267251513"/>
      <w:bookmarkEnd w:id="545"/>
      <w:bookmarkStart w:id="546" w:name="_Toc267251489"/>
      <w:bookmarkEnd w:id="546"/>
      <w:bookmarkStart w:id="547" w:name="_Toc267251511"/>
      <w:bookmarkEnd w:id="547"/>
      <w:bookmarkStart w:id="548" w:name="_Toc267251492"/>
      <w:bookmarkEnd w:id="548"/>
      <w:bookmarkStart w:id="549" w:name="_Toc267251491"/>
      <w:bookmarkEnd w:id="549"/>
      <w:bookmarkStart w:id="550" w:name="_Toc267251485"/>
      <w:bookmarkEnd w:id="550"/>
      <w:bookmarkStart w:id="551" w:name="_Toc267251483"/>
      <w:bookmarkEnd w:id="551"/>
      <w:bookmarkStart w:id="552" w:name="_Toc267251499"/>
      <w:bookmarkEnd w:id="552"/>
      <w:bookmarkStart w:id="553" w:name="_Toc267251502"/>
      <w:bookmarkEnd w:id="553"/>
      <w:bookmarkStart w:id="554" w:name="_Toc267251515"/>
      <w:bookmarkEnd w:id="554"/>
      <w:bookmarkStart w:id="555" w:name="_Toc267251506"/>
      <w:bookmarkEnd w:id="555"/>
      <w:bookmarkStart w:id="556" w:name="_Toc267251509"/>
      <w:bookmarkEnd w:id="556"/>
      <w:bookmarkStart w:id="557" w:name="_Toc267251490"/>
      <w:bookmarkEnd w:id="557"/>
      <w:bookmarkStart w:id="558" w:name="_Toc267251495"/>
      <w:bookmarkEnd w:id="558"/>
      <w:bookmarkStart w:id="559" w:name="_Toc267251514"/>
      <w:bookmarkEnd w:id="559"/>
      <w:bookmarkStart w:id="560" w:name="_Toc267251503"/>
      <w:bookmarkEnd w:id="560"/>
      <w:bookmarkStart w:id="561" w:name="_Toc267251498"/>
      <w:bookmarkEnd w:id="561"/>
      <w:bookmarkStart w:id="562" w:name="_Toc351203647"/>
      <w:bookmarkEnd w:id="562"/>
      <w:bookmarkStart w:id="563" w:name="_Toc267251493"/>
      <w:bookmarkEnd w:id="563"/>
      <w:bookmarkStart w:id="564" w:name="_Toc267251507"/>
      <w:bookmarkEnd w:id="564"/>
      <w:bookmarkStart w:id="565" w:name="_Toc267251501"/>
      <w:bookmarkEnd w:id="565"/>
      <w:r>
        <w:rPr>
          <w:rFonts w:ascii="宋体" w:hAnsi="Courier New" w:cs="宋体"/>
          <w:b/>
          <w:sz w:val="24"/>
          <w:szCs w:val="24"/>
          <w:highlight w:val="none"/>
        </w:rPr>
        <w:t>15. 缺陷责任期与保修</w:t>
      </w:r>
    </w:p>
    <w:p w14:paraId="66BE2A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15.2缺陷责任期</w:t>
      </w:r>
    </w:p>
    <w:p w14:paraId="27DA7D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缺陷责任期的具体期限：。</w:t>
      </w:r>
    </w:p>
    <w:p w14:paraId="34DB37C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15.3 质量保证金</w:t>
      </w:r>
    </w:p>
    <w:p w14:paraId="5582C2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关于是否扣留质量保证金的约定：。</w:t>
      </w:r>
    </w:p>
    <w:p w14:paraId="4E5F29F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 xml:space="preserve">15.3.1 </w:t>
      </w:r>
      <w:r>
        <w:rPr>
          <w:rFonts w:hint="eastAsia" w:ascii="宋体" w:hAnsi="Courier New" w:cs="宋体"/>
          <w:sz w:val="24"/>
          <w:szCs w:val="24"/>
          <w:highlight w:val="none"/>
        </w:rPr>
        <w:t>承包人提供</w:t>
      </w:r>
      <w:r>
        <w:rPr>
          <w:rFonts w:ascii="宋体" w:hAnsi="Courier New" w:cs="宋体"/>
          <w:sz w:val="24"/>
          <w:szCs w:val="24"/>
          <w:highlight w:val="none"/>
        </w:rPr>
        <w:t>质量保证金的</w:t>
      </w:r>
      <w:r>
        <w:rPr>
          <w:rFonts w:hint="eastAsia" w:ascii="宋体" w:hAnsi="Courier New" w:cs="宋体"/>
          <w:sz w:val="24"/>
          <w:szCs w:val="24"/>
          <w:highlight w:val="none"/>
        </w:rPr>
        <w:t>方</w:t>
      </w:r>
      <w:r>
        <w:rPr>
          <w:rFonts w:ascii="宋体" w:hAnsi="Courier New" w:cs="宋体"/>
          <w:sz w:val="24"/>
          <w:szCs w:val="24"/>
          <w:highlight w:val="none"/>
        </w:rPr>
        <w:t>式</w:t>
      </w:r>
    </w:p>
    <w:p w14:paraId="4CC57DC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质量保证金采用以下第</w:t>
      </w:r>
      <w:r>
        <w:rPr>
          <w:rFonts w:hint="eastAsia" w:ascii="宋体" w:hAnsi="Courier New" w:cs="宋体"/>
          <w:sz w:val="24"/>
          <w:szCs w:val="24"/>
          <w:highlight w:val="none"/>
        </w:rPr>
        <w:t>2</w:t>
      </w:r>
      <w:r>
        <w:rPr>
          <w:rFonts w:ascii="宋体" w:hAnsi="Courier New" w:cs="宋体"/>
          <w:sz w:val="24"/>
          <w:szCs w:val="24"/>
          <w:highlight w:val="none"/>
        </w:rPr>
        <w:t>种方式：</w:t>
      </w:r>
    </w:p>
    <w:p w14:paraId="48DBFE1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（1）质量保证金保函，保证金额为：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6103C4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rPr>
        <w:t>3</w:t>
      </w:r>
      <w:r>
        <w:rPr>
          <w:rFonts w:ascii="宋体" w:hAnsi="Courier New" w:cs="宋体"/>
          <w:sz w:val="24"/>
          <w:szCs w:val="24"/>
          <w:highlight w:val="none"/>
        </w:rPr>
        <w:t>%的工程款。</w:t>
      </w:r>
    </w:p>
    <w:p w14:paraId="2F3373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15.3.2 质量保证金的扣留</w:t>
      </w:r>
    </w:p>
    <w:p w14:paraId="588C876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质量保证金的扣留采取以下第</w:t>
      </w:r>
      <w:r>
        <w:rPr>
          <w:rFonts w:hint="eastAsia" w:ascii="宋体" w:hAnsi="Courier New" w:cs="宋体"/>
          <w:sz w:val="24"/>
          <w:szCs w:val="24"/>
          <w:highlight w:val="none"/>
        </w:rPr>
        <w:t>2</w:t>
      </w:r>
      <w:r>
        <w:rPr>
          <w:rFonts w:ascii="宋体" w:hAnsi="Courier New" w:cs="宋体"/>
          <w:sz w:val="24"/>
          <w:szCs w:val="24"/>
          <w:highlight w:val="none"/>
        </w:rPr>
        <w:t>种方式：</w:t>
      </w:r>
    </w:p>
    <w:p w14:paraId="7132E9A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（1）在支付工程进度款时逐次扣留，在此情形下，质量保证金的计算基数不包括预付款的支付、扣回以及价格调整的金额；</w:t>
      </w:r>
    </w:p>
    <w:p w14:paraId="215C336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（2）工程竣工结算时一次性扣留质量保证金；</w:t>
      </w:r>
    </w:p>
    <w:p w14:paraId="0D44310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（3）其他扣留方式:。</w:t>
      </w:r>
    </w:p>
    <w:p w14:paraId="7D7D26F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关于质量保证金的补充约定：。</w:t>
      </w:r>
    </w:p>
    <w:p w14:paraId="0269712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15.4保修</w:t>
      </w:r>
    </w:p>
    <w:p w14:paraId="15B2519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15.4.1 保修责任</w:t>
      </w:r>
    </w:p>
    <w:p w14:paraId="5B9AD67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工程保修期为：</w:t>
      </w:r>
      <w:r>
        <w:rPr>
          <w:rFonts w:hint="eastAsia" w:ascii="宋体" w:hAnsi="Courier New" w:cs="宋体"/>
          <w:sz w:val="24"/>
          <w:szCs w:val="24"/>
          <w:highlight w:val="none"/>
          <w:u w:val="single"/>
        </w:rPr>
        <w:t>按国家规定执行</w:t>
      </w:r>
      <w:r>
        <w:rPr>
          <w:rFonts w:ascii="宋体" w:hAnsi="Courier New" w:cs="宋体"/>
          <w:sz w:val="24"/>
          <w:szCs w:val="24"/>
          <w:highlight w:val="none"/>
        </w:rPr>
        <w:t>。</w:t>
      </w:r>
    </w:p>
    <w:p w14:paraId="309D07A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15.4.3 修复通知</w:t>
      </w:r>
    </w:p>
    <w:p w14:paraId="7DADD48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承包人收到保修通知并到达工程现场的合理时间：。</w:t>
      </w:r>
    </w:p>
    <w:p w14:paraId="3C66D27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66" w:name="_Toc280868718"/>
      <w:bookmarkEnd w:id="566"/>
      <w:bookmarkStart w:id="567" w:name="_Toc280868717"/>
      <w:bookmarkEnd w:id="567"/>
      <w:bookmarkStart w:id="568" w:name="_Toc351203648"/>
      <w:bookmarkEnd w:id="568"/>
      <w:r>
        <w:rPr>
          <w:rFonts w:ascii="宋体" w:hAnsi="Courier New" w:cs="宋体"/>
          <w:b/>
          <w:sz w:val="24"/>
          <w:szCs w:val="24"/>
          <w:highlight w:val="none"/>
        </w:rPr>
        <w:t>16. 违约</w:t>
      </w:r>
    </w:p>
    <w:p w14:paraId="15E6908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16.1 发包人违约</w:t>
      </w:r>
    </w:p>
    <w:p w14:paraId="2B5BCCA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16.1.1发包人违约的情形</w:t>
      </w:r>
    </w:p>
    <w:p w14:paraId="352AFB4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发包人违约的其他情形：</w:t>
      </w:r>
      <w:r>
        <w:rPr>
          <w:rFonts w:ascii="宋体" w:hAnsi="Courier New" w:cs="宋体"/>
          <w:sz w:val="24"/>
          <w:szCs w:val="24"/>
          <w:highlight w:val="none"/>
          <w:u w:val="single"/>
        </w:rPr>
        <w:t>按通用条款16.1.1款执行</w:t>
      </w:r>
      <w:r>
        <w:rPr>
          <w:rFonts w:ascii="宋体" w:hAnsi="Courier New" w:cs="宋体"/>
          <w:sz w:val="24"/>
          <w:szCs w:val="24"/>
          <w:highlight w:val="none"/>
        </w:rPr>
        <w:t>。</w:t>
      </w:r>
    </w:p>
    <w:p w14:paraId="3954726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16.1.2 发包人违约的责任</w:t>
      </w:r>
    </w:p>
    <w:p w14:paraId="1CC71CB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发包人违约责任的承担方式和计算方法：</w:t>
      </w:r>
    </w:p>
    <w:p w14:paraId="544FF04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（1）因发包人原因未能在计划开工日期前7天内下达开工通知的违约责任：。</w:t>
      </w:r>
    </w:p>
    <w:p w14:paraId="7FBAD21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（2）因发包人原因未能按合同约定支付合同价款的违约责任：。</w:t>
      </w:r>
    </w:p>
    <w:p w14:paraId="1FAD9276">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（3）发包人违反第10.1款</w:t>
      </w:r>
      <w:r>
        <w:rPr>
          <w:rFonts w:hint="eastAsia" w:ascii="宋体" w:hAnsi="Courier New" w:cs="宋体"/>
          <w:sz w:val="24"/>
          <w:szCs w:val="24"/>
          <w:highlight w:val="none"/>
        </w:rPr>
        <w:t>〔</w:t>
      </w:r>
      <w:r>
        <w:rPr>
          <w:rFonts w:ascii="宋体" w:hAnsi="Courier New" w:cs="宋体"/>
          <w:sz w:val="24"/>
          <w:szCs w:val="24"/>
          <w:highlight w:val="none"/>
        </w:rPr>
        <w:t>变更的范围</w:t>
      </w:r>
      <w:r>
        <w:rPr>
          <w:rFonts w:hint="eastAsia" w:ascii="宋体" w:hAnsi="Courier New" w:cs="宋体"/>
          <w:sz w:val="24"/>
          <w:szCs w:val="24"/>
          <w:highlight w:val="none"/>
        </w:rPr>
        <w:t>〕</w:t>
      </w:r>
      <w:r>
        <w:rPr>
          <w:rFonts w:ascii="宋体" w:hAnsi="Courier New" w:cs="宋体"/>
          <w:sz w:val="24"/>
          <w:szCs w:val="24"/>
          <w:highlight w:val="none"/>
        </w:rPr>
        <w:t>第（2）项约定，自行实施被取消的工作或转由他人实施的违约责任：。</w:t>
      </w:r>
    </w:p>
    <w:p w14:paraId="7658388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（4）发包人提供的材料、工程设备的规格、数量或质量不符合合同约定，或因发包人原因导致交货日期延误或交货地点变更等情况的违约责任：。</w:t>
      </w:r>
    </w:p>
    <w:p w14:paraId="5FDE00B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（5）因发包人违反合同约定造成暂停施工的违约责任：。</w:t>
      </w:r>
    </w:p>
    <w:p w14:paraId="6BCFC3B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（6）发包人无正当理由没有在约定期限内发出复工指示，导致承包人无法复工的违约责任：。</w:t>
      </w:r>
    </w:p>
    <w:p w14:paraId="4985EA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r>
        <w:rPr>
          <w:rFonts w:hint="eastAsia" w:ascii="宋体" w:hAnsi="Courier New" w:cs="宋体"/>
          <w:sz w:val="24"/>
          <w:szCs w:val="24"/>
          <w:highlight w:val="none"/>
        </w:rPr>
        <w:t>其他：</w:t>
      </w:r>
      <w:r>
        <w:rPr>
          <w:rFonts w:ascii="宋体" w:hAnsi="Courier New" w:cs="宋体"/>
          <w:sz w:val="24"/>
          <w:szCs w:val="24"/>
          <w:highlight w:val="none"/>
        </w:rPr>
        <w:t>。</w:t>
      </w:r>
    </w:p>
    <w:p w14:paraId="1F372F3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16.1.3 因发包人违约解除合同</w:t>
      </w:r>
    </w:p>
    <w:p w14:paraId="6FC813F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承包人按16.1.1项〔发包人违约的情形〕约定暂停施工满</w:t>
      </w:r>
      <w:r>
        <w:rPr>
          <w:rFonts w:ascii="宋体" w:hAnsi="Courier New" w:cs="宋体"/>
          <w:sz w:val="24"/>
          <w:szCs w:val="24"/>
          <w:highlight w:val="none"/>
          <w:u w:val="single"/>
        </w:rPr>
        <w:t xml:space="preserve">  28  </w:t>
      </w:r>
      <w:r>
        <w:rPr>
          <w:rFonts w:ascii="宋体" w:hAnsi="Courier New" w:cs="宋体"/>
          <w:sz w:val="24"/>
          <w:szCs w:val="24"/>
          <w:highlight w:val="none"/>
        </w:rPr>
        <w:t>天后发包人仍不纠正其违约行为并致使合同目的不能实现的，承包人有权解除合同。</w:t>
      </w:r>
    </w:p>
    <w:p w14:paraId="1006754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16.2 承包人违约</w:t>
      </w:r>
    </w:p>
    <w:p w14:paraId="793CF6B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16.2.1 承包人违约的情形</w:t>
      </w:r>
    </w:p>
    <w:p w14:paraId="7717D98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承包人违约的其他情形：。</w:t>
      </w:r>
    </w:p>
    <w:p w14:paraId="797253A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16.2.2承包人违约的责任</w:t>
      </w:r>
    </w:p>
    <w:p w14:paraId="1EA89AD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承包人违约责任的承担方式和计算方法：。</w:t>
      </w:r>
    </w:p>
    <w:p w14:paraId="071DFC2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16.2.3 因承包人违约解除合同</w:t>
      </w:r>
    </w:p>
    <w:p w14:paraId="1BE7C9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关于承包人违约解除合同的特别约定：。</w:t>
      </w:r>
    </w:p>
    <w:p w14:paraId="3D32D04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w:t>
      </w:r>
      <w:r>
        <w:rPr>
          <w:rFonts w:hint="eastAsia" w:ascii="宋体" w:hAnsi="Courier New" w:cs="宋体"/>
          <w:sz w:val="24"/>
          <w:szCs w:val="24"/>
          <w:highlight w:val="none"/>
        </w:rPr>
        <w:t>继续</w:t>
      </w:r>
      <w:r>
        <w:rPr>
          <w:rFonts w:ascii="宋体" w:hAnsi="Courier New" w:cs="宋体"/>
          <w:sz w:val="24"/>
          <w:szCs w:val="24"/>
          <w:highlight w:val="none"/>
        </w:rPr>
        <w:t>使用承包人在施工现场的材料、设备、临时工程、承包人文件和由承包人或以其名义编制的其他文件</w:t>
      </w:r>
      <w:r>
        <w:rPr>
          <w:rFonts w:hint="eastAsia" w:ascii="宋体" w:hAnsi="Courier New" w:cs="宋体"/>
          <w:sz w:val="24"/>
          <w:szCs w:val="24"/>
          <w:highlight w:val="none"/>
        </w:rPr>
        <w:t>的费用承担方式</w:t>
      </w:r>
      <w:r>
        <w:rPr>
          <w:rFonts w:ascii="宋体" w:hAnsi="Courier New" w:cs="宋体"/>
          <w:sz w:val="24"/>
          <w:szCs w:val="24"/>
          <w:highlight w:val="none"/>
        </w:rPr>
        <w:t>：</w:t>
      </w:r>
      <w:r>
        <w:rPr>
          <w:rFonts w:hint="eastAsia" w:ascii="宋体" w:hAnsi="Courier New" w:cs="宋体"/>
          <w:sz w:val="24"/>
          <w:szCs w:val="24"/>
          <w:highlight w:val="none"/>
        </w:rPr>
        <w:t>。</w:t>
      </w:r>
    </w:p>
    <w:p w14:paraId="4AA12AA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69" w:name="_Toc351203649"/>
      <w:bookmarkEnd w:id="569"/>
      <w:r>
        <w:rPr>
          <w:rFonts w:ascii="宋体" w:hAnsi="Courier New" w:cs="宋体"/>
          <w:b/>
          <w:sz w:val="24"/>
          <w:szCs w:val="24"/>
          <w:highlight w:val="none"/>
        </w:rPr>
        <w:t>17. 不可抗力</w:t>
      </w:r>
    </w:p>
    <w:p w14:paraId="2369B32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17.1 不可抗力的确认</w:t>
      </w:r>
    </w:p>
    <w:p w14:paraId="2C28D08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b/>
          <w:sz w:val="24"/>
          <w:szCs w:val="24"/>
          <w:highlight w:val="none"/>
        </w:rPr>
      </w:pPr>
      <w:r>
        <w:rPr>
          <w:rFonts w:ascii="宋体" w:hAnsi="Courier New" w:cs="宋体"/>
          <w:sz w:val="24"/>
          <w:szCs w:val="24"/>
          <w:highlight w:val="none"/>
        </w:rPr>
        <w:t>除通用合同条款约定的不可抗力事件之外，视为不可抗力的其他情</w:t>
      </w:r>
      <w:r>
        <w:rPr>
          <w:rFonts w:ascii="宋体" w:hAnsi="Courier New" w:cs="宋体"/>
          <w:spacing w:val="-10"/>
          <w:sz w:val="24"/>
          <w:szCs w:val="24"/>
          <w:highlight w:val="none"/>
        </w:rPr>
        <w:t>形</w:t>
      </w:r>
      <w:r>
        <w:rPr>
          <w:rFonts w:hint="eastAsia" w:ascii="宋体" w:hAnsi="Courier New" w:cs="宋体"/>
          <w:sz w:val="24"/>
          <w:szCs w:val="24"/>
          <w:highlight w:val="none"/>
        </w:rPr>
        <w:t>：</w:t>
      </w:r>
      <w:r>
        <w:rPr>
          <w:rFonts w:ascii="宋体" w:hAnsi="Courier New" w:cs="宋体"/>
          <w:sz w:val="24"/>
          <w:szCs w:val="24"/>
          <w:highlight w:val="none"/>
        </w:rPr>
        <w:t>。</w:t>
      </w:r>
    </w:p>
    <w:p w14:paraId="586E831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17.4 因不可抗力解除合同</w:t>
      </w:r>
    </w:p>
    <w:p w14:paraId="5EA41CA7">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合同解除后，发包人应在商定或确定发包人应支付款项后天内完成款项的支付。</w:t>
      </w:r>
    </w:p>
    <w:p w14:paraId="562BEE0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70" w:name="_Toc351203650"/>
      <w:bookmarkEnd w:id="570"/>
      <w:r>
        <w:rPr>
          <w:rFonts w:ascii="宋体" w:hAnsi="Courier New" w:cs="宋体"/>
          <w:b/>
          <w:sz w:val="24"/>
          <w:szCs w:val="24"/>
          <w:highlight w:val="none"/>
        </w:rPr>
        <w:t>18. 保险</w:t>
      </w:r>
    </w:p>
    <w:p w14:paraId="0A12BA1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18.1 工程保险</w:t>
      </w:r>
    </w:p>
    <w:p w14:paraId="64A660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关于工程保险的特别约定：。</w:t>
      </w:r>
    </w:p>
    <w:p w14:paraId="6A04FD0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18.3 其他保险</w:t>
      </w:r>
    </w:p>
    <w:p w14:paraId="61A960E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关于其他保险的约定：。</w:t>
      </w:r>
    </w:p>
    <w:p w14:paraId="128C3F1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承包人是否应为其施工设备等办理财产保险：。</w:t>
      </w:r>
    </w:p>
    <w:p w14:paraId="3F1A85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18.7 通知义务</w:t>
      </w:r>
    </w:p>
    <w:p w14:paraId="69D5D20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关于变更保险合同时的通知义务的约定：。</w:t>
      </w:r>
    </w:p>
    <w:p w14:paraId="317D411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71" w:name="_Toc351203651"/>
      <w:bookmarkEnd w:id="571"/>
      <w:r>
        <w:rPr>
          <w:rFonts w:ascii="宋体" w:hAnsi="Courier New" w:cs="宋体"/>
          <w:b/>
          <w:sz w:val="24"/>
          <w:szCs w:val="24"/>
          <w:highlight w:val="none"/>
        </w:rPr>
        <w:t>20. 争议解决</w:t>
      </w:r>
    </w:p>
    <w:p w14:paraId="12C07A3A">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20.3 争议评审</w:t>
      </w:r>
    </w:p>
    <w:p w14:paraId="461B09E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合同当事人是否同意将工程争议提交争议评审小组决</w:t>
      </w:r>
      <w:r>
        <w:rPr>
          <w:rFonts w:hint="eastAsia" w:ascii="宋体" w:hAnsi="Courier New" w:cs="宋体"/>
          <w:sz w:val="24"/>
          <w:szCs w:val="24"/>
          <w:highlight w:val="none"/>
        </w:rPr>
        <w:t>定：。</w:t>
      </w:r>
    </w:p>
    <w:p w14:paraId="1E860BE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20.3.1 争议评审小组的确定</w:t>
      </w:r>
    </w:p>
    <w:p w14:paraId="600DDC9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争议评审小组成员的确定：。</w:t>
      </w:r>
    </w:p>
    <w:p w14:paraId="6A8F56B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选定争议评审员的期限：。</w:t>
      </w:r>
    </w:p>
    <w:p w14:paraId="35E7A81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争议评审小组成员的报酬承担方式：。</w:t>
      </w:r>
    </w:p>
    <w:p w14:paraId="2AFBA53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其他事项的约定：。</w:t>
      </w:r>
    </w:p>
    <w:p w14:paraId="3D9A128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20.3.2 争议评审小组的决定</w:t>
      </w:r>
    </w:p>
    <w:p w14:paraId="7F42F1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合同当事人关于本项的约定：。</w:t>
      </w:r>
    </w:p>
    <w:p w14:paraId="15C8A9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20.4仲裁或诉讼</w:t>
      </w:r>
    </w:p>
    <w:p w14:paraId="3C1571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因合同及合同有关事项发生的争议，按下列第</w:t>
      </w:r>
      <w:r>
        <w:rPr>
          <w:rFonts w:hint="eastAsia" w:ascii="宋体" w:hAnsi="Courier New" w:cs="宋体"/>
          <w:sz w:val="24"/>
          <w:szCs w:val="24"/>
          <w:highlight w:val="none"/>
          <w:u w:val="single"/>
        </w:rPr>
        <w:t>(2)</w:t>
      </w:r>
      <w:r>
        <w:rPr>
          <w:rFonts w:ascii="宋体" w:hAnsi="Courier New" w:cs="宋体"/>
          <w:sz w:val="24"/>
          <w:szCs w:val="24"/>
          <w:highlight w:val="none"/>
        </w:rPr>
        <w:t>种方式</w:t>
      </w:r>
      <w:r>
        <w:rPr>
          <w:rFonts w:hint="eastAsia" w:ascii="宋体" w:hAnsi="Courier New" w:cs="宋体"/>
          <w:sz w:val="24"/>
          <w:szCs w:val="24"/>
          <w:highlight w:val="none"/>
        </w:rPr>
        <w:t>解</w:t>
      </w:r>
      <w:r>
        <w:rPr>
          <w:rFonts w:ascii="宋体" w:hAnsi="Courier New" w:cs="宋体"/>
          <w:sz w:val="24"/>
          <w:szCs w:val="24"/>
          <w:highlight w:val="none"/>
        </w:rPr>
        <w:t>决：</w:t>
      </w:r>
    </w:p>
    <w:p w14:paraId="22E01B7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（1）向</w:t>
      </w:r>
      <w:r>
        <w:rPr>
          <w:rFonts w:hint="eastAsia" w:ascii="宋体" w:hAnsi="Courier New" w:cs="宋体"/>
          <w:sz w:val="24"/>
          <w:szCs w:val="24"/>
          <w:highlight w:val="none"/>
          <w:u w:val="single"/>
        </w:rPr>
        <w:t>工程所在地</w:t>
      </w:r>
      <w:r>
        <w:rPr>
          <w:rFonts w:ascii="宋体" w:hAnsi="Courier New" w:cs="宋体"/>
          <w:sz w:val="24"/>
          <w:szCs w:val="24"/>
          <w:highlight w:val="none"/>
        </w:rPr>
        <w:t>仲裁委员会申请仲裁；</w:t>
      </w:r>
    </w:p>
    <w:p w14:paraId="7CC3746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（2）向</w:t>
      </w:r>
      <w:r>
        <w:rPr>
          <w:rFonts w:hint="eastAsia" w:ascii="宋体" w:hAnsi="Courier New" w:cs="宋体"/>
          <w:sz w:val="24"/>
          <w:szCs w:val="24"/>
          <w:highlight w:val="none"/>
          <w:u w:val="single"/>
        </w:rPr>
        <w:t>工程所在地</w:t>
      </w:r>
      <w:r>
        <w:rPr>
          <w:rFonts w:ascii="宋体" w:hAnsi="Courier New" w:cs="宋体"/>
          <w:sz w:val="24"/>
          <w:szCs w:val="24"/>
          <w:highlight w:val="none"/>
        </w:rPr>
        <w:t>人民法院起诉。</w:t>
      </w:r>
    </w:p>
    <w:p w14:paraId="7270FD0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21. 补充合同条款</w:t>
      </w:r>
    </w:p>
    <w:p w14:paraId="04621DE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21.1承包人负责相关安全措施（包含自身的人身、财产及周边的设施及人身安全），按规定办理相应的各种保险并承担相应费用。</w:t>
      </w:r>
    </w:p>
    <w:p w14:paraId="6CA009E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21.2在施工过程中，因建材的供应、人工的使用等原因引起的地方关系纠纷，由承包人协调解决。</w:t>
      </w:r>
    </w:p>
    <w:p w14:paraId="6941FD9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21.3与相邻施工单位交叉施工时严格服从甲方组织安排，无偿提供配合，积极配合甲方开展工作。</w:t>
      </w:r>
    </w:p>
    <w:p w14:paraId="4E3F1B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21.4乙方负责协调周边关系，甲方配合。</w:t>
      </w:r>
    </w:p>
    <w:p w14:paraId="4161108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21.5乙方保证按照甲方要求进行安全文明施工，做到工完场清；承诺施工产生的垃圾清运至发包人指定地点不另外计取费用。</w:t>
      </w:r>
    </w:p>
    <w:p w14:paraId="2D1D89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21.6在工程交工后乙方定期的回访保修确保甲方满意。</w:t>
      </w:r>
    </w:p>
    <w:p w14:paraId="62B7CF6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21.7保证按正常施工进度连续施工至竣工验收。</w:t>
      </w:r>
    </w:p>
    <w:p w14:paraId="0F952AE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21.8在工程施工过程中，乙方保证决不拖欠农民工工资。</w:t>
      </w:r>
    </w:p>
    <w:p w14:paraId="4F58871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21.9乙方要服从甲方现场协调指挥。</w:t>
      </w:r>
    </w:p>
    <w:p w14:paraId="1184C3E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21.10对于主材甲方有权认质认价，对于不符合甲方要求的甲方有权要求乙方更换。</w:t>
      </w:r>
    </w:p>
    <w:p w14:paraId="7AFD9D4B">
      <w:pPr>
        <w:kinsoku/>
        <w:wordWrap w:val="0"/>
        <w:overflowPunct/>
        <w:topLinePunct w:val="0"/>
        <w:bidi w:val="0"/>
        <w:spacing w:line="320" w:lineRule="exact"/>
        <w:rPr>
          <w:rFonts w:cs="宋体"/>
          <w:sz w:val="24"/>
          <w:szCs w:val="24"/>
          <w:highlight w:val="none"/>
        </w:rPr>
      </w:pPr>
    </w:p>
    <w:p w14:paraId="1C8B7FCB">
      <w:pPr>
        <w:widowControl w:val="0"/>
        <w:kinsoku/>
        <w:wordWrap w:val="0"/>
        <w:overflowPunct/>
        <w:topLinePunct w:val="0"/>
        <w:bidi w:val="0"/>
        <w:spacing w:beforeAutospacing="0" w:afterAutospacing="0" w:line="600" w:lineRule="exact"/>
        <w:jc w:val="both"/>
        <w:rPr>
          <w:rFonts w:hint="eastAsia"/>
          <w:kern w:val="2"/>
          <w:sz w:val="28"/>
          <w:szCs w:val="28"/>
          <w:highlight w:val="none"/>
        </w:rPr>
      </w:pPr>
      <w:r>
        <w:rPr>
          <w:rFonts w:hint="eastAsia"/>
          <w:kern w:val="2"/>
          <w:sz w:val="28"/>
          <w:szCs w:val="28"/>
          <w:highlight w:val="none"/>
        </w:rPr>
        <w:t xml:space="preserve"> </w:t>
      </w:r>
    </w:p>
    <w:p w14:paraId="7A357F65">
      <w:pPr>
        <w:kinsoku/>
        <w:wordWrap w:val="0"/>
        <w:overflowPunct/>
        <w:topLinePunct w:val="0"/>
        <w:bidi w:val="0"/>
        <w:rPr>
          <w:highlight w:val="none"/>
        </w:rPr>
      </w:pPr>
    </w:p>
    <w:p w14:paraId="5388780F">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bookmarkStart w:id="572" w:name="_Toc17665"/>
    </w:p>
    <w:p w14:paraId="76E507BC">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0330303">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333841FF">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77AA85B">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59C537D8">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65ECA2F6">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1163320A">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2E503D3">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6A3697E0">
      <w:pPr>
        <w:keepNext w:val="0"/>
        <w:keepLines w:val="0"/>
        <w:pageBreakBefore w:val="0"/>
        <w:widowControl w:val="0"/>
        <w:kinsoku/>
        <w:wordWrap w:val="0"/>
        <w:overflowPunct/>
        <w:topLinePunct w:val="0"/>
        <w:autoSpaceDE/>
        <w:autoSpaceDN/>
        <w:bidi w:val="0"/>
        <w:adjustRightInd/>
        <w:snapToGrid/>
        <w:spacing w:beforeAutospacing="0" w:afterAutospacing="0" w:line="460" w:lineRule="exact"/>
        <w:jc w:val="both"/>
        <w:textAlignment w:val="auto"/>
        <w:outlineLvl w:val="0"/>
        <w:rPr>
          <w:rFonts w:hint="eastAsia" w:ascii="宋体" w:hAnsi="宋体" w:cs="宋体"/>
          <w:b/>
          <w:kern w:val="2"/>
          <w:sz w:val="28"/>
          <w:szCs w:val="28"/>
          <w:highlight w:val="none"/>
        </w:rPr>
        <w:sectPr>
          <w:pgSz w:w="11900" w:h="16838"/>
          <w:pgMar w:top="1077" w:right="1134" w:bottom="1077" w:left="1134" w:header="720" w:footer="720" w:gutter="0"/>
          <w:pgNumType w:fmt="decimal"/>
          <w:cols w:space="720" w:num="1"/>
          <w:docGrid w:type="lines" w:linePitch="360" w:charSpace="0"/>
        </w:sectPr>
      </w:pPr>
    </w:p>
    <w:bookmarkEnd w:id="572"/>
    <w:p w14:paraId="3CCEAF35">
      <w:pPr>
        <w:pStyle w:val="2"/>
        <w:bidi w:val="0"/>
        <w:rPr>
          <w:rFonts w:ascii="宋体" w:hAnsi="宋体" w:cs="黑体"/>
          <w:b/>
          <w:szCs w:val="32"/>
          <w:highlight w:val="none"/>
        </w:rPr>
      </w:pPr>
      <w:bookmarkStart w:id="573" w:name="_Toc17511"/>
      <w:r>
        <w:rPr>
          <w:rFonts w:hint="eastAsia"/>
        </w:rPr>
        <w:t>第</w:t>
      </w:r>
      <w:r>
        <w:rPr>
          <w:rFonts w:hint="eastAsia"/>
          <w:lang w:val="en-US" w:eastAsia="zh-CN"/>
        </w:rPr>
        <w:t>七</w:t>
      </w:r>
      <w:r>
        <w:rPr>
          <w:rFonts w:hint="eastAsia"/>
        </w:rPr>
        <w:t>章</w:t>
      </w:r>
      <w:r>
        <w:rPr>
          <w:rFonts w:hint="eastAsia"/>
          <w:lang w:val="en-US" w:eastAsia="zh-CN"/>
        </w:rPr>
        <w:t xml:space="preserve">  </w:t>
      </w:r>
      <w:r>
        <w:rPr>
          <w:rFonts w:hint="eastAsia"/>
          <w:lang w:eastAsia="zh-CN"/>
        </w:rPr>
        <w:t>响应</w:t>
      </w:r>
      <w:r>
        <w:rPr>
          <w:rFonts w:hint="eastAsia"/>
        </w:rPr>
        <w:t>文件格式</w:t>
      </w:r>
      <w:bookmarkEnd w:id="573"/>
    </w:p>
    <w:p w14:paraId="3A17C360">
      <w:pPr>
        <w:kinsoku/>
        <w:wordWrap w:val="0"/>
        <w:overflowPunct/>
        <w:topLinePunct w:val="0"/>
        <w:bidi w:val="0"/>
        <w:jc w:val="both"/>
        <w:rPr>
          <w:rFonts w:hint="eastAsia" w:ascii="宋体" w:hAnsi="宋体" w:eastAsia="宋体"/>
          <w:b/>
          <w:bCs/>
          <w:kern w:val="0"/>
          <w:sz w:val="28"/>
          <w:szCs w:val="28"/>
          <w:highlight w:val="none"/>
        </w:rPr>
      </w:pPr>
      <w:r>
        <w:rPr>
          <w:rFonts w:hint="eastAsia" w:ascii="宋体" w:hAnsi="宋体" w:eastAsia="宋体"/>
          <w:b/>
          <w:bCs/>
          <w:kern w:val="0"/>
          <w:sz w:val="28"/>
          <w:szCs w:val="28"/>
          <w:highlight w:val="none"/>
        </w:rPr>
        <w:t xml:space="preserve">                     </w:t>
      </w:r>
    </w:p>
    <w:p w14:paraId="5FF14AC7">
      <w:pPr>
        <w:kinsoku/>
        <w:wordWrap w:val="0"/>
        <w:overflowPunct/>
        <w:topLinePunct w:val="0"/>
        <w:bidi w:val="0"/>
        <w:jc w:val="both"/>
        <w:rPr>
          <w:rFonts w:ascii="宋体" w:hAnsi="宋体" w:eastAsia="宋体"/>
          <w:b/>
          <w:bCs/>
          <w:kern w:val="0"/>
          <w:sz w:val="28"/>
          <w:szCs w:val="28"/>
          <w:highlight w:val="none"/>
        </w:rPr>
      </w:pPr>
      <w:r>
        <w:rPr>
          <w:rFonts w:hint="eastAsia" w:ascii="宋体" w:hAnsi="宋体" w:eastAsia="宋体"/>
          <w:b/>
          <w:bCs/>
          <w:kern w:val="0"/>
          <w:sz w:val="28"/>
          <w:szCs w:val="28"/>
          <w:highlight w:val="none"/>
        </w:rPr>
        <w:t xml:space="preserve">                     </w:t>
      </w:r>
    </w:p>
    <w:p w14:paraId="1A55A522">
      <w:pPr>
        <w:kinsoku/>
        <w:wordWrap w:val="0"/>
        <w:overflowPunct/>
        <w:topLinePunct w:val="0"/>
        <w:bidi w:val="0"/>
        <w:spacing w:line="360" w:lineRule="auto"/>
        <w:jc w:val="center"/>
        <w:outlineLvl w:val="0"/>
        <w:rPr>
          <w:rFonts w:hint="eastAsia" w:ascii="宋体" w:hAnsi="宋体" w:eastAsia="宋体" w:cs="宋体"/>
          <w:sz w:val="32"/>
          <w:szCs w:val="32"/>
          <w:highlight w:val="none"/>
          <w:u w:val="single"/>
        </w:rPr>
      </w:pPr>
      <w:bookmarkStart w:id="574" w:name="_Toc4601"/>
      <w:bookmarkStart w:id="575" w:name="_Toc2693"/>
      <w:bookmarkStart w:id="576" w:name="_Toc24054"/>
      <w:bookmarkStart w:id="577" w:name="_Toc28974"/>
      <w:bookmarkStart w:id="578" w:name="_Toc15366"/>
      <w:bookmarkStart w:id="579" w:name="_Toc1811"/>
      <w:r>
        <w:rPr>
          <w:rFonts w:hint="eastAsia" w:ascii="宋体" w:hAnsi="宋体" w:eastAsia="宋体" w:cs="宋体"/>
          <w:sz w:val="32"/>
          <w:szCs w:val="32"/>
          <w:highlight w:val="none"/>
          <w:u w:val="single"/>
        </w:rPr>
        <w:t>（项目名称）</w:t>
      </w:r>
      <w:bookmarkEnd w:id="574"/>
      <w:bookmarkEnd w:id="575"/>
      <w:bookmarkEnd w:id="576"/>
      <w:bookmarkEnd w:id="577"/>
      <w:bookmarkEnd w:id="578"/>
      <w:bookmarkEnd w:id="579"/>
    </w:p>
    <w:p w14:paraId="16301B99">
      <w:pPr>
        <w:kinsoku/>
        <w:wordWrap w:val="0"/>
        <w:overflowPunct/>
        <w:topLinePunct w:val="0"/>
        <w:bidi w:val="0"/>
        <w:spacing w:line="360" w:lineRule="auto"/>
        <w:ind w:firstLine="3200" w:firstLineChars="1000"/>
        <w:jc w:val="center"/>
        <w:outlineLvl w:val="0"/>
        <w:rPr>
          <w:rFonts w:hint="eastAsia" w:ascii="宋体" w:hAnsi="宋体" w:eastAsia="宋体" w:cs="宋体"/>
          <w:sz w:val="32"/>
          <w:szCs w:val="32"/>
          <w:highlight w:val="none"/>
          <w:u w:val="single"/>
        </w:rPr>
      </w:pPr>
    </w:p>
    <w:p w14:paraId="08351BAC">
      <w:pPr>
        <w:kinsoku/>
        <w:wordWrap w:val="0"/>
        <w:overflowPunct/>
        <w:topLinePunct w:val="0"/>
        <w:bidi w:val="0"/>
        <w:spacing w:line="360" w:lineRule="auto"/>
        <w:jc w:val="center"/>
        <w:outlineLvl w:val="0"/>
        <w:rPr>
          <w:rFonts w:ascii="宋体" w:hAnsi="宋体" w:eastAsia="宋体" w:cs="宋体"/>
          <w:sz w:val="52"/>
          <w:szCs w:val="52"/>
          <w:highlight w:val="none"/>
        </w:rPr>
      </w:pPr>
      <w:bookmarkStart w:id="580" w:name="_Toc13495"/>
      <w:bookmarkStart w:id="581" w:name="_Toc15684"/>
      <w:bookmarkStart w:id="582" w:name="_Toc26224"/>
      <w:bookmarkStart w:id="583" w:name="_Toc14209"/>
      <w:bookmarkStart w:id="584" w:name="_Toc16071"/>
      <w:bookmarkStart w:id="585" w:name="_Toc11522"/>
      <w:r>
        <w:rPr>
          <w:rFonts w:hint="eastAsia" w:ascii="宋体" w:hAnsi="宋体" w:eastAsia="宋体" w:cs="宋体"/>
          <w:sz w:val="52"/>
          <w:szCs w:val="52"/>
          <w:highlight w:val="none"/>
        </w:rPr>
        <w:t>响  应  文  件</w:t>
      </w:r>
      <w:bookmarkEnd w:id="580"/>
      <w:bookmarkEnd w:id="581"/>
      <w:bookmarkEnd w:id="582"/>
      <w:bookmarkEnd w:id="583"/>
      <w:bookmarkEnd w:id="584"/>
      <w:bookmarkEnd w:id="585"/>
    </w:p>
    <w:p w14:paraId="30A0BB09">
      <w:pPr>
        <w:kinsoku/>
        <w:wordWrap w:val="0"/>
        <w:overflowPunct/>
        <w:topLinePunct w:val="0"/>
        <w:bidi w:val="0"/>
        <w:spacing w:line="360" w:lineRule="auto"/>
        <w:jc w:val="center"/>
        <w:rPr>
          <w:rFonts w:ascii="宋体" w:hAnsi="宋体" w:eastAsia="宋体" w:cs="宋体"/>
          <w:sz w:val="32"/>
          <w:szCs w:val="32"/>
          <w:highlight w:val="none"/>
        </w:rPr>
      </w:pPr>
    </w:p>
    <w:p w14:paraId="13B3C0D4">
      <w:pPr>
        <w:kinsoku/>
        <w:wordWrap w:val="0"/>
        <w:overflowPunct/>
        <w:topLinePunct w:val="0"/>
        <w:bidi w:val="0"/>
        <w:spacing w:line="360" w:lineRule="auto"/>
        <w:jc w:val="center"/>
        <w:rPr>
          <w:rFonts w:ascii="宋体" w:hAnsi="宋体" w:eastAsia="宋体" w:cs="宋体"/>
          <w:sz w:val="32"/>
          <w:szCs w:val="32"/>
          <w:highlight w:val="none"/>
        </w:rPr>
      </w:pPr>
      <w:r>
        <w:rPr>
          <w:rFonts w:hint="eastAsia" w:ascii="宋体" w:hAnsi="宋体" w:eastAsia="宋体" w:cs="宋体"/>
          <w:sz w:val="32"/>
          <w:szCs w:val="32"/>
          <w:highlight w:val="none"/>
        </w:rPr>
        <w:t>项目编号：</w:t>
      </w:r>
    </w:p>
    <w:p w14:paraId="12D94CBD">
      <w:pPr>
        <w:pStyle w:val="16"/>
        <w:kinsoku/>
        <w:wordWrap w:val="0"/>
        <w:overflowPunct/>
        <w:topLinePunct w:val="0"/>
        <w:bidi w:val="0"/>
        <w:ind w:left="0" w:leftChars="0" w:firstLine="0" w:firstLineChars="0"/>
        <w:jc w:val="center"/>
        <w:rPr>
          <w:rFonts w:ascii="宋体" w:hAnsi="宋体" w:eastAsia="宋体" w:cs="宋体"/>
          <w:sz w:val="32"/>
          <w:szCs w:val="32"/>
          <w:highlight w:val="none"/>
        </w:rPr>
      </w:pPr>
    </w:p>
    <w:p w14:paraId="3DEC0285">
      <w:pPr>
        <w:pStyle w:val="17"/>
        <w:jc w:val="center"/>
        <w:rPr>
          <w:rFonts w:ascii="宋体" w:hAnsi="宋体" w:eastAsia="宋体" w:cs="宋体"/>
          <w:sz w:val="32"/>
          <w:szCs w:val="32"/>
          <w:highlight w:val="none"/>
        </w:rPr>
      </w:pPr>
    </w:p>
    <w:p w14:paraId="4384D2DD">
      <w:pPr>
        <w:pStyle w:val="17"/>
        <w:jc w:val="center"/>
        <w:rPr>
          <w:rFonts w:ascii="宋体" w:hAnsi="宋体" w:eastAsia="宋体" w:cs="宋体"/>
          <w:sz w:val="32"/>
          <w:szCs w:val="32"/>
          <w:highlight w:val="none"/>
        </w:rPr>
      </w:pPr>
    </w:p>
    <w:p w14:paraId="28854CD5">
      <w:pPr>
        <w:pStyle w:val="17"/>
        <w:ind w:left="0" w:leftChars="0" w:firstLine="0" w:firstLineChars="0"/>
        <w:jc w:val="both"/>
        <w:rPr>
          <w:rFonts w:ascii="宋体" w:hAnsi="宋体" w:eastAsia="宋体" w:cs="宋体"/>
          <w:sz w:val="32"/>
          <w:szCs w:val="32"/>
          <w:highlight w:val="none"/>
        </w:rPr>
      </w:pPr>
    </w:p>
    <w:p w14:paraId="4851DB82">
      <w:pPr>
        <w:pStyle w:val="17"/>
        <w:jc w:val="center"/>
        <w:rPr>
          <w:rFonts w:ascii="宋体" w:hAnsi="宋体" w:eastAsia="宋体" w:cs="宋体"/>
          <w:sz w:val="32"/>
          <w:szCs w:val="32"/>
          <w:highlight w:val="none"/>
        </w:rPr>
      </w:pPr>
    </w:p>
    <w:p w14:paraId="40052628">
      <w:pPr>
        <w:pStyle w:val="16"/>
        <w:kinsoku/>
        <w:wordWrap w:val="0"/>
        <w:overflowPunct/>
        <w:topLinePunct w:val="0"/>
        <w:bidi w:val="0"/>
        <w:ind w:firstLine="240"/>
        <w:jc w:val="center"/>
        <w:rPr>
          <w:rFonts w:ascii="宋体" w:hAnsi="宋体" w:eastAsia="宋体" w:cs="宋体"/>
          <w:sz w:val="32"/>
          <w:szCs w:val="32"/>
          <w:highlight w:val="none"/>
        </w:rPr>
      </w:pPr>
    </w:p>
    <w:p w14:paraId="77915983">
      <w:pPr>
        <w:kinsoku/>
        <w:wordWrap w:val="0"/>
        <w:overflowPunct/>
        <w:topLinePunct w:val="0"/>
        <w:bidi w:val="0"/>
        <w:spacing w:line="358" w:lineRule="exact"/>
        <w:jc w:val="center"/>
        <w:outlineLvl w:val="0"/>
        <w:rPr>
          <w:rFonts w:ascii="宋体" w:hAnsi="宋体" w:eastAsia="宋体" w:cs="宋体"/>
          <w:sz w:val="28"/>
          <w:szCs w:val="28"/>
          <w:highlight w:val="none"/>
        </w:rPr>
      </w:pPr>
      <w:bookmarkStart w:id="586" w:name="_Toc25779"/>
      <w:bookmarkStart w:id="587" w:name="_Toc16543"/>
      <w:bookmarkStart w:id="588" w:name="_Toc26563"/>
      <w:bookmarkStart w:id="589" w:name="_Toc29980"/>
      <w:bookmarkStart w:id="590" w:name="_Toc14018"/>
      <w:bookmarkStart w:id="591" w:name="_Toc3755"/>
      <w:r>
        <w:rPr>
          <w:rFonts w:hint="eastAsia" w:ascii="宋体" w:hAnsi="宋体" w:eastAsia="宋体" w:cs="宋体"/>
          <w:sz w:val="28"/>
          <w:szCs w:val="28"/>
          <w:highlight w:val="none"/>
        </w:rPr>
        <w:t>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bookmarkEnd w:id="586"/>
      <w:bookmarkEnd w:id="587"/>
      <w:bookmarkEnd w:id="588"/>
      <w:bookmarkEnd w:id="589"/>
      <w:bookmarkEnd w:id="590"/>
      <w:bookmarkEnd w:id="591"/>
    </w:p>
    <w:p w14:paraId="5F777C30">
      <w:pPr>
        <w:kinsoku/>
        <w:wordWrap w:val="0"/>
        <w:overflowPunct/>
        <w:topLinePunct w:val="0"/>
        <w:bidi w:val="0"/>
        <w:spacing w:line="358" w:lineRule="exact"/>
        <w:jc w:val="center"/>
        <w:rPr>
          <w:rFonts w:ascii="宋体" w:hAnsi="宋体" w:eastAsia="宋体" w:cs="宋体"/>
          <w:sz w:val="28"/>
          <w:szCs w:val="28"/>
          <w:highlight w:val="none"/>
        </w:rPr>
      </w:pPr>
    </w:p>
    <w:p w14:paraId="091D8C7D">
      <w:pPr>
        <w:kinsoku/>
        <w:wordWrap w:val="0"/>
        <w:overflowPunct/>
        <w:topLinePunct w:val="0"/>
        <w:bidi w:val="0"/>
        <w:spacing w:line="358" w:lineRule="exact"/>
        <w:jc w:val="center"/>
        <w:outlineLvl w:val="0"/>
        <w:rPr>
          <w:rFonts w:ascii="宋体" w:hAnsi="宋体" w:eastAsia="宋体" w:cs="宋体"/>
          <w:sz w:val="28"/>
          <w:szCs w:val="28"/>
          <w:highlight w:val="none"/>
        </w:rPr>
      </w:pPr>
      <w:bookmarkStart w:id="592" w:name="_Toc16729"/>
      <w:bookmarkStart w:id="593" w:name="_Toc15935"/>
      <w:bookmarkStart w:id="594" w:name="_Toc32376"/>
      <w:bookmarkStart w:id="595" w:name="_Toc24251"/>
      <w:bookmarkStart w:id="596" w:name="_Toc26319"/>
      <w:bookmarkStart w:id="597" w:name="_Toc9184"/>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bookmarkEnd w:id="592"/>
      <w:bookmarkEnd w:id="593"/>
      <w:bookmarkEnd w:id="594"/>
      <w:bookmarkEnd w:id="595"/>
      <w:bookmarkEnd w:id="596"/>
      <w:bookmarkEnd w:id="597"/>
    </w:p>
    <w:p w14:paraId="6EF0E3B0">
      <w:pPr>
        <w:kinsoku/>
        <w:wordWrap w:val="0"/>
        <w:overflowPunct/>
        <w:topLinePunct w:val="0"/>
        <w:bidi w:val="0"/>
        <w:spacing w:line="358" w:lineRule="exact"/>
        <w:jc w:val="center"/>
        <w:outlineLvl w:val="0"/>
        <w:rPr>
          <w:rFonts w:hint="eastAsia" w:ascii="宋体" w:hAnsi="宋体" w:eastAsia="宋体" w:cs="宋体"/>
          <w:sz w:val="28"/>
          <w:szCs w:val="28"/>
          <w:highlight w:val="none"/>
          <w:u w:val="single"/>
        </w:rPr>
      </w:pPr>
    </w:p>
    <w:p w14:paraId="1CFFFA93">
      <w:pPr>
        <w:kinsoku/>
        <w:wordWrap w:val="0"/>
        <w:overflowPunct/>
        <w:topLinePunct w:val="0"/>
        <w:bidi w:val="0"/>
        <w:spacing w:line="358" w:lineRule="exact"/>
        <w:jc w:val="center"/>
        <w:outlineLvl w:val="0"/>
        <w:rPr>
          <w:rFonts w:ascii="宋体" w:hAnsi="宋体" w:eastAsia="宋体" w:cs="宋体"/>
          <w:sz w:val="28"/>
          <w:szCs w:val="28"/>
          <w:highlight w:val="none"/>
        </w:rPr>
      </w:pPr>
      <w:bookmarkStart w:id="598" w:name="_Toc6022"/>
      <w:bookmarkStart w:id="599" w:name="_Toc3727"/>
      <w:bookmarkStart w:id="600" w:name="_Toc13299"/>
      <w:bookmarkStart w:id="601" w:name="_Toc11028"/>
      <w:bookmarkStart w:id="602" w:name="_Toc22871"/>
      <w:bookmarkStart w:id="603" w:name="_Toc19024"/>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bookmarkEnd w:id="598"/>
      <w:bookmarkEnd w:id="599"/>
      <w:bookmarkEnd w:id="600"/>
      <w:bookmarkEnd w:id="601"/>
      <w:bookmarkEnd w:id="602"/>
      <w:bookmarkEnd w:id="603"/>
    </w:p>
    <w:p w14:paraId="2A4A618A">
      <w:pPr>
        <w:kinsoku/>
        <w:wordWrap w:val="0"/>
        <w:overflowPunct/>
        <w:topLinePunct w:val="0"/>
        <w:bidi w:val="0"/>
        <w:spacing w:line="0" w:lineRule="atLeast"/>
        <w:ind w:left="4200"/>
        <w:jc w:val="center"/>
        <w:rPr>
          <w:rFonts w:ascii="宋体" w:hAnsi="宋体" w:eastAsia="宋体" w:cs="宋体"/>
          <w:b/>
          <w:bCs/>
          <w:sz w:val="28"/>
          <w:szCs w:val="28"/>
          <w:highlight w:val="none"/>
        </w:rPr>
      </w:pPr>
    </w:p>
    <w:p w14:paraId="4802E548">
      <w:pPr>
        <w:kinsoku/>
        <w:wordWrap w:val="0"/>
        <w:overflowPunct/>
        <w:topLinePunct w:val="0"/>
        <w:bidi w:val="0"/>
        <w:spacing w:line="520" w:lineRule="exact"/>
        <w:ind w:firstLine="3935" w:firstLineChars="1400"/>
        <w:jc w:val="center"/>
        <w:textAlignment w:val="center"/>
        <w:rPr>
          <w:rFonts w:hint="eastAsia" w:ascii="宋体" w:hAnsi="宋体" w:eastAsia="宋体" w:cs="宋体"/>
          <w:b/>
          <w:bCs/>
          <w:sz w:val="28"/>
          <w:szCs w:val="28"/>
          <w:highlight w:val="none"/>
        </w:rPr>
      </w:pPr>
    </w:p>
    <w:p w14:paraId="5FBDA987">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7F47399C">
      <w:pPr>
        <w:pStyle w:val="5"/>
        <w:kinsoku/>
        <w:wordWrap w:val="0"/>
        <w:overflowPunct/>
        <w:topLinePunct w:val="0"/>
        <w:bidi w:val="0"/>
        <w:rPr>
          <w:rFonts w:hint="eastAsia"/>
          <w:highlight w:val="none"/>
        </w:rPr>
      </w:pPr>
    </w:p>
    <w:p w14:paraId="52D0B4A9">
      <w:pPr>
        <w:kinsoku/>
        <w:wordWrap w:val="0"/>
        <w:overflowPunct/>
        <w:topLinePunct w:val="0"/>
        <w:bidi w:val="0"/>
        <w:spacing w:line="520" w:lineRule="exact"/>
        <w:jc w:val="center"/>
        <w:textAlignment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 xml:space="preserve">目   </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t>录</w:t>
      </w:r>
    </w:p>
    <w:p w14:paraId="69E50ACF">
      <w:pPr>
        <w:kinsoku/>
        <w:wordWrap w:val="0"/>
        <w:overflowPunct/>
        <w:topLinePunct w:val="0"/>
        <w:bidi w:val="0"/>
        <w:spacing w:line="520" w:lineRule="exact"/>
        <w:ind w:firstLine="280" w:firstLineChars="100"/>
        <w:textAlignment w:val="center"/>
        <w:rPr>
          <w:rFonts w:ascii="宋体" w:hAnsi="宋体" w:eastAsia="宋体"/>
          <w:sz w:val="28"/>
          <w:szCs w:val="28"/>
          <w:highlight w:val="none"/>
        </w:rPr>
      </w:pPr>
    </w:p>
    <w:p w14:paraId="7E8A3674">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04" w:name="_Toc1552"/>
      <w:bookmarkStart w:id="605" w:name="_Toc9978"/>
      <w:bookmarkStart w:id="606" w:name="_Toc6370"/>
      <w:bookmarkStart w:id="607" w:name="_Toc23563"/>
      <w:bookmarkStart w:id="608" w:name="_Toc28972"/>
      <w:bookmarkStart w:id="609" w:name="_Toc27724"/>
      <w:r>
        <w:rPr>
          <w:rFonts w:hint="eastAsia" w:ascii="宋体" w:hAnsi="宋体" w:eastAsia="宋体" w:cs="宋体"/>
          <w:sz w:val="28"/>
          <w:szCs w:val="28"/>
          <w:highlight w:val="none"/>
        </w:rPr>
        <w:t>一、磋商函及磋商函附录</w:t>
      </w:r>
      <w:bookmarkEnd w:id="604"/>
      <w:bookmarkEnd w:id="605"/>
      <w:bookmarkEnd w:id="606"/>
      <w:bookmarkEnd w:id="607"/>
      <w:bookmarkEnd w:id="608"/>
      <w:bookmarkEnd w:id="609"/>
    </w:p>
    <w:p w14:paraId="623FF0E9">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10" w:name="_Toc22378"/>
      <w:bookmarkStart w:id="611" w:name="_Toc24563"/>
      <w:bookmarkStart w:id="612" w:name="_Toc20459"/>
      <w:bookmarkStart w:id="613" w:name="_Toc1810"/>
      <w:bookmarkStart w:id="614" w:name="_Toc10361"/>
      <w:bookmarkStart w:id="615" w:name="_Toc32153"/>
      <w:r>
        <w:rPr>
          <w:rFonts w:hint="eastAsia" w:ascii="宋体" w:hAnsi="宋体" w:eastAsia="宋体" w:cs="宋体"/>
          <w:sz w:val="28"/>
          <w:szCs w:val="28"/>
          <w:highlight w:val="none"/>
        </w:rPr>
        <w:t>二、法定代表人身份证明</w:t>
      </w:r>
      <w:bookmarkEnd w:id="610"/>
      <w:bookmarkEnd w:id="611"/>
      <w:bookmarkEnd w:id="612"/>
      <w:bookmarkEnd w:id="613"/>
      <w:bookmarkEnd w:id="614"/>
      <w:bookmarkEnd w:id="615"/>
    </w:p>
    <w:p w14:paraId="7AE1CACF">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16" w:name="_Toc25542"/>
      <w:bookmarkStart w:id="617" w:name="_Toc4349"/>
      <w:bookmarkStart w:id="618" w:name="_Toc10804"/>
      <w:bookmarkStart w:id="619" w:name="_Toc1841"/>
      <w:bookmarkStart w:id="620" w:name="_Toc23528"/>
      <w:bookmarkStart w:id="621" w:name="_Toc20097"/>
      <w:r>
        <w:rPr>
          <w:rFonts w:hint="eastAsia" w:ascii="宋体" w:hAnsi="宋体" w:eastAsia="宋体" w:cs="宋体"/>
          <w:sz w:val="28"/>
          <w:szCs w:val="28"/>
          <w:highlight w:val="none"/>
        </w:rPr>
        <w:t>三、授权委托书</w:t>
      </w:r>
      <w:bookmarkEnd w:id="616"/>
      <w:bookmarkEnd w:id="617"/>
      <w:bookmarkEnd w:id="618"/>
      <w:bookmarkEnd w:id="619"/>
      <w:bookmarkEnd w:id="620"/>
      <w:bookmarkEnd w:id="621"/>
      <w:r>
        <w:rPr>
          <w:rFonts w:hint="eastAsia" w:ascii="宋体" w:hAnsi="宋体" w:eastAsia="宋体" w:cs="宋体"/>
          <w:sz w:val="28"/>
          <w:szCs w:val="28"/>
          <w:highlight w:val="none"/>
        </w:rPr>
        <w:t xml:space="preserve"> </w:t>
      </w:r>
    </w:p>
    <w:p w14:paraId="70C64B46">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22" w:name="_Toc22785"/>
      <w:bookmarkStart w:id="623" w:name="_Toc14561"/>
      <w:bookmarkStart w:id="624" w:name="_Toc7394"/>
      <w:bookmarkStart w:id="625" w:name="_Toc30455"/>
      <w:bookmarkStart w:id="626" w:name="_Toc1119"/>
      <w:bookmarkStart w:id="627" w:name="_Toc28263"/>
      <w:r>
        <w:rPr>
          <w:rFonts w:hint="eastAsia" w:ascii="宋体" w:hAnsi="宋体" w:eastAsia="宋体" w:cs="宋体"/>
          <w:sz w:val="28"/>
          <w:szCs w:val="28"/>
          <w:highlight w:val="none"/>
        </w:rPr>
        <w:t>四、磋商承诺函</w:t>
      </w:r>
      <w:bookmarkEnd w:id="622"/>
      <w:bookmarkEnd w:id="623"/>
      <w:bookmarkEnd w:id="624"/>
      <w:bookmarkEnd w:id="625"/>
      <w:bookmarkEnd w:id="626"/>
      <w:bookmarkEnd w:id="627"/>
    </w:p>
    <w:p w14:paraId="2E88D0E0">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28" w:name="_Toc14344"/>
      <w:bookmarkStart w:id="629" w:name="_Toc15068"/>
      <w:bookmarkStart w:id="630" w:name="_Toc14727"/>
      <w:bookmarkStart w:id="631" w:name="_Toc21081"/>
      <w:bookmarkStart w:id="632" w:name="_Toc24556"/>
      <w:bookmarkStart w:id="633" w:name="_Toc9229"/>
      <w:r>
        <w:rPr>
          <w:rFonts w:hint="eastAsia" w:ascii="宋体" w:hAnsi="宋体" w:eastAsia="宋体" w:cs="宋体"/>
          <w:sz w:val="28"/>
          <w:szCs w:val="28"/>
          <w:highlight w:val="none"/>
        </w:rPr>
        <w:t>五、已标价工程量清单</w:t>
      </w:r>
      <w:bookmarkEnd w:id="628"/>
      <w:bookmarkEnd w:id="629"/>
      <w:bookmarkEnd w:id="630"/>
      <w:bookmarkEnd w:id="631"/>
      <w:bookmarkEnd w:id="632"/>
      <w:bookmarkEnd w:id="633"/>
    </w:p>
    <w:p w14:paraId="45C3A6CD">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34" w:name="_Toc19263"/>
      <w:bookmarkStart w:id="635" w:name="_Toc17396"/>
      <w:bookmarkStart w:id="636" w:name="_Toc32697"/>
      <w:bookmarkStart w:id="637" w:name="_Toc30176"/>
      <w:bookmarkStart w:id="638" w:name="_Toc20126"/>
      <w:bookmarkStart w:id="639" w:name="_Toc25875"/>
      <w:r>
        <w:rPr>
          <w:rFonts w:hint="eastAsia" w:ascii="宋体" w:hAnsi="宋体" w:eastAsia="宋体" w:cs="宋体"/>
          <w:sz w:val="28"/>
          <w:szCs w:val="28"/>
          <w:highlight w:val="none"/>
        </w:rPr>
        <w:t>六、施工组织设计</w:t>
      </w:r>
      <w:bookmarkEnd w:id="634"/>
      <w:bookmarkEnd w:id="635"/>
      <w:bookmarkEnd w:id="636"/>
      <w:bookmarkEnd w:id="637"/>
      <w:bookmarkEnd w:id="638"/>
      <w:bookmarkEnd w:id="639"/>
    </w:p>
    <w:p w14:paraId="3F87EB51">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40" w:name="_Toc25227"/>
      <w:bookmarkStart w:id="641" w:name="_Toc17776"/>
      <w:bookmarkStart w:id="642" w:name="_Toc19254"/>
      <w:bookmarkStart w:id="643" w:name="_Toc16030"/>
      <w:bookmarkStart w:id="644" w:name="_Toc1937"/>
      <w:bookmarkStart w:id="645" w:name="_Toc20635"/>
      <w:r>
        <w:rPr>
          <w:rFonts w:hint="eastAsia" w:ascii="宋体" w:hAnsi="宋体" w:eastAsia="宋体" w:cs="宋体"/>
          <w:sz w:val="28"/>
          <w:szCs w:val="28"/>
          <w:highlight w:val="none"/>
        </w:rPr>
        <w:t>七、项目管理机构</w:t>
      </w:r>
      <w:bookmarkEnd w:id="640"/>
      <w:bookmarkEnd w:id="641"/>
      <w:bookmarkEnd w:id="642"/>
      <w:bookmarkEnd w:id="643"/>
      <w:bookmarkEnd w:id="644"/>
      <w:bookmarkEnd w:id="645"/>
    </w:p>
    <w:p w14:paraId="085CA067">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46" w:name="_Toc21658"/>
      <w:bookmarkStart w:id="647" w:name="_Toc6501"/>
      <w:bookmarkStart w:id="648" w:name="_Toc22499"/>
      <w:bookmarkStart w:id="649" w:name="_Toc27395"/>
      <w:bookmarkStart w:id="650" w:name="_Toc18463"/>
      <w:bookmarkStart w:id="651" w:name="_Toc21471"/>
      <w:r>
        <w:rPr>
          <w:rFonts w:hint="eastAsia" w:ascii="宋体" w:hAnsi="宋体" w:eastAsia="宋体" w:cs="宋体"/>
          <w:sz w:val="28"/>
          <w:szCs w:val="28"/>
          <w:highlight w:val="none"/>
        </w:rPr>
        <w:t>八、资格审查资料</w:t>
      </w:r>
      <w:bookmarkEnd w:id="646"/>
      <w:bookmarkEnd w:id="647"/>
      <w:bookmarkEnd w:id="648"/>
      <w:bookmarkEnd w:id="649"/>
      <w:bookmarkEnd w:id="650"/>
      <w:bookmarkEnd w:id="651"/>
    </w:p>
    <w:p w14:paraId="5FBEA328">
      <w:pPr>
        <w:kinsoku/>
        <w:wordWrap w:val="0"/>
        <w:overflowPunct/>
        <w:topLinePunct w:val="0"/>
        <w:bidi w:val="0"/>
        <w:spacing w:line="520" w:lineRule="exact"/>
        <w:ind w:firstLine="560" w:firstLineChars="200"/>
        <w:textAlignment w:val="center"/>
        <w:outlineLvl w:val="0"/>
        <w:rPr>
          <w:rFonts w:ascii="宋体" w:hAnsi="宋体" w:eastAsia="宋体" w:cs="宋体"/>
          <w:sz w:val="28"/>
          <w:szCs w:val="28"/>
          <w:highlight w:val="none"/>
        </w:rPr>
      </w:pPr>
      <w:bookmarkStart w:id="652" w:name="_Toc15358"/>
      <w:bookmarkStart w:id="653" w:name="_Toc31747"/>
      <w:bookmarkStart w:id="654" w:name="_Toc17280"/>
      <w:bookmarkStart w:id="655" w:name="_Toc26943"/>
      <w:bookmarkStart w:id="656" w:name="_Toc9270"/>
      <w:bookmarkStart w:id="657" w:name="_Toc9774"/>
      <w:r>
        <w:rPr>
          <w:rFonts w:hint="eastAsia" w:ascii="宋体" w:hAnsi="宋体" w:eastAsia="宋体" w:cs="宋体"/>
          <w:sz w:val="28"/>
          <w:szCs w:val="28"/>
          <w:highlight w:val="none"/>
        </w:rPr>
        <w:t>九、其他材料</w:t>
      </w:r>
      <w:bookmarkEnd w:id="652"/>
      <w:bookmarkEnd w:id="653"/>
      <w:bookmarkEnd w:id="654"/>
      <w:bookmarkEnd w:id="655"/>
      <w:bookmarkEnd w:id="656"/>
      <w:bookmarkEnd w:id="657"/>
    </w:p>
    <w:p w14:paraId="66DAFAE9">
      <w:pPr>
        <w:kinsoku/>
        <w:wordWrap w:val="0"/>
        <w:overflowPunct/>
        <w:topLinePunct w:val="0"/>
        <w:bidi w:val="0"/>
        <w:spacing w:line="0" w:lineRule="atLeast"/>
        <w:jc w:val="center"/>
        <w:rPr>
          <w:rFonts w:ascii="宋体" w:hAnsi="宋体" w:eastAsia="宋体" w:cs="宋体"/>
          <w:b/>
          <w:bCs/>
          <w:sz w:val="28"/>
          <w:szCs w:val="28"/>
          <w:highlight w:val="none"/>
        </w:rPr>
      </w:pPr>
      <w:r>
        <w:rPr>
          <w:rFonts w:ascii="宋体" w:hAnsi="宋体" w:eastAsia="宋体"/>
          <w:sz w:val="28"/>
          <w:szCs w:val="28"/>
          <w:highlight w:val="none"/>
        </w:rPr>
        <w:br w:type="page"/>
      </w:r>
    </w:p>
    <w:p w14:paraId="79A867B3">
      <w:pPr>
        <w:kinsoku/>
        <w:wordWrap w:val="0"/>
        <w:overflowPunct/>
        <w:topLinePunct w:val="0"/>
        <w:bidi w:val="0"/>
        <w:spacing w:line="0" w:lineRule="atLeast"/>
        <w:jc w:val="center"/>
        <w:outlineLvl w:val="0"/>
        <w:rPr>
          <w:rFonts w:ascii="宋体" w:hAnsi="宋体" w:eastAsia="宋体" w:cs="宋体"/>
          <w:b/>
          <w:bCs/>
          <w:sz w:val="28"/>
          <w:szCs w:val="28"/>
          <w:highlight w:val="none"/>
        </w:rPr>
      </w:pPr>
      <w:bookmarkStart w:id="658" w:name="_Toc11316"/>
      <w:bookmarkStart w:id="659" w:name="_Toc16807"/>
      <w:bookmarkStart w:id="660" w:name="_Toc9992"/>
      <w:bookmarkStart w:id="661" w:name="_Toc21074"/>
      <w:bookmarkStart w:id="662" w:name="_Toc8346"/>
      <w:bookmarkStart w:id="663" w:name="_Toc8168"/>
      <w:bookmarkStart w:id="664" w:name="_Toc11780"/>
      <w:r>
        <w:rPr>
          <w:rFonts w:hint="eastAsia" w:ascii="宋体" w:hAnsi="宋体" w:eastAsia="宋体" w:cs="宋体"/>
          <w:b/>
          <w:bCs/>
          <w:sz w:val="28"/>
          <w:szCs w:val="28"/>
          <w:highlight w:val="none"/>
        </w:rPr>
        <w:t>一、磋商函及磋商函附录</w:t>
      </w:r>
      <w:bookmarkEnd w:id="658"/>
      <w:bookmarkEnd w:id="659"/>
      <w:bookmarkEnd w:id="660"/>
      <w:bookmarkEnd w:id="661"/>
      <w:bookmarkEnd w:id="662"/>
      <w:bookmarkEnd w:id="663"/>
      <w:bookmarkEnd w:id="664"/>
    </w:p>
    <w:p w14:paraId="2E18ACB1">
      <w:pPr>
        <w:kinsoku/>
        <w:wordWrap w:val="0"/>
        <w:overflowPunct/>
        <w:topLinePunct w:val="0"/>
        <w:bidi w:val="0"/>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4FB71B0">
      <w:pPr>
        <w:kinsoku/>
        <w:wordWrap w:val="0"/>
        <w:overflowPunct/>
        <w:topLinePunct w:val="0"/>
        <w:bidi w:val="0"/>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（一）磋商函</w:t>
      </w:r>
    </w:p>
    <w:p w14:paraId="0E1B1979">
      <w:pPr>
        <w:kinsoku/>
        <w:wordWrap w:val="0"/>
        <w:overflowPunct/>
        <w:topLinePunct w:val="0"/>
        <w:bidi w:val="0"/>
        <w:spacing w:line="44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6673E38">
      <w:pPr>
        <w:kinsoku/>
        <w:wordWrap w:val="0"/>
        <w:overflowPunct/>
        <w:topLinePunct w:val="0"/>
        <w:bidi w:val="0"/>
        <w:spacing w:line="4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207CEB1D">
      <w:pPr>
        <w:kinsoku/>
        <w:wordWrap w:val="0"/>
        <w:overflowPunct/>
        <w:topLinePunct w:val="0"/>
        <w:bidi w:val="0"/>
        <w:spacing w:line="460" w:lineRule="exact"/>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1、我方已仔细研究了</w:t>
      </w:r>
      <w:r>
        <w:rPr>
          <w:rFonts w:hint="eastAsia" w:ascii="宋体" w:hAnsi="宋体" w:eastAsia="宋体" w:cs="宋体"/>
          <w:sz w:val="24"/>
          <w:szCs w:val="24"/>
          <w:highlight w:val="none"/>
          <w:u w:val="single"/>
        </w:rPr>
        <w:t xml:space="preserve">    （项目名称</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项目编号）</w:t>
      </w:r>
      <w:r>
        <w:rPr>
          <w:rFonts w:hint="eastAsia" w:ascii="宋体" w:hAnsi="宋体" w:eastAsia="宋体" w:cs="宋体"/>
          <w:sz w:val="24"/>
          <w:szCs w:val="24"/>
          <w:highlight w:val="none"/>
        </w:rPr>
        <w:t>竞争性磋商文件的全部内容，愿以人民币（大写：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元）的磋商总报价。 按合同约定实施和完成承包工程，修补工程中的任何缺陷。</w:t>
      </w:r>
    </w:p>
    <w:p w14:paraId="2512A0E8">
      <w:pPr>
        <w:kinsoku/>
        <w:wordWrap w:val="0"/>
        <w:overflowPunct/>
        <w:topLinePunct w:val="0"/>
        <w:bidi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2、如果我方中标，我方保证</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日历天内竣工，并确保工程质量</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337CCA32">
      <w:pPr>
        <w:kinsoku/>
        <w:wordWrap w:val="0"/>
        <w:overflowPunct/>
        <w:topLinePunct w:val="0"/>
        <w:bidi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3、我方承诺在磋商有效期</w:t>
      </w:r>
      <w:r>
        <w:rPr>
          <w:rFonts w:hint="eastAsia" w:ascii="宋体" w:hAnsi="宋体" w:eastAsia="宋体" w:cs="宋体"/>
          <w:sz w:val="24"/>
          <w:szCs w:val="24"/>
          <w:highlight w:val="none"/>
          <w:u w:val="single"/>
        </w:rPr>
        <w:t xml:space="preserve"> 60 </w:t>
      </w:r>
      <w:r>
        <w:rPr>
          <w:rFonts w:hint="eastAsia" w:ascii="宋体" w:hAnsi="宋体" w:eastAsia="宋体" w:cs="宋体"/>
          <w:sz w:val="24"/>
          <w:szCs w:val="24"/>
          <w:highlight w:val="none"/>
        </w:rPr>
        <w:t>日历天内不修改、撤销响应文件。</w:t>
      </w:r>
    </w:p>
    <w:p w14:paraId="46FB7D63">
      <w:pPr>
        <w:kinsoku/>
        <w:wordWrap w:val="0"/>
        <w:overflowPunct/>
        <w:topLinePunct w:val="0"/>
        <w:bidi w:val="0"/>
        <w:spacing w:line="46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4、如我方中标：</w:t>
      </w:r>
    </w:p>
    <w:p w14:paraId="2C9342D2">
      <w:pPr>
        <w:kinsoku/>
        <w:wordWrap w:val="0"/>
        <w:overflowPunct/>
        <w:topLinePunct w:val="0"/>
        <w:bidi w:val="0"/>
        <w:spacing w:line="460" w:lineRule="exact"/>
        <w:ind w:firstLine="540"/>
        <w:jc w:val="left"/>
        <w:rPr>
          <w:rFonts w:ascii="宋体" w:hAnsi="宋体" w:eastAsia="宋体" w:cs="宋体"/>
          <w:sz w:val="24"/>
          <w:szCs w:val="24"/>
          <w:highlight w:val="none"/>
        </w:rPr>
      </w:pPr>
      <w:r>
        <w:rPr>
          <w:rFonts w:hint="eastAsia" w:ascii="宋体" w:hAnsi="宋体" w:eastAsia="宋体" w:cs="宋体"/>
          <w:sz w:val="24"/>
          <w:szCs w:val="24"/>
          <w:highlight w:val="none"/>
        </w:rPr>
        <w:t>（1）我方承诺在收到通知后领取中标（成交）通知书，并在中标（成交）通知书规定的期限内与你方签订合同，逾期可视为放弃中标。</w:t>
      </w:r>
    </w:p>
    <w:p w14:paraId="0B46E213">
      <w:pPr>
        <w:kinsoku/>
        <w:wordWrap w:val="0"/>
        <w:overflowPunct/>
        <w:topLinePunct w:val="0"/>
        <w:bidi w:val="0"/>
        <w:spacing w:line="460" w:lineRule="exact"/>
        <w:ind w:firstLine="540"/>
        <w:jc w:val="left"/>
        <w:rPr>
          <w:rFonts w:ascii="宋体" w:hAnsi="宋体" w:eastAsia="宋体" w:cs="宋体"/>
          <w:sz w:val="24"/>
          <w:szCs w:val="24"/>
          <w:highlight w:val="none"/>
        </w:rPr>
      </w:pPr>
      <w:r>
        <w:rPr>
          <w:rFonts w:hint="eastAsia" w:ascii="宋体" w:hAnsi="宋体" w:eastAsia="宋体" w:cs="宋体"/>
          <w:sz w:val="24"/>
          <w:szCs w:val="24"/>
          <w:highlight w:val="none"/>
        </w:rPr>
        <w:t>（2）随同本磋商函递交的磋商函附录属于合同文件的组成部分。</w:t>
      </w:r>
    </w:p>
    <w:p w14:paraId="4FDC02D1">
      <w:pPr>
        <w:kinsoku/>
        <w:wordWrap w:val="0"/>
        <w:overflowPunct/>
        <w:topLinePunct w:val="0"/>
        <w:bidi w:val="0"/>
        <w:spacing w:line="46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）我方承诺在合同约定的期限内完成并移交全部合同工程。</w:t>
      </w:r>
    </w:p>
    <w:p w14:paraId="5E2E0B54">
      <w:pPr>
        <w:kinsoku/>
        <w:wordWrap w:val="0"/>
        <w:overflowPunct/>
        <w:topLinePunct w:val="0"/>
        <w:bidi w:val="0"/>
        <w:spacing w:line="460" w:lineRule="exact"/>
        <w:ind w:firstLine="540"/>
        <w:jc w:val="left"/>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）我方承诺满足合同专用条款中补充条款的内容。</w:t>
      </w:r>
    </w:p>
    <w:p w14:paraId="5FAC820A">
      <w:pPr>
        <w:kinsoku/>
        <w:wordWrap w:val="0"/>
        <w:overflowPunct/>
        <w:topLinePunct w:val="0"/>
        <w:bidi w:val="0"/>
        <w:spacing w:line="460" w:lineRule="exact"/>
        <w:ind w:firstLine="540"/>
        <w:jc w:val="left"/>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）我方承诺并理解采购人不以最低磋商标价为中标价的唯一选择。</w:t>
      </w:r>
    </w:p>
    <w:p w14:paraId="4DAE9586">
      <w:pPr>
        <w:kinsoku/>
        <w:wordWrap w:val="0"/>
        <w:overflowPunct/>
        <w:topLinePunct w:val="0"/>
        <w:bidi w:val="0"/>
        <w:spacing w:line="46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5．我方在此声明，所递交的响应文件及有关资料内容完整、真实和准确。</w:t>
      </w:r>
    </w:p>
    <w:p w14:paraId="485ADED8">
      <w:pPr>
        <w:kinsoku/>
        <w:wordWrap w:val="0"/>
        <w:overflowPunct/>
        <w:topLinePunct w:val="0"/>
        <w:bidi w:val="0"/>
        <w:spacing w:line="460" w:lineRule="exact"/>
        <w:ind w:firstLine="3840" w:firstLineChars="1600"/>
        <w:jc w:val="left"/>
        <w:rPr>
          <w:rFonts w:ascii="宋体" w:hAnsi="宋体" w:eastAsia="宋体" w:cs="宋体"/>
          <w:sz w:val="24"/>
          <w:szCs w:val="24"/>
          <w:highlight w:val="none"/>
        </w:rPr>
      </w:pPr>
    </w:p>
    <w:p w14:paraId="2A936D29">
      <w:pPr>
        <w:kinsoku/>
        <w:wordWrap w:val="0"/>
        <w:overflowPunct/>
        <w:topLinePunct w:val="0"/>
        <w:bidi w:val="0"/>
        <w:spacing w:line="460" w:lineRule="exact"/>
        <w:ind w:firstLine="3840" w:firstLineChars="16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A7C01B6">
      <w:pPr>
        <w:kinsoku/>
        <w:wordWrap w:val="0"/>
        <w:overflowPunct/>
        <w:topLinePunct w:val="0"/>
        <w:bidi w:val="0"/>
        <w:spacing w:line="700" w:lineRule="exact"/>
        <w:ind w:right="480" w:firstLine="3360" w:firstLineChars="1400"/>
        <w:rPr>
          <w:rFonts w:ascii="宋体" w:hAnsi="宋体" w:eastAsia="宋体" w:cs="宋体"/>
          <w:sz w:val="24"/>
          <w:szCs w:val="24"/>
          <w:highlight w:val="none"/>
        </w:rPr>
      </w:pPr>
      <w:r>
        <w:rPr>
          <w:rFonts w:hint="eastAsia" w:ascii="宋体" w:hAnsi="宋体" w:eastAsia="宋体" w:cs="宋体"/>
          <w:sz w:val="24"/>
          <w:szCs w:val="24"/>
          <w:highlight w:val="none"/>
        </w:rPr>
        <w:t>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0459EC3A">
      <w:pPr>
        <w:kinsoku/>
        <w:wordWrap w:val="0"/>
        <w:overflowPunct/>
        <w:topLinePunct w:val="0"/>
        <w:bidi w:val="0"/>
        <w:spacing w:line="700" w:lineRule="exact"/>
        <w:ind w:firstLine="54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1B666BEE">
      <w:pPr>
        <w:kinsoku/>
        <w:wordWrap w:val="0"/>
        <w:overflowPunct/>
        <w:topLinePunct w:val="0"/>
        <w:bidi w:val="0"/>
        <w:spacing w:line="700" w:lineRule="exact"/>
        <w:ind w:right="480" w:firstLine="3480" w:firstLineChars="1450"/>
        <w:rPr>
          <w:rFonts w:ascii="宋体" w:hAnsi="宋体" w:eastAsia="宋体"/>
          <w:sz w:val="24"/>
          <w:szCs w:val="24"/>
          <w:highlight w:val="none"/>
        </w:rPr>
      </w:pPr>
      <w:r>
        <w:rPr>
          <w:rFonts w:hint="eastAsia" w:ascii="宋体" w:hAnsi="宋体" w:eastAsia="宋体" w:cs="宋体"/>
          <w:sz w:val="24"/>
          <w:szCs w:val="24"/>
          <w:highlight w:val="none"/>
        </w:rPr>
        <w:t xml:space="preserve">日  期：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w:t>
      </w:r>
    </w:p>
    <w:p w14:paraId="624BFECB">
      <w:pPr>
        <w:kinsoku/>
        <w:wordWrap w:val="0"/>
        <w:overflowPunct/>
        <w:topLinePunct w:val="0"/>
        <w:bidi w:val="0"/>
        <w:spacing w:line="23" w:lineRule="exact"/>
        <w:rPr>
          <w:rFonts w:ascii="宋体" w:hAnsi="宋体" w:eastAsia="宋体" w:cs="宋体"/>
          <w:sz w:val="28"/>
          <w:szCs w:val="28"/>
          <w:highlight w:val="none"/>
        </w:rPr>
      </w:pPr>
    </w:p>
    <w:p w14:paraId="06E2E161">
      <w:pPr>
        <w:widowControl/>
        <w:kinsoku/>
        <w:wordWrap w:val="0"/>
        <w:overflowPunct/>
        <w:topLinePunct w:val="0"/>
        <w:bidi w:val="0"/>
        <w:jc w:val="left"/>
        <w:rPr>
          <w:rFonts w:ascii="宋体" w:hAnsi="宋体" w:eastAsia="宋体" w:cs="宋体"/>
          <w:sz w:val="28"/>
          <w:szCs w:val="28"/>
          <w:highlight w:val="none"/>
        </w:rPr>
        <w:sectPr>
          <w:pgSz w:w="11900" w:h="16838"/>
          <w:pgMar w:top="1077" w:right="1134" w:bottom="1077" w:left="1134" w:header="720" w:footer="720" w:gutter="0"/>
          <w:pgNumType w:fmt="decimal"/>
          <w:cols w:space="720" w:num="1"/>
          <w:docGrid w:type="lines" w:linePitch="360" w:charSpace="0"/>
        </w:sectPr>
      </w:pPr>
    </w:p>
    <w:p w14:paraId="3D22D9F0">
      <w:pPr>
        <w:numPr>
          <w:ilvl w:val="0"/>
          <w:numId w:val="1"/>
        </w:numPr>
        <w:kinsoku/>
        <w:wordWrap w:val="0"/>
        <w:overflowPunct/>
        <w:topLinePunct w:val="0"/>
        <w:bidi w:val="0"/>
        <w:spacing w:before="312" w:beforeLines="100" w:after="156" w:afterLines="50" w:line="240" w:lineRule="exact"/>
        <w:ind w:left="0" w:leftChars="0" w:firstLine="0" w:firstLineChars="0"/>
        <w:jc w:val="center"/>
        <w:textAlignment w:val="center"/>
        <w:rPr>
          <w:rFonts w:hint="eastAsia" w:ascii="宋体" w:hAnsi="宋体" w:eastAsia="宋体" w:cs="宋体"/>
          <w:b/>
          <w:bCs/>
          <w:sz w:val="28"/>
          <w:szCs w:val="28"/>
          <w:highlight w:val="none"/>
        </w:rPr>
      </w:pPr>
      <w:bookmarkStart w:id="665" w:name="page58"/>
      <w:bookmarkEnd w:id="665"/>
      <w:r>
        <w:rPr>
          <w:rFonts w:hint="eastAsia" w:ascii="宋体" w:hAnsi="宋体" w:eastAsia="宋体" w:cs="宋体"/>
          <w:b/>
          <w:bCs/>
          <w:sz w:val="28"/>
          <w:szCs w:val="28"/>
          <w:highlight w:val="none"/>
        </w:rPr>
        <w:t>磋商函附录（第一次报价）</w:t>
      </w:r>
    </w:p>
    <w:p w14:paraId="27746B06">
      <w:pPr>
        <w:numPr>
          <w:ilvl w:val="0"/>
          <w:numId w:val="0"/>
        </w:numPr>
        <w:kinsoku/>
        <w:wordWrap w:val="0"/>
        <w:overflowPunct/>
        <w:topLinePunct w:val="0"/>
        <w:bidi w:val="0"/>
        <w:spacing w:before="312" w:beforeLines="100" w:after="156" w:afterLines="50" w:line="240" w:lineRule="exact"/>
        <w:ind w:leftChars="0"/>
        <w:jc w:val="both"/>
        <w:textAlignment w:val="center"/>
        <w:rPr>
          <w:rFonts w:hint="eastAsia" w:ascii="宋体" w:hAnsi="宋体" w:eastAsia="宋体" w:cs="宋体"/>
          <w:b/>
          <w:bCs/>
          <w:sz w:val="28"/>
          <w:szCs w:val="28"/>
          <w:highlight w:val="none"/>
        </w:rPr>
      </w:pPr>
    </w:p>
    <w:tbl>
      <w:tblPr>
        <w:tblStyle w:val="1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08"/>
        <w:gridCol w:w="1015"/>
        <w:gridCol w:w="365"/>
        <w:gridCol w:w="904"/>
        <w:gridCol w:w="1542"/>
      </w:tblGrid>
      <w:tr w14:paraId="2B02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F2C91F">
            <w:pPr>
              <w:widowControl/>
              <w:kinsoku/>
              <w:wordWrap w:val="0"/>
              <w:overflowPunct/>
              <w:topLinePunct w:val="0"/>
              <w:bidi w:val="0"/>
              <w:spacing w:before="0" w:beforeLines="0" w:beforeAutospacing="0" w:after="0" w:afterLines="0" w:afterAutospacing="0" w:line="331"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项目名称</w:t>
            </w:r>
          </w:p>
        </w:tc>
        <w:tc>
          <w:tcPr>
            <w:tcW w:w="6589" w:type="dxa"/>
            <w:gridSpan w:val="7"/>
            <w:tcBorders>
              <w:top w:val="single" w:color="auto" w:sz="4" w:space="0"/>
              <w:left w:val="nil"/>
              <w:bottom w:val="single" w:color="auto" w:sz="4" w:space="0"/>
              <w:right w:val="single" w:color="auto" w:sz="4" w:space="0"/>
            </w:tcBorders>
            <w:noWrap w:val="0"/>
            <w:vAlign w:val="center"/>
          </w:tcPr>
          <w:p w14:paraId="557487F8">
            <w:pPr>
              <w:widowControl/>
              <w:kinsoku/>
              <w:wordWrap w:val="0"/>
              <w:overflowPunct/>
              <w:topLinePunct w:val="0"/>
              <w:bidi w:val="0"/>
              <w:spacing w:before="0" w:beforeLines="0" w:beforeAutospacing="0" w:after="0" w:afterLines="0" w:afterAutospacing="0" w:line="331" w:lineRule="exact"/>
              <w:ind w:left="0" w:right="0"/>
              <w:jc w:val="center"/>
              <w:rPr>
                <w:rFonts w:ascii="宋体" w:hAnsi="宋体" w:eastAsia="宋体" w:cs="宋体"/>
                <w:kern w:val="2"/>
                <w:sz w:val="24"/>
                <w:szCs w:val="24"/>
                <w:highlight w:val="none"/>
              </w:rPr>
            </w:pPr>
          </w:p>
        </w:tc>
      </w:tr>
      <w:tr w14:paraId="3CEF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F9C278D">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响应人名称</w:t>
            </w:r>
          </w:p>
        </w:tc>
        <w:tc>
          <w:tcPr>
            <w:tcW w:w="6589" w:type="dxa"/>
            <w:gridSpan w:val="7"/>
            <w:tcBorders>
              <w:top w:val="single" w:color="auto" w:sz="4" w:space="0"/>
              <w:left w:val="nil"/>
              <w:bottom w:val="single" w:color="auto" w:sz="4" w:space="0"/>
              <w:right w:val="single" w:color="auto" w:sz="4" w:space="0"/>
            </w:tcBorders>
            <w:noWrap w:val="0"/>
            <w:vAlign w:val="center"/>
          </w:tcPr>
          <w:p w14:paraId="73B3882D">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76B6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07D8E22">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spacing w:val="-1"/>
                <w:kern w:val="2"/>
                <w:sz w:val="24"/>
                <w:szCs w:val="24"/>
                <w:highlight w:val="none"/>
              </w:rPr>
            </w:pPr>
            <w:r>
              <w:rPr>
                <w:rFonts w:hint="eastAsia" w:ascii="宋体" w:hAnsi="宋体" w:eastAsia="宋体" w:cs="宋体"/>
                <w:spacing w:val="-1"/>
                <w:kern w:val="2"/>
                <w:sz w:val="24"/>
                <w:szCs w:val="24"/>
                <w:highlight w:val="none"/>
              </w:rPr>
              <w:t>资质等级</w:t>
            </w:r>
          </w:p>
        </w:tc>
        <w:tc>
          <w:tcPr>
            <w:tcW w:w="6589" w:type="dxa"/>
            <w:gridSpan w:val="7"/>
            <w:tcBorders>
              <w:top w:val="single" w:color="auto" w:sz="4" w:space="0"/>
              <w:left w:val="nil"/>
              <w:bottom w:val="single" w:color="auto" w:sz="4" w:space="0"/>
              <w:right w:val="single" w:color="auto" w:sz="4" w:space="0"/>
            </w:tcBorders>
            <w:noWrap w:val="0"/>
            <w:vAlign w:val="center"/>
          </w:tcPr>
          <w:p w14:paraId="366FFA6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757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9D58A1">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rPr>
              <w:t>响应人</w:t>
            </w:r>
            <w:r>
              <w:rPr>
                <w:rFonts w:hint="eastAsia" w:ascii="宋体" w:hAnsi="宋体" w:eastAsia="宋体" w:cs="宋体"/>
                <w:spacing w:val="-1"/>
                <w:kern w:val="2"/>
                <w:sz w:val="24"/>
                <w:szCs w:val="24"/>
                <w:highlight w:val="none"/>
                <w:lang w:eastAsia="zh-CN"/>
              </w:rPr>
              <w:t>地址</w:t>
            </w:r>
          </w:p>
        </w:tc>
        <w:tc>
          <w:tcPr>
            <w:tcW w:w="6589" w:type="dxa"/>
            <w:gridSpan w:val="7"/>
            <w:tcBorders>
              <w:top w:val="single" w:color="auto" w:sz="4" w:space="0"/>
              <w:left w:val="nil"/>
              <w:bottom w:val="single" w:color="auto" w:sz="4" w:space="0"/>
              <w:right w:val="single" w:color="auto" w:sz="4" w:space="0"/>
            </w:tcBorders>
            <w:noWrap w:val="0"/>
            <w:vAlign w:val="center"/>
          </w:tcPr>
          <w:p w14:paraId="6FDEBA7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6F69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5B9FC61">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lang w:eastAsia="zh-CN"/>
              </w:rPr>
              <w:t>法定代表人姓名</w:t>
            </w:r>
          </w:p>
        </w:tc>
        <w:tc>
          <w:tcPr>
            <w:tcW w:w="6589" w:type="dxa"/>
            <w:gridSpan w:val="7"/>
            <w:tcBorders>
              <w:top w:val="single" w:color="auto" w:sz="4" w:space="0"/>
              <w:left w:val="nil"/>
              <w:bottom w:val="single" w:color="auto" w:sz="4" w:space="0"/>
              <w:right w:val="single" w:color="auto" w:sz="4" w:space="0"/>
            </w:tcBorders>
            <w:noWrap w:val="0"/>
            <w:vAlign w:val="center"/>
          </w:tcPr>
          <w:p w14:paraId="02B221D7">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13F2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C03EB5F">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lang w:eastAsia="zh-CN"/>
              </w:rPr>
              <w:t>统一机构代码</w:t>
            </w:r>
          </w:p>
        </w:tc>
        <w:tc>
          <w:tcPr>
            <w:tcW w:w="6589" w:type="dxa"/>
            <w:gridSpan w:val="7"/>
            <w:tcBorders>
              <w:top w:val="single" w:color="auto" w:sz="4" w:space="0"/>
              <w:left w:val="nil"/>
              <w:bottom w:val="single" w:color="auto" w:sz="4" w:space="0"/>
              <w:right w:val="single" w:color="auto" w:sz="4" w:space="0"/>
            </w:tcBorders>
            <w:noWrap w:val="0"/>
            <w:vAlign w:val="center"/>
          </w:tcPr>
          <w:p w14:paraId="1104BD80">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20E3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94191D5">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EBD00CE">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37AE6528">
            <w:pPr>
              <w:widowControl/>
              <w:kinsoku/>
              <w:wordWrap w:val="0"/>
              <w:overflowPunct/>
              <w:topLinePunct w:val="0"/>
              <w:bidi w:val="0"/>
              <w:spacing w:before="0" w:beforeLines="0" w:beforeAutospacing="0" w:after="0" w:afterLines="0" w:afterAutospacing="0" w:line="300"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级别</w:t>
            </w:r>
          </w:p>
        </w:tc>
        <w:tc>
          <w:tcPr>
            <w:tcW w:w="1123" w:type="dxa"/>
            <w:gridSpan w:val="2"/>
            <w:tcBorders>
              <w:top w:val="single" w:color="auto" w:sz="4" w:space="0"/>
              <w:left w:val="nil"/>
              <w:bottom w:val="single" w:color="auto" w:sz="4" w:space="0"/>
              <w:right w:val="single" w:color="auto" w:sz="4" w:space="0"/>
            </w:tcBorders>
            <w:noWrap w:val="0"/>
            <w:vAlign w:val="center"/>
          </w:tcPr>
          <w:p w14:paraId="4EE9BCE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c>
          <w:tcPr>
            <w:tcW w:w="1269" w:type="dxa"/>
            <w:gridSpan w:val="2"/>
            <w:tcBorders>
              <w:top w:val="single" w:color="auto" w:sz="4" w:space="0"/>
              <w:left w:val="nil"/>
              <w:bottom w:val="single" w:color="auto" w:sz="4" w:space="0"/>
              <w:right w:val="single" w:color="auto" w:sz="4" w:space="0"/>
            </w:tcBorders>
            <w:noWrap w:val="0"/>
            <w:vAlign w:val="center"/>
          </w:tcPr>
          <w:p w14:paraId="70EBE923">
            <w:pPr>
              <w:widowControl/>
              <w:kinsoku/>
              <w:wordWrap w:val="0"/>
              <w:overflowPunct/>
              <w:topLinePunct w:val="0"/>
              <w:bidi w:val="0"/>
              <w:spacing w:before="0" w:beforeLines="0" w:beforeAutospacing="0" w:after="0" w:afterLines="0" w:afterAutospacing="0" w:line="300"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证书编号</w:t>
            </w:r>
          </w:p>
        </w:tc>
        <w:tc>
          <w:tcPr>
            <w:tcW w:w="1542" w:type="dxa"/>
            <w:tcBorders>
              <w:top w:val="single" w:color="auto" w:sz="4" w:space="0"/>
              <w:left w:val="nil"/>
              <w:bottom w:val="single" w:color="auto" w:sz="4" w:space="0"/>
              <w:right w:val="single" w:color="auto" w:sz="4" w:space="0"/>
            </w:tcBorders>
            <w:noWrap w:val="0"/>
            <w:vAlign w:val="center"/>
          </w:tcPr>
          <w:p w14:paraId="6499F92F">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3952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95A6C71">
            <w:pPr>
              <w:widowControl/>
              <w:kinsoku/>
              <w:wordWrap w:val="0"/>
              <w:overflowPunct/>
              <w:topLinePunct w:val="0"/>
              <w:bidi w:val="0"/>
              <w:spacing w:before="0" w:beforeLines="0" w:beforeAutospacing="0" w:after="0" w:afterLines="0" w:afterAutospacing="0" w:line="295"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计划工期</w:t>
            </w:r>
          </w:p>
        </w:tc>
        <w:tc>
          <w:tcPr>
            <w:tcW w:w="6589" w:type="dxa"/>
            <w:gridSpan w:val="7"/>
            <w:tcBorders>
              <w:top w:val="single" w:color="auto" w:sz="4" w:space="0"/>
              <w:left w:val="nil"/>
              <w:bottom w:val="single" w:color="auto" w:sz="4" w:space="0"/>
              <w:right w:val="single" w:color="auto" w:sz="4" w:space="0"/>
            </w:tcBorders>
            <w:noWrap w:val="0"/>
            <w:vAlign w:val="center"/>
          </w:tcPr>
          <w:p w14:paraId="07F375EB">
            <w:pPr>
              <w:widowControl/>
              <w:kinsoku/>
              <w:wordWrap w:val="0"/>
              <w:overflowPunct/>
              <w:topLinePunct w:val="0"/>
              <w:bidi w:val="0"/>
              <w:spacing w:before="0" w:beforeLines="0" w:beforeAutospacing="0" w:after="0" w:afterLines="0" w:afterAutospacing="0" w:line="295" w:lineRule="exact"/>
              <w:ind w:left="0" w:right="0"/>
              <w:jc w:val="center"/>
              <w:rPr>
                <w:rFonts w:ascii="宋体" w:hAnsi="宋体" w:eastAsia="宋体" w:cs="宋体"/>
                <w:kern w:val="2"/>
                <w:sz w:val="24"/>
                <w:szCs w:val="24"/>
                <w:highlight w:val="none"/>
                <w:u w:val="single"/>
              </w:rPr>
            </w:pPr>
          </w:p>
        </w:tc>
      </w:tr>
      <w:tr w14:paraId="1711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E3A60C">
            <w:pPr>
              <w:widowControl/>
              <w:kinsoku/>
              <w:wordWrap w:val="0"/>
              <w:overflowPunct/>
              <w:topLinePunct w:val="0"/>
              <w:bidi w:val="0"/>
              <w:spacing w:before="0" w:beforeLines="0" w:beforeAutospacing="0" w:after="0" w:afterLines="0" w:afterAutospacing="0" w:line="240" w:lineRule="exact"/>
              <w:ind w:left="1164" w:right="-239"/>
              <w:jc w:val="center"/>
              <w:rPr>
                <w:rFonts w:ascii="宋体" w:hAnsi="宋体" w:eastAsia="宋体" w:cs="宋体"/>
                <w:kern w:val="2"/>
                <w:sz w:val="24"/>
                <w:szCs w:val="24"/>
                <w:highlight w:val="none"/>
              </w:rPr>
            </w:pPr>
          </w:p>
          <w:p w14:paraId="5E2FBA6E">
            <w:pPr>
              <w:widowControl/>
              <w:kinsoku/>
              <w:wordWrap w:val="0"/>
              <w:overflowPunct/>
              <w:topLinePunct w:val="0"/>
              <w:bidi w:val="0"/>
              <w:spacing w:before="0" w:beforeLines="0" w:beforeAutospacing="0" w:after="0" w:afterLines="0" w:afterAutospacing="0" w:line="30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磋商总报价</w:t>
            </w:r>
          </w:p>
        </w:tc>
        <w:tc>
          <w:tcPr>
            <w:tcW w:w="6589" w:type="dxa"/>
            <w:gridSpan w:val="7"/>
            <w:tcBorders>
              <w:top w:val="single" w:color="auto" w:sz="4" w:space="0"/>
              <w:left w:val="nil"/>
              <w:bottom w:val="single" w:color="auto" w:sz="4" w:space="0"/>
              <w:right w:val="single" w:color="auto" w:sz="4" w:space="0"/>
            </w:tcBorders>
            <w:noWrap w:val="0"/>
            <w:vAlign w:val="center"/>
          </w:tcPr>
          <w:p w14:paraId="60A580AC">
            <w:pPr>
              <w:widowControl/>
              <w:kinsoku/>
              <w:wordWrap w:val="0"/>
              <w:overflowPunct/>
              <w:topLinePunct w:val="0"/>
              <w:bidi w:val="0"/>
              <w:spacing w:before="0" w:beforeLines="0" w:beforeAutospacing="0" w:after="0" w:afterLines="0" w:afterAutospacing="0" w:line="240" w:lineRule="exact"/>
              <w:ind w:left="108" w:right="-239"/>
              <w:jc w:val="center"/>
              <w:rPr>
                <w:rFonts w:ascii="宋体" w:hAnsi="宋体" w:eastAsia="宋体" w:cs="宋体"/>
                <w:kern w:val="2"/>
                <w:sz w:val="24"/>
                <w:szCs w:val="24"/>
                <w:highlight w:val="none"/>
              </w:rPr>
            </w:pPr>
          </w:p>
          <w:p w14:paraId="385E88FB">
            <w:pPr>
              <w:widowControl/>
              <w:kinsoku/>
              <w:wordWrap w:val="0"/>
              <w:overflowPunct/>
              <w:topLinePunct w:val="0"/>
              <w:bidi w:val="0"/>
              <w:spacing w:before="0" w:beforeLines="0" w:beforeAutospacing="0" w:after="0" w:afterLines="0" w:afterAutospacing="0" w:line="307" w:lineRule="exact"/>
              <w:ind w:left="108"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大写：</w:t>
            </w:r>
            <w:r>
              <w:rPr>
                <w:rFonts w:hint="eastAsia" w:ascii="宋体" w:hAnsi="宋体" w:eastAsia="宋体" w:cs="宋体"/>
                <w:spacing w:val="4"/>
                <w:kern w:val="2"/>
                <w:sz w:val="24"/>
                <w:szCs w:val="24"/>
                <w:highlight w:val="none"/>
              </w:rPr>
              <w:t xml:space="preserve">        </w:t>
            </w:r>
            <w:r>
              <w:rPr>
                <w:rFonts w:hint="eastAsia" w:ascii="宋体" w:hAnsi="宋体" w:eastAsia="宋体" w:cs="宋体"/>
                <w:spacing w:val="-1"/>
                <w:kern w:val="2"/>
                <w:sz w:val="24"/>
                <w:szCs w:val="24"/>
                <w:highlight w:val="none"/>
              </w:rPr>
              <w:t>；</w:t>
            </w:r>
            <w:r>
              <w:rPr>
                <w:rFonts w:hint="eastAsia" w:ascii="宋体" w:hAnsi="宋体" w:eastAsia="宋体" w:cs="宋体"/>
                <w:kern w:val="2"/>
                <w:sz w:val="24"/>
                <w:szCs w:val="24"/>
                <w:highlight w:val="none"/>
              </w:rPr>
              <w:t> </w:t>
            </w:r>
            <w:r>
              <w:rPr>
                <w:rFonts w:hint="eastAsia" w:ascii="宋体" w:hAnsi="宋体" w:eastAsia="宋体" w:cs="宋体"/>
                <w:spacing w:val="-1"/>
                <w:kern w:val="2"/>
                <w:sz w:val="24"/>
                <w:szCs w:val="24"/>
                <w:highlight w:val="none"/>
              </w:rPr>
              <w:t>小写：</w:t>
            </w:r>
            <w:r>
              <w:rPr>
                <w:rFonts w:hint="eastAsia" w:ascii="宋体" w:hAnsi="宋体" w:eastAsia="宋体" w:cs="宋体"/>
                <w:spacing w:val="4"/>
                <w:kern w:val="2"/>
                <w:sz w:val="24"/>
                <w:szCs w:val="24"/>
                <w:highlight w:val="none"/>
              </w:rPr>
              <w:t xml:space="preserve">      </w:t>
            </w:r>
            <w:r>
              <w:rPr>
                <w:rFonts w:hint="eastAsia" w:ascii="宋体" w:hAnsi="宋体" w:eastAsia="宋体" w:cs="宋体"/>
                <w:spacing w:val="-1"/>
                <w:kern w:val="2"/>
                <w:sz w:val="24"/>
                <w:szCs w:val="24"/>
                <w:highlight w:val="none"/>
              </w:rPr>
              <w:t>元</w:t>
            </w:r>
          </w:p>
        </w:tc>
      </w:tr>
      <w:tr w14:paraId="2794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35061D0">
            <w:pPr>
              <w:widowControl/>
              <w:kinsoku/>
              <w:wordWrap w:val="0"/>
              <w:overflowPunct/>
              <w:topLinePunct w:val="0"/>
              <w:bidi w:val="0"/>
              <w:spacing w:before="0" w:beforeLines="0" w:beforeAutospacing="0" w:after="0" w:afterLines="0" w:afterAutospacing="0" w:line="38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质量要求</w:t>
            </w:r>
          </w:p>
        </w:tc>
        <w:tc>
          <w:tcPr>
            <w:tcW w:w="6589" w:type="dxa"/>
            <w:gridSpan w:val="7"/>
            <w:tcBorders>
              <w:top w:val="single" w:color="auto" w:sz="4" w:space="0"/>
              <w:left w:val="nil"/>
              <w:bottom w:val="single" w:color="auto" w:sz="4" w:space="0"/>
              <w:right w:val="single" w:color="auto" w:sz="4" w:space="0"/>
            </w:tcBorders>
            <w:noWrap w:val="0"/>
            <w:vAlign w:val="center"/>
          </w:tcPr>
          <w:p w14:paraId="2D54F841">
            <w:pPr>
              <w:widowControl/>
              <w:kinsoku/>
              <w:wordWrap w:val="0"/>
              <w:overflowPunct/>
              <w:topLinePunct w:val="0"/>
              <w:bidi w:val="0"/>
              <w:spacing w:before="0" w:beforeLines="0" w:beforeAutospacing="0" w:after="0" w:afterLines="0" w:afterAutospacing="0" w:line="387" w:lineRule="exact"/>
              <w:ind w:left="0" w:right="0"/>
              <w:jc w:val="center"/>
              <w:rPr>
                <w:rFonts w:ascii="宋体" w:hAnsi="宋体" w:eastAsia="宋体" w:cs="宋体"/>
                <w:kern w:val="2"/>
                <w:sz w:val="24"/>
                <w:szCs w:val="24"/>
                <w:highlight w:val="none"/>
                <w:u w:val="single"/>
              </w:rPr>
            </w:pPr>
          </w:p>
        </w:tc>
      </w:tr>
      <w:tr w14:paraId="021D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A4D1576">
            <w:pPr>
              <w:widowControl/>
              <w:kinsoku/>
              <w:wordWrap w:val="0"/>
              <w:overflowPunct/>
              <w:topLinePunct w:val="0"/>
              <w:bidi w:val="0"/>
              <w:spacing w:before="0" w:beforeLines="0" w:beforeAutospacing="0" w:after="0" w:afterLines="0" w:afterAutospacing="0" w:line="42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安全目标</w:t>
            </w:r>
          </w:p>
        </w:tc>
        <w:tc>
          <w:tcPr>
            <w:tcW w:w="6589" w:type="dxa"/>
            <w:gridSpan w:val="7"/>
            <w:tcBorders>
              <w:top w:val="single" w:color="auto" w:sz="4" w:space="0"/>
              <w:left w:val="nil"/>
              <w:bottom w:val="single" w:color="auto" w:sz="4" w:space="0"/>
              <w:right w:val="single" w:color="auto" w:sz="4" w:space="0"/>
            </w:tcBorders>
            <w:noWrap w:val="0"/>
            <w:vAlign w:val="center"/>
          </w:tcPr>
          <w:p w14:paraId="0B987436">
            <w:pPr>
              <w:widowControl/>
              <w:kinsoku/>
              <w:wordWrap w:val="0"/>
              <w:overflowPunct/>
              <w:topLinePunct w:val="0"/>
              <w:bidi w:val="0"/>
              <w:spacing w:before="0" w:beforeLines="0" w:beforeAutospacing="0" w:after="0" w:afterLines="0" w:afterAutospacing="0" w:line="423"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杜绝死亡事故</w:t>
            </w:r>
          </w:p>
        </w:tc>
      </w:tr>
      <w:tr w14:paraId="114F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71A3E02">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eastAsia="宋体" w:cs="宋体"/>
                <w:b/>
                <w:kern w:val="2"/>
                <w:sz w:val="24"/>
                <w:szCs w:val="24"/>
                <w:highlight w:val="none"/>
                <w:lang w:eastAsia="zh-CN"/>
              </w:rPr>
            </w:pPr>
            <w:r>
              <w:rPr>
                <w:rFonts w:hint="eastAsia" w:ascii="宋体" w:hAnsi="宋体" w:cs="宋体"/>
                <w:b w:val="0"/>
                <w:bCs/>
                <w:kern w:val="2"/>
                <w:sz w:val="24"/>
                <w:szCs w:val="24"/>
                <w:highlight w:val="none"/>
                <w:lang w:eastAsia="zh-CN"/>
              </w:rPr>
              <w:t>磋商范围</w:t>
            </w:r>
          </w:p>
        </w:tc>
        <w:tc>
          <w:tcPr>
            <w:tcW w:w="6589" w:type="dxa"/>
            <w:gridSpan w:val="7"/>
            <w:tcBorders>
              <w:top w:val="single" w:color="auto" w:sz="4" w:space="0"/>
              <w:left w:val="nil"/>
              <w:bottom w:val="single" w:color="auto" w:sz="4" w:space="0"/>
              <w:right w:val="single" w:color="auto" w:sz="4" w:space="0"/>
            </w:tcBorders>
            <w:noWrap w:val="0"/>
            <w:vAlign w:val="center"/>
          </w:tcPr>
          <w:p w14:paraId="50704A3B">
            <w:pPr>
              <w:widowControl/>
              <w:suppressAutoHyphens/>
              <w:kinsoku/>
              <w:wordWrap w:val="0"/>
              <w:overflowPunct/>
              <w:topLinePunct w:val="0"/>
              <w:bidi w:val="0"/>
              <w:snapToGrid w:val="0"/>
              <w:spacing w:before="0" w:beforeLines="0" w:beforeAutospacing="0" w:after="0" w:afterLines="0" w:afterAutospacing="0" w:line="400" w:lineRule="exact"/>
              <w:ind w:left="0" w:right="0"/>
              <w:jc w:val="left"/>
              <w:rPr>
                <w:rFonts w:ascii="宋体" w:hAnsi="宋体" w:eastAsia="宋体" w:cs="宋体"/>
                <w:b/>
                <w:kern w:val="2"/>
                <w:sz w:val="24"/>
                <w:szCs w:val="24"/>
                <w:highlight w:val="none"/>
              </w:rPr>
            </w:pPr>
          </w:p>
        </w:tc>
      </w:tr>
      <w:tr w14:paraId="5CFF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3A2E1E0">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default" w:ascii="宋体" w:hAnsi="宋体" w:cs="宋体"/>
                <w:b w:val="0"/>
                <w:bCs/>
                <w:kern w:val="2"/>
                <w:sz w:val="24"/>
                <w:szCs w:val="24"/>
                <w:highlight w:val="none"/>
                <w:lang w:val="en-US" w:eastAsia="zh-CN"/>
              </w:rPr>
            </w:pPr>
            <w:r>
              <w:rPr>
                <w:rFonts w:hint="eastAsia" w:ascii="宋体" w:hAnsi="宋体" w:cs="宋体"/>
                <w:b w:val="0"/>
                <w:bCs/>
                <w:kern w:val="2"/>
                <w:sz w:val="24"/>
                <w:szCs w:val="24"/>
                <w:highlight w:val="none"/>
                <w:lang w:val="en-US" w:eastAsia="zh-CN"/>
              </w:rPr>
              <w:t>联系人</w:t>
            </w:r>
          </w:p>
        </w:tc>
        <w:tc>
          <w:tcPr>
            <w:tcW w:w="2763" w:type="dxa"/>
            <w:gridSpan w:val="3"/>
            <w:tcBorders>
              <w:top w:val="single" w:color="auto" w:sz="4" w:space="0"/>
              <w:left w:val="nil"/>
              <w:bottom w:val="single" w:color="auto" w:sz="4" w:space="0"/>
              <w:right w:val="single" w:color="auto" w:sz="4" w:space="0"/>
            </w:tcBorders>
            <w:noWrap w:val="0"/>
            <w:vAlign w:val="center"/>
          </w:tcPr>
          <w:p w14:paraId="0BC63AF5">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cs="宋体"/>
                <w:b w:val="0"/>
                <w:bCs/>
                <w:kern w:val="2"/>
                <w:sz w:val="24"/>
                <w:szCs w:val="24"/>
                <w:highlight w:val="none"/>
                <w:lang w:val="en-US" w:eastAsia="zh-CN"/>
              </w:rPr>
            </w:pPr>
          </w:p>
        </w:tc>
        <w:tc>
          <w:tcPr>
            <w:tcW w:w="1380" w:type="dxa"/>
            <w:gridSpan w:val="2"/>
            <w:tcBorders>
              <w:top w:val="single" w:color="auto" w:sz="4" w:space="0"/>
              <w:left w:val="nil"/>
              <w:bottom w:val="single" w:color="auto" w:sz="4" w:space="0"/>
              <w:right w:val="single" w:color="auto" w:sz="4" w:space="0"/>
            </w:tcBorders>
            <w:noWrap w:val="0"/>
            <w:vAlign w:val="center"/>
          </w:tcPr>
          <w:p w14:paraId="1AF8B23A">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default" w:ascii="宋体" w:hAnsi="宋体" w:cs="宋体"/>
                <w:b w:val="0"/>
                <w:bCs/>
                <w:kern w:val="2"/>
                <w:sz w:val="24"/>
                <w:szCs w:val="24"/>
                <w:highlight w:val="none"/>
                <w:lang w:val="en-US" w:eastAsia="zh-CN"/>
              </w:rPr>
            </w:pPr>
            <w:r>
              <w:rPr>
                <w:rFonts w:hint="eastAsia" w:ascii="宋体" w:hAnsi="宋体" w:cs="宋体"/>
                <w:b w:val="0"/>
                <w:bCs/>
                <w:kern w:val="2"/>
                <w:sz w:val="24"/>
                <w:szCs w:val="24"/>
                <w:highlight w:val="none"/>
                <w:lang w:val="en-US" w:eastAsia="zh-CN"/>
              </w:rPr>
              <w:t>联系电话</w:t>
            </w:r>
          </w:p>
        </w:tc>
        <w:tc>
          <w:tcPr>
            <w:tcW w:w="2446" w:type="dxa"/>
            <w:gridSpan w:val="2"/>
            <w:tcBorders>
              <w:top w:val="single" w:color="auto" w:sz="4" w:space="0"/>
              <w:left w:val="nil"/>
              <w:bottom w:val="single" w:color="auto" w:sz="4" w:space="0"/>
              <w:right w:val="single" w:color="auto" w:sz="4" w:space="0"/>
            </w:tcBorders>
            <w:noWrap w:val="0"/>
            <w:vAlign w:val="center"/>
          </w:tcPr>
          <w:p w14:paraId="292B8E73">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cs="宋体"/>
                <w:b w:val="0"/>
                <w:bCs/>
                <w:kern w:val="2"/>
                <w:sz w:val="24"/>
                <w:szCs w:val="24"/>
                <w:highlight w:val="none"/>
                <w:lang w:val="en-US" w:eastAsia="zh-CN"/>
              </w:rPr>
            </w:pPr>
          </w:p>
        </w:tc>
      </w:tr>
      <w:tr w14:paraId="787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F932BC3">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kern w:val="2"/>
                <w:sz w:val="24"/>
                <w:szCs w:val="24"/>
                <w:highlight w:val="none"/>
                <w:lang w:eastAsia="zh-CN"/>
              </w:rPr>
            </w:pPr>
            <w:r>
              <w:rPr>
                <w:rFonts w:hint="eastAsia" w:ascii="宋体" w:hAnsi="宋体" w:eastAsia="宋体" w:cs="宋体"/>
                <w:b w:val="0"/>
                <w:bCs/>
                <w:kern w:val="2"/>
                <w:sz w:val="24"/>
                <w:szCs w:val="24"/>
                <w:highlight w:val="none"/>
                <w:lang w:eastAsia="zh-CN"/>
              </w:rPr>
              <w:t>备注</w:t>
            </w:r>
          </w:p>
        </w:tc>
        <w:tc>
          <w:tcPr>
            <w:tcW w:w="6589" w:type="dxa"/>
            <w:gridSpan w:val="7"/>
            <w:tcBorders>
              <w:top w:val="single" w:color="auto" w:sz="4" w:space="0"/>
              <w:left w:val="nil"/>
              <w:bottom w:val="single" w:color="auto" w:sz="4" w:space="0"/>
              <w:right w:val="single" w:color="auto" w:sz="4" w:space="0"/>
            </w:tcBorders>
            <w:noWrap w:val="0"/>
            <w:vAlign w:val="center"/>
          </w:tcPr>
          <w:p w14:paraId="61738237">
            <w:pPr>
              <w:widowControl/>
              <w:suppressAutoHyphens/>
              <w:kinsoku/>
              <w:wordWrap w:val="0"/>
              <w:overflowPunct/>
              <w:topLinePunct w:val="0"/>
              <w:bidi w:val="0"/>
              <w:snapToGrid w:val="0"/>
              <w:spacing w:before="0" w:beforeLines="0" w:beforeAutospacing="0" w:after="0" w:afterLines="0" w:afterAutospacing="0" w:line="400" w:lineRule="exact"/>
              <w:ind w:left="0" w:right="0"/>
              <w:jc w:val="left"/>
              <w:rPr>
                <w:rFonts w:ascii="宋体" w:hAnsi="宋体" w:eastAsia="宋体" w:cs="宋体"/>
                <w:b/>
                <w:kern w:val="2"/>
                <w:sz w:val="24"/>
                <w:szCs w:val="24"/>
                <w:highlight w:val="none"/>
              </w:rPr>
            </w:pPr>
          </w:p>
        </w:tc>
      </w:tr>
    </w:tbl>
    <w:p w14:paraId="51256F22">
      <w:pPr>
        <w:kinsoku/>
        <w:wordWrap w:val="0"/>
        <w:overflowPunct/>
        <w:topLinePunct w:val="0"/>
        <w:bidi w:val="0"/>
        <w:spacing w:line="440" w:lineRule="exact"/>
        <w:rPr>
          <w:rFonts w:ascii="宋体" w:hAnsi="宋体" w:eastAsia="宋体" w:cs="宋体"/>
          <w:sz w:val="28"/>
          <w:szCs w:val="28"/>
          <w:highlight w:val="none"/>
        </w:rPr>
      </w:pPr>
    </w:p>
    <w:p w14:paraId="5D949745">
      <w:pPr>
        <w:kinsoku/>
        <w:wordWrap w:val="0"/>
        <w:overflowPunct/>
        <w:topLinePunct w:val="0"/>
        <w:bidi w:val="0"/>
        <w:spacing w:line="440" w:lineRule="exact"/>
        <w:rPr>
          <w:rFonts w:ascii="宋体" w:hAnsi="宋体" w:eastAsia="宋体" w:cs="宋体"/>
          <w:sz w:val="24"/>
          <w:szCs w:val="24"/>
          <w:highlight w:val="none"/>
        </w:rPr>
      </w:pPr>
      <w:r>
        <w:rPr>
          <w:rFonts w:hint="eastAsia" w:ascii="宋体" w:hAnsi="宋体" w:eastAsia="宋体" w:cs="宋体"/>
          <w:sz w:val="24"/>
          <w:szCs w:val="24"/>
          <w:highlight w:val="none"/>
        </w:rPr>
        <w:t>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5F26F330">
      <w:pPr>
        <w:kinsoku/>
        <w:wordWrap w:val="0"/>
        <w:overflowPunct/>
        <w:topLinePunct w:val="0"/>
        <w:bidi w:val="0"/>
        <w:spacing w:line="70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31EEBA3B">
      <w:pPr>
        <w:kinsoku/>
        <w:wordWrap w:val="0"/>
        <w:overflowPunct/>
        <w:topLinePunct w:val="0"/>
        <w:bidi w:val="0"/>
        <w:spacing w:line="700" w:lineRule="exact"/>
        <w:rPr>
          <w:rFonts w:ascii="宋体" w:hAnsi="宋体" w:eastAsia="宋体" w:cs="宋体"/>
          <w:b/>
          <w:bCs/>
          <w:sz w:val="24"/>
          <w:szCs w:val="24"/>
          <w:highlight w:val="none"/>
        </w:rPr>
      </w:pPr>
      <w:r>
        <w:rPr>
          <w:rFonts w:hint="eastAsia" w:ascii="宋体" w:hAnsi="宋体" w:eastAsia="宋体" w:cs="宋体"/>
          <w:sz w:val="24"/>
          <w:szCs w:val="24"/>
          <w:highlight w:val="none"/>
        </w:rPr>
        <w:t xml:space="preserve">日期：   年   月   日 </w:t>
      </w:r>
    </w:p>
    <w:p w14:paraId="0E7C9659">
      <w:pPr>
        <w:numPr>
          <w:ilvl w:val="0"/>
          <w:numId w:val="3"/>
        </w:numPr>
        <w:kinsoku/>
        <w:wordWrap w:val="0"/>
        <w:overflowPunct/>
        <w:topLinePunct w:val="0"/>
        <w:bidi w:val="0"/>
        <w:spacing w:line="440" w:lineRule="exact"/>
        <w:jc w:val="center"/>
        <w:outlineLvl w:val="0"/>
        <w:rPr>
          <w:rFonts w:hint="eastAsia" w:ascii="宋体" w:hAnsi="宋体" w:eastAsia="宋体" w:cs="宋体"/>
          <w:b/>
          <w:bCs/>
          <w:sz w:val="28"/>
          <w:szCs w:val="28"/>
          <w:highlight w:val="none"/>
        </w:rPr>
      </w:pPr>
      <w:bookmarkStart w:id="666" w:name="_Toc6390"/>
      <w:r>
        <w:rPr>
          <w:rFonts w:hint="eastAsia" w:ascii="宋体" w:hAnsi="宋体" w:eastAsia="宋体" w:cs="宋体"/>
          <w:b/>
          <w:bCs/>
          <w:sz w:val="28"/>
          <w:szCs w:val="28"/>
          <w:highlight w:val="none"/>
        </w:rPr>
        <w:br w:type="page"/>
      </w:r>
      <w:bookmarkStart w:id="667" w:name="_Toc4402"/>
      <w:bookmarkStart w:id="668" w:name="_Toc4763"/>
      <w:bookmarkStart w:id="669" w:name="_Toc25657"/>
      <w:bookmarkStart w:id="670" w:name="_Toc26529"/>
      <w:bookmarkStart w:id="671" w:name="_Toc2004"/>
      <w:bookmarkStart w:id="672" w:name="_Toc9432"/>
      <w:r>
        <w:rPr>
          <w:rFonts w:hint="eastAsia" w:ascii="宋体" w:hAnsi="宋体" w:eastAsia="宋体" w:cs="宋体"/>
          <w:b/>
          <w:bCs/>
          <w:sz w:val="28"/>
          <w:szCs w:val="28"/>
          <w:highlight w:val="none"/>
        </w:rPr>
        <w:t>法定代表人身份证明</w:t>
      </w:r>
      <w:bookmarkEnd w:id="666"/>
      <w:bookmarkEnd w:id="667"/>
      <w:bookmarkEnd w:id="668"/>
      <w:bookmarkEnd w:id="669"/>
      <w:bookmarkEnd w:id="670"/>
      <w:bookmarkEnd w:id="671"/>
      <w:bookmarkEnd w:id="672"/>
    </w:p>
    <w:p w14:paraId="1FCC624C">
      <w:pPr>
        <w:numPr>
          <w:ilvl w:val="0"/>
          <w:numId w:val="0"/>
        </w:numPr>
        <w:kinsoku/>
        <w:wordWrap w:val="0"/>
        <w:overflowPunct/>
        <w:topLinePunct w:val="0"/>
        <w:bidi w:val="0"/>
        <w:spacing w:line="440" w:lineRule="exact"/>
        <w:jc w:val="both"/>
        <w:outlineLvl w:val="0"/>
        <w:rPr>
          <w:rFonts w:hint="eastAsia" w:ascii="宋体" w:hAnsi="宋体" w:eastAsia="宋体" w:cs="宋体"/>
          <w:b/>
          <w:bCs/>
          <w:sz w:val="28"/>
          <w:szCs w:val="28"/>
          <w:highlight w:val="none"/>
        </w:rPr>
      </w:pPr>
    </w:p>
    <w:p w14:paraId="54DED119">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2E3ACB0">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响 应 人：</w:t>
      </w:r>
    </w:p>
    <w:p w14:paraId="52D588CF">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单位性质：</w:t>
      </w:r>
    </w:p>
    <w:p w14:paraId="1C5A73A3">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地    址：</w:t>
      </w:r>
    </w:p>
    <w:p w14:paraId="1350379C">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成立时间：     年  月  日</w:t>
      </w:r>
    </w:p>
    <w:p w14:paraId="158A5341">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经营期限：</w:t>
      </w:r>
    </w:p>
    <w:p w14:paraId="50DDF78F">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姓    名：         性        别：</w:t>
      </w:r>
    </w:p>
    <w:p w14:paraId="7C7EE04B">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年    龄：         职        务：</w:t>
      </w:r>
    </w:p>
    <w:p w14:paraId="3A6402A1">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（响应人名称）的法定代表人。</w:t>
      </w:r>
    </w:p>
    <w:p w14:paraId="3F623916">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特此证明。</w:t>
      </w:r>
    </w:p>
    <w:p w14:paraId="7C290000">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EA8B48D">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3FE200D">
      <w:pPr>
        <w:kinsoku/>
        <w:wordWrap w:val="0"/>
        <w:overflowPunct/>
        <w:topLinePunct w:val="0"/>
        <w:bidi w:val="0"/>
        <w:spacing w:line="520" w:lineRule="exact"/>
        <w:jc w:val="right"/>
        <w:rPr>
          <w:rFonts w:ascii="宋体" w:hAnsi="宋体" w:eastAsia="宋体" w:cs="宋体"/>
          <w:sz w:val="24"/>
          <w:szCs w:val="24"/>
          <w:highlight w:val="none"/>
          <w:u w:val="single"/>
        </w:rPr>
      </w:pPr>
      <w:r>
        <w:rPr>
          <w:rFonts w:hint="eastAsia" w:ascii="宋体" w:hAnsi="宋体" w:eastAsia="宋体" w:cs="宋体"/>
          <w:sz w:val="24"/>
          <w:szCs w:val="24"/>
          <w:highlight w:val="none"/>
        </w:rPr>
        <w:t>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022A9BDB">
      <w:pPr>
        <w:kinsoku/>
        <w:wordWrap w:val="0"/>
        <w:overflowPunct/>
        <w:topLinePunct w:val="0"/>
        <w:bidi w:val="0"/>
        <w:spacing w:line="480" w:lineRule="exact"/>
        <w:jc w:val="righ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年   月   日          </w:t>
      </w:r>
    </w:p>
    <w:p w14:paraId="5531DCEF">
      <w:pPr>
        <w:kinsoku/>
        <w:wordWrap w:val="0"/>
        <w:overflowPunct/>
        <w:topLinePunct w:val="0"/>
        <w:bidi w:val="0"/>
        <w:spacing w:before="312" w:beforeLines="100" w:after="156" w:afterLines="50"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6F3586D">
      <w:pPr>
        <w:kinsoku/>
        <w:wordWrap w:val="0"/>
        <w:overflowPunct/>
        <w:topLinePunct w:val="0"/>
        <w:bidi w:val="0"/>
        <w:spacing w:line="114"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E8DBA3D">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527E2DD6">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32A8CD9A">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DBAD626">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3836C52">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39E39283">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BBF7E2F">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160777FF">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77C6573">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628655E7">
      <w:pPr>
        <w:kinsoku/>
        <w:wordWrap w:val="0"/>
        <w:overflowPunct/>
        <w:topLinePunct w:val="0"/>
        <w:bidi w:val="0"/>
        <w:spacing w:line="0" w:lineRule="atLeast"/>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0BE704C">
      <w:pPr>
        <w:kinsoku/>
        <w:wordWrap w:val="0"/>
        <w:overflowPunct/>
        <w:topLinePunct w:val="0"/>
        <w:bidi w:val="0"/>
        <w:spacing w:before="312" w:beforeLines="100" w:after="156" w:afterLines="5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BB2D24E">
      <w:pPr>
        <w:kinsoku/>
        <w:wordWrap w:val="0"/>
        <w:overflowPunct/>
        <w:topLinePunct w:val="0"/>
        <w:bidi w:val="0"/>
        <w:spacing w:before="312" w:beforeLines="100" w:after="156" w:afterLines="50" w:line="480" w:lineRule="exact"/>
        <w:jc w:val="center"/>
        <w:textAlignment w:val="center"/>
        <w:outlineLvl w:val="0"/>
        <w:rPr>
          <w:rFonts w:ascii="宋体" w:hAnsi="宋体" w:eastAsia="宋体" w:cs="宋体"/>
          <w:sz w:val="28"/>
          <w:szCs w:val="28"/>
          <w:highlight w:val="none"/>
        </w:rPr>
      </w:pPr>
      <w:r>
        <w:rPr>
          <w:rFonts w:ascii="宋体" w:hAnsi="宋体" w:eastAsia="宋体" w:cs="宋体"/>
          <w:b/>
          <w:bCs/>
          <w:sz w:val="28"/>
          <w:szCs w:val="28"/>
          <w:highlight w:val="none"/>
        </w:rPr>
        <w:br w:type="page"/>
      </w:r>
      <w:bookmarkStart w:id="673" w:name="_Toc28862"/>
      <w:bookmarkStart w:id="674" w:name="_Toc30202"/>
      <w:bookmarkStart w:id="675" w:name="_Toc31687"/>
      <w:bookmarkStart w:id="676" w:name="_Toc7629"/>
      <w:bookmarkStart w:id="677" w:name="_Toc21160"/>
      <w:bookmarkStart w:id="678" w:name="_Toc32020"/>
      <w:bookmarkStart w:id="679" w:name="_Toc14392"/>
      <w:r>
        <w:rPr>
          <w:rFonts w:hint="eastAsia" w:ascii="宋体" w:hAnsi="宋体" w:eastAsia="宋体" w:cs="宋体"/>
          <w:b/>
          <w:bCs/>
          <w:sz w:val="28"/>
          <w:szCs w:val="28"/>
          <w:highlight w:val="none"/>
        </w:rPr>
        <w:t>三、授权委托书</w:t>
      </w:r>
      <w:bookmarkEnd w:id="673"/>
      <w:bookmarkEnd w:id="674"/>
      <w:bookmarkEnd w:id="675"/>
      <w:bookmarkEnd w:id="676"/>
      <w:bookmarkEnd w:id="677"/>
      <w:bookmarkEnd w:id="678"/>
      <w:bookmarkEnd w:id="679"/>
    </w:p>
    <w:p w14:paraId="18695D58">
      <w:pPr>
        <w:kinsoku/>
        <w:wordWrap w:val="0"/>
        <w:overflowPunct/>
        <w:topLinePunct w:val="0"/>
        <w:bidi w:val="0"/>
        <w:spacing w:line="480" w:lineRule="exact"/>
        <w:ind w:firstLine="720" w:firstLineChars="300"/>
        <w:textAlignment w:val="center"/>
        <w:rPr>
          <w:rFonts w:hint="eastAsia" w:ascii="宋体" w:hAnsi="宋体" w:eastAsia="宋体" w:cs="宋体"/>
          <w:sz w:val="24"/>
          <w:szCs w:val="24"/>
          <w:highlight w:val="none"/>
        </w:rPr>
      </w:pPr>
    </w:p>
    <w:p w14:paraId="16B6A5FA">
      <w:pPr>
        <w:kinsoku/>
        <w:wordWrap w:val="0"/>
        <w:overflowPunct/>
        <w:topLinePunct w:val="0"/>
        <w:bidi w:val="0"/>
        <w:spacing w:line="480" w:lineRule="exact"/>
        <w:ind w:firstLine="720" w:firstLineChars="3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（姓名）</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（响应人名称）</w:t>
      </w:r>
      <w:r>
        <w:rPr>
          <w:rFonts w:hint="eastAsia" w:ascii="宋体" w:hAnsi="宋体" w:eastAsia="宋体" w:cs="宋体"/>
          <w:sz w:val="24"/>
          <w:szCs w:val="24"/>
          <w:highlight w:val="none"/>
        </w:rPr>
        <w:t>的法定代表人，现委托</w:t>
      </w:r>
      <w:r>
        <w:rPr>
          <w:rFonts w:hint="eastAsia" w:ascii="宋体" w:hAnsi="宋体" w:eastAsia="宋体" w:cs="宋体"/>
          <w:sz w:val="24"/>
          <w:szCs w:val="24"/>
          <w:highlight w:val="none"/>
          <w:u w:val="single"/>
        </w:rPr>
        <w:t>（姓名）</w:t>
      </w:r>
      <w:r>
        <w:rPr>
          <w:rFonts w:hint="eastAsia" w:ascii="宋体" w:hAnsi="宋体" w:eastAsia="宋体" w:cs="宋体"/>
          <w:sz w:val="24"/>
          <w:szCs w:val="24"/>
          <w:highlight w:val="none"/>
        </w:rPr>
        <w:t>为我方代理人。代理人根据授权，以我方名义签署、澄清、说明、补正、递交、撤回、修改</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rPr>
        <w:t>响应文件、签订合同和处理有关事宜，其法律后果由我方承担。</w:t>
      </w:r>
    </w:p>
    <w:p w14:paraId="7E7E5B4A">
      <w:pPr>
        <w:kinsoku/>
        <w:wordWrap w:val="0"/>
        <w:overflowPunct/>
        <w:topLinePunct w:val="0"/>
        <w:bidi w:val="0"/>
        <w:spacing w:before="312" w:beforeLines="100" w:after="312" w:afterLines="100"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711353FE">
      <w:pPr>
        <w:kinsoku/>
        <w:wordWrap w:val="0"/>
        <w:overflowPunct/>
        <w:topLinePunct w:val="0"/>
        <w:bidi w:val="0"/>
        <w:spacing w:after="312" w:afterLines="100"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附：法定代表人身份证及委托代理人身份证扫描件</w:t>
      </w:r>
    </w:p>
    <w:p w14:paraId="7D2AB24F">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6E8581E">
      <w:pPr>
        <w:kinsoku/>
        <w:wordWrap w:val="0"/>
        <w:overflowPunct/>
        <w:topLinePunct w:val="0"/>
        <w:bidi w:val="0"/>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响应人：（</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7E84F1A4">
      <w:pPr>
        <w:kinsoku/>
        <w:wordWrap w:val="0"/>
        <w:overflowPunct/>
        <w:topLinePunct w:val="0"/>
        <w:bidi w:val="0"/>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4B9D1154">
      <w:pPr>
        <w:kinsoku/>
        <w:wordWrap w:val="0"/>
        <w:overflowPunct/>
        <w:topLinePunct w:val="0"/>
        <w:bidi w:val="0"/>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068D1482">
      <w:pPr>
        <w:kinsoku/>
        <w:wordWrap w:val="0"/>
        <w:overflowPunct/>
        <w:topLinePunct w:val="0"/>
        <w:bidi w:val="0"/>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委托代理人身份证号码：</w:t>
      </w:r>
      <w:r>
        <w:rPr>
          <w:rFonts w:hint="eastAsia" w:ascii="宋体" w:hAnsi="宋体" w:eastAsia="宋体" w:cs="宋体"/>
          <w:sz w:val="24"/>
          <w:szCs w:val="24"/>
          <w:highlight w:val="none"/>
          <w:u w:val="single"/>
        </w:rPr>
        <w:t xml:space="preserve">      </w:t>
      </w:r>
    </w:p>
    <w:p w14:paraId="7E5A24F8">
      <w:pPr>
        <w:kinsoku/>
        <w:wordWrap w:val="0"/>
        <w:overflowPunct/>
        <w:topLinePunct w:val="0"/>
        <w:bidi w:val="0"/>
        <w:spacing w:line="480" w:lineRule="exact"/>
        <w:ind w:firstLine="3840" w:firstLineChars="1600"/>
        <w:textAlignment w:val="center"/>
        <w:rPr>
          <w:rFonts w:hint="eastAsia" w:ascii="宋体" w:hAnsi="宋体" w:cs="宋体"/>
          <w:sz w:val="24"/>
          <w:szCs w:val="24"/>
          <w:highlight w:val="none"/>
          <w:u w:val="single"/>
          <w:lang w:val="en-US" w:eastAsia="zh-CN"/>
        </w:rPr>
      </w:pPr>
      <w:r>
        <w:rPr>
          <w:rFonts w:ascii="宋体" w:hAnsi="宋体" w:eastAsia="宋体" w:cs="宋体"/>
          <w:sz w:val="24"/>
          <w:szCs w:val="24"/>
          <w:highlight w:val="none"/>
        </w:rPr>
        <w:t>联系</w:t>
      </w:r>
      <w:r>
        <w:rPr>
          <w:rFonts w:hint="eastAsia" w:ascii="宋体" w:hAnsi="宋体" w:cs="宋体"/>
          <w:sz w:val="24"/>
          <w:szCs w:val="24"/>
          <w:highlight w:val="none"/>
          <w:lang w:eastAsia="zh-CN"/>
        </w:rPr>
        <w:t>方式</w:t>
      </w:r>
      <w:r>
        <w:rPr>
          <w:rFonts w:hint="eastAsia" w:ascii="宋体" w:hAnsi="宋体" w:eastAsia="宋体" w:cs="宋体"/>
          <w:sz w:val="24"/>
          <w:szCs w:val="24"/>
          <w:highlight w:val="none"/>
        </w:rPr>
        <w:t>：</w:t>
      </w:r>
      <w:r>
        <w:rPr>
          <w:rFonts w:hint="eastAsia" w:ascii="宋体" w:hAnsi="宋体" w:cs="宋体"/>
          <w:sz w:val="24"/>
          <w:szCs w:val="24"/>
          <w:highlight w:val="none"/>
          <w:u w:val="single"/>
          <w:lang w:val="en-US" w:eastAsia="zh-CN"/>
        </w:rPr>
        <w:t xml:space="preserve">                  </w:t>
      </w:r>
    </w:p>
    <w:p w14:paraId="3E4E8C41">
      <w:pPr>
        <w:kinsoku/>
        <w:wordWrap w:val="0"/>
        <w:overflowPunct/>
        <w:topLinePunct w:val="0"/>
        <w:bidi w:val="0"/>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15F74BB">
      <w:pPr>
        <w:kinsoku/>
        <w:wordWrap w:val="0"/>
        <w:overflowPunct/>
        <w:topLinePunct w:val="0"/>
        <w:bidi w:val="0"/>
        <w:spacing w:before="312" w:beforeLines="100" w:after="156" w:afterLines="50" w:line="480" w:lineRule="exact"/>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2F3B094A">
      <w:pPr>
        <w:widowControl/>
        <w:kinsoku/>
        <w:wordWrap w:val="0"/>
        <w:overflowPunct/>
        <w:topLinePunct w:val="0"/>
        <w:bidi w:val="0"/>
        <w:spacing w:line="400" w:lineRule="exact"/>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bookmarkStart w:id="680" w:name="_Toc466566720"/>
      <w:bookmarkEnd w:id="680"/>
    </w:p>
    <w:p w14:paraId="2982AB3D">
      <w:pPr>
        <w:widowControl/>
        <w:kinsoku/>
        <w:wordWrap w:val="0"/>
        <w:overflowPunct/>
        <w:topLinePunct w:val="0"/>
        <w:bidi w:val="0"/>
        <w:spacing w:line="400" w:lineRule="exact"/>
        <w:jc w:val="center"/>
        <w:outlineLvl w:val="0"/>
        <w:rPr>
          <w:rFonts w:ascii="宋体" w:hAnsi="宋体" w:eastAsia="宋体" w:cs="宋体"/>
          <w:b/>
          <w:sz w:val="28"/>
          <w:szCs w:val="28"/>
          <w:highlight w:val="none"/>
        </w:rPr>
      </w:pPr>
      <w:r>
        <w:rPr>
          <w:rFonts w:hint="eastAsia" w:ascii="宋体" w:hAnsi="宋体" w:eastAsia="宋体" w:cs="宋体"/>
          <w:b/>
          <w:bCs/>
          <w:sz w:val="24"/>
          <w:szCs w:val="24"/>
          <w:highlight w:val="none"/>
        </w:rPr>
        <w:br w:type="page"/>
      </w:r>
      <w:bookmarkStart w:id="681" w:name="_Toc32486"/>
      <w:bookmarkStart w:id="682" w:name="_Toc7633"/>
      <w:bookmarkStart w:id="683" w:name="_Toc32717"/>
      <w:bookmarkStart w:id="684" w:name="_Toc8790"/>
      <w:bookmarkStart w:id="685" w:name="_Toc11405"/>
      <w:bookmarkStart w:id="686" w:name="_Toc6506"/>
      <w:bookmarkStart w:id="687" w:name="_Toc5049"/>
      <w:r>
        <w:rPr>
          <w:rFonts w:hint="eastAsia" w:ascii="宋体" w:hAnsi="宋体" w:eastAsia="宋体" w:cs="宋体"/>
          <w:b/>
          <w:bCs/>
          <w:sz w:val="28"/>
          <w:szCs w:val="28"/>
          <w:highlight w:val="none"/>
        </w:rPr>
        <w:t>四、磋商承诺函</w:t>
      </w:r>
      <w:bookmarkEnd w:id="681"/>
      <w:bookmarkEnd w:id="682"/>
      <w:bookmarkEnd w:id="683"/>
      <w:bookmarkEnd w:id="684"/>
      <w:bookmarkEnd w:id="685"/>
      <w:bookmarkEnd w:id="686"/>
      <w:bookmarkEnd w:id="687"/>
    </w:p>
    <w:p w14:paraId="21798A98">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宋体" w:hAnsi="宋体" w:eastAsia="宋体"/>
          <w:sz w:val="24"/>
          <w:szCs w:val="24"/>
          <w:highlight w:val="none"/>
          <w:u w:val="single"/>
        </w:rPr>
      </w:pPr>
      <w:r>
        <w:rPr>
          <w:rFonts w:hint="eastAsia" w:ascii="宋体" w:hAnsi="宋体" w:eastAsia="宋体"/>
          <w:sz w:val="24"/>
          <w:szCs w:val="24"/>
          <w:highlight w:val="none"/>
        </w:rPr>
        <w:t>致</w:t>
      </w:r>
      <w:r>
        <w:rPr>
          <w:rFonts w:hint="eastAsia" w:ascii="宋体" w:hAnsi="宋体" w:eastAsia="宋体"/>
          <w:sz w:val="24"/>
          <w:szCs w:val="24"/>
          <w:highlight w:val="none"/>
          <w:u w:val="single"/>
        </w:rPr>
        <w:t xml:space="preserve">（采购人）：               </w:t>
      </w:r>
    </w:p>
    <w:p w14:paraId="771A40F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我公司作为本次磋商项目的响应人，根据竞争性磋商文件要求，现郑重承诺如下：</w:t>
      </w:r>
    </w:p>
    <w:p w14:paraId="6966E41C">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18CFBFB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二、参加本次磋商采购活动，不存在与单位负责人为同一人或者存在直接控股、管理关系的其他</w:t>
      </w:r>
      <w:r>
        <w:rPr>
          <w:rFonts w:hint="eastAsia" w:ascii="宋体" w:hAnsi="宋体"/>
          <w:sz w:val="24"/>
          <w:szCs w:val="24"/>
          <w:highlight w:val="none"/>
          <w:lang w:eastAsia="zh-CN"/>
        </w:rPr>
        <w:t>响应人</w:t>
      </w:r>
      <w:r>
        <w:rPr>
          <w:rFonts w:hint="eastAsia" w:ascii="宋体" w:hAnsi="宋体" w:eastAsia="宋体"/>
          <w:sz w:val="24"/>
          <w:szCs w:val="24"/>
          <w:highlight w:val="none"/>
        </w:rPr>
        <w:t>参与同一合同项下的政府采购活动的行为。</w:t>
      </w:r>
    </w:p>
    <w:p w14:paraId="4E46723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三、参加本次磋商活动，不存在为磋商项目提供整体设计、规范编制或者项目管理、监理、检测等服务的行为。</w:t>
      </w:r>
    </w:p>
    <w:p w14:paraId="3230F42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四、参加本次磋商活动，不存在和其他</w:t>
      </w:r>
      <w:r>
        <w:rPr>
          <w:rFonts w:hint="eastAsia" w:ascii="宋体" w:hAnsi="宋体"/>
          <w:sz w:val="24"/>
          <w:szCs w:val="24"/>
          <w:highlight w:val="none"/>
          <w:lang w:eastAsia="zh-CN"/>
        </w:rPr>
        <w:t>响应人</w:t>
      </w:r>
      <w:r>
        <w:rPr>
          <w:rFonts w:hint="eastAsia" w:ascii="宋体" w:hAnsi="宋体" w:eastAsia="宋体"/>
          <w:sz w:val="24"/>
          <w:szCs w:val="24"/>
          <w:highlight w:val="none"/>
        </w:rPr>
        <w:t>在同一合同项下的采购项目中，同时委托同一个自然人、同一家庭的人员、同一单位的人员作为代理人的行为。</w:t>
      </w:r>
    </w:p>
    <w:p w14:paraId="53E01EF8">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五、响应人参加本次磋商活动要求在近三年内响应人和其法定代表人没有行贿犯罪行为。</w:t>
      </w:r>
    </w:p>
    <w:p w14:paraId="4CD3E5D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六、参加本次磋商活动，不存在联合体磋商。</w:t>
      </w:r>
    </w:p>
    <w:p w14:paraId="4596280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七、竞争性磋商文件中提供的能够给予我公司带来优惠、好处的任何材料资料和技术、服务、商务等响应承诺情况都是真实的、有效的、合法的。</w:t>
      </w:r>
    </w:p>
    <w:p w14:paraId="4A0E434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lang w:eastAsia="zh-CN"/>
        </w:rPr>
        <w:t>八</w:t>
      </w:r>
      <w:r>
        <w:rPr>
          <w:rFonts w:hint="eastAsia" w:ascii="宋体" w:hAnsi="宋体" w:eastAsia="宋体"/>
          <w:sz w:val="24"/>
          <w:szCs w:val="24"/>
          <w:highlight w:val="none"/>
        </w:rPr>
        <w:t>、存在以下行为之一的愿意接受相关部门的处理：</w:t>
      </w:r>
    </w:p>
    <w:p w14:paraId="61F2EA9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（一）磋商有效期内撤销竞争性磋商文件的；</w:t>
      </w:r>
    </w:p>
    <w:p w14:paraId="0A08CB9C">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（二）在采购人确定中标人以前放弃中标候选资格的；</w:t>
      </w:r>
    </w:p>
    <w:p w14:paraId="1BE34FD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（三）由于中标人的原因未能按照竞争性磋商文件的规定与采购人签订合同；</w:t>
      </w:r>
    </w:p>
    <w:p w14:paraId="615CE93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四</w:t>
      </w:r>
      <w:r>
        <w:rPr>
          <w:rFonts w:hint="eastAsia" w:ascii="宋体" w:hAnsi="宋体" w:eastAsia="宋体"/>
          <w:sz w:val="24"/>
          <w:szCs w:val="24"/>
          <w:highlight w:val="none"/>
        </w:rPr>
        <w:t>）在响应文件中提供虚假材料谋取中标；</w:t>
      </w:r>
    </w:p>
    <w:p w14:paraId="426162E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五</w:t>
      </w:r>
      <w:r>
        <w:rPr>
          <w:rFonts w:hint="eastAsia" w:ascii="宋体" w:hAnsi="宋体" w:eastAsia="宋体"/>
          <w:sz w:val="24"/>
          <w:szCs w:val="24"/>
          <w:highlight w:val="none"/>
        </w:rPr>
        <w:t>）与采购人、其他响应人或者招标代理机构恶意串通的；</w:t>
      </w:r>
    </w:p>
    <w:p w14:paraId="2543A57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eastAsia="zh-CN"/>
        </w:rPr>
        <w:t>六</w:t>
      </w:r>
      <w:r>
        <w:rPr>
          <w:rFonts w:hint="eastAsia" w:ascii="宋体" w:hAnsi="宋体" w:eastAsia="宋体"/>
          <w:sz w:val="24"/>
          <w:szCs w:val="24"/>
          <w:highlight w:val="none"/>
        </w:rPr>
        <w:t>）磋商有效期内，响应人在政府采购活动中有违法、违规、违纪行为。</w:t>
      </w:r>
    </w:p>
    <w:p w14:paraId="31AA235B">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由此产生的一切法律后果和责任由我公司承担。我公司声明放弃对此提出任何异议和追索的权利。</w:t>
      </w:r>
    </w:p>
    <w:p w14:paraId="1CE529A0">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kern w:val="0"/>
          <w:sz w:val="24"/>
          <w:szCs w:val="24"/>
          <w:highlight w:val="none"/>
          <w:lang w:eastAsia="zh-CN"/>
        </w:rPr>
      </w:pPr>
      <w:r>
        <w:rPr>
          <w:rFonts w:hint="eastAsia" w:ascii="宋体" w:hAnsi="宋体" w:eastAsia="宋体"/>
          <w:sz w:val="24"/>
          <w:szCs w:val="24"/>
          <w:highlight w:val="none"/>
        </w:rPr>
        <w:t>本公司对上述承诺的内容事项真实性负责。如经查实上述承诺的内容事项存在虚假，我公司愿意接受以提供虚假材料谋取中标追究法律责任。</w:t>
      </w:r>
    </w:p>
    <w:p w14:paraId="7580B5C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sz w:val="24"/>
          <w:szCs w:val="24"/>
          <w:highlight w:val="none"/>
        </w:rPr>
      </w:pPr>
    </w:p>
    <w:p w14:paraId="64DA39A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sz w:val="24"/>
          <w:szCs w:val="24"/>
          <w:highlight w:val="none"/>
        </w:rPr>
      </w:pPr>
    </w:p>
    <w:p w14:paraId="2ADFAA4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响应人名称：（</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r>
        <w:rPr>
          <w:rFonts w:hint="eastAsia" w:ascii="宋体" w:hAnsi="宋体" w:eastAsia="宋体"/>
          <w:sz w:val="24"/>
          <w:szCs w:val="24"/>
          <w:highlight w:val="none"/>
        </w:rPr>
        <w:t>）</w:t>
      </w:r>
    </w:p>
    <w:p w14:paraId="0784696E">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法定代表人或授权代表：（</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r>
        <w:rPr>
          <w:rFonts w:hint="eastAsia" w:ascii="宋体" w:hAnsi="宋体" w:eastAsia="宋体"/>
          <w:sz w:val="24"/>
          <w:szCs w:val="24"/>
          <w:highlight w:val="none"/>
        </w:rPr>
        <w:t>）</w:t>
      </w:r>
    </w:p>
    <w:p w14:paraId="650F069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日期：</w:t>
      </w:r>
    </w:p>
    <w:p w14:paraId="587BD72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highlight w:val="none"/>
        </w:rPr>
      </w:pPr>
    </w:p>
    <w:p w14:paraId="3B172E5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6D1FEC6D">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F65C808">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45F0E4EF">
      <w:pPr>
        <w:kinsoku/>
        <w:wordWrap w:val="0"/>
        <w:overflowPunct/>
        <w:topLinePunct w:val="0"/>
        <w:bidi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A1A3584">
      <w:pPr>
        <w:pStyle w:val="3"/>
        <w:kinsoku/>
        <w:wordWrap w:val="0"/>
        <w:overflowPunct/>
        <w:topLinePunct w:val="0"/>
        <w:bidi w:val="0"/>
        <w:outlineLvl w:val="9"/>
        <w:rPr>
          <w:highlight w:val="none"/>
        </w:rPr>
      </w:pPr>
    </w:p>
    <w:p w14:paraId="3B659F5B">
      <w:pPr>
        <w:kinsoku/>
        <w:wordWrap w:val="0"/>
        <w:overflowPunct/>
        <w:topLinePunct w:val="0"/>
        <w:bidi w:val="0"/>
        <w:spacing w:before="312" w:beforeLines="100" w:after="156" w:afterLines="50" w:line="480" w:lineRule="exact"/>
        <w:jc w:val="both"/>
        <w:textAlignment w:val="center"/>
        <w:rPr>
          <w:rFonts w:hint="eastAsia" w:ascii="宋体" w:hAnsi="宋体" w:eastAsia="宋体" w:cs="宋体"/>
          <w:b/>
          <w:bCs/>
          <w:sz w:val="28"/>
          <w:szCs w:val="28"/>
          <w:highlight w:val="none"/>
        </w:rPr>
      </w:pPr>
      <w:bookmarkStart w:id="688" w:name="_Toc18966"/>
      <w:bookmarkStart w:id="689" w:name="_Toc5084"/>
      <w:bookmarkStart w:id="690" w:name="_Toc2807"/>
      <w:bookmarkStart w:id="691" w:name="_Toc20745"/>
    </w:p>
    <w:p w14:paraId="58A70CE0">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3B4F973">
      <w:pPr>
        <w:numPr>
          <w:ilvl w:val="0"/>
          <w:numId w:val="4"/>
        </w:numPr>
        <w:kinsoku/>
        <w:wordWrap w:val="0"/>
        <w:overflowPunct/>
        <w:topLinePunct w:val="0"/>
        <w:bidi w:val="0"/>
        <w:spacing w:before="312" w:beforeLines="100" w:after="156" w:afterLines="50" w:line="480" w:lineRule="exact"/>
        <w:jc w:val="center"/>
        <w:textAlignment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已标价工程量清单</w:t>
      </w:r>
      <w:bookmarkEnd w:id="688"/>
      <w:bookmarkEnd w:id="689"/>
      <w:bookmarkEnd w:id="690"/>
      <w:bookmarkEnd w:id="691"/>
    </w:p>
    <w:p w14:paraId="08051556">
      <w:pPr>
        <w:numPr>
          <w:ilvl w:val="0"/>
          <w:numId w:val="0"/>
        </w:numPr>
        <w:kinsoku/>
        <w:wordWrap w:val="0"/>
        <w:overflowPunct/>
        <w:topLinePunct w:val="0"/>
        <w:bidi w:val="0"/>
        <w:spacing w:before="312" w:beforeLines="100" w:after="156" w:afterLines="50" w:line="480" w:lineRule="exact"/>
        <w:jc w:val="both"/>
        <w:textAlignment w:val="center"/>
        <w:rPr>
          <w:rFonts w:hint="eastAsia" w:ascii="宋体" w:hAnsi="宋体" w:eastAsia="宋体" w:cs="宋体"/>
          <w:b/>
          <w:bCs/>
          <w:sz w:val="28"/>
          <w:szCs w:val="28"/>
          <w:highlight w:val="none"/>
        </w:rPr>
      </w:pPr>
    </w:p>
    <w:p w14:paraId="169B133A">
      <w:pPr>
        <w:kinsoku/>
        <w:wordWrap w:val="0"/>
        <w:overflowPunct/>
        <w:topLinePunct w:val="0"/>
        <w:bidi w:val="0"/>
        <w:spacing w:line="480" w:lineRule="exact"/>
        <w:ind w:firstLine="420" w:firstLineChars="175"/>
        <w:textAlignment w:val="center"/>
        <w:rPr>
          <w:rFonts w:ascii="宋体" w:hAnsi="宋体" w:eastAsia="宋体" w:cs="宋体"/>
          <w:sz w:val="24"/>
          <w:szCs w:val="24"/>
          <w:highlight w:val="none"/>
        </w:rPr>
      </w:pPr>
      <w:r>
        <w:rPr>
          <w:rFonts w:hint="eastAsia" w:ascii="宋体" w:hAnsi="宋体" w:eastAsia="宋体" w:cs="宋体"/>
          <w:sz w:val="24"/>
          <w:szCs w:val="24"/>
          <w:highlight w:val="none"/>
        </w:rPr>
        <w:t>说明：已标价工程量清单按第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章“工程量清单”中的相关清单表格式填写。构成合同文件的已标价工程量清单包括第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章“工程量清单”有关工程量清单、磋商报价以及其他说明的内容。</w:t>
      </w:r>
    </w:p>
    <w:p w14:paraId="74895D1A">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17EF8E9">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1F44E5B">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0618900">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F72725F">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F8BF36D">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6E9F98C8">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89C24E6">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AAA6365">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020C274">
      <w:pPr>
        <w:kinsoku/>
        <w:wordWrap w:val="0"/>
        <w:overflowPunct/>
        <w:topLinePunct w:val="0"/>
        <w:bidi w:val="0"/>
        <w:spacing w:before="312" w:beforeLines="10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7FFCDA43">
      <w:pPr>
        <w:kinsoku/>
        <w:wordWrap w:val="0"/>
        <w:overflowPunct/>
        <w:topLinePunct w:val="0"/>
        <w:bidi w:val="0"/>
        <w:spacing w:before="312" w:beforeLines="10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1AC77B6D">
      <w:pPr>
        <w:kinsoku/>
        <w:wordWrap w:val="0"/>
        <w:overflowPunct/>
        <w:topLinePunct w:val="0"/>
        <w:bidi w:val="0"/>
        <w:spacing w:before="312" w:beforeLines="100" w:after="156" w:afterLines="50" w:line="480" w:lineRule="exact"/>
        <w:textAlignment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2663B2A1">
      <w:pPr>
        <w:pStyle w:val="3"/>
        <w:kinsoku/>
        <w:wordWrap w:val="0"/>
        <w:overflowPunct/>
        <w:topLinePunct w:val="0"/>
        <w:bidi w:val="0"/>
        <w:outlineLvl w:val="9"/>
        <w:rPr>
          <w:rFonts w:hint="eastAsia" w:ascii="宋体" w:hAnsi="宋体" w:eastAsia="宋体" w:cs="宋体"/>
          <w:b/>
          <w:bCs/>
          <w:sz w:val="28"/>
          <w:szCs w:val="28"/>
          <w:highlight w:val="none"/>
        </w:rPr>
      </w:pPr>
    </w:p>
    <w:p w14:paraId="133C03BC">
      <w:pPr>
        <w:kinsoku/>
        <w:wordWrap w:val="0"/>
        <w:overflowPunct/>
        <w:topLinePunct w:val="0"/>
        <w:bidi w:val="0"/>
        <w:rPr>
          <w:rFonts w:hint="eastAsia" w:ascii="宋体" w:hAnsi="宋体" w:eastAsia="宋体" w:cs="宋体"/>
          <w:b/>
          <w:bCs/>
          <w:sz w:val="28"/>
          <w:szCs w:val="28"/>
          <w:highlight w:val="none"/>
        </w:rPr>
      </w:pPr>
    </w:p>
    <w:p w14:paraId="1532F5D4">
      <w:pPr>
        <w:kinsoku/>
        <w:wordWrap w:val="0"/>
        <w:overflowPunct/>
        <w:topLinePunct w:val="0"/>
        <w:bidi w:val="0"/>
        <w:spacing w:before="312" w:beforeLines="100" w:after="156" w:afterLines="50" w:line="480" w:lineRule="exact"/>
        <w:jc w:val="center"/>
        <w:textAlignment w:val="center"/>
        <w:rPr>
          <w:rFonts w:ascii="宋体" w:hAnsi="宋体" w:eastAsia="宋体" w:cs="宋体"/>
          <w:b/>
          <w:bCs/>
          <w:sz w:val="28"/>
          <w:szCs w:val="28"/>
          <w:highlight w:val="none"/>
        </w:rPr>
      </w:pPr>
      <w:bookmarkStart w:id="692" w:name="_Toc12493"/>
      <w:bookmarkStart w:id="693" w:name="_Toc30855"/>
      <w:bookmarkStart w:id="694" w:name="_Toc1933"/>
      <w:bookmarkStart w:id="695" w:name="_Toc3097"/>
      <w:r>
        <w:rPr>
          <w:rFonts w:hint="eastAsia" w:ascii="宋体" w:hAnsi="宋体" w:eastAsia="宋体" w:cs="宋体"/>
          <w:b/>
          <w:bCs/>
          <w:sz w:val="28"/>
          <w:szCs w:val="28"/>
          <w:highlight w:val="none"/>
        </w:rPr>
        <w:t>六、施工组织设计</w:t>
      </w:r>
      <w:bookmarkEnd w:id="692"/>
      <w:bookmarkEnd w:id="693"/>
      <w:bookmarkEnd w:id="694"/>
      <w:bookmarkEnd w:id="695"/>
    </w:p>
    <w:p w14:paraId="1C100BBA">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1．</w:t>
      </w:r>
      <w:r>
        <w:rPr>
          <w:rFonts w:hint="eastAsia" w:ascii="宋体" w:hAnsi="宋体" w:eastAsia="宋体"/>
          <w:sz w:val="24"/>
          <w:szCs w:val="24"/>
          <w:highlight w:val="none"/>
        </w:rPr>
        <w:t>响应人应根据竞争性磋商文件和对现场的勘察情况，采用文字并结合图表形式，参考本竞争性磋商文件评分标准编制本工程的施工组织设计；</w:t>
      </w:r>
    </w:p>
    <w:p w14:paraId="35D7C326">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2．施工组织设计除采用文字表述外可附下列图表，图表及格式要求附后</w:t>
      </w:r>
    </w:p>
    <w:p w14:paraId="4FDB1195">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附表一  拟投入本工程的主要施工设备表</w:t>
      </w:r>
    </w:p>
    <w:p w14:paraId="5641F1F9">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附表二  拟配备本工程的试验和检测仪器设备表</w:t>
      </w:r>
    </w:p>
    <w:p w14:paraId="64D20D4D">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附表三  劳动力计划表</w:t>
      </w:r>
    </w:p>
    <w:p w14:paraId="734024BC">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附表四  计划开、竣工日期和施工进度网络图</w:t>
      </w:r>
    </w:p>
    <w:p w14:paraId="222D025D">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附表五  施工总平面图</w:t>
      </w:r>
    </w:p>
    <w:p w14:paraId="413608B2">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附表六  临时用地表</w:t>
      </w:r>
    </w:p>
    <w:p w14:paraId="5F091D6B">
      <w:pPr>
        <w:kinsoku/>
        <w:wordWrap w:val="0"/>
        <w:overflowPunct/>
        <w:topLinePunct w:val="0"/>
        <w:bidi w:val="0"/>
        <w:spacing w:line="480" w:lineRule="exact"/>
        <w:ind w:firstLine="492" w:firstLineChars="175"/>
        <w:textAlignment w:val="center"/>
        <w:rPr>
          <w:rFonts w:ascii="宋体" w:hAnsi="宋体" w:eastAsia="宋体" w:cs="宋体"/>
          <w:b/>
          <w:bCs/>
          <w:sz w:val="28"/>
          <w:szCs w:val="28"/>
          <w:highlight w:val="none"/>
        </w:rPr>
      </w:pPr>
    </w:p>
    <w:p w14:paraId="500B97A2">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02702FB4">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ascii="宋体" w:hAnsi="宋体" w:eastAsia="宋体" w:cs="宋体"/>
          <w:b/>
          <w:bCs/>
          <w:sz w:val="28"/>
          <w:szCs w:val="28"/>
          <w:highlight w:val="none"/>
        </w:rPr>
        <w:br w:type="page"/>
      </w:r>
      <w:r>
        <w:rPr>
          <w:rFonts w:hint="eastAsia" w:ascii="宋体" w:hAnsi="宋体" w:eastAsia="宋体" w:cs="宋体"/>
          <w:b/>
          <w:bCs/>
          <w:sz w:val="28"/>
          <w:szCs w:val="28"/>
          <w:highlight w:val="none"/>
        </w:rPr>
        <w:t>附表一：拟投入本工程的主要施工设备表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0493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AFA0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D9974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设备</w:t>
            </w:r>
          </w:p>
          <w:p w14:paraId="0E09A4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2E1CA4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型号</w:t>
            </w:r>
          </w:p>
          <w:p w14:paraId="37A0F9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7CF3B1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6ECAC6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国别</w:t>
            </w:r>
          </w:p>
          <w:p w14:paraId="0FFE7F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399AA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制造</w:t>
            </w:r>
          </w:p>
          <w:p w14:paraId="390895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1802ED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额定功率</w:t>
            </w:r>
          </w:p>
          <w:p w14:paraId="601F57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266594B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生产</w:t>
            </w:r>
          </w:p>
          <w:p w14:paraId="4AD9B0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301805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用于施</w:t>
            </w:r>
          </w:p>
          <w:p w14:paraId="3A8B58A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5FB79A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691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695F2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70AEF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3F20D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E0DE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3D8F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1994E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171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0FFC5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B8B466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AF1CD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A0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25735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8FF62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92562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7338B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B6E9B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60C00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68FA0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C0E69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4723F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FC1E5E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B19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BACB6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89CA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4A96C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B22C8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19114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DFC9C3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8D89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60022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3AC0D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F7A7A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B4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AF26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2B53B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137B01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6198E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C191F6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0112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9406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E7E7AC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D7FC9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1610C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97D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0CE8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F91C2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9729EC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82489D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099066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7EC77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38FD7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0FE917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5141C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2CD10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CA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44EB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62DE1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44885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97BB0D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60C89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7DE4E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2FD62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4B39B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4D257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D9F9A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988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B524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4A6C6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FBAC6A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6475E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D5C9F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F015F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990F4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58450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0591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F9BF0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8C6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C4B43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BB5FC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33CB9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F951F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7D0F9A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ACAD86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16F81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E86D3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64C7A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4E1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EBF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FE6E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15E6B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31299D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72478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20B06F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CCB05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DEEA2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10C4F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6B805A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DC108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11B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8CC9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ACB5C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607058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A4D0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5496B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595146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D29D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AB16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9C9409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41FC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D93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6BBF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C705E7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6133F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4AE1E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EE7D9A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F9AC7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8A282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C656EE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B062A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C89219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C0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71C9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36BEF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B5DBDD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60CFF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0FD28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D8C5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7162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7C265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D3C1E5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66987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B0E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B9FF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8F0E5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87B134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D08198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B5B4A8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8FDF5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59E72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85A7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CEEF0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9AFD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851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5EC8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00D12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1CAF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CBD8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59B0AC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7B9DA7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18E6E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3B19B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03254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23D2A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96A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539E6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ACAB6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9329F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C1FB1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612F0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EBA4A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2EC07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C64C4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1DC6FA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36020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144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A01B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29ADA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3151F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A5187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FDB1E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003F2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A21C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C48F5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E30EB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92A21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E7A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7B2A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CDB8A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A46E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66D04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669F1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62E02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D69B7E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A669F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FC8B75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6A95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68D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09CE7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12278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9BC2A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4C350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29080E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5662EF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7F69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CF980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5FA9C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A5FC4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3CA9AD5">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6D38DD41">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56628C01">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0EC4E6AB">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附表二：拟配备本工程的试验和检测仪器设备表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561A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6CE4CB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603A96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仪器设备</w:t>
            </w:r>
          </w:p>
          <w:p w14:paraId="0FAA88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1ACEA9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型号</w:t>
            </w:r>
          </w:p>
          <w:p w14:paraId="079A05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0F73BF2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86893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国别</w:t>
            </w:r>
          </w:p>
          <w:p w14:paraId="621626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548A8FD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制造</w:t>
            </w:r>
          </w:p>
          <w:p w14:paraId="40BCCF4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536F56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已使用</w:t>
            </w:r>
          </w:p>
          <w:p w14:paraId="5523069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02C14D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13E2AF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2F3F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A673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67E33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CBFBA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7665F2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3CAF4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A8C5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E4BC4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815800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5C289C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B07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9CBDC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CB9888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AABEA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7AC1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8A95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01239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AF162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C33F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451E8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136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57FD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AFC6D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4392FB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E2A74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3B453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B4DD3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71A98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D039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1123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3E8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33E7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F083F3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82EFF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29E1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F2F45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2D8749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E7E0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EA001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707F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45B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29955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B78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62EF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C642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79206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FAC28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13DD7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F0DFDD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2449F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368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0EC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8138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A37C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AA88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DD1B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81E2B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8D0C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87BF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536A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F45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C95D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A2969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7F9C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32336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DB4F5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75AB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3CEDE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091F5C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7B50D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072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9A0B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0562D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DEFD3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72192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A7F58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C97A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E04C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4624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B2370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DC3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CA20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9344E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6003FE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FAA98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0573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51A6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A7849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A529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1952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16F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E6FC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3F4A6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897A4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B349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C0FA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5D0BA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2401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0732F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EF686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2BB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184C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65628E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B2BE5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69386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9DCA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310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4955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D65F3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C80A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FAB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D574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1858C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9D2C1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55A5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3B177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AC1C0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F64D4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9DDB6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EB45F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081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959D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CC827C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9E81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7C3FA4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74F7D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5CEEF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3E397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A629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485EC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AAC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EB1D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80A7B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5EF918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E7549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1FA770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DC6CC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C6DD2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D3072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3FA53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DE0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C50B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45CB91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94E0C4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4B2A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8105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50506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881F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ACEE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2077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A5C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464E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0B3E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AAD36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8DEF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677E4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69AD50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D8B8A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ECDB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F327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1DE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7C21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2E090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19EC2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8A3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916A4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716B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7123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AE71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4A2BA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1D5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6708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F3E9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466F6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CCDF9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79F0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30517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BE893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BEB15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4B9D6F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D35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9321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662F0D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16321D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57B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0B37B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2B56F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D53E3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B9E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CAE08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93D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F7417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6DAC4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02F6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0AE90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7F731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DB653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3C74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31324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0C5765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C4F99FE">
      <w:pPr>
        <w:kinsoku/>
        <w:wordWrap w:val="0"/>
        <w:overflowPunct/>
        <w:topLinePunct w:val="0"/>
        <w:bidi w:val="0"/>
        <w:spacing w:before="156" w:beforeLines="50" w:after="156" w:afterLines="50" w:line="480" w:lineRule="exact"/>
        <w:jc w:val="center"/>
        <w:textAlignment w:val="center"/>
        <w:rPr>
          <w:rFonts w:ascii="宋体" w:hAnsi="宋体" w:eastAsia="宋体" w:cs="宋体"/>
          <w:sz w:val="28"/>
          <w:szCs w:val="28"/>
          <w:highlight w:val="none"/>
        </w:rPr>
      </w:pPr>
    </w:p>
    <w:p w14:paraId="3FAA8AB0">
      <w:pPr>
        <w:kinsoku/>
        <w:wordWrap w:val="0"/>
        <w:overflowPunct/>
        <w:topLinePunct w:val="0"/>
        <w:bidi w:val="0"/>
        <w:spacing w:before="156" w:beforeLines="50" w:after="156" w:afterLines="50" w:line="480" w:lineRule="exact"/>
        <w:ind w:firstLine="1124" w:firstLineChars="400"/>
        <w:jc w:val="center"/>
        <w:textAlignment w:val="center"/>
        <w:rPr>
          <w:rFonts w:hint="eastAsia" w:ascii="宋体" w:hAnsi="宋体" w:eastAsia="宋体" w:cs="宋体"/>
          <w:b/>
          <w:bCs/>
          <w:sz w:val="28"/>
          <w:szCs w:val="28"/>
          <w:highlight w:val="none"/>
        </w:rPr>
      </w:pPr>
    </w:p>
    <w:p w14:paraId="7B7420C3">
      <w:pPr>
        <w:kinsoku/>
        <w:wordWrap w:val="0"/>
        <w:overflowPunct/>
        <w:topLinePunct w:val="0"/>
        <w:bidi w:val="0"/>
        <w:spacing w:before="156" w:beforeLines="50" w:after="156" w:afterLines="50" w:line="480" w:lineRule="exact"/>
        <w:ind w:firstLine="1124" w:firstLineChars="400"/>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附表三：劳动力计划表</w:t>
      </w:r>
    </w:p>
    <w:p w14:paraId="56EF97ED">
      <w:pPr>
        <w:kinsoku/>
        <w:wordWrap w:val="0"/>
        <w:overflowPunct/>
        <w:topLinePunct w:val="0"/>
        <w:bidi w:val="0"/>
        <w:spacing w:line="480" w:lineRule="exact"/>
        <w:ind w:right="360"/>
        <w:jc w:val="righ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单位：人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15F0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3603A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336999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按工程施工阶段投入劳动力情况</w:t>
            </w:r>
          </w:p>
        </w:tc>
      </w:tr>
      <w:tr w14:paraId="0BB9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3811AE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546B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E519C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6066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ABA5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9935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E1FC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A396D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62A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EAF71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04FCAA4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29C0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2B60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6F4D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07FD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9FB8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C2FF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DD5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BCFC5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1A2727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62B5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E5F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2084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2935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636B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D1BF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ABD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250A2E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1C1749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CC5D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C117B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4E5A7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BC28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2DFB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44A2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582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A086D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0080B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8BFE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D775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BE716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53C4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0EF9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FFC5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215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1F345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ADA74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D335A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A091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AB27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DE12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A8C7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31768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2F3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0DE46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F9668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73A6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B380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1C77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A5AF7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C8C7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A3EAF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CF6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530D1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2909C52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9D91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41F2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214F9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DEEC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CE29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4D3E9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F2D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ADB20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4FCCA9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4194F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F7E3A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B4853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BE31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8CAD9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4F68C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902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3FA8C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F5DB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B534F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6553A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E322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553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9888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DD942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CD9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F7C7F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5F1459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688C8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C171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3C77E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9124A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402B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ADD6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EFB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AB797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4C73E0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3569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EABC5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5CE9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99D2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211E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53802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D07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A1E85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6C7B84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E2B8D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6206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1D9D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22D4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57A5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B0FE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DA1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ECF36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1E17C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579B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0BBF4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0E00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9033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CD7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D04D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2D0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055CD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088D04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97A4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7A75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884B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D405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9B49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E67E6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F7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DF12B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689926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D08D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0EF6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30433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892E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79FB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00BE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22C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30AD6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76D89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F3387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1B0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E119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5A78F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A4A0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37A9E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FC1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D7B03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8892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1C3FA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35A6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E9B0B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8431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BDB32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2BCA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1BB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71A21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5BC05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56F8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AD5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37B5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6894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403A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B10E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254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466A19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B49FF8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1EC6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4C545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DBEB3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A8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A4B3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0C57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7E7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31C68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6D6D2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7502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4B0FA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84B28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8623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B352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37DC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7A8AF953">
      <w:pPr>
        <w:kinsoku/>
        <w:wordWrap w:val="0"/>
        <w:overflowPunct/>
        <w:topLinePunct w:val="0"/>
        <w:bidi w:val="0"/>
        <w:spacing w:before="156" w:beforeLines="50" w:after="312" w:afterLines="100"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br w:type="page"/>
      </w:r>
    </w:p>
    <w:p w14:paraId="5B3B0569">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附表四：计划开、竣工日期和施工进度网络图</w:t>
      </w:r>
    </w:p>
    <w:p w14:paraId="156F3B32">
      <w:pPr>
        <w:kinsoku/>
        <w:wordWrap w:val="0"/>
        <w:overflowPunct/>
        <w:topLinePunct w:val="0"/>
        <w:bidi w:val="0"/>
        <w:spacing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1．响应人应递交施工进度网络图或施工进度表，说明按磋商文件要求的计划工期进行施工的各个关键日期。</w:t>
      </w:r>
    </w:p>
    <w:p w14:paraId="38724E13">
      <w:pPr>
        <w:kinsoku/>
        <w:wordWrap w:val="0"/>
        <w:overflowPunct/>
        <w:topLinePunct w:val="0"/>
        <w:bidi w:val="0"/>
        <w:spacing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2．施工进度表可采用网络图和（或）横道图表示。</w:t>
      </w:r>
    </w:p>
    <w:p w14:paraId="1654DABA">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sz w:val="24"/>
          <w:szCs w:val="24"/>
          <w:highlight w:val="none"/>
        </w:rPr>
        <w:br w:type="page"/>
      </w:r>
      <w:r>
        <w:rPr>
          <w:rFonts w:hint="eastAsia" w:ascii="宋体" w:hAnsi="宋体" w:eastAsia="宋体" w:cs="宋体"/>
          <w:b/>
          <w:bCs/>
          <w:sz w:val="28"/>
          <w:szCs w:val="28"/>
          <w:highlight w:val="none"/>
        </w:rPr>
        <w:t>附表五：施工总平面图</w:t>
      </w:r>
    </w:p>
    <w:p w14:paraId="295DA93C">
      <w:pPr>
        <w:kinsoku/>
        <w:wordWrap w:val="0"/>
        <w:overflowPunct/>
        <w:topLinePunct w:val="0"/>
        <w:bidi w:val="0"/>
        <w:spacing w:before="156" w:beforeLines="50" w:after="312" w:afterLines="100"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b/>
          <w:bCs/>
          <w:sz w:val="28"/>
          <w:szCs w:val="28"/>
          <w:highlight w:val="none"/>
        </w:rPr>
        <w:t>附表六：临时用地表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4D6A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65BD8F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  途</w:t>
            </w:r>
          </w:p>
        </w:tc>
        <w:tc>
          <w:tcPr>
            <w:tcW w:w="2079" w:type="dxa"/>
            <w:tcBorders>
              <w:top w:val="single" w:color="auto" w:sz="4" w:space="0"/>
              <w:left w:val="nil"/>
              <w:bottom w:val="single" w:color="auto" w:sz="4" w:space="0"/>
              <w:right w:val="single" w:color="auto" w:sz="4" w:space="0"/>
            </w:tcBorders>
            <w:noWrap w:val="0"/>
            <w:vAlign w:val="center"/>
          </w:tcPr>
          <w:p w14:paraId="38D271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4D69EF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位  置</w:t>
            </w:r>
          </w:p>
        </w:tc>
        <w:tc>
          <w:tcPr>
            <w:tcW w:w="2079" w:type="dxa"/>
            <w:tcBorders>
              <w:top w:val="single" w:color="auto" w:sz="4" w:space="0"/>
              <w:left w:val="nil"/>
              <w:bottom w:val="single" w:color="auto" w:sz="4" w:space="0"/>
              <w:right w:val="single" w:color="auto" w:sz="4" w:space="0"/>
            </w:tcBorders>
            <w:noWrap w:val="0"/>
            <w:vAlign w:val="center"/>
          </w:tcPr>
          <w:p w14:paraId="10B11C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需用时间</w:t>
            </w:r>
          </w:p>
        </w:tc>
      </w:tr>
      <w:tr w14:paraId="4E43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9B5D66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403693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C6F2FC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B10797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BB3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88D8CB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2EA01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755109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23C29D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37C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5AE91E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F1DACA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BBF59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D73018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225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07794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10217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B87D7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D5D9E6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5B99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498735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F2F56E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57B886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3918C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5F9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1AC677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AA18E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7DBA6B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475C44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663F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0BE0AF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6DEA11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770567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BE7F0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0AA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326F7A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67183F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1C10D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5C692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A78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6C8CA0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6052F0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3AA71A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CF54CC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F4A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6F5ABD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E10DA0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EEF1B7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61CA80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6BCA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F5E4B5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98D20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A11DAD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DA895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642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271D31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308938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0A1857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90F6F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2061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FA7A10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4274DB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D4B2CC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51A23A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028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90853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4E1223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2BDC16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0F675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1C9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5CDBB9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43A297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C5052D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C36FC3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A99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41C150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02ABD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20AF3C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A967C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5C4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C72212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35466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A86AE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9F86E8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27D1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D15B73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E834C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E546CA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831C16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698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1C11D6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B38362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069BDC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B63734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493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0754E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61511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5A2508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846E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E23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1A36FF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887E7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B5F549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7B80A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588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D13240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C4EC76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77B39E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4FC5E1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bl>
    <w:p w14:paraId="46F5264F">
      <w:pPr>
        <w:kinsoku/>
        <w:wordWrap w:val="0"/>
        <w:overflowPunct/>
        <w:topLinePunct w:val="0"/>
        <w:bidi w:val="0"/>
        <w:spacing w:before="156" w:beforeLines="5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81AEA5B">
      <w:pPr>
        <w:kinsoku/>
        <w:wordWrap w:val="0"/>
        <w:overflowPunct/>
        <w:topLinePunct w:val="0"/>
        <w:bidi w:val="0"/>
        <w:spacing w:before="156" w:beforeLines="5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sz w:val="28"/>
          <w:szCs w:val="28"/>
          <w:highlight w:val="none"/>
        </w:rPr>
        <w:t xml:space="preserve"> </w:t>
      </w:r>
    </w:p>
    <w:p w14:paraId="259F7B63">
      <w:pPr>
        <w:kinsoku/>
        <w:wordWrap w:val="0"/>
        <w:overflowPunct/>
        <w:topLinePunct w:val="0"/>
        <w:bidi w:val="0"/>
        <w:spacing w:before="156" w:beforeLines="50" w:after="156" w:afterLines="50" w:line="480" w:lineRule="exact"/>
        <w:jc w:val="center"/>
        <w:textAlignment w:val="center"/>
        <w:outlineLvl w:val="0"/>
        <w:rPr>
          <w:rFonts w:ascii="宋体" w:hAnsi="宋体" w:eastAsia="宋体" w:cs="宋体"/>
          <w:b/>
          <w:bCs/>
          <w:sz w:val="28"/>
          <w:szCs w:val="28"/>
          <w:highlight w:val="none"/>
        </w:rPr>
      </w:pPr>
      <w:bookmarkStart w:id="696" w:name="_Toc6339"/>
      <w:bookmarkStart w:id="697" w:name="_Toc11483"/>
      <w:bookmarkStart w:id="698" w:name="_Toc3987"/>
      <w:bookmarkStart w:id="699" w:name="_Toc14572"/>
      <w:bookmarkStart w:id="700" w:name="_Toc21044"/>
      <w:bookmarkStart w:id="701" w:name="_Toc14989"/>
      <w:bookmarkStart w:id="702" w:name="_Toc13347"/>
      <w:r>
        <w:rPr>
          <w:rFonts w:hint="eastAsia" w:ascii="宋体" w:hAnsi="宋体" w:eastAsia="宋体" w:cs="宋体"/>
          <w:b/>
          <w:bCs/>
          <w:sz w:val="28"/>
          <w:szCs w:val="28"/>
          <w:highlight w:val="none"/>
        </w:rPr>
        <w:t>七、项目管理机构</w:t>
      </w:r>
      <w:bookmarkEnd w:id="696"/>
      <w:bookmarkEnd w:id="697"/>
      <w:bookmarkEnd w:id="698"/>
      <w:bookmarkEnd w:id="699"/>
      <w:bookmarkEnd w:id="700"/>
      <w:bookmarkEnd w:id="701"/>
      <w:bookmarkEnd w:id="702"/>
    </w:p>
    <w:p w14:paraId="43BEF052">
      <w:pPr>
        <w:kinsoku/>
        <w:wordWrap w:val="0"/>
        <w:overflowPunct/>
        <w:topLinePunct w:val="0"/>
        <w:bidi w:val="0"/>
        <w:spacing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（一）项目管理机构组成表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3CBD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ABC921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3667A0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370046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6395537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150532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64F4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F13138B">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E4F373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F419319">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38E07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证书名称</w:t>
            </w:r>
          </w:p>
        </w:tc>
        <w:tc>
          <w:tcPr>
            <w:tcW w:w="993" w:type="dxa"/>
            <w:tcBorders>
              <w:top w:val="single" w:color="auto" w:sz="4" w:space="0"/>
              <w:left w:val="nil"/>
              <w:bottom w:val="single" w:color="auto" w:sz="4" w:space="0"/>
              <w:right w:val="single" w:color="auto" w:sz="4" w:space="0"/>
            </w:tcBorders>
            <w:noWrap w:val="0"/>
            <w:vAlign w:val="center"/>
          </w:tcPr>
          <w:p w14:paraId="4DD706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级别</w:t>
            </w:r>
          </w:p>
        </w:tc>
        <w:tc>
          <w:tcPr>
            <w:tcW w:w="992" w:type="dxa"/>
            <w:tcBorders>
              <w:top w:val="single" w:color="auto" w:sz="4" w:space="0"/>
              <w:left w:val="nil"/>
              <w:bottom w:val="single" w:color="auto" w:sz="4" w:space="0"/>
              <w:right w:val="single" w:color="auto" w:sz="4" w:space="0"/>
            </w:tcBorders>
            <w:noWrap w:val="0"/>
            <w:vAlign w:val="center"/>
          </w:tcPr>
          <w:p w14:paraId="260C88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证号</w:t>
            </w:r>
          </w:p>
        </w:tc>
        <w:tc>
          <w:tcPr>
            <w:tcW w:w="992" w:type="dxa"/>
            <w:tcBorders>
              <w:top w:val="single" w:color="auto" w:sz="4" w:space="0"/>
              <w:left w:val="nil"/>
              <w:bottom w:val="single" w:color="auto" w:sz="4" w:space="0"/>
              <w:right w:val="single" w:color="auto" w:sz="4" w:space="0"/>
            </w:tcBorders>
            <w:noWrap w:val="0"/>
            <w:vAlign w:val="center"/>
          </w:tcPr>
          <w:p w14:paraId="4D4F65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专业</w:t>
            </w:r>
          </w:p>
        </w:tc>
        <w:tc>
          <w:tcPr>
            <w:tcW w:w="1418" w:type="dxa"/>
            <w:tcBorders>
              <w:top w:val="single" w:color="auto" w:sz="4" w:space="0"/>
              <w:left w:val="nil"/>
              <w:bottom w:val="single" w:color="auto" w:sz="4" w:space="0"/>
              <w:right w:val="single" w:color="auto" w:sz="4" w:space="0"/>
            </w:tcBorders>
            <w:noWrap w:val="0"/>
            <w:vAlign w:val="center"/>
          </w:tcPr>
          <w:p w14:paraId="5B3C24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7A1711A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r>
      <w:tr w14:paraId="2FCF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BE5294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BBAF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A76D0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8C40D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66DB9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3ECFB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2BF7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1BEC3B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6FF39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D29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9E98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A256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7E6B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4432A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1FF36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E0D9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DE727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1AD6F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5A02D5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A07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A7BBD1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9A9B3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9C475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69BAB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CFBAB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74FA19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C1A0E2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B410E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B3081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DAF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DFEF5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F514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F37E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5191AD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70D10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834C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BFCD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4C1316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50087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0FB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B7C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B1AE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65A3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2BDF13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4007D6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1351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AD558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2048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FCE10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B5B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B8C8E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FF0B97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F6D0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31576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7273D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F1551C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04A9B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EEBF4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54801A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E78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17D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16682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482F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6394BC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56938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22728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F9F6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55C0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FCF12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B6A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1A5D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A6BAC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7FF68B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71166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5471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1EFC2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B1EA68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E06A5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A250F4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08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7D4C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37C4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81DDF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A5492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3C866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AA7A5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52E0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6CA0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65413A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86E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AD17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1D947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DF109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F00AC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B6D41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E2784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3E89E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F0600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40D8A7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299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20521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CF4FE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A0172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99B1A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4AEFE3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F5122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079C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3404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2C146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89C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64B9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BC2CBE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8A51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36BAC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4DFCC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53A3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FF0C61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5DD1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CEDDA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024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1D69D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9996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7EEF89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C6A40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3D494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85C3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BFFFC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B4F9E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4E0C9D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B96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28AA9E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2E2A1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B48BC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73918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D699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6CE61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1B94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4780C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70AADB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88A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3E6E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A7BEE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5B02F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159B3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405EFB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422A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2BEE8C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D967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66956DF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AD1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1843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AA5BD2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4F861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DF91A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9C3418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4C46E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D38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B5D04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3CA43C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E8D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472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E508B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85213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38A1D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BE6EE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8FFF3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E398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DEB7F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6F1DE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062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13F5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6EEE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774EB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238A2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01B0F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D394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6C475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D4B48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0CB39E4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DE8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4DED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70EC2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BD47C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1CBF6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30729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51A5C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1465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EED7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0C8E82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D3F6607">
      <w:pPr>
        <w:kinsoku/>
        <w:wordWrap w:val="0"/>
        <w:overflowPunct/>
        <w:topLinePunct w:val="0"/>
        <w:bidi w:val="0"/>
        <w:spacing w:before="156" w:beforeLines="50" w:after="312" w:afterLines="100" w:line="40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98DA505">
      <w:pPr>
        <w:kinsoku/>
        <w:wordWrap w:val="0"/>
        <w:overflowPunct/>
        <w:topLinePunct w:val="0"/>
        <w:bidi w:val="0"/>
        <w:spacing w:before="156" w:beforeLines="50" w:after="312" w:afterLines="100" w:line="400" w:lineRule="exact"/>
        <w:jc w:val="center"/>
        <w:textAlignment w:val="center"/>
        <w:rPr>
          <w:rFonts w:hint="eastAsia" w:ascii="宋体" w:hAnsi="宋体" w:eastAsia="宋体" w:cs="宋体"/>
          <w:sz w:val="28"/>
          <w:szCs w:val="28"/>
          <w:highlight w:val="none"/>
        </w:rPr>
      </w:pPr>
    </w:p>
    <w:p w14:paraId="267DBCAE">
      <w:pPr>
        <w:kinsoku/>
        <w:wordWrap w:val="0"/>
        <w:overflowPunct/>
        <w:topLinePunct w:val="0"/>
        <w:bidi w:val="0"/>
        <w:spacing w:before="156" w:beforeLines="50" w:after="312" w:afterLines="100" w:line="400" w:lineRule="exact"/>
        <w:jc w:val="center"/>
        <w:textAlignment w:val="center"/>
        <w:rPr>
          <w:rFonts w:ascii="宋体" w:hAnsi="宋体" w:eastAsia="宋体" w:cs="宋体"/>
          <w:b/>
          <w:bCs/>
          <w:sz w:val="28"/>
          <w:szCs w:val="28"/>
          <w:highlight w:val="none"/>
        </w:rPr>
      </w:pPr>
      <w:r>
        <w:rPr>
          <w:rFonts w:hint="eastAsia" w:ascii="宋体" w:hAnsi="宋体" w:eastAsia="宋体" w:cs="宋体"/>
          <w:sz w:val="28"/>
          <w:szCs w:val="28"/>
          <w:highlight w:val="none"/>
        </w:rPr>
        <w:t xml:space="preserve"> </w:t>
      </w:r>
    </w:p>
    <w:p w14:paraId="39FF20FD">
      <w:pPr>
        <w:kinsoku/>
        <w:wordWrap w:val="0"/>
        <w:overflowPunct/>
        <w:topLinePunct w:val="0"/>
        <w:bidi w:val="0"/>
        <w:spacing w:before="156" w:beforeLines="50" w:after="312" w:afterLines="100" w:line="40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（二）主要人员简历表</w:t>
      </w:r>
    </w:p>
    <w:p w14:paraId="2EEB98CD">
      <w:pPr>
        <w:pStyle w:val="3"/>
        <w:kinsoku/>
        <w:wordWrap w:val="0"/>
        <w:overflowPunct/>
        <w:topLinePunct w:val="0"/>
        <w:bidi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w:t>
      </w:r>
      <w:r>
        <w:rPr>
          <w:rFonts w:hint="eastAsia" w:ascii="宋体" w:hAnsi="宋体" w:eastAsia="宋体" w:cs="宋体"/>
          <w:sz w:val="24"/>
          <w:szCs w:val="24"/>
          <w:highlight w:val="none"/>
          <w:lang w:val="en-US" w:bidi="zh-CN"/>
        </w:rPr>
        <w:t>及</w:t>
      </w:r>
      <w:r>
        <w:rPr>
          <w:rFonts w:hint="eastAsia" w:ascii="宋体" w:hAnsi="宋体" w:eastAsia="宋体" w:cs="宋体"/>
          <w:sz w:val="24"/>
          <w:szCs w:val="24"/>
          <w:highlight w:val="none"/>
          <w:lang w:bidi="zh-CN"/>
        </w:rPr>
        <w:t>社保缴费证明。（注：应逐页加盖公章。）</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5B84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4D206A6">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7D3BA28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2AC2593">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5442A802">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6C0884F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学历</w:t>
            </w:r>
          </w:p>
        </w:tc>
        <w:tc>
          <w:tcPr>
            <w:tcW w:w="2385" w:type="dxa"/>
            <w:tcBorders>
              <w:top w:val="single" w:color="auto" w:sz="4" w:space="0"/>
              <w:left w:val="nil"/>
              <w:bottom w:val="single" w:color="auto" w:sz="4" w:space="0"/>
              <w:right w:val="single" w:color="auto" w:sz="4" w:space="0"/>
            </w:tcBorders>
            <w:noWrap w:val="0"/>
            <w:vAlign w:val="center"/>
          </w:tcPr>
          <w:p w14:paraId="64417D7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12ED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D5488F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7F7F2E5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086A5D49">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419345D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3C8A53F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拟在本工程</w:t>
            </w:r>
          </w:p>
          <w:p w14:paraId="5BBD353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任职</w:t>
            </w:r>
          </w:p>
        </w:tc>
        <w:tc>
          <w:tcPr>
            <w:tcW w:w="2385" w:type="dxa"/>
            <w:tcBorders>
              <w:top w:val="single" w:color="auto" w:sz="4" w:space="0"/>
              <w:left w:val="nil"/>
              <w:bottom w:val="single" w:color="auto" w:sz="4" w:space="0"/>
              <w:right w:val="single" w:color="auto" w:sz="4" w:space="0"/>
            </w:tcBorders>
            <w:noWrap w:val="0"/>
            <w:vAlign w:val="center"/>
          </w:tcPr>
          <w:p w14:paraId="276F39C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3DF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8512D7E">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5ED11B26">
            <w:pPr>
              <w:widowControl/>
              <w:kinsoku/>
              <w:wordWrap w:val="0"/>
              <w:overflowPunct/>
              <w:topLinePunct w:val="0"/>
              <w:bidi w:val="0"/>
              <w:spacing w:before="0" w:beforeLines="0" w:beforeAutospacing="0" w:after="0" w:afterLines="0" w:afterAutospacing="0" w:line="400" w:lineRule="exact"/>
              <w:ind w:left="0" w:right="0" w:firstLine="960" w:firstLineChars="400"/>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年毕业于                  学校            专业</w:t>
            </w:r>
          </w:p>
        </w:tc>
      </w:tr>
      <w:tr w14:paraId="741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13C5413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主要工作经历</w:t>
            </w:r>
          </w:p>
        </w:tc>
      </w:tr>
      <w:tr w14:paraId="0EBE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10D76B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27AC5449">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29013E5F">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担任职务</w:t>
            </w:r>
          </w:p>
        </w:tc>
        <w:tc>
          <w:tcPr>
            <w:tcW w:w="2385" w:type="dxa"/>
            <w:tcBorders>
              <w:top w:val="single" w:color="auto" w:sz="4" w:space="0"/>
              <w:left w:val="nil"/>
              <w:bottom w:val="single" w:color="auto" w:sz="4" w:space="0"/>
              <w:right w:val="single" w:color="auto" w:sz="4" w:space="0"/>
            </w:tcBorders>
            <w:noWrap w:val="0"/>
            <w:vAlign w:val="center"/>
          </w:tcPr>
          <w:p w14:paraId="0EB6CC62">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发包人及联系</w:t>
            </w:r>
          </w:p>
          <w:p w14:paraId="370DCD8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r>
      <w:tr w14:paraId="1FE9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0AA0EB8">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9BFF16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15D46FF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6F06E85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063D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9724AE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C24266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59330173">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53B56C2F">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3B55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42C92F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002A73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77AC8E5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03E0D12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7294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1FEC33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6ABF54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200F357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2AE956D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2BF7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7AF4ED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50781DE">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4A77BAD4">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60C1F89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bl>
    <w:p w14:paraId="42D71936">
      <w:pPr>
        <w:kinsoku/>
        <w:wordWrap w:val="0"/>
        <w:overflowPunct/>
        <w:topLinePunct w:val="0"/>
        <w:bidi w:val="0"/>
        <w:spacing w:line="480" w:lineRule="exact"/>
        <w:jc w:val="center"/>
        <w:textAlignment w:val="center"/>
        <w:rPr>
          <w:rFonts w:hint="eastAsia" w:ascii="宋体" w:hAnsi="宋体" w:eastAsia="宋体" w:cs="宋体"/>
          <w:b/>
          <w:bCs/>
          <w:sz w:val="28"/>
          <w:szCs w:val="28"/>
          <w:highlight w:val="none"/>
        </w:rPr>
      </w:pPr>
      <w:bookmarkStart w:id="703" w:name="_Toc14764"/>
      <w:bookmarkStart w:id="704" w:name="_Toc19060"/>
      <w:bookmarkStart w:id="705" w:name="_Toc13861"/>
      <w:bookmarkStart w:id="706" w:name="_Toc17594"/>
    </w:p>
    <w:p w14:paraId="1201DCE2">
      <w:pPr>
        <w:kinsoku/>
        <w:wordWrap w:val="0"/>
        <w:overflowPunct/>
        <w:topLinePunct w:val="0"/>
        <w:bidi w:val="0"/>
        <w:spacing w:line="480" w:lineRule="exact"/>
        <w:jc w:val="center"/>
        <w:textAlignment w:val="center"/>
        <w:rPr>
          <w:rFonts w:hint="eastAsia" w:ascii="宋体" w:hAnsi="宋体" w:eastAsia="宋体" w:cs="宋体"/>
          <w:b/>
          <w:bCs/>
          <w:sz w:val="28"/>
          <w:szCs w:val="28"/>
          <w:highlight w:val="none"/>
        </w:rPr>
      </w:pPr>
    </w:p>
    <w:p w14:paraId="036E0C6D">
      <w:pPr>
        <w:kinsoku/>
        <w:wordWrap w:val="0"/>
        <w:overflowPunct/>
        <w:topLinePunct w:val="0"/>
        <w:bidi w:val="0"/>
        <w:spacing w:line="480" w:lineRule="exact"/>
        <w:jc w:val="center"/>
        <w:textAlignment w:val="center"/>
        <w:rPr>
          <w:rFonts w:hint="eastAsia" w:ascii="宋体" w:hAnsi="宋体" w:eastAsia="宋体" w:cs="宋体"/>
          <w:b/>
          <w:bCs/>
          <w:sz w:val="28"/>
          <w:szCs w:val="28"/>
          <w:highlight w:val="none"/>
        </w:rPr>
      </w:pPr>
    </w:p>
    <w:p w14:paraId="1D0254F9">
      <w:pPr>
        <w:kinsoku/>
        <w:wordWrap w:val="0"/>
        <w:overflowPunct/>
        <w:topLinePunct w:val="0"/>
        <w:bidi w:val="0"/>
        <w:spacing w:line="480" w:lineRule="exact"/>
        <w:jc w:val="center"/>
        <w:textAlignment w:val="center"/>
        <w:rPr>
          <w:rFonts w:hint="eastAsia" w:ascii="宋体" w:hAnsi="宋体" w:eastAsia="宋体" w:cs="宋体"/>
          <w:b/>
          <w:bCs/>
          <w:sz w:val="28"/>
          <w:szCs w:val="28"/>
          <w:highlight w:val="none"/>
        </w:rPr>
      </w:pPr>
    </w:p>
    <w:p w14:paraId="1BEE14B5">
      <w:pPr>
        <w:kinsoku/>
        <w:wordWrap w:val="0"/>
        <w:overflowPunct/>
        <w:topLinePunct w:val="0"/>
        <w:bidi w:val="0"/>
        <w:spacing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八、资格审查资料</w:t>
      </w:r>
      <w:bookmarkEnd w:id="703"/>
      <w:bookmarkEnd w:id="704"/>
      <w:bookmarkEnd w:id="705"/>
      <w:bookmarkEnd w:id="706"/>
    </w:p>
    <w:p w14:paraId="161AA6CF">
      <w:pPr>
        <w:keepNext/>
        <w:keepLines/>
        <w:kinsoku/>
        <w:wordWrap w:val="0"/>
        <w:overflowPunct/>
        <w:topLinePunct w:val="0"/>
        <w:bidi w:val="0"/>
        <w:spacing w:before="280" w:beforeLines="0" w:after="290" w:afterLines="0" w:line="420" w:lineRule="exact"/>
        <w:ind w:firstLine="562" w:firstLineChars="200"/>
        <w:jc w:val="center"/>
        <w:outlineLvl w:val="3"/>
        <w:rPr>
          <w:rFonts w:ascii="宋体" w:hAnsi="宋体" w:eastAsia="宋体" w:cs="宋体"/>
          <w:b/>
          <w:bCs/>
          <w:sz w:val="28"/>
          <w:szCs w:val="28"/>
          <w:highlight w:val="none"/>
        </w:rPr>
      </w:pPr>
      <w:r>
        <w:rPr>
          <w:rFonts w:hint="eastAsia" w:ascii="宋体" w:hAnsi="宋体" w:eastAsia="宋体" w:cs="宋体"/>
          <w:b/>
          <w:bCs/>
          <w:sz w:val="28"/>
          <w:szCs w:val="28"/>
          <w:highlight w:val="none"/>
        </w:rPr>
        <w:t>（一）响应人基本情况表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201E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816298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0DDC31F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5F7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FE7B2B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4ED7B92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B9C2AB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5C1ADB6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2B9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76DCC0D3">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3011061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3513BB2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A5FE71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42F8AE9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196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222763E8">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78B3CED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033F7EC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123B367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77F774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2FA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F8B583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2D85B9E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010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6235DA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C78D65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7ADF2FF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274AA24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12A8D83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B3BC9A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6126810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473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22C4FA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1068" w:type="dxa"/>
            <w:tcBorders>
              <w:top w:val="single" w:color="auto" w:sz="4" w:space="0"/>
              <w:left w:val="nil"/>
              <w:bottom w:val="single" w:color="auto" w:sz="4" w:space="0"/>
              <w:right w:val="single" w:color="auto" w:sz="4" w:space="0"/>
            </w:tcBorders>
            <w:noWrap w:val="0"/>
            <w:vAlign w:val="center"/>
          </w:tcPr>
          <w:p w14:paraId="168ECD4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54A0A32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465A79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120630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0D4480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604B08F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756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AF8862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2156E2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4E83F0F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员工总人数：</w:t>
            </w:r>
          </w:p>
        </w:tc>
      </w:tr>
      <w:tr w14:paraId="57F6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004E94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企业资质</w:t>
            </w:r>
          </w:p>
          <w:p w14:paraId="100B29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58E6A23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31D81D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37F0E7F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66AD995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91A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025190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167256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79887A5">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124F35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AB7428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7D5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1A8C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6729A69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560F04D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17E9030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406E20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CDD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A3E028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13CCB60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39EF1B6">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A2C52F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2E4FF1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419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4CA3CB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50BD52C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FF96A32">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34DB343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3567710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70F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C75FD0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34B468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CB3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E9765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04E5CF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40EA3D9E">
      <w:pPr>
        <w:kinsoku/>
        <w:wordWrap w:val="0"/>
        <w:overflowPunct/>
        <w:topLinePunct w:val="0"/>
        <w:bidi w:val="0"/>
        <w:spacing w:line="380" w:lineRule="exact"/>
        <w:rPr>
          <w:rFonts w:ascii="宋体" w:hAnsi="宋体" w:eastAsia="宋体" w:cs="宋体"/>
          <w:sz w:val="24"/>
          <w:szCs w:val="24"/>
          <w:highlight w:val="none"/>
        </w:rPr>
      </w:pPr>
      <w:r>
        <w:rPr>
          <w:rFonts w:hint="eastAsia" w:ascii="宋体" w:hAnsi="宋体" w:eastAsia="宋体" w:cs="宋体"/>
          <w:sz w:val="24"/>
          <w:szCs w:val="24"/>
          <w:highlight w:val="none"/>
        </w:rPr>
        <w:t>备注：本表后应附企业法人营业执照、资质证书、安全生产许可证等材料的</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w:t>
      </w:r>
    </w:p>
    <w:p w14:paraId="07313854">
      <w:pPr>
        <w:kinsoku/>
        <w:wordWrap w:val="0"/>
        <w:overflowPunct/>
        <w:topLinePunct w:val="0"/>
        <w:bidi w:val="0"/>
        <w:jc w:val="center"/>
        <w:rPr>
          <w:rFonts w:ascii="宋体" w:hAnsi="宋体" w:eastAsia="宋体"/>
          <w:b/>
          <w:sz w:val="28"/>
          <w:szCs w:val="28"/>
          <w:highlight w:val="none"/>
        </w:rPr>
      </w:pPr>
      <w:r>
        <w:rPr>
          <w:rFonts w:hint="eastAsia" w:ascii="宋体" w:hAnsi="宋体" w:eastAsia="宋体"/>
          <w:sz w:val="28"/>
          <w:szCs w:val="28"/>
          <w:highlight w:val="none"/>
        </w:rPr>
        <w:br w:type="page"/>
      </w:r>
      <w:r>
        <w:rPr>
          <w:rFonts w:hint="eastAsia" w:ascii="宋体" w:hAnsi="宋体" w:eastAsia="宋体"/>
          <w:b/>
          <w:sz w:val="28"/>
          <w:szCs w:val="28"/>
          <w:highlight w:val="none"/>
        </w:rPr>
        <w:t>（二）近年完成的类似项目情况表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7D0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EC4BC1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5A32B1F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087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729667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4C15678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99A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6785A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531E81C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0C29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61B312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0B13BBD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477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926EA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发包人电话</w:t>
            </w:r>
          </w:p>
        </w:tc>
        <w:tc>
          <w:tcPr>
            <w:tcW w:w="6077" w:type="dxa"/>
            <w:tcBorders>
              <w:top w:val="single" w:color="auto" w:sz="4" w:space="0"/>
              <w:left w:val="nil"/>
              <w:bottom w:val="single" w:color="auto" w:sz="4" w:space="0"/>
              <w:right w:val="single" w:color="auto" w:sz="4" w:space="0"/>
            </w:tcBorders>
            <w:noWrap w:val="0"/>
            <w:vAlign w:val="center"/>
          </w:tcPr>
          <w:p w14:paraId="520D5A4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1EF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E27FBB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146AADF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A3B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5B03F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78CC001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70F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81BD43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9BA5F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6D7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B63571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3BBDE3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62E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C5F0EC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01F8E3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02B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22BF59A">
            <w:pPr>
              <w:widowControl/>
              <w:kinsoku/>
              <w:wordWrap w:val="0"/>
              <w:overflowPunct/>
              <w:topLinePunct w:val="0"/>
              <w:bidi w:val="0"/>
              <w:spacing w:before="0" w:beforeLines="0" w:beforeAutospacing="0" w:after="0" w:afterLines="0" w:afterAutospacing="0"/>
              <w:ind w:left="0" w:right="0"/>
              <w:jc w:val="center"/>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项目经理</w:t>
            </w:r>
          </w:p>
        </w:tc>
        <w:tc>
          <w:tcPr>
            <w:tcW w:w="6077" w:type="dxa"/>
            <w:tcBorders>
              <w:top w:val="single" w:color="auto" w:sz="4" w:space="0"/>
              <w:left w:val="nil"/>
              <w:bottom w:val="single" w:color="auto" w:sz="4" w:space="0"/>
              <w:right w:val="single" w:color="auto" w:sz="4" w:space="0"/>
            </w:tcBorders>
            <w:noWrap w:val="0"/>
            <w:vAlign w:val="center"/>
          </w:tcPr>
          <w:p w14:paraId="02F4EDD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9CD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04CCCE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1FCF742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5B1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349AA0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355D93D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205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DD359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47ADB54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6AF715D8">
      <w:pPr>
        <w:kinsoku/>
        <w:wordWrap w:val="0"/>
        <w:overflowPunct/>
        <w:topLinePunct w:val="0"/>
        <w:bidi w:val="0"/>
        <w:spacing w:line="380" w:lineRule="exact"/>
        <w:ind w:left="720" w:hanging="720" w:hangingChars="300"/>
        <w:rPr>
          <w:rFonts w:ascii="宋体" w:hAnsi="宋体" w:eastAsia="宋体" w:cs="宋体"/>
          <w:sz w:val="24"/>
          <w:szCs w:val="24"/>
          <w:highlight w:val="none"/>
        </w:rPr>
      </w:pPr>
      <w:r>
        <w:rPr>
          <w:rFonts w:hint="eastAsia" w:ascii="宋体" w:hAnsi="宋体" w:eastAsia="宋体" w:cs="宋体"/>
          <w:sz w:val="24"/>
          <w:szCs w:val="24"/>
          <w:highlight w:val="none"/>
        </w:rPr>
        <w:t>备注：本表后附中标（成交）通知书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合同协议书的</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扫描件，具体年份要求见响应人须知前附表。每张表格只填写一个项目，并标明序号。</w:t>
      </w:r>
    </w:p>
    <w:p w14:paraId="4203AD50">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73ADD0A0">
      <w:pPr>
        <w:keepNext/>
        <w:keepLines/>
        <w:kinsoku/>
        <w:wordWrap w:val="0"/>
        <w:overflowPunct/>
        <w:topLinePunct w:val="0"/>
        <w:bidi w:val="0"/>
        <w:spacing w:before="280" w:beforeLines="0" w:after="290" w:afterLines="0" w:line="420" w:lineRule="exact"/>
        <w:jc w:val="center"/>
        <w:outlineLvl w:val="3"/>
        <w:rPr>
          <w:rFonts w:ascii="宋体" w:hAnsi="宋体" w:eastAsia="宋体" w:cs="宋体"/>
          <w:b/>
          <w:bCs/>
          <w:sz w:val="28"/>
          <w:szCs w:val="28"/>
          <w:highlight w:val="none"/>
        </w:rPr>
      </w:pPr>
      <w:r>
        <w:rPr>
          <w:rFonts w:hint="eastAsia" w:ascii="宋体" w:hAnsi="宋体" w:eastAsia="宋体" w:cs="宋体"/>
          <w:b/>
          <w:bCs/>
          <w:sz w:val="28"/>
          <w:szCs w:val="28"/>
          <w:highlight w:val="none"/>
        </w:rPr>
        <w:t>（三）正在施工的和新承接的项目情况表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6718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26344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159B02A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586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0D69D7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0DA871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382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1702BA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2D7BA0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06F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ED903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40DD9D2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A9D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BAE2C4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42FD505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3E6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BA2527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3AA7A90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9D6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4AE065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3A77B5E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508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A116B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749F96C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38F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DFB0D8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35E8E32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B70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4B5D91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05FE768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800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941FA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6373272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55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BB13C6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095BA5B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0944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22A9D5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2642BB6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CA0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CC87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5DDAB1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6DB10E2C">
      <w:pPr>
        <w:kinsoku/>
        <w:wordWrap w:val="0"/>
        <w:overflowPunct/>
        <w:topLinePunct w:val="0"/>
        <w:bidi w:val="0"/>
        <w:spacing w:line="380" w:lineRule="exact"/>
        <w:rPr>
          <w:rFonts w:ascii="宋体" w:hAnsi="宋体" w:eastAsia="宋体" w:cs="宋体"/>
          <w:sz w:val="24"/>
          <w:szCs w:val="24"/>
          <w:highlight w:val="none"/>
        </w:rPr>
      </w:pPr>
      <w:r>
        <w:rPr>
          <w:rFonts w:hint="eastAsia" w:ascii="宋体" w:hAnsi="宋体" w:eastAsia="宋体" w:cs="宋体"/>
          <w:sz w:val="24"/>
          <w:szCs w:val="24"/>
          <w:highlight w:val="none"/>
        </w:rPr>
        <w:t>备注：本表后附中标（成交）通知书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合同协议书</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扫描件。每张表格只填写一个项目，并标明序号。</w:t>
      </w:r>
    </w:p>
    <w:p w14:paraId="42077B01">
      <w:pPr>
        <w:kinsoku/>
        <w:wordWrap w:val="0"/>
        <w:overflowPunct/>
        <w:topLinePunct w:val="0"/>
        <w:bidi w:val="0"/>
        <w:rPr>
          <w:rFonts w:ascii="宋体" w:hAnsi="宋体" w:eastAsia="宋体"/>
          <w:sz w:val="24"/>
          <w:szCs w:val="24"/>
          <w:highlight w:val="none"/>
        </w:rPr>
      </w:pPr>
      <w:r>
        <w:rPr>
          <w:rFonts w:hint="eastAsia" w:ascii="宋体" w:hAnsi="宋体" w:eastAsia="宋体"/>
          <w:sz w:val="24"/>
          <w:szCs w:val="24"/>
          <w:highlight w:val="none"/>
        </w:rPr>
        <w:t xml:space="preserve"> </w:t>
      </w:r>
    </w:p>
    <w:p w14:paraId="3129A086">
      <w:pPr>
        <w:kinsoku/>
        <w:wordWrap w:val="0"/>
        <w:overflowPunct/>
        <w:topLinePunct w:val="0"/>
        <w:bidi w:val="0"/>
        <w:rPr>
          <w:rFonts w:ascii="宋体" w:hAnsi="宋体" w:eastAsia="宋体"/>
          <w:sz w:val="28"/>
          <w:szCs w:val="28"/>
          <w:highlight w:val="none"/>
        </w:rPr>
      </w:pPr>
      <w:r>
        <w:rPr>
          <w:rFonts w:ascii="宋体" w:hAnsi="宋体" w:eastAsia="宋体"/>
          <w:sz w:val="28"/>
          <w:szCs w:val="28"/>
          <w:highlight w:val="none"/>
        </w:rPr>
        <w:br w:type="page"/>
      </w:r>
    </w:p>
    <w:p w14:paraId="15B3441A">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（四）</w:t>
      </w:r>
      <w:r>
        <w:rPr>
          <w:rFonts w:hint="eastAsia" w:ascii="宋体" w:hAnsi="宋体" w:eastAsia="宋体" w:cs="宋体"/>
          <w:b/>
          <w:bCs/>
          <w:sz w:val="28"/>
          <w:szCs w:val="28"/>
          <w:highlight w:val="none"/>
        </w:rPr>
        <w:t>近年发生的诉讼和仲裁情况（20</w:t>
      </w:r>
      <w:r>
        <w:rPr>
          <w:rFonts w:hint="eastAsia" w:ascii="宋体" w:hAnsi="宋体" w:eastAsia="宋体" w:cs="宋体"/>
          <w:b/>
          <w:bCs/>
          <w:sz w:val="28"/>
          <w:szCs w:val="28"/>
          <w:highlight w:val="none"/>
          <w:lang w:val="en-US" w:eastAsia="zh-CN"/>
        </w:rPr>
        <w:t>23</w:t>
      </w:r>
      <w:r>
        <w:rPr>
          <w:rFonts w:hint="eastAsia" w:ascii="宋体" w:hAnsi="宋体" w:eastAsia="宋体" w:cs="宋体"/>
          <w:b/>
          <w:bCs/>
          <w:sz w:val="28"/>
          <w:szCs w:val="28"/>
          <w:highlight w:val="none"/>
        </w:rPr>
        <w:t>年1月 1日至今）</w:t>
      </w:r>
    </w:p>
    <w:p w14:paraId="0224441F">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说明：近年发生的诉讼和仲裁情况仅限于响应人败诉的，且与履行承包合同有关的案件，不包括调解结案以及未裁决的仲裁或未终审判决的诉讼。</w:t>
      </w:r>
    </w:p>
    <w:p w14:paraId="3B900558">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cs="宋体"/>
          <w:b/>
          <w:bCs/>
          <w:sz w:val="28"/>
          <w:szCs w:val="28"/>
          <w:highlight w:val="none"/>
          <w:lang w:eastAsia="zh-CN"/>
        </w:rPr>
      </w:pPr>
    </w:p>
    <w:p w14:paraId="609DB5BC">
      <w:pPr>
        <w:keepNext w:val="0"/>
        <w:keepLines w:val="0"/>
        <w:pageBreakBefore w:val="0"/>
        <w:widowControl/>
        <w:numPr>
          <w:ilvl w:val="0"/>
          <w:numId w:val="0"/>
        </w:numPr>
        <w:kinsoku/>
        <w:wordWrap w:val="0"/>
        <w:overflowPunct/>
        <w:topLinePunct w:val="0"/>
        <w:autoSpaceDE/>
        <w:autoSpaceDN/>
        <w:bidi w:val="0"/>
        <w:adjustRightInd/>
        <w:snapToGrid/>
        <w:ind w:firstLine="560" w:firstLineChars="200"/>
        <w:jc w:val="center"/>
        <w:textAlignment w:val="auto"/>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无此情况可不提供</w:t>
      </w:r>
    </w:p>
    <w:p w14:paraId="01445C36">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cs="宋体"/>
          <w:b/>
          <w:bCs/>
          <w:sz w:val="28"/>
          <w:szCs w:val="28"/>
          <w:highlight w:val="none"/>
          <w:lang w:val="en-US" w:eastAsia="zh-CN"/>
        </w:rPr>
      </w:pPr>
    </w:p>
    <w:p w14:paraId="57EFDABF">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格式自拟</w:t>
      </w:r>
    </w:p>
    <w:p w14:paraId="4F8BE84A">
      <w:pPr>
        <w:pStyle w:val="5"/>
        <w:kinsoku/>
        <w:wordWrap w:val="0"/>
        <w:overflowPunct/>
        <w:topLinePunct w:val="0"/>
        <w:bidi w:val="0"/>
        <w:rPr>
          <w:rFonts w:hint="eastAsia" w:ascii="宋体" w:hAnsi="宋体" w:eastAsia="宋体" w:cs="宋体"/>
          <w:b/>
          <w:bCs/>
          <w:sz w:val="28"/>
          <w:szCs w:val="28"/>
          <w:highlight w:val="none"/>
        </w:rPr>
      </w:pPr>
    </w:p>
    <w:p w14:paraId="6E806F34">
      <w:pPr>
        <w:pStyle w:val="6"/>
        <w:kinsoku/>
        <w:wordWrap w:val="0"/>
        <w:overflowPunct/>
        <w:topLinePunct w:val="0"/>
        <w:bidi w:val="0"/>
        <w:rPr>
          <w:rFonts w:hint="eastAsia" w:ascii="宋体" w:hAnsi="宋体" w:eastAsia="宋体" w:cs="宋体"/>
          <w:b/>
          <w:bCs/>
          <w:sz w:val="28"/>
          <w:szCs w:val="28"/>
          <w:highlight w:val="none"/>
        </w:rPr>
      </w:pPr>
    </w:p>
    <w:p w14:paraId="014F9584">
      <w:pPr>
        <w:pStyle w:val="5"/>
        <w:kinsoku/>
        <w:wordWrap w:val="0"/>
        <w:overflowPunct/>
        <w:topLinePunct w:val="0"/>
        <w:bidi w:val="0"/>
        <w:rPr>
          <w:rFonts w:hint="eastAsia" w:ascii="宋体" w:hAnsi="宋体" w:eastAsia="宋体" w:cs="宋体"/>
          <w:b/>
          <w:bCs/>
          <w:sz w:val="28"/>
          <w:szCs w:val="28"/>
          <w:highlight w:val="none"/>
        </w:rPr>
      </w:pPr>
    </w:p>
    <w:p w14:paraId="05759D35">
      <w:pPr>
        <w:pStyle w:val="6"/>
        <w:kinsoku/>
        <w:wordWrap w:val="0"/>
        <w:overflowPunct/>
        <w:topLinePunct w:val="0"/>
        <w:bidi w:val="0"/>
        <w:rPr>
          <w:rFonts w:hint="eastAsia" w:ascii="宋体" w:hAnsi="宋体" w:eastAsia="宋体" w:cs="宋体"/>
          <w:b/>
          <w:bCs/>
          <w:sz w:val="28"/>
          <w:szCs w:val="28"/>
          <w:highlight w:val="none"/>
        </w:rPr>
      </w:pPr>
    </w:p>
    <w:p w14:paraId="34D0320E">
      <w:pPr>
        <w:pStyle w:val="5"/>
        <w:kinsoku/>
        <w:wordWrap w:val="0"/>
        <w:overflowPunct/>
        <w:topLinePunct w:val="0"/>
        <w:bidi w:val="0"/>
        <w:rPr>
          <w:rFonts w:hint="eastAsia" w:ascii="宋体" w:hAnsi="宋体" w:eastAsia="宋体" w:cs="宋体"/>
          <w:b/>
          <w:bCs/>
          <w:sz w:val="28"/>
          <w:szCs w:val="28"/>
          <w:highlight w:val="none"/>
        </w:rPr>
      </w:pPr>
    </w:p>
    <w:p w14:paraId="174272DA">
      <w:pPr>
        <w:pStyle w:val="6"/>
        <w:kinsoku/>
        <w:wordWrap w:val="0"/>
        <w:overflowPunct/>
        <w:topLinePunct w:val="0"/>
        <w:bidi w:val="0"/>
        <w:rPr>
          <w:rFonts w:hint="eastAsia" w:ascii="宋体" w:hAnsi="宋体" w:eastAsia="宋体" w:cs="宋体"/>
          <w:b/>
          <w:bCs/>
          <w:sz w:val="28"/>
          <w:szCs w:val="28"/>
          <w:highlight w:val="none"/>
        </w:rPr>
      </w:pPr>
    </w:p>
    <w:p w14:paraId="5C88CA2B">
      <w:pPr>
        <w:pStyle w:val="5"/>
        <w:kinsoku/>
        <w:wordWrap w:val="0"/>
        <w:overflowPunct/>
        <w:topLinePunct w:val="0"/>
        <w:bidi w:val="0"/>
        <w:rPr>
          <w:rFonts w:hint="eastAsia" w:ascii="宋体" w:hAnsi="宋体" w:eastAsia="宋体" w:cs="宋体"/>
          <w:b/>
          <w:bCs/>
          <w:sz w:val="28"/>
          <w:szCs w:val="28"/>
          <w:highlight w:val="none"/>
        </w:rPr>
      </w:pPr>
    </w:p>
    <w:p w14:paraId="16E2B38E">
      <w:pPr>
        <w:pStyle w:val="6"/>
        <w:kinsoku/>
        <w:wordWrap w:val="0"/>
        <w:overflowPunct/>
        <w:topLinePunct w:val="0"/>
        <w:bidi w:val="0"/>
        <w:rPr>
          <w:rFonts w:hint="eastAsia" w:ascii="宋体" w:hAnsi="宋体" w:eastAsia="宋体" w:cs="宋体"/>
          <w:b/>
          <w:bCs/>
          <w:sz w:val="28"/>
          <w:szCs w:val="28"/>
          <w:highlight w:val="none"/>
        </w:rPr>
      </w:pPr>
    </w:p>
    <w:p w14:paraId="17FD6BF7">
      <w:pPr>
        <w:pStyle w:val="5"/>
        <w:kinsoku/>
        <w:wordWrap w:val="0"/>
        <w:overflowPunct/>
        <w:topLinePunct w:val="0"/>
        <w:bidi w:val="0"/>
        <w:rPr>
          <w:rFonts w:hint="eastAsia" w:ascii="宋体" w:hAnsi="宋体" w:eastAsia="宋体" w:cs="宋体"/>
          <w:b/>
          <w:bCs/>
          <w:sz w:val="28"/>
          <w:szCs w:val="28"/>
          <w:highlight w:val="none"/>
        </w:rPr>
      </w:pPr>
    </w:p>
    <w:p w14:paraId="32C00EC3">
      <w:pPr>
        <w:pStyle w:val="6"/>
        <w:kinsoku/>
        <w:wordWrap w:val="0"/>
        <w:overflowPunct/>
        <w:topLinePunct w:val="0"/>
        <w:bidi w:val="0"/>
        <w:rPr>
          <w:rFonts w:hint="eastAsia" w:ascii="宋体" w:hAnsi="宋体" w:eastAsia="宋体" w:cs="宋体"/>
          <w:b/>
          <w:bCs/>
          <w:sz w:val="28"/>
          <w:szCs w:val="28"/>
          <w:highlight w:val="none"/>
        </w:rPr>
      </w:pPr>
    </w:p>
    <w:p w14:paraId="4F6FF41D">
      <w:pPr>
        <w:pStyle w:val="5"/>
        <w:kinsoku/>
        <w:wordWrap w:val="0"/>
        <w:overflowPunct/>
        <w:topLinePunct w:val="0"/>
        <w:bidi w:val="0"/>
        <w:rPr>
          <w:rFonts w:hint="eastAsia" w:ascii="宋体" w:hAnsi="宋体" w:eastAsia="宋体" w:cs="宋体"/>
          <w:b/>
          <w:bCs/>
          <w:sz w:val="28"/>
          <w:szCs w:val="28"/>
          <w:highlight w:val="none"/>
        </w:rPr>
      </w:pPr>
    </w:p>
    <w:p w14:paraId="63505E1B">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1EC3AD2F">
      <w:pPr>
        <w:numPr>
          <w:ilvl w:val="0"/>
          <w:numId w:val="0"/>
        </w:numPr>
        <w:kinsoku/>
        <w:wordWrap w:val="0"/>
        <w:overflowPunct/>
        <w:topLinePunct w:val="0"/>
        <w:bidi w:val="0"/>
        <w:jc w:val="both"/>
        <w:rPr>
          <w:rFonts w:hint="eastAsia" w:ascii="宋体" w:hAnsi="宋体" w:cs="宋体"/>
          <w:b/>
          <w:bCs/>
          <w:sz w:val="28"/>
          <w:szCs w:val="28"/>
          <w:highlight w:val="none"/>
          <w:lang w:eastAsia="zh-CN"/>
        </w:rPr>
      </w:pPr>
    </w:p>
    <w:p w14:paraId="71CFA24A">
      <w:pPr>
        <w:numPr>
          <w:ilvl w:val="0"/>
          <w:numId w:val="0"/>
        </w:numPr>
        <w:kinsoku/>
        <w:wordWrap w:val="0"/>
        <w:overflowPunct/>
        <w:topLinePunct w:val="0"/>
        <w:bidi w:val="0"/>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五</w:t>
      </w:r>
      <w:r>
        <w:rPr>
          <w:rFonts w:hint="eastAsia" w:ascii="宋体" w:hAnsi="宋体" w:cs="宋体"/>
          <w:b/>
          <w:bCs/>
          <w:sz w:val="28"/>
          <w:szCs w:val="28"/>
          <w:highlight w:val="none"/>
          <w:lang w:eastAsia="zh-CN"/>
        </w:rPr>
        <w:t>）</w:t>
      </w:r>
      <w:r>
        <w:rPr>
          <w:rFonts w:hint="eastAsia" w:ascii="宋体" w:hAnsi="宋体" w:eastAsia="宋体" w:cs="宋体"/>
          <w:b/>
          <w:bCs/>
          <w:sz w:val="28"/>
          <w:szCs w:val="28"/>
          <w:highlight w:val="none"/>
        </w:rPr>
        <w:t>其他资格审查资料</w:t>
      </w:r>
    </w:p>
    <w:p w14:paraId="0A92C8B2">
      <w:pPr>
        <w:numPr>
          <w:ilvl w:val="0"/>
          <w:numId w:val="0"/>
        </w:numPr>
        <w:kinsoku/>
        <w:wordWrap w:val="0"/>
        <w:overflowPunct/>
        <w:topLinePunct w:val="0"/>
        <w:bidi w:val="0"/>
        <w:jc w:val="center"/>
        <w:rPr>
          <w:rFonts w:hint="eastAsia" w:ascii="宋体" w:hAnsi="宋体"/>
          <w:bCs/>
          <w:sz w:val="24"/>
          <w:szCs w:val="24"/>
          <w:highlight w:val="none"/>
          <w:lang w:eastAsia="zh-CN"/>
        </w:rPr>
      </w:pPr>
    </w:p>
    <w:p w14:paraId="35F71023">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格式自拟</w:t>
      </w:r>
    </w:p>
    <w:p w14:paraId="1DDD7E7A">
      <w:pPr>
        <w:kinsoku/>
        <w:wordWrap w:val="0"/>
        <w:overflowPunct/>
        <w:topLinePunct w:val="0"/>
        <w:bidi w:val="0"/>
        <w:spacing w:line="480" w:lineRule="exact"/>
        <w:jc w:val="center"/>
        <w:textAlignment w:val="center"/>
        <w:rPr>
          <w:rFonts w:ascii="宋体" w:hAnsi="宋体" w:eastAsia="宋体"/>
          <w:sz w:val="28"/>
          <w:szCs w:val="28"/>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九、其他资料</w:t>
      </w:r>
    </w:p>
    <w:p w14:paraId="05DEE738">
      <w:pPr>
        <w:kinsoku/>
        <w:wordWrap w:val="0"/>
        <w:overflowPunct/>
        <w:topLinePunct w:val="0"/>
        <w:bidi w:val="0"/>
        <w:spacing w:line="480" w:lineRule="auto"/>
        <w:jc w:val="center"/>
        <w:outlineLvl w:val="0"/>
        <w:rPr>
          <w:rFonts w:ascii="宋体" w:hAnsi="宋体" w:eastAsia="宋体"/>
          <w:bCs/>
          <w:sz w:val="24"/>
          <w:szCs w:val="24"/>
          <w:highlight w:val="none"/>
        </w:rPr>
      </w:pPr>
      <w:bookmarkStart w:id="707" w:name="_Toc18020"/>
      <w:bookmarkStart w:id="708" w:name="_Toc23813"/>
      <w:bookmarkStart w:id="709" w:name="_Toc3760"/>
      <w:bookmarkStart w:id="710" w:name="_Toc12893"/>
      <w:bookmarkStart w:id="711" w:name="_Toc2121"/>
      <w:bookmarkStart w:id="712" w:name="_Toc24528"/>
      <w:r>
        <w:rPr>
          <w:rFonts w:hint="eastAsia" w:ascii="宋体" w:hAnsi="宋体" w:eastAsia="宋体"/>
          <w:bCs/>
          <w:sz w:val="28"/>
          <w:szCs w:val="28"/>
          <w:highlight w:val="none"/>
        </w:rPr>
        <w:t>（</w:t>
      </w:r>
      <w:r>
        <w:rPr>
          <w:rFonts w:hint="eastAsia" w:ascii="宋体" w:hAnsi="宋体" w:cs="宋体"/>
          <w:sz w:val="24"/>
          <w:highlight w:val="none"/>
        </w:rPr>
        <w:t>磋商文件及评分办法中要求的其他资料或投标人认为其他需提供的资料</w:t>
      </w:r>
      <w:r>
        <w:rPr>
          <w:rFonts w:hint="eastAsia" w:ascii="宋体" w:hAnsi="宋体" w:eastAsia="宋体"/>
          <w:bCs/>
          <w:sz w:val="24"/>
          <w:szCs w:val="24"/>
          <w:highlight w:val="none"/>
        </w:rPr>
        <w:t>）</w:t>
      </w:r>
      <w:bookmarkEnd w:id="707"/>
      <w:bookmarkEnd w:id="708"/>
      <w:bookmarkEnd w:id="709"/>
      <w:bookmarkEnd w:id="710"/>
      <w:bookmarkEnd w:id="711"/>
      <w:bookmarkEnd w:id="712"/>
    </w:p>
    <w:p w14:paraId="7B6FEA83">
      <w:pPr>
        <w:kinsoku/>
        <w:wordWrap w:val="0"/>
        <w:overflowPunct/>
        <w:topLinePunct w:val="0"/>
        <w:bidi w:val="0"/>
        <w:jc w:val="center"/>
        <w:rPr>
          <w:rFonts w:ascii="宋体" w:hAnsi="宋体" w:eastAsia="宋体"/>
          <w:sz w:val="28"/>
          <w:szCs w:val="28"/>
          <w:highlight w:val="none"/>
        </w:rPr>
      </w:pPr>
      <w:r>
        <w:rPr>
          <w:rFonts w:hint="eastAsia" w:ascii="宋体" w:hAnsi="宋体"/>
          <w:bCs/>
          <w:sz w:val="24"/>
          <w:szCs w:val="24"/>
          <w:highlight w:val="none"/>
          <w:lang w:eastAsia="zh-CN"/>
        </w:rPr>
        <w:t>格式自拟并逐页签章</w:t>
      </w:r>
    </w:p>
    <w:p w14:paraId="14B1CCB5">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p>
    <w:p w14:paraId="61C361FA">
      <w:pPr>
        <w:kinsoku/>
        <w:wordWrap w:val="0"/>
        <w:overflowPunct/>
        <w:topLinePunct w:val="0"/>
        <w:bidi w:val="0"/>
        <w:rPr>
          <w:rFonts w:ascii="宋体" w:hAnsi="宋体" w:eastAsia="宋体"/>
          <w:sz w:val="28"/>
          <w:szCs w:val="28"/>
          <w:highlight w:val="none"/>
        </w:rPr>
      </w:pPr>
    </w:p>
    <w:p w14:paraId="539A977A">
      <w:pPr>
        <w:kinsoku/>
        <w:wordWrap w:val="0"/>
        <w:overflowPunct/>
        <w:topLinePunct w:val="0"/>
        <w:bidi w:val="0"/>
        <w:rPr>
          <w:rFonts w:ascii="宋体" w:hAnsi="宋体" w:eastAsia="宋体"/>
          <w:sz w:val="28"/>
          <w:szCs w:val="28"/>
          <w:highlight w:val="none"/>
        </w:rPr>
      </w:pPr>
    </w:p>
    <w:p w14:paraId="234FA1B1">
      <w:pPr>
        <w:kinsoku/>
        <w:wordWrap w:val="0"/>
        <w:overflowPunct/>
        <w:topLinePunct w:val="0"/>
        <w:bidi w:val="0"/>
        <w:rPr>
          <w:rFonts w:ascii="宋体" w:hAnsi="宋体" w:eastAsia="宋体"/>
          <w:sz w:val="28"/>
          <w:szCs w:val="28"/>
          <w:highlight w:val="none"/>
        </w:rPr>
      </w:pPr>
    </w:p>
    <w:p w14:paraId="731DA625">
      <w:pPr>
        <w:kinsoku/>
        <w:wordWrap w:val="0"/>
        <w:overflowPunct/>
        <w:topLinePunct w:val="0"/>
        <w:bidi w:val="0"/>
        <w:spacing w:line="480" w:lineRule="exact"/>
        <w:textAlignment w:val="center"/>
        <w:rPr>
          <w:rFonts w:ascii="宋体" w:hAnsi="宋体" w:eastAsia="宋体" w:cs="宋体"/>
          <w:sz w:val="28"/>
          <w:szCs w:val="28"/>
          <w:highlight w:val="none"/>
        </w:rPr>
      </w:pPr>
    </w:p>
    <w:p w14:paraId="7F015530">
      <w:pPr>
        <w:kinsoku/>
        <w:wordWrap w:val="0"/>
        <w:overflowPunct/>
        <w:topLinePunct w:val="0"/>
        <w:bidi w:val="0"/>
        <w:rPr>
          <w:rFonts w:ascii="宋体" w:hAnsi="宋体" w:eastAsia="宋体"/>
          <w:sz w:val="28"/>
          <w:szCs w:val="28"/>
          <w:highlight w:val="none"/>
        </w:rPr>
      </w:pPr>
    </w:p>
    <w:p w14:paraId="1BB42CF8">
      <w:pPr>
        <w:kinsoku/>
        <w:wordWrap w:val="0"/>
        <w:overflowPunct/>
        <w:topLinePunct w:val="0"/>
        <w:bidi w:val="0"/>
        <w:spacing w:line="500" w:lineRule="exact"/>
        <w:rPr>
          <w:rFonts w:ascii="宋体" w:hAnsi="宋体" w:eastAsia="宋体"/>
          <w:sz w:val="28"/>
          <w:szCs w:val="28"/>
          <w:highlight w:val="none"/>
        </w:rPr>
      </w:pPr>
    </w:p>
    <w:p w14:paraId="4B17948C">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7C274EAB">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1D64C6CB">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63ED724">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264FC352">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DD7D22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4288A0D1">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0C5D975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A8B9229">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29AF2D6D">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1D55997C">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340F7E51">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482CC9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6D5C73B4">
      <w:pPr>
        <w:kinsoku/>
        <w:wordWrap w:val="0"/>
        <w:overflowPunct/>
        <w:topLinePunct w:val="0"/>
        <w:bidi w:val="0"/>
        <w:rPr>
          <w:rFonts w:hint="eastAsia"/>
          <w:color w:val="auto"/>
          <w:sz w:val="28"/>
          <w:szCs w:val="28"/>
          <w:highlight w:val="none"/>
        </w:rPr>
      </w:pPr>
    </w:p>
    <w:p w14:paraId="2DB23DEE">
      <w:pPr>
        <w:kinsoku/>
        <w:wordWrap w:val="0"/>
        <w:overflowPunct/>
        <w:topLinePunct w:val="0"/>
        <w:bidi w:val="0"/>
        <w:outlineLvl w:val="0"/>
        <w:rPr>
          <w:color w:val="auto"/>
          <w:sz w:val="28"/>
          <w:szCs w:val="28"/>
          <w:highlight w:val="none"/>
        </w:rPr>
      </w:pPr>
      <w:bookmarkStart w:id="713" w:name="_Toc5765"/>
      <w:bookmarkStart w:id="714" w:name="_Toc9456"/>
      <w:bookmarkStart w:id="715" w:name="_Toc7469"/>
      <w:r>
        <w:rPr>
          <w:rFonts w:hint="eastAsia"/>
          <w:color w:val="auto"/>
          <w:sz w:val="28"/>
          <w:szCs w:val="28"/>
          <w:highlight w:val="none"/>
        </w:rPr>
        <w:t>附件1</w:t>
      </w:r>
      <w:bookmarkEnd w:id="713"/>
      <w:bookmarkEnd w:id="714"/>
      <w:bookmarkEnd w:id="715"/>
    </w:p>
    <w:p w14:paraId="25BBEEF9">
      <w:pPr>
        <w:pStyle w:val="16"/>
        <w:kinsoku/>
        <w:wordWrap w:val="0"/>
        <w:overflowPunct/>
        <w:topLinePunct w:val="0"/>
        <w:bidi w:val="0"/>
        <w:ind w:firstLine="24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中小企业声明函（工程）</w:t>
      </w:r>
    </w:p>
    <w:p w14:paraId="05736EDD">
      <w:pPr>
        <w:pStyle w:val="16"/>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sz w:val="24"/>
          <w:szCs w:val="24"/>
          <w:highlight w:val="none"/>
          <w:u w:val="single"/>
        </w:rPr>
        <w:t>（单位名称）</w:t>
      </w:r>
      <w:r>
        <w:rPr>
          <w:rFonts w:hint="eastAsia" w:asciiTheme="minorEastAsia" w:hAnsiTheme="minorEastAsia" w:eastAsiaTheme="minorEastAsia"/>
          <w:sz w:val="24"/>
          <w:szCs w:val="24"/>
          <w:highlight w:val="none"/>
        </w:rPr>
        <w:t>的</w:t>
      </w:r>
      <w:r>
        <w:rPr>
          <w:rFonts w:hint="eastAsia" w:asciiTheme="minorEastAsia" w:hAnsiTheme="minorEastAsia" w:eastAsiaTheme="minorEastAsia"/>
          <w:sz w:val="24"/>
          <w:szCs w:val="24"/>
          <w:highlight w:val="none"/>
          <w:u w:val="single"/>
        </w:rPr>
        <w:t>（项目名称）</w:t>
      </w:r>
      <w:r>
        <w:rPr>
          <w:rFonts w:hint="eastAsia" w:asciiTheme="minorEastAsia" w:hAnsiTheme="minorEastAsia" w:eastAsiaTheme="minorEastAsia"/>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568B71F">
      <w:pPr>
        <w:pStyle w:val="16"/>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u w:val="single"/>
        </w:rPr>
        <w:t>（标的名称）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（采购文件中明确的所属行业）</w:t>
      </w:r>
      <w:r>
        <w:rPr>
          <w:rFonts w:hint="eastAsia" w:asciiTheme="minorEastAsia" w:hAnsiTheme="minorEastAsia" w:eastAsiaTheme="minorEastAsia"/>
          <w:sz w:val="24"/>
          <w:szCs w:val="24"/>
          <w:highlight w:val="none"/>
        </w:rPr>
        <w:t>；承建（承接）企业为</w:t>
      </w:r>
      <w:r>
        <w:rPr>
          <w:rFonts w:hint="eastAsia" w:asciiTheme="minorEastAsia" w:hAnsiTheme="minorEastAsia" w:eastAsiaTheme="minorEastAsia"/>
          <w:sz w:val="24"/>
          <w:szCs w:val="24"/>
          <w:highlight w:val="none"/>
          <w:u w:val="single"/>
        </w:rPr>
        <w:t>（企业名称）</w:t>
      </w:r>
      <w:r>
        <w:rPr>
          <w:rFonts w:hint="eastAsia" w:asciiTheme="minorEastAsia" w:hAnsiTheme="minorEastAsia" w:eastAsiaTheme="minorEastAsia"/>
          <w:sz w:val="24"/>
          <w:szCs w:val="24"/>
          <w:highlight w:val="none"/>
        </w:rPr>
        <w:t>，从业人员</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人，营业收入为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万元，资产总额为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万元，属于</w:t>
      </w:r>
      <w:r>
        <w:rPr>
          <w:rFonts w:hint="eastAsia" w:asciiTheme="minorEastAsia" w:hAnsiTheme="minorEastAsia" w:eastAsiaTheme="minorEastAsia"/>
          <w:sz w:val="24"/>
          <w:szCs w:val="24"/>
          <w:highlight w:val="none"/>
          <w:u w:val="single"/>
        </w:rPr>
        <w:t>（中型企业、小型企业、微型企业）</w:t>
      </w:r>
      <w:r>
        <w:rPr>
          <w:rFonts w:hint="eastAsia" w:asciiTheme="minorEastAsia" w:hAnsiTheme="minorEastAsia" w:eastAsiaTheme="minorEastAsia"/>
          <w:sz w:val="24"/>
          <w:szCs w:val="24"/>
          <w:highlight w:val="none"/>
        </w:rPr>
        <w:t>；</w:t>
      </w:r>
    </w:p>
    <w:p w14:paraId="0A0072E5">
      <w:pPr>
        <w:pStyle w:val="16"/>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u w:val="single"/>
        </w:rPr>
        <w:t>（标的名称）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（采购文件中明确的所属行业）</w:t>
      </w:r>
      <w:r>
        <w:rPr>
          <w:rFonts w:hint="eastAsia" w:asciiTheme="minorEastAsia" w:hAnsiTheme="minorEastAsia" w:eastAsiaTheme="minorEastAsia"/>
          <w:sz w:val="24"/>
          <w:szCs w:val="24"/>
          <w:highlight w:val="none"/>
        </w:rPr>
        <w:t>；承建（承接）企业为</w:t>
      </w:r>
      <w:r>
        <w:rPr>
          <w:rFonts w:hint="eastAsia" w:asciiTheme="minorEastAsia" w:hAnsiTheme="minorEastAsia" w:eastAsiaTheme="minorEastAsia"/>
          <w:sz w:val="24"/>
          <w:szCs w:val="24"/>
          <w:highlight w:val="none"/>
          <w:u w:val="single"/>
        </w:rPr>
        <w:t>（企业名称）</w:t>
      </w:r>
      <w:r>
        <w:rPr>
          <w:rFonts w:hint="eastAsia" w:asciiTheme="minorEastAsia" w:hAnsiTheme="minorEastAsia" w:eastAsiaTheme="minorEastAsia"/>
          <w:sz w:val="24"/>
          <w:szCs w:val="24"/>
          <w:highlight w:val="none"/>
        </w:rPr>
        <w:t>，从业人员</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人，营业收入为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万元，资产总额为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万元，属于</w:t>
      </w:r>
      <w:r>
        <w:rPr>
          <w:rFonts w:hint="eastAsia" w:asciiTheme="minorEastAsia" w:hAnsiTheme="minorEastAsia" w:eastAsiaTheme="minorEastAsia"/>
          <w:sz w:val="24"/>
          <w:szCs w:val="24"/>
          <w:highlight w:val="none"/>
          <w:u w:val="single"/>
        </w:rPr>
        <w:t>（中型企业、小型企业、微型企业）</w:t>
      </w:r>
      <w:r>
        <w:rPr>
          <w:rFonts w:hint="eastAsia" w:asciiTheme="minorEastAsia" w:hAnsiTheme="minorEastAsia" w:eastAsiaTheme="minorEastAsia"/>
          <w:sz w:val="24"/>
          <w:szCs w:val="24"/>
          <w:highlight w:val="none"/>
        </w:rPr>
        <w:t>；</w:t>
      </w:r>
    </w:p>
    <w:p w14:paraId="158720DA">
      <w:pPr>
        <w:pStyle w:val="16"/>
        <w:kinsoku/>
        <w:wordWrap w:val="0"/>
        <w:overflowPunct/>
        <w:topLinePunct w:val="0"/>
        <w:bidi w:val="0"/>
        <w:ind w:firstLine="84" w:firstLineChars="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p w14:paraId="5AC4922C">
      <w:pPr>
        <w:pStyle w:val="16"/>
        <w:kinsoku/>
        <w:wordWrap w:val="0"/>
        <w:overflowPunct/>
        <w:topLinePunct w:val="0"/>
        <w:bidi w:val="0"/>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以上企业，不属于大企业的分支机构，不存在控股股东为大企业的情形，也不存在与大企业的负责人为同一人的情形。</w:t>
      </w:r>
    </w:p>
    <w:p w14:paraId="0A5B04DA">
      <w:pPr>
        <w:pStyle w:val="16"/>
        <w:kinsoku/>
        <w:wordWrap w:val="0"/>
        <w:overflowPunct/>
        <w:topLinePunct w:val="0"/>
        <w:bidi w:val="0"/>
        <w:ind w:firstLine="24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本企业对上述声明内容的真实性负责。如有虚假，将依法承担相应责任。</w:t>
      </w:r>
    </w:p>
    <w:p w14:paraId="0F84D9ED">
      <w:pPr>
        <w:pStyle w:val="16"/>
        <w:kinsoku/>
        <w:wordWrap w:val="0"/>
        <w:overflowPunct/>
        <w:topLinePunct w:val="0"/>
        <w:bidi w:val="0"/>
        <w:ind w:firstLine="240"/>
        <w:rPr>
          <w:rFonts w:asciiTheme="minorEastAsia" w:hAnsiTheme="minorEastAsia" w:eastAsiaTheme="minorEastAsia"/>
          <w:sz w:val="24"/>
          <w:szCs w:val="24"/>
          <w:highlight w:val="none"/>
        </w:rPr>
      </w:pPr>
    </w:p>
    <w:p w14:paraId="151457CB">
      <w:pPr>
        <w:pStyle w:val="16"/>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人：（企业电子签章）</w:t>
      </w:r>
    </w:p>
    <w:p w14:paraId="5D44AD4F">
      <w:pPr>
        <w:pStyle w:val="16"/>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年  月  日</w:t>
      </w:r>
    </w:p>
    <w:p w14:paraId="32A54AC1">
      <w:pPr>
        <w:pStyle w:val="16"/>
        <w:kinsoku/>
        <w:wordWrap w:val="0"/>
        <w:overflowPunct/>
        <w:topLinePunct w:val="0"/>
        <w:bidi w:val="0"/>
        <w:ind w:firstLine="240"/>
        <w:rPr>
          <w:rFonts w:asciiTheme="minorEastAsia" w:hAnsiTheme="minorEastAsia" w:eastAsiaTheme="minorEastAsia"/>
          <w:sz w:val="24"/>
          <w:szCs w:val="24"/>
          <w:highlight w:val="none"/>
        </w:rPr>
      </w:pPr>
    </w:p>
    <w:p w14:paraId="7765389D">
      <w:pPr>
        <w:pStyle w:val="16"/>
        <w:kinsoku/>
        <w:wordWrap w:val="0"/>
        <w:overflowPunct/>
        <w:topLinePunct w:val="0"/>
        <w:bidi w:val="0"/>
        <w:ind w:firstLine="24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注：从业人员、营业收入、资产总额填报上一年度数据，无上一年度数据的新成立企业可不填报。</w:t>
      </w:r>
    </w:p>
    <w:p w14:paraId="60B40318">
      <w:pPr>
        <w:widowControl/>
        <w:kinsoku/>
        <w:wordWrap w:val="0"/>
        <w:overflowPunct/>
        <w:topLinePunct w:val="0"/>
        <w:bidi w:val="0"/>
        <w:jc w:val="center"/>
        <w:rPr>
          <w:rFonts w:cs="宋体" w:asciiTheme="minorEastAsia" w:hAnsiTheme="minorEastAsia" w:eastAsiaTheme="minorEastAsia"/>
          <w:b/>
          <w:sz w:val="24"/>
          <w:highlight w:val="none"/>
        </w:rPr>
      </w:pPr>
    </w:p>
    <w:p w14:paraId="1FFBCCDA">
      <w:pPr>
        <w:pageBreakBefore/>
        <w:kinsoku/>
        <w:wordWrap w:val="0"/>
        <w:overflowPunct/>
        <w:topLinePunct w:val="0"/>
        <w:bidi w:val="0"/>
        <w:outlineLvl w:val="0"/>
        <w:rPr>
          <w:color w:val="auto"/>
          <w:sz w:val="28"/>
          <w:szCs w:val="28"/>
          <w:highlight w:val="none"/>
        </w:rPr>
      </w:pPr>
      <w:bookmarkStart w:id="716" w:name="_Toc30743"/>
      <w:bookmarkStart w:id="717" w:name="_Toc15897"/>
      <w:bookmarkStart w:id="718" w:name="_Toc8277"/>
      <w:r>
        <w:rPr>
          <w:rFonts w:hint="eastAsia"/>
          <w:color w:val="auto"/>
          <w:sz w:val="28"/>
          <w:szCs w:val="28"/>
          <w:highlight w:val="none"/>
        </w:rPr>
        <w:t>附件2</w:t>
      </w:r>
      <w:bookmarkEnd w:id="716"/>
      <w:bookmarkEnd w:id="717"/>
      <w:bookmarkEnd w:id="718"/>
    </w:p>
    <w:p w14:paraId="7B3EB9E2">
      <w:pPr>
        <w:kinsoku/>
        <w:wordWrap w:val="0"/>
        <w:overflowPunct/>
        <w:topLinePunct w:val="0"/>
        <w:bidi w:val="0"/>
        <w:adjustRightInd w:val="0"/>
        <w:snapToGrid w:val="0"/>
        <w:ind w:firstLine="560" w:firstLineChars="200"/>
        <w:rPr>
          <w:color w:val="auto"/>
          <w:sz w:val="28"/>
          <w:szCs w:val="28"/>
          <w:highlight w:val="none"/>
        </w:rPr>
      </w:pPr>
    </w:p>
    <w:p w14:paraId="24BCACE2">
      <w:pPr>
        <w:pStyle w:val="3"/>
        <w:numPr>
          <w:ilvl w:val="1"/>
          <w:numId w:val="0"/>
        </w:numPr>
        <w:tabs>
          <w:tab w:val="left" w:pos="840"/>
        </w:tabs>
        <w:kinsoku/>
        <w:wordWrap w:val="0"/>
        <w:overflowPunct/>
        <w:topLinePunct w:val="0"/>
        <w:bidi w:val="0"/>
        <w:jc w:val="center"/>
        <w:outlineLvl w:val="0"/>
        <w:rPr>
          <w:rFonts w:hint="eastAsia" w:asciiTheme="minorEastAsia" w:hAnsiTheme="minorEastAsia" w:eastAsiaTheme="minorEastAsia" w:cstheme="minorEastAsia"/>
          <w:color w:val="auto"/>
          <w:sz w:val="28"/>
          <w:szCs w:val="28"/>
          <w:highlight w:val="none"/>
          <w:lang w:val="zh-CN"/>
        </w:rPr>
      </w:pPr>
      <w:bookmarkStart w:id="719" w:name="_Toc11576"/>
      <w:bookmarkStart w:id="720" w:name="_Toc14128"/>
      <w:bookmarkStart w:id="721" w:name="_Toc21378"/>
      <w:r>
        <w:rPr>
          <w:rFonts w:hint="eastAsia" w:asciiTheme="minorEastAsia" w:hAnsiTheme="minorEastAsia" w:eastAsiaTheme="minorEastAsia" w:cstheme="minorEastAsia"/>
          <w:color w:val="auto"/>
          <w:sz w:val="28"/>
          <w:szCs w:val="28"/>
          <w:highlight w:val="none"/>
          <w:lang w:val="zh-CN"/>
        </w:rPr>
        <w:t>监狱企业证明文件</w:t>
      </w:r>
      <w:bookmarkEnd w:id="719"/>
      <w:bookmarkEnd w:id="720"/>
      <w:bookmarkEnd w:id="721"/>
    </w:p>
    <w:p w14:paraId="23CB7AB2">
      <w:pPr>
        <w:kinsoku/>
        <w:wordWrap w:val="0"/>
        <w:overflowPunct/>
        <w:topLinePunct w:val="0"/>
        <w:bidi w:val="0"/>
        <w:jc w:val="center"/>
        <w:rPr>
          <w:b/>
          <w:bCs/>
          <w:color w:val="auto"/>
          <w:sz w:val="28"/>
          <w:szCs w:val="28"/>
          <w:highlight w:val="none"/>
        </w:rPr>
      </w:pPr>
    </w:p>
    <w:p w14:paraId="1DC0B42A">
      <w:pPr>
        <w:kinsoku/>
        <w:wordWrap w:val="0"/>
        <w:overflowPunct/>
        <w:topLinePunct w:val="0"/>
        <w:bidi w:val="0"/>
        <w:spacing w:line="360" w:lineRule="auto"/>
        <w:jc w:val="center"/>
        <w:rPr>
          <w:b/>
          <w:bCs/>
          <w:color w:val="auto"/>
          <w:kern w:val="36"/>
          <w:sz w:val="28"/>
          <w:szCs w:val="28"/>
          <w:highlight w:val="none"/>
        </w:rPr>
      </w:pPr>
      <w:r>
        <w:rPr>
          <w:rFonts w:hint="eastAsia"/>
          <w:b/>
          <w:bCs/>
          <w:color w:val="auto"/>
          <w:kern w:val="36"/>
          <w:sz w:val="28"/>
          <w:szCs w:val="28"/>
          <w:highlight w:val="none"/>
        </w:rPr>
        <w:t>注：</w:t>
      </w:r>
      <w:r>
        <w:rPr>
          <w:rFonts w:hint="eastAsia"/>
          <w:b/>
          <w:bCs/>
          <w:color w:val="auto"/>
          <w:kern w:val="36"/>
          <w:sz w:val="28"/>
          <w:szCs w:val="28"/>
          <w:highlight w:val="none"/>
          <w:lang w:val="en-US" w:eastAsia="zh-CN"/>
        </w:rPr>
        <w:t>不属于</w:t>
      </w:r>
      <w:r>
        <w:rPr>
          <w:rFonts w:hint="eastAsia"/>
          <w:b/>
          <w:bCs/>
          <w:color w:val="auto"/>
          <w:kern w:val="36"/>
          <w:sz w:val="28"/>
          <w:szCs w:val="28"/>
          <w:highlight w:val="none"/>
          <w:lang w:val="zh-CN"/>
        </w:rPr>
        <w:t>监狱企业，</w:t>
      </w:r>
      <w:r>
        <w:rPr>
          <w:rFonts w:hint="eastAsia"/>
          <w:b/>
          <w:bCs/>
          <w:color w:val="auto"/>
          <w:kern w:val="36"/>
          <w:sz w:val="28"/>
          <w:szCs w:val="28"/>
          <w:highlight w:val="none"/>
          <w:lang w:val="en-US" w:eastAsia="zh-CN"/>
        </w:rPr>
        <w:t>可不</w:t>
      </w:r>
      <w:r>
        <w:rPr>
          <w:rFonts w:hint="eastAsia"/>
          <w:b/>
          <w:bCs/>
          <w:color w:val="auto"/>
          <w:kern w:val="36"/>
          <w:sz w:val="28"/>
          <w:szCs w:val="28"/>
          <w:highlight w:val="none"/>
        </w:rPr>
        <w:t>提供。</w:t>
      </w:r>
    </w:p>
    <w:p w14:paraId="12AB360F">
      <w:pPr>
        <w:pStyle w:val="9"/>
        <w:kinsoku/>
        <w:wordWrap w:val="0"/>
        <w:overflowPunct/>
        <w:topLinePunct w:val="0"/>
        <w:bidi w:val="0"/>
        <w:ind w:left="1470" w:right="1470"/>
        <w:rPr>
          <w:b/>
          <w:bCs/>
          <w:color w:val="auto"/>
          <w:kern w:val="36"/>
          <w:sz w:val="22"/>
          <w:szCs w:val="42"/>
          <w:highlight w:val="none"/>
        </w:rPr>
      </w:pPr>
    </w:p>
    <w:p w14:paraId="26CF1565">
      <w:pPr>
        <w:pStyle w:val="9"/>
        <w:kinsoku/>
        <w:wordWrap w:val="0"/>
        <w:overflowPunct/>
        <w:topLinePunct w:val="0"/>
        <w:bidi w:val="0"/>
        <w:ind w:left="1470" w:right="1470"/>
        <w:rPr>
          <w:b/>
          <w:bCs/>
          <w:color w:val="auto"/>
          <w:kern w:val="36"/>
          <w:sz w:val="22"/>
          <w:szCs w:val="42"/>
          <w:highlight w:val="none"/>
        </w:rPr>
      </w:pPr>
    </w:p>
    <w:p w14:paraId="69D2D295">
      <w:pPr>
        <w:pStyle w:val="9"/>
        <w:kinsoku/>
        <w:wordWrap w:val="0"/>
        <w:overflowPunct/>
        <w:topLinePunct w:val="0"/>
        <w:bidi w:val="0"/>
        <w:ind w:left="1470" w:right="1470"/>
        <w:rPr>
          <w:b/>
          <w:bCs/>
          <w:color w:val="auto"/>
          <w:kern w:val="36"/>
          <w:sz w:val="22"/>
          <w:szCs w:val="42"/>
          <w:highlight w:val="none"/>
        </w:rPr>
      </w:pPr>
    </w:p>
    <w:p w14:paraId="4FD718E8">
      <w:pPr>
        <w:pStyle w:val="9"/>
        <w:kinsoku/>
        <w:wordWrap w:val="0"/>
        <w:overflowPunct/>
        <w:topLinePunct w:val="0"/>
        <w:bidi w:val="0"/>
        <w:ind w:left="1470" w:right="1470"/>
        <w:rPr>
          <w:b/>
          <w:bCs/>
          <w:color w:val="auto"/>
          <w:kern w:val="36"/>
          <w:sz w:val="22"/>
          <w:szCs w:val="42"/>
          <w:highlight w:val="none"/>
        </w:rPr>
      </w:pPr>
    </w:p>
    <w:p w14:paraId="7D74FE04">
      <w:pPr>
        <w:pStyle w:val="9"/>
        <w:kinsoku/>
        <w:wordWrap w:val="0"/>
        <w:overflowPunct/>
        <w:topLinePunct w:val="0"/>
        <w:bidi w:val="0"/>
        <w:ind w:left="1470" w:right="1470"/>
        <w:rPr>
          <w:b/>
          <w:bCs/>
          <w:color w:val="auto"/>
          <w:kern w:val="36"/>
          <w:sz w:val="22"/>
          <w:szCs w:val="42"/>
          <w:highlight w:val="none"/>
        </w:rPr>
      </w:pPr>
    </w:p>
    <w:p w14:paraId="61116A04">
      <w:pPr>
        <w:pStyle w:val="9"/>
        <w:kinsoku/>
        <w:wordWrap w:val="0"/>
        <w:overflowPunct/>
        <w:topLinePunct w:val="0"/>
        <w:bidi w:val="0"/>
        <w:ind w:left="1470" w:right="1470"/>
        <w:rPr>
          <w:b/>
          <w:bCs/>
          <w:color w:val="auto"/>
          <w:kern w:val="36"/>
          <w:sz w:val="22"/>
          <w:szCs w:val="42"/>
          <w:highlight w:val="none"/>
        </w:rPr>
      </w:pPr>
    </w:p>
    <w:p w14:paraId="44FCA170">
      <w:pPr>
        <w:pStyle w:val="9"/>
        <w:kinsoku/>
        <w:wordWrap w:val="0"/>
        <w:overflowPunct/>
        <w:topLinePunct w:val="0"/>
        <w:bidi w:val="0"/>
        <w:ind w:left="1470" w:right="1470"/>
        <w:rPr>
          <w:b/>
          <w:bCs/>
          <w:color w:val="auto"/>
          <w:kern w:val="36"/>
          <w:sz w:val="22"/>
          <w:szCs w:val="42"/>
          <w:highlight w:val="none"/>
        </w:rPr>
      </w:pPr>
    </w:p>
    <w:p w14:paraId="3D0531DF">
      <w:pPr>
        <w:pStyle w:val="9"/>
        <w:kinsoku/>
        <w:wordWrap w:val="0"/>
        <w:overflowPunct/>
        <w:topLinePunct w:val="0"/>
        <w:bidi w:val="0"/>
        <w:ind w:left="1470" w:right="1470"/>
        <w:rPr>
          <w:b/>
          <w:bCs/>
          <w:color w:val="auto"/>
          <w:kern w:val="36"/>
          <w:sz w:val="22"/>
          <w:szCs w:val="42"/>
          <w:highlight w:val="none"/>
        </w:rPr>
      </w:pPr>
    </w:p>
    <w:p w14:paraId="5A20AA18">
      <w:pPr>
        <w:pStyle w:val="9"/>
        <w:kinsoku/>
        <w:wordWrap w:val="0"/>
        <w:overflowPunct/>
        <w:topLinePunct w:val="0"/>
        <w:bidi w:val="0"/>
        <w:ind w:left="1470" w:right="1470"/>
        <w:rPr>
          <w:b/>
          <w:bCs/>
          <w:color w:val="auto"/>
          <w:kern w:val="36"/>
          <w:sz w:val="22"/>
          <w:szCs w:val="42"/>
          <w:highlight w:val="none"/>
        </w:rPr>
      </w:pPr>
    </w:p>
    <w:p w14:paraId="4A63BC5B">
      <w:pPr>
        <w:pStyle w:val="9"/>
        <w:kinsoku/>
        <w:wordWrap w:val="0"/>
        <w:overflowPunct/>
        <w:topLinePunct w:val="0"/>
        <w:bidi w:val="0"/>
        <w:ind w:left="1470" w:right="1470"/>
        <w:rPr>
          <w:b/>
          <w:bCs/>
          <w:color w:val="auto"/>
          <w:kern w:val="36"/>
          <w:sz w:val="22"/>
          <w:szCs w:val="42"/>
          <w:highlight w:val="none"/>
        </w:rPr>
      </w:pPr>
    </w:p>
    <w:p w14:paraId="4BC14B5B">
      <w:pPr>
        <w:pStyle w:val="9"/>
        <w:kinsoku/>
        <w:wordWrap w:val="0"/>
        <w:overflowPunct/>
        <w:topLinePunct w:val="0"/>
        <w:bidi w:val="0"/>
        <w:ind w:left="1470" w:right="1470"/>
        <w:rPr>
          <w:b/>
          <w:bCs/>
          <w:color w:val="auto"/>
          <w:kern w:val="36"/>
          <w:sz w:val="22"/>
          <w:szCs w:val="42"/>
          <w:highlight w:val="none"/>
        </w:rPr>
      </w:pPr>
    </w:p>
    <w:p w14:paraId="02D9FCD0">
      <w:pPr>
        <w:pStyle w:val="9"/>
        <w:kinsoku/>
        <w:wordWrap w:val="0"/>
        <w:overflowPunct/>
        <w:topLinePunct w:val="0"/>
        <w:bidi w:val="0"/>
        <w:ind w:left="1470" w:right="1470"/>
        <w:rPr>
          <w:b/>
          <w:bCs/>
          <w:color w:val="auto"/>
          <w:kern w:val="36"/>
          <w:sz w:val="22"/>
          <w:szCs w:val="42"/>
          <w:highlight w:val="none"/>
        </w:rPr>
      </w:pPr>
    </w:p>
    <w:p w14:paraId="5883A212">
      <w:pPr>
        <w:pStyle w:val="9"/>
        <w:kinsoku/>
        <w:wordWrap w:val="0"/>
        <w:overflowPunct/>
        <w:topLinePunct w:val="0"/>
        <w:bidi w:val="0"/>
        <w:ind w:left="1470" w:right="1470"/>
        <w:rPr>
          <w:b/>
          <w:bCs/>
          <w:color w:val="auto"/>
          <w:kern w:val="36"/>
          <w:sz w:val="22"/>
          <w:szCs w:val="42"/>
          <w:highlight w:val="none"/>
        </w:rPr>
      </w:pPr>
    </w:p>
    <w:p w14:paraId="687B2852">
      <w:pPr>
        <w:pStyle w:val="9"/>
        <w:kinsoku/>
        <w:wordWrap w:val="0"/>
        <w:overflowPunct/>
        <w:topLinePunct w:val="0"/>
        <w:bidi w:val="0"/>
        <w:ind w:left="1470" w:right="1470"/>
        <w:rPr>
          <w:b/>
          <w:bCs/>
          <w:color w:val="auto"/>
          <w:kern w:val="36"/>
          <w:sz w:val="22"/>
          <w:szCs w:val="42"/>
          <w:highlight w:val="none"/>
        </w:rPr>
      </w:pPr>
    </w:p>
    <w:p w14:paraId="4C101C7E">
      <w:pPr>
        <w:rPr>
          <w:rFonts w:hint="eastAsia"/>
          <w:color w:val="auto"/>
          <w:kern w:val="36"/>
          <w:sz w:val="24"/>
          <w:szCs w:val="24"/>
          <w:highlight w:val="none"/>
          <w:lang w:val="en-US" w:eastAsia="zh-CN"/>
        </w:rPr>
      </w:pPr>
      <w:bookmarkStart w:id="722" w:name="_Toc17317"/>
      <w:r>
        <w:rPr>
          <w:rFonts w:hint="eastAsia"/>
          <w:color w:val="auto"/>
          <w:kern w:val="36"/>
          <w:sz w:val="24"/>
          <w:szCs w:val="24"/>
          <w:highlight w:val="none"/>
          <w:lang w:val="en-US" w:eastAsia="zh-CN"/>
        </w:rPr>
        <w:br w:type="page"/>
      </w:r>
    </w:p>
    <w:p w14:paraId="09280A49">
      <w:pPr>
        <w:kinsoku/>
        <w:wordWrap w:val="0"/>
        <w:overflowPunct/>
        <w:topLinePunct w:val="0"/>
        <w:bidi w:val="0"/>
        <w:spacing w:line="480" w:lineRule="auto"/>
        <w:jc w:val="left"/>
        <w:outlineLvl w:val="0"/>
        <w:rPr>
          <w:rFonts w:hint="eastAsia"/>
          <w:color w:val="auto"/>
          <w:kern w:val="36"/>
          <w:sz w:val="24"/>
          <w:szCs w:val="24"/>
          <w:highlight w:val="none"/>
          <w:lang w:val="en-US" w:eastAsia="zh-CN"/>
        </w:rPr>
      </w:pPr>
      <w:bookmarkStart w:id="723" w:name="_Toc20773"/>
      <w:bookmarkStart w:id="724" w:name="_Toc11730"/>
      <w:r>
        <w:rPr>
          <w:rFonts w:hint="eastAsia"/>
          <w:color w:val="auto"/>
          <w:kern w:val="36"/>
          <w:sz w:val="24"/>
          <w:szCs w:val="24"/>
          <w:highlight w:val="none"/>
          <w:lang w:val="en-US" w:eastAsia="zh-CN"/>
        </w:rPr>
        <w:t>附件3</w:t>
      </w:r>
      <w:bookmarkEnd w:id="722"/>
      <w:bookmarkEnd w:id="723"/>
      <w:bookmarkEnd w:id="724"/>
    </w:p>
    <w:p w14:paraId="04F7C628">
      <w:pPr>
        <w:pStyle w:val="9"/>
        <w:kinsoku/>
        <w:wordWrap w:val="0"/>
        <w:overflowPunct/>
        <w:topLinePunct w:val="0"/>
        <w:bidi w:val="0"/>
        <w:spacing w:line="480" w:lineRule="exact"/>
        <w:ind w:left="0" w:leftChars="0" w:right="0" w:rightChars="0"/>
        <w:jc w:val="center"/>
        <w:outlineLvl w:val="0"/>
        <w:rPr>
          <w:b/>
          <w:bCs/>
          <w:color w:val="auto"/>
          <w:kern w:val="36"/>
          <w:sz w:val="28"/>
          <w:szCs w:val="28"/>
          <w:highlight w:val="none"/>
        </w:rPr>
      </w:pPr>
      <w:bookmarkStart w:id="725" w:name="_Toc21067"/>
      <w:bookmarkStart w:id="726" w:name="_Toc9933"/>
      <w:bookmarkStart w:id="727" w:name="_Toc7330"/>
      <w:r>
        <w:rPr>
          <w:rFonts w:hint="eastAsia"/>
          <w:b/>
          <w:bCs/>
          <w:color w:val="auto"/>
          <w:kern w:val="36"/>
          <w:sz w:val="28"/>
          <w:szCs w:val="28"/>
          <w:highlight w:val="none"/>
        </w:rPr>
        <w:t>残疾人福利性单位声明函（</w:t>
      </w:r>
      <w:r>
        <w:rPr>
          <w:rFonts w:hint="eastAsia"/>
          <w:b/>
          <w:bCs/>
          <w:color w:val="auto"/>
          <w:kern w:val="36"/>
          <w:sz w:val="28"/>
          <w:szCs w:val="28"/>
          <w:highlight w:val="none"/>
          <w:lang w:val="en-US" w:eastAsia="zh-CN"/>
        </w:rPr>
        <w:t>不属于可不提供</w:t>
      </w:r>
      <w:r>
        <w:rPr>
          <w:rFonts w:hint="eastAsia"/>
          <w:b/>
          <w:bCs/>
          <w:color w:val="auto"/>
          <w:kern w:val="36"/>
          <w:sz w:val="28"/>
          <w:szCs w:val="28"/>
          <w:highlight w:val="none"/>
        </w:rPr>
        <w:t>）</w:t>
      </w:r>
      <w:bookmarkEnd w:id="725"/>
      <w:bookmarkEnd w:id="726"/>
      <w:bookmarkEnd w:id="727"/>
    </w:p>
    <w:p w14:paraId="37E95813">
      <w:pPr>
        <w:pStyle w:val="9"/>
        <w:kinsoku/>
        <w:wordWrap w:val="0"/>
        <w:overflowPunct/>
        <w:topLinePunct w:val="0"/>
        <w:bidi w:val="0"/>
        <w:spacing w:line="480" w:lineRule="exact"/>
        <w:ind w:left="0" w:leftChars="0" w:right="0" w:rightChars="0" w:firstLine="560" w:firstLineChars="200"/>
        <w:rPr>
          <w:color w:val="auto"/>
          <w:kern w:val="36"/>
          <w:sz w:val="28"/>
          <w:szCs w:val="28"/>
          <w:highlight w:val="none"/>
        </w:rPr>
      </w:pPr>
    </w:p>
    <w:p w14:paraId="37E5B4C5">
      <w:pPr>
        <w:pStyle w:val="9"/>
        <w:kinsoku/>
        <w:wordWrap w:val="0"/>
        <w:overflowPunct/>
        <w:topLinePunct w:val="0"/>
        <w:bidi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4608EA8E">
      <w:pPr>
        <w:kinsoku/>
        <w:wordWrap w:val="0"/>
        <w:overflowPunct/>
        <w:topLinePunct w:val="0"/>
        <w:bidi w:val="0"/>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79C31F6E">
      <w:pPr>
        <w:kinsoku/>
        <w:wordWrap w:val="0"/>
        <w:overflowPunct/>
        <w:topLinePunct w:val="0"/>
        <w:bidi w:val="0"/>
        <w:spacing w:line="480" w:lineRule="auto"/>
        <w:jc w:val="center"/>
        <w:rPr>
          <w:rFonts w:hint="eastAsia"/>
          <w:color w:val="auto"/>
          <w:kern w:val="36"/>
          <w:sz w:val="24"/>
          <w:szCs w:val="24"/>
          <w:highlight w:val="none"/>
        </w:rPr>
      </w:pPr>
    </w:p>
    <w:p w14:paraId="0FF3263C">
      <w:pPr>
        <w:kinsoku/>
        <w:wordWrap w:val="0"/>
        <w:overflowPunct/>
        <w:topLinePunct w:val="0"/>
        <w:bidi w:val="0"/>
        <w:spacing w:line="480" w:lineRule="auto"/>
        <w:jc w:val="center"/>
        <w:rPr>
          <w:rFonts w:hint="eastAsia"/>
          <w:color w:val="auto"/>
          <w:kern w:val="36"/>
          <w:sz w:val="24"/>
          <w:szCs w:val="24"/>
          <w:highlight w:val="none"/>
        </w:rPr>
      </w:pPr>
    </w:p>
    <w:p w14:paraId="4BF5FBE7">
      <w:pPr>
        <w:pStyle w:val="16"/>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人：（企业电子签章）</w:t>
      </w:r>
    </w:p>
    <w:p w14:paraId="2E3EA8CB">
      <w:pPr>
        <w:pStyle w:val="16"/>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年  月  日</w:t>
      </w:r>
    </w:p>
    <w:p w14:paraId="4BD616BE">
      <w:pPr>
        <w:kinsoku/>
        <w:wordWrap w:val="0"/>
        <w:overflowPunct/>
        <w:topLinePunct w:val="0"/>
        <w:bidi w:val="0"/>
        <w:spacing w:line="480" w:lineRule="auto"/>
        <w:jc w:val="center"/>
        <w:rPr>
          <w:rFonts w:hint="eastAsia"/>
          <w:color w:val="auto"/>
          <w:kern w:val="36"/>
          <w:sz w:val="24"/>
          <w:szCs w:val="24"/>
          <w:highlight w:val="none"/>
        </w:rPr>
      </w:pPr>
    </w:p>
    <w:p w14:paraId="4E135FB8">
      <w:pPr>
        <w:kinsoku/>
        <w:wordWrap w:val="0"/>
        <w:overflowPunct/>
        <w:topLinePunct w:val="0"/>
        <w:bidi w:val="0"/>
        <w:spacing w:line="480" w:lineRule="auto"/>
        <w:jc w:val="center"/>
        <w:rPr>
          <w:rFonts w:hint="eastAsia"/>
          <w:color w:val="auto"/>
          <w:kern w:val="36"/>
          <w:sz w:val="24"/>
          <w:szCs w:val="24"/>
          <w:highlight w:val="none"/>
        </w:rPr>
      </w:pPr>
    </w:p>
    <w:p w14:paraId="022B7269">
      <w:pPr>
        <w:kinsoku/>
        <w:wordWrap w:val="0"/>
        <w:overflowPunct/>
        <w:topLinePunct w:val="0"/>
        <w:bidi w:val="0"/>
        <w:spacing w:line="480" w:lineRule="auto"/>
        <w:jc w:val="center"/>
        <w:rPr>
          <w:rFonts w:hint="eastAsia"/>
          <w:color w:val="auto"/>
          <w:kern w:val="36"/>
          <w:sz w:val="24"/>
          <w:szCs w:val="24"/>
          <w:highlight w:val="none"/>
        </w:rPr>
      </w:pPr>
    </w:p>
    <w:p w14:paraId="4872690B">
      <w:pPr>
        <w:kinsoku/>
        <w:wordWrap w:val="0"/>
        <w:overflowPunct/>
        <w:topLinePunct w:val="0"/>
        <w:bidi w:val="0"/>
        <w:spacing w:line="480" w:lineRule="auto"/>
        <w:jc w:val="center"/>
        <w:rPr>
          <w:rFonts w:hint="eastAsia"/>
          <w:color w:val="auto"/>
          <w:kern w:val="36"/>
          <w:sz w:val="24"/>
          <w:szCs w:val="24"/>
          <w:highlight w:val="none"/>
        </w:rPr>
      </w:pPr>
    </w:p>
    <w:p w14:paraId="117BA969">
      <w:pPr>
        <w:kinsoku/>
        <w:wordWrap w:val="0"/>
        <w:overflowPunct/>
        <w:topLinePunct w:val="0"/>
        <w:bidi w:val="0"/>
        <w:spacing w:line="480" w:lineRule="auto"/>
        <w:jc w:val="center"/>
        <w:rPr>
          <w:rFonts w:hint="eastAsia"/>
          <w:color w:val="auto"/>
          <w:kern w:val="36"/>
          <w:sz w:val="24"/>
          <w:szCs w:val="24"/>
          <w:highlight w:val="none"/>
        </w:rPr>
      </w:pPr>
    </w:p>
    <w:p w14:paraId="28B27E32">
      <w:pPr>
        <w:kinsoku/>
        <w:wordWrap w:val="0"/>
        <w:overflowPunct/>
        <w:topLinePunct w:val="0"/>
        <w:bidi w:val="0"/>
        <w:spacing w:line="480" w:lineRule="auto"/>
        <w:jc w:val="center"/>
        <w:rPr>
          <w:rFonts w:hint="eastAsia"/>
          <w:color w:val="auto"/>
          <w:kern w:val="36"/>
          <w:sz w:val="24"/>
          <w:szCs w:val="24"/>
          <w:highlight w:val="none"/>
        </w:rPr>
      </w:pPr>
    </w:p>
    <w:p w14:paraId="5372861C">
      <w:pPr>
        <w:kinsoku/>
        <w:wordWrap w:val="0"/>
        <w:overflowPunct/>
        <w:topLinePunct w:val="0"/>
        <w:bidi w:val="0"/>
        <w:spacing w:line="480" w:lineRule="auto"/>
        <w:jc w:val="center"/>
        <w:rPr>
          <w:rFonts w:hint="eastAsia"/>
          <w:color w:val="auto"/>
          <w:kern w:val="36"/>
          <w:sz w:val="24"/>
          <w:szCs w:val="24"/>
          <w:highlight w:val="none"/>
        </w:rPr>
      </w:pPr>
    </w:p>
    <w:p w14:paraId="184898A2">
      <w:pPr>
        <w:kinsoku/>
        <w:wordWrap w:val="0"/>
        <w:overflowPunct/>
        <w:topLinePunct w:val="0"/>
        <w:bidi w:val="0"/>
        <w:spacing w:line="480" w:lineRule="auto"/>
        <w:jc w:val="center"/>
        <w:rPr>
          <w:rFonts w:hint="eastAsia"/>
          <w:color w:val="auto"/>
          <w:kern w:val="36"/>
          <w:sz w:val="24"/>
          <w:szCs w:val="24"/>
          <w:highlight w:val="none"/>
        </w:rPr>
      </w:pPr>
    </w:p>
    <w:p w14:paraId="66A00449">
      <w:pPr>
        <w:kinsoku/>
        <w:wordWrap w:val="0"/>
        <w:overflowPunct/>
        <w:topLinePunct w:val="0"/>
        <w:bidi w:val="0"/>
        <w:spacing w:line="480" w:lineRule="auto"/>
        <w:jc w:val="center"/>
        <w:rPr>
          <w:rFonts w:hint="eastAsia"/>
          <w:color w:val="auto"/>
          <w:kern w:val="36"/>
          <w:sz w:val="24"/>
          <w:szCs w:val="24"/>
          <w:highlight w:val="none"/>
        </w:rPr>
      </w:pPr>
    </w:p>
    <w:p w14:paraId="52FA236F">
      <w:pPr>
        <w:kinsoku/>
        <w:wordWrap w:val="0"/>
        <w:overflowPunct/>
        <w:topLinePunct w:val="0"/>
        <w:bidi w:val="0"/>
        <w:spacing w:line="480" w:lineRule="auto"/>
        <w:jc w:val="left"/>
        <w:outlineLvl w:val="0"/>
        <w:rPr>
          <w:rFonts w:hint="default" w:eastAsia="宋体"/>
          <w:color w:val="auto"/>
          <w:kern w:val="36"/>
          <w:sz w:val="24"/>
          <w:szCs w:val="2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9E47E">
    <w:pPr>
      <w:pStyle w:val="1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0BD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107E1">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C107E1">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F58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7519D">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27519D">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1AB9">
    <w:pPr>
      <w:pStyle w:val="13"/>
      <w:pBdr>
        <w:bottom w:val="none" w:color="auto" w:sz="0" w:space="1"/>
      </w:pBdr>
      <w:jc w:val="both"/>
    </w:pPr>
  </w:p>
  <w:p w14:paraId="0808F35F">
    <w:pPr>
      <w:pStyle w:val="1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3ECA7"/>
    <w:multiLevelType w:val="singleLevel"/>
    <w:tmpl w:val="9243ECA7"/>
    <w:lvl w:ilvl="0" w:tentative="0">
      <w:start w:val="2"/>
      <w:numFmt w:val="chineseCounting"/>
      <w:suff w:val="nothing"/>
      <w:lvlText w:val="%1、"/>
      <w:lvlJc w:val="left"/>
      <w:rPr>
        <w:rFonts w:hint="eastAsia"/>
      </w:rPr>
    </w:lvl>
  </w:abstractNum>
  <w:abstractNum w:abstractNumId="1">
    <w:nsid w:val="DFD78145"/>
    <w:multiLevelType w:val="singleLevel"/>
    <w:tmpl w:val="DFD78145"/>
    <w:lvl w:ilvl="0" w:tentative="0">
      <w:start w:val="1"/>
      <w:numFmt w:val="chineseCounting"/>
      <w:suff w:val="nothing"/>
      <w:lvlText w:val="（%1）"/>
      <w:lvlJc w:val="left"/>
      <w:rPr>
        <w:rFonts w:hint="eastAsia"/>
      </w:rPr>
    </w:lvl>
  </w:abstractNum>
  <w:abstractNum w:abstractNumId="2">
    <w:nsid w:val="4F3FF634"/>
    <w:multiLevelType w:val="singleLevel"/>
    <w:tmpl w:val="4F3FF634"/>
    <w:lvl w:ilvl="0" w:tentative="0">
      <w:start w:val="2"/>
      <w:numFmt w:val="decimal"/>
      <w:lvlText w:val="%1."/>
      <w:lvlJc w:val="left"/>
      <w:pPr>
        <w:tabs>
          <w:tab w:val="left" w:pos="312"/>
        </w:tabs>
      </w:pPr>
    </w:lvl>
  </w:abstractNum>
  <w:abstractNum w:abstractNumId="3">
    <w:nsid w:val="6B2FA0B3"/>
    <w:multiLevelType w:val="singleLevel"/>
    <w:tmpl w:val="6B2FA0B3"/>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F1"/>
    <w:rsid w:val="00F213F1"/>
    <w:rsid w:val="010C042C"/>
    <w:rsid w:val="019014CF"/>
    <w:rsid w:val="02C24BF1"/>
    <w:rsid w:val="031A4A2D"/>
    <w:rsid w:val="06420522"/>
    <w:rsid w:val="070B1666"/>
    <w:rsid w:val="07300CC3"/>
    <w:rsid w:val="073B6A3E"/>
    <w:rsid w:val="07BD6703"/>
    <w:rsid w:val="091361A6"/>
    <w:rsid w:val="094758C6"/>
    <w:rsid w:val="09BE7813"/>
    <w:rsid w:val="0ACA6D38"/>
    <w:rsid w:val="0C2F779B"/>
    <w:rsid w:val="0CA76EB2"/>
    <w:rsid w:val="0DAD0977"/>
    <w:rsid w:val="0DAE2941"/>
    <w:rsid w:val="0E3E0516"/>
    <w:rsid w:val="0F80037A"/>
    <w:rsid w:val="111D4066"/>
    <w:rsid w:val="12805158"/>
    <w:rsid w:val="13465759"/>
    <w:rsid w:val="13533D6F"/>
    <w:rsid w:val="138E76AD"/>
    <w:rsid w:val="148115A1"/>
    <w:rsid w:val="154D6F69"/>
    <w:rsid w:val="15B56D7E"/>
    <w:rsid w:val="15FE6F18"/>
    <w:rsid w:val="18273A1C"/>
    <w:rsid w:val="188B4F58"/>
    <w:rsid w:val="1A98475D"/>
    <w:rsid w:val="1B5D1578"/>
    <w:rsid w:val="1B666A52"/>
    <w:rsid w:val="1DFA6742"/>
    <w:rsid w:val="1E952ECA"/>
    <w:rsid w:val="1FE36106"/>
    <w:rsid w:val="20607ACB"/>
    <w:rsid w:val="20825C93"/>
    <w:rsid w:val="20C75D9C"/>
    <w:rsid w:val="21251106"/>
    <w:rsid w:val="213F4CC7"/>
    <w:rsid w:val="214D3F8A"/>
    <w:rsid w:val="2161744C"/>
    <w:rsid w:val="218B0B78"/>
    <w:rsid w:val="21CD1190"/>
    <w:rsid w:val="22D447A0"/>
    <w:rsid w:val="23250B58"/>
    <w:rsid w:val="233D0F56"/>
    <w:rsid w:val="235E3236"/>
    <w:rsid w:val="23696201"/>
    <w:rsid w:val="236D292E"/>
    <w:rsid w:val="261F3F85"/>
    <w:rsid w:val="264032D7"/>
    <w:rsid w:val="26487037"/>
    <w:rsid w:val="26CD1C32"/>
    <w:rsid w:val="273852FE"/>
    <w:rsid w:val="27524BF1"/>
    <w:rsid w:val="2855643C"/>
    <w:rsid w:val="286E581F"/>
    <w:rsid w:val="28C47AA8"/>
    <w:rsid w:val="299B2F17"/>
    <w:rsid w:val="2B606F12"/>
    <w:rsid w:val="2C332DE9"/>
    <w:rsid w:val="2C3F4231"/>
    <w:rsid w:val="2DCA17EE"/>
    <w:rsid w:val="2DF45CF7"/>
    <w:rsid w:val="2E1819E5"/>
    <w:rsid w:val="2E852ACB"/>
    <w:rsid w:val="2EA01905"/>
    <w:rsid w:val="2F0106CB"/>
    <w:rsid w:val="2F2C13A9"/>
    <w:rsid w:val="304C3BC8"/>
    <w:rsid w:val="309061AB"/>
    <w:rsid w:val="31181CFC"/>
    <w:rsid w:val="3126266B"/>
    <w:rsid w:val="32690A61"/>
    <w:rsid w:val="33C61EE3"/>
    <w:rsid w:val="346D6BEF"/>
    <w:rsid w:val="348002E4"/>
    <w:rsid w:val="34C06223"/>
    <w:rsid w:val="3676199F"/>
    <w:rsid w:val="37285326"/>
    <w:rsid w:val="37E7745E"/>
    <w:rsid w:val="38DF0C5D"/>
    <w:rsid w:val="39E341CB"/>
    <w:rsid w:val="39E70FBE"/>
    <w:rsid w:val="3B4F27BE"/>
    <w:rsid w:val="3BF663B2"/>
    <w:rsid w:val="3D417EC4"/>
    <w:rsid w:val="3ED03C16"/>
    <w:rsid w:val="3EEF6792"/>
    <w:rsid w:val="3F0264E4"/>
    <w:rsid w:val="3F536D21"/>
    <w:rsid w:val="3F717B65"/>
    <w:rsid w:val="40513DA8"/>
    <w:rsid w:val="44041A91"/>
    <w:rsid w:val="444E7AB7"/>
    <w:rsid w:val="44951EBF"/>
    <w:rsid w:val="44CD1324"/>
    <w:rsid w:val="45275022"/>
    <w:rsid w:val="45B32715"/>
    <w:rsid w:val="464248BE"/>
    <w:rsid w:val="466E2692"/>
    <w:rsid w:val="477729D5"/>
    <w:rsid w:val="47DE07D7"/>
    <w:rsid w:val="48767174"/>
    <w:rsid w:val="4A7D2EA4"/>
    <w:rsid w:val="4AB368C6"/>
    <w:rsid w:val="4C0554CB"/>
    <w:rsid w:val="4C7D1868"/>
    <w:rsid w:val="4C8B28C0"/>
    <w:rsid w:val="4CA27D42"/>
    <w:rsid w:val="4CF51418"/>
    <w:rsid w:val="4CFF4044"/>
    <w:rsid w:val="4DBC0BA8"/>
    <w:rsid w:val="4DEB3FA8"/>
    <w:rsid w:val="4EB9036C"/>
    <w:rsid w:val="4F22401A"/>
    <w:rsid w:val="501C6CBB"/>
    <w:rsid w:val="5109055A"/>
    <w:rsid w:val="51937451"/>
    <w:rsid w:val="52314937"/>
    <w:rsid w:val="525741FD"/>
    <w:rsid w:val="53061FB1"/>
    <w:rsid w:val="5422150C"/>
    <w:rsid w:val="545860DC"/>
    <w:rsid w:val="5651638B"/>
    <w:rsid w:val="56FE5202"/>
    <w:rsid w:val="578D47E6"/>
    <w:rsid w:val="58540D2D"/>
    <w:rsid w:val="58A27F7A"/>
    <w:rsid w:val="58E9111C"/>
    <w:rsid w:val="5A2D4D8A"/>
    <w:rsid w:val="5A3317D1"/>
    <w:rsid w:val="5B1D4684"/>
    <w:rsid w:val="5B2A225C"/>
    <w:rsid w:val="5B803978"/>
    <w:rsid w:val="5C446A6E"/>
    <w:rsid w:val="5C734107"/>
    <w:rsid w:val="5D2069BA"/>
    <w:rsid w:val="5E2A782D"/>
    <w:rsid w:val="5F1020E1"/>
    <w:rsid w:val="5F802EF2"/>
    <w:rsid w:val="60484BB8"/>
    <w:rsid w:val="60566219"/>
    <w:rsid w:val="61493688"/>
    <w:rsid w:val="61646714"/>
    <w:rsid w:val="629E7ECF"/>
    <w:rsid w:val="630E0323"/>
    <w:rsid w:val="633769A9"/>
    <w:rsid w:val="638259C1"/>
    <w:rsid w:val="63D47C8E"/>
    <w:rsid w:val="64AC4D87"/>
    <w:rsid w:val="64F12E6A"/>
    <w:rsid w:val="663156CC"/>
    <w:rsid w:val="66AE28CE"/>
    <w:rsid w:val="673F17B5"/>
    <w:rsid w:val="67596CDC"/>
    <w:rsid w:val="679C2873"/>
    <w:rsid w:val="679E3ADA"/>
    <w:rsid w:val="68B02BAE"/>
    <w:rsid w:val="696D64AF"/>
    <w:rsid w:val="6A3C1FDC"/>
    <w:rsid w:val="6AA67613"/>
    <w:rsid w:val="6CDA5ADC"/>
    <w:rsid w:val="6D436B5F"/>
    <w:rsid w:val="6D5D0CA3"/>
    <w:rsid w:val="6DB4457F"/>
    <w:rsid w:val="6DBD51C9"/>
    <w:rsid w:val="6E11552E"/>
    <w:rsid w:val="6E4214A8"/>
    <w:rsid w:val="701337DF"/>
    <w:rsid w:val="710E1CA4"/>
    <w:rsid w:val="71E05943"/>
    <w:rsid w:val="730149F1"/>
    <w:rsid w:val="736A5A3A"/>
    <w:rsid w:val="7749539E"/>
    <w:rsid w:val="78A551F0"/>
    <w:rsid w:val="78D11D28"/>
    <w:rsid w:val="793F73F3"/>
    <w:rsid w:val="79927E6B"/>
    <w:rsid w:val="79DF1104"/>
    <w:rsid w:val="7AA25A0D"/>
    <w:rsid w:val="7B3E55FD"/>
    <w:rsid w:val="7BE53514"/>
    <w:rsid w:val="7CCF4F32"/>
    <w:rsid w:val="7DD6409E"/>
    <w:rsid w:val="7E525E1A"/>
    <w:rsid w:val="7F21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10" w:afterLines="0" w:afterAutospacing="0" w:line="800" w:lineRule="exact"/>
      <w:jc w:val="center"/>
      <w:outlineLvl w:val="0"/>
    </w:pPr>
    <w:rPr>
      <w:rFonts w:ascii="Times New Roman" w:hAnsi="Times New Roman" w:eastAsia="宋体" w:cs="Times New Roman"/>
      <w:b/>
      <w:kern w:val="44"/>
      <w:sz w:val="36"/>
    </w:rPr>
  </w:style>
  <w:style w:type="paragraph" w:styleId="3">
    <w:name w:val="heading 2"/>
    <w:basedOn w:val="1"/>
    <w:next w:val="1"/>
    <w:qFormat/>
    <w:uiPriority w:val="0"/>
    <w:pPr>
      <w:keepNext/>
      <w:spacing w:before="240" w:beforeLines="0" w:after="60" w:afterLines="0"/>
      <w:outlineLvl w:val="1"/>
    </w:pPr>
    <w:rPr>
      <w:rFonts w:ascii="Arial" w:hAnsi="Arial"/>
      <w:kern w:val="2"/>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Arial" w:hAnsi="Arial" w:cs="Arial"/>
      <w:sz w:val="24"/>
    </w:rPr>
  </w:style>
  <w:style w:type="paragraph" w:styleId="5">
    <w:name w:val="Body Text"/>
    <w:basedOn w:val="1"/>
    <w:next w:val="6"/>
    <w:qFormat/>
    <w:uiPriority w:val="0"/>
    <w:pPr>
      <w:widowControl w:val="0"/>
      <w:spacing w:after="120" w:afterLines="0"/>
      <w:jc w:val="both"/>
    </w:pPr>
    <w:rPr>
      <w:kern w:val="2"/>
      <w:sz w:val="21"/>
      <w:szCs w:val="24"/>
    </w:rPr>
  </w:style>
  <w:style w:type="paragraph" w:styleId="6">
    <w:name w:val="Body Text 2"/>
    <w:basedOn w:val="1"/>
    <w:next w:val="5"/>
    <w:qFormat/>
    <w:uiPriority w:val="0"/>
    <w:pPr>
      <w:spacing w:after="120" w:afterLines="0" w:line="480" w:lineRule="auto"/>
      <w:ind w:firstLine="560" w:firstLineChars="200"/>
    </w:pPr>
    <w:rPr>
      <w:rFonts w:ascii="Calibri" w:hAnsi="Calibri" w:eastAsia="仿宋_GB2312"/>
      <w:kern w:val="0"/>
      <w:sz w:val="28"/>
      <w:szCs w:val="24"/>
    </w:rPr>
  </w:style>
  <w:style w:type="paragraph" w:styleId="7">
    <w:name w:val="Body Text Indent"/>
    <w:basedOn w:val="1"/>
    <w:next w:val="8"/>
    <w:unhideWhenUsed/>
    <w:qFormat/>
    <w:uiPriority w:val="99"/>
    <w:pPr>
      <w:spacing w:after="120" w:afterLines="0"/>
      <w:ind w:left="420" w:leftChars="200"/>
    </w:pPr>
  </w:style>
  <w:style w:type="paragraph" w:styleId="8">
    <w:name w:val="envelope return"/>
    <w:basedOn w:val="1"/>
    <w:qFormat/>
    <w:uiPriority w:val="99"/>
    <w:rPr>
      <w:rFonts w:ascii="Arial" w:hAnsi="Arial"/>
    </w:rPr>
  </w:style>
  <w:style w:type="paragraph" w:styleId="9">
    <w:name w:val="Block Text"/>
    <w:basedOn w:val="1"/>
    <w:qFormat/>
    <w:uiPriority w:val="99"/>
    <w:pPr>
      <w:spacing w:after="120"/>
      <w:ind w:left="1440" w:leftChars="700" w:right="1440" w:rightChars="700"/>
    </w:pPr>
  </w:style>
  <w:style w:type="paragraph" w:styleId="10">
    <w:name w:val="Plain Text"/>
    <w:basedOn w:val="1"/>
    <w:next w:val="11"/>
    <w:unhideWhenUsed/>
    <w:qFormat/>
    <w:uiPriority w:val="0"/>
    <w:rPr>
      <w:rFonts w:hint="eastAsia" w:ascii="宋体" w:hAnsi="Courier New"/>
      <w:sz w:val="21"/>
      <w:szCs w:val="21"/>
    </w:rPr>
  </w:style>
  <w:style w:type="paragraph" w:styleId="11">
    <w:name w:val="index 7"/>
    <w:basedOn w:val="1"/>
    <w:next w:val="1"/>
    <w:unhideWhenUsed/>
    <w:qFormat/>
    <w:uiPriority w:val="99"/>
    <w:pPr>
      <w:ind w:left="1200" w:leftChars="1200"/>
    </w:pPr>
  </w:style>
  <w:style w:type="paragraph" w:styleId="12">
    <w:name w:val="footer"/>
    <w:basedOn w:val="1"/>
    <w:unhideWhenUsed/>
    <w:qFormat/>
    <w:uiPriority w:val="0"/>
    <w:pPr>
      <w:tabs>
        <w:tab w:val="center" w:pos="4153"/>
        <w:tab w:val="right" w:pos="8306"/>
      </w:tabs>
      <w:snapToGrid w:val="0"/>
    </w:pPr>
    <w:rPr>
      <w:kern w:val="2"/>
      <w:sz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Normal (Web)"/>
    <w:basedOn w:val="1"/>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16">
    <w:name w:val="Body Text First Indent"/>
    <w:basedOn w:val="5"/>
    <w:next w:val="17"/>
    <w:qFormat/>
    <w:uiPriority w:val="0"/>
    <w:pPr>
      <w:ind w:firstLine="420"/>
    </w:pPr>
    <w:rPr>
      <w:rFonts w:eastAsia="楷体_GB2312"/>
      <w:sz w:val="32"/>
      <w:szCs w:val="32"/>
    </w:rPr>
  </w:style>
  <w:style w:type="paragraph" w:styleId="17">
    <w:name w:val="Body Text First Indent 2"/>
    <w:basedOn w:val="7"/>
    <w:unhideWhenUsed/>
    <w:qFormat/>
    <w:uiPriority w:val="99"/>
    <w:pPr>
      <w:ind w:firstLine="420" w:firstLineChars="200"/>
    </w:pPr>
  </w:style>
  <w:style w:type="character" w:styleId="20">
    <w:name w:val="Strong"/>
    <w:basedOn w:val="19"/>
    <w:qFormat/>
    <w:uiPriority w:val="0"/>
    <w:rPr>
      <w:b/>
      <w:bCs/>
      <w:vanish/>
      <w:color w:val="FFFFFF"/>
      <w:bdr w:val="single" w:color="76C0E3" w:sz="6" w:space="0"/>
      <w:shd w:val="clear" w:color="auto" w:fill="76C0E3"/>
      <w:vertAlign w:val="baseline"/>
    </w:rPr>
  </w:style>
  <w:style w:type="character" w:styleId="21">
    <w:name w:val="Hyperlink"/>
    <w:basedOn w:val="19"/>
    <w:qFormat/>
    <w:uiPriority w:val="0"/>
    <w:rPr>
      <w:color w:val="0000FF"/>
      <w:u w:val="none"/>
    </w:rPr>
  </w:style>
  <w:style w:type="paragraph" w:customStyle="1" w:styleId="22">
    <w:name w:val="我的正文"/>
    <w:basedOn w:val="7"/>
    <w:qFormat/>
    <w:uiPriority w:val="0"/>
    <w:pPr>
      <w:ind w:firstLine="480" w:firstLineChars="200"/>
    </w:pPr>
    <w:rPr>
      <w:szCs w:val="20"/>
    </w:rPr>
  </w:style>
  <w:style w:type="paragraph" w:customStyle="1" w:styleId="23">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19581</Words>
  <Characters>21700</Characters>
  <Lines>0</Lines>
  <Paragraphs>0</Paragraphs>
  <TotalTime>148</TotalTime>
  <ScaleCrop>false</ScaleCrop>
  <LinksUpToDate>false</LinksUpToDate>
  <CharactersWithSpaces>21961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2025-02-08T08:42:00Z</dcterms:created>
  <dc:creator>Administrator</dc:creator>
  <cp:lastModifiedBy>ppuq62975</cp:lastModifiedBy>
  <cp:lastPrinted>2026-05-22T08:20:22Z</cp:lastPrinted>
  <dcterms:modified xsi:type="dcterms:W3CDTF">2026-05-22T10:58:49Z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2EA92BF68C9A4F0E982B43D2A2C2772A_13</vt:lpwstr>
  </property>
  <property fmtid="{D5CDD505-2E9C-101B-9397-08002B2CF9AE}" pid="4" name="KSOTemplateDocerSaveRecord">
    <vt:lpwstr>eyJoZGlkIjoiZTU4ZWMyZjliNWJhNjcyMTIzM2Y0NjA2MjMxYzYzM2IiLCJ1c2VySWQiOiIxNzUyNTczMTUwIn0=</vt:lpwstr>
  </property>
</Properties>
</file>