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479D">
      <w:pPr>
        <w:spacing w:line="720" w:lineRule="auto"/>
        <w:ind w:left="0" w:leftChars="0" w:firstLine="0" w:firstLineChars="0"/>
        <w:jc w:val="center"/>
        <w:rPr>
          <w:rFonts w:hint="eastAsia" w:ascii="宋体" w:hAnsi="宋体" w:cs="黑体"/>
          <w:b/>
          <w:bCs/>
          <w:sz w:val="48"/>
          <w:szCs w:val="48"/>
          <w:lang w:eastAsia="zh-CN"/>
        </w:rPr>
      </w:pPr>
      <w:bookmarkStart w:id="142" w:name="_GoBack"/>
      <w:bookmarkEnd w:id="142"/>
      <w:r>
        <w:rPr>
          <w:rFonts w:hint="eastAsia" w:ascii="宋体" w:hAnsi="宋体" w:cs="黑体"/>
          <w:b/>
          <w:bCs/>
          <w:sz w:val="48"/>
          <w:szCs w:val="48"/>
          <w:lang w:eastAsia="zh-CN"/>
        </w:rPr>
        <w:t>卢氏县干部周转房机关食堂运营管理</w:t>
      </w:r>
    </w:p>
    <w:p w14:paraId="34A95861">
      <w:pPr>
        <w:spacing w:line="720" w:lineRule="auto"/>
        <w:ind w:left="0" w:leftChars="0" w:firstLine="0" w:firstLineChars="0"/>
        <w:jc w:val="center"/>
        <w:rPr>
          <w:rFonts w:hint="eastAsia" w:ascii="宋体" w:hAnsi="宋体" w:eastAsia="宋体" w:cs="黑体"/>
          <w:b/>
          <w:bCs/>
          <w:sz w:val="48"/>
          <w:szCs w:val="48"/>
          <w:lang w:eastAsia="zh-CN"/>
        </w:rPr>
      </w:pPr>
      <w:r>
        <w:rPr>
          <w:rFonts w:hint="eastAsia" w:ascii="宋体" w:hAnsi="宋体" w:cs="黑体"/>
          <w:b/>
          <w:bCs/>
          <w:sz w:val="48"/>
          <w:szCs w:val="48"/>
          <w:lang w:eastAsia="zh-CN"/>
        </w:rPr>
        <w:t>服务项目</w:t>
      </w:r>
    </w:p>
    <w:p w14:paraId="674A4101">
      <w:pPr>
        <w:spacing w:line="720" w:lineRule="auto"/>
        <w:jc w:val="center"/>
        <w:rPr>
          <w:rFonts w:ascii="宋体" w:hAnsi="宋体" w:cs="黑体"/>
          <w:sz w:val="48"/>
          <w:szCs w:val="48"/>
        </w:rPr>
      </w:pPr>
    </w:p>
    <w:p w14:paraId="3955CE53">
      <w:pPr>
        <w:spacing w:line="720" w:lineRule="auto"/>
        <w:ind w:left="0" w:leftChars="0" w:firstLine="0" w:firstLineChars="0"/>
        <w:jc w:val="center"/>
        <w:rPr>
          <w:rFonts w:ascii="宋体" w:hAnsi="宋体" w:cs="宋体"/>
          <w:kern w:val="2"/>
          <w:sz w:val="28"/>
          <w:szCs w:val="28"/>
        </w:rPr>
      </w:pPr>
      <w:r>
        <w:rPr>
          <w:rFonts w:hint="eastAsia" w:ascii="宋体" w:hAnsi="宋体" w:cs="黑体"/>
          <w:sz w:val="48"/>
          <w:szCs w:val="48"/>
        </w:rPr>
        <w:t>竞争性磋商文件</w:t>
      </w:r>
    </w:p>
    <w:p w14:paraId="4969E6FA">
      <w:pPr>
        <w:jc w:val="center"/>
        <w:rPr>
          <w:rFonts w:ascii="宋体" w:hAnsi="宋体" w:cs="黑体"/>
          <w:sz w:val="24"/>
          <w:szCs w:val="24"/>
        </w:rPr>
      </w:pPr>
    </w:p>
    <w:p w14:paraId="0BB0C3B4">
      <w:pPr>
        <w:pStyle w:val="7"/>
        <w:rPr>
          <w:rFonts w:ascii="宋体" w:hAnsi="宋体"/>
          <w:sz w:val="24"/>
        </w:rPr>
      </w:pPr>
    </w:p>
    <w:p w14:paraId="2A95974A">
      <w:pPr>
        <w:jc w:val="center"/>
        <w:rPr>
          <w:rFonts w:hint="eastAsia" w:ascii="宋体" w:hAnsi="宋体" w:eastAsia="宋体"/>
          <w:sz w:val="32"/>
          <w:szCs w:val="32"/>
          <w:lang w:eastAsia="zh-CN"/>
        </w:rPr>
      </w:pPr>
      <w:r>
        <w:rPr>
          <w:rFonts w:hint="eastAsia" w:ascii="宋体" w:hAnsi="宋体"/>
          <w:sz w:val="32"/>
          <w:szCs w:val="32"/>
          <w:lang w:eastAsia="zh-CN"/>
        </w:rPr>
        <w:t>项目编号：</w:t>
      </w:r>
      <w:r>
        <w:rPr>
          <w:rFonts w:hint="eastAsia" w:ascii="宋体" w:hAnsi="宋体" w:cs="宋体"/>
          <w:spacing w:val="6"/>
          <w:kern w:val="2"/>
          <w:sz w:val="32"/>
          <w:szCs w:val="32"/>
          <w:lang w:eastAsia="zh-CN"/>
        </w:rPr>
        <w:t>三卢竞磋采购-2026-39、LSGZ[2026]097-ZC072</w:t>
      </w:r>
    </w:p>
    <w:p w14:paraId="471C64B7">
      <w:pPr>
        <w:pStyle w:val="7"/>
        <w:jc w:val="center"/>
        <w:rPr>
          <w:rFonts w:ascii="宋体" w:hAnsi="宋体"/>
          <w:sz w:val="30"/>
          <w:szCs w:val="30"/>
        </w:rPr>
      </w:pPr>
    </w:p>
    <w:p w14:paraId="28661BC7"/>
    <w:p w14:paraId="76469539"/>
    <w:p w14:paraId="0C8809E5">
      <w:pPr>
        <w:jc w:val="center"/>
        <w:rPr>
          <w:rFonts w:ascii="宋体" w:hAnsi="宋体" w:cs="黑体"/>
          <w:sz w:val="30"/>
          <w:szCs w:val="30"/>
        </w:rPr>
      </w:pPr>
    </w:p>
    <w:p w14:paraId="3A38A8F3">
      <w:pPr>
        <w:jc w:val="center"/>
        <w:rPr>
          <w:rFonts w:hint="eastAsia" w:ascii="宋体" w:hAnsi="宋体" w:cs="黑体"/>
          <w:sz w:val="30"/>
          <w:szCs w:val="30"/>
        </w:rPr>
      </w:pPr>
    </w:p>
    <w:p w14:paraId="22257002">
      <w:pPr>
        <w:jc w:val="center"/>
        <w:rPr>
          <w:rFonts w:hint="eastAsia" w:ascii="宋体" w:hAnsi="宋体" w:cs="黑体"/>
          <w:sz w:val="30"/>
          <w:szCs w:val="30"/>
        </w:rPr>
      </w:pPr>
    </w:p>
    <w:p w14:paraId="076A49D6">
      <w:pPr>
        <w:jc w:val="center"/>
        <w:rPr>
          <w:rFonts w:hint="eastAsia" w:ascii="宋体" w:hAnsi="宋体" w:cs="黑体"/>
          <w:sz w:val="30"/>
          <w:szCs w:val="30"/>
        </w:rPr>
      </w:pPr>
    </w:p>
    <w:p w14:paraId="2B97FB91">
      <w:pPr>
        <w:jc w:val="center"/>
        <w:rPr>
          <w:rFonts w:hint="eastAsia" w:ascii="宋体" w:hAnsi="宋体" w:cs="黑体"/>
          <w:sz w:val="30"/>
          <w:szCs w:val="30"/>
        </w:rPr>
      </w:pPr>
    </w:p>
    <w:p w14:paraId="67C9B0FE">
      <w:pPr>
        <w:jc w:val="center"/>
        <w:rPr>
          <w:rFonts w:hint="eastAsia" w:ascii="宋体" w:hAnsi="宋体" w:cs="黑体"/>
          <w:sz w:val="30"/>
          <w:szCs w:val="30"/>
        </w:rPr>
      </w:pPr>
    </w:p>
    <w:p w14:paraId="2B9525EC">
      <w:pPr>
        <w:jc w:val="center"/>
        <w:rPr>
          <w:rFonts w:hint="eastAsia" w:ascii="宋体" w:hAnsi="宋体" w:cs="黑体"/>
          <w:sz w:val="30"/>
          <w:szCs w:val="30"/>
        </w:rPr>
      </w:pPr>
    </w:p>
    <w:p w14:paraId="00746C08">
      <w:pPr>
        <w:ind w:left="0" w:leftChars="0" w:firstLine="0" w:firstLineChars="0"/>
        <w:jc w:val="center"/>
        <w:rPr>
          <w:rFonts w:hint="eastAsia" w:ascii="宋体" w:hAnsi="宋体" w:eastAsia="宋体" w:cs="黑体"/>
          <w:sz w:val="30"/>
          <w:szCs w:val="30"/>
          <w:lang w:eastAsia="zh-CN"/>
        </w:rPr>
      </w:pPr>
      <w:r>
        <w:rPr>
          <w:rFonts w:hint="eastAsia" w:ascii="宋体" w:hAnsi="宋体" w:cs="黑体"/>
          <w:sz w:val="30"/>
          <w:szCs w:val="30"/>
        </w:rPr>
        <w:t>采购人：</w:t>
      </w:r>
      <w:r>
        <w:rPr>
          <w:rFonts w:hint="eastAsia" w:ascii="宋体" w:hAnsi="宋体" w:cs="黑体"/>
          <w:sz w:val="30"/>
          <w:szCs w:val="30"/>
          <w:lang w:eastAsia="zh-CN"/>
        </w:rPr>
        <w:t>卢氏县机关事务中心</w:t>
      </w:r>
    </w:p>
    <w:p w14:paraId="2D000D23">
      <w:pPr>
        <w:ind w:left="0" w:leftChars="0" w:firstLine="0" w:firstLineChars="0"/>
        <w:jc w:val="center"/>
        <w:rPr>
          <w:rFonts w:ascii="宋体" w:hAnsi="宋体" w:cs="黑体"/>
          <w:sz w:val="30"/>
          <w:szCs w:val="30"/>
        </w:rPr>
      </w:pPr>
      <w:r>
        <w:rPr>
          <w:rFonts w:hint="eastAsia" w:ascii="宋体" w:hAnsi="宋体" w:cs="黑体"/>
          <w:sz w:val="30"/>
          <w:szCs w:val="30"/>
        </w:rPr>
        <w:t>代理机构：</w:t>
      </w:r>
      <w:r>
        <w:rPr>
          <w:rFonts w:hint="eastAsia" w:ascii="宋体" w:hAnsi="宋体" w:cs="黑体"/>
          <w:sz w:val="30"/>
          <w:szCs w:val="30"/>
          <w:lang w:eastAsia="zh-CN"/>
        </w:rPr>
        <w:t>大业信息技术（河南）有限公司</w:t>
      </w:r>
    </w:p>
    <w:p w14:paraId="5F4121F2">
      <w:pPr>
        <w:widowControl w:val="0"/>
        <w:jc w:val="center"/>
        <w:rPr>
          <w:rFonts w:hint="eastAsia" w:ascii="宋体" w:hAnsi="宋体" w:cs="黑体"/>
          <w:sz w:val="30"/>
          <w:szCs w:val="30"/>
        </w:rPr>
        <w:sectPr>
          <w:footerReference r:id="rId5" w:type="default"/>
          <w:pgSz w:w="11906" w:h="16838"/>
          <w:pgMar w:top="1135" w:right="1196" w:bottom="1135" w:left="1418" w:header="720" w:footer="720" w:gutter="0"/>
          <w:pgNumType w:start="1"/>
          <w:cols w:space="720" w:num="1"/>
          <w:docGrid w:type="lines" w:linePitch="312" w:charSpace="0"/>
        </w:sectPr>
      </w:pPr>
      <w:r>
        <w:rPr>
          <w:rFonts w:hint="eastAsia" w:ascii="宋体" w:hAnsi="宋体" w:cs="黑体"/>
          <w:sz w:val="30"/>
          <w:szCs w:val="30"/>
        </w:rPr>
        <w:t>日期：二零二</w:t>
      </w:r>
      <w:r>
        <w:rPr>
          <w:rFonts w:hint="eastAsia" w:ascii="宋体" w:hAnsi="宋体" w:cs="黑体"/>
          <w:sz w:val="30"/>
          <w:szCs w:val="30"/>
          <w:lang w:val="en-US" w:eastAsia="zh-CN"/>
        </w:rPr>
        <w:t>六</w:t>
      </w:r>
      <w:r>
        <w:rPr>
          <w:rFonts w:hint="eastAsia" w:ascii="宋体" w:hAnsi="宋体" w:cs="黑体"/>
          <w:sz w:val="30"/>
          <w:szCs w:val="30"/>
        </w:rPr>
        <w:t>年</w:t>
      </w:r>
      <w:r>
        <w:rPr>
          <w:rFonts w:hint="eastAsia" w:ascii="宋体" w:hAnsi="宋体" w:cs="黑体"/>
          <w:sz w:val="30"/>
          <w:szCs w:val="30"/>
          <w:lang w:val="en-US" w:eastAsia="zh-CN"/>
        </w:rPr>
        <w:t>五</w:t>
      </w:r>
      <w:r>
        <w:rPr>
          <w:rFonts w:hint="eastAsia" w:ascii="宋体" w:hAnsi="宋体" w:cs="黑体"/>
          <w:sz w:val="30"/>
          <w:szCs w:val="30"/>
        </w:rPr>
        <w:t>月</w:t>
      </w:r>
    </w:p>
    <w:sdt>
      <w:sdtPr>
        <w:rPr>
          <w:rFonts w:ascii="宋体" w:hAnsi="宋体" w:eastAsia="宋体" w:cs="Times New Roman"/>
          <w:kern w:val="2"/>
          <w:sz w:val="21"/>
          <w:szCs w:val="24"/>
          <w:lang w:val="en-US" w:eastAsia="zh-CN" w:bidi="ar-SA"/>
        </w:rPr>
        <w:id w:val="147467404"/>
        <w15:color w:val="DBDBDB"/>
        <w:docPartObj>
          <w:docPartGallery w:val="Table of Contents"/>
          <w:docPartUnique/>
        </w:docPartObj>
      </w:sdtPr>
      <w:sdtEndPr>
        <w:rPr>
          <w:rFonts w:hint="eastAsia" w:ascii="Times New Roman" w:hAnsi="Times New Roman" w:eastAsia="宋体" w:cs="Times New Roman"/>
          <w:kern w:val="2"/>
          <w:sz w:val="28"/>
          <w:szCs w:val="24"/>
          <w:lang w:val="en-US" w:eastAsia="zh-CN" w:bidi="ar-SA"/>
        </w:rPr>
      </w:sdtEndPr>
      <w:sdtContent>
        <w:p w14:paraId="48CBF8F0">
          <w:pPr>
            <w:spacing w:before="0" w:beforeLines="0" w:after="0" w:afterLines="0" w:line="600" w:lineRule="auto"/>
            <w:ind w:left="0" w:leftChars="0" w:right="0" w:rightChars="0" w:firstLine="0" w:firstLineChars="0"/>
            <w:jc w:val="center"/>
            <w:rPr>
              <w:sz w:val="44"/>
              <w:szCs w:val="40"/>
            </w:rPr>
          </w:pPr>
          <w:r>
            <w:rPr>
              <w:rFonts w:ascii="宋体" w:hAnsi="宋体" w:eastAsia="宋体"/>
              <w:sz w:val="32"/>
              <w:szCs w:val="40"/>
            </w:rPr>
            <w:t>目</w:t>
          </w:r>
          <w:r>
            <w:rPr>
              <w:rFonts w:hint="eastAsia" w:ascii="宋体" w:hAnsi="宋体" w:eastAsia="宋体"/>
              <w:sz w:val="32"/>
              <w:szCs w:val="40"/>
              <w:lang w:val="en-US" w:eastAsia="zh-CN"/>
            </w:rPr>
            <w:t xml:space="preserve">  </w:t>
          </w:r>
          <w:r>
            <w:rPr>
              <w:rFonts w:ascii="宋体" w:hAnsi="宋体" w:eastAsia="宋体"/>
              <w:sz w:val="32"/>
              <w:szCs w:val="40"/>
            </w:rPr>
            <w:t>录</w:t>
          </w:r>
        </w:p>
        <w:p w14:paraId="3DC69DD4">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TOC \o "1-3" \h \u </w:instrText>
          </w:r>
          <w:r>
            <w:rPr>
              <w:rFonts w:hint="eastAsia"/>
              <w:sz w:val="32"/>
              <w:szCs w:val="40"/>
              <w:lang w:eastAsia="zh-CN"/>
            </w:rPr>
            <w:fldChar w:fldCharType="separate"/>
          </w:r>
          <w:r>
            <w:rPr>
              <w:rFonts w:hint="eastAsia"/>
              <w:sz w:val="32"/>
              <w:szCs w:val="40"/>
              <w:lang w:eastAsia="zh-CN"/>
            </w:rPr>
            <w:fldChar w:fldCharType="begin"/>
          </w:r>
          <w:r>
            <w:rPr>
              <w:rFonts w:hint="eastAsia"/>
              <w:sz w:val="32"/>
              <w:szCs w:val="40"/>
              <w:lang w:eastAsia="zh-CN"/>
            </w:rPr>
            <w:instrText xml:space="preserve"> HYPERLINK \l _Toc3184 </w:instrText>
          </w:r>
          <w:r>
            <w:rPr>
              <w:rFonts w:hint="eastAsia"/>
              <w:sz w:val="32"/>
              <w:szCs w:val="40"/>
              <w:lang w:eastAsia="zh-CN"/>
            </w:rPr>
            <w:fldChar w:fldCharType="separate"/>
          </w:r>
          <w:r>
            <w:rPr>
              <w:rFonts w:hint="eastAsia" w:ascii="黑体" w:cs="宋体"/>
              <w:kern w:val="2"/>
              <w:sz w:val="32"/>
              <w:szCs w:val="44"/>
            </w:rPr>
            <w:t>第一章    竞争性磋商公告</w:t>
          </w:r>
          <w:r>
            <w:rPr>
              <w:sz w:val="32"/>
              <w:szCs w:val="40"/>
            </w:rPr>
            <w:tab/>
          </w:r>
          <w:r>
            <w:rPr>
              <w:sz w:val="32"/>
              <w:szCs w:val="40"/>
            </w:rPr>
            <w:fldChar w:fldCharType="begin"/>
          </w:r>
          <w:r>
            <w:rPr>
              <w:sz w:val="32"/>
              <w:szCs w:val="40"/>
            </w:rPr>
            <w:instrText xml:space="preserve"> PAGEREF _Toc3184 \h </w:instrText>
          </w:r>
          <w:r>
            <w:rPr>
              <w:sz w:val="32"/>
              <w:szCs w:val="40"/>
            </w:rPr>
            <w:fldChar w:fldCharType="separate"/>
          </w:r>
          <w:r>
            <w:rPr>
              <w:sz w:val="32"/>
              <w:szCs w:val="40"/>
            </w:rPr>
            <w:t>1</w:t>
          </w:r>
          <w:r>
            <w:rPr>
              <w:sz w:val="32"/>
              <w:szCs w:val="40"/>
            </w:rPr>
            <w:fldChar w:fldCharType="end"/>
          </w:r>
          <w:r>
            <w:rPr>
              <w:rFonts w:hint="eastAsia"/>
              <w:sz w:val="32"/>
              <w:szCs w:val="40"/>
              <w:lang w:eastAsia="zh-CN"/>
            </w:rPr>
            <w:fldChar w:fldCharType="end"/>
          </w:r>
        </w:p>
        <w:p w14:paraId="786D9A1D">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_Toc6662 </w:instrText>
          </w:r>
          <w:r>
            <w:rPr>
              <w:rFonts w:hint="eastAsia"/>
              <w:sz w:val="32"/>
              <w:szCs w:val="40"/>
              <w:lang w:eastAsia="zh-CN"/>
            </w:rPr>
            <w:fldChar w:fldCharType="separate"/>
          </w:r>
          <w:r>
            <w:rPr>
              <w:rFonts w:hint="eastAsia" w:ascii="黑体" w:cs="宋体"/>
              <w:kern w:val="2"/>
              <w:sz w:val="32"/>
              <w:szCs w:val="44"/>
            </w:rPr>
            <w:t>第二章</w:t>
          </w:r>
          <w:r>
            <w:rPr>
              <w:rFonts w:hint="eastAsia" w:ascii="黑体" w:cs="黑体"/>
              <w:kern w:val="2"/>
              <w:sz w:val="32"/>
              <w:szCs w:val="44"/>
            </w:rPr>
            <w:t xml:space="preserve">    </w:t>
          </w:r>
          <w:r>
            <w:rPr>
              <w:rFonts w:hint="eastAsia" w:ascii="黑体" w:cs="宋体"/>
              <w:kern w:val="2"/>
              <w:sz w:val="32"/>
              <w:szCs w:val="44"/>
            </w:rPr>
            <w:t>供应商须知</w:t>
          </w:r>
          <w:r>
            <w:rPr>
              <w:sz w:val="32"/>
              <w:szCs w:val="40"/>
            </w:rPr>
            <w:tab/>
          </w:r>
          <w:r>
            <w:rPr>
              <w:sz w:val="32"/>
              <w:szCs w:val="40"/>
            </w:rPr>
            <w:fldChar w:fldCharType="begin"/>
          </w:r>
          <w:r>
            <w:rPr>
              <w:sz w:val="32"/>
              <w:szCs w:val="40"/>
            </w:rPr>
            <w:instrText xml:space="preserve"> PAGEREF _Toc6662 \h </w:instrText>
          </w:r>
          <w:r>
            <w:rPr>
              <w:sz w:val="32"/>
              <w:szCs w:val="40"/>
            </w:rPr>
            <w:fldChar w:fldCharType="separate"/>
          </w:r>
          <w:r>
            <w:rPr>
              <w:sz w:val="32"/>
              <w:szCs w:val="40"/>
            </w:rPr>
            <w:t>6</w:t>
          </w:r>
          <w:r>
            <w:rPr>
              <w:sz w:val="32"/>
              <w:szCs w:val="40"/>
            </w:rPr>
            <w:fldChar w:fldCharType="end"/>
          </w:r>
          <w:r>
            <w:rPr>
              <w:rFonts w:hint="eastAsia"/>
              <w:sz w:val="32"/>
              <w:szCs w:val="40"/>
              <w:lang w:eastAsia="zh-CN"/>
            </w:rPr>
            <w:fldChar w:fldCharType="end"/>
          </w:r>
        </w:p>
        <w:p w14:paraId="5EFA88E7">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_Toc18200 </w:instrText>
          </w:r>
          <w:r>
            <w:rPr>
              <w:rFonts w:hint="eastAsia"/>
              <w:sz w:val="32"/>
              <w:szCs w:val="40"/>
              <w:lang w:eastAsia="zh-CN"/>
            </w:rPr>
            <w:fldChar w:fldCharType="separate"/>
          </w:r>
          <w:r>
            <w:rPr>
              <w:rFonts w:hint="eastAsia" w:ascii="黑体" w:cs="宋体"/>
              <w:kern w:val="2"/>
              <w:sz w:val="32"/>
              <w:szCs w:val="44"/>
            </w:rPr>
            <w:t xml:space="preserve">第三章 </w:t>
          </w:r>
          <w:r>
            <w:rPr>
              <w:rFonts w:hint="eastAsia" w:ascii="黑体" w:cs="宋体"/>
              <w:kern w:val="2"/>
              <w:sz w:val="32"/>
              <w:szCs w:val="44"/>
              <w:lang w:val="en-US" w:eastAsia="zh-CN"/>
            </w:rPr>
            <w:t xml:space="preserve">   </w:t>
          </w:r>
          <w:r>
            <w:rPr>
              <w:rFonts w:hint="eastAsia" w:ascii="黑体" w:cs="宋体"/>
              <w:kern w:val="2"/>
              <w:sz w:val="32"/>
              <w:szCs w:val="44"/>
            </w:rPr>
            <w:t>服务需求</w:t>
          </w:r>
          <w:r>
            <w:rPr>
              <w:sz w:val="32"/>
              <w:szCs w:val="40"/>
            </w:rPr>
            <w:tab/>
          </w:r>
          <w:r>
            <w:rPr>
              <w:sz w:val="32"/>
              <w:szCs w:val="40"/>
            </w:rPr>
            <w:fldChar w:fldCharType="begin"/>
          </w:r>
          <w:r>
            <w:rPr>
              <w:sz w:val="32"/>
              <w:szCs w:val="40"/>
            </w:rPr>
            <w:instrText xml:space="preserve"> PAGEREF _Toc18200 \h </w:instrText>
          </w:r>
          <w:r>
            <w:rPr>
              <w:sz w:val="32"/>
              <w:szCs w:val="40"/>
            </w:rPr>
            <w:fldChar w:fldCharType="separate"/>
          </w:r>
          <w:r>
            <w:rPr>
              <w:sz w:val="32"/>
              <w:szCs w:val="40"/>
            </w:rPr>
            <w:t>19</w:t>
          </w:r>
          <w:r>
            <w:rPr>
              <w:sz w:val="32"/>
              <w:szCs w:val="40"/>
            </w:rPr>
            <w:fldChar w:fldCharType="end"/>
          </w:r>
          <w:r>
            <w:rPr>
              <w:rFonts w:hint="eastAsia"/>
              <w:sz w:val="32"/>
              <w:szCs w:val="40"/>
              <w:lang w:eastAsia="zh-CN"/>
            </w:rPr>
            <w:fldChar w:fldCharType="end"/>
          </w:r>
        </w:p>
        <w:p w14:paraId="585250B3">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_Toc26911 </w:instrText>
          </w:r>
          <w:r>
            <w:rPr>
              <w:rFonts w:hint="eastAsia"/>
              <w:sz w:val="32"/>
              <w:szCs w:val="40"/>
              <w:lang w:eastAsia="zh-CN"/>
            </w:rPr>
            <w:fldChar w:fldCharType="separate"/>
          </w:r>
          <w:r>
            <w:rPr>
              <w:rFonts w:hint="eastAsia" w:ascii="黑体" w:cs="宋体"/>
              <w:kern w:val="2"/>
              <w:sz w:val="32"/>
              <w:szCs w:val="44"/>
            </w:rPr>
            <w:t xml:space="preserve">第四章 </w:t>
          </w:r>
          <w:r>
            <w:rPr>
              <w:rFonts w:hint="eastAsia" w:ascii="黑体" w:cs="宋体"/>
              <w:kern w:val="2"/>
              <w:sz w:val="32"/>
              <w:szCs w:val="44"/>
              <w:lang w:val="en-US" w:eastAsia="zh-CN"/>
            </w:rPr>
            <w:t xml:space="preserve">   </w:t>
          </w:r>
          <w:r>
            <w:rPr>
              <w:rFonts w:hint="eastAsia" w:ascii="黑体" w:cs="宋体"/>
              <w:kern w:val="2"/>
              <w:sz w:val="32"/>
              <w:szCs w:val="44"/>
            </w:rPr>
            <w:t>合同主要条款</w:t>
          </w:r>
          <w:r>
            <w:rPr>
              <w:sz w:val="32"/>
              <w:szCs w:val="40"/>
            </w:rPr>
            <w:tab/>
          </w:r>
          <w:r>
            <w:rPr>
              <w:sz w:val="32"/>
              <w:szCs w:val="40"/>
            </w:rPr>
            <w:fldChar w:fldCharType="begin"/>
          </w:r>
          <w:r>
            <w:rPr>
              <w:sz w:val="32"/>
              <w:szCs w:val="40"/>
            </w:rPr>
            <w:instrText xml:space="preserve"> PAGEREF _Toc26911 \h </w:instrText>
          </w:r>
          <w:r>
            <w:rPr>
              <w:sz w:val="32"/>
              <w:szCs w:val="40"/>
            </w:rPr>
            <w:fldChar w:fldCharType="separate"/>
          </w:r>
          <w:r>
            <w:rPr>
              <w:sz w:val="32"/>
              <w:szCs w:val="40"/>
            </w:rPr>
            <w:t>22</w:t>
          </w:r>
          <w:r>
            <w:rPr>
              <w:sz w:val="32"/>
              <w:szCs w:val="40"/>
            </w:rPr>
            <w:fldChar w:fldCharType="end"/>
          </w:r>
          <w:r>
            <w:rPr>
              <w:rFonts w:hint="eastAsia"/>
              <w:sz w:val="32"/>
              <w:szCs w:val="40"/>
              <w:lang w:eastAsia="zh-CN"/>
            </w:rPr>
            <w:fldChar w:fldCharType="end"/>
          </w:r>
        </w:p>
        <w:p w14:paraId="3FE99BBB">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_Toc4085 </w:instrText>
          </w:r>
          <w:r>
            <w:rPr>
              <w:rFonts w:hint="eastAsia"/>
              <w:sz w:val="32"/>
              <w:szCs w:val="40"/>
              <w:lang w:eastAsia="zh-CN"/>
            </w:rPr>
            <w:fldChar w:fldCharType="separate"/>
          </w:r>
          <w:r>
            <w:rPr>
              <w:rFonts w:hint="eastAsia" w:ascii="黑体" w:cs="宋体"/>
              <w:kern w:val="2"/>
              <w:sz w:val="32"/>
              <w:szCs w:val="44"/>
            </w:rPr>
            <w:t xml:space="preserve">第五章 </w:t>
          </w:r>
          <w:r>
            <w:rPr>
              <w:rFonts w:hint="eastAsia" w:ascii="黑体" w:cs="宋体"/>
              <w:kern w:val="2"/>
              <w:sz w:val="32"/>
              <w:szCs w:val="44"/>
              <w:lang w:val="en-US" w:eastAsia="zh-CN"/>
            </w:rPr>
            <w:t xml:space="preserve">   </w:t>
          </w:r>
          <w:r>
            <w:rPr>
              <w:rFonts w:hint="eastAsia" w:ascii="黑体" w:cs="宋体"/>
              <w:kern w:val="2"/>
              <w:sz w:val="32"/>
              <w:szCs w:val="44"/>
            </w:rPr>
            <w:t>评审标准</w:t>
          </w:r>
          <w:r>
            <w:rPr>
              <w:sz w:val="32"/>
              <w:szCs w:val="40"/>
            </w:rPr>
            <w:tab/>
          </w:r>
          <w:r>
            <w:rPr>
              <w:sz w:val="32"/>
              <w:szCs w:val="40"/>
            </w:rPr>
            <w:fldChar w:fldCharType="begin"/>
          </w:r>
          <w:r>
            <w:rPr>
              <w:sz w:val="32"/>
              <w:szCs w:val="40"/>
            </w:rPr>
            <w:instrText xml:space="preserve"> PAGEREF _Toc4085 \h </w:instrText>
          </w:r>
          <w:r>
            <w:rPr>
              <w:sz w:val="32"/>
              <w:szCs w:val="40"/>
            </w:rPr>
            <w:fldChar w:fldCharType="separate"/>
          </w:r>
          <w:r>
            <w:rPr>
              <w:sz w:val="32"/>
              <w:szCs w:val="40"/>
            </w:rPr>
            <w:t>28</w:t>
          </w:r>
          <w:r>
            <w:rPr>
              <w:sz w:val="32"/>
              <w:szCs w:val="40"/>
            </w:rPr>
            <w:fldChar w:fldCharType="end"/>
          </w:r>
          <w:r>
            <w:rPr>
              <w:rFonts w:hint="eastAsia"/>
              <w:sz w:val="32"/>
              <w:szCs w:val="40"/>
              <w:lang w:eastAsia="zh-CN"/>
            </w:rPr>
            <w:fldChar w:fldCharType="end"/>
          </w:r>
        </w:p>
        <w:p w14:paraId="1A153362">
          <w:pPr>
            <w:pStyle w:val="13"/>
            <w:tabs>
              <w:tab w:val="right" w:leader="dot" w:pos="9247"/>
            </w:tabs>
            <w:spacing w:line="600" w:lineRule="auto"/>
            <w:rPr>
              <w:sz w:val="32"/>
              <w:szCs w:val="40"/>
            </w:rPr>
          </w:pPr>
          <w:r>
            <w:rPr>
              <w:rFonts w:hint="eastAsia"/>
              <w:sz w:val="32"/>
              <w:szCs w:val="40"/>
              <w:lang w:eastAsia="zh-CN"/>
            </w:rPr>
            <w:fldChar w:fldCharType="begin"/>
          </w:r>
          <w:r>
            <w:rPr>
              <w:rFonts w:hint="eastAsia"/>
              <w:sz w:val="32"/>
              <w:szCs w:val="40"/>
              <w:lang w:eastAsia="zh-CN"/>
            </w:rPr>
            <w:instrText xml:space="preserve"> HYPERLINK \l _Toc1883 </w:instrText>
          </w:r>
          <w:r>
            <w:rPr>
              <w:rFonts w:hint="eastAsia"/>
              <w:sz w:val="32"/>
              <w:szCs w:val="40"/>
              <w:lang w:eastAsia="zh-CN"/>
            </w:rPr>
            <w:fldChar w:fldCharType="separate"/>
          </w:r>
          <w:r>
            <w:rPr>
              <w:rFonts w:hint="eastAsia" w:ascii="宋体" w:hAnsi="宋体" w:cs="宋体"/>
              <w:kern w:val="2"/>
              <w:sz w:val="32"/>
              <w:szCs w:val="44"/>
            </w:rPr>
            <w:t xml:space="preserve">第六章  </w:t>
          </w:r>
          <w:r>
            <w:rPr>
              <w:rFonts w:hint="eastAsia" w:ascii="宋体" w:hAnsi="宋体" w:cs="宋体"/>
              <w:kern w:val="2"/>
              <w:sz w:val="32"/>
              <w:szCs w:val="44"/>
              <w:lang w:val="en-US" w:eastAsia="zh-CN"/>
            </w:rPr>
            <w:t xml:space="preserve">  </w:t>
          </w:r>
          <w:r>
            <w:rPr>
              <w:rFonts w:hint="eastAsia" w:ascii="宋体" w:hAnsi="宋体" w:cs="宋体"/>
              <w:kern w:val="2"/>
              <w:sz w:val="32"/>
              <w:szCs w:val="44"/>
            </w:rPr>
            <w:t>磋商文件格式</w:t>
          </w:r>
          <w:r>
            <w:rPr>
              <w:sz w:val="32"/>
              <w:szCs w:val="40"/>
            </w:rPr>
            <w:tab/>
          </w:r>
          <w:r>
            <w:rPr>
              <w:sz w:val="32"/>
              <w:szCs w:val="40"/>
            </w:rPr>
            <w:fldChar w:fldCharType="begin"/>
          </w:r>
          <w:r>
            <w:rPr>
              <w:sz w:val="32"/>
              <w:szCs w:val="40"/>
            </w:rPr>
            <w:instrText xml:space="preserve"> PAGEREF _Toc1883 \h </w:instrText>
          </w:r>
          <w:r>
            <w:rPr>
              <w:sz w:val="32"/>
              <w:szCs w:val="40"/>
            </w:rPr>
            <w:fldChar w:fldCharType="separate"/>
          </w:r>
          <w:r>
            <w:rPr>
              <w:sz w:val="32"/>
              <w:szCs w:val="40"/>
            </w:rPr>
            <w:t>38</w:t>
          </w:r>
          <w:r>
            <w:rPr>
              <w:sz w:val="32"/>
              <w:szCs w:val="40"/>
            </w:rPr>
            <w:fldChar w:fldCharType="end"/>
          </w:r>
          <w:r>
            <w:rPr>
              <w:rFonts w:hint="eastAsia"/>
              <w:sz w:val="32"/>
              <w:szCs w:val="40"/>
              <w:lang w:eastAsia="zh-CN"/>
            </w:rPr>
            <w:fldChar w:fldCharType="end"/>
          </w:r>
        </w:p>
        <w:p w14:paraId="41C2F889">
          <w:pPr>
            <w:pStyle w:val="13"/>
            <w:tabs>
              <w:tab w:val="right" w:leader="dot" w:pos="9247"/>
            </w:tabs>
            <w:spacing w:line="600" w:lineRule="auto"/>
            <w:ind w:left="0" w:leftChars="0" w:firstLine="0" w:firstLineChars="0"/>
            <w:rPr>
              <w:sz w:val="32"/>
              <w:szCs w:val="40"/>
            </w:rPr>
          </w:pPr>
        </w:p>
        <w:p w14:paraId="0A3E8456">
          <w:pPr>
            <w:spacing w:line="600" w:lineRule="auto"/>
            <w:rPr>
              <w:rFonts w:hint="eastAsia" w:ascii="Times New Roman" w:hAnsi="Times New Roman" w:eastAsia="宋体" w:cs="Times New Roman"/>
              <w:kern w:val="2"/>
              <w:sz w:val="28"/>
              <w:szCs w:val="24"/>
              <w:lang w:val="en-US" w:eastAsia="zh-CN" w:bidi="ar-SA"/>
            </w:rPr>
          </w:pPr>
          <w:r>
            <w:rPr>
              <w:rFonts w:hint="eastAsia"/>
              <w:sz w:val="44"/>
              <w:szCs w:val="40"/>
              <w:lang w:eastAsia="zh-CN"/>
            </w:rPr>
            <w:fldChar w:fldCharType="end"/>
          </w:r>
        </w:p>
      </w:sdtContent>
    </w:sdt>
    <w:p w14:paraId="6F68799E">
      <w:pPr>
        <w:rPr>
          <w:rFonts w:hint="eastAsia" w:ascii="Times New Roman" w:hAnsi="Times New Roman" w:eastAsia="宋体" w:cs="Times New Roman"/>
          <w:kern w:val="2"/>
          <w:sz w:val="28"/>
          <w:szCs w:val="24"/>
          <w:lang w:val="en-US" w:eastAsia="zh-CN" w:bidi="ar-SA"/>
        </w:rPr>
      </w:pPr>
    </w:p>
    <w:p w14:paraId="424675C7">
      <w:pPr>
        <w:keepNext/>
        <w:widowControl w:val="0"/>
        <w:spacing w:before="100" w:beforeAutospacing="1" w:after="100" w:afterAutospacing="1" w:line="520" w:lineRule="exact"/>
        <w:jc w:val="center"/>
        <w:outlineLvl w:val="9"/>
        <w:rPr>
          <w:rFonts w:ascii="黑体" w:cs="宋体"/>
          <w:b/>
          <w:kern w:val="2"/>
          <w:sz w:val="24"/>
          <w:szCs w:val="24"/>
        </w:rPr>
      </w:pPr>
    </w:p>
    <w:p w14:paraId="18285520">
      <w:pPr>
        <w:keepNext/>
        <w:widowControl w:val="0"/>
        <w:spacing w:before="100" w:beforeAutospacing="1" w:after="100" w:afterAutospacing="1" w:line="520" w:lineRule="exact"/>
        <w:jc w:val="center"/>
        <w:outlineLvl w:val="9"/>
        <w:rPr>
          <w:rFonts w:ascii="黑体" w:cs="宋体"/>
          <w:b/>
          <w:kern w:val="2"/>
          <w:sz w:val="24"/>
          <w:szCs w:val="24"/>
        </w:rPr>
      </w:pPr>
    </w:p>
    <w:p w14:paraId="0E080E6E">
      <w:pPr>
        <w:keepNext/>
        <w:widowControl w:val="0"/>
        <w:spacing w:before="100" w:beforeAutospacing="1" w:after="100" w:afterAutospacing="1" w:line="520" w:lineRule="exact"/>
        <w:jc w:val="center"/>
        <w:outlineLvl w:val="9"/>
        <w:rPr>
          <w:rFonts w:ascii="黑体" w:cs="宋体"/>
          <w:b/>
          <w:kern w:val="2"/>
          <w:sz w:val="24"/>
          <w:szCs w:val="24"/>
        </w:rPr>
      </w:pPr>
    </w:p>
    <w:p w14:paraId="4577CF65">
      <w:pPr>
        <w:keepNext/>
        <w:widowControl w:val="0"/>
        <w:spacing w:before="100" w:beforeAutospacing="1" w:after="100" w:afterAutospacing="1" w:line="520" w:lineRule="exact"/>
        <w:jc w:val="center"/>
        <w:outlineLvl w:val="9"/>
        <w:rPr>
          <w:rFonts w:ascii="黑体" w:cs="宋体"/>
          <w:b/>
          <w:kern w:val="2"/>
          <w:sz w:val="24"/>
          <w:szCs w:val="24"/>
        </w:rPr>
      </w:pPr>
    </w:p>
    <w:p w14:paraId="10C90767">
      <w:pPr>
        <w:keepNext/>
        <w:widowControl w:val="0"/>
        <w:spacing w:before="100" w:beforeAutospacing="1" w:after="100" w:afterAutospacing="1" w:line="520" w:lineRule="exact"/>
        <w:jc w:val="center"/>
        <w:outlineLvl w:val="9"/>
        <w:rPr>
          <w:rFonts w:ascii="黑体" w:cs="宋体"/>
          <w:b/>
          <w:kern w:val="2"/>
          <w:sz w:val="24"/>
          <w:szCs w:val="24"/>
        </w:rPr>
      </w:pPr>
    </w:p>
    <w:p w14:paraId="78CE1561"/>
    <w:p w14:paraId="1AB0C829"/>
    <w:p w14:paraId="4DAB1C55"/>
    <w:p w14:paraId="19E3778D"/>
    <w:p w14:paraId="381FA1F6">
      <w:pPr>
        <w:keepNext/>
        <w:widowControl w:val="0"/>
        <w:spacing w:before="100" w:beforeAutospacing="1" w:after="100" w:afterAutospacing="1" w:line="360" w:lineRule="auto"/>
        <w:jc w:val="center"/>
        <w:outlineLvl w:val="0"/>
        <w:rPr>
          <w:rFonts w:hint="eastAsia" w:ascii="黑体" w:cs="宋体"/>
          <w:b/>
          <w:kern w:val="2"/>
          <w:sz w:val="28"/>
          <w:szCs w:val="28"/>
        </w:rPr>
        <w:sectPr>
          <w:footerReference r:id="rId6" w:type="default"/>
          <w:pgSz w:w="11906" w:h="16838"/>
          <w:pgMar w:top="1135" w:right="1196" w:bottom="1135" w:left="1463" w:header="720" w:footer="720" w:gutter="0"/>
          <w:pgNumType w:fmt="decimal" w:start="1"/>
          <w:cols w:space="720" w:num="1"/>
          <w:docGrid w:type="lines" w:linePitch="312" w:charSpace="0"/>
        </w:sectPr>
      </w:pPr>
      <w:bookmarkStart w:id="0" w:name="_Toc3184"/>
    </w:p>
    <w:p w14:paraId="0E460DDF">
      <w:pPr>
        <w:keepNext/>
        <w:widowControl w:val="0"/>
        <w:spacing w:before="100" w:beforeAutospacing="1" w:after="100" w:afterAutospacing="1" w:line="360" w:lineRule="auto"/>
        <w:jc w:val="center"/>
        <w:outlineLvl w:val="0"/>
        <w:rPr>
          <w:rFonts w:ascii="黑体" w:cs="宋体"/>
          <w:b/>
          <w:kern w:val="2"/>
          <w:sz w:val="28"/>
          <w:szCs w:val="28"/>
        </w:rPr>
      </w:pPr>
      <w:r>
        <w:rPr>
          <w:rFonts w:hint="eastAsia" w:ascii="黑体" w:cs="宋体"/>
          <w:b/>
          <w:kern w:val="2"/>
          <w:sz w:val="28"/>
          <w:szCs w:val="28"/>
        </w:rPr>
        <w:t>第一章    竞争性磋商公告</w:t>
      </w:r>
      <w:bookmarkEnd w:id="0"/>
    </w:p>
    <w:p w14:paraId="7E6E2973">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lang w:eastAsia="zh-CN"/>
        </w:rPr>
        <w:t>大业信息技术（河南）有限公司</w:t>
      </w:r>
      <w:r>
        <w:rPr>
          <w:rFonts w:hint="eastAsia" w:ascii="宋体" w:hAnsi="宋体" w:cs="宋体"/>
          <w:kern w:val="2"/>
          <w:sz w:val="28"/>
          <w:szCs w:val="28"/>
        </w:rPr>
        <w:t>受</w:t>
      </w:r>
      <w:r>
        <w:rPr>
          <w:rFonts w:hint="eastAsia" w:ascii="宋体" w:hAnsi="宋体" w:cs="宋体"/>
          <w:kern w:val="2"/>
          <w:sz w:val="28"/>
          <w:szCs w:val="28"/>
          <w:lang w:eastAsia="zh-CN"/>
        </w:rPr>
        <w:t>卢氏县机关事务中心</w:t>
      </w:r>
      <w:r>
        <w:rPr>
          <w:rFonts w:hint="eastAsia" w:ascii="宋体" w:hAnsi="宋体" w:cs="宋体"/>
          <w:kern w:val="2"/>
          <w:sz w:val="28"/>
          <w:szCs w:val="28"/>
        </w:rPr>
        <w:t>的委托，就</w:t>
      </w:r>
      <w:r>
        <w:rPr>
          <w:rFonts w:hint="eastAsia" w:ascii="宋体" w:hAnsi="宋体" w:cs="宋体"/>
          <w:kern w:val="2"/>
          <w:sz w:val="28"/>
          <w:szCs w:val="28"/>
          <w:lang w:eastAsia="zh-CN"/>
        </w:rPr>
        <w:t>卢氏县干部周转房机关食堂运营管理服务项目</w:t>
      </w:r>
      <w:r>
        <w:rPr>
          <w:rFonts w:hint="eastAsia" w:ascii="宋体" w:hAnsi="宋体" w:cs="宋体"/>
          <w:kern w:val="2"/>
          <w:sz w:val="28"/>
          <w:szCs w:val="28"/>
        </w:rPr>
        <w:t>进行竞争性磋商采购，本项目已具备磋商条件,欢迎符合资格条件的供应商参加。</w:t>
      </w:r>
    </w:p>
    <w:p w14:paraId="13437AA7">
      <w:pPr>
        <w:widowControl w:val="0"/>
        <w:wordWrap w:val="0"/>
        <w:spacing w:line="560" w:lineRule="exact"/>
        <w:ind w:firstLine="560" w:firstLineChars="200"/>
        <w:outlineLvl w:val="0"/>
        <w:rPr>
          <w:rFonts w:hint="eastAsia" w:ascii="宋体" w:hAnsi="宋体" w:cs="宋体"/>
          <w:kern w:val="2"/>
          <w:sz w:val="28"/>
          <w:szCs w:val="28"/>
        </w:rPr>
      </w:pPr>
      <w:bookmarkStart w:id="1" w:name="_Toc2448"/>
      <w:bookmarkStart w:id="2" w:name="_Toc30020"/>
      <w:r>
        <w:rPr>
          <w:rFonts w:hint="eastAsia" w:ascii="宋体" w:hAnsi="宋体" w:cs="宋体"/>
          <w:kern w:val="2"/>
          <w:sz w:val="28"/>
          <w:szCs w:val="28"/>
        </w:rPr>
        <w:t>一、项目概况与磋商范围</w:t>
      </w:r>
      <w:bookmarkEnd w:id="1"/>
      <w:bookmarkEnd w:id="2"/>
    </w:p>
    <w:p w14:paraId="71AA1F54">
      <w:pPr>
        <w:widowControl w:val="0"/>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1、采购人：</w:t>
      </w:r>
      <w:r>
        <w:rPr>
          <w:rFonts w:hint="eastAsia" w:ascii="宋体" w:hAnsi="宋体" w:cs="宋体"/>
          <w:kern w:val="2"/>
          <w:sz w:val="28"/>
          <w:szCs w:val="28"/>
          <w:lang w:eastAsia="zh-CN"/>
        </w:rPr>
        <w:t>卢氏县机关事务中心</w:t>
      </w:r>
    </w:p>
    <w:p w14:paraId="25D19A31">
      <w:pPr>
        <w:widowControl w:val="0"/>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2、项目名称：</w:t>
      </w:r>
      <w:r>
        <w:rPr>
          <w:rFonts w:hint="eastAsia" w:ascii="宋体" w:hAnsi="宋体" w:cs="宋体"/>
          <w:kern w:val="2"/>
          <w:sz w:val="28"/>
          <w:szCs w:val="28"/>
          <w:lang w:eastAsia="zh-CN"/>
        </w:rPr>
        <w:t>卢氏县干部周转房机关食堂运营管理服务项目</w:t>
      </w:r>
    </w:p>
    <w:p w14:paraId="76C898A5">
      <w:pPr>
        <w:widowControl w:val="0"/>
        <w:wordWrap w:val="0"/>
        <w:spacing w:line="560" w:lineRule="exact"/>
        <w:ind w:firstLine="560" w:firstLineChars="200"/>
        <w:rPr>
          <w:rFonts w:hint="eastAsia" w:ascii="宋体" w:hAnsi="宋体" w:cs="宋体"/>
          <w:color w:val="000000" w:themeColor="text1"/>
          <w:kern w:val="2"/>
          <w:sz w:val="28"/>
          <w:szCs w:val="28"/>
          <w:lang w:eastAsia="zh-CN"/>
          <w14:textFill>
            <w14:solidFill>
              <w14:schemeClr w14:val="tx1"/>
            </w14:solidFill>
          </w14:textFill>
        </w:rPr>
      </w:pPr>
      <w:r>
        <w:rPr>
          <w:rFonts w:hint="eastAsia" w:ascii="宋体" w:hAnsi="宋体" w:cs="宋体"/>
          <w:kern w:val="2"/>
          <w:sz w:val="28"/>
          <w:szCs w:val="28"/>
        </w:rPr>
        <w:t>3、项目编号：</w:t>
      </w:r>
      <w:r>
        <w:rPr>
          <w:rFonts w:hint="eastAsia" w:ascii="宋体" w:hAnsi="宋体" w:cs="宋体"/>
          <w:color w:val="000000" w:themeColor="text1"/>
          <w:kern w:val="2"/>
          <w:sz w:val="28"/>
          <w:szCs w:val="28"/>
          <w:lang w:eastAsia="zh-CN"/>
          <w14:textFill>
            <w14:solidFill>
              <w14:schemeClr w14:val="tx1"/>
            </w14:solidFill>
          </w14:textFill>
        </w:rPr>
        <w:t>三卢竞磋采购-2026-39、LSGZ[2026]097-ZC072</w:t>
      </w:r>
    </w:p>
    <w:p w14:paraId="074D2297">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4、标段划分：一个标段</w:t>
      </w:r>
    </w:p>
    <w:p w14:paraId="5E441598">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5、</w:t>
      </w:r>
      <w:r>
        <w:rPr>
          <w:rFonts w:hint="eastAsia" w:ascii="宋体" w:hAnsi="宋体" w:cs="宋体"/>
          <w:kern w:val="2"/>
          <w:sz w:val="28"/>
          <w:szCs w:val="28"/>
          <w:lang w:val="en-US" w:eastAsia="zh-CN"/>
        </w:rPr>
        <w:t>采购</w:t>
      </w:r>
      <w:r>
        <w:rPr>
          <w:rFonts w:hint="eastAsia" w:ascii="宋体" w:hAnsi="宋体" w:cs="宋体"/>
          <w:kern w:val="2"/>
          <w:sz w:val="28"/>
          <w:szCs w:val="28"/>
        </w:rPr>
        <w:t>内容：</w:t>
      </w:r>
      <w:r>
        <w:rPr>
          <w:rFonts w:hint="eastAsia" w:ascii="宋体" w:hAnsi="宋体" w:cs="宋体"/>
          <w:kern w:val="2"/>
          <w:sz w:val="28"/>
          <w:szCs w:val="28"/>
          <w:lang w:eastAsia="zh-CN"/>
        </w:rPr>
        <w:t>卢氏县干部周转房</w:t>
      </w:r>
      <w:r>
        <w:rPr>
          <w:rFonts w:hint="eastAsia" w:ascii="宋体" w:hAnsi="宋体" w:cs="宋体"/>
          <w:kern w:val="2"/>
          <w:sz w:val="28"/>
          <w:szCs w:val="28"/>
          <w:lang w:val="en-US" w:eastAsia="zh-CN"/>
        </w:rPr>
        <w:t>机关</w:t>
      </w:r>
      <w:r>
        <w:rPr>
          <w:rFonts w:hint="eastAsia" w:ascii="宋体" w:hAnsi="宋体" w:cs="宋体"/>
          <w:kern w:val="2"/>
          <w:sz w:val="28"/>
          <w:szCs w:val="28"/>
          <w:lang w:eastAsia="zh-CN"/>
        </w:rPr>
        <w:t>食堂运营管理服务，为居住人员提供工作日用餐服务；运营管理服务包含机关食堂内餐饮服务，食品加工与制作，卫生管理，安全管理，成本控制，满意度提升等，以及采购人交办的其他事项。</w:t>
      </w:r>
      <w:r>
        <w:rPr>
          <w:rFonts w:hint="eastAsia" w:ascii="宋体" w:hAnsi="宋体" w:cs="宋体"/>
          <w:kern w:val="2"/>
          <w:sz w:val="28"/>
          <w:szCs w:val="28"/>
        </w:rPr>
        <w:t xml:space="preserve"> </w:t>
      </w:r>
    </w:p>
    <w:p w14:paraId="111D3182">
      <w:pPr>
        <w:widowControl w:val="0"/>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6、服务地点：</w:t>
      </w:r>
      <w:r>
        <w:rPr>
          <w:rFonts w:hint="eastAsia" w:ascii="宋体" w:hAnsi="宋体" w:cs="宋体"/>
          <w:kern w:val="2"/>
          <w:sz w:val="28"/>
          <w:szCs w:val="28"/>
          <w:lang w:eastAsia="zh-CN"/>
        </w:rPr>
        <w:t>卢氏县干部周转房院内食堂</w:t>
      </w:r>
    </w:p>
    <w:p w14:paraId="29EE993D">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7、服务</w:t>
      </w:r>
      <w:r>
        <w:rPr>
          <w:rFonts w:hint="eastAsia" w:ascii="宋体" w:hAnsi="宋体" w:cs="宋体"/>
          <w:kern w:val="2"/>
          <w:sz w:val="28"/>
          <w:szCs w:val="28"/>
          <w:lang w:eastAsia="zh-CN"/>
        </w:rPr>
        <w:t>期限</w:t>
      </w:r>
      <w:r>
        <w:rPr>
          <w:rFonts w:hint="eastAsia" w:ascii="宋体" w:hAnsi="宋体" w:cs="宋体"/>
          <w:kern w:val="2"/>
          <w:sz w:val="28"/>
          <w:szCs w:val="28"/>
        </w:rPr>
        <w:t>：1年</w:t>
      </w:r>
    </w:p>
    <w:p w14:paraId="02442307">
      <w:pPr>
        <w:widowControl w:val="0"/>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8、</w:t>
      </w:r>
      <w:r>
        <w:rPr>
          <w:rFonts w:hint="eastAsia" w:ascii="宋体" w:hAnsi="宋体" w:cs="宋体"/>
          <w:kern w:val="2"/>
          <w:sz w:val="28"/>
          <w:szCs w:val="28"/>
          <w:lang w:eastAsia="zh-CN"/>
        </w:rPr>
        <w:t>服务</w:t>
      </w:r>
      <w:r>
        <w:rPr>
          <w:rFonts w:hint="eastAsia" w:ascii="宋体" w:hAnsi="宋体" w:cs="宋体"/>
          <w:kern w:val="2"/>
          <w:sz w:val="28"/>
          <w:szCs w:val="28"/>
          <w:lang w:val="en-US" w:eastAsia="zh-CN"/>
        </w:rPr>
        <w:t>要求</w:t>
      </w:r>
      <w:r>
        <w:rPr>
          <w:rFonts w:hint="eastAsia" w:ascii="宋体" w:hAnsi="宋体" w:cs="宋体"/>
          <w:kern w:val="2"/>
          <w:sz w:val="28"/>
          <w:szCs w:val="28"/>
        </w:rPr>
        <w:t>：</w:t>
      </w:r>
      <w:r>
        <w:rPr>
          <w:rFonts w:hint="eastAsia" w:ascii="宋体" w:hAnsi="宋体" w:cs="宋体"/>
          <w:kern w:val="2"/>
          <w:sz w:val="28"/>
          <w:szCs w:val="28"/>
          <w:lang w:eastAsia="zh-CN"/>
        </w:rPr>
        <w:t>符合餐饮行业相关规范，满足采购人要求</w:t>
      </w:r>
    </w:p>
    <w:p w14:paraId="677C2ADD">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9、预算资金：￥</w:t>
      </w:r>
      <w:r>
        <w:rPr>
          <w:rFonts w:hint="eastAsia" w:ascii="宋体" w:hAnsi="宋体" w:cs="宋体"/>
          <w:kern w:val="2"/>
          <w:sz w:val="28"/>
          <w:szCs w:val="28"/>
          <w:lang w:eastAsia="zh-CN"/>
        </w:rPr>
        <w:t>384136.67</w:t>
      </w:r>
      <w:r>
        <w:rPr>
          <w:rFonts w:hint="eastAsia" w:ascii="宋体" w:hAnsi="宋体" w:cs="宋体"/>
          <w:kern w:val="2"/>
          <w:sz w:val="28"/>
          <w:szCs w:val="28"/>
        </w:rPr>
        <w:t>元</w:t>
      </w:r>
    </w:p>
    <w:p w14:paraId="6253B42D">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10、资金来源：</w:t>
      </w:r>
      <w:r>
        <w:rPr>
          <w:rFonts w:hint="eastAsia" w:ascii="宋体" w:hAnsi="宋体" w:cs="宋体"/>
          <w:kern w:val="2"/>
          <w:sz w:val="28"/>
          <w:szCs w:val="28"/>
          <w:lang w:val="en-US" w:eastAsia="zh-CN"/>
        </w:rPr>
        <w:t>财政</w:t>
      </w:r>
      <w:r>
        <w:rPr>
          <w:rFonts w:hint="eastAsia" w:ascii="宋体" w:hAnsi="宋体" w:cs="宋体"/>
          <w:kern w:val="2"/>
          <w:sz w:val="28"/>
          <w:szCs w:val="28"/>
        </w:rPr>
        <w:t>资金，已落实</w:t>
      </w:r>
    </w:p>
    <w:p w14:paraId="43457F2A">
      <w:pPr>
        <w:widowControl w:val="0"/>
        <w:wordWrap w:val="0"/>
        <w:spacing w:line="560" w:lineRule="exact"/>
        <w:ind w:firstLine="560" w:firstLineChars="200"/>
        <w:rPr>
          <w:rFonts w:ascii="宋体" w:hAnsi="宋体" w:cs="宋体"/>
          <w:kern w:val="2"/>
          <w:sz w:val="28"/>
          <w:szCs w:val="28"/>
        </w:rPr>
      </w:pPr>
      <w:bookmarkStart w:id="3" w:name="_Toc32606"/>
      <w:r>
        <w:rPr>
          <w:rFonts w:hint="eastAsia" w:ascii="宋体" w:hAnsi="宋体" w:cs="宋体"/>
          <w:kern w:val="2"/>
          <w:sz w:val="28"/>
          <w:szCs w:val="28"/>
        </w:rPr>
        <w:t>11、是否接受进口产品：否</w:t>
      </w:r>
    </w:p>
    <w:p w14:paraId="379F3318">
      <w:pPr>
        <w:widowControl w:val="0"/>
        <w:wordWrap w:val="0"/>
        <w:spacing w:line="560" w:lineRule="exact"/>
        <w:ind w:firstLine="560" w:firstLineChars="200"/>
        <w:rPr>
          <w:rFonts w:hint="eastAsia" w:ascii="宋体" w:hAnsi="宋体" w:eastAsia="宋体" w:cs="宋体"/>
          <w:kern w:val="2"/>
          <w:sz w:val="28"/>
          <w:szCs w:val="28"/>
          <w:lang w:val="en-US" w:eastAsia="zh-CN"/>
        </w:rPr>
      </w:pPr>
      <w:r>
        <w:rPr>
          <w:rFonts w:hint="eastAsia" w:ascii="宋体" w:hAnsi="宋体" w:cs="宋体"/>
          <w:kern w:val="2"/>
          <w:sz w:val="28"/>
          <w:szCs w:val="28"/>
        </w:rPr>
        <w:t>12、是否专门面向中小企业：</w:t>
      </w:r>
      <w:r>
        <w:rPr>
          <w:rFonts w:hint="eastAsia" w:ascii="宋体" w:hAnsi="宋体" w:cs="宋体"/>
          <w:kern w:val="2"/>
          <w:sz w:val="28"/>
          <w:szCs w:val="28"/>
          <w:lang w:val="en-US" w:eastAsia="zh-CN"/>
        </w:rPr>
        <w:t>否</w:t>
      </w:r>
    </w:p>
    <w:p w14:paraId="4BB6FDD1">
      <w:pPr>
        <w:widowControl w:val="0"/>
        <w:wordWrap w:val="0"/>
        <w:spacing w:line="560" w:lineRule="exact"/>
        <w:ind w:firstLine="560" w:firstLineChars="200"/>
        <w:outlineLvl w:val="0"/>
        <w:rPr>
          <w:rFonts w:ascii="宋体" w:hAnsi="宋体" w:cs="宋体"/>
          <w:kern w:val="2"/>
          <w:sz w:val="28"/>
          <w:szCs w:val="28"/>
        </w:rPr>
      </w:pPr>
      <w:bookmarkStart w:id="4" w:name="_Toc19529"/>
      <w:r>
        <w:rPr>
          <w:rFonts w:hint="eastAsia" w:ascii="宋体" w:hAnsi="宋体" w:cs="宋体"/>
          <w:kern w:val="2"/>
          <w:sz w:val="28"/>
          <w:szCs w:val="28"/>
        </w:rPr>
        <w:t>二、供应商资格要求</w:t>
      </w:r>
      <w:bookmarkEnd w:id="3"/>
      <w:bookmarkEnd w:id="4"/>
    </w:p>
    <w:p w14:paraId="6A377271">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落实政府采购政策满足的资格要求：本项目执行促进中小型企业发展政策（残疾人福利性企业、监狱企业视同小微企业）、优先采购节能环保产品等政府采购政策。</w:t>
      </w:r>
    </w:p>
    <w:p w14:paraId="3C6C204E">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供应商参加本次政府采购活动必须符合《中华人民共和国政府采购法》</w:t>
      </w:r>
    </w:p>
    <w:p w14:paraId="4639E69B">
      <w:pPr>
        <w:widowControl w:val="0"/>
        <w:wordWrap w:val="0"/>
        <w:spacing w:line="560" w:lineRule="exact"/>
        <w:ind w:firstLine="560" w:firstLineChars="200"/>
        <w:outlineLvl w:val="1"/>
        <w:rPr>
          <w:rFonts w:ascii="宋体" w:hAnsi="宋体" w:cs="宋体"/>
          <w:kern w:val="2"/>
          <w:sz w:val="28"/>
          <w:szCs w:val="28"/>
        </w:rPr>
      </w:pPr>
      <w:bookmarkStart w:id="5" w:name="_Toc18856"/>
      <w:r>
        <w:rPr>
          <w:rFonts w:hint="eastAsia" w:ascii="宋体" w:hAnsi="宋体" w:cs="宋体"/>
          <w:kern w:val="2"/>
          <w:sz w:val="28"/>
          <w:szCs w:val="28"/>
        </w:rPr>
        <w:t>第二十二条的规定并同时具备下列条件：</w:t>
      </w:r>
      <w:bookmarkEnd w:id="5"/>
    </w:p>
    <w:p w14:paraId="63631E49">
      <w:pPr>
        <w:widowControl w:val="0"/>
        <w:wordWrap w:val="0"/>
        <w:spacing w:line="560" w:lineRule="exact"/>
        <w:ind w:firstLine="560" w:firstLineChars="200"/>
        <w:rPr>
          <w:rFonts w:hint="eastAsia" w:ascii="宋体" w:hAnsi="宋体" w:cs="宋体"/>
          <w:kern w:val="2"/>
          <w:sz w:val="28"/>
          <w:szCs w:val="28"/>
        </w:rPr>
      </w:pPr>
      <w:bookmarkStart w:id="6" w:name="_Toc16513"/>
      <w:r>
        <w:rPr>
          <w:rFonts w:hint="eastAsia" w:ascii="宋体" w:hAnsi="宋体" w:cs="宋体"/>
          <w:kern w:val="2"/>
          <w:sz w:val="28"/>
          <w:szCs w:val="28"/>
        </w:rPr>
        <w:t>1、投标人须具有独立承担民事责任的能力；提供合法有效的营业执照或其他证明材料；</w:t>
      </w:r>
    </w:p>
    <w:p w14:paraId="463FDD1E">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2、投标人必须要持有餐饮行业经营活动的《食品经营许可证》或《餐饮服务许可证》且在有效期内，并在人员、设备、资金等方面具有相应的能力；</w:t>
      </w:r>
    </w:p>
    <w:p w14:paraId="22340DFA">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3、拟派项目负责人为本单位正式员工与单位签订劳动合同(需提供相关材料证明）</w:t>
      </w:r>
    </w:p>
    <w:p w14:paraId="4CA89248">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4、参加本次采购活动前3年内在经营活动中没有重大违法记录、重大质量安全事故、食品卫生、消防安全、规范用工和财务制度等方面不良记录；（提供声明</w:t>
      </w:r>
      <w:r>
        <w:rPr>
          <w:rFonts w:hint="eastAsia" w:ascii="宋体" w:hAnsi="宋体" w:cs="宋体"/>
          <w:kern w:val="2"/>
          <w:sz w:val="28"/>
          <w:szCs w:val="28"/>
          <w:lang w:val="en-US" w:eastAsia="zh-CN"/>
        </w:rPr>
        <w:t>函</w:t>
      </w:r>
      <w:r>
        <w:rPr>
          <w:rFonts w:hint="eastAsia" w:ascii="宋体" w:hAnsi="宋体" w:cs="宋体"/>
          <w:kern w:val="2"/>
          <w:sz w:val="28"/>
          <w:szCs w:val="28"/>
        </w:rPr>
        <w:t>，并加盖公司公章）</w:t>
      </w:r>
    </w:p>
    <w:p w14:paraId="6E404A51">
      <w:pPr>
        <w:widowControl w:val="0"/>
        <w:wordWrap w:val="0"/>
        <w:spacing w:line="560" w:lineRule="exact"/>
        <w:ind w:firstLine="560" w:firstLineChars="200"/>
        <w:rPr>
          <w:rFonts w:hint="eastAsia" w:ascii="宋体" w:hAnsi="宋体" w:cs="宋体"/>
          <w:kern w:val="2"/>
          <w:sz w:val="28"/>
          <w:szCs w:val="28"/>
          <w:lang w:eastAsia="zh-CN"/>
        </w:rPr>
      </w:pPr>
      <w:r>
        <w:rPr>
          <w:rFonts w:hint="eastAsia" w:ascii="宋体" w:hAnsi="宋体" w:cs="宋体"/>
          <w:kern w:val="2"/>
          <w:sz w:val="28"/>
          <w:szCs w:val="28"/>
        </w:rPr>
        <w:t>5、具有良好的财务状况且没有处于被责令停业</w:t>
      </w:r>
      <w:r>
        <w:rPr>
          <w:rFonts w:hint="eastAsia" w:ascii="宋体" w:hAnsi="宋体" w:cs="宋体"/>
          <w:kern w:val="2"/>
          <w:sz w:val="28"/>
          <w:szCs w:val="28"/>
          <w:lang w:eastAsia="zh-CN"/>
        </w:rPr>
        <w:t>；（提供近三年（2023年度-2025年度）任意一年经会计师事务所或审计机构出具的年度财务审计报告；公司成立不足一年无审计报告应附最新的财务报表说明；）</w:t>
      </w:r>
    </w:p>
    <w:p w14:paraId="079E30FC">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6、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p w14:paraId="31E82595">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7、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查询日期自公告发布之日起，查询截止时间为投标截止时间止。</w:t>
      </w:r>
    </w:p>
    <w:p w14:paraId="2C95385B">
      <w:pPr>
        <w:widowControl w:val="0"/>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8、本项目不接受联合体投标；</w:t>
      </w:r>
    </w:p>
    <w:p w14:paraId="278B0D4B">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9、本项目实行资格后审。</w:t>
      </w:r>
    </w:p>
    <w:p w14:paraId="3B586F6F">
      <w:pPr>
        <w:widowControl w:val="0"/>
        <w:wordWrap w:val="0"/>
        <w:spacing w:line="560" w:lineRule="exact"/>
        <w:ind w:firstLine="560" w:firstLineChars="200"/>
        <w:rPr>
          <w:rFonts w:hint="eastAsia" w:ascii="宋体" w:hAnsi="宋体" w:cs="宋体"/>
          <w:kern w:val="2"/>
          <w:sz w:val="28"/>
          <w:szCs w:val="28"/>
        </w:rPr>
      </w:pPr>
    </w:p>
    <w:p w14:paraId="0C990F28">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注：被列入失信被执行人及重大税收违法失信主体的企业做无效标处理。采购人或采购代理机构有权对供应商信用记录进行甄别和复查。</w:t>
      </w:r>
    </w:p>
    <w:p w14:paraId="6D9058B5">
      <w:pPr>
        <w:widowControl w:val="0"/>
        <w:wordWrap w:val="0"/>
        <w:spacing w:line="560" w:lineRule="exact"/>
        <w:ind w:firstLine="560" w:firstLineChars="200"/>
        <w:outlineLvl w:val="0"/>
        <w:rPr>
          <w:rFonts w:ascii="宋体" w:hAnsi="宋体" w:cs="宋体"/>
          <w:kern w:val="2"/>
          <w:sz w:val="28"/>
          <w:szCs w:val="28"/>
        </w:rPr>
      </w:pPr>
      <w:bookmarkStart w:id="7" w:name="_Toc25972"/>
      <w:r>
        <w:rPr>
          <w:rFonts w:hint="eastAsia" w:ascii="宋体" w:hAnsi="宋体" w:cs="宋体"/>
          <w:kern w:val="2"/>
          <w:sz w:val="28"/>
          <w:szCs w:val="28"/>
        </w:rPr>
        <w:t>三、磋商文件获取方式</w:t>
      </w:r>
      <w:bookmarkEnd w:id="6"/>
      <w:bookmarkEnd w:id="7"/>
    </w:p>
    <w:p w14:paraId="28743133">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40257E06">
      <w:pPr>
        <w:widowControl w:val="0"/>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办理CA证书：http://www.smxgzjy.org/bwstb/23330.jhtml</w:t>
      </w:r>
    </w:p>
    <w:p w14:paraId="748C1C54">
      <w:pPr>
        <w:widowControl w:val="0"/>
        <w:wordWrap w:val="0"/>
        <w:spacing w:line="56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kern w:val="2"/>
          <w:sz w:val="28"/>
          <w:szCs w:val="28"/>
        </w:rPr>
        <w:t>2、</w:t>
      </w:r>
      <w:r>
        <w:rPr>
          <w:rFonts w:hint="eastAsia" w:ascii="宋体" w:hAnsi="宋体" w:cs="宋体"/>
          <w:color w:val="000000" w:themeColor="text1"/>
          <w:kern w:val="2"/>
          <w:sz w:val="28"/>
          <w:szCs w:val="28"/>
          <w14:textFill>
            <w14:solidFill>
              <w14:schemeClr w14:val="tx1"/>
            </w14:solidFill>
          </w14:textFill>
        </w:rPr>
        <w:t>文件下载时间：</w:t>
      </w:r>
      <w:r>
        <w:rPr>
          <w:rFonts w:hint="eastAsia" w:ascii="宋体" w:hAnsi="宋体" w:cs="宋体"/>
          <w:color w:val="000000" w:themeColor="text1"/>
          <w:kern w:val="2"/>
          <w:sz w:val="28"/>
          <w:szCs w:val="28"/>
          <w:lang w:val="en-US" w:eastAsia="zh-CN"/>
          <w14:textFill>
            <w14:solidFill>
              <w14:schemeClr w14:val="tx1"/>
            </w14:solidFill>
          </w14:textFill>
        </w:rPr>
        <w:t>2026</w:t>
      </w:r>
      <w:r>
        <w:rPr>
          <w:rFonts w:hint="eastAsia" w:ascii="宋体" w:hAnsi="宋体" w:cs="宋体"/>
          <w:color w:val="000000" w:themeColor="text1"/>
          <w:kern w:val="2"/>
          <w:sz w:val="28"/>
          <w:szCs w:val="28"/>
          <w14:textFill>
            <w14:solidFill>
              <w14:schemeClr w14:val="tx1"/>
            </w14:solidFill>
          </w14:textFill>
        </w:rPr>
        <w:t>年</w:t>
      </w:r>
      <w:r>
        <w:rPr>
          <w:rFonts w:hint="eastAsia" w:ascii="宋体" w:hAnsi="宋体" w:cs="宋体"/>
          <w:color w:val="000000" w:themeColor="text1"/>
          <w:kern w:val="2"/>
          <w:sz w:val="28"/>
          <w:szCs w:val="28"/>
          <w:lang w:val="en-US" w:eastAsia="zh-CN"/>
          <w14:textFill>
            <w14:solidFill>
              <w14:schemeClr w14:val="tx1"/>
            </w14:solidFill>
          </w14:textFill>
        </w:rPr>
        <w:t>5</w:t>
      </w:r>
      <w:r>
        <w:rPr>
          <w:rFonts w:hint="eastAsia" w:ascii="宋体" w:hAnsi="宋体" w:cs="宋体"/>
          <w:color w:val="000000" w:themeColor="text1"/>
          <w:kern w:val="2"/>
          <w:sz w:val="28"/>
          <w:szCs w:val="28"/>
          <w14:textFill>
            <w14:solidFill>
              <w14:schemeClr w14:val="tx1"/>
            </w14:solidFill>
          </w14:textFill>
        </w:rPr>
        <w:t>月</w:t>
      </w:r>
      <w:r>
        <w:rPr>
          <w:rFonts w:hint="eastAsia" w:ascii="宋体" w:hAnsi="宋体" w:cs="宋体"/>
          <w:color w:val="000000" w:themeColor="text1"/>
          <w:kern w:val="2"/>
          <w:sz w:val="28"/>
          <w:szCs w:val="28"/>
          <w:lang w:val="en-US" w:eastAsia="zh-CN"/>
          <w14:textFill>
            <w14:solidFill>
              <w14:schemeClr w14:val="tx1"/>
            </w14:solidFill>
          </w14:textFill>
        </w:rPr>
        <w:t>30</w:t>
      </w:r>
      <w:r>
        <w:rPr>
          <w:rFonts w:hint="eastAsia" w:ascii="宋体" w:hAnsi="宋体" w:cs="宋体"/>
          <w:color w:val="000000" w:themeColor="text1"/>
          <w:kern w:val="2"/>
          <w:sz w:val="28"/>
          <w:szCs w:val="28"/>
          <w14:textFill>
            <w14:solidFill>
              <w14:schemeClr w14:val="tx1"/>
            </w14:solidFill>
          </w14:textFill>
        </w:rPr>
        <w:t>日至202</w:t>
      </w:r>
      <w:r>
        <w:rPr>
          <w:rFonts w:hint="eastAsia" w:ascii="宋体" w:hAnsi="宋体" w:cs="宋体"/>
          <w:color w:val="000000" w:themeColor="text1"/>
          <w:kern w:val="2"/>
          <w:sz w:val="28"/>
          <w:szCs w:val="28"/>
          <w:lang w:val="en-US" w:eastAsia="zh-CN"/>
          <w14:textFill>
            <w14:solidFill>
              <w14:schemeClr w14:val="tx1"/>
            </w14:solidFill>
          </w14:textFill>
        </w:rPr>
        <w:t>6</w:t>
      </w:r>
      <w:r>
        <w:rPr>
          <w:rFonts w:hint="eastAsia" w:ascii="宋体" w:hAnsi="宋体" w:cs="宋体"/>
          <w:color w:val="000000" w:themeColor="text1"/>
          <w:kern w:val="2"/>
          <w:sz w:val="28"/>
          <w:szCs w:val="28"/>
          <w14:textFill>
            <w14:solidFill>
              <w14:schemeClr w14:val="tx1"/>
            </w14:solidFill>
          </w14:textFill>
        </w:rPr>
        <w:t>年</w:t>
      </w:r>
      <w:r>
        <w:rPr>
          <w:rFonts w:hint="eastAsia" w:ascii="宋体" w:hAnsi="宋体" w:cs="宋体"/>
          <w:color w:val="000000" w:themeColor="text1"/>
          <w:kern w:val="2"/>
          <w:sz w:val="28"/>
          <w:szCs w:val="28"/>
          <w:lang w:val="en-US" w:eastAsia="zh-CN"/>
          <w14:textFill>
            <w14:solidFill>
              <w14:schemeClr w14:val="tx1"/>
            </w14:solidFill>
          </w14:textFill>
        </w:rPr>
        <w:t>6</w:t>
      </w:r>
      <w:r>
        <w:rPr>
          <w:rFonts w:hint="eastAsia" w:ascii="宋体" w:hAnsi="宋体" w:cs="宋体"/>
          <w:color w:val="000000" w:themeColor="text1"/>
          <w:kern w:val="2"/>
          <w:sz w:val="28"/>
          <w:szCs w:val="28"/>
          <w14:textFill>
            <w14:solidFill>
              <w14:schemeClr w14:val="tx1"/>
            </w14:solidFill>
          </w14:textFill>
        </w:rPr>
        <w:t>月</w:t>
      </w:r>
      <w:r>
        <w:rPr>
          <w:rFonts w:hint="eastAsia" w:ascii="宋体" w:hAnsi="宋体" w:cs="宋体"/>
          <w:color w:val="000000" w:themeColor="text1"/>
          <w:kern w:val="2"/>
          <w:sz w:val="28"/>
          <w:szCs w:val="28"/>
          <w:lang w:val="en-US" w:eastAsia="zh-CN"/>
          <w14:textFill>
            <w14:solidFill>
              <w14:schemeClr w14:val="tx1"/>
            </w14:solidFill>
          </w14:textFill>
        </w:rPr>
        <w:t>9</w:t>
      </w:r>
      <w:r>
        <w:rPr>
          <w:rFonts w:hint="eastAsia" w:ascii="宋体" w:hAnsi="宋体" w:cs="宋体"/>
          <w:color w:val="000000" w:themeColor="text1"/>
          <w:kern w:val="2"/>
          <w:sz w:val="28"/>
          <w:szCs w:val="28"/>
          <w14:textFill>
            <w14:solidFill>
              <w14:schemeClr w14:val="tx1"/>
            </w14:solidFill>
          </w14:textFill>
        </w:rPr>
        <w:t>日08时40分；</w:t>
      </w:r>
    </w:p>
    <w:p w14:paraId="55C6EDCD">
      <w:pPr>
        <w:widowControl w:val="0"/>
        <w:wordWrap w:val="0"/>
        <w:spacing w:line="560" w:lineRule="exact"/>
        <w:ind w:firstLine="560" w:firstLineChars="200"/>
        <w:rPr>
          <w:rFonts w:ascii="宋体" w:hAnsi="宋体"/>
          <w:sz w:val="28"/>
          <w:szCs w:val="28"/>
          <w:shd w:val="clear" w:color="auto" w:fill="FFFFFF"/>
        </w:rPr>
      </w:pPr>
      <w:r>
        <w:rPr>
          <w:rFonts w:hint="eastAsia" w:ascii="宋体" w:hAnsi="宋体" w:cs="宋体"/>
          <w:kern w:val="2"/>
          <w:sz w:val="28"/>
          <w:szCs w:val="28"/>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w:t>
      </w:r>
      <w:r>
        <w:rPr>
          <w:rFonts w:hint="eastAsia" w:ascii="宋体" w:hAnsi="宋体"/>
          <w:sz w:val="28"/>
          <w:szCs w:val="28"/>
          <w:shd w:val="clear" w:color="auto" w:fill="FFFFFF"/>
        </w:rPr>
        <w:t>hallaction/hall/login）,在线准时参加开标活动并进行响应文件解密等。每位供应商的解密时间为开标时间起30分钟内完成。因供应商原因未能解密、解密失败或解密超时的将被拒绝。</w:t>
      </w:r>
    </w:p>
    <w:p w14:paraId="01C0BA99">
      <w:pPr>
        <w:wordWrap w:val="0"/>
        <w:topLinePunct/>
        <w:spacing w:line="560" w:lineRule="exact"/>
        <w:ind w:firstLine="560" w:firstLineChars="200"/>
        <w:jc w:val="both"/>
        <w:rPr>
          <w:rFonts w:ascii="宋体" w:hAnsi="宋体"/>
          <w:sz w:val="28"/>
          <w:szCs w:val="28"/>
          <w:shd w:val="clear" w:color="auto" w:fill="FFFFFF"/>
        </w:rPr>
      </w:pPr>
      <w:r>
        <w:rPr>
          <w:rFonts w:hint="eastAsia" w:ascii="宋体" w:hAnsi="宋体"/>
          <w:sz w:val="28"/>
          <w:szCs w:val="28"/>
          <w:shd w:val="clear" w:color="auto" w:fill="FFFFFF"/>
        </w:rPr>
        <w:t>4、本项目为全电子招标，不再收取磋商文件费用。</w:t>
      </w:r>
    </w:p>
    <w:p w14:paraId="7794C3C9">
      <w:pPr>
        <w:wordWrap w:val="0"/>
        <w:spacing w:line="560" w:lineRule="exact"/>
        <w:ind w:firstLine="560" w:firstLineChars="200"/>
        <w:outlineLvl w:val="0"/>
        <w:rPr>
          <w:rFonts w:ascii="宋体" w:hAnsi="宋体" w:cs="宋体"/>
          <w:kern w:val="2"/>
          <w:sz w:val="28"/>
          <w:szCs w:val="28"/>
        </w:rPr>
      </w:pPr>
      <w:bookmarkStart w:id="8" w:name="_Toc12451"/>
      <w:bookmarkStart w:id="9" w:name="_Toc17604"/>
      <w:r>
        <w:rPr>
          <w:rFonts w:hint="eastAsia" w:ascii="宋体" w:hAnsi="宋体" w:cs="宋体"/>
          <w:kern w:val="2"/>
          <w:sz w:val="28"/>
          <w:szCs w:val="28"/>
        </w:rPr>
        <w:t>四、磋商保证金</w:t>
      </w:r>
      <w:bookmarkEnd w:id="8"/>
      <w:bookmarkEnd w:id="9"/>
    </w:p>
    <w:p w14:paraId="736413CF">
      <w:pPr>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按照《河南省财政厅关于优化政府采购营商环境有关问题的通知》（豫财购[2019]4号文）的要求本项目不再收取磋商保证金。</w:t>
      </w:r>
    </w:p>
    <w:p w14:paraId="776AB4F4">
      <w:pPr>
        <w:wordWrap w:val="0"/>
        <w:spacing w:line="560" w:lineRule="exact"/>
        <w:ind w:firstLine="560" w:firstLineChars="200"/>
        <w:outlineLvl w:val="0"/>
        <w:rPr>
          <w:rFonts w:ascii="宋体" w:hAnsi="宋体" w:cs="宋体"/>
          <w:kern w:val="2"/>
          <w:sz w:val="28"/>
          <w:szCs w:val="28"/>
        </w:rPr>
      </w:pPr>
      <w:bookmarkStart w:id="10" w:name="_Toc868"/>
      <w:bookmarkStart w:id="11" w:name="_Toc13329"/>
      <w:r>
        <w:rPr>
          <w:rFonts w:hint="eastAsia" w:ascii="宋体" w:hAnsi="宋体" w:cs="宋体"/>
          <w:kern w:val="2"/>
          <w:sz w:val="28"/>
          <w:szCs w:val="28"/>
        </w:rPr>
        <w:t>五、供应商资料的提交</w:t>
      </w:r>
      <w:bookmarkEnd w:id="10"/>
      <w:bookmarkEnd w:id="11"/>
    </w:p>
    <w:p w14:paraId="157284AD">
      <w:pPr>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43DA12F4">
      <w:pPr>
        <w:wordWrap w:val="0"/>
        <w:spacing w:line="560" w:lineRule="exact"/>
        <w:ind w:firstLine="560" w:firstLineChars="200"/>
        <w:outlineLvl w:val="0"/>
        <w:rPr>
          <w:rFonts w:ascii="宋体" w:hAnsi="宋体" w:cs="宋体"/>
          <w:kern w:val="2"/>
          <w:sz w:val="28"/>
          <w:szCs w:val="28"/>
        </w:rPr>
      </w:pPr>
      <w:bookmarkStart w:id="12" w:name="_Toc5062"/>
      <w:r>
        <w:rPr>
          <w:rFonts w:hint="eastAsia" w:ascii="宋体" w:hAnsi="宋体" w:cs="宋体"/>
          <w:kern w:val="2"/>
          <w:sz w:val="28"/>
          <w:szCs w:val="28"/>
        </w:rPr>
        <w:t>六、响应文件递交的截止时间及开评标地点</w:t>
      </w:r>
      <w:bookmarkEnd w:id="12"/>
    </w:p>
    <w:p w14:paraId="70DE5AC9">
      <w:pPr>
        <w:wordWrap w:val="0"/>
        <w:spacing w:line="56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kern w:val="2"/>
          <w:sz w:val="28"/>
          <w:szCs w:val="28"/>
        </w:rPr>
        <w:t>1、响应文件递交</w:t>
      </w:r>
      <w:r>
        <w:rPr>
          <w:rFonts w:hint="eastAsia" w:ascii="宋体" w:hAnsi="宋体" w:cs="宋体"/>
          <w:color w:val="auto"/>
          <w:kern w:val="2"/>
          <w:sz w:val="28"/>
          <w:szCs w:val="28"/>
        </w:rPr>
        <w:t>的截止时间（开标时间）为</w:t>
      </w:r>
      <w:r>
        <w:rPr>
          <w:rFonts w:hint="eastAsia" w:ascii="宋体" w:hAnsi="宋体" w:cs="宋体"/>
          <w:color w:val="000000" w:themeColor="text1"/>
          <w:kern w:val="2"/>
          <w:sz w:val="28"/>
          <w:szCs w:val="28"/>
          <w14:textFill>
            <w14:solidFill>
              <w14:schemeClr w14:val="tx1"/>
            </w14:solidFill>
          </w14:textFill>
        </w:rPr>
        <w:t>202</w:t>
      </w:r>
      <w:r>
        <w:rPr>
          <w:rFonts w:hint="eastAsia" w:ascii="宋体" w:hAnsi="宋体" w:cs="宋体"/>
          <w:color w:val="000000" w:themeColor="text1"/>
          <w:kern w:val="2"/>
          <w:sz w:val="28"/>
          <w:szCs w:val="28"/>
          <w:lang w:val="en-US" w:eastAsia="zh-CN"/>
          <w14:textFill>
            <w14:solidFill>
              <w14:schemeClr w14:val="tx1"/>
            </w14:solidFill>
          </w14:textFill>
        </w:rPr>
        <w:t>6</w:t>
      </w:r>
      <w:r>
        <w:rPr>
          <w:rFonts w:hint="eastAsia" w:ascii="宋体" w:hAnsi="宋体" w:cs="宋体"/>
          <w:color w:val="000000" w:themeColor="text1"/>
          <w:kern w:val="2"/>
          <w:sz w:val="28"/>
          <w:szCs w:val="28"/>
          <w14:textFill>
            <w14:solidFill>
              <w14:schemeClr w14:val="tx1"/>
            </w14:solidFill>
          </w14:textFill>
        </w:rPr>
        <w:t>年</w:t>
      </w:r>
      <w:r>
        <w:rPr>
          <w:rFonts w:hint="eastAsia" w:ascii="宋体" w:hAnsi="宋体" w:cs="宋体"/>
          <w:color w:val="000000" w:themeColor="text1"/>
          <w:kern w:val="2"/>
          <w:sz w:val="28"/>
          <w:szCs w:val="28"/>
          <w:lang w:val="en-US" w:eastAsia="zh-CN"/>
          <w14:textFill>
            <w14:solidFill>
              <w14:schemeClr w14:val="tx1"/>
            </w14:solidFill>
          </w14:textFill>
        </w:rPr>
        <w:t>6</w:t>
      </w:r>
      <w:r>
        <w:rPr>
          <w:rFonts w:hint="eastAsia" w:ascii="宋体" w:hAnsi="宋体" w:cs="宋体"/>
          <w:color w:val="000000" w:themeColor="text1"/>
          <w:kern w:val="2"/>
          <w:sz w:val="28"/>
          <w:szCs w:val="28"/>
          <w14:textFill>
            <w14:solidFill>
              <w14:schemeClr w14:val="tx1"/>
            </w14:solidFill>
          </w14:textFill>
        </w:rPr>
        <w:t>月</w:t>
      </w:r>
      <w:r>
        <w:rPr>
          <w:rFonts w:hint="eastAsia" w:ascii="宋体" w:hAnsi="宋体" w:cs="宋体"/>
          <w:color w:val="000000" w:themeColor="text1"/>
          <w:kern w:val="2"/>
          <w:sz w:val="28"/>
          <w:szCs w:val="28"/>
          <w:lang w:val="en-US" w:eastAsia="zh-CN"/>
          <w14:textFill>
            <w14:solidFill>
              <w14:schemeClr w14:val="tx1"/>
            </w14:solidFill>
          </w14:textFill>
        </w:rPr>
        <w:t>9</w:t>
      </w:r>
      <w:r>
        <w:rPr>
          <w:rFonts w:hint="eastAsia" w:ascii="宋体" w:hAnsi="宋体" w:cs="宋体"/>
          <w:color w:val="000000" w:themeColor="text1"/>
          <w:kern w:val="2"/>
          <w:sz w:val="28"/>
          <w:szCs w:val="28"/>
          <w14:textFill>
            <w14:solidFill>
              <w14:schemeClr w14:val="tx1"/>
            </w14:solidFill>
          </w14:textFill>
        </w:rPr>
        <w:t>日08时40分；</w:t>
      </w:r>
    </w:p>
    <w:p w14:paraId="4C244969">
      <w:pPr>
        <w:wordWrap w:val="0"/>
        <w:spacing w:line="56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2、开标地点: 卢氏县公共资源交易中心四楼第</w:t>
      </w:r>
      <w:r>
        <w:rPr>
          <w:rFonts w:hint="eastAsia" w:ascii="宋体" w:hAnsi="宋体" w:cs="宋体"/>
          <w:color w:val="000000" w:themeColor="text1"/>
          <w:kern w:val="2"/>
          <w:sz w:val="28"/>
          <w:szCs w:val="28"/>
          <w:lang w:eastAsia="zh-CN"/>
          <w14:textFill>
            <w14:solidFill>
              <w14:schemeClr w14:val="tx1"/>
            </w14:solidFill>
          </w14:textFill>
        </w:rPr>
        <w:t>二</w:t>
      </w:r>
      <w:r>
        <w:rPr>
          <w:rFonts w:hint="eastAsia" w:ascii="宋体" w:hAnsi="宋体" w:cs="宋体"/>
          <w:color w:val="000000" w:themeColor="text1"/>
          <w:kern w:val="2"/>
          <w:sz w:val="28"/>
          <w:szCs w:val="28"/>
          <w14:textFill>
            <w14:solidFill>
              <w14:schemeClr w14:val="tx1"/>
            </w14:solidFill>
          </w14:textFill>
        </w:rPr>
        <w:t>开标室；</w:t>
      </w:r>
    </w:p>
    <w:p w14:paraId="2D2C24F3">
      <w:pPr>
        <w:wordWrap w:val="0"/>
        <w:spacing w:line="560" w:lineRule="exact"/>
        <w:ind w:firstLine="560" w:firstLineChars="200"/>
        <w:rPr>
          <w:rFonts w:ascii="宋体" w:hAnsi="宋体" w:cs="宋体"/>
          <w:color w:val="000000" w:themeColor="text1"/>
          <w:kern w:val="2"/>
          <w:sz w:val="28"/>
          <w:szCs w:val="28"/>
          <w14:textFill>
            <w14:solidFill>
              <w14:schemeClr w14:val="tx1"/>
            </w14:solidFill>
          </w14:textFill>
        </w:rPr>
      </w:pPr>
      <w:r>
        <w:rPr>
          <w:rFonts w:hint="eastAsia" w:ascii="宋体" w:hAnsi="宋体" w:cs="宋体"/>
          <w:color w:val="000000" w:themeColor="text1"/>
          <w:kern w:val="2"/>
          <w:sz w:val="28"/>
          <w:szCs w:val="28"/>
          <w14:textFill>
            <w14:solidFill>
              <w14:schemeClr w14:val="tx1"/>
            </w14:solidFill>
          </w14:textFill>
        </w:rPr>
        <w:t>3、评标地点：卢氏县公共资源交易中心二楼第</w:t>
      </w:r>
      <w:r>
        <w:rPr>
          <w:rFonts w:hint="eastAsia" w:ascii="宋体" w:hAnsi="宋体" w:cs="宋体"/>
          <w:color w:val="000000" w:themeColor="text1"/>
          <w:kern w:val="2"/>
          <w:sz w:val="28"/>
          <w:szCs w:val="28"/>
          <w:lang w:eastAsia="zh-CN"/>
          <w14:textFill>
            <w14:solidFill>
              <w14:schemeClr w14:val="tx1"/>
            </w14:solidFill>
          </w14:textFill>
        </w:rPr>
        <w:t>二</w:t>
      </w:r>
      <w:r>
        <w:rPr>
          <w:rFonts w:hint="eastAsia" w:ascii="宋体" w:hAnsi="宋体" w:cs="宋体"/>
          <w:color w:val="000000" w:themeColor="text1"/>
          <w:kern w:val="2"/>
          <w:sz w:val="28"/>
          <w:szCs w:val="28"/>
          <w14:textFill>
            <w14:solidFill>
              <w14:schemeClr w14:val="tx1"/>
            </w14:solidFill>
          </w14:textFill>
        </w:rPr>
        <w:t>评标室。</w:t>
      </w:r>
    </w:p>
    <w:p w14:paraId="04DAD9CD">
      <w:pPr>
        <w:wordWrap w:val="0"/>
        <w:spacing w:line="560" w:lineRule="exact"/>
        <w:ind w:firstLine="560" w:firstLineChars="200"/>
        <w:outlineLvl w:val="0"/>
        <w:rPr>
          <w:rFonts w:ascii="宋体" w:hAnsi="宋体" w:cs="宋体"/>
          <w:kern w:val="2"/>
          <w:sz w:val="28"/>
          <w:szCs w:val="28"/>
        </w:rPr>
      </w:pPr>
      <w:bookmarkStart w:id="13" w:name="_Toc6158"/>
      <w:bookmarkStart w:id="14" w:name="_Toc19627"/>
      <w:r>
        <w:rPr>
          <w:rFonts w:hint="eastAsia" w:ascii="宋体" w:hAnsi="宋体" w:cs="宋体"/>
          <w:kern w:val="2"/>
          <w:sz w:val="28"/>
          <w:szCs w:val="28"/>
        </w:rPr>
        <w:t>七、其他事项</w:t>
      </w:r>
      <w:bookmarkEnd w:id="13"/>
      <w:bookmarkEnd w:id="14"/>
    </w:p>
    <w:p w14:paraId="7F3FA22B">
      <w:pPr>
        <w:wordWrap w:val="0"/>
        <w:spacing w:line="560" w:lineRule="exact"/>
        <w:ind w:firstLine="560" w:firstLineChars="200"/>
        <w:outlineLvl w:val="9"/>
        <w:rPr>
          <w:rFonts w:ascii="宋体" w:hAnsi="宋体" w:cs="宋体"/>
          <w:kern w:val="2"/>
          <w:sz w:val="28"/>
          <w:szCs w:val="28"/>
        </w:rPr>
      </w:pPr>
      <w:r>
        <w:rPr>
          <w:rFonts w:hint="eastAsia" w:ascii="宋体" w:hAnsi="宋体" w:cs="宋体"/>
          <w:kern w:val="2"/>
          <w:sz w:val="28"/>
          <w:szCs w:val="28"/>
        </w:rPr>
        <w:t>1、供应商应仔细阅读操作手册，在本公告中要求的截止时间前完成。并充分考虑人为操作等因素，因供应商操作不当等问题造成的无法报名、无法下载磋商文件、无法开标等一切后果，由供应商自行承担；</w:t>
      </w:r>
    </w:p>
    <w:p w14:paraId="66B11B2B">
      <w:pPr>
        <w:wordWrap w:val="0"/>
        <w:spacing w:line="560" w:lineRule="exact"/>
        <w:ind w:firstLine="560" w:firstLineChars="200"/>
        <w:outlineLvl w:val="9"/>
        <w:rPr>
          <w:rFonts w:ascii="宋体" w:hAnsi="宋体" w:cs="宋体"/>
          <w:kern w:val="2"/>
          <w:sz w:val="28"/>
          <w:szCs w:val="28"/>
        </w:rPr>
      </w:pPr>
      <w:r>
        <w:rPr>
          <w:rFonts w:hint="eastAsia" w:ascii="宋体" w:hAnsi="宋体" w:cs="宋体"/>
          <w:kern w:val="2"/>
          <w:sz w:val="28"/>
          <w:szCs w:val="28"/>
        </w:rPr>
        <w:t>2、开标所发生一切费用由各供应商自行承担，并承担相应的风险和责任；</w:t>
      </w:r>
    </w:p>
    <w:p w14:paraId="5AF6EFB1">
      <w:pPr>
        <w:wordWrap w:val="0"/>
        <w:spacing w:line="560" w:lineRule="exact"/>
        <w:ind w:firstLine="560" w:firstLineChars="200"/>
        <w:outlineLvl w:val="9"/>
        <w:rPr>
          <w:rFonts w:ascii="宋体" w:hAnsi="宋体" w:cs="宋体"/>
          <w:kern w:val="2"/>
          <w:sz w:val="28"/>
          <w:szCs w:val="28"/>
        </w:rPr>
      </w:pPr>
      <w:r>
        <w:rPr>
          <w:rFonts w:hint="eastAsia" w:ascii="宋体" w:hAnsi="宋体" w:cs="宋体"/>
          <w:kern w:val="2"/>
          <w:sz w:val="28"/>
          <w:szCs w:val="28"/>
        </w:rPr>
        <w:t>3、供应商递交的响应文件不论中标与否均不予退还。</w:t>
      </w:r>
    </w:p>
    <w:p w14:paraId="08F54968">
      <w:pPr>
        <w:wordWrap w:val="0"/>
        <w:spacing w:line="560" w:lineRule="exact"/>
        <w:ind w:firstLine="560" w:firstLineChars="200"/>
        <w:outlineLvl w:val="9"/>
        <w:rPr>
          <w:rFonts w:ascii="宋体" w:hAnsi="宋体" w:cs="宋体"/>
          <w:kern w:val="2"/>
          <w:sz w:val="28"/>
          <w:szCs w:val="28"/>
        </w:rPr>
      </w:pPr>
      <w:r>
        <w:rPr>
          <w:rFonts w:hint="eastAsia" w:ascii="宋体" w:hAnsi="宋体" w:cs="宋体"/>
          <w:kern w:val="2"/>
          <w:sz w:val="28"/>
          <w:szCs w:val="28"/>
        </w:rPr>
        <w:t>温馨提示：本项目为电子化、无纸化交易项目，开标时不再接受任何纸质资料，为保证您能开标成功，请需仔细阅读磋商文件和三门峡市公共资源交易中心官网业务办理指南。</w:t>
      </w:r>
    </w:p>
    <w:p w14:paraId="4EDB26B2">
      <w:pPr>
        <w:wordWrap w:val="0"/>
        <w:spacing w:line="560" w:lineRule="exact"/>
        <w:ind w:firstLine="560" w:firstLineChars="200"/>
        <w:outlineLvl w:val="0"/>
        <w:rPr>
          <w:rFonts w:ascii="宋体" w:hAnsi="宋体" w:cs="宋体"/>
          <w:kern w:val="2"/>
          <w:sz w:val="28"/>
          <w:szCs w:val="28"/>
        </w:rPr>
      </w:pPr>
      <w:bookmarkStart w:id="15" w:name="_Toc23645"/>
      <w:r>
        <w:rPr>
          <w:rFonts w:hint="eastAsia" w:ascii="宋体" w:hAnsi="宋体" w:cs="宋体"/>
          <w:kern w:val="2"/>
          <w:sz w:val="28"/>
          <w:szCs w:val="28"/>
        </w:rPr>
        <w:t>八、发布公告的媒介</w:t>
      </w:r>
      <w:bookmarkEnd w:id="15"/>
    </w:p>
    <w:p w14:paraId="6301132A">
      <w:pPr>
        <w:wordWrap w:val="0"/>
        <w:spacing w:line="560" w:lineRule="exact"/>
        <w:ind w:firstLine="560" w:firstLineChars="200"/>
        <w:rPr>
          <w:rFonts w:ascii="宋体" w:hAnsi="宋体" w:cs="宋体"/>
          <w:kern w:val="2"/>
          <w:sz w:val="28"/>
          <w:szCs w:val="28"/>
        </w:rPr>
      </w:pPr>
      <w:r>
        <w:rPr>
          <w:rFonts w:hint="eastAsia" w:ascii="宋体" w:hAnsi="宋体" w:cs="宋体"/>
          <w:kern w:val="2"/>
          <w:sz w:val="28"/>
          <w:szCs w:val="28"/>
        </w:rPr>
        <w:t>本次磋商公告同时在</w:t>
      </w:r>
      <w:r>
        <w:rPr>
          <w:rFonts w:hint="eastAsia" w:ascii="宋体" w:hAnsi="宋体" w:cs="宋体"/>
          <w:kern w:val="2"/>
          <w:sz w:val="28"/>
          <w:szCs w:val="28"/>
          <w:lang w:eastAsia="zh-CN"/>
        </w:rPr>
        <w:t>《三门峡市公共资源交易中心网》、《河南省政府采购网》、《中国招标投标公共服务平台》</w:t>
      </w:r>
      <w:r>
        <w:rPr>
          <w:rFonts w:hint="eastAsia" w:ascii="宋体" w:hAnsi="宋体" w:cs="宋体"/>
          <w:kern w:val="2"/>
          <w:sz w:val="28"/>
          <w:szCs w:val="28"/>
        </w:rPr>
        <w:t>上发布。</w:t>
      </w:r>
    </w:p>
    <w:p w14:paraId="378C918C">
      <w:pPr>
        <w:wordWrap w:val="0"/>
        <w:spacing w:line="560" w:lineRule="exact"/>
        <w:ind w:firstLine="560" w:firstLineChars="200"/>
        <w:outlineLvl w:val="0"/>
        <w:rPr>
          <w:rFonts w:ascii="宋体" w:hAnsi="宋体" w:cs="宋体"/>
          <w:kern w:val="2"/>
          <w:sz w:val="28"/>
          <w:szCs w:val="28"/>
        </w:rPr>
      </w:pPr>
      <w:bookmarkStart w:id="16" w:name="_Toc1962"/>
      <w:r>
        <w:rPr>
          <w:rFonts w:hint="eastAsia" w:ascii="宋体" w:hAnsi="宋体" w:cs="宋体"/>
          <w:kern w:val="2"/>
          <w:sz w:val="28"/>
          <w:szCs w:val="28"/>
        </w:rPr>
        <w:t>九、联系方式</w:t>
      </w:r>
      <w:bookmarkEnd w:id="16"/>
    </w:p>
    <w:p w14:paraId="67497DA1">
      <w:pPr>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监督单位：卢氏县政府采购办公室</w:t>
      </w:r>
    </w:p>
    <w:p w14:paraId="0FEF712D">
      <w:pPr>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联系人：郭亚楠</w:t>
      </w:r>
    </w:p>
    <w:p w14:paraId="5DED1747">
      <w:pPr>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 xml:space="preserve">电话：0398-7863556 </w:t>
      </w:r>
    </w:p>
    <w:p w14:paraId="70572C17">
      <w:pPr>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地址：卢氏县城关镇解放路中段</w:t>
      </w:r>
    </w:p>
    <w:p w14:paraId="453413E1">
      <w:pPr>
        <w:wordWrap w:val="0"/>
        <w:spacing w:line="560" w:lineRule="exact"/>
        <w:ind w:firstLine="560" w:firstLineChars="200"/>
        <w:rPr>
          <w:rFonts w:hint="default" w:ascii="宋体" w:hAnsi="宋体" w:eastAsia="宋体" w:cs="宋体"/>
          <w:kern w:val="2"/>
          <w:sz w:val="28"/>
          <w:szCs w:val="28"/>
          <w:lang w:val="en-US" w:eastAsia="zh-CN"/>
        </w:rPr>
      </w:pPr>
      <w:r>
        <w:rPr>
          <w:rFonts w:hint="eastAsia" w:ascii="宋体" w:hAnsi="宋体" w:cs="宋体"/>
          <w:kern w:val="2"/>
          <w:sz w:val="28"/>
          <w:szCs w:val="28"/>
        </w:rPr>
        <w:t>监督单位：卢氏县</w:t>
      </w:r>
      <w:r>
        <w:rPr>
          <w:rFonts w:hint="eastAsia" w:ascii="宋体" w:hAnsi="宋体" w:cs="宋体"/>
          <w:kern w:val="2"/>
          <w:sz w:val="28"/>
          <w:szCs w:val="28"/>
          <w:lang w:val="en-US" w:eastAsia="zh-CN"/>
        </w:rPr>
        <w:t>机关事务中心</w:t>
      </w:r>
    </w:p>
    <w:p w14:paraId="56EBF0D3">
      <w:pPr>
        <w:wordWrap w:val="0"/>
        <w:spacing w:line="560" w:lineRule="exact"/>
        <w:ind w:firstLine="560" w:firstLineChars="200"/>
        <w:rPr>
          <w:rFonts w:hint="default" w:ascii="宋体" w:hAnsi="宋体" w:eastAsia="宋体" w:cs="宋体"/>
          <w:kern w:val="2"/>
          <w:sz w:val="28"/>
          <w:szCs w:val="28"/>
          <w:lang w:val="en-US" w:eastAsia="zh-CN"/>
        </w:rPr>
      </w:pPr>
      <w:r>
        <w:rPr>
          <w:rFonts w:hint="eastAsia" w:ascii="宋体" w:hAnsi="宋体" w:cs="宋体"/>
          <w:kern w:val="2"/>
          <w:sz w:val="28"/>
          <w:szCs w:val="28"/>
        </w:rPr>
        <w:t>联系人：</w:t>
      </w:r>
      <w:r>
        <w:rPr>
          <w:rFonts w:hint="eastAsia" w:ascii="宋体" w:hAnsi="宋体" w:cs="宋体"/>
          <w:kern w:val="2"/>
          <w:sz w:val="28"/>
          <w:szCs w:val="28"/>
          <w:lang w:val="en-US" w:eastAsia="zh-CN"/>
        </w:rPr>
        <w:t>赵丹</w:t>
      </w:r>
    </w:p>
    <w:p w14:paraId="095906BF">
      <w:pPr>
        <w:wordWrap w:val="0"/>
        <w:spacing w:line="560" w:lineRule="exact"/>
        <w:ind w:firstLine="560" w:firstLineChars="200"/>
        <w:rPr>
          <w:rFonts w:hint="default" w:ascii="宋体" w:hAnsi="宋体" w:eastAsia="宋体" w:cs="宋体"/>
          <w:kern w:val="2"/>
          <w:sz w:val="28"/>
          <w:szCs w:val="28"/>
          <w:lang w:val="en-US" w:eastAsia="zh-CN"/>
        </w:rPr>
      </w:pPr>
      <w:r>
        <w:rPr>
          <w:rFonts w:hint="eastAsia" w:ascii="宋体" w:hAnsi="宋体" w:cs="宋体"/>
          <w:kern w:val="2"/>
          <w:sz w:val="28"/>
          <w:szCs w:val="28"/>
        </w:rPr>
        <w:t>电话：0398-</w:t>
      </w:r>
      <w:r>
        <w:rPr>
          <w:rFonts w:hint="eastAsia" w:ascii="宋体" w:hAnsi="宋体" w:cs="宋体"/>
          <w:kern w:val="2"/>
          <w:sz w:val="28"/>
          <w:szCs w:val="28"/>
          <w:lang w:val="en-US" w:eastAsia="zh-CN"/>
        </w:rPr>
        <w:t>7872060</w:t>
      </w:r>
    </w:p>
    <w:p w14:paraId="5F8F06B3">
      <w:pPr>
        <w:wordWrap w:val="0"/>
        <w:spacing w:line="560" w:lineRule="exact"/>
        <w:ind w:firstLine="560" w:firstLineChars="200"/>
        <w:rPr>
          <w:rFonts w:hint="eastAsia" w:ascii="宋体" w:hAnsi="宋体" w:cs="宋体"/>
          <w:kern w:val="2"/>
          <w:sz w:val="28"/>
          <w:szCs w:val="28"/>
        </w:rPr>
      </w:pPr>
      <w:r>
        <w:rPr>
          <w:rFonts w:hint="eastAsia" w:ascii="宋体" w:hAnsi="宋体" w:cs="宋体"/>
          <w:kern w:val="2"/>
          <w:sz w:val="28"/>
          <w:szCs w:val="28"/>
        </w:rPr>
        <w:t>地址：卢氏县东明镇解放路东段老地税院</w:t>
      </w:r>
    </w:p>
    <w:p w14:paraId="6E00D9DD">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采购人：</w:t>
      </w:r>
      <w:r>
        <w:rPr>
          <w:rFonts w:hint="eastAsia" w:ascii="宋体" w:hAnsi="宋体" w:cs="宋体"/>
          <w:kern w:val="2"/>
          <w:sz w:val="28"/>
          <w:szCs w:val="28"/>
          <w:lang w:eastAsia="zh-CN"/>
        </w:rPr>
        <w:t>卢氏县机关事务中心</w:t>
      </w:r>
    </w:p>
    <w:p w14:paraId="5B6258F3">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联系人：</w:t>
      </w:r>
      <w:r>
        <w:rPr>
          <w:rFonts w:hint="eastAsia" w:ascii="宋体" w:hAnsi="宋体" w:cs="宋体"/>
          <w:kern w:val="2"/>
          <w:sz w:val="28"/>
          <w:szCs w:val="28"/>
          <w:lang w:eastAsia="zh-CN"/>
        </w:rPr>
        <w:t>白小锋</w:t>
      </w:r>
    </w:p>
    <w:p w14:paraId="5FE736EC">
      <w:pPr>
        <w:wordWrap w:val="0"/>
        <w:spacing w:line="560" w:lineRule="exact"/>
        <w:ind w:firstLine="560" w:firstLineChars="200"/>
        <w:rPr>
          <w:rFonts w:hint="default" w:ascii="宋体" w:hAnsi="宋体" w:eastAsia="宋体" w:cs="宋体"/>
          <w:kern w:val="2"/>
          <w:sz w:val="28"/>
          <w:szCs w:val="28"/>
          <w:lang w:val="en-US" w:eastAsia="zh-CN"/>
        </w:rPr>
      </w:pPr>
      <w:r>
        <w:rPr>
          <w:rFonts w:hint="eastAsia" w:ascii="宋体" w:hAnsi="宋体" w:cs="宋体"/>
          <w:kern w:val="2"/>
          <w:sz w:val="28"/>
          <w:szCs w:val="28"/>
        </w:rPr>
        <w:t>电话：</w:t>
      </w:r>
      <w:r>
        <w:rPr>
          <w:rFonts w:hint="eastAsia" w:ascii="宋体" w:hAnsi="宋体" w:cs="宋体"/>
          <w:kern w:val="2"/>
          <w:sz w:val="28"/>
          <w:szCs w:val="28"/>
          <w:lang w:val="en-US" w:eastAsia="zh-CN"/>
        </w:rPr>
        <w:t>16639801777</w:t>
      </w:r>
    </w:p>
    <w:p w14:paraId="179D54BF">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地址：</w:t>
      </w:r>
      <w:r>
        <w:rPr>
          <w:rFonts w:hint="eastAsia" w:ascii="宋体" w:hAnsi="宋体" w:cs="宋体"/>
          <w:kern w:val="2"/>
          <w:sz w:val="28"/>
          <w:szCs w:val="28"/>
          <w:lang w:eastAsia="zh-CN"/>
        </w:rPr>
        <w:t>卢氏县东明镇解放路东段老地税院</w:t>
      </w:r>
    </w:p>
    <w:p w14:paraId="66317CC8">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代理机构：</w:t>
      </w:r>
      <w:r>
        <w:rPr>
          <w:rFonts w:hint="eastAsia" w:ascii="宋体" w:hAnsi="宋体" w:cs="宋体"/>
          <w:kern w:val="2"/>
          <w:sz w:val="28"/>
          <w:szCs w:val="28"/>
          <w:lang w:eastAsia="zh-CN"/>
        </w:rPr>
        <w:t>大业信息技术（河南）有限公司</w:t>
      </w:r>
    </w:p>
    <w:p w14:paraId="6C81DC25">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联系人：</w:t>
      </w:r>
      <w:r>
        <w:rPr>
          <w:rFonts w:hint="eastAsia" w:ascii="宋体" w:hAnsi="宋体" w:cs="宋体"/>
          <w:kern w:val="2"/>
          <w:sz w:val="28"/>
          <w:szCs w:val="28"/>
          <w:lang w:eastAsia="zh-CN"/>
        </w:rPr>
        <w:t>杨丽</w:t>
      </w:r>
    </w:p>
    <w:p w14:paraId="52B1D744">
      <w:pPr>
        <w:wordWrap w:val="0"/>
        <w:spacing w:line="560" w:lineRule="exact"/>
        <w:ind w:firstLine="560" w:firstLineChars="200"/>
        <w:rPr>
          <w:rFonts w:hint="default" w:ascii="宋体" w:hAnsi="宋体" w:eastAsia="宋体" w:cs="宋体"/>
          <w:kern w:val="2"/>
          <w:sz w:val="28"/>
          <w:szCs w:val="28"/>
          <w:lang w:val="en-US" w:eastAsia="zh-CN"/>
        </w:rPr>
      </w:pPr>
      <w:r>
        <w:rPr>
          <w:rFonts w:hint="eastAsia" w:ascii="宋体" w:hAnsi="宋体" w:cs="宋体"/>
          <w:kern w:val="2"/>
          <w:sz w:val="28"/>
          <w:szCs w:val="28"/>
        </w:rPr>
        <w:t>电话：</w:t>
      </w:r>
      <w:r>
        <w:rPr>
          <w:rFonts w:hint="eastAsia" w:ascii="宋体" w:hAnsi="宋体" w:cs="宋体"/>
          <w:kern w:val="2"/>
          <w:sz w:val="28"/>
          <w:szCs w:val="28"/>
          <w:lang w:val="en-US" w:eastAsia="zh-CN"/>
        </w:rPr>
        <w:t>17838130919</w:t>
      </w:r>
    </w:p>
    <w:p w14:paraId="2FE20266">
      <w:pPr>
        <w:wordWrap w:val="0"/>
        <w:spacing w:line="560" w:lineRule="exact"/>
        <w:ind w:firstLine="560" w:firstLineChars="200"/>
        <w:rPr>
          <w:rFonts w:hint="eastAsia" w:ascii="宋体" w:hAnsi="宋体" w:eastAsia="宋体" w:cs="宋体"/>
          <w:kern w:val="2"/>
          <w:sz w:val="28"/>
          <w:szCs w:val="28"/>
          <w:lang w:eastAsia="zh-CN"/>
        </w:rPr>
      </w:pPr>
      <w:r>
        <w:rPr>
          <w:rFonts w:hint="eastAsia" w:ascii="宋体" w:hAnsi="宋体" w:cs="宋体"/>
          <w:kern w:val="2"/>
          <w:sz w:val="28"/>
          <w:szCs w:val="28"/>
        </w:rPr>
        <w:t>地址：</w:t>
      </w:r>
      <w:r>
        <w:rPr>
          <w:rFonts w:hint="eastAsia" w:ascii="宋体" w:hAnsi="宋体" w:cs="宋体"/>
          <w:kern w:val="2"/>
          <w:sz w:val="28"/>
          <w:szCs w:val="28"/>
          <w:lang w:eastAsia="zh-CN"/>
        </w:rPr>
        <w:t>河南省郑州市管城回族区紫荆山路63号9层911号</w:t>
      </w:r>
    </w:p>
    <w:p w14:paraId="66EC7E86">
      <w:pPr>
        <w:keepNext/>
        <w:widowControl w:val="0"/>
        <w:spacing w:before="100" w:beforeAutospacing="1" w:after="100" w:afterAutospacing="1" w:line="360" w:lineRule="auto"/>
        <w:jc w:val="both"/>
        <w:outlineLvl w:val="9"/>
        <w:rPr>
          <w:rFonts w:ascii="黑体" w:cs="宋体"/>
          <w:b/>
          <w:kern w:val="2"/>
          <w:sz w:val="24"/>
          <w:szCs w:val="24"/>
        </w:rPr>
      </w:pPr>
    </w:p>
    <w:p w14:paraId="235E2354">
      <w:pPr>
        <w:pStyle w:val="18"/>
        <w:ind w:left="400" w:firstLine="400"/>
      </w:pPr>
    </w:p>
    <w:p w14:paraId="0182A2B2">
      <w:pPr>
        <w:keepNext/>
        <w:widowControl w:val="0"/>
        <w:spacing w:before="100" w:beforeAutospacing="1" w:after="100" w:afterAutospacing="1" w:line="360" w:lineRule="auto"/>
        <w:jc w:val="both"/>
        <w:outlineLvl w:val="9"/>
        <w:rPr>
          <w:rFonts w:ascii="黑体" w:cs="宋体"/>
          <w:b/>
          <w:kern w:val="2"/>
          <w:sz w:val="24"/>
          <w:szCs w:val="24"/>
        </w:rPr>
      </w:pPr>
    </w:p>
    <w:p w14:paraId="4C1B2FA3">
      <w:pPr>
        <w:pStyle w:val="18"/>
        <w:ind w:left="400" w:firstLine="400"/>
      </w:pPr>
    </w:p>
    <w:p w14:paraId="67224891">
      <w:pPr>
        <w:keepNext/>
        <w:widowControl w:val="0"/>
        <w:spacing w:before="100" w:beforeAutospacing="1" w:after="100" w:afterAutospacing="1" w:line="360" w:lineRule="auto"/>
        <w:ind w:left="0" w:leftChars="0" w:firstLine="0" w:firstLineChars="0"/>
        <w:jc w:val="center"/>
        <w:outlineLvl w:val="0"/>
        <w:rPr>
          <w:rFonts w:ascii="黑体" w:cs="黑体"/>
          <w:b/>
          <w:sz w:val="28"/>
          <w:szCs w:val="28"/>
        </w:rPr>
      </w:pPr>
      <w:r>
        <w:rPr>
          <w:rFonts w:hint="eastAsia" w:ascii="黑体" w:cs="宋体"/>
          <w:b/>
          <w:kern w:val="2"/>
          <w:sz w:val="24"/>
          <w:szCs w:val="24"/>
        </w:rPr>
        <w:br w:type="page"/>
      </w:r>
      <w:bookmarkStart w:id="17" w:name="_Toc6662"/>
      <w:r>
        <w:rPr>
          <w:rFonts w:hint="eastAsia" w:ascii="黑体" w:cs="宋体"/>
          <w:b/>
          <w:kern w:val="2"/>
          <w:sz w:val="28"/>
          <w:szCs w:val="28"/>
        </w:rPr>
        <w:t>第二章</w:t>
      </w:r>
      <w:r>
        <w:rPr>
          <w:rFonts w:hint="eastAsia" w:ascii="黑体" w:cs="黑体"/>
          <w:b/>
          <w:kern w:val="2"/>
          <w:sz w:val="28"/>
          <w:szCs w:val="28"/>
        </w:rPr>
        <w:t xml:space="preserve">    </w:t>
      </w:r>
      <w:r>
        <w:rPr>
          <w:rFonts w:hint="eastAsia" w:ascii="黑体" w:cs="宋体"/>
          <w:b/>
          <w:kern w:val="2"/>
          <w:sz w:val="28"/>
          <w:szCs w:val="28"/>
        </w:rPr>
        <w:t>供应商须知</w:t>
      </w:r>
      <w:bookmarkEnd w:id="17"/>
    </w:p>
    <w:p w14:paraId="0A7ECB98">
      <w:pPr>
        <w:keepNext/>
        <w:keepLines/>
        <w:widowControl w:val="0"/>
        <w:spacing w:before="20" w:after="20" w:line="360" w:lineRule="auto"/>
        <w:ind w:left="0" w:leftChars="0" w:firstLine="0" w:firstLineChars="0"/>
        <w:jc w:val="center"/>
        <w:outlineLvl w:val="9"/>
        <w:rPr>
          <w:rFonts w:ascii="宋体" w:hAnsi="宋体"/>
          <w:b/>
          <w:sz w:val="28"/>
          <w:szCs w:val="28"/>
        </w:rPr>
      </w:pPr>
      <w:bookmarkStart w:id="18" w:name="_Toc461977413"/>
      <w:bookmarkEnd w:id="18"/>
      <w:r>
        <w:rPr>
          <w:rFonts w:hint="eastAsia" w:ascii="宋体" w:hAnsi="宋体" w:cs="宋体"/>
          <w:b/>
          <w:kern w:val="2"/>
          <w:sz w:val="28"/>
          <w:szCs w:val="28"/>
        </w:rPr>
        <w:t>供应商须知前附表</w:t>
      </w:r>
    </w:p>
    <w:tbl>
      <w:tblPr>
        <w:tblStyle w:val="19"/>
        <w:tblW w:w="0" w:type="auto"/>
        <w:jc w:val="center"/>
        <w:tblLayout w:type="fixed"/>
        <w:tblCellMar>
          <w:top w:w="0" w:type="dxa"/>
          <w:left w:w="108" w:type="dxa"/>
          <w:bottom w:w="0" w:type="dxa"/>
          <w:right w:w="108" w:type="dxa"/>
        </w:tblCellMar>
      </w:tblPr>
      <w:tblGrid>
        <w:gridCol w:w="773"/>
        <w:gridCol w:w="1695"/>
        <w:gridCol w:w="7018"/>
      </w:tblGrid>
      <w:tr w14:paraId="7B6D379D">
        <w:tblPrEx>
          <w:tblCellMar>
            <w:top w:w="0" w:type="dxa"/>
            <w:left w:w="108" w:type="dxa"/>
            <w:bottom w:w="0" w:type="dxa"/>
            <w:right w:w="108" w:type="dxa"/>
          </w:tblCellMar>
        </w:tblPrEx>
        <w:trPr>
          <w:cantSplit/>
          <w:trHeight w:val="697" w:hRule="atLeast"/>
          <w:jc w:val="center"/>
        </w:trPr>
        <w:tc>
          <w:tcPr>
            <w:tcW w:w="773" w:type="dxa"/>
            <w:tcBorders>
              <w:top w:val="single" w:color="auto" w:sz="12" w:space="0"/>
              <w:left w:val="single" w:color="auto" w:sz="12" w:space="0"/>
              <w:bottom w:val="single" w:color="auto" w:sz="6" w:space="0"/>
              <w:right w:val="single" w:color="auto" w:sz="6" w:space="0"/>
            </w:tcBorders>
            <w:vAlign w:val="center"/>
          </w:tcPr>
          <w:p w14:paraId="466934CB">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w:t>
            </w:r>
          </w:p>
        </w:tc>
        <w:tc>
          <w:tcPr>
            <w:tcW w:w="1695" w:type="dxa"/>
            <w:tcBorders>
              <w:top w:val="single" w:color="auto" w:sz="12" w:space="0"/>
              <w:left w:val="single" w:color="auto" w:sz="6" w:space="0"/>
              <w:bottom w:val="single" w:color="auto" w:sz="6" w:space="0"/>
              <w:right w:val="single" w:color="auto" w:sz="6" w:space="0"/>
            </w:tcBorders>
            <w:vAlign w:val="center"/>
          </w:tcPr>
          <w:p w14:paraId="224CAA56">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条款号</w:t>
            </w:r>
          </w:p>
        </w:tc>
        <w:tc>
          <w:tcPr>
            <w:tcW w:w="7018" w:type="dxa"/>
            <w:tcBorders>
              <w:top w:val="single" w:color="auto" w:sz="12" w:space="0"/>
              <w:left w:val="single" w:color="auto" w:sz="6" w:space="0"/>
              <w:bottom w:val="single" w:color="auto" w:sz="6" w:space="0"/>
              <w:right w:val="single" w:color="auto" w:sz="12" w:space="0"/>
            </w:tcBorders>
            <w:vAlign w:val="center"/>
          </w:tcPr>
          <w:p w14:paraId="40F49F30">
            <w:pPr>
              <w:adjustRightInd w:val="0"/>
              <w:spacing w:line="400" w:lineRule="exact"/>
              <w:ind w:left="3" w:hanging="2" w:hangingChars="1"/>
              <w:jc w:val="center"/>
              <w:rPr>
                <w:rFonts w:ascii="宋体" w:hAnsi="宋体" w:cs="宋体"/>
                <w:spacing w:val="6"/>
                <w:kern w:val="2"/>
                <w:sz w:val="24"/>
                <w:szCs w:val="24"/>
              </w:rPr>
            </w:pPr>
            <w:r>
              <w:rPr>
                <w:rFonts w:ascii="宋体" w:hAnsi="宋体" w:cs="宋体"/>
                <w:spacing w:val="6"/>
                <w:kern w:val="2"/>
                <w:sz w:val="24"/>
                <w:szCs w:val="24"/>
              </w:rPr>
              <w:t>编列内容</w:t>
            </w:r>
          </w:p>
        </w:tc>
      </w:tr>
      <w:tr w14:paraId="639B464D">
        <w:tblPrEx>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98F8288">
            <w:pPr>
              <w:widowControl w:val="0"/>
              <w:adjustRightInd w:val="0"/>
              <w:spacing w:line="400" w:lineRule="exact"/>
              <w:ind w:left="0" w:leftChars="0" w:firstLine="0" w:firstLineChars="0"/>
              <w:jc w:val="center"/>
              <w:rPr>
                <w:rFonts w:ascii="宋体" w:hAnsi="宋体" w:cs="宋体"/>
                <w:spacing w:val="6"/>
                <w:kern w:val="2"/>
                <w:sz w:val="24"/>
                <w:szCs w:val="24"/>
              </w:rPr>
            </w:pPr>
            <w:r>
              <w:rPr>
                <w:rFonts w:hint="eastAsia" w:ascii="宋体" w:hAnsi="宋体" w:cs="宋体"/>
                <w:spacing w:val="6"/>
                <w:kern w:val="2"/>
                <w:sz w:val="24"/>
                <w:szCs w:val="24"/>
              </w:rPr>
              <w:t>1</w:t>
            </w:r>
          </w:p>
        </w:tc>
        <w:tc>
          <w:tcPr>
            <w:tcW w:w="1695" w:type="dxa"/>
            <w:tcBorders>
              <w:top w:val="single" w:color="auto" w:sz="6" w:space="0"/>
              <w:left w:val="single" w:color="auto" w:sz="6" w:space="0"/>
              <w:bottom w:val="single" w:color="auto" w:sz="6" w:space="0"/>
              <w:right w:val="single" w:color="auto" w:sz="6" w:space="0"/>
            </w:tcBorders>
            <w:vAlign w:val="center"/>
          </w:tcPr>
          <w:p w14:paraId="28435BBA">
            <w:pPr>
              <w:adjustRightInd w:val="0"/>
              <w:spacing w:line="400" w:lineRule="exact"/>
              <w:ind w:left="3" w:hanging="2" w:hangingChars="1"/>
              <w:jc w:val="center"/>
              <w:rPr>
                <w:rFonts w:ascii="宋体" w:hAnsi="宋体" w:cs="宋体"/>
                <w:spacing w:val="6"/>
                <w:kern w:val="2"/>
                <w:sz w:val="24"/>
                <w:szCs w:val="24"/>
              </w:rPr>
            </w:pPr>
            <w:r>
              <w:rPr>
                <w:rFonts w:hint="eastAsia" w:ascii="宋体" w:hAnsi="宋体" w:cs="宋体"/>
                <w:spacing w:val="6"/>
                <w:kern w:val="2"/>
                <w:sz w:val="24"/>
                <w:szCs w:val="24"/>
              </w:rPr>
              <w:t>采购人</w:t>
            </w:r>
          </w:p>
        </w:tc>
        <w:tc>
          <w:tcPr>
            <w:tcW w:w="7018" w:type="dxa"/>
            <w:tcBorders>
              <w:top w:val="single" w:color="auto" w:sz="6" w:space="0"/>
              <w:left w:val="single" w:color="auto" w:sz="6" w:space="0"/>
              <w:bottom w:val="single" w:color="auto" w:sz="6" w:space="0"/>
              <w:right w:val="single" w:color="auto" w:sz="12" w:space="0"/>
            </w:tcBorders>
            <w:vAlign w:val="center"/>
          </w:tcPr>
          <w:p w14:paraId="0C097582">
            <w:pPr>
              <w:spacing w:line="400" w:lineRule="exact"/>
              <w:ind w:left="0" w:leftChars="0" w:firstLine="0" w:firstLineChars="0"/>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采购人：</w:t>
            </w:r>
            <w:r>
              <w:rPr>
                <w:rFonts w:hint="eastAsia" w:ascii="宋体" w:hAnsi="宋体" w:cs="宋体"/>
                <w:spacing w:val="6"/>
                <w:kern w:val="2"/>
                <w:sz w:val="24"/>
                <w:szCs w:val="24"/>
                <w:lang w:eastAsia="zh-CN"/>
              </w:rPr>
              <w:t>卢氏县机关事务中心</w:t>
            </w:r>
          </w:p>
          <w:p w14:paraId="2912F0E9">
            <w:pPr>
              <w:spacing w:line="400" w:lineRule="exact"/>
              <w:ind w:left="0" w:leftChars="0" w:firstLine="0" w:firstLineChars="0"/>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联系人：</w:t>
            </w:r>
            <w:r>
              <w:rPr>
                <w:rFonts w:hint="eastAsia" w:ascii="宋体" w:hAnsi="宋体" w:cs="宋体"/>
                <w:spacing w:val="6"/>
                <w:kern w:val="2"/>
                <w:sz w:val="24"/>
                <w:szCs w:val="24"/>
                <w:lang w:eastAsia="zh-CN"/>
              </w:rPr>
              <w:t>白小锋</w:t>
            </w:r>
          </w:p>
          <w:p w14:paraId="50389837">
            <w:pPr>
              <w:spacing w:line="400" w:lineRule="exact"/>
              <w:ind w:left="0" w:leftChars="0" w:firstLine="0" w:firstLineChars="0"/>
              <w:rPr>
                <w:rFonts w:hint="eastAsia" w:ascii="宋体" w:hAnsi="宋体" w:cs="宋体"/>
                <w:spacing w:val="6"/>
                <w:kern w:val="2"/>
                <w:sz w:val="24"/>
                <w:szCs w:val="24"/>
              </w:rPr>
            </w:pPr>
            <w:r>
              <w:rPr>
                <w:rFonts w:hint="eastAsia" w:ascii="宋体" w:hAnsi="宋体" w:cs="宋体"/>
                <w:spacing w:val="6"/>
                <w:kern w:val="2"/>
                <w:sz w:val="24"/>
                <w:szCs w:val="24"/>
              </w:rPr>
              <w:t>电话：16639801777</w:t>
            </w:r>
          </w:p>
          <w:p w14:paraId="332322FC">
            <w:pPr>
              <w:spacing w:line="400" w:lineRule="exact"/>
              <w:ind w:left="0" w:leftChars="0" w:firstLine="0" w:firstLineChars="0"/>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地址：</w:t>
            </w:r>
            <w:r>
              <w:rPr>
                <w:rFonts w:hint="eastAsia" w:ascii="宋体" w:hAnsi="宋体" w:cs="宋体"/>
                <w:spacing w:val="6"/>
                <w:kern w:val="2"/>
                <w:sz w:val="24"/>
                <w:szCs w:val="24"/>
                <w:lang w:eastAsia="zh-CN"/>
              </w:rPr>
              <w:t>卢氏县东明镇解放路东段老地税院</w:t>
            </w:r>
          </w:p>
        </w:tc>
      </w:tr>
      <w:tr w14:paraId="1574CE84">
        <w:tblPrEx>
          <w:tblCellMar>
            <w:top w:w="0" w:type="dxa"/>
            <w:left w:w="108" w:type="dxa"/>
            <w:bottom w:w="0" w:type="dxa"/>
            <w:right w:w="108" w:type="dxa"/>
          </w:tblCellMar>
        </w:tblPrEx>
        <w:trPr>
          <w:cantSplit/>
          <w:trHeight w:val="5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EE7A46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w:t>
            </w:r>
          </w:p>
        </w:tc>
        <w:tc>
          <w:tcPr>
            <w:tcW w:w="1695" w:type="dxa"/>
            <w:tcBorders>
              <w:top w:val="single" w:color="auto" w:sz="6" w:space="0"/>
              <w:left w:val="single" w:color="auto" w:sz="6" w:space="0"/>
              <w:bottom w:val="single" w:color="auto" w:sz="6" w:space="0"/>
              <w:right w:val="single" w:color="auto" w:sz="6" w:space="0"/>
            </w:tcBorders>
            <w:vAlign w:val="center"/>
          </w:tcPr>
          <w:p w14:paraId="52EAEE3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代理机构</w:t>
            </w:r>
          </w:p>
        </w:tc>
        <w:tc>
          <w:tcPr>
            <w:tcW w:w="7018" w:type="dxa"/>
            <w:tcBorders>
              <w:top w:val="single" w:color="auto" w:sz="6" w:space="0"/>
              <w:left w:val="single" w:color="auto" w:sz="6" w:space="0"/>
              <w:bottom w:val="single" w:color="auto" w:sz="6" w:space="0"/>
              <w:right w:val="single" w:color="auto" w:sz="12" w:space="0"/>
            </w:tcBorders>
            <w:vAlign w:val="center"/>
          </w:tcPr>
          <w:p w14:paraId="1928792C">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代理机构：</w:t>
            </w:r>
            <w:r>
              <w:rPr>
                <w:rFonts w:hint="eastAsia" w:ascii="宋体" w:hAnsi="宋体" w:cs="宋体"/>
                <w:spacing w:val="6"/>
                <w:kern w:val="2"/>
                <w:sz w:val="24"/>
                <w:szCs w:val="24"/>
                <w:lang w:eastAsia="zh-CN"/>
              </w:rPr>
              <w:t>大业信息技术（河南）有限公司</w:t>
            </w:r>
          </w:p>
          <w:p w14:paraId="571A44BF">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联系人：</w:t>
            </w:r>
            <w:r>
              <w:rPr>
                <w:rFonts w:hint="eastAsia" w:ascii="宋体" w:hAnsi="宋体" w:cs="宋体"/>
                <w:spacing w:val="6"/>
                <w:kern w:val="2"/>
                <w:sz w:val="24"/>
                <w:szCs w:val="24"/>
                <w:lang w:eastAsia="zh-CN"/>
              </w:rPr>
              <w:t>杨丽</w:t>
            </w:r>
          </w:p>
          <w:p w14:paraId="7795E419">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电话：17838130919</w:t>
            </w:r>
          </w:p>
          <w:p w14:paraId="7C0F9E8E">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地址：</w:t>
            </w:r>
            <w:r>
              <w:rPr>
                <w:rFonts w:hint="eastAsia" w:ascii="宋体" w:hAnsi="宋体" w:cs="宋体"/>
                <w:spacing w:val="6"/>
                <w:kern w:val="2"/>
                <w:sz w:val="24"/>
                <w:szCs w:val="24"/>
                <w:lang w:eastAsia="zh-CN"/>
              </w:rPr>
              <w:t>河南省郑州市管城回族区紫荆山路63号9层911号</w:t>
            </w:r>
          </w:p>
        </w:tc>
      </w:tr>
      <w:tr w14:paraId="50719582">
        <w:tblPrEx>
          <w:tblCellMar>
            <w:top w:w="0" w:type="dxa"/>
            <w:left w:w="108" w:type="dxa"/>
            <w:bottom w:w="0" w:type="dxa"/>
            <w:right w:w="108" w:type="dxa"/>
          </w:tblCellMar>
        </w:tblPrEx>
        <w:trPr>
          <w:cantSplit/>
          <w:trHeight w:val="67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7DF156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w:t>
            </w:r>
          </w:p>
        </w:tc>
        <w:tc>
          <w:tcPr>
            <w:tcW w:w="1695" w:type="dxa"/>
            <w:tcBorders>
              <w:top w:val="single" w:color="auto" w:sz="6" w:space="0"/>
              <w:left w:val="single" w:color="auto" w:sz="6" w:space="0"/>
              <w:bottom w:val="single" w:color="auto" w:sz="6" w:space="0"/>
              <w:right w:val="single" w:color="auto" w:sz="6" w:space="0"/>
            </w:tcBorders>
            <w:vAlign w:val="center"/>
          </w:tcPr>
          <w:p w14:paraId="7E9513D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项目名称</w:t>
            </w:r>
          </w:p>
        </w:tc>
        <w:tc>
          <w:tcPr>
            <w:tcW w:w="7018" w:type="dxa"/>
            <w:tcBorders>
              <w:top w:val="single" w:color="auto" w:sz="6" w:space="0"/>
              <w:left w:val="single" w:color="auto" w:sz="6" w:space="0"/>
              <w:bottom w:val="single" w:color="auto" w:sz="6" w:space="0"/>
              <w:right w:val="single" w:color="auto" w:sz="12" w:space="0"/>
            </w:tcBorders>
            <w:vAlign w:val="center"/>
          </w:tcPr>
          <w:p w14:paraId="6EA0DC65">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卢氏县干部周转房机关食堂运营管理服务项目</w:t>
            </w:r>
          </w:p>
        </w:tc>
      </w:tr>
      <w:tr w14:paraId="53BE8EB2">
        <w:tblPrEx>
          <w:tblCellMar>
            <w:top w:w="0" w:type="dxa"/>
            <w:left w:w="108" w:type="dxa"/>
            <w:bottom w:w="0" w:type="dxa"/>
            <w:right w:w="108" w:type="dxa"/>
          </w:tblCellMar>
        </w:tblPrEx>
        <w:trPr>
          <w:cantSplit/>
          <w:trHeight w:val="54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88D210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w:t>
            </w:r>
          </w:p>
        </w:tc>
        <w:tc>
          <w:tcPr>
            <w:tcW w:w="1695" w:type="dxa"/>
            <w:tcBorders>
              <w:top w:val="single" w:color="auto" w:sz="6" w:space="0"/>
              <w:left w:val="single" w:color="auto" w:sz="6" w:space="0"/>
              <w:bottom w:val="single" w:color="auto" w:sz="6" w:space="0"/>
              <w:right w:val="single" w:color="auto" w:sz="6" w:space="0"/>
            </w:tcBorders>
            <w:vAlign w:val="center"/>
          </w:tcPr>
          <w:p w14:paraId="382575C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项目编号</w:t>
            </w:r>
          </w:p>
        </w:tc>
        <w:tc>
          <w:tcPr>
            <w:tcW w:w="7018" w:type="dxa"/>
            <w:tcBorders>
              <w:top w:val="single" w:color="auto" w:sz="6" w:space="0"/>
              <w:left w:val="single" w:color="auto" w:sz="6" w:space="0"/>
              <w:bottom w:val="single" w:color="auto" w:sz="6" w:space="0"/>
              <w:right w:val="single" w:color="auto" w:sz="12" w:space="0"/>
            </w:tcBorders>
            <w:vAlign w:val="center"/>
          </w:tcPr>
          <w:p w14:paraId="6533566E">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三卢竞磋采购-2026-39、LSGZ[2026]097-ZC072</w:t>
            </w:r>
          </w:p>
        </w:tc>
      </w:tr>
      <w:tr w14:paraId="2973D682">
        <w:tblPrEx>
          <w:tblCellMar>
            <w:top w:w="0" w:type="dxa"/>
            <w:left w:w="108" w:type="dxa"/>
            <w:bottom w:w="0" w:type="dxa"/>
            <w:right w:w="108" w:type="dxa"/>
          </w:tblCellMar>
        </w:tblPrEx>
        <w:trPr>
          <w:cantSplit/>
          <w:trHeight w:val="4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3BE8095">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5</w:t>
            </w:r>
          </w:p>
        </w:tc>
        <w:tc>
          <w:tcPr>
            <w:tcW w:w="1695" w:type="dxa"/>
            <w:tcBorders>
              <w:top w:val="single" w:color="auto" w:sz="6" w:space="0"/>
              <w:left w:val="single" w:color="auto" w:sz="6" w:space="0"/>
              <w:bottom w:val="single" w:color="auto" w:sz="6" w:space="0"/>
              <w:right w:val="single" w:color="auto" w:sz="6" w:space="0"/>
            </w:tcBorders>
            <w:vAlign w:val="center"/>
          </w:tcPr>
          <w:p w14:paraId="284D3AB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采购人</w:t>
            </w:r>
          </w:p>
        </w:tc>
        <w:tc>
          <w:tcPr>
            <w:tcW w:w="7018" w:type="dxa"/>
            <w:tcBorders>
              <w:top w:val="single" w:color="auto" w:sz="6" w:space="0"/>
              <w:left w:val="single" w:color="auto" w:sz="6" w:space="0"/>
              <w:bottom w:val="single" w:color="auto" w:sz="6" w:space="0"/>
              <w:right w:val="single" w:color="auto" w:sz="12" w:space="0"/>
            </w:tcBorders>
            <w:vAlign w:val="center"/>
          </w:tcPr>
          <w:p w14:paraId="5BCA92D7">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卢氏县机关事务中心</w:t>
            </w:r>
          </w:p>
        </w:tc>
      </w:tr>
      <w:tr w14:paraId="457987EF">
        <w:tblPrEx>
          <w:tblCellMar>
            <w:top w:w="0" w:type="dxa"/>
            <w:left w:w="108" w:type="dxa"/>
            <w:bottom w:w="0" w:type="dxa"/>
            <w:right w:w="108" w:type="dxa"/>
          </w:tblCellMar>
        </w:tblPrEx>
        <w:trPr>
          <w:cantSplit/>
          <w:trHeight w:val="5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E44AA6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6</w:t>
            </w:r>
          </w:p>
        </w:tc>
        <w:tc>
          <w:tcPr>
            <w:tcW w:w="1695" w:type="dxa"/>
            <w:tcBorders>
              <w:top w:val="single" w:color="auto" w:sz="6" w:space="0"/>
              <w:left w:val="single" w:color="auto" w:sz="6" w:space="0"/>
              <w:bottom w:val="single" w:color="auto" w:sz="6" w:space="0"/>
              <w:right w:val="single" w:color="auto" w:sz="6" w:space="0"/>
            </w:tcBorders>
            <w:vAlign w:val="center"/>
          </w:tcPr>
          <w:p w14:paraId="0270213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采购内容</w:t>
            </w:r>
          </w:p>
        </w:tc>
        <w:tc>
          <w:tcPr>
            <w:tcW w:w="7018" w:type="dxa"/>
            <w:tcBorders>
              <w:top w:val="single" w:color="auto" w:sz="6" w:space="0"/>
              <w:left w:val="single" w:color="auto" w:sz="6" w:space="0"/>
              <w:bottom w:val="single" w:color="auto" w:sz="6" w:space="0"/>
              <w:right w:val="single" w:color="auto" w:sz="12" w:space="0"/>
            </w:tcBorders>
            <w:vAlign w:val="center"/>
          </w:tcPr>
          <w:p w14:paraId="15F95672">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详见公告部分</w:t>
            </w:r>
          </w:p>
        </w:tc>
      </w:tr>
      <w:tr w14:paraId="5F4A5305">
        <w:tblPrEx>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C6F4FF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7</w:t>
            </w:r>
          </w:p>
        </w:tc>
        <w:tc>
          <w:tcPr>
            <w:tcW w:w="1695" w:type="dxa"/>
            <w:tcBorders>
              <w:top w:val="single" w:color="auto" w:sz="6" w:space="0"/>
              <w:left w:val="single" w:color="auto" w:sz="6" w:space="0"/>
              <w:bottom w:val="single" w:color="auto" w:sz="6" w:space="0"/>
              <w:right w:val="single" w:color="auto" w:sz="6" w:space="0"/>
            </w:tcBorders>
            <w:vAlign w:val="center"/>
          </w:tcPr>
          <w:p w14:paraId="0E5162F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采购方式</w:t>
            </w:r>
          </w:p>
        </w:tc>
        <w:tc>
          <w:tcPr>
            <w:tcW w:w="7018" w:type="dxa"/>
            <w:tcBorders>
              <w:top w:val="single" w:color="auto" w:sz="6" w:space="0"/>
              <w:left w:val="single" w:color="auto" w:sz="6" w:space="0"/>
              <w:bottom w:val="single" w:color="auto" w:sz="6" w:space="0"/>
              <w:right w:val="single" w:color="auto" w:sz="12" w:space="0"/>
            </w:tcBorders>
            <w:vAlign w:val="center"/>
          </w:tcPr>
          <w:p w14:paraId="2835830D">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竞争性磋商</w:t>
            </w:r>
          </w:p>
        </w:tc>
      </w:tr>
      <w:tr w14:paraId="35680304">
        <w:tblPrEx>
          <w:tblCellMar>
            <w:top w:w="0" w:type="dxa"/>
            <w:left w:w="108" w:type="dxa"/>
            <w:bottom w:w="0" w:type="dxa"/>
            <w:right w:w="108" w:type="dxa"/>
          </w:tblCellMar>
        </w:tblPrEx>
        <w:trPr>
          <w:trHeight w:val="50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E85062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8</w:t>
            </w:r>
          </w:p>
        </w:tc>
        <w:tc>
          <w:tcPr>
            <w:tcW w:w="1695" w:type="dxa"/>
            <w:tcBorders>
              <w:top w:val="single" w:color="auto" w:sz="6" w:space="0"/>
              <w:left w:val="single" w:color="auto" w:sz="6" w:space="0"/>
              <w:bottom w:val="single" w:color="auto" w:sz="6" w:space="0"/>
              <w:right w:val="single" w:color="auto" w:sz="6" w:space="0"/>
            </w:tcBorders>
            <w:vAlign w:val="center"/>
          </w:tcPr>
          <w:p w14:paraId="203D2931">
            <w:pPr>
              <w:widowControl w:val="0"/>
              <w:adjustRightInd w:val="0"/>
              <w:spacing w:line="400" w:lineRule="exact"/>
              <w:ind w:left="0" w:leftChars="0" w:firstLine="0" w:firstLineChars="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服务要求</w:t>
            </w:r>
          </w:p>
        </w:tc>
        <w:tc>
          <w:tcPr>
            <w:tcW w:w="7018" w:type="dxa"/>
            <w:tcBorders>
              <w:top w:val="single" w:color="auto" w:sz="6" w:space="0"/>
              <w:left w:val="single" w:color="auto" w:sz="6" w:space="0"/>
              <w:bottom w:val="single" w:color="auto" w:sz="6" w:space="0"/>
              <w:right w:val="single" w:color="auto" w:sz="12" w:space="0"/>
            </w:tcBorders>
            <w:vAlign w:val="center"/>
          </w:tcPr>
          <w:p w14:paraId="0F1F1CFE">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eastAsia="zh-CN"/>
              </w:rPr>
              <w:t>符合餐饮行业相关规范，满足采购人要求</w:t>
            </w:r>
          </w:p>
        </w:tc>
      </w:tr>
      <w:tr w14:paraId="6D59B1A4">
        <w:tblPrEx>
          <w:tblCellMar>
            <w:top w:w="0" w:type="dxa"/>
            <w:left w:w="108" w:type="dxa"/>
            <w:bottom w:w="0" w:type="dxa"/>
            <w:right w:w="108" w:type="dxa"/>
          </w:tblCellMar>
        </w:tblPrEx>
        <w:trPr>
          <w:trHeight w:val="48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5106F5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9</w:t>
            </w:r>
          </w:p>
        </w:tc>
        <w:tc>
          <w:tcPr>
            <w:tcW w:w="1695" w:type="dxa"/>
            <w:tcBorders>
              <w:top w:val="single" w:color="auto" w:sz="6" w:space="0"/>
              <w:left w:val="single" w:color="auto" w:sz="6" w:space="0"/>
              <w:bottom w:val="single" w:color="auto" w:sz="6" w:space="0"/>
              <w:right w:val="single" w:color="auto" w:sz="6" w:space="0"/>
            </w:tcBorders>
            <w:vAlign w:val="center"/>
          </w:tcPr>
          <w:p w14:paraId="7DB872D5">
            <w:pPr>
              <w:widowControl w:val="0"/>
              <w:adjustRightInd w:val="0"/>
              <w:spacing w:line="400" w:lineRule="exact"/>
              <w:ind w:left="0" w:leftChars="0" w:firstLine="0" w:firstLineChars="0"/>
              <w:jc w:val="center"/>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服务期限</w:t>
            </w:r>
          </w:p>
        </w:tc>
        <w:tc>
          <w:tcPr>
            <w:tcW w:w="7018" w:type="dxa"/>
            <w:tcBorders>
              <w:top w:val="single" w:color="auto" w:sz="6" w:space="0"/>
              <w:left w:val="single" w:color="auto" w:sz="6" w:space="0"/>
              <w:bottom w:val="single" w:color="auto" w:sz="6" w:space="0"/>
              <w:right w:val="single" w:color="auto" w:sz="12" w:space="0"/>
            </w:tcBorders>
            <w:vAlign w:val="center"/>
          </w:tcPr>
          <w:p w14:paraId="5F6B922D">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1年</w:t>
            </w:r>
          </w:p>
        </w:tc>
      </w:tr>
      <w:tr w14:paraId="5EF06B46">
        <w:tblPrEx>
          <w:tblCellMar>
            <w:top w:w="0" w:type="dxa"/>
            <w:left w:w="108" w:type="dxa"/>
            <w:bottom w:w="0" w:type="dxa"/>
            <w:right w:w="108" w:type="dxa"/>
          </w:tblCellMar>
        </w:tblPrEx>
        <w:trPr>
          <w:trHeight w:val="5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2EC49C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10</w:t>
            </w:r>
          </w:p>
        </w:tc>
        <w:tc>
          <w:tcPr>
            <w:tcW w:w="1695" w:type="dxa"/>
            <w:tcBorders>
              <w:top w:val="single" w:color="auto" w:sz="6" w:space="0"/>
              <w:left w:val="single" w:color="auto" w:sz="6" w:space="0"/>
              <w:bottom w:val="single" w:color="auto" w:sz="6" w:space="0"/>
              <w:right w:val="single" w:color="auto" w:sz="6" w:space="0"/>
            </w:tcBorders>
            <w:vAlign w:val="center"/>
          </w:tcPr>
          <w:p w14:paraId="5976FD8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预算资金</w:t>
            </w:r>
          </w:p>
        </w:tc>
        <w:tc>
          <w:tcPr>
            <w:tcW w:w="7018" w:type="dxa"/>
            <w:tcBorders>
              <w:top w:val="single" w:color="auto" w:sz="6" w:space="0"/>
              <w:left w:val="single" w:color="auto" w:sz="6" w:space="0"/>
              <w:bottom w:val="single" w:color="auto" w:sz="6" w:space="0"/>
              <w:right w:val="single" w:color="auto" w:sz="12" w:space="0"/>
            </w:tcBorders>
            <w:vAlign w:val="center"/>
          </w:tcPr>
          <w:p w14:paraId="5878AFF9">
            <w:pPr>
              <w:spacing w:line="400" w:lineRule="exact"/>
              <w:ind w:left="3" w:hanging="2" w:hangingChars="1"/>
              <w:rPr>
                <w:rFonts w:hint="eastAsia" w:ascii="宋体" w:hAnsi="宋体" w:cs="宋体"/>
                <w:spacing w:val="6"/>
                <w:kern w:val="2"/>
                <w:sz w:val="24"/>
                <w:szCs w:val="24"/>
              </w:rPr>
            </w:pPr>
            <w:r>
              <w:rPr>
                <w:rFonts w:hint="eastAsia" w:ascii="宋体" w:hAnsi="宋体" w:cs="宋体"/>
                <w:spacing w:val="6"/>
                <w:kern w:val="2"/>
                <w:sz w:val="24"/>
                <w:szCs w:val="24"/>
              </w:rPr>
              <w:t>￥</w:t>
            </w:r>
            <w:r>
              <w:rPr>
                <w:rFonts w:hint="eastAsia" w:ascii="宋体" w:hAnsi="宋体" w:cs="宋体"/>
                <w:spacing w:val="6"/>
                <w:kern w:val="2"/>
                <w:sz w:val="24"/>
                <w:szCs w:val="24"/>
                <w:lang w:eastAsia="zh-CN"/>
              </w:rPr>
              <w:t>384136.67</w:t>
            </w:r>
            <w:r>
              <w:rPr>
                <w:rFonts w:hint="eastAsia" w:ascii="宋体" w:hAnsi="宋体" w:cs="宋体"/>
                <w:spacing w:val="6"/>
                <w:kern w:val="2"/>
                <w:sz w:val="24"/>
                <w:szCs w:val="24"/>
              </w:rPr>
              <w:t>元</w:t>
            </w:r>
          </w:p>
          <w:p w14:paraId="63B33F9B">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（各供应商报价不能高于预算金额，否则视为无效报价）</w:t>
            </w:r>
          </w:p>
        </w:tc>
      </w:tr>
      <w:tr w14:paraId="39F1DBAF">
        <w:tblPrEx>
          <w:tblCellMar>
            <w:top w:w="0" w:type="dxa"/>
            <w:left w:w="108" w:type="dxa"/>
            <w:bottom w:w="0" w:type="dxa"/>
            <w:right w:w="108" w:type="dxa"/>
          </w:tblCellMar>
        </w:tblPrEx>
        <w:trPr>
          <w:trHeight w:val="607"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235EB4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11</w:t>
            </w:r>
          </w:p>
        </w:tc>
        <w:tc>
          <w:tcPr>
            <w:tcW w:w="1695" w:type="dxa"/>
            <w:tcBorders>
              <w:top w:val="single" w:color="auto" w:sz="6" w:space="0"/>
              <w:left w:val="single" w:color="auto" w:sz="6" w:space="0"/>
              <w:bottom w:val="single" w:color="auto" w:sz="6" w:space="0"/>
              <w:right w:val="single" w:color="auto" w:sz="6" w:space="0"/>
            </w:tcBorders>
            <w:vAlign w:val="center"/>
          </w:tcPr>
          <w:p w14:paraId="33D4C64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资金来源</w:t>
            </w:r>
          </w:p>
        </w:tc>
        <w:tc>
          <w:tcPr>
            <w:tcW w:w="7018" w:type="dxa"/>
            <w:tcBorders>
              <w:top w:val="single" w:color="auto" w:sz="6" w:space="0"/>
              <w:left w:val="single" w:color="auto" w:sz="6" w:space="0"/>
              <w:bottom w:val="single" w:color="auto" w:sz="6" w:space="0"/>
              <w:right w:val="single" w:color="auto" w:sz="12" w:space="0"/>
            </w:tcBorders>
            <w:vAlign w:val="center"/>
          </w:tcPr>
          <w:p w14:paraId="47A9EAA0">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lang w:eastAsia="zh-CN"/>
              </w:rPr>
              <w:t>财政</w:t>
            </w:r>
            <w:r>
              <w:rPr>
                <w:rFonts w:hint="eastAsia" w:ascii="宋体" w:hAnsi="宋体" w:cs="宋体"/>
                <w:spacing w:val="6"/>
                <w:kern w:val="2"/>
                <w:sz w:val="24"/>
                <w:szCs w:val="24"/>
              </w:rPr>
              <w:t>资金</w:t>
            </w:r>
          </w:p>
        </w:tc>
      </w:tr>
      <w:tr w14:paraId="4A437976">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AEF0B9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12</w:t>
            </w:r>
          </w:p>
        </w:tc>
        <w:tc>
          <w:tcPr>
            <w:tcW w:w="1695" w:type="dxa"/>
            <w:tcBorders>
              <w:top w:val="single" w:color="auto" w:sz="6" w:space="0"/>
              <w:left w:val="single" w:color="auto" w:sz="6" w:space="0"/>
              <w:bottom w:val="single" w:color="auto" w:sz="6" w:space="0"/>
              <w:right w:val="single" w:color="auto" w:sz="6" w:space="0"/>
            </w:tcBorders>
            <w:vAlign w:val="center"/>
          </w:tcPr>
          <w:p w14:paraId="4D3573A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资金落实情况</w:t>
            </w:r>
          </w:p>
        </w:tc>
        <w:tc>
          <w:tcPr>
            <w:tcW w:w="7018" w:type="dxa"/>
            <w:tcBorders>
              <w:top w:val="single" w:color="auto" w:sz="6" w:space="0"/>
              <w:left w:val="single" w:color="auto" w:sz="6" w:space="0"/>
              <w:bottom w:val="single" w:color="auto" w:sz="6" w:space="0"/>
              <w:right w:val="single" w:color="auto" w:sz="12" w:space="0"/>
            </w:tcBorders>
            <w:vAlign w:val="center"/>
          </w:tcPr>
          <w:p w14:paraId="36344F6D">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已落实</w:t>
            </w:r>
          </w:p>
        </w:tc>
      </w:tr>
      <w:tr w14:paraId="13879BD7">
        <w:tblPrEx>
          <w:tblCellMar>
            <w:top w:w="0" w:type="dxa"/>
            <w:left w:w="108" w:type="dxa"/>
            <w:bottom w:w="0" w:type="dxa"/>
            <w:right w:w="108" w:type="dxa"/>
          </w:tblCellMar>
        </w:tblPrEx>
        <w:trPr>
          <w:trHeight w:val="536"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B7F9BC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13</w:t>
            </w:r>
          </w:p>
        </w:tc>
        <w:tc>
          <w:tcPr>
            <w:tcW w:w="1695" w:type="dxa"/>
            <w:tcBorders>
              <w:top w:val="single" w:color="auto" w:sz="6" w:space="0"/>
              <w:left w:val="single" w:color="auto" w:sz="6" w:space="0"/>
              <w:bottom w:val="single" w:color="auto" w:sz="6" w:space="0"/>
              <w:right w:val="single" w:color="auto" w:sz="6" w:space="0"/>
            </w:tcBorders>
            <w:vAlign w:val="center"/>
          </w:tcPr>
          <w:p w14:paraId="09755A0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供应商资质要求</w:t>
            </w:r>
          </w:p>
        </w:tc>
        <w:tc>
          <w:tcPr>
            <w:tcW w:w="7018" w:type="dxa"/>
            <w:tcBorders>
              <w:top w:val="single" w:color="auto" w:sz="6" w:space="0"/>
              <w:left w:val="single" w:color="auto" w:sz="6" w:space="0"/>
              <w:bottom w:val="single" w:color="auto" w:sz="6" w:space="0"/>
              <w:right w:val="single" w:color="auto" w:sz="12" w:space="0"/>
            </w:tcBorders>
            <w:vAlign w:val="center"/>
          </w:tcPr>
          <w:p w14:paraId="61E3C713">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具体详见公告内容</w:t>
            </w:r>
          </w:p>
        </w:tc>
      </w:tr>
      <w:tr w14:paraId="7B84DCBA">
        <w:tblPrEx>
          <w:tblCellMar>
            <w:top w:w="0" w:type="dxa"/>
            <w:left w:w="108" w:type="dxa"/>
            <w:bottom w:w="0" w:type="dxa"/>
            <w:right w:w="108" w:type="dxa"/>
          </w:tblCellMar>
        </w:tblPrEx>
        <w:trPr>
          <w:trHeight w:val="552"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76BA09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14</w:t>
            </w:r>
          </w:p>
        </w:tc>
        <w:tc>
          <w:tcPr>
            <w:tcW w:w="1695" w:type="dxa"/>
            <w:tcBorders>
              <w:top w:val="single" w:color="auto" w:sz="6" w:space="0"/>
              <w:left w:val="single" w:color="auto" w:sz="6" w:space="0"/>
              <w:bottom w:val="single" w:color="auto" w:sz="6" w:space="0"/>
              <w:right w:val="single" w:color="auto" w:sz="6" w:space="0"/>
            </w:tcBorders>
            <w:vAlign w:val="center"/>
          </w:tcPr>
          <w:p w14:paraId="6E798FB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竞争性磋商有效期</w:t>
            </w:r>
          </w:p>
        </w:tc>
        <w:tc>
          <w:tcPr>
            <w:tcW w:w="7018" w:type="dxa"/>
            <w:tcBorders>
              <w:top w:val="single" w:color="auto" w:sz="6" w:space="0"/>
              <w:left w:val="single" w:color="auto" w:sz="6" w:space="0"/>
              <w:bottom w:val="single" w:color="auto" w:sz="6" w:space="0"/>
              <w:right w:val="single" w:color="auto" w:sz="12" w:space="0"/>
            </w:tcBorders>
            <w:vAlign w:val="center"/>
          </w:tcPr>
          <w:p w14:paraId="091938CF">
            <w:pPr>
              <w:spacing w:line="400" w:lineRule="exact"/>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rPr>
              <w:t>60日历天(指本次采购项目递交响应性文件截止之日起</w:t>
            </w:r>
            <w:r>
              <w:rPr>
                <w:rFonts w:hint="eastAsia" w:ascii="宋体" w:hAnsi="宋体" w:cs="宋体"/>
                <w:spacing w:val="6"/>
                <w:kern w:val="2"/>
                <w:sz w:val="24"/>
                <w:szCs w:val="24"/>
                <w:lang w:eastAsia="zh-CN"/>
              </w:rPr>
              <w:t>）</w:t>
            </w:r>
          </w:p>
        </w:tc>
      </w:tr>
      <w:tr w14:paraId="0AE7D725">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01FCAC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15</w:t>
            </w:r>
          </w:p>
        </w:tc>
        <w:tc>
          <w:tcPr>
            <w:tcW w:w="1695" w:type="dxa"/>
            <w:tcBorders>
              <w:top w:val="single" w:color="auto" w:sz="6" w:space="0"/>
              <w:left w:val="single" w:color="auto" w:sz="6" w:space="0"/>
              <w:bottom w:val="single" w:color="auto" w:sz="6" w:space="0"/>
              <w:right w:val="single" w:color="auto" w:sz="6" w:space="0"/>
            </w:tcBorders>
            <w:vAlign w:val="center"/>
          </w:tcPr>
          <w:p w14:paraId="712A11F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竞争性磋商保证金</w:t>
            </w:r>
          </w:p>
        </w:tc>
        <w:tc>
          <w:tcPr>
            <w:tcW w:w="7018" w:type="dxa"/>
            <w:tcBorders>
              <w:top w:val="single" w:color="auto" w:sz="6" w:space="0"/>
              <w:left w:val="single" w:color="auto" w:sz="6" w:space="0"/>
              <w:bottom w:val="single" w:color="auto" w:sz="6" w:space="0"/>
              <w:right w:val="single" w:color="auto" w:sz="12" w:space="0"/>
            </w:tcBorders>
            <w:vAlign w:val="center"/>
          </w:tcPr>
          <w:p w14:paraId="64061ECB">
            <w:pPr>
              <w:spacing w:line="400" w:lineRule="exact"/>
              <w:ind w:left="3" w:hanging="2" w:hangingChars="1"/>
              <w:rPr>
                <w:rFonts w:ascii="宋体" w:hAnsi="宋体" w:cs="宋体"/>
                <w:spacing w:val="6"/>
                <w:kern w:val="2"/>
                <w:sz w:val="24"/>
                <w:szCs w:val="24"/>
              </w:rPr>
            </w:pPr>
            <w:r>
              <w:rPr>
                <w:rFonts w:hint="eastAsia" w:ascii="宋体" w:hAnsi="宋体" w:cs="宋体"/>
                <w:spacing w:val="6"/>
                <w:kern w:val="2"/>
                <w:sz w:val="24"/>
                <w:szCs w:val="24"/>
              </w:rPr>
              <w:t>按照《河南省财政厅关于优化政府采购营商环境有关问题的通知》（豫财购[2019]4号文）的要求本项目不再收取磋商保证金</w:t>
            </w:r>
          </w:p>
        </w:tc>
      </w:tr>
      <w:tr w14:paraId="0C64D56D">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630F55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16</w:t>
            </w:r>
          </w:p>
        </w:tc>
        <w:tc>
          <w:tcPr>
            <w:tcW w:w="1695" w:type="dxa"/>
            <w:tcBorders>
              <w:top w:val="single" w:color="auto" w:sz="6" w:space="0"/>
              <w:left w:val="single" w:color="auto" w:sz="6" w:space="0"/>
              <w:bottom w:val="single" w:color="auto" w:sz="6" w:space="0"/>
              <w:right w:val="single" w:color="auto" w:sz="6" w:space="0"/>
            </w:tcBorders>
            <w:vAlign w:val="center"/>
          </w:tcPr>
          <w:p w14:paraId="7002882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是否接受联合体投标</w:t>
            </w:r>
          </w:p>
        </w:tc>
        <w:tc>
          <w:tcPr>
            <w:tcW w:w="7018" w:type="dxa"/>
            <w:tcBorders>
              <w:top w:val="single" w:color="auto" w:sz="6" w:space="0"/>
              <w:left w:val="single" w:color="auto" w:sz="6" w:space="0"/>
              <w:bottom w:val="single" w:color="auto" w:sz="6" w:space="0"/>
              <w:right w:val="single" w:color="auto" w:sz="12" w:space="0"/>
            </w:tcBorders>
            <w:vAlign w:val="center"/>
          </w:tcPr>
          <w:p w14:paraId="31831A67">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不接受</w:t>
            </w:r>
          </w:p>
        </w:tc>
      </w:tr>
      <w:tr w14:paraId="32164B13">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582999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17</w:t>
            </w:r>
          </w:p>
        </w:tc>
        <w:tc>
          <w:tcPr>
            <w:tcW w:w="1695" w:type="dxa"/>
            <w:tcBorders>
              <w:top w:val="single" w:color="auto" w:sz="6" w:space="0"/>
              <w:left w:val="single" w:color="auto" w:sz="6" w:space="0"/>
              <w:bottom w:val="single" w:color="auto" w:sz="6" w:space="0"/>
              <w:right w:val="single" w:color="auto" w:sz="6" w:space="0"/>
            </w:tcBorders>
            <w:vAlign w:val="center"/>
          </w:tcPr>
          <w:p w14:paraId="281953F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踏勘现场</w:t>
            </w:r>
          </w:p>
        </w:tc>
        <w:tc>
          <w:tcPr>
            <w:tcW w:w="7018" w:type="dxa"/>
            <w:tcBorders>
              <w:top w:val="single" w:color="auto" w:sz="6" w:space="0"/>
              <w:left w:val="single" w:color="auto" w:sz="6" w:space="0"/>
              <w:bottom w:val="single" w:color="auto" w:sz="6" w:space="0"/>
              <w:right w:val="single" w:color="auto" w:sz="12" w:space="0"/>
            </w:tcBorders>
            <w:vAlign w:val="center"/>
          </w:tcPr>
          <w:p w14:paraId="12A9EE9A">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不组织</w:t>
            </w:r>
          </w:p>
        </w:tc>
      </w:tr>
      <w:tr w14:paraId="503EF867">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7C2BAC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18</w:t>
            </w:r>
          </w:p>
        </w:tc>
        <w:tc>
          <w:tcPr>
            <w:tcW w:w="1695" w:type="dxa"/>
            <w:tcBorders>
              <w:top w:val="single" w:color="auto" w:sz="6" w:space="0"/>
              <w:left w:val="single" w:color="auto" w:sz="6" w:space="0"/>
              <w:bottom w:val="single" w:color="auto" w:sz="6" w:space="0"/>
              <w:right w:val="single" w:color="auto" w:sz="6" w:space="0"/>
            </w:tcBorders>
            <w:vAlign w:val="center"/>
          </w:tcPr>
          <w:p w14:paraId="5709C7F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投标预备会</w:t>
            </w:r>
          </w:p>
        </w:tc>
        <w:tc>
          <w:tcPr>
            <w:tcW w:w="7018" w:type="dxa"/>
            <w:tcBorders>
              <w:top w:val="single" w:color="auto" w:sz="6" w:space="0"/>
              <w:left w:val="single" w:color="auto" w:sz="6" w:space="0"/>
              <w:bottom w:val="single" w:color="auto" w:sz="6" w:space="0"/>
              <w:right w:val="single" w:color="auto" w:sz="12" w:space="0"/>
            </w:tcBorders>
            <w:vAlign w:val="center"/>
          </w:tcPr>
          <w:p w14:paraId="31F797C8">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不召开</w:t>
            </w:r>
          </w:p>
        </w:tc>
      </w:tr>
      <w:tr w14:paraId="4F74B267">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C3339E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19</w:t>
            </w:r>
          </w:p>
        </w:tc>
        <w:tc>
          <w:tcPr>
            <w:tcW w:w="1695" w:type="dxa"/>
            <w:tcBorders>
              <w:top w:val="single" w:color="auto" w:sz="6" w:space="0"/>
              <w:left w:val="single" w:color="auto" w:sz="6" w:space="0"/>
              <w:bottom w:val="single" w:color="auto" w:sz="6" w:space="0"/>
              <w:right w:val="single" w:color="auto" w:sz="6" w:space="0"/>
            </w:tcBorders>
            <w:vAlign w:val="center"/>
          </w:tcPr>
          <w:p w14:paraId="016334A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分包</w:t>
            </w:r>
          </w:p>
        </w:tc>
        <w:tc>
          <w:tcPr>
            <w:tcW w:w="7018" w:type="dxa"/>
            <w:tcBorders>
              <w:top w:val="single" w:color="auto" w:sz="6" w:space="0"/>
              <w:left w:val="single" w:color="auto" w:sz="6" w:space="0"/>
              <w:bottom w:val="single" w:color="auto" w:sz="6" w:space="0"/>
              <w:right w:val="single" w:color="auto" w:sz="12" w:space="0"/>
            </w:tcBorders>
            <w:vAlign w:val="center"/>
          </w:tcPr>
          <w:p w14:paraId="6050F38E">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不允许</w:t>
            </w:r>
          </w:p>
        </w:tc>
      </w:tr>
      <w:tr w14:paraId="3EF0A4CF">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4ABD57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20</w:t>
            </w:r>
          </w:p>
        </w:tc>
        <w:tc>
          <w:tcPr>
            <w:tcW w:w="1695" w:type="dxa"/>
            <w:tcBorders>
              <w:top w:val="single" w:color="auto" w:sz="6" w:space="0"/>
              <w:left w:val="single" w:color="auto" w:sz="6" w:space="0"/>
              <w:bottom w:val="single" w:color="auto" w:sz="6" w:space="0"/>
              <w:right w:val="single" w:color="auto" w:sz="6" w:space="0"/>
            </w:tcBorders>
            <w:vAlign w:val="center"/>
          </w:tcPr>
          <w:p w14:paraId="1AC2846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偏离</w:t>
            </w:r>
          </w:p>
        </w:tc>
        <w:tc>
          <w:tcPr>
            <w:tcW w:w="7018" w:type="dxa"/>
            <w:tcBorders>
              <w:top w:val="single" w:color="auto" w:sz="6" w:space="0"/>
              <w:left w:val="single" w:color="auto" w:sz="6" w:space="0"/>
              <w:bottom w:val="single" w:color="auto" w:sz="6" w:space="0"/>
              <w:right w:val="single" w:color="auto" w:sz="12" w:space="0"/>
            </w:tcBorders>
            <w:vAlign w:val="center"/>
          </w:tcPr>
          <w:p w14:paraId="5BC6790C">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不允许</w:t>
            </w:r>
          </w:p>
        </w:tc>
      </w:tr>
      <w:tr w14:paraId="0641FBD0">
        <w:tblPrEx>
          <w:tblCellMar>
            <w:top w:w="0" w:type="dxa"/>
            <w:left w:w="108" w:type="dxa"/>
            <w:bottom w:w="0" w:type="dxa"/>
            <w:right w:w="108" w:type="dxa"/>
          </w:tblCellMar>
        </w:tblPrEx>
        <w:trPr>
          <w:trHeight w:val="77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D0501B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21</w:t>
            </w:r>
          </w:p>
        </w:tc>
        <w:tc>
          <w:tcPr>
            <w:tcW w:w="1695" w:type="dxa"/>
            <w:tcBorders>
              <w:top w:val="single" w:color="auto" w:sz="6" w:space="0"/>
              <w:left w:val="single" w:color="auto" w:sz="6" w:space="0"/>
              <w:bottom w:val="single" w:color="auto" w:sz="6" w:space="0"/>
              <w:right w:val="single" w:color="auto" w:sz="6" w:space="0"/>
            </w:tcBorders>
            <w:vAlign w:val="center"/>
          </w:tcPr>
          <w:p w14:paraId="1B9306B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是否接受进口产品</w:t>
            </w:r>
          </w:p>
        </w:tc>
        <w:tc>
          <w:tcPr>
            <w:tcW w:w="7018" w:type="dxa"/>
            <w:tcBorders>
              <w:top w:val="single" w:color="auto" w:sz="6" w:space="0"/>
              <w:left w:val="single" w:color="auto" w:sz="6" w:space="0"/>
              <w:bottom w:val="single" w:color="auto" w:sz="6" w:space="0"/>
              <w:right w:val="single" w:color="auto" w:sz="12" w:space="0"/>
            </w:tcBorders>
            <w:vAlign w:val="center"/>
          </w:tcPr>
          <w:p w14:paraId="6DBF22C1">
            <w:pPr>
              <w:widowControl w:val="0"/>
              <w:adjustRightInd w:val="0"/>
              <w:spacing w:line="400" w:lineRule="exact"/>
              <w:ind w:left="0" w:leftChars="0" w:firstLine="0" w:firstLineChars="0"/>
              <w:rPr>
                <w:rFonts w:ascii="宋体" w:hAnsi="宋体" w:cs="宋体"/>
                <w:spacing w:val="6"/>
                <w:kern w:val="2"/>
                <w:sz w:val="24"/>
                <w:szCs w:val="24"/>
              </w:rPr>
            </w:pPr>
            <w:r>
              <w:rPr>
                <w:rFonts w:hint="eastAsia" w:ascii="宋体" w:hAnsi="宋体" w:cs="宋体"/>
                <w:spacing w:val="6"/>
                <w:kern w:val="2"/>
                <w:sz w:val="24"/>
                <w:szCs w:val="24"/>
              </w:rPr>
              <w:t>否</w:t>
            </w:r>
          </w:p>
        </w:tc>
      </w:tr>
      <w:tr w14:paraId="5561693C">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AFC7B4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22</w:t>
            </w:r>
          </w:p>
        </w:tc>
        <w:tc>
          <w:tcPr>
            <w:tcW w:w="1695" w:type="dxa"/>
            <w:tcBorders>
              <w:top w:val="single" w:color="auto" w:sz="6" w:space="0"/>
              <w:left w:val="single" w:color="auto" w:sz="6" w:space="0"/>
              <w:bottom w:val="single" w:color="auto" w:sz="6" w:space="0"/>
              <w:right w:val="single" w:color="auto" w:sz="6" w:space="0"/>
            </w:tcBorders>
            <w:vAlign w:val="center"/>
          </w:tcPr>
          <w:p w14:paraId="3D98AA9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构成磋商文件的其他材料</w:t>
            </w:r>
          </w:p>
        </w:tc>
        <w:tc>
          <w:tcPr>
            <w:tcW w:w="7018" w:type="dxa"/>
            <w:tcBorders>
              <w:top w:val="single" w:color="auto" w:sz="6" w:space="0"/>
              <w:left w:val="single" w:color="auto" w:sz="6" w:space="0"/>
              <w:bottom w:val="single" w:color="auto" w:sz="6" w:space="0"/>
              <w:right w:val="single" w:color="auto" w:sz="12" w:space="0"/>
            </w:tcBorders>
            <w:vAlign w:val="center"/>
          </w:tcPr>
          <w:p w14:paraId="0EA48B92">
            <w:pPr>
              <w:adjustRightInd w:val="0"/>
              <w:snapToGrid w:val="0"/>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2"/>
              </w:rPr>
              <w:t>对磋商文件所作的澄清（含答疑）、修改，补充构成磋商文件的组成部分</w:t>
            </w:r>
          </w:p>
        </w:tc>
      </w:tr>
      <w:tr w14:paraId="56AF6660">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8121E1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23</w:t>
            </w:r>
          </w:p>
        </w:tc>
        <w:tc>
          <w:tcPr>
            <w:tcW w:w="1695" w:type="dxa"/>
            <w:tcBorders>
              <w:top w:val="single" w:color="auto" w:sz="6" w:space="0"/>
              <w:left w:val="single" w:color="auto" w:sz="6" w:space="0"/>
              <w:bottom w:val="single" w:color="auto" w:sz="6" w:space="0"/>
              <w:right w:val="single" w:color="auto" w:sz="6" w:space="0"/>
            </w:tcBorders>
            <w:vAlign w:val="center"/>
          </w:tcPr>
          <w:p w14:paraId="1A350FD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响应人要求澄清竞争性磋商文件的截止时间</w:t>
            </w:r>
          </w:p>
        </w:tc>
        <w:tc>
          <w:tcPr>
            <w:tcW w:w="7018" w:type="dxa"/>
            <w:tcBorders>
              <w:top w:val="single" w:color="auto" w:sz="6" w:space="0"/>
              <w:left w:val="single" w:color="auto" w:sz="6" w:space="0"/>
              <w:bottom w:val="single" w:color="auto" w:sz="6" w:space="0"/>
              <w:right w:val="single" w:color="auto" w:sz="12" w:space="0"/>
            </w:tcBorders>
            <w:vAlign w:val="center"/>
          </w:tcPr>
          <w:p w14:paraId="6EAAE902">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响应文件递交截止时间5日前</w:t>
            </w:r>
          </w:p>
        </w:tc>
      </w:tr>
      <w:tr w14:paraId="7C8B53C1">
        <w:tblPrEx>
          <w:tblCellMar>
            <w:top w:w="0" w:type="dxa"/>
            <w:left w:w="108" w:type="dxa"/>
            <w:bottom w:w="0" w:type="dxa"/>
            <w:right w:w="108" w:type="dxa"/>
          </w:tblCellMar>
        </w:tblPrEx>
        <w:trPr>
          <w:trHeight w:val="103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F16F9D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24</w:t>
            </w:r>
          </w:p>
        </w:tc>
        <w:tc>
          <w:tcPr>
            <w:tcW w:w="1695" w:type="dxa"/>
            <w:tcBorders>
              <w:top w:val="single" w:color="auto" w:sz="6" w:space="0"/>
              <w:left w:val="single" w:color="auto" w:sz="6" w:space="0"/>
              <w:bottom w:val="single" w:color="auto" w:sz="6" w:space="0"/>
              <w:right w:val="single" w:color="auto" w:sz="6" w:space="0"/>
            </w:tcBorders>
            <w:vAlign w:val="center"/>
          </w:tcPr>
          <w:p w14:paraId="7DCE9FB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响应文件递</w:t>
            </w:r>
          </w:p>
          <w:p w14:paraId="4C1B674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交截止时间</w:t>
            </w:r>
          </w:p>
        </w:tc>
        <w:tc>
          <w:tcPr>
            <w:tcW w:w="7018" w:type="dxa"/>
            <w:tcBorders>
              <w:top w:val="single" w:color="auto" w:sz="6" w:space="0"/>
              <w:left w:val="single" w:color="auto" w:sz="6" w:space="0"/>
              <w:bottom w:val="single" w:color="auto" w:sz="6" w:space="0"/>
              <w:right w:val="single" w:color="auto" w:sz="12" w:space="0"/>
            </w:tcBorders>
            <w:vAlign w:val="center"/>
          </w:tcPr>
          <w:p w14:paraId="74ADB073">
            <w:pPr>
              <w:spacing w:line="400" w:lineRule="exact"/>
              <w:ind w:left="0" w:leftChars="0" w:firstLine="0" w:firstLineChars="0"/>
              <w:rPr>
                <w:rFonts w:ascii="宋体" w:hAnsi="宋体" w:cs="宋体"/>
                <w:spacing w:val="-10"/>
                <w:kern w:val="2"/>
                <w:sz w:val="24"/>
                <w:szCs w:val="24"/>
              </w:rPr>
            </w:pPr>
            <w:r>
              <w:rPr>
                <w:rFonts w:hint="eastAsia" w:ascii="宋体" w:hAnsi="宋体" w:cs="宋体"/>
                <w:spacing w:val="6"/>
                <w:kern w:val="2"/>
                <w:sz w:val="24"/>
                <w:szCs w:val="24"/>
              </w:rPr>
              <w:t>具体详见公告部分</w:t>
            </w:r>
          </w:p>
        </w:tc>
      </w:tr>
      <w:tr w14:paraId="4FBE6CF9">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ACCFA7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25</w:t>
            </w:r>
          </w:p>
        </w:tc>
        <w:tc>
          <w:tcPr>
            <w:tcW w:w="1695" w:type="dxa"/>
            <w:tcBorders>
              <w:top w:val="single" w:color="auto" w:sz="6" w:space="0"/>
              <w:left w:val="single" w:color="auto" w:sz="6" w:space="0"/>
              <w:bottom w:val="single" w:color="auto" w:sz="6" w:space="0"/>
              <w:right w:val="single" w:color="auto" w:sz="6" w:space="0"/>
            </w:tcBorders>
            <w:vAlign w:val="center"/>
          </w:tcPr>
          <w:p w14:paraId="6C7C3AF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响应人确认收到竞争性磋商文件澄清的时间</w:t>
            </w:r>
          </w:p>
        </w:tc>
        <w:tc>
          <w:tcPr>
            <w:tcW w:w="7018" w:type="dxa"/>
            <w:tcBorders>
              <w:top w:val="single" w:color="auto" w:sz="6" w:space="0"/>
              <w:left w:val="single" w:color="auto" w:sz="6" w:space="0"/>
              <w:bottom w:val="single" w:color="auto" w:sz="6" w:space="0"/>
              <w:right w:val="single" w:color="auto" w:sz="12" w:space="0"/>
            </w:tcBorders>
            <w:vAlign w:val="center"/>
          </w:tcPr>
          <w:p w14:paraId="57D1FF96">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在收到相应澄清文件后</w:t>
            </w:r>
            <w:r>
              <w:rPr>
                <w:rFonts w:hint="eastAsia" w:ascii="宋体" w:hAnsi="宋体" w:cs="宋体"/>
                <w:kern w:val="2"/>
                <w:sz w:val="24"/>
                <w:szCs w:val="24"/>
                <w:u w:val="single"/>
              </w:rPr>
              <w:t xml:space="preserve"> 24 </w:t>
            </w:r>
            <w:r>
              <w:rPr>
                <w:rFonts w:hint="eastAsia" w:ascii="宋体" w:hAnsi="宋体" w:cs="宋体"/>
                <w:kern w:val="2"/>
                <w:sz w:val="24"/>
                <w:szCs w:val="24"/>
              </w:rPr>
              <w:t>小时内</w:t>
            </w:r>
          </w:p>
        </w:tc>
      </w:tr>
      <w:tr w14:paraId="4B20A305">
        <w:tblPrEx>
          <w:tblCellMar>
            <w:top w:w="0" w:type="dxa"/>
            <w:left w:w="108" w:type="dxa"/>
            <w:bottom w:w="0" w:type="dxa"/>
            <w:right w:w="108" w:type="dxa"/>
          </w:tblCellMar>
        </w:tblPrEx>
        <w:trPr>
          <w:trHeight w:val="61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E0A773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26</w:t>
            </w:r>
          </w:p>
        </w:tc>
        <w:tc>
          <w:tcPr>
            <w:tcW w:w="1695" w:type="dxa"/>
            <w:tcBorders>
              <w:top w:val="single" w:color="auto" w:sz="6" w:space="0"/>
              <w:left w:val="single" w:color="auto" w:sz="6" w:space="0"/>
              <w:bottom w:val="single" w:color="auto" w:sz="6" w:space="0"/>
              <w:right w:val="single" w:color="auto" w:sz="6" w:space="0"/>
            </w:tcBorders>
            <w:vAlign w:val="center"/>
          </w:tcPr>
          <w:p w14:paraId="769963E5">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响应人确认收到竞争性磋商文件修改的时间</w:t>
            </w:r>
          </w:p>
        </w:tc>
        <w:tc>
          <w:tcPr>
            <w:tcW w:w="7018" w:type="dxa"/>
            <w:tcBorders>
              <w:top w:val="single" w:color="auto" w:sz="6" w:space="0"/>
              <w:left w:val="single" w:color="auto" w:sz="6" w:space="0"/>
              <w:bottom w:val="single" w:color="auto" w:sz="6" w:space="0"/>
              <w:right w:val="single" w:color="auto" w:sz="12" w:space="0"/>
            </w:tcBorders>
            <w:vAlign w:val="center"/>
          </w:tcPr>
          <w:p w14:paraId="4484BDB4">
            <w:pPr>
              <w:spacing w:line="400" w:lineRule="exact"/>
              <w:ind w:left="0" w:leftChars="0" w:firstLine="0" w:firstLineChars="0"/>
              <w:rPr>
                <w:rFonts w:ascii="宋体" w:hAnsi="宋体" w:cs="宋体"/>
                <w:spacing w:val="-10"/>
                <w:kern w:val="2"/>
                <w:sz w:val="24"/>
                <w:szCs w:val="24"/>
              </w:rPr>
            </w:pPr>
            <w:r>
              <w:rPr>
                <w:rFonts w:hint="eastAsia" w:ascii="宋体" w:hAnsi="宋体" w:cs="宋体"/>
                <w:kern w:val="2"/>
                <w:sz w:val="24"/>
                <w:szCs w:val="24"/>
              </w:rPr>
              <w:t>在收到相应修改文件后</w:t>
            </w:r>
            <w:r>
              <w:rPr>
                <w:rFonts w:hint="eastAsia" w:ascii="宋体" w:hAnsi="宋体" w:cs="宋体"/>
                <w:kern w:val="2"/>
                <w:sz w:val="24"/>
                <w:szCs w:val="24"/>
                <w:u w:val="single"/>
              </w:rPr>
              <w:t xml:space="preserve"> 24</w:t>
            </w:r>
            <w:r>
              <w:rPr>
                <w:rFonts w:hint="eastAsia" w:ascii="宋体" w:hAnsi="宋体" w:cs="宋体"/>
                <w:kern w:val="2"/>
                <w:sz w:val="24"/>
                <w:szCs w:val="24"/>
              </w:rPr>
              <w:t>小时内</w:t>
            </w:r>
          </w:p>
        </w:tc>
      </w:tr>
      <w:tr w14:paraId="5CF2DC6D">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755945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27</w:t>
            </w:r>
          </w:p>
        </w:tc>
        <w:tc>
          <w:tcPr>
            <w:tcW w:w="1695" w:type="dxa"/>
            <w:tcBorders>
              <w:top w:val="single" w:color="auto" w:sz="6" w:space="0"/>
              <w:left w:val="single" w:color="auto" w:sz="6" w:space="0"/>
              <w:bottom w:val="single" w:color="auto" w:sz="6" w:space="0"/>
              <w:right w:val="single" w:color="auto" w:sz="6" w:space="0"/>
            </w:tcBorders>
            <w:vAlign w:val="center"/>
          </w:tcPr>
          <w:p w14:paraId="39AE028D">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响应文件是否退还</w:t>
            </w:r>
          </w:p>
        </w:tc>
        <w:tc>
          <w:tcPr>
            <w:tcW w:w="7018" w:type="dxa"/>
            <w:tcBorders>
              <w:top w:val="single" w:color="auto" w:sz="6" w:space="0"/>
              <w:left w:val="single" w:color="auto" w:sz="6" w:space="0"/>
              <w:bottom w:val="single" w:color="auto" w:sz="6" w:space="0"/>
              <w:right w:val="single" w:color="auto" w:sz="12" w:space="0"/>
            </w:tcBorders>
            <w:vAlign w:val="center"/>
          </w:tcPr>
          <w:p w14:paraId="0AC29C50">
            <w:pPr>
              <w:widowControl w:val="0"/>
              <w:adjustRightInd w:val="0"/>
              <w:spacing w:line="400" w:lineRule="exact"/>
              <w:ind w:left="0" w:leftChars="0" w:firstLine="0" w:firstLineChars="0"/>
              <w:jc w:val="both"/>
              <w:rPr>
                <w:rFonts w:ascii="宋体" w:hAnsi="宋体" w:cs="宋体"/>
                <w:spacing w:val="-10"/>
                <w:kern w:val="2"/>
                <w:sz w:val="24"/>
                <w:szCs w:val="24"/>
              </w:rPr>
            </w:pPr>
            <w:r>
              <w:rPr>
                <w:rFonts w:hint="eastAsia" w:ascii="宋体" w:hAnsi="宋体" w:cs="宋体"/>
                <w:spacing w:val="-10"/>
                <w:kern w:val="2"/>
                <w:sz w:val="24"/>
                <w:szCs w:val="24"/>
              </w:rPr>
              <w:t>否</w:t>
            </w:r>
          </w:p>
        </w:tc>
      </w:tr>
      <w:tr w14:paraId="0389C92E">
        <w:tblPrEx>
          <w:tblCellMar>
            <w:top w:w="0" w:type="dxa"/>
            <w:left w:w="108" w:type="dxa"/>
            <w:bottom w:w="0" w:type="dxa"/>
            <w:right w:w="108" w:type="dxa"/>
          </w:tblCellMar>
        </w:tblPrEx>
        <w:trPr>
          <w:trHeight w:val="197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EB17D3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28</w:t>
            </w:r>
          </w:p>
        </w:tc>
        <w:tc>
          <w:tcPr>
            <w:tcW w:w="1695" w:type="dxa"/>
            <w:tcBorders>
              <w:top w:val="single" w:color="auto" w:sz="6" w:space="0"/>
              <w:left w:val="single" w:color="auto" w:sz="6" w:space="0"/>
              <w:bottom w:val="single" w:color="auto" w:sz="6" w:space="0"/>
              <w:right w:val="single" w:color="auto" w:sz="6" w:space="0"/>
            </w:tcBorders>
            <w:vAlign w:val="center"/>
          </w:tcPr>
          <w:p w14:paraId="42EAAFC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是否允许递交备选磋商方案</w:t>
            </w:r>
          </w:p>
        </w:tc>
        <w:tc>
          <w:tcPr>
            <w:tcW w:w="7018" w:type="dxa"/>
            <w:tcBorders>
              <w:top w:val="single" w:color="auto" w:sz="6" w:space="0"/>
              <w:left w:val="single" w:color="auto" w:sz="6" w:space="0"/>
              <w:bottom w:val="single" w:color="auto" w:sz="6" w:space="0"/>
              <w:right w:val="single" w:color="auto" w:sz="12" w:space="0"/>
            </w:tcBorders>
            <w:vAlign w:val="center"/>
          </w:tcPr>
          <w:p w14:paraId="6DA99D98">
            <w:pPr>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不允许</w:t>
            </w:r>
          </w:p>
        </w:tc>
      </w:tr>
      <w:tr w14:paraId="37D2BC8A">
        <w:tblPrEx>
          <w:tblCellMar>
            <w:top w:w="0" w:type="dxa"/>
            <w:left w:w="108" w:type="dxa"/>
            <w:bottom w:w="0" w:type="dxa"/>
            <w:right w:w="108" w:type="dxa"/>
          </w:tblCellMar>
        </w:tblPrEx>
        <w:trPr>
          <w:trHeight w:val="9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CB7CE7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29</w:t>
            </w:r>
          </w:p>
        </w:tc>
        <w:tc>
          <w:tcPr>
            <w:tcW w:w="1695" w:type="dxa"/>
            <w:tcBorders>
              <w:top w:val="single" w:color="auto" w:sz="6" w:space="0"/>
              <w:left w:val="single" w:color="auto" w:sz="6" w:space="0"/>
              <w:bottom w:val="single" w:color="auto" w:sz="6" w:space="0"/>
              <w:right w:val="single" w:color="auto" w:sz="6" w:space="0"/>
            </w:tcBorders>
            <w:vAlign w:val="center"/>
          </w:tcPr>
          <w:p w14:paraId="133D412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签字和（或）盖章要求</w:t>
            </w:r>
          </w:p>
        </w:tc>
        <w:tc>
          <w:tcPr>
            <w:tcW w:w="7018" w:type="dxa"/>
            <w:tcBorders>
              <w:top w:val="single" w:color="auto" w:sz="6" w:space="0"/>
              <w:left w:val="single" w:color="auto" w:sz="6" w:space="0"/>
              <w:bottom w:val="single" w:color="auto" w:sz="6" w:space="0"/>
              <w:right w:val="single" w:color="auto" w:sz="12" w:space="0"/>
            </w:tcBorders>
            <w:vAlign w:val="center"/>
          </w:tcPr>
          <w:p w14:paraId="31955284">
            <w:pPr>
              <w:spacing w:line="400" w:lineRule="exact"/>
              <w:ind w:left="0" w:leftChars="0" w:firstLine="0" w:firstLineChars="0"/>
              <w:rPr>
                <w:rFonts w:ascii="宋体" w:hAnsi="宋体" w:cs="宋体"/>
                <w:kern w:val="2"/>
                <w:sz w:val="24"/>
                <w:szCs w:val="24"/>
              </w:rPr>
            </w:pPr>
            <w:r>
              <w:rPr>
                <w:rFonts w:hint="eastAsia" w:ascii="宋体" w:hAnsi="宋体" w:cs="宋体"/>
                <w:kern w:val="2"/>
                <w:sz w:val="24"/>
                <w:szCs w:val="24"/>
              </w:rPr>
              <w:t>电子化响应文件的签章：</w:t>
            </w:r>
          </w:p>
          <w:p w14:paraId="4B1CD1A6">
            <w:pPr>
              <w:spacing w:line="400" w:lineRule="exact"/>
              <w:rPr>
                <w:rFonts w:ascii="宋体" w:hAnsi="宋体" w:cs="宋体"/>
                <w:kern w:val="2"/>
                <w:sz w:val="24"/>
                <w:szCs w:val="24"/>
              </w:rPr>
            </w:pPr>
            <w:r>
              <w:rPr>
                <w:rFonts w:hint="eastAsia" w:ascii="宋体" w:hAnsi="宋体" w:cs="宋体"/>
                <w:kern w:val="2"/>
                <w:sz w:val="24"/>
                <w:szCs w:val="24"/>
              </w:rPr>
              <w:t>1、响应人在生成电子化响应文件后，应对电子化响应文件进行签章，未对电子化响应文件进行签章的视为无效文件。</w:t>
            </w:r>
          </w:p>
          <w:p w14:paraId="43F0ABB3">
            <w:pPr>
              <w:spacing w:line="400" w:lineRule="exact"/>
              <w:rPr>
                <w:rFonts w:ascii="宋体" w:hAnsi="宋体" w:cs="宋体"/>
                <w:kern w:val="2"/>
                <w:sz w:val="24"/>
                <w:szCs w:val="24"/>
              </w:rPr>
            </w:pPr>
            <w:r>
              <w:rPr>
                <w:rFonts w:hint="eastAsia" w:ascii="宋体" w:hAnsi="宋体" w:cs="宋体"/>
                <w:kern w:val="2"/>
                <w:sz w:val="24"/>
                <w:szCs w:val="24"/>
              </w:rPr>
              <w:t>2、竞争性磋商文件中要求法定代表人或授权委托人盖章的，响应人在进行电子化响应文件签章时，以签盖法定代表人签章为准。</w:t>
            </w:r>
          </w:p>
          <w:p w14:paraId="579977BE">
            <w:pPr>
              <w:wordWrap w:val="0"/>
              <w:spacing w:line="400" w:lineRule="exact"/>
              <w:rPr>
                <w:rFonts w:ascii="宋体" w:hAnsi="宋体" w:cs="宋体"/>
                <w:kern w:val="2"/>
                <w:sz w:val="24"/>
                <w:szCs w:val="22"/>
              </w:rPr>
            </w:pPr>
            <w:r>
              <w:rPr>
                <w:rFonts w:hint="eastAsia" w:ascii="宋体" w:hAnsi="宋体" w:cs="宋体"/>
                <w:kern w:val="2"/>
                <w:sz w:val="24"/>
                <w:szCs w:val="24"/>
              </w:rPr>
              <w:t>3、电子化响应文件工具请点击</w:t>
            </w:r>
            <w:r>
              <w:rPr>
                <w:rFonts w:ascii="宋体" w:hAnsi="宋体" w:cs="宋体"/>
                <w:kern w:val="2"/>
                <w:sz w:val="24"/>
                <w:szCs w:val="24"/>
              </w:rPr>
              <w:t>https://download.bqpoint.com/download/downloadlist.html?SoftTypeCode=06</w:t>
            </w:r>
            <w:r>
              <w:rPr>
                <w:rFonts w:hint="eastAsia" w:ascii="宋体" w:hAnsi="宋体" w:cs="宋体"/>
                <w:kern w:val="2"/>
                <w:sz w:val="24"/>
                <w:szCs w:val="24"/>
              </w:rPr>
              <w:t>进行下载。</w:t>
            </w:r>
          </w:p>
        </w:tc>
      </w:tr>
      <w:tr w14:paraId="7D859EB2">
        <w:tblPrEx>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D5857A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30</w:t>
            </w:r>
          </w:p>
        </w:tc>
        <w:tc>
          <w:tcPr>
            <w:tcW w:w="1695" w:type="dxa"/>
            <w:tcBorders>
              <w:top w:val="single" w:color="auto" w:sz="6" w:space="0"/>
              <w:left w:val="single" w:color="auto" w:sz="6" w:space="0"/>
              <w:bottom w:val="single" w:color="auto" w:sz="6" w:space="0"/>
              <w:right w:val="single" w:color="auto" w:sz="6" w:space="0"/>
            </w:tcBorders>
            <w:vAlign w:val="center"/>
          </w:tcPr>
          <w:p w14:paraId="3A4B841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履约保证金</w:t>
            </w:r>
          </w:p>
        </w:tc>
        <w:tc>
          <w:tcPr>
            <w:tcW w:w="7018" w:type="dxa"/>
            <w:tcBorders>
              <w:top w:val="single" w:color="auto" w:sz="6" w:space="0"/>
              <w:left w:val="single" w:color="auto" w:sz="6" w:space="0"/>
              <w:bottom w:val="single" w:color="auto" w:sz="6" w:space="0"/>
              <w:right w:val="single" w:color="auto" w:sz="12" w:space="0"/>
            </w:tcBorders>
            <w:vAlign w:val="center"/>
          </w:tcPr>
          <w:p w14:paraId="732969D8">
            <w:pPr>
              <w:widowControl w:val="0"/>
              <w:spacing w:line="400" w:lineRule="exact"/>
              <w:ind w:left="0" w:leftChars="0" w:firstLine="0" w:firstLineChars="0"/>
              <w:jc w:val="both"/>
              <w:rPr>
                <w:rFonts w:ascii="宋体" w:hAnsi="宋体" w:cs="宋体"/>
                <w:kern w:val="2"/>
                <w:sz w:val="24"/>
                <w:szCs w:val="24"/>
              </w:rPr>
            </w:pPr>
            <w:r>
              <w:rPr>
                <w:rFonts w:hint="eastAsia" w:ascii="宋体" w:hAnsi="宋体" w:cs="宋体"/>
                <w:kern w:val="2"/>
                <w:sz w:val="24"/>
                <w:szCs w:val="24"/>
              </w:rPr>
              <w:t>不收取</w:t>
            </w:r>
          </w:p>
        </w:tc>
      </w:tr>
      <w:tr w14:paraId="75174F7D">
        <w:tblPrEx>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B0C7C6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31</w:t>
            </w:r>
          </w:p>
        </w:tc>
        <w:tc>
          <w:tcPr>
            <w:tcW w:w="1695" w:type="dxa"/>
            <w:tcBorders>
              <w:top w:val="single" w:color="auto" w:sz="6" w:space="0"/>
              <w:left w:val="single" w:color="auto" w:sz="6" w:space="0"/>
              <w:bottom w:val="single" w:color="auto" w:sz="6" w:space="0"/>
              <w:right w:val="single" w:color="auto" w:sz="6" w:space="0"/>
            </w:tcBorders>
            <w:vAlign w:val="center"/>
          </w:tcPr>
          <w:p w14:paraId="50E6DFC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近年完成的类似项目的业绩年份要求</w:t>
            </w:r>
          </w:p>
        </w:tc>
        <w:tc>
          <w:tcPr>
            <w:tcW w:w="7018" w:type="dxa"/>
            <w:tcBorders>
              <w:top w:val="single" w:color="auto" w:sz="6" w:space="0"/>
              <w:left w:val="single" w:color="auto" w:sz="6" w:space="0"/>
              <w:bottom w:val="single" w:color="auto" w:sz="6" w:space="0"/>
              <w:right w:val="single" w:color="auto" w:sz="12" w:space="0"/>
            </w:tcBorders>
            <w:vAlign w:val="center"/>
          </w:tcPr>
          <w:p w14:paraId="2CE73F6D">
            <w:pPr>
              <w:widowControl w:val="0"/>
              <w:adjustRightInd w:val="0"/>
              <w:spacing w:line="360" w:lineRule="auto"/>
              <w:ind w:left="0" w:leftChars="0" w:firstLine="0" w:firstLineChars="0"/>
              <w:jc w:val="both"/>
              <w:rPr>
                <w:rFonts w:ascii="宋体" w:hAnsi="宋体" w:cs="宋体"/>
                <w:spacing w:val="-10"/>
                <w:kern w:val="2"/>
                <w:sz w:val="24"/>
                <w:szCs w:val="24"/>
              </w:rPr>
            </w:pPr>
            <w:r>
              <w:rPr>
                <w:rFonts w:hint="eastAsia" w:ascii="宋体" w:hAnsi="宋体" w:cs="宋体"/>
                <w:spacing w:val="-10"/>
                <w:kern w:val="2"/>
                <w:sz w:val="24"/>
                <w:szCs w:val="24"/>
                <w:lang w:val="en-US" w:eastAsia="zh-CN"/>
              </w:rPr>
              <w:t>2023</w:t>
            </w:r>
            <w:r>
              <w:rPr>
                <w:rFonts w:hint="eastAsia" w:ascii="宋体" w:hAnsi="宋体" w:cs="宋体"/>
                <w:spacing w:val="-10"/>
                <w:kern w:val="2"/>
                <w:sz w:val="24"/>
                <w:szCs w:val="24"/>
              </w:rPr>
              <w:t>年01月01日以来完成类似项目</w:t>
            </w:r>
          </w:p>
        </w:tc>
      </w:tr>
      <w:tr w14:paraId="733DB8A2">
        <w:tblPrEx>
          <w:tblCellMar>
            <w:top w:w="0" w:type="dxa"/>
            <w:left w:w="108" w:type="dxa"/>
            <w:bottom w:w="0" w:type="dxa"/>
            <w:right w:w="108" w:type="dxa"/>
          </w:tblCellMar>
        </w:tblPrEx>
        <w:trPr>
          <w:trHeight w:val="1021"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236E4717">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32</w:t>
            </w:r>
          </w:p>
        </w:tc>
        <w:tc>
          <w:tcPr>
            <w:tcW w:w="1695" w:type="dxa"/>
            <w:tcBorders>
              <w:top w:val="single" w:color="auto" w:sz="6" w:space="0"/>
              <w:left w:val="single" w:color="auto" w:sz="6" w:space="0"/>
              <w:bottom w:val="single" w:color="auto" w:sz="6" w:space="0"/>
              <w:right w:val="single" w:color="auto" w:sz="6" w:space="0"/>
            </w:tcBorders>
            <w:vAlign w:val="center"/>
          </w:tcPr>
          <w:p w14:paraId="36FBBD3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竞争性磋商响应文件上传</w:t>
            </w:r>
          </w:p>
        </w:tc>
        <w:tc>
          <w:tcPr>
            <w:tcW w:w="7018" w:type="dxa"/>
            <w:tcBorders>
              <w:top w:val="single" w:color="auto" w:sz="6" w:space="0"/>
              <w:left w:val="single" w:color="auto" w:sz="6" w:space="0"/>
              <w:bottom w:val="single" w:color="auto" w:sz="6" w:space="0"/>
              <w:right w:val="single" w:color="auto" w:sz="12" w:space="0"/>
            </w:tcBorders>
            <w:vAlign w:val="center"/>
          </w:tcPr>
          <w:p w14:paraId="64B6A38F">
            <w:pPr>
              <w:widowControl w:val="0"/>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用CA在电子平台上传电子响应文件</w:t>
            </w:r>
          </w:p>
        </w:tc>
      </w:tr>
      <w:tr w14:paraId="7384ADBB">
        <w:tblPrEx>
          <w:tblCellMar>
            <w:top w:w="0" w:type="dxa"/>
            <w:left w:w="108" w:type="dxa"/>
            <w:bottom w:w="0" w:type="dxa"/>
            <w:right w:w="108" w:type="dxa"/>
          </w:tblCellMar>
        </w:tblPrEx>
        <w:trPr>
          <w:trHeight w:val="1080"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382168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33</w:t>
            </w:r>
          </w:p>
        </w:tc>
        <w:tc>
          <w:tcPr>
            <w:tcW w:w="1695" w:type="dxa"/>
            <w:tcBorders>
              <w:top w:val="single" w:color="auto" w:sz="6" w:space="0"/>
              <w:left w:val="single" w:color="auto" w:sz="6" w:space="0"/>
              <w:bottom w:val="single" w:color="auto" w:sz="6" w:space="0"/>
              <w:right w:val="single" w:color="auto" w:sz="6" w:space="0"/>
            </w:tcBorders>
            <w:vAlign w:val="center"/>
          </w:tcPr>
          <w:p w14:paraId="20D06F9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磋商小组的组建</w:t>
            </w:r>
          </w:p>
        </w:tc>
        <w:tc>
          <w:tcPr>
            <w:tcW w:w="7018" w:type="dxa"/>
            <w:tcBorders>
              <w:top w:val="single" w:color="auto" w:sz="6" w:space="0"/>
              <w:left w:val="single" w:color="auto" w:sz="6" w:space="0"/>
              <w:bottom w:val="single" w:color="auto" w:sz="6" w:space="0"/>
              <w:right w:val="single" w:color="auto" w:sz="12" w:space="0"/>
            </w:tcBorders>
            <w:vAlign w:val="center"/>
          </w:tcPr>
          <w:p w14:paraId="572DD2F7">
            <w:pPr>
              <w:spacing w:line="400" w:lineRule="exact"/>
              <w:ind w:left="0" w:leftChars="0" w:firstLine="504" w:firstLineChars="200"/>
              <w:jc w:val="both"/>
              <w:rPr>
                <w:rFonts w:ascii="宋体" w:hAnsi="宋体" w:cs="宋体"/>
                <w:spacing w:val="6"/>
                <w:kern w:val="2"/>
                <w:sz w:val="24"/>
                <w:szCs w:val="24"/>
              </w:rPr>
            </w:pPr>
            <w:r>
              <w:rPr>
                <w:rFonts w:ascii="宋体" w:hAnsi="宋体" w:cs="宋体"/>
                <w:color w:val="auto"/>
                <w:spacing w:val="6"/>
                <w:kern w:val="2"/>
                <w:sz w:val="24"/>
                <w:szCs w:val="24"/>
              </w:rPr>
              <w:t>磋商小组成员为3人，</w:t>
            </w:r>
            <w:r>
              <w:rPr>
                <w:rFonts w:hint="eastAsia" w:ascii="宋体" w:hAnsi="宋体" w:cs="宋体"/>
                <w:color w:val="auto"/>
                <w:spacing w:val="6"/>
                <w:kern w:val="2"/>
                <w:sz w:val="24"/>
                <w:szCs w:val="24"/>
                <w:lang w:eastAsia="zh-CN"/>
              </w:rPr>
              <w:t>采购代表</w:t>
            </w:r>
            <w:r>
              <w:rPr>
                <w:rFonts w:hint="eastAsia" w:ascii="宋体" w:hAnsi="宋体" w:cs="宋体"/>
                <w:color w:val="auto"/>
                <w:spacing w:val="6"/>
                <w:kern w:val="2"/>
                <w:sz w:val="24"/>
                <w:szCs w:val="24"/>
                <w:lang w:val="en-US" w:eastAsia="zh-CN"/>
              </w:rPr>
              <w:t>1人，其余技术、经济类专家2人组成</w:t>
            </w:r>
            <w:r>
              <w:rPr>
                <w:rFonts w:hint="eastAsia" w:ascii="宋体" w:hAnsi="宋体" w:cs="宋体"/>
                <w:color w:val="auto"/>
                <w:spacing w:val="6"/>
                <w:kern w:val="2"/>
                <w:sz w:val="24"/>
                <w:szCs w:val="24"/>
              </w:rPr>
              <w:t>；评标专家确定方式：当天开标后通过卢氏县公共资源交易中心抽取终端，从河南省政府采购评审专家库随机抽取。</w:t>
            </w:r>
          </w:p>
        </w:tc>
      </w:tr>
      <w:tr w14:paraId="14CE6490">
        <w:tblPrEx>
          <w:tblCellMar>
            <w:top w:w="0" w:type="dxa"/>
            <w:left w:w="108" w:type="dxa"/>
            <w:bottom w:w="0" w:type="dxa"/>
            <w:right w:w="108" w:type="dxa"/>
          </w:tblCellMar>
        </w:tblPrEx>
        <w:trPr>
          <w:trHeight w:val="213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53403DB">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34</w:t>
            </w:r>
          </w:p>
        </w:tc>
        <w:tc>
          <w:tcPr>
            <w:tcW w:w="1695" w:type="dxa"/>
            <w:tcBorders>
              <w:top w:val="single" w:color="auto" w:sz="6" w:space="0"/>
              <w:left w:val="single" w:color="auto" w:sz="6" w:space="0"/>
              <w:bottom w:val="single" w:color="auto" w:sz="6" w:space="0"/>
              <w:right w:val="single" w:color="auto" w:sz="6" w:space="0"/>
            </w:tcBorders>
            <w:vAlign w:val="center"/>
          </w:tcPr>
          <w:p w14:paraId="6C5BA23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磋商标</w:t>
            </w:r>
          </w:p>
          <w:p w14:paraId="3D1D770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准及方法</w:t>
            </w:r>
          </w:p>
        </w:tc>
        <w:tc>
          <w:tcPr>
            <w:tcW w:w="7018" w:type="dxa"/>
            <w:tcBorders>
              <w:top w:val="single" w:color="auto" w:sz="6" w:space="0"/>
              <w:left w:val="single" w:color="auto" w:sz="6" w:space="0"/>
              <w:bottom w:val="single" w:color="auto" w:sz="6" w:space="0"/>
              <w:right w:val="single" w:color="auto" w:sz="12" w:space="0"/>
            </w:tcBorders>
            <w:vAlign w:val="center"/>
          </w:tcPr>
          <w:p w14:paraId="2441B042">
            <w:pPr>
              <w:spacing w:line="400" w:lineRule="exact"/>
              <w:jc w:val="both"/>
              <w:rPr>
                <w:rFonts w:ascii="宋体" w:hAnsi="宋体" w:cs="宋体"/>
                <w:spacing w:val="6"/>
                <w:kern w:val="2"/>
                <w:sz w:val="24"/>
                <w:szCs w:val="24"/>
              </w:rPr>
            </w:pPr>
            <w:r>
              <w:rPr>
                <w:rFonts w:ascii="宋体" w:hAnsi="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kern w:val="2"/>
                <w:sz w:val="24"/>
                <w:szCs w:val="24"/>
              </w:rPr>
              <w:t>（且推荐候选人为三名）</w:t>
            </w:r>
          </w:p>
        </w:tc>
      </w:tr>
      <w:tr w14:paraId="1FCCE39E">
        <w:tblPrEx>
          <w:tblCellMar>
            <w:top w:w="0" w:type="dxa"/>
            <w:left w:w="108" w:type="dxa"/>
            <w:bottom w:w="0" w:type="dxa"/>
            <w:right w:w="108" w:type="dxa"/>
          </w:tblCellMar>
        </w:tblPrEx>
        <w:trPr>
          <w:trHeight w:val="489"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71EFFE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35</w:t>
            </w:r>
          </w:p>
        </w:tc>
        <w:tc>
          <w:tcPr>
            <w:tcW w:w="1695" w:type="dxa"/>
            <w:tcBorders>
              <w:top w:val="single" w:color="auto" w:sz="6" w:space="0"/>
              <w:left w:val="single" w:color="auto" w:sz="6" w:space="0"/>
              <w:bottom w:val="single" w:color="auto" w:sz="6" w:space="0"/>
              <w:right w:val="single" w:color="auto" w:sz="6" w:space="0"/>
            </w:tcBorders>
            <w:vAlign w:val="center"/>
          </w:tcPr>
          <w:p w14:paraId="7AB4659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是否授权磋商小组确定中标人</w:t>
            </w:r>
          </w:p>
        </w:tc>
        <w:tc>
          <w:tcPr>
            <w:tcW w:w="7018" w:type="dxa"/>
            <w:tcBorders>
              <w:top w:val="single" w:color="auto" w:sz="6" w:space="0"/>
              <w:left w:val="single" w:color="auto" w:sz="6" w:space="0"/>
              <w:bottom w:val="single" w:color="auto" w:sz="6" w:space="0"/>
              <w:right w:val="single" w:color="auto" w:sz="12" w:space="0"/>
            </w:tcBorders>
            <w:vAlign w:val="center"/>
          </w:tcPr>
          <w:p w14:paraId="76B4F410">
            <w:pPr>
              <w:spacing w:line="400" w:lineRule="exact"/>
              <w:ind w:left="0" w:leftChars="0" w:firstLine="0" w:firstLineChars="0"/>
              <w:jc w:val="both"/>
              <w:rPr>
                <w:rFonts w:ascii="宋体" w:hAnsi="宋体" w:cs="宋体"/>
                <w:spacing w:val="6"/>
                <w:kern w:val="2"/>
                <w:sz w:val="24"/>
                <w:szCs w:val="24"/>
              </w:rPr>
            </w:pPr>
            <w:r>
              <w:rPr>
                <w:rFonts w:hint="eastAsia" w:ascii="宋体" w:hAnsi="宋体" w:cs="宋体"/>
                <w:spacing w:val="6"/>
                <w:kern w:val="2"/>
                <w:sz w:val="24"/>
                <w:szCs w:val="24"/>
              </w:rPr>
              <w:t>否，磋商小组推选三名中标候选人</w:t>
            </w:r>
          </w:p>
        </w:tc>
      </w:tr>
      <w:tr w14:paraId="4DF33B95">
        <w:tblPrEx>
          <w:tblCellMar>
            <w:top w:w="0" w:type="dxa"/>
            <w:left w:w="108" w:type="dxa"/>
            <w:bottom w:w="0" w:type="dxa"/>
            <w:right w:w="108" w:type="dxa"/>
          </w:tblCellMar>
        </w:tblPrEx>
        <w:trPr>
          <w:trHeight w:val="2964"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6F2FB9C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36</w:t>
            </w:r>
          </w:p>
        </w:tc>
        <w:tc>
          <w:tcPr>
            <w:tcW w:w="1695" w:type="dxa"/>
            <w:tcBorders>
              <w:top w:val="single" w:color="auto" w:sz="6" w:space="0"/>
              <w:left w:val="single" w:color="auto" w:sz="6" w:space="0"/>
              <w:bottom w:val="single" w:color="auto" w:sz="6" w:space="0"/>
              <w:right w:val="single" w:color="auto" w:sz="6" w:space="0"/>
            </w:tcBorders>
            <w:vAlign w:val="center"/>
          </w:tcPr>
          <w:p w14:paraId="4D72129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其他事项</w:t>
            </w:r>
          </w:p>
        </w:tc>
        <w:tc>
          <w:tcPr>
            <w:tcW w:w="7018" w:type="dxa"/>
            <w:tcBorders>
              <w:top w:val="single" w:color="auto" w:sz="6" w:space="0"/>
              <w:left w:val="single" w:color="auto" w:sz="6" w:space="0"/>
              <w:bottom w:val="single" w:color="auto" w:sz="6" w:space="0"/>
              <w:right w:val="single" w:color="auto" w:sz="12" w:space="0"/>
            </w:tcBorders>
            <w:vAlign w:val="center"/>
          </w:tcPr>
          <w:p w14:paraId="4824FBF6">
            <w:pPr>
              <w:widowControl w:val="0"/>
              <w:spacing w:line="400" w:lineRule="exact"/>
              <w:jc w:val="both"/>
              <w:rPr>
                <w:rFonts w:ascii="宋体" w:hAnsi="宋体" w:cs="宋体"/>
                <w:kern w:val="2"/>
                <w:sz w:val="24"/>
                <w:szCs w:val="24"/>
              </w:rPr>
            </w:pPr>
            <w:r>
              <w:rPr>
                <w:rFonts w:hint="eastAsia" w:ascii="宋体" w:hAnsi="宋体" w:cs="宋体"/>
                <w:kern w:val="2"/>
                <w:sz w:val="24"/>
                <w:szCs w:val="24"/>
              </w:rPr>
              <w:t>1.电子化投标文件应在投标截止时间前成功上传至三门峡市公共资源电子化交易系统。至投标截止时间止，仍未上传成功的电子化投标文件，将不予接受</w:t>
            </w:r>
          </w:p>
          <w:p w14:paraId="4FF41F87">
            <w:pPr>
              <w:widowControl w:val="0"/>
              <w:spacing w:line="400" w:lineRule="exact"/>
              <w:jc w:val="both"/>
              <w:rPr>
                <w:rFonts w:ascii="宋体" w:hAnsi="宋体" w:cs="宋体"/>
                <w:kern w:val="2"/>
                <w:sz w:val="24"/>
                <w:szCs w:val="24"/>
              </w:rPr>
            </w:pPr>
            <w:r>
              <w:rPr>
                <w:rFonts w:hint="eastAsia" w:ascii="宋体" w:hAnsi="宋体" w:cs="宋体"/>
                <w:kern w:val="2"/>
                <w:sz w:val="24"/>
                <w:szCs w:val="24"/>
              </w:rPr>
              <w:t>2.中标方领取通知书时，须提供与上传电子版内容一致的纸质版投标文件一份，不得采用活页夹形式</w:t>
            </w:r>
          </w:p>
          <w:p w14:paraId="27AABD38">
            <w:pPr>
              <w:widowControl w:val="0"/>
              <w:spacing w:line="400" w:lineRule="exact"/>
              <w:jc w:val="both"/>
              <w:rPr>
                <w:rFonts w:ascii="宋体" w:hAnsi="宋体" w:cs="宋体"/>
                <w:kern w:val="2"/>
                <w:sz w:val="24"/>
                <w:szCs w:val="24"/>
              </w:rPr>
            </w:pPr>
          </w:p>
        </w:tc>
      </w:tr>
      <w:tr w14:paraId="46021D9E">
        <w:tblPrEx>
          <w:tblCellMar>
            <w:top w:w="0" w:type="dxa"/>
            <w:left w:w="108" w:type="dxa"/>
            <w:bottom w:w="0" w:type="dxa"/>
            <w:right w:w="108" w:type="dxa"/>
          </w:tblCellMar>
        </w:tblPrEx>
        <w:trPr>
          <w:trHeight w:val="485"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0DD265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37</w:t>
            </w:r>
          </w:p>
        </w:tc>
        <w:tc>
          <w:tcPr>
            <w:tcW w:w="1695" w:type="dxa"/>
            <w:tcBorders>
              <w:top w:val="single" w:color="auto" w:sz="6" w:space="0"/>
              <w:left w:val="single" w:color="auto" w:sz="6" w:space="0"/>
              <w:bottom w:val="single" w:color="auto" w:sz="6" w:space="0"/>
              <w:right w:val="single" w:color="auto" w:sz="6" w:space="0"/>
            </w:tcBorders>
            <w:vAlign w:val="center"/>
          </w:tcPr>
          <w:p w14:paraId="26E3148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付款方式</w:t>
            </w:r>
          </w:p>
        </w:tc>
        <w:tc>
          <w:tcPr>
            <w:tcW w:w="7018" w:type="dxa"/>
            <w:tcBorders>
              <w:top w:val="single" w:color="auto" w:sz="6" w:space="0"/>
              <w:left w:val="single" w:color="auto" w:sz="6" w:space="0"/>
              <w:bottom w:val="single" w:color="auto" w:sz="6" w:space="0"/>
              <w:right w:val="single" w:color="auto" w:sz="12" w:space="0"/>
            </w:tcBorders>
            <w:vAlign w:val="center"/>
          </w:tcPr>
          <w:p w14:paraId="4D5F79F7">
            <w:pPr>
              <w:autoSpaceDE w:val="0"/>
              <w:autoSpaceDN w:val="0"/>
              <w:spacing w:line="360" w:lineRule="auto"/>
              <w:ind w:left="0" w:leftChars="0" w:firstLine="0" w:firstLineChars="0"/>
              <w:rPr>
                <w:rFonts w:ascii="宋体" w:hAnsi="宋体" w:cs="宋体"/>
                <w:kern w:val="2"/>
                <w:sz w:val="24"/>
                <w:szCs w:val="24"/>
              </w:rPr>
            </w:pPr>
            <w:r>
              <w:rPr>
                <w:rFonts w:hint="eastAsia" w:ascii="宋体" w:hAnsi="宋体" w:cs="宋体"/>
                <w:kern w:val="2"/>
                <w:sz w:val="24"/>
                <w:szCs w:val="24"/>
              </w:rPr>
              <w:t>以《中华人民共和国民法典》等相关法律法规为准，甲乙双方协定。</w:t>
            </w:r>
          </w:p>
        </w:tc>
      </w:tr>
      <w:tr w14:paraId="159851DA">
        <w:tblPrEx>
          <w:tblCellMar>
            <w:top w:w="0" w:type="dxa"/>
            <w:left w:w="108" w:type="dxa"/>
            <w:bottom w:w="0" w:type="dxa"/>
            <w:right w:w="108" w:type="dxa"/>
          </w:tblCellMar>
        </w:tblPrEx>
        <w:trPr>
          <w:trHeight w:val="408"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C264E93">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38</w:t>
            </w:r>
          </w:p>
        </w:tc>
        <w:tc>
          <w:tcPr>
            <w:tcW w:w="1695" w:type="dxa"/>
            <w:tcBorders>
              <w:top w:val="single" w:color="auto" w:sz="6" w:space="0"/>
              <w:left w:val="single" w:color="auto" w:sz="6" w:space="0"/>
              <w:bottom w:val="single" w:color="auto" w:sz="6" w:space="0"/>
              <w:right w:val="single" w:color="auto" w:sz="6" w:space="0"/>
            </w:tcBorders>
            <w:vAlign w:val="center"/>
          </w:tcPr>
          <w:p w14:paraId="2828D38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代理服务费</w:t>
            </w:r>
          </w:p>
        </w:tc>
        <w:tc>
          <w:tcPr>
            <w:tcW w:w="7018" w:type="dxa"/>
            <w:tcBorders>
              <w:top w:val="single" w:color="auto" w:sz="6" w:space="0"/>
              <w:left w:val="single" w:color="auto" w:sz="6" w:space="0"/>
              <w:bottom w:val="single" w:color="auto" w:sz="6" w:space="0"/>
              <w:right w:val="single" w:color="auto" w:sz="12" w:space="0"/>
            </w:tcBorders>
            <w:vAlign w:val="center"/>
          </w:tcPr>
          <w:p w14:paraId="77649E7F">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本次代理服务费参照豫招协[2023]002号河南省招标投标协会关于印发《河南省招标代理服务收费指导意见》规定的收费标准收取中标服务费，该代理服务费在中标人领取中标通知书时向招标代理机构缴纳。</w:t>
            </w:r>
          </w:p>
          <w:p w14:paraId="4E0FAE87">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本项目代理服务费按差额定率累进法计算。</w:t>
            </w:r>
          </w:p>
          <w:p w14:paraId="4258A9BC">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招标代理服务收费计算如下:</w:t>
            </w:r>
          </w:p>
          <w:p w14:paraId="57DD19E2">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100万元以下（含100万元），服务费按1.7%收取。</w:t>
            </w:r>
          </w:p>
          <w:p w14:paraId="1F6358C9">
            <w:pPr>
              <w:keepNext/>
              <w:keepLines/>
              <w:widowControl w:val="0"/>
              <w:spacing w:before="20" w:after="20" w:line="360" w:lineRule="auto"/>
              <w:ind w:firstLine="480" w:firstLineChars="200"/>
              <w:outlineLvl w:val="9"/>
              <w:rPr>
                <w:rFonts w:ascii="宋体" w:hAnsi="宋体" w:cs="宋体"/>
                <w:kern w:val="2"/>
                <w:sz w:val="24"/>
                <w:szCs w:val="24"/>
              </w:rPr>
            </w:pPr>
            <w:r>
              <w:rPr>
                <w:rFonts w:hint="eastAsia" w:ascii="宋体" w:hAnsi="宋体" w:cs="宋体"/>
                <w:kern w:val="2"/>
                <w:sz w:val="24"/>
                <w:szCs w:val="24"/>
              </w:rPr>
              <w:t>100-500万元（含500万元），服务费按1.2%收取。</w:t>
            </w:r>
          </w:p>
          <w:p w14:paraId="1BEA69AC">
            <w:pPr>
              <w:keepNext/>
              <w:keepLines/>
              <w:widowControl w:val="0"/>
              <w:spacing w:before="20" w:after="20" w:line="360" w:lineRule="auto"/>
              <w:ind w:firstLine="480" w:firstLineChars="200"/>
              <w:outlineLvl w:val="9"/>
            </w:pPr>
            <w:r>
              <w:rPr>
                <w:rFonts w:hint="eastAsia" w:ascii="宋体" w:hAnsi="宋体" w:cs="宋体"/>
                <w:kern w:val="2"/>
                <w:sz w:val="24"/>
                <w:szCs w:val="24"/>
              </w:rPr>
              <w:t>收费标准的计算基数以项目的实际中标金额为计费基数。</w:t>
            </w:r>
          </w:p>
        </w:tc>
      </w:tr>
      <w:tr w14:paraId="107A963E">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5EF5D48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39</w:t>
            </w:r>
          </w:p>
        </w:tc>
        <w:tc>
          <w:tcPr>
            <w:tcW w:w="1695" w:type="dxa"/>
            <w:tcBorders>
              <w:top w:val="single" w:color="auto" w:sz="6" w:space="0"/>
              <w:left w:val="single" w:color="auto" w:sz="6" w:space="0"/>
              <w:bottom w:val="single" w:color="auto" w:sz="6" w:space="0"/>
              <w:right w:val="single" w:color="auto" w:sz="6" w:space="0"/>
            </w:tcBorders>
            <w:vAlign w:val="center"/>
          </w:tcPr>
          <w:p w14:paraId="5E02DFA4">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竞争性磋商文件的解释</w:t>
            </w:r>
          </w:p>
        </w:tc>
        <w:tc>
          <w:tcPr>
            <w:tcW w:w="7018" w:type="dxa"/>
            <w:tcBorders>
              <w:top w:val="single" w:color="auto" w:sz="6" w:space="0"/>
              <w:left w:val="single" w:color="auto" w:sz="6" w:space="0"/>
              <w:bottom w:val="single" w:color="auto" w:sz="6" w:space="0"/>
              <w:right w:val="single" w:color="auto" w:sz="12" w:space="0"/>
            </w:tcBorders>
            <w:vAlign w:val="center"/>
          </w:tcPr>
          <w:p w14:paraId="58E4D319">
            <w:pPr>
              <w:spacing w:line="400" w:lineRule="exact"/>
              <w:rPr>
                <w:rFonts w:ascii="宋体" w:hAnsi="宋体" w:cs="宋体"/>
                <w:spacing w:val="6"/>
                <w:kern w:val="2"/>
                <w:sz w:val="24"/>
                <w:szCs w:val="24"/>
              </w:rPr>
            </w:pPr>
            <w:r>
              <w:rPr>
                <w:rFonts w:hint="eastAsia" w:ascii="宋体" w:hAnsi="宋体" w:cs="宋体"/>
                <w:kern w:val="2"/>
                <w:sz w:val="24"/>
                <w:szCs w:val="24"/>
              </w:rPr>
              <w:t>在符合相关法律法规的前题下，竞争性磋商文件的解释权归采购人所有。本竞争性磋商文件中其他部分内容与响应人须知前附表不一致的，以响应人须知前附表为准。</w:t>
            </w:r>
          </w:p>
        </w:tc>
      </w:tr>
      <w:tr w14:paraId="63100F9E">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0876EF2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40</w:t>
            </w:r>
          </w:p>
        </w:tc>
        <w:tc>
          <w:tcPr>
            <w:tcW w:w="1695" w:type="dxa"/>
            <w:tcBorders>
              <w:top w:val="single" w:color="auto" w:sz="6" w:space="0"/>
              <w:left w:val="single" w:color="auto" w:sz="6" w:space="0"/>
              <w:bottom w:val="single" w:color="auto" w:sz="6" w:space="0"/>
              <w:right w:val="single" w:color="auto" w:sz="6" w:space="0"/>
            </w:tcBorders>
            <w:vAlign w:val="center"/>
          </w:tcPr>
          <w:p w14:paraId="008AA731">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答疑</w:t>
            </w:r>
          </w:p>
        </w:tc>
        <w:tc>
          <w:tcPr>
            <w:tcW w:w="7018" w:type="dxa"/>
            <w:tcBorders>
              <w:top w:val="single" w:color="auto" w:sz="6" w:space="0"/>
              <w:left w:val="single" w:color="auto" w:sz="6" w:space="0"/>
              <w:bottom w:val="single" w:color="auto" w:sz="6" w:space="0"/>
              <w:right w:val="single" w:color="auto" w:sz="12" w:space="0"/>
            </w:tcBorders>
            <w:vAlign w:val="center"/>
          </w:tcPr>
          <w:p w14:paraId="51B219C6">
            <w:pPr>
              <w:spacing w:line="400" w:lineRule="exact"/>
              <w:rPr>
                <w:rFonts w:ascii="宋体" w:hAnsi="宋体" w:cs="宋体"/>
                <w:spacing w:val="6"/>
                <w:kern w:val="2"/>
                <w:sz w:val="24"/>
                <w:szCs w:val="24"/>
              </w:rPr>
            </w:pPr>
            <w:r>
              <w:rPr>
                <w:rFonts w:hint="eastAsia" w:ascii="宋体" w:hAnsi="宋体" w:cs="宋体"/>
                <w:kern w:val="2"/>
                <w:sz w:val="24"/>
                <w:szCs w:val="24"/>
              </w:rPr>
              <w:t>需要解答的疑问以书面形式加盖单位公章递交至采购人或代理机构，逾期提交的问题概不做回复。采购人将需要解答的内容以公告形式发至所有潜在响应人。</w:t>
            </w:r>
          </w:p>
        </w:tc>
      </w:tr>
      <w:tr w14:paraId="3A3FC61D">
        <w:tblPrEx>
          <w:tblCellMar>
            <w:top w:w="0" w:type="dxa"/>
            <w:left w:w="108" w:type="dxa"/>
            <w:bottom w:w="0" w:type="dxa"/>
            <w:right w:w="108" w:type="dxa"/>
          </w:tblCellMar>
        </w:tblPrEx>
        <w:trPr>
          <w:trHeight w:val="93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1270EB58">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41</w:t>
            </w:r>
          </w:p>
        </w:tc>
        <w:tc>
          <w:tcPr>
            <w:tcW w:w="1695" w:type="dxa"/>
            <w:tcBorders>
              <w:top w:val="single" w:color="auto" w:sz="6" w:space="0"/>
              <w:left w:val="single" w:color="auto" w:sz="6" w:space="0"/>
              <w:bottom w:val="single" w:color="auto" w:sz="6" w:space="0"/>
              <w:right w:val="single" w:color="auto" w:sz="6" w:space="0"/>
            </w:tcBorders>
            <w:vAlign w:val="center"/>
          </w:tcPr>
          <w:p w14:paraId="4B1348C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结果公告</w:t>
            </w:r>
          </w:p>
        </w:tc>
        <w:tc>
          <w:tcPr>
            <w:tcW w:w="7018" w:type="dxa"/>
            <w:tcBorders>
              <w:top w:val="single" w:color="auto" w:sz="6" w:space="0"/>
              <w:left w:val="single" w:color="auto" w:sz="6" w:space="0"/>
              <w:bottom w:val="single" w:color="auto" w:sz="6" w:space="0"/>
              <w:right w:val="single" w:color="auto" w:sz="12" w:space="0"/>
            </w:tcBorders>
            <w:vAlign w:val="center"/>
          </w:tcPr>
          <w:p w14:paraId="79837DEF">
            <w:pPr>
              <w:spacing w:line="400" w:lineRule="exact"/>
              <w:rPr>
                <w:rFonts w:ascii="宋体" w:hAnsi="宋体" w:cs="宋体"/>
                <w:spacing w:val="6"/>
                <w:kern w:val="2"/>
                <w:sz w:val="24"/>
                <w:szCs w:val="24"/>
              </w:rPr>
            </w:pPr>
            <w:r>
              <w:rPr>
                <w:rFonts w:hint="eastAsia" w:ascii="宋体" w:hAnsi="宋体" w:cs="宋体"/>
                <w:kern w:val="2"/>
                <w:sz w:val="24"/>
                <w:szCs w:val="24"/>
              </w:rPr>
              <w:t>在</w:t>
            </w:r>
            <w:r>
              <w:rPr>
                <w:rFonts w:hint="eastAsia" w:ascii="宋体" w:hAnsi="宋体" w:cs="宋体"/>
                <w:kern w:val="2"/>
                <w:sz w:val="24"/>
                <w:szCs w:val="24"/>
                <w:lang w:eastAsia="zh-CN"/>
              </w:rPr>
              <w:t>《三门峡市公共资源交易中心网》、《河南省政府采购网》、《中国招标投标公共服务平台》</w:t>
            </w:r>
            <w:r>
              <w:rPr>
                <w:rFonts w:hint="eastAsia" w:ascii="宋体" w:hAnsi="宋体" w:cs="宋体"/>
                <w:kern w:val="2"/>
                <w:sz w:val="24"/>
                <w:szCs w:val="24"/>
              </w:rPr>
              <w:t>同时进行公告，公示期1个工作日。</w:t>
            </w:r>
          </w:p>
        </w:tc>
      </w:tr>
      <w:tr w14:paraId="63C85AE5">
        <w:tblPrEx>
          <w:tblCellMar>
            <w:top w:w="0" w:type="dxa"/>
            <w:left w:w="108" w:type="dxa"/>
            <w:bottom w:w="0" w:type="dxa"/>
            <w:right w:w="108" w:type="dxa"/>
          </w:tblCellMar>
        </w:tblPrEx>
        <w:trPr>
          <w:trHeight w:val="448"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42D9615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42</w:t>
            </w:r>
          </w:p>
        </w:tc>
        <w:tc>
          <w:tcPr>
            <w:tcW w:w="1695" w:type="dxa"/>
            <w:tcBorders>
              <w:top w:val="single" w:color="auto" w:sz="6" w:space="0"/>
              <w:left w:val="single" w:color="auto" w:sz="6" w:space="0"/>
              <w:bottom w:val="single" w:color="auto" w:sz="6" w:space="0"/>
              <w:right w:val="single" w:color="auto" w:sz="6" w:space="0"/>
            </w:tcBorders>
            <w:vAlign w:val="center"/>
          </w:tcPr>
          <w:p w14:paraId="46402176">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知识产权</w:t>
            </w:r>
          </w:p>
        </w:tc>
        <w:tc>
          <w:tcPr>
            <w:tcW w:w="7018" w:type="dxa"/>
            <w:tcBorders>
              <w:top w:val="single" w:color="auto" w:sz="6" w:space="0"/>
              <w:left w:val="single" w:color="auto" w:sz="6" w:space="0"/>
              <w:bottom w:val="single" w:color="auto" w:sz="6" w:space="0"/>
              <w:right w:val="single" w:color="auto" w:sz="12" w:space="0"/>
            </w:tcBorders>
            <w:vAlign w:val="center"/>
          </w:tcPr>
          <w:p w14:paraId="6964AB21">
            <w:pPr>
              <w:spacing w:line="400" w:lineRule="exact"/>
              <w:rPr>
                <w:rFonts w:ascii="宋体" w:hAnsi="宋体" w:cs="宋体"/>
                <w:spacing w:val="6"/>
                <w:kern w:val="2"/>
                <w:sz w:val="24"/>
                <w:szCs w:val="24"/>
              </w:rPr>
            </w:pPr>
            <w:r>
              <w:rPr>
                <w:rFonts w:hint="eastAsia" w:ascii="宋体" w:hAnsi="宋体" w:cs="宋体"/>
                <w:kern w:val="2"/>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0091003A">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12E80F9">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43</w:t>
            </w:r>
          </w:p>
        </w:tc>
        <w:tc>
          <w:tcPr>
            <w:tcW w:w="1695" w:type="dxa"/>
            <w:tcBorders>
              <w:top w:val="single" w:color="auto" w:sz="6" w:space="0"/>
              <w:left w:val="single" w:color="auto" w:sz="6" w:space="0"/>
              <w:bottom w:val="single" w:color="auto" w:sz="6" w:space="0"/>
              <w:right w:val="single" w:color="auto" w:sz="6" w:space="0"/>
            </w:tcBorders>
            <w:vAlign w:val="center"/>
          </w:tcPr>
          <w:p w14:paraId="4F5986E2">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重新招标的其他情形</w:t>
            </w:r>
          </w:p>
        </w:tc>
        <w:tc>
          <w:tcPr>
            <w:tcW w:w="7018" w:type="dxa"/>
            <w:tcBorders>
              <w:top w:val="single" w:color="auto" w:sz="6" w:space="0"/>
              <w:left w:val="single" w:color="auto" w:sz="6" w:space="0"/>
              <w:bottom w:val="single" w:color="auto" w:sz="6" w:space="0"/>
              <w:right w:val="single" w:color="auto" w:sz="12" w:space="0"/>
            </w:tcBorders>
            <w:vAlign w:val="center"/>
          </w:tcPr>
          <w:p w14:paraId="524B2FDB">
            <w:pPr>
              <w:spacing w:line="400" w:lineRule="exact"/>
              <w:rPr>
                <w:rFonts w:ascii="宋体" w:hAnsi="宋体" w:cs="宋体"/>
                <w:spacing w:val="6"/>
                <w:kern w:val="2"/>
                <w:sz w:val="24"/>
                <w:szCs w:val="24"/>
              </w:rPr>
            </w:pPr>
            <w:r>
              <w:rPr>
                <w:rFonts w:hint="eastAsia" w:ascii="宋体" w:hAnsi="宋体" w:cs="宋体"/>
                <w:kern w:val="2"/>
                <w:sz w:val="24"/>
                <w:szCs w:val="24"/>
              </w:rPr>
              <w:t>除响应人须知正文规定的情形外，除非已经产生中标候选人，在磋商有效期内同意延长磋商有效期的响应人少于三个的，采购人应当依法重新招标。</w:t>
            </w:r>
          </w:p>
        </w:tc>
      </w:tr>
      <w:tr w14:paraId="63E3D359">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756F280E">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44</w:t>
            </w:r>
          </w:p>
        </w:tc>
        <w:tc>
          <w:tcPr>
            <w:tcW w:w="1695" w:type="dxa"/>
            <w:tcBorders>
              <w:top w:val="single" w:color="auto" w:sz="6" w:space="0"/>
              <w:left w:val="single" w:color="auto" w:sz="6" w:space="0"/>
              <w:bottom w:val="single" w:color="auto" w:sz="6" w:space="0"/>
              <w:right w:val="single" w:color="auto" w:sz="6" w:space="0"/>
            </w:tcBorders>
            <w:vAlign w:val="center"/>
          </w:tcPr>
          <w:p w14:paraId="5CB287C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监  督</w:t>
            </w:r>
          </w:p>
        </w:tc>
        <w:tc>
          <w:tcPr>
            <w:tcW w:w="7018" w:type="dxa"/>
            <w:tcBorders>
              <w:top w:val="single" w:color="auto" w:sz="6" w:space="0"/>
              <w:left w:val="single" w:color="auto" w:sz="6" w:space="0"/>
              <w:bottom w:val="single" w:color="auto" w:sz="6" w:space="0"/>
              <w:right w:val="single" w:color="auto" w:sz="12" w:space="0"/>
            </w:tcBorders>
            <w:vAlign w:val="center"/>
          </w:tcPr>
          <w:p w14:paraId="1D30A9EC">
            <w:pPr>
              <w:spacing w:line="400" w:lineRule="exact"/>
              <w:rPr>
                <w:rFonts w:ascii="宋体" w:hAnsi="宋体" w:cs="宋体"/>
                <w:spacing w:val="6"/>
                <w:kern w:val="2"/>
                <w:sz w:val="24"/>
                <w:szCs w:val="24"/>
              </w:rPr>
            </w:pPr>
            <w:r>
              <w:rPr>
                <w:rFonts w:hint="eastAsia" w:ascii="宋体" w:hAnsi="宋体" w:cs="宋体"/>
                <w:kern w:val="2"/>
                <w:sz w:val="24"/>
                <w:szCs w:val="24"/>
              </w:rPr>
              <w:t>本项目的招标磋商活动及其相关当事人应当接受有管辖权的招标投标行政监督部门依法实施的监督。</w:t>
            </w:r>
          </w:p>
        </w:tc>
      </w:tr>
      <w:tr w14:paraId="0A731B60">
        <w:tblPrEx>
          <w:tblCellMar>
            <w:top w:w="0" w:type="dxa"/>
            <w:left w:w="108" w:type="dxa"/>
            <w:bottom w:w="0" w:type="dxa"/>
            <w:right w:w="108" w:type="dxa"/>
          </w:tblCellMar>
        </w:tblPrEx>
        <w:trPr>
          <w:trHeight w:val="1263" w:hRule="atLeast"/>
          <w:jc w:val="center"/>
        </w:trPr>
        <w:tc>
          <w:tcPr>
            <w:tcW w:w="773" w:type="dxa"/>
            <w:tcBorders>
              <w:top w:val="single" w:color="auto" w:sz="6" w:space="0"/>
              <w:left w:val="single" w:color="auto" w:sz="12" w:space="0"/>
              <w:bottom w:val="single" w:color="auto" w:sz="6" w:space="0"/>
              <w:right w:val="single" w:color="auto" w:sz="6" w:space="0"/>
            </w:tcBorders>
            <w:vAlign w:val="center"/>
          </w:tcPr>
          <w:p w14:paraId="3A91453F">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45</w:t>
            </w:r>
          </w:p>
        </w:tc>
        <w:tc>
          <w:tcPr>
            <w:tcW w:w="1695" w:type="dxa"/>
            <w:tcBorders>
              <w:top w:val="single" w:color="auto" w:sz="6" w:space="0"/>
              <w:left w:val="single" w:color="auto" w:sz="6" w:space="0"/>
              <w:bottom w:val="single" w:color="auto" w:sz="12" w:space="0"/>
              <w:right w:val="single" w:color="auto" w:sz="6" w:space="0"/>
            </w:tcBorders>
            <w:vAlign w:val="center"/>
          </w:tcPr>
          <w:p w14:paraId="3B1B209A">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项目行业分类</w:t>
            </w:r>
          </w:p>
        </w:tc>
        <w:tc>
          <w:tcPr>
            <w:tcW w:w="7018" w:type="dxa"/>
            <w:tcBorders>
              <w:top w:val="single" w:color="auto" w:sz="6" w:space="0"/>
              <w:left w:val="single" w:color="auto" w:sz="6" w:space="0"/>
              <w:bottom w:val="single" w:color="auto" w:sz="12" w:space="0"/>
              <w:right w:val="single" w:color="auto" w:sz="12" w:space="0"/>
            </w:tcBorders>
            <w:vAlign w:val="center"/>
          </w:tcPr>
          <w:p w14:paraId="4247AB66">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本项目为服务类采购项目</w:t>
            </w:r>
          </w:p>
          <w:p w14:paraId="10969449">
            <w:pPr>
              <w:keepNext w:val="0"/>
              <w:keepLines w:val="0"/>
              <w:pageBreakBefore w:val="0"/>
              <w:widowControl/>
              <w:suppressLineNumbers w:val="0"/>
              <w:kinsoku/>
              <w:overflowPunct/>
              <w:topLinePunct w:val="0"/>
              <w:bidi w:val="0"/>
              <w:spacing w:before="0" w:beforeAutospacing="0" w:after="0" w:afterAutospacing="0" w:line="400" w:lineRule="exact"/>
              <w:ind w:left="0" w:leftChars="0" w:right="0" w:rightChars="0"/>
              <w:jc w:val="left"/>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采购标的所属行业：</w:t>
            </w:r>
            <w:r>
              <w:rPr>
                <w:rFonts w:hint="eastAsia" w:ascii="宋体" w:hAnsi="宋体" w:cs="宋体"/>
                <w:color w:val="auto"/>
                <w:kern w:val="2"/>
                <w:sz w:val="24"/>
                <w:szCs w:val="24"/>
                <w:lang w:val="en-US" w:eastAsia="zh-CN"/>
              </w:rPr>
              <w:t>餐饮业</w:t>
            </w:r>
          </w:p>
          <w:p w14:paraId="32E20D55">
            <w:pPr>
              <w:widowControl w:val="0"/>
              <w:snapToGrid w:val="0"/>
              <w:spacing w:line="400" w:lineRule="exact"/>
              <w:jc w:val="both"/>
              <w:rPr>
                <w:rFonts w:ascii="宋体" w:hAnsi="宋体" w:cs="宋体"/>
                <w:spacing w:val="6"/>
                <w:kern w:val="2"/>
                <w:sz w:val="24"/>
                <w:szCs w:val="24"/>
              </w:rPr>
            </w:pPr>
            <w:r>
              <w:rPr>
                <w:rFonts w:hint="eastAsia" w:ascii="宋体" w:hAnsi="宋体" w:eastAsia="宋体" w:cs="宋体"/>
                <w:color w:val="auto"/>
                <w:kern w:val="2"/>
                <w:sz w:val="24"/>
                <w:szCs w:val="24"/>
                <w:lang w:eastAsia="zh-CN"/>
              </w:rPr>
              <w:t>划定标准为：《工业和信息化部、国家统计局、国家发展和改革委员会、财政部关于印发&lt;中小企业划型标准规定的通知&gt;（工信部联企业〔2011〕300号）规定的划分标准为依据。</w:t>
            </w:r>
          </w:p>
        </w:tc>
      </w:tr>
      <w:tr w14:paraId="12B2626B">
        <w:tblPrEx>
          <w:tblCellMar>
            <w:top w:w="0" w:type="dxa"/>
            <w:left w:w="108" w:type="dxa"/>
            <w:bottom w:w="0" w:type="dxa"/>
            <w:right w:w="108" w:type="dxa"/>
          </w:tblCellMar>
        </w:tblPrEx>
        <w:trPr>
          <w:trHeight w:val="704" w:hRule="atLeast"/>
          <w:jc w:val="center"/>
        </w:trPr>
        <w:tc>
          <w:tcPr>
            <w:tcW w:w="773" w:type="dxa"/>
            <w:tcBorders>
              <w:top w:val="single" w:color="auto" w:sz="6" w:space="0"/>
              <w:left w:val="single" w:color="auto" w:sz="12" w:space="0"/>
              <w:bottom w:val="single" w:color="auto" w:sz="12" w:space="0"/>
              <w:right w:val="single" w:color="auto" w:sz="6" w:space="0"/>
            </w:tcBorders>
            <w:vAlign w:val="center"/>
          </w:tcPr>
          <w:p w14:paraId="76B3CDBC">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46</w:t>
            </w:r>
          </w:p>
        </w:tc>
        <w:tc>
          <w:tcPr>
            <w:tcW w:w="1695" w:type="dxa"/>
            <w:tcBorders>
              <w:top w:val="single" w:color="auto" w:sz="6" w:space="0"/>
              <w:left w:val="single" w:color="auto" w:sz="6" w:space="0"/>
              <w:bottom w:val="single" w:color="auto" w:sz="12" w:space="0"/>
              <w:right w:val="single" w:color="auto" w:sz="6" w:space="0"/>
            </w:tcBorders>
            <w:vAlign w:val="center"/>
          </w:tcPr>
          <w:p w14:paraId="51A2E8E0">
            <w:pPr>
              <w:widowControl w:val="0"/>
              <w:adjustRightInd w:val="0"/>
              <w:spacing w:line="400" w:lineRule="exact"/>
              <w:ind w:left="0" w:leftChars="0" w:firstLine="0" w:firstLineChars="0"/>
              <w:jc w:val="center"/>
              <w:rPr>
                <w:rFonts w:hint="eastAsia" w:ascii="宋体" w:hAnsi="宋体" w:cs="宋体"/>
                <w:spacing w:val="6"/>
                <w:kern w:val="2"/>
                <w:sz w:val="24"/>
                <w:szCs w:val="24"/>
              </w:rPr>
            </w:pPr>
            <w:r>
              <w:rPr>
                <w:rFonts w:hint="eastAsia" w:ascii="宋体" w:hAnsi="宋体" w:cs="宋体"/>
                <w:spacing w:val="6"/>
                <w:kern w:val="2"/>
                <w:sz w:val="24"/>
                <w:szCs w:val="24"/>
              </w:rPr>
              <w:t>电子化注意事项</w:t>
            </w:r>
          </w:p>
        </w:tc>
        <w:tc>
          <w:tcPr>
            <w:tcW w:w="7018" w:type="dxa"/>
            <w:tcBorders>
              <w:top w:val="single" w:color="auto" w:sz="6" w:space="0"/>
              <w:left w:val="single" w:color="auto" w:sz="6" w:space="0"/>
              <w:bottom w:val="single" w:color="auto" w:sz="12" w:space="0"/>
              <w:right w:val="single" w:color="auto" w:sz="12" w:space="0"/>
            </w:tcBorders>
            <w:vAlign w:val="center"/>
          </w:tcPr>
          <w:p w14:paraId="5FB22CA9">
            <w:pPr>
              <w:widowControl w:val="0"/>
              <w:spacing w:line="400" w:lineRule="exact"/>
              <w:jc w:val="both"/>
              <w:rPr>
                <w:rFonts w:ascii="宋体" w:hAnsi="宋体"/>
                <w:b/>
                <w:kern w:val="2"/>
                <w:sz w:val="24"/>
                <w:szCs w:val="24"/>
              </w:rPr>
            </w:pPr>
            <w:r>
              <w:rPr>
                <w:rFonts w:ascii="宋体" w:hAnsi="宋体" w:cs="宋体"/>
                <w:b/>
                <w:kern w:val="2"/>
                <w:sz w:val="24"/>
                <w:szCs w:val="24"/>
              </w:rPr>
              <w:t>电子化交易项目竞争性磋商响应文件</w:t>
            </w:r>
            <w:r>
              <w:rPr>
                <w:rFonts w:hint="eastAsia" w:ascii="宋体" w:hAnsi="宋体" w:cs="宋体"/>
                <w:b/>
                <w:kern w:val="2"/>
                <w:sz w:val="24"/>
                <w:szCs w:val="24"/>
              </w:rPr>
              <w:t>是</w:t>
            </w:r>
            <w:r>
              <w:rPr>
                <w:rFonts w:ascii="宋体" w:hAnsi="宋体" w:cs="宋体"/>
                <w:b/>
                <w:kern w:val="2"/>
                <w:sz w:val="24"/>
                <w:szCs w:val="24"/>
              </w:rPr>
              <w:t>供应商通过中心制作系统制作，并经过签章和加密后生成的电子版响应文件。</w:t>
            </w:r>
            <w:r>
              <w:rPr>
                <w:rFonts w:hint="eastAsia" w:ascii="宋体" w:hAnsi="宋体" w:cs="宋体"/>
                <w:b/>
                <w:kern w:val="2"/>
                <w:sz w:val="24"/>
                <w:szCs w:val="24"/>
              </w:rPr>
              <w:t>开</w:t>
            </w:r>
            <w:r>
              <w:rPr>
                <w:rFonts w:ascii="宋体" w:hAnsi="宋体" w:cs="宋体"/>
                <w:b/>
                <w:kern w:val="2"/>
                <w:sz w:val="24"/>
                <w:szCs w:val="24"/>
              </w:rPr>
              <w:t>标时，将不再接受任何纸质文件资料。</w:t>
            </w:r>
          </w:p>
          <w:p w14:paraId="3AF4F37A">
            <w:pPr>
              <w:widowControl w:val="0"/>
              <w:spacing w:line="400" w:lineRule="exact"/>
              <w:jc w:val="both"/>
              <w:rPr>
                <w:rFonts w:ascii="宋体" w:hAnsi="宋体"/>
                <w:kern w:val="2"/>
                <w:sz w:val="24"/>
                <w:szCs w:val="24"/>
              </w:rPr>
            </w:pPr>
            <w:r>
              <w:rPr>
                <w:rFonts w:ascii="宋体" w:hAnsi="宋体" w:cs="宋体"/>
                <w:kern w:val="2"/>
                <w:sz w:val="24"/>
                <w:szCs w:val="24"/>
              </w:rPr>
              <w:t>电子化响应文件具体制作教材请</w:t>
            </w:r>
            <w:r>
              <w:rPr>
                <w:rFonts w:hint="eastAsia" w:ascii="宋体" w:hAnsi="宋体" w:cs="宋体"/>
                <w:kern w:val="2"/>
                <w:sz w:val="24"/>
                <w:szCs w:val="24"/>
              </w:rPr>
              <w:t>供应商</w:t>
            </w:r>
            <w:r>
              <w:rPr>
                <w:rFonts w:ascii="宋体" w:hAnsi="宋体" w:cs="宋体"/>
                <w:kern w:val="2"/>
                <w:sz w:val="24"/>
                <w:szCs w:val="24"/>
              </w:rPr>
              <w:t>通过</w:t>
            </w:r>
            <w:r>
              <w:rPr>
                <w:rFonts w:ascii="宋体" w:hAnsi="宋体"/>
                <w:kern w:val="2"/>
                <w:sz w:val="24"/>
                <w:szCs w:val="24"/>
              </w:rPr>
              <w:t>CA</w:t>
            </w:r>
            <w:r>
              <w:rPr>
                <w:rFonts w:ascii="宋体" w:hAnsi="宋体" w:cs="宋体"/>
                <w:kern w:val="2"/>
                <w:sz w:val="24"/>
                <w:szCs w:val="24"/>
              </w:rPr>
              <w:t>证书登录三门峡市公共资源电子化交易系统在“组建下载”中查看。</w:t>
            </w:r>
          </w:p>
          <w:p w14:paraId="03A91992">
            <w:pPr>
              <w:widowControl w:val="0"/>
              <w:spacing w:line="400" w:lineRule="exact"/>
              <w:jc w:val="both"/>
              <w:rPr>
                <w:rFonts w:ascii="宋体" w:hAnsi="宋体"/>
                <w:kern w:val="2"/>
                <w:sz w:val="24"/>
                <w:szCs w:val="24"/>
              </w:rPr>
            </w:pPr>
            <w:r>
              <w:rPr>
                <w:rFonts w:ascii="宋体" w:hAnsi="宋体" w:cs="宋体"/>
                <w:b/>
                <w:kern w:val="2"/>
                <w:sz w:val="24"/>
                <w:szCs w:val="24"/>
              </w:rPr>
              <w:t>温馨提示：本项目为电子化、无纸化交易项目，开标时不接受任何纸质资料，为保证您能</w:t>
            </w:r>
            <w:r>
              <w:rPr>
                <w:rFonts w:hint="eastAsia" w:ascii="宋体" w:hAnsi="宋体" w:cs="宋体"/>
                <w:b/>
                <w:kern w:val="2"/>
                <w:sz w:val="24"/>
                <w:szCs w:val="24"/>
              </w:rPr>
              <w:t>开</w:t>
            </w:r>
            <w:r>
              <w:rPr>
                <w:rFonts w:ascii="宋体" w:hAnsi="宋体" w:cs="宋体"/>
                <w:b/>
                <w:kern w:val="2"/>
                <w:sz w:val="24"/>
                <w:szCs w:val="24"/>
              </w:rPr>
              <w:t>标成功，请需仔细阅读以下条款。</w:t>
            </w:r>
          </w:p>
          <w:p w14:paraId="174AB00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一、电子化投标</w:t>
            </w:r>
          </w:p>
          <w:p w14:paraId="3FE1C55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（一）电子化磋商响应文件的签章</w:t>
            </w:r>
          </w:p>
          <w:p w14:paraId="2543989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1、供应商在生成电子化磋商响应文件后，应对电子化磋商响应文件进行签章，未进行签章的视为无效投标。</w:t>
            </w:r>
          </w:p>
          <w:p w14:paraId="3AC1B1F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磋商响应文件中要求法定代表人或授权委托人签字或盖章的，供应商在进行电子化磋商响应文件签章时，以签盖法定代表人签章为准。电子化磋商响应文件具体制作教材请供应商通过CA证书登录三门峡市公共资源电子化交易系统在右上角“交易智库”中查看。电子化磋商响应文件工具请点击http://t.cn/A6ZvtVob进行下载。</w:t>
            </w:r>
          </w:p>
          <w:p w14:paraId="6114A69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（二）电子化磋商响应文件的格式及上传投标</w:t>
            </w:r>
          </w:p>
          <w:p w14:paraId="7BD0115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供应商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p>
          <w:p w14:paraId="2C977F6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注：供应商投报多个标段的，需要每个标段单独制作电子磋商响应文件。</w:t>
            </w:r>
          </w:p>
          <w:p w14:paraId="6E3D557C">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2、电子化磋商响应文件应在投标截止时间前成功上传至三门峡市公共资源电子化交易系统。至投标截止时间止，仍未上传成功的电子化磋商响应文件将不予接收。</w:t>
            </w:r>
          </w:p>
          <w:p w14:paraId="64A8637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6584546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技术联系电话：400-998-0000</w:t>
            </w:r>
          </w:p>
          <w:p w14:paraId="7CA5216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（三）电子化项目开标、解密、唱标、评标</w:t>
            </w:r>
          </w:p>
          <w:p w14:paraId="5254425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34DDD36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2、电子化磋商响应文件采用一次加密方式。开标时，由供应商使用CA 证书，在规定时间内对其电子化磋商响应文件进行解密。每位供应商的解密时间为开标时间起30分钟内，如在规定时间内未完成解密的，其磋商响应文件不予开标、唱标。</w:t>
            </w:r>
          </w:p>
          <w:p w14:paraId="7134967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3、电子化磋商响应文件解密异常的处理</w:t>
            </w:r>
          </w:p>
          <w:p w14:paraId="740AED86">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如出现供应商的电子磋商响应文件无法解密等异常情况</w:t>
            </w:r>
            <w:r>
              <w:rPr>
                <w:rFonts w:hint="eastAsia" w:ascii="宋体" w:hAnsi="宋体"/>
                <w:color w:val="auto"/>
                <w:kern w:val="2"/>
                <w:sz w:val="24"/>
                <w:szCs w:val="24"/>
                <w:lang w:eastAsia="zh-CN"/>
              </w:rPr>
              <w:t>，</w:t>
            </w:r>
            <w:r>
              <w:rPr>
                <w:rFonts w:hint="eastAsia" w:ascii="宋体" w:hAnsi="宋体"/>
                <w:color w:val="auto"/>
                <w:kern w:val="2"/>
                <w:sz w:val="24"/>
                <w:szCs w:val="24"/>
              </w:rPr>
              <w:t>磋商响应文件异常，按以下步骤进行处理：</w:t>
            </w:r>
          </w:p>
          <w:p w14:paraId="65BB7337">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（1）首先由技术人员进行问题排查。</w:t>
            </w:r>
          </w:p>
          <w:p w14:paraId="5DFA28EA">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（2）经技术人员排查后，是供应商文件自身问题导致磋商响应文件无法解密的，该磋商响应文件将不予接收、解密和唱标。开标会议继续进行。</w:t>
            </w:r>
          </w:p>
          <w:p w14:paraId="039A0A48">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36761D7E">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4、待所有供应商磋商响应文件解密完成后，由中介服务机构操作，对所有已解密磋商响应文件进行唱标。</w:t>
            </w:r>
          </w:p>
          <w:p w14:paraId="412FE58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供应商应保证在开标期间电话、电脑、网络能够正常工作，供应商因停电、电脑病毒、网络堵塞等原因，未在规定的解密时间内对磋商响应文件进行解密的，其磋商响应文件不予接收、唱标。</w:t>
            </w:r>
          </w:p>
          <w:p w14:paraId="098D3275">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5、开标时投标人可登录到交易系统中在开标解密栏中点击报价一览表查看自己的投标报价。如对自己的唱标内容有异议的，应在投标人解密成功后10分钟内向中服务机构通过开标大厅对话框提出质疑。中介服务机构应在监督人员的监督下接受投标人的质疑通过开标大厅对话框进行答复并做好书面记录。供应商未在规定时间内提出质疑的，视为认可唱标内容。</w:t>
            </w:r>
          </w:p>
          <w:p w14:paraId="29B5AFD1">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6、评标时，评标委员会对电子化磋商响应文件有质疑的，将通过电子化交易系统对供应商发起质疑，供应商的回复文件必须以经过供应商和其法定代表人签章的PDF格式文件为准，并通过电子化交易系统提交至磋商小组。</w:t>
            </w:r>
          </w:p>
          <w:p w14:paraId="1FB182DF">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7、各供应商在会员系统中收到有关二次报价信息后，必须在规定时间内给出答复，并在签章后提交，采购人及采购代理机构不再电话通知。需要回复的响应人在规定的时间内未回复的，视为响应人放弃回复，评标委员会将自行对需要回复的内容进行认定。</w:t>
            </w:r>
          </w:p>
          <w:p w14:paraId="220CC0E9">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二、相关证书原件的提交</w:t>
            </w:r>
          </w:p>
          <w:p w14:paraId="2442837B">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本项目实行资格后审，磋商响应文件中要求供应商提交资质、业绩、荣誉及单位人员等相关资料原件的，供应商需将原件扫描件制作到电子磋商响应文件中。</w:t>
            </w:r>
          </w:p>
          <w:p w14:paraId="07EDBFF0">
            <w:pPr>
              <w:keepNext w:val="0"/>
              <w:keepLines w:val="0"/>
              <w:pageBreakBefore w:val="0"/>
              <w:widowControl w:val="0"/>
              <w:suppressLineNumbers w:val="0"/>
              <w:kinsoku/>
              <w:overflowPunct/>
              <w:topLinePunct w:val="0"/>
              <w:bidi w:val="0"/>
              <w:snapToGrid w:val="0"/>
              <w:spacing w:before="0" w:beforeAutospacing="0" w:after="0" w:afterAutospacing="0" w:line="400" w:lineRule="exact"/>
              <w:ind w:left="0" w:right="0" w:rightChars="0"/>
              <w:jc w:val="both"/>
              <w:textAlignment w:val="auto"/>
              <w:rPr>
                <w:rFonts w:hint="eastAsia" w:ascii="宋体" w:hAnsi="宋体"/>
                <w:color w:val="auto"/>
                <w:kern w:val="2"/>
                <w:sz w:val="24"/>
                <w:szCs w:val="24"/>
              </w:rPr>
            </w:pPr>
            <w:r>
              <w:rPr>
                <w:rFonts w:hint="eastAsia" w:ascii="宋体" w:hAnsi="宋体"/>
                <w:color w:val="auto"/>
                <w:kern w:val="2"/>
                <w:sz w:val="24"/>
                <w:szCs w:val="24"/>
              </w:rPr>
              <w:t>（一）供应商应及时完善主体库。</w:t>
            </w:r>
          </w:p>
          <w:p w14:paraId="6793C9AD">
            <w:pPr>
              <w:widowControl w:val="0"/>
              <w:snapToGrid w:val="0"/>
              <w:spacing w:line="400" w:lineRule="exact"/>
              <w:jc w:val="both"/>
              <w:rPr>
                <w:rFonts w:ascii="宋体" w:hAnsi="宋体"/>
                <w:kern w:val="2"/>
                <w:sz w:val="24"/>
                <w:szCs w:val="24"/>
              </w:rPr>
            </w:pPr>
            <w:r>
              <w:rPr>
                <w:rFonts w:hint="eastAsia" w:ascii="宋体" w:hAnsi="宋体"/>
                <w:color w:val="auto"/>
                <w:kern w:val="2"/>
                <w:sz w:val="24"/>
                <w:szCs w:val="24"/>
              </w:rPr>
              <w:t>（二）项目评标结果公示时，将同时公示中标候选人主体库信息，接受社会监督。</w:t>
            </w:r>
          </w:p>
        </w:tc>
      </w:tr>
    </w:tbl>
    <w:p w14:paraId="3E7BDDE0">
      <w:pPr>
        <w:keepNext/>
        <w:keepLines/>
        <w:widowControl w:val="0"/>
        <w:spacing w:before="20" w:after="20" w:line="360" w:lineRule="auto"/>
        <w:ind w:firstLine="482" w:firstLineChars="200"/>
        <w:outlineLvl w:val="0"/>
        <w:rPr>
          <w:rFonts w:ascii="宋体" w:hAnsi="宋体"/>
          <w:b/>
          <w:sz w:val="24"/>
          <w:szCs w:val="24"/>
        </w:rPr>
      </w:pPr>
      <w:bookmarkStart w:id="19" w:name="_Toc28511"/>
      <w:r>
        <w:rPr>
          <w:rFonts w:hint="eastAsia" w:ascii="宋体" w:hAnsi="宋体" w:cs="宋体"/>
          <w:b/>
          <w:sz w:val="24"/>
          <w:szCs w:val="24"/>
        </w:rPr>
        <w:t>一、说明</w:t>
      </w:r>
      <w:bookmarkEnd w:id="19"/>
    </w:p>
    <w:p w14:paraId="13536FF2">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0" w:name="_Toc11895"/>
      <w:r>
        <w:rPr>
          <w:rFonts w:hint="eastAsia" w:ascii="宋体" w:hAnsi="宋体" w:cs="宋体"/>
          <w:spacing w:val="-3"/>
          <w:sz w:val="24"/>
          <w:szCs w:val="24"/>
        </w:rPr>
        <w:t>1.适用范围</w:t>
      </w:r>
      <w:bookmarkEnd w:id="20"/>
    </w:p>
    <w:p w14:paraId="0647C04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本竞争性磋商文件仅适用于竞争性磋商公告中所叙述项目的相关采购。</w:t>
      </w:r>
    </w:p>
    <w:p w14:paraId="72CFC43A">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1" w:name="_Toc18034"/>
      <w:r>
        <w:rPr>
          <w:rFonts w:hint="eastAsia" w:ascii="宋体" w:hAnsi="宋体" w:cs="宋体"/>
          <w:spacing w:val="-3"/>
          <w:sz w:val="24"/>
          <w:szCs w:val="24"/>
        </w:rPr>
        <w:t>2.定义</w:t>
      </w:r>
      <w:bookmarkEnd w:id="21"/>
    </w:p>
    <w:p w14:paraId="5504CB6A">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6C285D5C">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06F7910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2.3 “供应商”系指响应采购、参加磋商竞争的法人或者其他组织。</w:t>
      </w:r>
    </w:p>
    <w:p w14:paraId="309B31E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2E20525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51D4A17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124EABF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2.7 “竞争性磋商文件有效期”60日历天(指本次采购项目递交响应性文件截止之日起。成交供应商的竞争性磋商文件有效期至合同完全履行止。</w:t>
      </w:r>
    </w:p>
    <w:p w14:paraId="5DEED375">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2" w:name="_Toc1710"/>
      <w:r>
        <w:rPr>
          <w:rFonts w:hint="eastAsia" w:ascii="宋体" w:hAnsi="宋体" w:cs="宋体"/>
          <w:spacing w:val="-3"/>
          <w:sz w:val="24"/>
          <w:szCs w:val="24"/>
        </w:rPr>
        <w:t>3.资金来源：财政资金，已落实。</w:t>
      </w:r>
      <w:bookmarkEnd w:id="22"/>
    </w:p>
    <w:p w14:paraId="0B901593">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3" w:name="_Toc21924"/>
      <w:r>
        <w:rPr>
          <w:rFonts w:hint="eastAsia" w:ascii="宋体" w:hAnsi="宋体" w:cs="宋体"/>
          <w:spacing w:val="-3"/>
          <w:sz w:val="24"/>
          <w:szCs w:val="24"/>
        </w:rPr>
        <w:t>4.供应商应提交的证明文件</w:t>
      </w:r>
      <w:bookmarkEnd w:id="23"/>
    </w:p>
    <w:p w14:paraId="3E36E8E7">
      <w:pPr>
        <w:widowControl w:val="0"/>
        <w:autoSpaceDE w:val="0"/>
        <w:autoSpaceDN w:val="0"/>
        <w:adjustRightInd w:val="0"/>
        <w:spacing w:before="32" w:line="360" w:lineRule="auto"/>
        <w:ind w:right="-58"/>
        <w:jc w:val="both"/>
        <w:rPr>
          <w:rFonts w:ascii="宋体" w:hAnsi="宋体" w:cs="宋体"/>
          <w:b/>
          <w:spacing w:val="-3"/>
          <w:sz w:val="24"/>
          <w:szCs w:val="24"/>
        </w:rPr>
      </w:pPr>
      <w:r>
        <w:rPr>
          <w:rFonts w:hint="eastAsia" w:ascii="宋体" w:hAnsi="宋体" w:cs="宋体"/>
          <w:kern w:val="2"/>
          <w:sz w:val="24"/>
          <w:szCs w:val="24"/>
        </w:rPr>
        <w:t>具体详见供应商须知</w:t>
      </w:r>
    </w:p>
    <w:p w14:paraId="00B91B11">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4" w:name="_Toc305"/>
      <w:r>
        <w:rPr>
          <w:rFonts w:hint="eastAsia" w:ascii="宋体" w:hAnsi="宋体" w:cs="宋体"/>
          <w:spacing w:val="-3"/>
          <w:sz w:val="24"/>
          <w:szCs w:val="24"/>
        </w:rPr>
        <w:t>5.磋商费用</w:t>
      </w:r>
      <w:bookmarkEnd w:id="24"/>
    </w:p>
    <w:p w14:paraId="0C2C029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5B474976">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5" w:name="_Toc7919"/>
      <w:r>
        <w:rPr>
          <w:rFonts w:hint="eastAsia" w:ascii="宋体" w:hAnsi="宋体" w:cs="宋体"/>
          <w:spacing w:val="-3"/>
          <w:sz w:val="24"/>
          <w:szCs w:val="24"/>
        </w:rPr>
        <w:t>6.联合体参加磋商</w:t>
      </w:r>
      <w:bookmarkEnd w:id="25"/>
    </w:p>
    <w:p w14:paraId="11369277">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48361E27">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6" w:name="_Toc26487"/>
      <w:r>
        <w:rPr>
          <w:rFonts w:hint="eastAsia" w:ascii="宋体" w:hAnsi="宋体" w:cs="宋体"/>
          <w:spacing w:val="-3"/>
          <w:sz w:val="24"/>
          <w:szCs w:val="24"/>
        </w:rPr>
        <w:t>7.转包与分包</w:t>
      </w:r>
      <w:bookmarkEnd w:id="26"/>
    </w:p>
    <w:p w14:paraId="1932715A">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7.1 本项目不允许采取转包方式履行合同。</w:t>
      </w:r>
    </w:p>
    <w:p w14:paraId="228F13E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7.2 本项目不允许采取分包方式履行合同。</w:t>
      </w:r>
    </w:p>
    <w:p w14:paraId="2075D1D4">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7.3 本项目不允许偏离</w:t>
      </w:r>
    </w:p>
    <w:p w14:paraId="46E7E9FE">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7" w:name="_Toc24515"/>
      <w:r>
        <w:rPr>
          <w:rFonts w:hint="eastAsia" w:ascii="宋体" w:hAnsi="宋体" w:cs="宋体"/>
          <w:spacing w:val="-3"/>
          <w:sz w:val="24"/>
          <w:szCs w:val="24"/>
        </w:rPr>
        <w:t>8.特别说明：</w:t>
      </w:r>
      <w:bookmarkEnd w:id="27"/>
    </w:p>
    <w:p w14:paraId="131E0437">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0B90942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52A3965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供应商在磋商活动中提供虚假材料或从事其他违法活动的,其响应无效，由相关部门查处。</w:t>
      </w:r>
    </w:p>
    <w:p w14:paraId="7F9A79BD">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8" w:name="_Toc7076"/>
      <w:r>
        <w:rPr>
          <w:rFonts w:hint="eastAsia" w:ascii="宋体" w:hAnsi="宋体" w:cs="宋体"/>
          <w:spacing w:val="-3"/>
          <w:sz w:val="24"/>
          <w:szCs w:val="24"/>
        </w:rPr>
        <w:t>9.质疑和投诉</w:t>
      </w:r>
      <w:bookmarkEnd w:id="28"/>
    </w:p>
    <w:p w14:paraId="359CCC50">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402425C">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EAF0A9C">
      <w:pPr>
        <w:widowControl w:val="0"/>
        <w:autoSpaceDE w:val="0"/>
        <w:autoSpaceDN w:val="0"/>
        <w:adjustRightInd w:val="0"/>
        <w:spacing w:before="32" w:line="360" w:lineRule="auto"/>
        <w:ind w:right="-58" w:rightChars="0" w:firstLine="468" w:firstLineChars="200"/>
        <w:jc w:val="both"/>
        <w:outlineLvl w:val="1"/>
        <w:rPr>
          <w:rFonts w:ascii="宋体" w:hAnsi="宋体" w:cs="宋体"/>
          <w:spacing w:val="-3"/>
          <w:sz w:val="24"/>
          <w:szCs w:val="24"/>
        </w:rPr>
      </w:pPr>
      <w:bookmarkStart w:id="29" w:name="_Toc27235"/>
      <w:r>
        <w:rPr>
          <w:rFonts w:hint="eastAsia" w:ascii="宋体" w:hAnsi="宋体" w:cs="宋体"/>
          <w:spacing w:val="-3"/>
          <w:sz w:val="24"/>
          <w:szCs w:val="24"/>
        </w:rPr>
        <w:t>10.供应商的风险</w:t>
      </w:r>
      <w:bookmarkEnd w:id="29"/>
    </w:p>
    <w:p w14:paraId="67E6381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供应商没有按照竞争性磋商文件要求提供全部资料，或者供应商没有对响应性文件在各方面都作出实质性响应是供应商的风险，并可能导致其响应被拒绝。</w:t>
      </w:r>
    </w:p>
    <w:p w14:paraId="12F9306A">
      <w:pPr>
        <w:keepNext/>
        <w:keepLines/>
        <w:widowControl w:val="0"/>
        <w:spacing w:before="20" w:after="20" w:line="360" w:lineRule="auto"/>
        <w:ind w:firstLine="482" w:firstLineChars="200"/>
        <w:jc w:val="both"/>
        <w:outlineLvl w:val="0"/>
        <w:rPr>
          <w:rFonts w:ascii="宋体" w:hAnsi="宋体"/>
          <w:b/>
          <w:sz w:val="24"/>
          <w:szCs w:val="24"/>
        </w:rPr>
      </w:pPr>
      <w:bookmarkStart w:id="30" w:name="_Toc461977415"/>
      <w:bookmarkEnd w:id="30"/>
      <w:bookmarkStart w:id="31" w:name="_Toc25839"/>
      <w:r>
        <w:rPr>
          <w:rFonts w:hint="eastAsia" w:ascii="宋体" w:hAnsi="宋体" w:cs="宋体"/>
          <w:b/>
          <w:sz w:val="24"/>
          <w:szCs w:val="24"/>
        </w:rPr>
        <w:t>二、竞争性磋商文件</w:t>
      </w:r>
      <w:bookmarkEnd w:id="31"/>
    </w:p>
    <w:p w14:paraId="3E492348">
      <w:pPr>
        <w:widowControl w:val="0"/>
        <w:autoSpaceDE w:val="0"/>
        <w:autoSpaceDN w:val="0"/>
        <w:adjustRightInd w:val="0"/>
        <w:spacing w:before="136" w:line="360" w:lineRule="auto"/>
        <w:ind w:firstLine="468" w:firstLineChars="200"/>
        <w:outlineLvl w:val="1"/>
        <w:rPr>
          <w:rFonts w:ascii="宋体" w:hAnsi="宋体" w:cs="宋体"/>
          <w:spacing w:val="-3"/>
          <w:sz w:val="24"/>
          <w:szCs w:val="24"/>
        </w:rPr>
      </w:pPr>
      <w:bookmarkStart w:id="32" w:name="_Toc14115"/>
      <w:r>
        <w:rPr>
          <w:rFonts w:hint="eastAsia" w:ascii="宋体" w:hAnsi="宋体" w:cs="宋体"/>
          <w:spacing w:val="-3"/>
          <w:sz w:val="24"/>
          <w:szCs w:val="24"/>
        </w:rPr>
        <w:t>11.竞争性磋商文件的构成。本竞争性磋商文件由以下部分组成：</w:t>
      </w:r>
      <w:bookmarkEnd w:id="32"/>
    </w:p>
    <w:p w14:paraId="7C61BC03">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11.1 竞争性磋商公告</w:t>
      </w:r>
    </w:p>
    <w:p w14:paraId="58724CAC">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11.2 供应商须知</w:t>
      </w:r>
    </w:p>
    <w:p w14:paraId="586C7AC8">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11.3 采购需求</w:t>
      </w:r>
    </w:p>
    <w:p w14:paraId="745BAE56">
      <w:pPr>
        <w:widowControl w:val="0"/>
        <w:autoSpaceDE w:val="0"/>
        <w:autoSpaceDN w:val="0"/>
        <w:adjustRightInd w:val="0"/>
        <w:spacing w:before="184" w:line="360" w:lineRule="auto"/>
        <w:rPr>
          <w:rFonts w:ascii="宋体" w:hAnsi="宋体" w:cs="宋体"/>
          <w:spacing w:val="-6"/>
          <w:sz w:val="24"/>
          <w:szCs w:val="24"/>
        </w:rPr>
      </w:pPr>
      <w:r>
        <w:rPr>
          <w:rFonts w:hint="eastAsia" w:ascii="宋体" w:hAnsi="宋体" w:cs="宋体"/>
          <w:spacing w:val="-6"/>
          <w:sz w:val="24"/>
          <w:szCs w:val="24"/>
        </w:rPr>
        <w:t>11.4 合同主要条款</w:t>
      </w:r>
    </w:p>
    <w:p w14:paraId="2278752A">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11.5 评审标准</w:t>
      </w:r>
    </w:p>
    <w:p w14:paraId="745D3955">
      <w:pPr>
        <w:widowControl w:val="0"/>
        <w:autoSpaceDE w:val="0"/>
        <w:autoSpaceDN w:val="0"/>
        <w:adjustRightInd w:val="0"/>
        <w:spacing w:before="184" w:line="360" w:lineRule="auto"/>
        <w:rPr>
          <w:rFonts w:ascii="宋体" w:hAnsi="宋体" w:cs="宋体"/>
          <w:spacing w:val="-3"/>
          <w:sz w:val="24"/>
          <w:szCs w:val="24"/>
        </w:rPr>
      </w:pPr>
      <w:r>
        <w:rPr>
          <w:rFonts w:hint="eastAsia" w:ascii="宋体" w:hAnsi="宋体" w:cs="宋体"/>
          <w:spacing w:val="-3"/>
          <w:sz w:val="24"/>
          <w:szCs w:val="24"/>
        </w:rPr>
        <w:t>11.6 响应性文件格式</w:t>
      </w:r>
    </w:p>
    <w:p w14:paraId="48072C1B">
      <w:pPr>
        <w:widowControl w:val="0"/>
        <w:autoSpaceDE w:val="0"/>
        <w:autoSpaceDN w:val="0"/>
        <w:adjustRightInd w:val="0"/>
        <w:spacing w:before="184" w:line="360" w:lineRule="auto"/>
        <w:ind w:firstLine="468" w:firstLineChars="200"/>
        <w:outlineLvl w:val="1"/>
        <w:rPr>
          <w:rFonts w:ascii="宋体" w:hAnsi="宋体" w:cs="宋体"/>
          <w:spacing w:val="-3"/>
          <w:sz w:val="24"/>
          <w:szCs w:val="24"/>
        </w:rPr>
      </w:pPr>
      <w:bookmarkStart w:id="33" w:name="_Toc22636"/>
      <w:r>
        <w:rPr>
          <w:rFonts w:hint="eastAsia" w:ascii="宋体" w:hAnsi="宋体" w:cs="宋体"/>
          <w:spacing w:val="-3"/>
          <w:sz w:val="24"/>
          <w:szCs w:val="24"/>
        </w:rPr>
        <w:t>12.竞争性磋商文件的澄清与修改</w:t>
      </w:r>
      <w:bookmarkEnd w:id="33"/>
    </w:p>
    <w:p w14:paraId="6AF4EB5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的，应当在竞争性磋商文件要求提交响应性文件截止时间5个工作日（如至原定</w:t>
      </w:r>
      <w:r>
        <w:rPr>
          <w:rFonts w:hint="eastAsia" w:ascii="宋体" w:hAnsi="宋体" w:cs="宋体"/>
          <w:spacing w:val="-4"/>
          <w:sz w:val="24"/>
          <w:szCs w:val="24"/>
        </w:rPr>
        <w:t>截止时间不足5个工作日，则需延长磋商开始时间）前，在发布公告的相关媒体上发布更正公告</w:t>
      </w:r>
      <w:r>
        <w:rPr>
          <w:rFonts w:hint="eastAsia" w:ascii="宋体" w:hAnsi="宋体" w:cs="宋体"/>
          <w:spacing w:val="-3"/>
          <w:sz w:val="24"/>
          <w:szCs w:val="24"/>
        </w:rPr>
        <w:t>。竞争性磋商文件公示期间对竞争性磋商文件进行的澄清、修改或补充不受上述限制。</w:t>
      </w:r>
    </w:p>
    <w:p w14:paraId="1126E6BD">
      <w:pPr>
        <w:widowControl w:val="0"/>
        <w:autoSpaceDE w:val="0"/>
        <w:autoSpaceDN w:val="0"/>
        <w:adjustRightInd w:val="0"/>
        <w:spacing w:before="163" w:line="360" w:lineRule="auto"/>
        <w:rPr>
          <w:rFonts w:ascii="宋体" w:hAnsi="宋体" w:cs="宋体"/>
          <w:spacing w:val="-3"/>
          <w:sz w:val="24"/>
          <w:szCs w:val="24"/>
        </w:rPr>
      </w:pPr>
      <w:r>
        <w:rPr>
          <w:rFonts w:hint="eastAsia" w:ascii="宋体" w:hAnsi="宋体" w:cs="宋体"/>
          <w:spacing w:val="-3"/>
          <w:sz w:val="24"/>
          <w:szCs w:val="24"/>
        </w:rPr>
        <w:t>12.2 竞争性磋商文件澄清、修改或补充的内容为竞争性磋商文件的组成部分。</w:t>
      </w:r>
    </w:p>
    <w:p w14:paraId="1F8B890F">
      <w:pPr>
        <w:widowControl w:val="0"/>
        <w:autoSpaceDE w:val="0"/>
        <w:autoSpaceDN w:val="0"/>
        <w:adjustRightInd w:val="0"/>
        <w:spacing w:before="20" w:line="360" w:lineRule="auto"/>
        <w:ind w:right="-58"/>
        <w:jc w:val="both"/>
        <w:rPr>
          <w:rFonts w:ascii="宋体" w:hAnsi="宋体" w:cs="宋体"/>
          <w:spacing w:val="-5"/>
          <w:sz w:val="24"/>
          <w:szCs w:val="24"/>
        </w:rPr>
      </w:pPr>
      <w:r>
        <w:rPr>
          <w:rFonts w:hint="eastAsia" w:ascii="宋体" w:hAnsi="宋体" w:cs="宋体"/>
          <w:spacing w:val="-3"/>
          <w:sz w:val="24"/>
          <w:szCs w:val="24"/>
        </w:rPr>
        <w:t>12.3 竞争性磋商文件的澄清、修改或补充都应通过本采购代理机构以法定形式</w:t>
      </w:r>
      <w:r>
        <w:rPr>
          <w:rFonts w:hint="eastAsia" w:ascii="宋体" w:hAnsi="宋体" w:cs="宋体"/>
          <w:spacing w:val="-5"/>
          <w:sz w:val="24"/>
          <w:szCs w:val="24"/>
        </w:rPr>
        <w:t>发布。采购人未通过本采购代理机构对竞争性磋商文件进行的澄清、修改或补充无效，磋商时不予认可。</w:t>
      </w:r>
    </w:p>
    <w:p w14:paraId="56BBE75B">
      <w:pPr>
        <w:widowControl w:val="0"/>
        <w:autoSpaceDE w:val="0"/>
        <w:autoSpaceDN w:val="0"/>
        <w:adjustRightInd w:val="0"/>
        <w:spacing w:line="360" w:lineRule="auto"/>
        <w:ind w:right="-58"/>
        <w:jc w:val="both"/>
        <w:rPr>
          <w:rFonts w:ascii="宋体" w:hAnsi="宋体" w:cs="宋体"/>
          <w:spacing w:val="-4"/>
          <w:sz w:val="24"/>
          <w:szCs w:val="24"/>
        </w:rPr>
      </w:pPr>
      <w:r>
        <w:rPr>
          <w:rFonts w:hint="eastAsia" w:ascii="宋体" w:hAnsi="宋体" w:cs="宋体"/>
          <w:spacing w:val="-3"/>
          <w:sz w:val="24"/>
          <w:szCs w:val="24"/>
        </w:rPr>
        <w:t>12.4 采购代理机构可以视采购具体情况，延长递交响应性文件截止时间和</w:t>
      </w:r>
      <w:r>
        <w:rPr>
          <w:rFonts w:hint="eastAsia" w:ascii="宋体" w:hAnsi="宋体" w:cs="宋体"/>
          <w:spacing w:val="-4"/>
          <w:sz w:val="24"/>
          <w:szCs w:val="24"/>
        </w:rPr>
        <w:t>开始磋商时间，但至少应当在竞争性磋商文件要求提交响应性文件的截止时间5个工作日前，将变更时间在</w:t>
      </w:r>
      <w:r>
        <w:rPr>
          <w:rFonts w:hint="eastAsia" w:ascii="宋体" w:hAnsi="宋体" w:cs="宋体"/>
          <w:spacing w:val="-4"/>
          <w:sz w:val="24"/>
          <w:szCs w:val="24"/>
          <w:lang w:eastAsia="zh-CN"/>
        </w:rPr>
        <w:t>《三门峡市公共资源交易中心网》、《河南省政府采购网》、《中国招标投标公共服务平台》</w:t>
      </w:r>
      <w:r>
        <w:rPr>
          <w:rFonts w:hint="eastAsia" w:ascii="宋体" w:hAnsi="宋体" w:cs="宋体"/>
          <w:spacing w:val="-4"/>
          <w:sz w:val="24"/>
          <w:szCs w:val="24"/>
        </w:rPr>
        <w:t>等相关媒体上发布更正公告，磋商时间不足应顺延开标时间。</w:t>
      </w:r>
    </w:p>
    <w:p w14:paraId="5398D9EF">
      <w:pPr>
        <w:keepNext/>
        <w:keepLines/>
        <w:widowControl w:val="0"/>
        <w:spacing w:before="20" w:after="20" w:line="360" w:lineRule="auto"/>
        <w:ind w:firstLine="482" w:firstLineChars="200"/>
        <w:jc w:val="both"/>
        <w:outlineLvl w:val="0"/>
        <w:rPr>
          <w:rFonts w:ascii="宋体" w:hAnsi="宋体"/>
          <w:b/>
          <w:sz w:val="24"/>
          <w:szCs w:val="24"/>
        </w:rPr>
      </w:pPr>
      <w:bookmarkStart w:id="34" w:name="_Toc461977416"/>
      <w:bookmarkEnd w:id="34"/>
      <w:bookmarkStart w:id="35" w:name="_Toc21648"/>
      <w:r>
        <w:rPr>
          <w:rFonts w:hint="eastAsia" w:ascii="宋体" w:hAnsi="宋体" w:cs="宋体"/>
          <w:b/>
          <w:sz w:val="24"/>
          <w:szCs w:val="24"/>
        </w:rPr>
        <w:t>三、响应性文件的编制</w:t>
      </w:r>
      <w:bookmarkEnd w:id="35"/>
    </w:p>
    <w:p w14:paraId="180F8F1B">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6" w:name="_Toc2332"/>
      <w:r>
        <w:rPr>
          <w:rFonts w:hint="eastAsia" w:ascii="宋体" w:hAnsi="宋体" w:cs="宋体"/>
          <w:spacing w:val="-4"/>
          <w:sz w:val="24"/>
          <w:szCs w:val="24"/>
        </w:rPr>
        <w:t>13.要求</w:t>
      </w:r>
      <w:bookmarkEnd w:id="36"/>
    </w:p>
    <w:p w14:paraId="223A775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BFD7A5A">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7" w:name="_Toc21953"/>
      <w:r>
        <w:rPr>
          <w:rFonts w:hint="eastAsia" w:ascii="宋体" w:hAnsi="宋体" w:cs="宋体"/>
          <w:spacing w:val="-4"/>
          <w:sz w:val="24"/>
          <w:szCs w:val="24"/>
        </w:rPr>
        <w:t>14.响应性文件的语言和计量单位</w:t>
      </w:r>
      <w:bookmarkEnd w:id="37"/>
    </w:p>
    <w:p w14:paraId="2117CCF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14.1 响应性文件以及供应商与采购、代理机构就有关磋商事宜的所有来往函电均应使用简体中文书写。</w:t>
      </w:r>
    </w:p>
    <w:p w14:paraId="2ED9B98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5B50F84A">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8" w:name="_Toc16741"/>
      <w:r>
        <w:rPr>
          <w:rFonts w:hint="eastAsia" w:ascii="宋体" w:hAnsi="宋体" w:cs="宋体"/>
          <w:spacing w:val="-4"/>
          <w:sz w:val="24"/>
          <w:szCs w:val="24"/>
        </w:rPr>
        <w:t>15.响应性文件的组成。响应性文件应包括：详见磋商文件</w:t>
      </w:r>
      <w:bookmarkEnd w:id="38"/>
    </w:p>
    <w:p w14:paraId="18935768">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39" w:name="_Toc6255"/>
      <w:r>
        <w:rPr>
          <w:rFonts w:hint="eastAsia" w:ascii="宋体" w:hAnsi="宋体" w:cs="宋体"/>
          <w:spacing w:val="-4"/>
          <w:sz w:val="24"/>
          <w:szCs w:val="24"/>
        </w:rPr>
        <w:t>16.响应性文件有效期</w:t>
      </w:r>
      <w:bookmarkEnd w:id="39"/>
    </w:p>
    <w:p w14:paraId="6DD81B6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16.1 响应性文件从所规定的递交响应性文件截止期之后开始生效，有效期不足将导致其响应性文件被拒绝。成交供应商的响应性文件有效期至合同完全履行止。</w:t>
      </w:r>
    </w:p>
    <w:p w14:paraId="44C1DA3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16.2 特殊情况下采购代理机构可于响应性文件有效期满之前要求供应商同意延长有效期，供应商应在采购代理机构规定的期限内予以答复。</w:t>
      </w:r>
    </w:p>
    <w:p w14:paraId="3A5213A9">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0" w:name="_Toc22882"/>
      <w:r>
        <w:rPr>
          <w:rFonts w:hint="eastAsia" w:ascii="宋体" w:hAnsi="宋体" w:cs="宋体"/>
          <w:spacing w:val="-4"/>
          <w:sz w:val="24"/>
          <w:szCs w:val="24"/>
        </w:rPr>
        <w:t>17.磋商报价</w:t>
      </w:r>
      <w:bookmarkEnd w:id="40"/>
    </w:p>
    <w:p w14:paraId="0141799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17.1 所有磋商报价均以人民币元为计算单位。</w:t>
      </w:r>
      <w:r>
        <w:rPr>
          <w:rFonts w:hint="eastAsia" w:ascii="宋体" w:hAnsi="宋体" w:cs="宋体"/>
          <w:spacing w:val="-4"/>
          <w:sz w:val="24"/>
          <w:szCs w:val="24"/>
          <w:lang w:val="zh-CN"/>
        </w:rPr>
        <w:t>供应商应报出完成本项目采购内容的总报价。</w:t>
      </w:r>
    </w:p>
    <w:p w14:paraId="60EA9D9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14:paraId="2B01BF5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17.3本次磋商应以人民币报价，进行二次报价。</w:t>
      </w:r>
    </w:p>
    <w:p w14:paraId="15778423">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1" w:name="_Toc18561"/>
      <w:r>
        <w:rPr>
          <w:rFonts w:hint="eastAsia" w:ascii="宋体" w:hAnsi="宋体" w:cs="宋体"/>
          <w:spacing w:val="-4"/>
          <w:sz w:val="24"/>
          <w:szCs w:val="24"/>
        </w:rPr>
        <w:t>18.磋商保证金</w:t>
      </w:r>
      <w:bookmarkEnd w:id="41"/>
    </w:p>
    <w:p w14:paraId="5AB5BE8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18.1.1按照《河南省财政厅关于优化政府采购营商环境有关问题的通知》（豫财购[2019]4号文）的要求本项目不再收取磋商保证金；</w:t>
      </w:r>
    </w:p>
    <w:p w14:paraId="02AC9CF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18.1.2响应人需提供投标承诺函。（承诺事项及违背承诺的责任追究措施，详见磋商文件第六章响应文件内容及格式）。</w:t>
      </w:r>
    </w:p>
    <w:p w14:paraId="2B3A0BB9">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2" w:name="_Toc6322"/>
      <w:r>
        <w:rPr>
          <w:rFonts w:hint="eastAsia" w:ascii="宋体" w:hAnsi="宋体" w:cs="宋体"/>
          <w:spacing w:val="-4"/>
          <w:sz w:val="24"/>
          <w:szCs w:val="24"/>
        </w:rPr>
        <w:t>19. 响应性文件的签署</w:t>
      </w:r>
      <w:bookmarkEnd w:id="42"/>
    </w:p>
    <w:p w14:paraId="0A1AC9B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19.1 供应商应按本竞争性磋商文件规定的格式和顺序编制、胶装响应性文件。除了响应性文件封面以外，每个页面都要在明显位置编制页码，按流水顺序填写，字迹必须清晰可认，响应性文件的目录必须编序。响应性文件内容不完整、编排混乱导致被误读、漏读或者查找不到相关内容的，由供应商负责。</w:t>
      </w:r>
    </w:p>
    <w:p w14:paraId="41E6C4D4">
      <w:pPr>
        <w:keepNext/>
        <w:keepLines/>
        <w:widowControl w:val="0"/>
        <w:spacing w:before="20" w:after="20" w:line="360" w:lineRule="auto"/>
        <w:ind w:firstLine="482" w:firstLineChars="200"/>
        <w:jc w:val="both"/>
        <w:outlineLvl w:val="0"/>
        <w:rPr>
          <w:rFonts w:ascii="宋体" w:hAnsi="宋体" w:cs="宋体"/>
          <w:spacing w:val="-4"/>
          <w:sz w:val="24"/>
          <w:szCs w:val="24"/>
        </w:rPr>
      </w:pPr>
      <w:bookmarkStart w:id="43" w:name="_Toc461977417"/>
      <w:bookmarkEnd w:id="43"/>
      <w:bookmarkStart w:id="44" w:name="_Toc29989"/>
      <w:r>
        <w:rPr>
          <w:rFonts w:hint="eastAsia" w:ascii="宋体" w:hAnsi="宋体" w:cs="宋体"/>
          <w:b/>
          <w:sz w:val="24"/>
          <w:szCs w:val="24"/>
        </w:rPr>
        <w:t>四、响应性文件的递交</w:t>
      </w:r>
      <w:bookmarkEnd w:id="44"/>
    </w:p>
    <w:p w14:paraId="0406E03A">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5" w:name="_Toc18342"/>
      <w:r>
        <w:rPr>
          <w:rFonts w:hint="eastAsia" w:ascii="宋体" w:hAnsi="宋体" w:cs="宋体"/>
          <w:spacing w:val="-4"/>
          <w:sz w:val="24"/>
          <w:szCs w:val="24"/>
        </w:rPr>
        <w:t>20.响应性文件的递交</w:t>
      </w:r>
      <w:bookmarkEnd w:id="45"/>
    </w:p>
    <w:p w14:paraId="4AFDB8D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0069B527">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6" w:name="_Toc27586"/>
      <w:r>
        <w:rPr>
          <w:rFonts w:hint="eastAsia" w:ascii="宋体" w:hAnsi="宋体" w:cs="宋体"/>
          <w:spacing w:val="-4"/>
          <w:sz w:val="24"/>
          <w:szCs w:val="24"/>
        </w:rPr>
        <w:t>21.响应性文件的修改和撤回</w:t>
      </w:r>
      <w:bookmarkEnd w:id="46"/>
    </w:p>
    <w:p w14:paraId="4DA3776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21.1供应商在递交竞争性磋商文件截止时间前，可以对所提交的响应性文件进行补充、修改或者撤回。</w:t>
      </w:r>
    </w:p>
    <w:p w14:paraId="2DCF29CF">
      <w:pPr>
        <w:widowControl w:val="0"/>
        <w:autoSpaceDE w:val="0"/>
        <w:autoSpaceDN w:val="0"/>
        <w:adjustRightInd w:val="0"/>
        <w:spacing w:before="32" w:line="360" w:lineRule="auto"/>
        <w:ind w:right="-58" w:rightChars="0" w:firstLine="464" w:firstLineChars="200"/>
        <w:jc w:val="both"/>
        <w:outlineLvl w:val="1"/>
        <w:rPr>
          <w:rFonts w:ascii="宋体" w:hAnsi="宋体" w:cs="宋体"/>
          <w:spacing w:val="-4"/>
          <w:sz w:val="24"/>
          <w:szCs w:val="24"/>
        </w:rPr>
      </w:pPr>
      <w:bookmarkStart w:id="47" w:name="_Toc29444"/>
      <w:r>
        <w:rPr>
          <w:rFonts w:hint="eastAsia" w:ascii="宋体" w:hAnsi="宋体" w:cs="宋体"/>
          <w:spacing w:val="-4"/>
          <w:sz w:val="24"/>
          <w:szCs w:val="24"/>
        </w:rPr>
        <w:t>22.供应商有下列情形之一的，采购人或采购代理机构将拒绝接受其响应性文件：</w:t>
      </w:r>
      <w:bookmarkEnd w:id="47"/>
    </w:p>
    <w:p w14:paraId="5ECF1AC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在竞争性磋商文件规定的递交竞争性磋商文件截止时间之后上传竞争性磋商文件的。</w:t>
      </w:r>
    </w:p>
    <w:p w14:paraId="36C7D3B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22. 2未按竞争性磋商文件参加磋商的。</w:t>
      </w:r>
    </w:p>
    <w:p w14:paraId="59DDFDE1">
      <w:pPr>
        <w:keepNext/>
        <w:keepLines/>
        <w:widowControl w:val="0"/>
        <w:spacing w:before="20" w:after="20" w:line="360" w:lineRule="auto"/>
        <w:ind w:left="0" w:leftChars="0" w:firstLine="0" w:firstLineChars="0"/>
        <w:jc w:val="both"/>
        <w:outlineLvl w:val="0"/>
        <w:rPr>
          <w:rFonts w:ascii="宋体" w:hAnsi="宋体"/>
          <w:b/>
          <w:sz w:val="24"/>
          <w:szCs w:val="24"/>
        </w:rPr>
      </w:pPr>
      <w:bookmarkStart w:id="48" w:name="_Toc461977418"/>
      <w:bookmarkEnd w:id="48"/>
      <w:bookmarkStart w:id="49" w:name="_Toc28467"/>
      <w:r>
        <w:rPr>
          <w:rFonts w:hint="eastAsia" w:ascii="宋体" w:hAnsi="宋体" w:cs="宋体"/>
          <w:b/>
          <w:sz w:val="24"/>
          <w:szCs w:val="24"/>
        </w:rPr>
        <w:t>五、磋商</w:t>
      </w:r>
      <w:bookmarkEnd w:id="49"/>
    </w:p>
    <w:p w14:paraId="1345080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23、磋商仪式</w:t>
      </w:r>
    </w:p>
    <w:p w14:paraId="11BAAE14">
      <w:pPr>
        <w:widowControl w:val="0"/>
        <w:autoSpaceDE w:val="0"/>
        <w:autoSpaceDN w:val="0"/>
        <w:adjustRightInd w:val="0"/>
        <w:spacing w:before="32" w:line="360" w:lineRule="auto"/>
        <w:ind w:right="-58"/>
        <w:jc w:val="both"/>
        <w:rPr>
          <w:rFonts w:ascii="宋体" w:hAnsi="宋体"/>
          <w:sz w:val="24"/>
          <w:szCs w:val="24"/>
          <w:shd w:val="clear" w:color="auto" w:fill="FFFFFF"/>
        </w:rPr>
      </w:pPr>
      <w:r>
        <w:rPr>
          <w:rFonts w:hint="eastAsia" w:ascii="宋体" w:hAnsi="宋体" w:cs="宋体"/>
          <w:spacing w:val="-4"/>
          <w:sz w:val="24"/>
          <w:szCs w:val="24"/>
        </w:rPr>
        <w:t>磋商仪式由代理公司主持，竞争性磋商领导小组成员、采购人代表、监督代表以及有关工作人员参加，本项目为不见面开标项目，所有参与交易活动的投标人无需到现场参加开标，投标人进行远程开标解密工作，每位投标人的解密时间为开标时间起30分钟内完成，</w:t>
      </w:r>
      <w:r>
        <w:rPr>
          <w:rFonts w:hint="eastAsia" w:ascii="宋体" w:hAnsi="宋体"/>
          <w:sz w:val="24"/>
          <w:szCs w:val="24"/>
          <w:shd w:val="clear" w:color="auto" w:fill="FFFFFF"/>
        </w:rPr>
        <w:t>因供应商原因未能解密、解密失败或解密超时的将被拒绝</w:t>
      </w:r>
    </w:p>
    <w:p w14:paraId="380A317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14:paraId="394C6BE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590F2B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25、磋商工作纪律及保密</w:t>
      </w:r>
    </w:p>
    <w:p w14:paraId="7078018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16060805">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26、磋商小组工作原则</w:t>
      </w:r>
    </w:p>
    <w:p w14:paraId="1BE4E9B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3A1781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27、响应文件审查</w:t>
      </w:r>
    </w:p>
    <w:p w14:paraId="5C09A84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72BD8A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28、供应商澄清</w:t>
      </w:r>
    </w:p>
    <w:p w14:paraId="57D66FC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25F1DAD8">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29、磋商程序、最后报价、综合评分</w:t>
      </w:r>
    </w:p>
    <w:p w14:paraId="2F8194D9">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68CC641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54424562">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磋商文件能够详细列明采购的的技术、服务要求的，磋商结束后，磋商小组将要求所有实质性响应的供应商在规定时间内提交最后报价。最后报价是供应商响应文件的有效组成部分。</w:t>
      </w:r>
    </w:p>
    <w:p w14:paraId="40944190">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已提交响应文件的供应商，在提交最后报价之前，可以根据情况退出磋商。将退还退出磋商的供应商的磋商保证金。</w:t>
      </w:r>
    </w:p>
    <w:p w14:paraId="628CFD6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B7F6CF2">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10EFFC55">
      <w:pPr>
        <w:widowControl w:val="0"/>
        <w:autoSpaceDE w:val="0"/>
        <w:autoSpaceDN w:val="0"/>
        <w:adjustRightInd w:val="0"/>
        <w:spacing w:before="32" w:line="360" w:lineRule="auto"/>
        <w:ind w:left="154" w:leftChars="55" w:right="-58" w:firstLine="232" w:firstLineChars="1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759ECC86">
      <w:pPr>
        <w:widowControl w:val="0"/>
        <w:autoSpaceDE w:val="0"/>
        <w:autoSpaceDN w:val="0"/>
        <w:adjustRightInd w:val="0"/>
        <w:spacing w:before="32" w:line="360" w:lineRule="auto"/>
        <w:ind w:right="-58" w:firstLine="348" w:firstLineChars="15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344C164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60911EE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4A3EDA9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6D05E5A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30、磋商截止时间结束后参加供应商不足3家的，应重新组织采购，评审期间符合专业条件的供应商或者对磋商响应文件作出实质响应的供应商不足3家的，应重新组织采购。</w:t>
      </w:r>
    </w:p>
    <w:p w14:paraId="26F8EB2F">
      <w:pPr>
        <w:keepNext/>
        <w:keepLines/>
        <w:widowControl w:val="0"/>
        <w:spacing w:before="20" w:after="20" w:line="360" w:lineRule="auto"/>
        <w:ind w:firstLine="482" w:firstLineChars="200"/>
        <w:jc w:val="both"/>
        <w:outlineLvl w:val="0"/>
        <w:rPr>
          <w:rFonts w:ascii="宋体" w:hAnsi="宋体"/>
          <w:b/>
          <w:sz w:val="24"/>
          <w:szCs w:val="24"/>
        </w:rPr>
      </w:pPr>
      <w:bookmarkStart w:id="50" w:name="_Toc461977419"/>
      <w:bookmarkEnd w:id="50"/>
      <w:bookmarkStart w:id="51" w:name="_Toc16052"/>
      <w:r>
        <w:rPr>
          <w:rFonts w:hint="eastAsia" w:ascii="宋体" w:hAnsi="宋体" w:cs="宋体"/>
          <w:b/>
          <w:sz w:val="24"/>
          <w:szCs w:val="24"/>
        </w:rPr>
        <w:t>六、确定成交</w:t>
      </w:r>
      <w:bookmarkEnd w:id="51"/>
    </w:p>
    <w:p w14:paraId="6BAA6F15">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 xml:space="preserve"> 评标结束后，采购人和其委托的采购代理机构，在政府采购项目评审结束当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748A6A95">
      <w:pPr>
        <w:keepNext/>
        <w:keepLines/>
        <w:widowControl w:val="0"/>
        <w:spacing w:before="20" w:after="20" w:line="360" w:lineRule="auto"/>
        <w:ind w:firstLine="482" w:firstLineChars="200"/>
        <w:jc w:val="both"/>
        <w:outlineLvl w:val="0"/>
        <w:rPr>
          <w:rFonts w:ascii="宋体" w:hAnsi="宋体"/>
          <w:b/>
          <w:sz w:val="24"/>
          <w:szCs w:val="24"/>
        </w:rPr>
      </w:pPr>
      <w:bookmarkStart w:id="52" w:name="_Toc461977420"/>
      <w:bookmarkEnd w:id="52"/>
      <w:bookmarkStart w:id="53" w:name="_Toc22068"/>
      <w:r>
        <w:rPr>
          <w:rFonts w:hint="eastAsia" w:ascii="宋体" w:hAnsi="宋体" w:cs="宋体"/>
          <w:b/>
          <w:sz w:val="24"/>
          <w:szCs w:val="24"/>
        </w:rPr>
        <w:t>七、授予合同</w:t>
      </w:r>
      <w:bookmarkEnd w:id="53"/>
    </w:p>
    <w:p w14:paraId="2EF4C18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签订合同</w:t>
      </w:r>
    </w:p>
    <w:p w14:paraId="402215B3">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采购人、中标供应商在《中标通知书》发出之日起在1个工作日，根据竞争性磋商文件确定的事项和中标供应商投标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0CFFBC9">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F0F8A22">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组织采购。</w:t>
      </w:r>
    </w:p>
    <w:p w14:paraId="7A3B8A26">
      <w:pPr>
        <w:pStyle w:val="36"/>
        <w:ind w:left="400" w:firstLine="464"/>
        <w:jc w:val="center"/>
        <w:rPr>
          <w:rFonts w:ascii="宋体" w:hAnsi="宋体" w:cs="宋体"/>
          <w:spacing w:val="-4"/>
          <w:sz w:val="24"/>
          <w:szCs w:val="24"/>
        </w:rPr>
      </w:pPr>
      <w:r>
        <w:rPr>
          <w:rFonts w:hint="eastAsia" w:ascii="宋体" w:hAnsi="宋体" w:cs="宋体"/>
          <w:spacing w:val="-4"/>
          <w:sz w:val="24"/>
          <w:szCs w:val="24"/>
        </w:rPr>
        <w:t xml:space="preserve"> </w:t>
      </w:r>
    </w:p>
    <w:p w14:paraId="1257BB5C">
      <w:pPr>
        <w:pStyle w:val="36"/>
        <w:ind w:left="0" w:leftChars="0" w:firstLine="0" w:firstLineChars="0"/>
        <w:jc w:val="both"/>
        <w:rPr>
          <w:rFonts w:ascii="宋体" w:hAnsi="宋体" w:cs="宋体"/>
          <w:spacing w:val="-4"/>
          <w:sz w:val="24"/>
          <w:szCs w:val="24"/>
        </w:rPr>
      </w:pPr>
    </w:p>
    <w:p w14:paraId="27FBD83A">
      <w:pPr>
        <w:pStyle w:val="36"/>
        <w:spacing w:after="0" w:line="360" w:lineRule="auto"/>
        <w:ind w:left="0" w:leftChars="0" w:firstLine="482"/>
        <w:jc w:val="center"/>
        <w:rPr>
          <w:rFonts w:ascii="黑体" w:cs="宋体"/>
          <w:b/>
          <w:kern w:val="2"/>
          <w:sz w:val="24"/>
          <w:szCs w:val="24"/>
        </w:rPr>
        <w:sectPr>
          <w:footerReference r:id="rId7" w:type="default"/>
          <w:pgSz w:w="11906" w:h="16838"/>
          <w:pgMar w:top="1135" w:right="1196" w:bottom="1135" w:left="1463" w:header="720" w:footer="720" w:gutter="0"/>
          <w:pgNumType w:fmt="decimal" w:start="1"/>
          <w:cols w:space="720" w:num="1"/>
          <w:docGrid w:type="lines" w:linePitch="312" w:charSpace="0"/>
        </w:sectPr>
      </w:pPr>
      <w:r>
        <w:rPr>
          <w:rFonts w:hint="eastAsia" w:ascii="黑体" w:cs="宋体"/>
          <w:b/>
          <w:kern w:val="2"/>
          <w:sz w:val="24"/>
          <w:szCs w:val="24"/>
        </w:rPr>
        <w:br w:type="page"/>
      </w:r>
    </w:p>
    <w:p w14:paraId="4E2496B7">
      <w:pPr>
        <w:pStyle w:val="36"/>
        <w:spacing w:after="0" w:line="360" w:lineRule="auto"/>
        <w:ind w:left="0" w:leftChars="0" w:firstLine="0" w:firstLineChars="0"/>
        <w:jc w:val="center"/>
        <w:outlineLvl w:val="0"/>
        <w:rPr>
          <w:rFonts w:ascii="黑体" w:cs="宋体"/>
          <w:b/>
          <w:kern w:val="2"/>
          <w:sz w:val="28"/>
          <w:szCs w:val="28"/>
        </w:rPr>
      </w:pPr>
      <w:bookmarkStart w:id="54" w:name="_Toc18200"/>
      <w:r>
        <w:rPr>
          <w:rFonts w:hint="eastAsia" w:ascii="黑体" w:cs="宋体"/>
          <w:b/>
          <w:kern w:val="2"/>
          <w:sz w:val="28"/>
          <w:szCs w:val="28"/>
        </w:rPr>
        <w:t xml:space="preserve">第三章 </w:t>
      </w:r>
      <w:r>
        <w:rPr>
          <w:rFonts w:hint="eastAsia" w:ascii="黑体" w:cs="宋体"/>
          <w:b/>
          <w:kern w:val="2"/>
          <w:sz w:val="28"/>
          <w:szCs w:val="28"/>
          <w:lang w:val="en-US" w:eastAsia="zh-CN"/>
        </w:rPr>
        <w:t xml:space="preserve">   </w:t>
      </w:r>
      <w:r>
        <w:rPr>
          <w:rFonts w:hint="eastAsia" w:ascii="黑体" w:cs="宋体"/>
          <w:b/>
          <w:kern w:val="2"/>
          <w:sz w:val="28"/>
          <w:szCs w:val="28"/>
        </w:rPr>
        <w:t>服务需求</w:t>
      </w:r>
      <w:bookmarkEnd w:id="54"/>
    </w:p>
    <w:p w14:paraId="5B9CDECA">
      <w:pPr>
        <w:keepNext w:val="0"/>
        <w:keepLines w:val="0"/>
        <w:widowControl/>
        <w:suppressLineNumbers w:val="0"/>
        <w:ind w:left="0" w:leftChars="0" w:firstLine="0" w:firstLineChars="0"/>
        <w:jc w:val="left"/>
        <w:outlineLvl w:val="0"/>
        <w:rPr>
          <w:rFonts w:hint="eastAsia" w:ascii="宋体" w:hAnsi="宋体" w:eastAsia="宋体" w:cs="宋体"/>
          <w:sz w:val="24"/>
          <w:szCs w:val="24"/>
        </w:rPr>
      </w:pPr>
      <w:bookmarkStart w:id="55" w:name="_Toc12781"/>
      <w:r>
        <w:rPr>
          <w:rFonts w:hint="eastAsia" w:ascii="宋体" w:hAnsi="宋体" w:eastAsia="宋体" w:cs="宋体"/>
          <w:sz w:val="24"/>
          <w:szCs w:val="24"/>
        </w:rPr>
        <w:t>一、项目概况</w:t>
      </w:r>
      <w:bookmarkEnd w:id="55"/>
    </w:p>
    <w:p w14:paraId="03F561DB">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本项目为卢氏县干部周转房机关食堂运营管理服务项目，服务地点位于卢氏县干部周转房院内食堂</w:t>
      </w:r>
      <w:r>
        <w:rPr>
          <w:rFonts w:hint="eastAsia" w:ascii="宋体" w:hAnsi="宋体" w:cs="宋体"/>
          <w:kern w:val="0"/>
          <w:sz w:val="24"/>
          <w:szCs w:val="24"/>
          <w:lang w:val="en-US" w:eastAsia="zh-CN" w:bidi="ar"/>
        </w:rPr>
        <w:t>，现有用餐人数20人左右，需工作人员7人（主管1人，厨师4人（需提供职业资格证），服务员2人；所配备人员需持有有限期内的健康证）周末及国家法定节假日需安排人员值班，工作日正常上班；年度预算金额384136.67元，包含人员工资、福利费、管理费用等；</w:t>
      </w:r>
      <w:r>
        <w:rPr>
          <w:rFonts w:hint="eastAsia" w:ascii="宋体" w:hAnsi="宋体" w:eastAsia="宋体" w:cs="宋体"/>
          <w:kern w:val="0"/>
          <w:sz w:val="24"/>
          <w:szCs w:val="24"/>
          <w:lang w:val="en-US" w:eastAsia="zh-CN" w:bidi="ar"/>
        </w:rPr>
        <w:t>服务对象为周转房居住人员，服务性质为机关后勤保障性餐饮服务，不以盈利为目的，主打安全卫生、营养健康、简约实惠、服务规范。</w:t>
      </w:r>
    </w:p>
    <w:p w14:paraId="3AA336F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期限：一年；服务模式为供应商全权负责食堂日常运营管理工作，主要包含食品加工制作、常态化餐食供应、全域卫生保洁、全维度安全管理、现场人员管理、精细化成本管控、服务品质提升及采购人交办的其他临时性后勤保障工作。</w:t>
      </w:r>
    </w:p>
    <w:p w14:paraId="5FD8BA75">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供餐模式：保障法定工作日早、中、晚三餐常态化供餐，根据采购人作息时间统一调整供餐时段，常态化提供常规就餐保障、加班延时就餐保障、临时公务就餐保障等服务；周末及节假日须安排专人值班值守，随时响应</w:t>
      </w:r>
      <w:r>
        <w:rPr>
          <w:rFonts w:hint="eastAsia" w:ascii="宋体" w:hAnsi="宋体" w:cs="宋体"/>
          <w:kern w:val="0"/>
          <w:sz w:val="24"/>
          <w:szCs w:val="24"/>
          <w:lang w:val="en-US" w:eastAsia="zh-CN" w:bidi="ar"/>
        </w:rPr>
        <w:t>就餐人员</w:t>
      </w:r>
      <w:r>
        <w:rPr>
          <w:rFonts w:hint="eastAsia" w:ascii="宋体" w:hAnsi="宋体" w:eastAsia="宋体" w:cs="宋体"/>
          <w:kern w:val="0"/>
          <w:sz w:val="24"/>
          <w:szCs w:val="24"/>
          <w:lang w:val="en-US" w:eastAsia="zh-CN" w:bidi="ar"/>
        </w:rPr>
        <w:t>临时餐饮保障需求。</w:t>
      </w:r>
    </w:p>
    <w:p w14:paraId="543F620E">
      <w:pPr>
        <w:keepNext w:val="0"/>
        <w:keepLines w:val="0"/>
        <w:widowControl/>
        <w:suppressLineNumbers w:val="0"/>
        <w:ind w:left="0" w:leftChars="0" w:firstLine="0" w:firstLineChars="0"/>
        <w:jc w:val="left"/>
        <w:outlineLvl w:val="0"/>
        <w:rPr>
          <w:rFonts w:hint="eastAsia" w:ascii="宋体" w:hAnsi="宋体" w:eastAsia="宋体" w:cs="宋体"/>
          <w:sz w:val="24"/>
          <w:szCs w:val="24"/>
        </w:rPr>
      </w:pPr>
      <w:bookmarkStart w:id="56" w:name="_Toc19934"/>
      <w:r>
        <w:rPr>
          <w:rFonts w:hint="eastAsia" w:ascii="宋体" w:hAnsi="宋体" w:eastAsia="宋体" w:cs="宋体"/>
          <w:sz w:val="24"/>
          <w:szCs w:val="24"/>
        </w:rPr>
        <w:t>二、总体服务要求</w:t>
      </w:r>
      <w:bookmarkEnd w:id="56"/>
    </w:p>
    <w:p w14:paraId="23E43633">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须严格遵守《中华人民共和国食品安全法》《餐饮服务食品安全操作规范》及机关事业单位后勤管理相关规定，全面负责食堂日常运营管理工作。坚持“安全第一、营养均衡、服务规范、勤俭节约、公开透明”的服务原则，建立标准化、精细化、常态化机关食堂运维体系，全方位保障就餐人员饮食安全、就餐舒适、膳食健康，持续提升食堂整体服务品质与就餐满意度。</w:t>
      </w:r>
    </w:p>
    <w:p w14:paraId="57F679D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供应商须无条件服从采购人日常管理、现场监督、专项检查与月度考核，严格落实采购人各项规章制度，按时完成问题整改、工作总结等工作任务，全力配合采购人各类迎检、督查、考核相关工作。</w:t>
      </w:r>
    </w:p>
    <w:p w14:paraId="7C3988A4">
      <w:pPr>
        <w:keepNext w:val="0"/>
        <w:keepLines w:val="0"/>
        <w:widowControl/>
        <w:suppressLineNumbers w:val="0"/>
        <w:ind w:left="0" w:leftChars="0" w:firstLine="0" w:firstLineChars="0"/>
        <w:jc w:val="left"/>
        <w:outlineLvl w:val="0"/>
        <w:rPr>
          <w:rFonts w:hint="eastAsia" w:ascii="宋体" w:hAnsi="宋体" w:eastAsia="宋体" w:cs="宋体"/>
          <w:sz w:val="24"/>
          <w:szCs w:val="24"/>
        </w:rPr>
      </w:pPr>
      <w:bookmarkStart w:id="57" w:name="_Toc26094"/>
      <w:r>
        <w:rPr>
          <w:rFonts w:hint="eastAsia" w:ascii="宋体" w:hAnsi="宋体" w:eastAsia="宋体" w:cs="宋体"/>
          <w:sz w:val="24"/>
          <w:szCs w:val="24"/>
        </w:rPr>
        <w:t>三、具体服务内容及技术标准要求</w:t>
      </w:r>
      <w:bookmarkEnd w:id="57"/>
    </w:p>
    <w:p w14:paraId="6F87FFC2">
      <w:pPr>
        <w:keepNext w:val="0"/>
        <w:keepLines w:val="0"/>
        <w:widowControl/>
        <w:suppressLineNumbers w:val="0"/>
        <w:ind w:firstLine="480" w:firstLineChars="200"/>
        <w:jc w:val="left"/>
        <w:outlineLvl w:val="1"/>
        <w:rPr>
          <w:rFonts w:hint="eastAsia" w:ascii="宋体" w:hAnsi="宋体" w:eastAsia="宋体" w:cs="宋体"/>
          <w:b w:val="0"/>
          <w:bCs w:val="0"/>
          <w:sz w:val="24"/>
          <w:szCs w:val="24"/>
        </w:rPr>
      </w:pPr>
      <w:bookmarkStart w:id="58" w:name="_Toc5762"/>
      <w:r>
        <w:rPr>
          <w:rStyle w:val="22"/>
          <w:rFonts w:hint="eastAsia" w:ascii="宋体" w:hAnsi="宋体" w:eastAsia="宋体" w:cs="宋体"/>
          <w:b w:val="0"/>
          <w:bCs w:val="0"/>
          <w:kern w:val="0"/>
          <w:sz w:val="24"/>
          <w:szCs w:val="24"/>
          <w:lang w:val="en-US" w:eastAsia="zh-CN" w:bidi="ar"/>
        </w:rPr>
        <w:t>1、供餐服务管理</w:t>
      </w:r>
      <w:bookmarkEnd w:id="58"/>
    </w:p>
    <w:p w14:paraId="4FA8D151">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严格匹配机关工作日作息时间开展早、中、晚餐常态化供餐，未经采购人允许，不得擅自调整供餐时间、提前收餐、缩短供餐时长，全程杜绝断餐、缺餐、冷餐等问题。针对加班、值班、临时公务延后就餐情况，须做好延时留餐、保温保热保障，确保各类人员正常就餐。菜品搭配坚持荤素均衡、营养健康原则，每日轮换更新，贴合人员就餐需求。</w:t>
      </w:r>
    </w:p>
    <w:p w14:paraId="1C1FD9CC">
      <w:pPr>
        <w:keepNext w:val="0"/>
        <w:keepLines w:val="0"/>
        <w:widowControl/>
        <w:suppressLineNumbers w:val="0"/>
        <w:ind w:firstLine="480" w:firstLineChars="200"/>
        <w:jc w:val="left"/>
        <w:outlineLvl w:val="1"/>
        <w:rPr>
          <w:rFonts w:hint="eastAsia" w:ascii="宋体" w:hAnsi="宋体" w:eastAsia="宋体" w:cs="宋体"/>
          <w:b w:val="0"/>
          <w:bCs w:val="0"/>
          <w:sz w:val="24"/>
          <w:szCs w:val="24"/>
        </w:rPr>
      </w:pPr>
      <w:bookmarkStart w:id="59" w:name="_Toc9517"/>
      <w:r>
        <w:rPr>
          <w:rStyle w:val="22"/>
          <w:rFonts w:hint="eastAsia" w:ascii="宋体" w:hAnsi="宋体" w:eastAsia="宋体" w:cs="宋体"/>
          <w:b w:val="0"/>
          <w:bCs w:val="0"/>
          <w:kern w:val="0"/>
          <w:sz w:val="24"/>
          <w:szCs w:val="24"/>
          <w:lang w:val="en-US" w:eastAsia="zh-CN" w:bidi="ar"/>
        </w:rPr>
        <w:t>2、食材储存保管管理</w:t>
      </w:r>
      <w:bookmarkEnd w:id="59"/>
    </w:p>
    <w:p w14:paraId="3F5472C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严格执行食品分类存放规范，落实生熟分开、荤素分开、成品与半成品分开、食材与杂物分开存放原则。冷库、储物间实行分区分类摆放，实时管控温湿度，定期开展清理、消杀、防潮、防腐工作，彻底杜绝食材腐烂、变质、串味、交叉污染等安全问题，保障食材储存合规、安全。</w:t>
      </w:r>
    </w:p>
    <w:p w14:paraId="1C657BCB">
      <w:pPr>
        <w:keepNext w:val="0"/>
        <w:keepLines w:val="0"/>
        <w:widowControl/>
        <w:suppressLineNumbers w:val="0"/>
        <w:ind w:firstLine="480" w:firstLineChars="200"/>
        <w:jc w:val="left"/>
        <w:outlineLvl w:val="1"/>
        <w:rPr>
          <w:rFonts w:hint="eastAsia" w:ascii="宋体" w:hAnsi="宋体" w:eastAsia="宋体" w:cs="宋体"/>
          <w:b w:val="0"/>
          <w:bCs w:val="0"/>
          <w:sz w:val="24"/>
          <w:szCs w:val="24"/>
        </w:rPr>
      </w:pPr>
      <w:bookmarkStart w:id="60" w:name="_Toc14310"/>
      <w:r>
        <w:rPr>
          <w:rStyle w:val="22"/>
          <w:rFonts w:hint="eastAsia" w:ascii="宋体" w:hAnsi="宋体" w:eastAsia="宋体" w:cs="宋体"/>
          <w:b w:val="0"/>
          <w:bCs w:val="0"/>
          <w:kern w:val="0"/>
          <w:sz w:val="24"/>
          <w:szCs w:val="24"/>
          <w:lang w:val="en-US" w:eastAsia="zh-CN" w:bidi="ar"/>
        </w:rPr>
        <w:t>3、全域环境卫生管理</w:t>
      </w:r>
      <w:bookmarkEnd w:id="60"/>
    </w:p>
    <w:p w14:paraId="0049E955">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kern w:val="0"/>
          <w:sz w:val="24"/>
          <w:szCs w:val="24"/>
          <w:lang w:val="en-US" w:eastAsia="zh-CN" w:bidi="ar"/>
        </w:rPr>
        <w:t>落实全方位、常态化保洁制度，每日对食堂就餐区、后厨操作间、储物间、清洗区、卫生间、公共走廊等所有区域进行全方位清洁、消杀、通风。确保地面无积水、无油污、无垃圾，台面洁净、墙面整洁，无卫生死角、无异味、无蚊虫滋生，全程维持干净、整</w:t>
      </w:r>
      <w:r>
        <w:rPr>
          <w:rFonts w:hint="eastAsia" w:ascii="宋体" w:hAnsi="宋体" w:eastAsia="宋体" w:cs="宋体"/>
          <w:b w:val="0"/>
          <w:bCs w:val="0"/>
          <w:kern w:val="0"/>
          <w:sz w:val="24"/>
          <w:szCs w:val="24"/>
          <w:lang w:val="en-US" w:eastAsia="zh-CN" w:bidi="ar"/>
        </w:rPr>
        <w:t>洁、舒适的就餐及作业环境。</w:t>
      </w:r>
    </w:p>
    <w:p w14:paraId="37508AA3">
      <w:pPr>
        <w:keepNext w:val="0"/>
        <w:keepLines w:val="0"/>
        <w:widowControl/>
        <w:suppressLineNumbers w:val="0"/>
        <w:ind w:firstLine="480" w:firstLineChars="200"/>
        <w:jc w:val="left"/>
        <w:outlineLvl w:val="1"/>
        <w:rPr>
          <w:rFonts w:hint="eastAsia" w:ascii="宋体" w:hAnsi="宋体" w:eastAsia="宋体" w:cs="宋体"/>
          <w:b w:val="0"/>
          <w:bCs w:val="0"/>
          <w:sz w:val="24"/>
          <w:szCs w:val="24"/>
        </w:rPr>
      </w:pPr>
      <w:bookmarkStart w:id="61" w:name="_Toc9147"/>
      <w:r>
        <w:rPr>
          <w:rStyle w:val="22"/>
          <w:rFonts w:hint="eastAsia" w:ascii="宋体" w:hAnsi="宋体" w:eastAsia="宋体" w:cs="宋体"/>
          <w:b w:val="0"/>
          <w:bCs w:val="0"/>
          <w:kern w:val="0"/>
          <w:sz w:val="24"/>
          <w:szCs w:val="24"/>
          <w:lang w:val="en-US" w:eastAsia="zh-CN" w:bidi="ar"/>
        </w:rPr>
        <w:t>4、餐具厨具消杀管理</w:t>
      </w:r>
      <w:bookmarkEnd w:id="61"/>
    </w:p>
    <w:p w14:paraId="67C2A5EC">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所有餐具、厨具严格执行“一洗、二清、三消毒、四保洁”作业流程</w:t>
      </w:r>
      <w:r>
        <w:rPr>
          <w:rFonts w:hint="eastAsia" w:ascii="宋体" w:hAnsi="宋体" w:cs="宋体"/>
          <w:kern w:val="0"/>
          <w:sz w:val="24"/>
          <w:szCs w:val="24"/>
          <w:lang w:val="en-US" w:eastAsia="zh-CN" w:bidi="ar"/>
        </w:rPr>
        <w:t>；</w:t>
      </w:r>
      <w:r>
        <w:rPr>
          <w:rFonts w:hint="eastAsia" w:ascii="宋体" w:hAnsi="宋体" w:eastAsia="宋体" w:cs="宋体"/>
          <w:kern w:val="0"/>
          <w:sz w:val="24"/>
          <w:szCs w:val="24"/>
          <w:lang w:val="en-US" w:eastAsia="zh-CN" w:bidi="ar"/>
        </w:rPr>
        <w:t>规范做好消杀记录，台账完整、真实、可查，彻底杜绝餐具不洁、交叉感染等卫生问题，保障就餐卫生安全。</w:t>
      </w:r>
    </w:p>
    <w:p w14:paraId="6B55B9A5">
      <w:pPr>
        <w:keepNext w:val="0"/>
        <w:keepLines w:val="0"/>
        <w:widowControl/>
        <w:suppressLineNumbers w:val="0"/>
        <w:ind w:firstLine="480" w:firstLineChars="200"/>
        <w:jc w:val="left"/>
        <w:outlineLvl w:val="1"/>
        <w:rPr>
          <w:rFonts w:hint="eastAsia" w:ascii="宋体" w:hAnsi="宋体" w:eastAsia="宋体" w:cs="宋体"/>
          <w:b w:val="0"/>
          <w:bCs w:val="0"/>
          <w:sz w:val="24"/>
          <w:szCs w:val="24"/>
        </w:rPr>
      </w:pPr>
      <w:bookmarkStart w:id="62" w:name="_Toc5034"/>
      <w:r>
        <w:rPr>
          <w:rStyle w:val="22"/>
          <w:rFonts w:hint="eastAsia" w:ascii="宋体" w:hAnsi="宋体" w:eastAsia="宋体" w:cs="宋体"/>
          <w:b w:val="0"/>
          <w:bCs w:val="0"/>
          <w:kern w:val="0"/>
          <w:sz w:val="24"/>
          <w:szCs w:val="24"/>
          <w:lang w:val="en-US" w:eastAsia="zh-CN" w:bidi="ar"/>
        </w:rPr>
        <w:t>5、从业人员配置与管理</w:t>
      </w:r>
      <w:bookmarkEnd w:id="62"/>
    </w:p>
    <w:p w14:paraId="3D1E4A47">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按需足额配备专业持证厨师、后厨辅助人员及服务人员，岗位分工清晰、人员配置科学合理。所有从业人员必须持有效健康证、岗位相关资质证书上岗，无传染性疾病、无不良从业记录，人员资质齐全合规。严格落实员工日常考勤、在岗值守、仪容仪表、个人卫生管理制度，建立人员应急替补机制，保障食堂不间断正常供餐。</w:t>
      </w:r>
    </w:p>
    <w:p w14:paraId="031ED985">
      <w:pPr>
        <w:keepNext w:val="0"/>
        <w:keepLines w:val="0"/>
        <w:widowControl/>
        <w:suppressLineNumbers w:val="0"/>
        <w:ind w:left="0" w:leftChars="0" w:firstLine="0" w:firstLineChars="0"/>
        <w:jc w:val="left"/>
        <w:outlineLvl w:val="0"/>
        <w:rPr>
          <w:rFonts w:hint="eastAsia" w:ascii="宋体" w:hAnsi="宋体" w:eastAsia="宋体" w:cs="宋体"/>
          <w:sz w:val="24"/>
          <w:szCs w:val="24"/>
        </w:rPr>
      </w:pPr>
      <w:bookmarkStart w:id="63" w:name="_Toc2888"/>
      <w:r>
        <w:rPr>
          <w:rFonts w:hint="eastAsia" w:ascii="宋体" w:hAnsi="宋体" w:eastAsia="宋体" w:cs="宋体"/>
          <w:sz w:val="24"/>
          <w:szCs w:val="24"/>
        </w:rPr>
        <w:t>四、履约考核与责任要求</w:t>
      </w:r>
      <w:bookmarkEnd w:id="63"/>
    </w:p>
    <w:p w14:paraId="102751CD">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服务期内，供应商须严格履约，全程杜绝食品安全事故、重大服务投诉、卫生不达标、擅自停餐等违约问题。采购人有权对食堂日常运营、菜品质量、环境卫生、服务态度、台账资料、整改落实情况进行常态化考核，考核结果作为履约评价及合同延续的重要依据，考核不合格的，采购人有权按约定追究违约责任。</w:t>
      </w:r>
    </w:p>
    <w:p w14:paraId="0746685C">
      <w:pPr>
        <w:rPr>
          <w:rFonts w:hint="eastAsia" w:ascii="宋体" w:hAnsi="宋体" w:eastAsia="宋体" w:cs="宋体"/>
          <w:b/>
          <w:kern w:val="2"/>
          <w:sz w:val="24"/>
          <w:szCs w:val="24"/>
        </w:rPr>
      </w:pPr>
      <w:r>
        <w:rPr>
          <w:rFonts w:hint="eastAsia" w:ascii="宋体" w:hAnsi="宋体" w:eastAsia="宋体" w:cs="宋体"/>
          <w:b/>
          <w:kern w:val="2"/>
          <w:sz w:val="24"/>
          <w:szCs w:val="24"/>
        </w:rPr>
        <w:br w:type="page"/>
      </w:r>
    </w:p>
    <w:p w14:paraId="029EE006">
      <w:pPr>
        <w:keepNext/>
        <w:widowControl w:val="0"/>
        <w:spacing w:before="100" w:beforeAutospacing="1" w:after="100" w:afterAutospacing="1" w:line="360" w:lineRule="auto"/>
        <w:ind w:left="0" w:leftChars="0" w:firstLine="0" w:firstLineChars="0"/>
        <w:jc w:val="center"/>
        <w:outlineLvl w:val="0"/>
        <w:rPr>
          <w:rFonts w:ascii="黑体" w:cs="宋体"/>
          <w:b/>
          <w:kern w:val="2"/>
          <w:sz w:val="28"/>
          <w:szCs w:val="28"/>
        </w:rPr>
      </w:pPr>
      <w:bookmarkStart w:id="64" w:name="_Toc26911"/>
      <w:r>
        <w:rPr>
          <w:rFonts w:hint="eastAsia" w:ascii="黑体" w:cs="宋体"/>
          <w:b/>
          <w:kern w:val="2"/>
          <w:sz w:val="28"/>
          <w:szCs w:val="28"/>
        </w:rPr>
        <w:t xml:space="preserve">第四章 </w:t>
      </w:r>
      <w:r>
        <w:rPr>
          <w:rFonts w:hint="eastAsia" w:ascii="黑体" w:cs="宋体"/>
          <w:b/>
          <w:kern w:val="2"/>
          <w:sz w:val="28"/>
          <w:szCs w:val="28"/>
          <w:lang w:val="en-US" w:eastAsia="zh-CN"/>
        </w:rPr>
        <w:t xml:space="preserve">   </w:t>
      </w:r>
      <w:r>
        <w:rPr>
          <w:rFonts w:hint="eastAsia" w:ascii="黑体" w:cs="宋体"/>
          <w:b/>
          <w:kern w:val="2"/>
          <w:sz w:val="28"/>
          <w:szCs w:val="28"/>
        </w:rPr>
        <w:t>合同主要条款</w:t>
      </w:r>
      <w:bookmarkEnd w:id="64"/>
    </w:p>
    <w:p w14:paraId="280D8A5A">
      <w:pPr>
        <w:widowControl/>
        <w:snapToGrid w:val="0"/>
        <w:spacing w:line="360" w:lineRule="auto"/>
        <w:ind w:firstLine="482" w:firstLineChars="200"/>
        <w:jc w:val="center"/>
        <w:rPr>
          <w:rFonts w:hint="eastAsia" w:ascii="宋体" w:hAnsi="宋体" w:eastAsia="宋体" w:cs="宋体"/>
          <w:b/>
          <w:bCs/>
          <w:color w:val="auto"/>
          <w:kern w:val="0"/>
          <w:sz w:val="24"/>
          <w:szCs w:val="24"/>
        </w:rPr>
      </w:pPr>
      <w:bookmarkStart w:id="65" w:name="_Toc461977428"/>
      <w:bookmarkEnd w:id="65"/>
    </w:p>
    <w:p w14:paraId="40EEC1DC">
      <w:pPr>
        <w:widowControl/>
        <w:snapToGrid w:val="0"/>
        <w:spacing w:line="360" w:lineRule="auto"/>
        <w:ind w:firstLine="482" w:firstLineChars="200"/>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w:t>
      </w:r>
      <w:r>
        <w:rPr>
          <w:rFonts w:hint="eastAsia" w:ascii="宋体" w:hAnsi="宋体" w:eastAsia="宋体" w:cs="宋体"/>
          <w:bCs/>
          <w:color w:val="auto"/>
          <w:kern w:val="0"/>
          <w:sz w:val="24"/>
          <w:szCs w:val="24"/>
        </w:rPr>
        <w:t>本合同仅供参考，</w:t>
      </w:r>
      <w:r>
        <w:rPr>
          <w:rFonts w:hint="eastAsia" w:ascii="宋体" w:hAnsi="宋体" w:eastAsia="宋体" w:cs="宋体"/>
          <w:color w:val="auto"/>
          <w:kern w:val="0"/>
          <w:sz w:val="24"/>
          <w:szCs w:val="24"/>
        </w:rPr>
        <w:t>采购人可根据采购项目的实际情况增减条款和内容</w:t>
      </w:r>
      <w:r>
        <w:rPr>
          <w:rFonts w:hint="eastAsia" w:ascii="宋体" w:hAnsi="宋体" w:eastAsia="宋体" w:cs="宋体"/>
          <w:b/>
          <w:bCs/>
          <w:color w:val="auto"/>
          <w:kern w:val="0"/>
          <w:sz w:val="24"/>
          <w:szCs w:val="24"/>
        </w:rPr>
        <w:t>）</w:t>
      </w:r>
    </w:p>
    <w:p w14:paraId="44CCE721">
      <w:pPr>
        <w:widowControl/>
        <w:spacing w:line="360" w:lineRule="auto"/>
        <w:ind w:firstLine="2160" w:firstLineChars="900"/>
        <w:jc w:val="left"/>
        <w:textAlignment w:val="baseline"/>
        <w:rPr>
          <w:rFonts w:hint="eastAsia" w:ascii="宋体" w:hAnsi="宋体" w:eastAsia="宋体" w:cs="宋体"/>
          <w:color w:val="auto"/>
          <w:kern w:val="0"/>
          <w:sz w:val="24"/>
        </w:rPr>
      </w:pPr>
    </w:p>
    <w:p w14:paraId="24F81417">
      <w:pPr>
        <w:widowControl/>
        <w:spacing w:line="360" w:lineRule="auto"/>
        <w:ind w:firstLine="2160" w:firstLineChars="900"/>
        <w:jc w:val="left"/>
        <w:textAlignment w:val="baseline"/>
        <w:rPr>
          <w:rFonts w:hint="eastAsia" w:ascii="宋体" w:hAnsi="宋体" w:eastAsia="宋体" w:cs="宋体"/>
          <w:color w:val="auto"/>
          <w:kern w:val="0"/>
          <w:sz w:val="24"/>
        </w:rPr>
      </w:pPr>
    </w:p>
    <w:p w14:paraId="03428D5B">
      <w:pPr>
        <w:pStyle w:val="17"/>
        <w:spacing w:line="360" w:lineRule="auto"/>
        <w:rPr>
          <w:rFonts w:hint="eastAsia" w:ascii="宋体" w:hAnsi="宋体" w:eastAsia="宋体" w:cs="宋体"/>
          <w:color w:val="auto"/>
          <w:lang w:val="en-US" w:eastAsia="zh-CN"/>
        </w:rPr>
      </w:pPr>
    </w:p>
    <w:p w14:paraId="6DADACEE">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rPr>
      </w:pPr>
    </w:p>
    <w:p w14:paraId="4DBC6D11">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u w:val="none"/>
        </w:rPr>
      </w:pPr>
      <w:r>
        <w:rPr>
          <w:rFonts w:hint="eastAsia" w:ascii="宋体" w:hAnsi="宋体" w:eastAsia="宋体" w:cs="宋体"/>
          <w:color w:val="auto"/>
          <w:kern w:val="2"/>
          <w:sz w:val="28"/>
          <w:szCs w:val="28"/>
          <w:highlight w:val="none"/>
        </w:rPr>
        <w:t>项目名称：</w:t>
      </w:r>
    </w:p>
    <w:p w14:paraId="710700E2">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u w:val="none"/>
        </w:rPr>
      </w:pPr>
      <w:r>
        <w:rPr>
          <w:rFonts w:hint="eastAsia" w:ascii="宋体" w:hAnsi="宋体" w:eastAsia="宋体" w:cs="宋体"/>
          <w:color w:val="auto"/>
          <w:kern w:val="2"/>
          <w:sz w:val="28"/>
          <w:szCs w:val="28"/>
          <w:highlight w:val="none"/>
        </w:rPr>
        <w:t>项目编号：</w:t>
      </w:r>
    </w:p>
    <w:p w14:paraId="61893C9C">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u w:val="none"/>
        </w:rPr>
      </w:pPr>
      <w:r>
        <w:rPr>
          <w:rFonts w:hint="eastAsia" w:ascii="宋体" w:hAnsi="宋体" w:eastAsia="宋体" w:cs="宋体"/>
          <w:color w:val="auto"/>
          <w:kern w:val="2"/>
          <w:sz w:val="28"/>
          <w:szCs w:val="28"/>
          <w:highlight w:val="none"/>
        </w:rPr>
        <w:t>合同编号：</w:t>
      </w:r>
    </w:p>
    <w:p w14:paraId="2150E462">
      <w:pPr>
        <w:widowControl/>
        <w:spacing w:line="360" w:lineRule="auto"/>
        <w:jc w:val="center"/>
        <w:textAlignment w:val="baseline"/>
        <w:rPr>
          <w:rFonts w:hint="eastAsia" w:ascii="宋体" w:hAnsi="宋体" w:eastAsia="宋体" w:cs="宋体"/>
          <w:color w:val="auto"/>
          <w:kern w:val="0"/>
          <w:sz w:val="24"/>
          <w:szCs w:val="24"/>
          <w:u w:val="single"/>
        </w:rPr>
      </w:pPr>
    </w:p>
    <w:p w14:paraId="5845A713">
      <w:pPr>
        <w:widowControl/>
        <w:spacing w:line="360" w:lineRule="auto"/>
        <w:jc w:val="center"/>
        <w:textAlignment w:val="baseline"/>
        <w:rPr>
          <w:rFonts w:hint="eastAsia" w:ascii="宋体" w:hAnsi="宋体" w:eastAsia="宋体" w:cs="宋体"/>
          <w:color w:val="auto"/>
          <w:kern w:val="0"/>
          <w:sz w:val="24"/>
          <w:szCs w:val="24"/>
        </w:rPr>
      </w:pPr>
    </w:p>
    <w:p w14:paraId="0A23DF9A">
      <w:pPr>
        <w:widowControl/>
        <w:spacing w:line="360" w:lineRule="auto"/>
        <w:jc w:val="left"/>
        <w:textAlignment w:val="baseline"/>
        <w:rPr>
          <w:rFonts w:hint="eastAsia" w:ascii="宋体" w:hAnsi="宋体" w:eastAsia="宋体" w:cs="宋体"/>
          <w:color w:val="auto"/>
          <w:kern w:val="0"/>
          <w:sz w:val="24"/>
          <w:szCs w:val="24"/>
        </w:rPr>
      </w:pPr>
    </w:p>
    <w:p w14:paraId="45E1B94D">
      <w:pPr>
        <w:widowControl/>
        <w:spacing w:line="360" w:lineRule="auto"/>
        <w:jc w:val="left"/>
        <w:textAlignment w:val="baseline"/>
        <w:rPr>
          <w:rFonts w:hint="eastAsia" w:ascii="宋体" w:hAnsi="宋体" w:eastAsia="宋体" w:cs="宋体"/>
          <w:color w:val="auto"/>
          <w:kern w:val="0"/>
          <w:sz w:val="24"/>
          <w:szCs w:val="24"/>
        </w:rPr>
      </w:pPr>
    </w:p>
    <w:p w14:paraId="39D7EAF4">
      <w:pPr>
        <w:widowControl/>
        <w:spacing w:line="360" w:lineRule="auto"/>
        <w:jc w:val="left"/>
        <w:textAlignment w:val="baseline"/>
        <w:rPr>
          <w:rFonts w:hint="eastAsia" w:ascii="宋体" w:hAnsi="宋体" w:eastAsia="宋体" w:cs="宋体"/>
          <w:color w:val="auto"/>
          <w:kern w:val="0"/>
          <w:sz w:val="24"/>
          <w:szCs w:val="24"/>
        </w:rPr>
      </w:pPr>
    </w:p>
    <w:p w14:paraId="0C323D2E">
      <w:pPr>
        <w:widowControl/>
        <w:spacing w:line="360" w:lineRule="auto"/>
        <w:jc w:val="left"/>
        <w:textAlignment w:val="baseline"/>
        <w:rPr>
          <w:rFonts w:hint="eastAsia" w:ascii="宋体" w:hAnsi="宋体" w:eastAsia="宋体" w:cs="宋体"/>
          <w:color w:val="auto"/>
          <w:kern w:val="0"/>
          <w:sz w:val="24"/>
          <w:szCs w:val="24"/>
        </w:rPr>
      </w:pPr>
    </w:p>
    <w:p w14:paraId="076D59B9">
      <w:pPr>
        <w:widowControl/>
        <w:spacing w:line="360" w:lineRule="auto"/>
        <w:jc w:val="left"/>
        <w:textAlignment w:val="baseline"/>
        <w:rPr>
          <w:rFonts w:hint="eastAsia" w:ascii="宋体" w:hAnsi="宋体" w:eastAsia="宋体" w:cs="宋体"/>
          <w:color w:val="auto"/>
          <w:kern w:val="0"/>
          <w:sz w:val="24"/>
          <w:szCs w:val="24"/>
        </w:rPr>
      </w:pPr>
    </w:p>
    <w:p w14:paraId="1807A6D8">
      <w:pPr>
        <w:widowControl/>
        <w:spacing w:line="360" w:lineRule="auto"/>
        <w:jc w:val="left"/>
        <w:textAlignment w:val="baseline"/>
        <w:rPr>
          <w:rFonts w:hint="eastAsia" w:ascii="宋体" w:hAnsi="宋体" w:eastAsia="宋体" w:cs="宋体"/>
          <w:color w:val="auto"/>
          <w:kern w:val="0"/>
          <w:sz w:val="24"/>
          <w:szCs w:val="24"/>
        </w:rPr>
      </w:pPr>
    </w:p>
    <w:p w14:paraId="2B69DF27">
      <w:pPr>
        <w:widowControl/>
        <w:spacing w:line="360" w:lineRule="auto"/>
        <w:jc w:val="left"/>
        <w:textAlignment w:val="baseline"/>
        <w:rPr>
          <w:rFonts w:hint="eastAsia" w:ascii="宋体" w:hAnsi="宋体" w:eastAsia="宋体" w:cs="宋体"/>
          <w:color w:val="auto"/>
          <w:kern w:val="0"/>
          <w:sz w:val="24"/>
          <w:szCs w:val="24"/>
        </w:rPr>
      </w:pPr>
    </w:p>
    <w:p w14:paraId="6D1CC1C5">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 xml:space="preserve">采购人（甲方）： </w:t>
      </w:r>
    </w:p>
    <w:p w14:paraId="58D4EA4E">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eastAsia="zh-CN"/>
        </w:rPr>
        <w:t>中标</w:t>
      </w:r>
      <w:r>
        <w:rPr>
          <w:rFonts w:hint="eastAsia" w:ascii="宋体" w:hAnsi="宋体" w:eastAsia="宋体" w:cs="宋体"/>
          <w:color w:val="auto"/>
          <w:kern w:val="2"/>
          <w:sz w:val="28"/>
          <w:szCs w:val="28"/>
          <w:highlight w:val="none"/>
        </w:rPr>
        <w:t>供应商（乙方）：</w:t>
      </w:r>
    </w:p>
    <w:p w14:paraId="56856031">
      <w:pPr>
        <w:widowControl/>
        <w:spacing w:line="360" w:lineRule="auto"/>
        <w:ind w:firstLine="2240" w:firstLineChars="800"/>
        <w:jc w:val="both"/>
        <w:textAlignment w:val="auto"/>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签订日期：</w:t>
      </w:r>
    </w:p>
    <w:p w14:paraId="47537476">
      <w:pPr>
        <w:spacing w:line="360" w:lineRule="auto"/>
        <w:ind w:firstLine="56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3501BCE2">
      <w:pPr>
        <w:spacing w:line="360" w:lineRule="auto"/>
        <w:ind w:firstLine="480" w:firstLineChars="200"/>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p>
    <w:p w14:paraId="21501D50">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依据《中华人民共和国民法典》和国家有关法律法规，本着诚实信用、平互利的原则，甲方通过</w:t>
      </w:r>
      <w:r>
        <w:rPr>
          <w:rFonts w:hint="eastAsia" w:ascii="宋体" w:hAnsi="宋体" w:eastAsia="宋体" w:cs="宋体"/>
          <w:sz w:val="24"/>
          <w:szCs w:val="24"/>
          <w:lang w:val="en-US" w:eastAsia="zh-CN"/>
        </w:rPr>
        <w:t>竞争性磋商的</w:t>
      </w:r>
      <w:r>
        <w:rPr>
          <w:rFonts w:hint="eastAsia" w:ascii="宋体" w:hAnsi="宋体" w:eastAsia="宋体" w:cs="宋体"/>
          <w:sz w:val="24"/>
          <w:szCs w:val="24"/>
          <w:lang w:val="en-US"/>
        </w:rPr>
        <w:t>方式委托乙方提供</w:t>
      </w:r>
      <w:r>
        <w:rPr>
          <w:rFonts w:hint="eastAsia" w:ascii="宋体" w:hAnsi="宋体" w:eastAsia="宋体" w:cs="宋体"/>
          <w:sz w:val="24"/>
          <w:szCs w:val="24"/>
          <w:lang w:val="en-US" w:eastAsia="zh-CN"/>
        </w:rPr>
        <w:t xml:space="preserve"> </w:t>
      </w:r>
      <w:r>
        <w:rPr>
          <w:rFonts w:hint="eastAsia" w:ascii="宋体" w:hAnsi="宋体" w:cs="宋体"/>
          <w:sz w:val="24"/>
          <w:szCs w:val="24"/>
          <w:u w:val="single"/>
          <w:lang w:val="en-US" w:eastAsia="zh-CN"/>
        </w:rPr>
        <w:t xml:space="preserve">卢氏县干部周转房机关食堂运营管理服务项目 </w:t>
      </w:r>
      <w:r>
        <w:rPr>
          <w:rFonts w:hint="eastAsia" w:ascii="宋体" w:hAnsi="宋体" w:eastAsia="宋体" w:cs="宋体"/>
          <w:sz w:val="24"/>
          <w:szCs w:val="24"/>
          <w:lang w:val="en-US"/>
        </w:rPr>
        <w:t>餐饮服务与管理，并就相关事宜达成一致意见，特签订本合同。双方应共同遵守，严格执行，以保证办好餐厅，具体合同条款如下</w:t>
      </w:r>
      <w:r>
        <w:rPr>
          <w:rFonts w:hint="eastAsia" w:ascii="宋体" w:hAnsi="宋体" w:eastAsia="宋体" w:cs="宋体"/>
          <w:sz w:val="24"/>
          <w:szCs w:val="24"/>
          <w:lang w:val="en-US" w:eastAsia="zh-CN"/>
        </w:rPr>
        <w:t>：</w:t>
      </w:r>
    </w:p>
    <w:p w14:paraId="5B8F0424">
      <w:pPr>
        <w:spacing w:line="360" w:lineRule="auto"/>
        <w:ind w:firstLine="480" w:firstLineChars="200"/>
        <w:outlineLvl w:val="0"/>
        <w:rPr>
          <w:rFonts w:hint="eastAsia" w:ascii="宋体" w:hAnsi="宋体" w:eastAsia="宋体" w:cs="宋体"/>
          <w:sz w:val="24"/>
          <w:szCs w:val="24"/>
          <w:lang w:val="en-US"/>
        </w:rPr>
      </w:pPr>
      <w:bookmarkStart w:id="66" w:name="_Toc28853"/>
      <w:r>
        <w:rPr>
          <w:rFonts w:hint="eastAsia" w:ascii="宋体" w:hAnsi="宋体" w:eastAsia="宋体" w:cs="宋体"/>
          <w:sz w:val="24"/>
          <w:szCs w:val="24"/>
          <w:lang w:val="en-US"/>
        </w:rPr>
        <w:t>第一条 合同标的</w:t>
      </w:r>
      <w:bookmarkEnd w:id="66"/>
    </w:p>
    <w:p w14:paraId="7465DA98">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乙方承担</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餐饮服务与管理。</w:t>
      </w:r>
    </w:p>
    <w:p w14:paraId="4F58620C">
      <w:pPr>
        <w:spacing w:line="360" w:lineRule="auto"/>
        <w:ind w:firstLine="480" w:firstLineChars="200"/>
        <w:outlineLvl w:val="0"/>
        <w:rPr>
          <w:rFonts w:hint="eastAsia" w:ascii="宋体" w:hAnsi="宋体" w:eastAsia="宋体" w:cs="宋体"/>
          <w:sz w:val="24"/>
          <w:szCs w:val="24"/>
          <w:lang w:val="en-US"/>
        </w:rPr>
      </w:pPr>
      <w:bookmarkStart w:id="67" w:name="_Toc26900"/>
      <w:r>
        <w:rPr>
          <w:rFonts w:hint="eastAsia" w:ascii="宋体" w:hAnsi="宋体" w:eastAsia="宋体" w:cs="宋体"/>
          <w:sz w:val="24"/>
          <w:szCs w:val="24"/>
          <w:lang w:val="en-US"/>
        </w:rPr>
        <w:t>第二条 项目基本情况</w:t>
      </w:r>
      <w:bookmarkEnd w:id="67"/>
    </w:p>
    <w:p w14:paraId="5CE07489">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1.合同实施地点</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w:t>
      </w:r>
    </w:p>
    <w:p w14:paraId="6A02720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2.合同范围和要求</w:t>
      </w:r>
      <w:r>
        <w:rPr>
          <w:rFonts w:hint="eastAsia" w:ascii="宋体" w:hAnsi="宋体" w:eastAsia="宋体" w:cs="宋体"/>
          <w:sz w:val="24"/>
          <w:szCs w:val="24"/>
          <w:lang w:val="en-US" w:eastAsia="zh-CN"/>
        </w:rPr>
        <w:t>：</w:t>
      </w:r>
    </w:p>
    <w:p w14:paraId="7C3F981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rPr>
        <w:t>1</w:t>
      </w:r>
      <w:r>
        <w:rPr>
          <w:rFonts w:hint="eastAsia" w:ascii="宋体" w:hAnsi="宋体" w:eastAsia="宋体" w:cs="宋体"/>
          <w:sz w:val="24"/>
          <w:szCs w:val="24"/>
          <w:lang w:val="en-US" w:eastAsia="zh-CN"/>
        </w:rPr>
        <w:t>）乙方</w:t>
      </w:r>
      <w:r>
        <w:rPr>
          <w:rFonts w:hint="eastAsia" w:ascii="宋体" w:hAnsi="宋体" w:eastAsia="宋体" w:cs="宋体"/>
          <w:kern w:val="0"/>
          <w:sz w:val="24"/>
          <w:szCs w:val="24"/>
          <w:lang w:val="en-US" w:eastAsia="zh-CN" w:bidi="ar"/>
        </w:rPr>
        <w:t>保障周转房法定工作日早、中、晚三餐常态化供餐。</w:t>
      </w:r>
    </w:p>
    <w:p w14:paraId="7A201CCE">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rPr>
        <w:t>2</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乙方负</w:t>
      </w:r>
      <w:r>
        <w:rPr>
          <w:rFonts w:hint="eastAsia" w:ascii="宋体" w:hAnsi="宋体" w:cs="宋体"/>
          <w:sz w:val="24"/>
          <w:szCs w:val="24"/>
          <w:lang w:val="en-US" w:eastAsia="zh-CN"/>
        </w:rPr>
        <w:t>责</w:t>
      </w:r>
      <w:r>
        <w:rPr>
          <w:rFonts w:hint="eastAsia" w:ascii="宋体" w:hAnsi="宋体" w:eastAsia="宋体" w:cs="宋体"/>
          <w:sz w:val="24"/>
          <w:szCs w:val="24"/>
          <w:lang w:val="en-US"/>
        </w:rPr>
        <w:t>菜谱的制定，每日所需原材料品名、数量的</w:t>
      </w:r>
      <w:r>
        <w:rPr>
          <w:rFonts w:hint="eastAsia" w:ascii="宋体" w:hAnsi="宋体" w:eastAsia="宋体" w:cs="宋体"/>
          <w:sz w:val="24"/>
          <w:szCs w:val="24"/>
          <w:lang w:val="en-US" w:eastAsia="zh-CN"/>
        </w:rPr>
        <w:t>申</w:t>
      </w:r>
      <w:r>
        <w:rPr>
          <w:rFonts w:hint="eastAsia" w:ascii="宋体" w:hAnsi="宋体" w:eastAsia="宋体" w:cs="宋体"/>
          <w:sz w:val="24"/>
          <w:szCs w:val="24"/>
          <w:lang w:val="en-US"/>
        </w:rPr>
        <w:t>报及验收工作。要求一周之内饭菜品种不得重复，营养搭配合理。</w:t>
      </w:r>
    </w:p>
    <w:p w14:paraId="2385E24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rPr>
        <w:t>3</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不加工不合格产品，保证食品安全</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不得出现食物中毒现象。</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如因乙方原因导致的食物中毒，一切损失由乙方承担并追究其相关法律责任。</w:t>
      </w:r>
      <w:r>
        <w:rPr>
          <w:rFonts w:hint="eastAsia" w:ascii="宋体" w:hAnsi="宋体" w:eastAsia="宋体" w:cs="宋体"/>
          <w:sz w:val="24"/>
          <w:szCs w:val="24"/>
          <w:lang w:val="en-US" w:eastAsia="zh-CN"/>
        </w:rPr>
        <w:t>）</w:t>
      </w:r>
    </w:p>
    <w:p w14:paraId="40544DF4">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负责设备及厨具维护保养、清洁消毒工作，正确使用灶具、电器等设备，严格按照规范使用电，确保安全。</w:t>
      </w:r>
    </w:p>
    <w:p w14:paraId="0583C220">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负责</w:t>
      </w:r>
      <w:r>
        <w:rPr>
          <w:rFonts w:hint="eastAsia" w:ascii="宋体" w:hAnsi="宋体" w:eastAsia="宋体" w:cs="宋体"/>
          <w:sz w:val="24"/>
          <w:szCs w:val="24"/>
          <w:lang w:val="en-US"/>
        </w:rPr>
        <w:t>餐厅内所有区域</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包括操作间、就餐大厅、隔间、楼梯、门廊等区域的地面、墙面、扶手、桌椅、门窗电器、水池、等的卫生，随时保持干净整洁，定期消毒。</w:t>
      </w:r>
    </w:p>
    <w:p w14:paraId="03ECCC26">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rPr>
        <w:t>做好食品的存放工作，所有食品离地存放，做到生熟分开，荤素分开，原菜与净菜分开，不同种类分开存放，不得人为的造成浪费，不得私拿、私用公共物品，未经允许不得开小灶、不得将餐厅食品外拿、送人。</w:t>
      </w:r>
    </w:p>
    <w:p w14:paraId="3E9128BE">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负责</w:t>
      </w:r>
      <w:r>
        <w:rPr>
          <w:rFonts w:hint="eastAsia" w:ascii="宋体" w:hAnsi="宋体" w:eastAsia="宋体" w:cs="宋体"/>
          <w:sz w:val="24"/>
          <w:szCs w:val="24"/>
          <w:lang w:val="en-US"/>
        </w:rPr>
        <w:t>厨具、餐具的清洗与消毒工作。</w:t>
      </w:r>
    </w:p>
    <w:p w14:paraId="6D50D75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（8）</w:t>
      </w:r>
      <w:r>
        <w:rPr>
          <w:rFonts w:hint="eastAsia" w:ascii="宋体" w:hAnsi="宋体" w:eastAsia="宋体" w:cs="宋体"/>
          <w:sz w:val="24"/>
          <w:szCs w:val="24"/>
          <w:lang w:val="en-US"/>
        </w:rPr>
        <w:t>落实食品卫生管理制度，确保食品安全，做好防火、防盗除“四害”工作。</w:t>
      </w:r>
    </w:p>
    <w:p w14:paraId="02C4C1FB">
      <w:pPr>
        <w:spacing w:line="360" w:lineRule="auto"/>
        <w:ind w:firstLine="480" w:firstLineChars="200"/>
        <w:outlineLvl w:val="0"/>
        <w:rPr>
          <w:rFonts w:hint="eastAsia" w:ascii="宋体" w:hAnsi="宋体" w:eastAsia="宋体" w:cs="宋体"/>
          <w:sz w:val="24"/>
          <w:szCs w:val="24"/>
          <w:lang w:val="en-US"/>
        </w:rPr>
      </w:pPr>
      <w:bookmarkStart w:id="68" w:name="_Toc15169"/>
      <w:r>
        <w:rPr>
          <w:rFonts w:hint="eastAsia" w:ascii="宋体" w:hAnsi="宋体" w:eastAsia="宋体" w:cs="宋体"/>
          <w:sz w:val="24"/>
          <w:szCs w:val="24"/>
          <w:lang w:val="en-US"/>
        </w:rPr>
        <w:t>第三条 服务期限</w:t>
      </w:r>
      <w:bookmarkEnd w:id="68"/>
    </w:p>
    <w:p w14:paraId="34FAB764">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委托服务期限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日</w:t>
      </w:r>
    </w:p>
    <w:p w14:paraId="49522C12">
      <w:pPr>
        <w:spacing w:line="360" w:lineRule="auto"/>
        <w:ind w:firstLine="480" w:firstLineChars="200"/>
        <w:outlineLvl w:val="0"/>
        <w:rPr>
          <w:rFonts w:hint="eastAsia" w:ascii="宋体" w:hAnsi="宋体" w:eastAsia="宋体" w:cs="宋体"/>
          <w:sz w:val="24"/>
          <w:szCs w:val="24"/>
          <w:lang w:val="en-US"/>
        </w:rPr>
      </w:pPr>
      <w:bookmarkStart w:id="69" w:name="_Toc6350"/>
      <w:r>
        <w:rPr>
          <w:rFonts w:hint="eastAsia" w:ascii="宋体" w:hAnsi="宋体" w:eastAsia="宋体" w:cs="宋体"/>
          <w:sz w:val="24"/>
          <w:szCs w:val="24"/>
          <w:lang w:val="en-US" w:eastAsia="zh-CN"/>
        </w:rPr>
        <w:t xml:space="preserve">第四条 </w:t>
      </w:r>
      <w:r>
        <w:rPr>
          <w:rFonts w:hint="eastAsia" w:ascii="宋体" w:hAnsi="宋体" w:eastAsia="宋体" w:cs="宋体"/>
          <w:sz w:val="24"/>
          <w:szCs w:val="24"/>
          <w:lang w:val="en-US"/>
        </w:rPr>
        <w:t>各项费用承担方式及相关约定</w:t>
      </w:r>
      <w:bookmarkEnd w:id="69"/>
    </w:p>
    <w:p w14:paraId="4046A97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1、甲方免费向乙方提供厨房场地的使用权，双方终止合同后，乙方应将上述物品交还甲方，如有遗失、损坏，乙方负责赔偿（自然损耗除外）。</w:t>
      </w:r>
    </w:p>
    <w:p w14:paraId="2B89B4F7">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rPr>
        <w:t>、乙方在收到甲方关于服务质量问题的通知后三天内，应迅速查处并书面答复。如果乙方在收到通知三天后没有弥补缺陷，甲方可采取必要的补救措施，但风险和费用将由乙方承担。</w:t>
      </w:r>
    </w:p>
    <w:p w14:paraId="5C0A3178">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乙方必须严格执行甲方的各项规章制度，按照甲方的要求，制订配套的内部管理制度，严禁出现任何破坏甲方工作秩序的行为。乙方在合同期内若不能严格执行合同，甲方有权单方面终止合同并取消其承包资格，由此产生的一切后果由乙方负责。</w:t>
      </w:r>
    </w:p>
    <w:p w14:paraId="281ABD8A">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、乙方必须提前一周将菜单（含菜谱）给甲方管理人员审核，经核准后在餐厅内公布。</w:t>
      </w:r>
    </w:p>
    <w:p w14:paraId="1526B19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、服务期间如乙方未通过甲方的考核，则甲方有权利中止合同，考核方式由甲乙双方协商确定。</w:t>
      </w:r>
    </w:p>
    <w:p w14:paraId="082F0788">
      <w:pPr>
        <w:spacing w:line="360" w:lineRule="auto"/>
        <w:ind w:firstLine="480" w:firstLineChars="200"/>
        <w:outlineLvl w:val="0"/>
        <w:rPr>
          <w:rFonts w:hint="eastAsia" w:ascii="宋体" w:hAnsi="宋体" w:eastAsia="宋体" w:cs="宋体"/>
          <w:sz w:val="24"/>
          <w:szCs w:val="24"/>
          <w:lang w:val="en-US"/>
        </w:rPr>
      </w:pPr>
      <w:bookmarkStart w:id="70" w:name="_Toc12822"/>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五</w:t>
      </w:r>
      <w:r>
        <w:rPr>
          <w:rFonts w:hint="eastAsia" w:ascii="宋体" w:hAnsi="宋体" w:eastAsia="宋体" w:cs="宋体"/>
          <w:sz w:val="24"/>
          <w:szCs w:val="24"/>
          <w:lang w:val="en-US"/>
        </w:rPr>
        <w:t xml:space="preserve">条 </w:t>
      </w:r>
      <w:r>
        <w:rPr>
          <w:rFonts w:hint="eastAsia" w:ascii="宋体" w:hAnsi="宋体" w:eastAsia="宋体" w:cs="宋体"/>
          <w:sz w:val="24"/>
          <w:szCs w:val="24"/>
          <w:lang w:val="en-US" w:eastAsia="zh-CN"/>
        </w:rPr>
        <w:t>餐厅</w:t>
      </w:r>
      <w:r>
        <w:rPr>
          <w:rFonts w:hint="eastAsia" w:ascii="宋体" w:hAnsi="宋体" w:eastAsia="宋体" w:cs="宋体"/>
          <w:sz w:val="24"/>
          <w:szCs w:val="24"/>
          <w:lang w:val="en-US"/>
        </w:rPr>
        <w:t>双方项目人员配置及管理约定</w:t>
      </w:r>
      <w:bookmarkEnd w:id="70"/>
    </w:p>
    <w:p w14:paraId="30E115BE">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1、甲方项目人员配置</w:t>
      </w:r>
    </w:p>
    <w:p w14:paraId="69F4FF1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（1）甲方</w:t>
      </w:r>
      <w:r>
        <w:rPr>
          <w:rFonts w:hint="eastAsia" w:ascii="宋体" w:hAnsi="宋体" w:eastAsia="宋体" w:cs="宋体"/>
          <w:sz w:val="24"/>
          <w:szCs w:val="24"/>
          <w:lang w:val="en-US" w:eastAsia="zh-CN"/>
        </w:rPr>
        <w:t xml:space="preserve">    保障     </w:t>
      </w:r>
      <w:r>
        <w:rPr>
          <w:rFonts w:hint="eastAsia" w:ascii="宋体" w:hAnsi="宋体" w:eastAsia="宋体" w:cs="宋体"/>
          <w:sz w:val="24"/>
          <w:szCs w:val="24"/>
          <w:lang w:val="en-US" w:eastAsia="zh-Hans"/>
        </w:rPr>
        <w:t>部门</w:t>
      </w:r>
      <w:r>
        <w:rPr>
          <w:rFonts w:hint="eastAsia" w:ascii="宋体" w:hAnsi="宋体" w:eastAsia="宋体" w:cs="宋体"/>
          <w:sz w:val="24"/>
          <w:szCs w:val="24"/>
          <w:lang w:val="en-US"/>
        </w:rPr>
        <w:t>负责对乙方实施管理，项目联系人：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2263B547">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（2）甲方定期对乙方服务情况进行管理和考评</w:t>
      </w:r>
      <w:r>
        <w:rPr>
          <w:rFonts w:hint="eastAsia" w:ascii="宋体" w:hAnsi="宋体" w:eastAsia="宋体" w:cs="宋体"/>
          <w:sz w:val="24"/>
          <w:szCs w:val="24"/>
          <w:lang w:val="en-US" w:eastAsia="zh-CN"/>
        </w:rPr>
        <w:t>；</w:t>
      </w:r>
    </w:p>
    <w:p w14:paraId="022388CE">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（3）甲方项目负责人调整变更时，应以书面方式告知乙方。</w:t>
      </w:r>
    </w:p>
    <w:p w14:paraId="181F3268">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2、乙方项目人员配置</w:t>
      </w:r>
    </w:p>
    <w:p w14:paraId="6ABA57B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lang w:val="en-US" w:eastAsia="zh-CN"/>
        </w:rPr>
        <w:t>餐厅</w:t>
      </w:r>
      <w:r>
        <w:rPr>
          <w:rFonts w:hint="eastAsia" w:ascii="宋体" w:hAnsi="宋体" w:eastAsia="宋体" w:cs="宋体"/>
          <w:sz w:val="24"/>
          <w:szCs w:val="24"/>
          <w:lang w:val="en-US"/>
        </w:rPr>
        <w:t>厨房人员要足额配置，不得少于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人（其中最少应含项目负责人</w:t>
      </w:r>
      <w:r>
        <w:rPr>
          <w:rFonts w:hint="eastAsia" w:ascii="宋体" w:hAnsi="宋体" w:eastAsia="宋体" w:cs="宋体"/>
          <w:sz w:val="24"/>
          <w:szCs w:val="24"/>
          <w:lang w:val="en-US" w:eastAsia="zh-CN"/>
        </w:rPr>
        <w:t xml:space="preserve"> 壹 </w:t>
      </w:r>
      <w:r>
        <w:rPr>
          <w:rFonts w:hint="eastAsia" w:ascii="宋体" w:hAnsi="宋体" w:eastAsia="宋体" w:cs="宋体"/>
          <w:sz w:val="24"/>
          <w:szCs w:val="24"/>
          <w:lang w:val="en-US"/>
        </w:rPr>
        <w:t>人（具有食品安全员、监督员或类似的资格或资质证书），厨师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人（项目负责人可兼职厨师），</w:t>
      </w:r>
      <w:r>
        <w:rPr>
          <w:rFonts w:hint="eastAsia" w:ascii="宋体" w:hAnsi="宋体" w:eastAsia="宋体" w:cs="宋体"/>
          <w:sz w:val="24"/>
          <w:szCs w:val="24"/>
          <w:lang w:val="en-US" w:eastAsia="zh-CN"/>
        </w:rPr>
        <w:t>帮厨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rPr>
        <w:t>人。</w:t>
      </w:r>
    </w:p>
    <w:p w14:paraId="2E781036">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（2）乙方应以授权委托的方式指定专人作为项目负责人，代表乙方联系和处理餐饮服务过程中的有关具体事项，承担相关责任。</w:t>
      </w:r>
    </w:p>
    <w:p w14:paraId="17B9ECC2">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 xml:space="preserve">项目负责人姓名：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557ED22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rPr>
        <w:t>项目负责人</w:t>
      </w:r>
      <w:r>
        <w:rPr>
          <w:rFonts w:hint="eastAsia" w:ascii="宋体" w:hAnsi="宋体" w:eastAsia="宋体" w:cs="宋体"/>
          <w:sz w:val="24"/>
          <w:szCs w:val="24"/>
          <w:lang w:val="en-US" w:eastAsia="zh-CN"/>
        </w:rPr>
        <w:t xml:space="preserve">身份证号：         </w:t>
      </w:r>
    </w:p>
    <w:p w14:paraId="323A78C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r>
        <w:rPr>
          <w:rFonts w:hint="eastAsia" w:ascii="宋体" w:hAnsi="宋体" w:eastAsia="宋体" w:cs="宋体"/>
          <w:sz w:val="24"/>
          <w:szCs w:val="24"/>
          <w:lang w:val="en-US" w:eastAsia="zh-CN"/>
        </w:rPr>
        <w:t xml:space="preserve">    </w:t>
      </w:r>
    </w:p>
    <w:p w14:paraId="2A31A42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（3）项目负责人和项目组人员应为乙方正式人员，与乙方签订有劳动合同、相应资格和工作经验等。</w:t>
      </w:r>
    </w:p>
    <w:p w14:paraId="1E546879">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（4）乙方项目组人员应相对固定，若调整变更人员应事先书面告知甲方，经甲方审查确认后，方可变更。</w:t>
      </w:r>
    </w:p>
    <w:p w14:paraId="42531E68">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乙方按《劳动法》规定与所聘人员签订劳动合同、支付工资、购买保险，乙方员工与乙方的任何劳动、经济纠纷等概与甲方无关。</w:t>
      </w:r>
    </w:p>
    <w:p w14:paraId="12BBED5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rPr>
        <w:t>乙方须确保所聘人员无任何</w:t>
      </w:r>
      <w:r>
        <w:rPr>
          <w:rFonts w:hint="eastAsia" w:ascii="宋体" w:hAnsi="宋体" w:eastAsia="宋体" w:cs="宋体"/>
          <w:sz w:val="24"/>
          <w:szCs w:val="24"/>
          <w:lang w:val="en-US" w:eastAsia="zh-CN"/>
        </w:rPr>
        <w:t>违法违纪行为</w:t>
      </w:r>
      <w:r>
        <w:rPr>
          <w:rFonts w:hint="eastAsia" w:ascii="宋体" w:hAnsi="宋体" w:eastAsia="宋体" w:cs="宋体"/>
          <w:sz w:val="24"/>
          <w:szCs w:val="24"/>
          <w:lang w:val="en-US"/>
        </w:rPr>
        <w:t>，做好员工入职时基本档案资料如身份证复印件、健康证复印件、履历表、照片等存档，以备甲方查用。</w:t>
      </w:r>
    </w:p>
    <w:p w14:paraId="4B101806">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rPr>
        <w:t>乙方员工应遵守和执行甲方的规章制度。乙方员工不得随便出入甲方的办公场地，不得随便带领与</w:t>
      </w:r>
      <w:r>
        <w:rPr>
          <w:rFonts w:hint="eastAsia" w:ascii="宋体" w:hAnsi="宋体" w:eastAsia="宋体" w:cs="宋体"/>
          <w:sz w:val="24"/>
          <w:szCs w:val="24"/>
          <w:lang w:val="en-US" w:eastAsia="zh-CN"/>
        </w:rPr>
        <w:t>餐厅</w:t>
      </w:r>
      <w:r>
        <w:rPr>
          <w:rFonts w:hint="eastAsia" w:ascii="宋体" w:hAnsi="宋体" w:eastAsia="宋体" w:cs="宋体"/>
          <w:sz w:val="24"/>
          <w:szCs w:val="24"/>
          <w:lang w:val="en-US"/>
        </w:rPr>
        <w:t>作业无关的闲杂人员进入</w:t>
      </w:r>
      <w:r>
        <w:rPr>
          <w:rFonts w:hint="eastAsia" w:ascii="宋体" w:hAnsi="宋体" w:eastAsia="宋体" w:cs="宋体"/>
          <w:sz w:val="24"/>
          <w:szCs w:val="24"/>
          <w:lang w:val="en-US" w:eastAsia="zh-CN"/>
        </w:rPr>
        <w:t>办公区域</w:t>
      </w:r>
      <w:r>
        <w:rPr>
          <w:rFonts w:hint="eastAsia" w:ascii="宋体" w:hAnsi="宋体" w:eastAsia="宋体" w:cs="宋体"/>
          <w:sz w:val="24"/>
          <w:szCs w:val="24"/>
          <w:lang w:val="en-US"/>
        </w:rPr>
        <w:t>。乙方员工违反甲方制度按甲方员工同等标准予以处罚</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给甲方造成损失的，按实际损失赔偿。情节严重的，并处责令乙方开除</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违反法律的，移交公安机关处置。</w:t>
      </w:r>
    </w:p>
    <w:p w14:paraId="72BA6BA0">
      <w:pPr>
        <w:spacing w:line="360" w:lineRule="auto"/>
        <w:ind w:firstLine="480" w:firstLineChars="200"/>
        <w:outlineLvl w:val="0"/>
        <w:rPr>
          <w:rFonts w:hint="eastAsia" w:ascii="宋体" w:hAnsi="宋体" w:eastAsia="宋体" w:cs="宋体"/>
          <w:sz w:val="24"/>
          <w:szCs w:val="24"/>
          <w:lang w:val="en-US" w:eastAsia="zh-CN"/>
        </w:rPr>
      </w:pPr>
      <w:bookmarkStart w:id="71" w:name="_Toc1508"/>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六</w:t>
      </w:r>
      <w:r>
        <w:rPr>
          <w:rFonts w:hint="eastAsia" w:ascii="宋体" w:hAnsi="宋体" w:eastAsia="宋体" w:cs="宋体"/>
          <w:sz w:val="24"/>
          <w:szCs w:val="24"/>
          <w:lang w:val="en-US"/>
        </w:rPr>
        <w:t xml:space="preserve">条 </w:t>
      </w:r>
      <w:r>
        <w:rPr>
          <w:rFonts w:hint="eastAsia" w:ascii="宋体" w:hAnsi="宋体" w:eastAsia="宋体" w:cs="宋体"/>
          <w:sz w:val="24"/>
          <w:szCs w:val="24"/>
          <w:lang w:val="en-US" w:eastAsia="zh-CN"/>
        </w:rPr>
        <w:t>服务证件</w:t>
      </w:r>
      <w:bookmarkEnd w:id="71"/>
    </w:p>
    <w:p w14:paraId="1577CA97">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乙方应向甲方提交年审合格且盖有乙方公司公章在有效期内的营业执照、组织机构代码证、税务登记证等复印件备案。</w:t>
      </w:r>
    </w:p>
    <w:p w14:paraId="02C84756">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rPr>
        <w:t>甲方应协助乙方办理员工健康证明</w:t>
      </w:r>
      <w:r>
        <w:rPr>
          <w:rFonts w:hint="eastAsia" w:ascii="宋体" w:hAnsi="宋体" w:eastAsia="宋体" w:cs="宋体"/>
          <w:sz w:val="24"/>
          <w:szCs w:val="24"/>
          <w:lang w:val="en-US" w:eastAsia="zh-CN"/>
        </w:rPr>
        <w:t>。</w:t>
      </w:r>
    </w:p>
    <w:p w14:paraId="6042F24A">
      <w:pPr>
        <w:spacing w:line="360" w:lineRule="auto"/>
        <w:ind w:firstLine="480" w:firstLineChars="200"/>
        <w:outlineLvl w:val="0"/>
        <w:rPr>
          <w:rFonts w:hint="eastAsia" w:ascii="宋体" w:hAnsi="宋体" w:eastAsia="宋体" w:cs="宋体"/>
          <w:sz w:val="24"/>
          <w:szCs w:val="24"/>
          <w:lang w:val="en-US"/>
        </w:rPr>
      </w:pPr>
      <w:bookmarkStart w:id="72" w:name="_Toc19261"/>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七</w:t>
      </w:r>
      <w:r>
        <w:rPr>
          <w:rFonts w:hint="eastAsia" w:ascii="宋体" w:hAnsi="宋体" w:eastAsia="宋体" w:cs="宋体"/>
          <w:sz w:val="24"/>
          <w:szCs w:val="24"/>
          <w:lang w:val="en-US"/>
        </w:rPr>
        <w:t>条 甲方根据</w:t>
      </w:r>
      <w:r>
        <w:rPr>
          <w:rFonts w:hint="eastAsia" w:ascii="宋体" w:hAnsi="宋体" w:eastAsia="宋体" w:cs="宋体"/>
          <w:sz w:val="24"/>
          <w:szCs w:val="24"/>
          <w:lang w:val="en-US" w:eastAsia="zh-CN"/>
        </w:rPr>
        <w:t>餐厅</w:t>
      </w:r>
      <w:r>
        <w:rPr>
          <w:rFonts w:hint="eastAsia" w:ascii="宋体" w:hAnsi="宋体" w:eastAsia="宋体" w:cs="宋体"/>
          <w:sz w:val="24"/>
          <w:szCs w:val="24"/>
          <w:lang w:val="en-US"/>
        </w:rPr>
        <w:t>管理需要制订、完善</w:t>
      </w:r>
      <w:r>
        <w:rPr>
          <w:rFonts w:hint="eastAsia" w:ascii="宋体" w:hAnsi="宋体" w:eastAsia="宋体" w:cs="宋体"/>
          <w:sz w:val="24"/>
          <w:szCs w:val="24"/>
          <w:lang w:val="en-US" w:eastAsia="zh-CN"/>
        </w:rPr>
        <w:t>餐厅</w:t>
      </w:r>
      <w:r>
        <w:rPr>
          <w:rFonts w:hint="eastAsia" w:ascii="宋体" w:hAnsi="宋体" w:eastAsia="宋体" w:cs="宋体"/>
          <w:sz w:val="24"/>
          <w:szCs w:val="24"/>
          <w:lang w:val="en-US"/>
        </w:rPr>
        <w:t>经营管理要求，乙方应遵照执行。</w:t>
      </w:r>
      <w:bookmarkEnd w:id="72"/>
    </w:p>
    <w:p w14:paraId="5C69BBA2">
      <w:pPr>
        <w:spacing w:line="360" w:lineRule="auto"/>
        <w:ind w:firstLine="480" w:firstLineChars="200"/>
        <w:outlineLvl w:val="0"/>
        <w:rPr>
          <w:rFonts w:hint="eastAsia" w:ascii="宋体" w:hAnsi="宋体" w:eastAsia="宋体" w:cs="宋体"/>
          <w:sz w:val="24"/>
          <w:szCs w:val="24"/>
          <w:lang w:val="en-US"/>
        </w:rPr>
      </w:pPr>
      <w:bookmarkStart w:id="73" w:name="_Toc6614"/>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八</w:t>
      </w:r>
      <w:r>
        <w:rPr>
          <w:rFonts w:hint="eastAsia" w:ascii="宋体" w:hAnsi="宋体" w:eastAsia="宋体" w:cs="宋体"/>
          <w:sz w:val="24"/>
          <w:szCs w:val="24"/>
          <w:lang w:val="en-US"/>
        </w:rPr>
        <w:t>条 质量保证</w:t>
      </w:r>
      <w:bookmarkEnd w:id="73"/>
    </w:p>
    <w:p w14:paraId="427DDE32">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1、乙方应提供优质服务，保证服务质量，且不能低于合同规定的范围和种类。甲方将定期或不定期的对乙方提供的服务实行动态跟踪、检查。</w:t>
      </w:r>
    </w:p>
    <w:p w14:paraId="56FC11AC">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2、乙方在收到甲方或使用单位关于服务质量问题的通知后三天内，应迅速查处并书面答复。</w:t>
      </w:r>
    </w:p>
    <w:p w14:paraId="19984B45">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3、如果乙方在收到通知三天后没有弥补缺陷，甲方或使用单位可采取必要的补救措施，但风险和费用将由乙方承担。</w:t>
      </w:r>
    </w:p>
    <w:p w14:paraId="75C90887">
      <w:pPr>
        <w:spacing w:line="360" w:lineRule="auto"/>
        <w:ind w:firstLine="480" w:firstLineChars="200"/>
        <w:outlineLvl w:val="0"/>
        <w:rPr>
          <w:rFonts w:hint="eastAsia" w:ascii="宋体" w:hAnsi="宋体" w:eastAsia="宋体" w:cs="宋体"/>
          <w:sz w:val="24"/>
          <w:szCs w:val="24"/>
          <w:lang w:val="en-US"/>
        </w:rPr>
      </w:pPr>
      <w:bookmarkStart w:id="74" w:name="_Toc28490"/>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九</w:t>
      </w:r>
      <w:r>
        <w:rPr>
          <w:rFonts w:hint="eastAsia" w:ascii="宋体" w:hAnsi="宋体" w:eastAsia="宋体" w:cs="宋体"/>
          <w:sz w:val="24"/>
          <w:szCs w:val="24"/>
          <w:lang w:val="en-US"/>
        </w:rPr>
        <w:t>条 转让</w:t>
      </w:r>
      <w:bookmarkEnd w:id="74"/>
    </w:p>
    <w:p w14:paraId="3DB08103">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乙方不得将自己应履行的全部或部分合同义务转让给第三方。</w:t>
      </w:r>
    </w:p>
    <w:p w14:paraId="1BED9396">
      <w:pPr>
        <w:spacing w:line="360" w:lineRule="auto"/>
        <w:ind w:firstLine="480" w:firstLineChars="200"/>
        <w:outlineLvl w:val="0"/>
        <w:rPr>
          <w:rFonts w:hint="eastAsia" w:ascii="宋体" w:hAnsi="宋体" w:eastAsia="宋体" w:cs="宋体"/>
          <w:sz w:val="24"/>
          <w:szCs w:val="24"/>
          <w:lang w:val="en-US"/>
        </w:rPr>
      </w:pPr>
      <w:bookmarkStart w:id="75" w:name="_Toc5025"/>
      <w:r>
        <w:rPr>
          <w:rFonts w:hint="eastAsia" w:ascii="宋体" w:hAnsi="宋体" w:eastAsia="宋体" w:cs="宋体"/>
          <w:sz w:val="24"/>
          <w:szCs w:val="24"/>
          <w:lang w:val="en-US"/>
        </w:rPr>
        <w:t>第</w:t>
      </w:r>
      <w:r>
        <w:rPr>
          <w:rFonts w:hint="eastAsia" w:ascii="宋体" w:hAnsi="宋体" w:eastAsia="宋体" w:cs="宋体"/>
          <w:sz w:val="24"/>
          <w:szCs w:val="24"/>
          <w:lang w:val="en-US" w:eastAsia="zh-CN"/>
        </w:rPr>
        <w:t>十</w:t>
      </w:r>
      <w:r>
        <w:rPr>
          <w:rFonts w:hint="eastAsia" w:ascii="宋体" w:hAnsi="宋体" w:eastAsia="宋体" w:cs="宋体"/>
          <w:sz w:val="24"/>
          <w:szCs w:val="24"/>
          <w:lang w:val="en-US"/>
        </w:rPr>
        <w:t>条 违约责任</w:t>
      </w:r>
      <w:bookmarkEnd w:id="75"/>
    </w:p>
    <w:p w14:paraId="265A2ADC">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1、乙方应遵守国家法律、法规的有关规定，严格按照合同协议条款履行相关义务，否则甲方有权终止协议，乙方应承担相应的违约责任。</w:t>
      </w:r>
    </w:p>
    <w:p w14:paraId="3DE6DD03">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2、乙方在管理服务中出现严重人为责任事故，如火灾和食品安全隐患，造成食物中毒和设备受损及员工严重违纪，给甲方带来严重不良影响等，乙方应承担全部赔偿损失的责任。</w:t>
      </w:r>
    </w:p>
    <w:p w14:paraId="4A7AB62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3、未经甲方批核，不得在餐厅四周私自增开设新的经营窗口。</w:t>
      </w:r>
    </w:p>
    <w:p w14:paraId="74CA5F1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4、对所选派工作人员应加强安全教育。乙方员工在作业时造成财产损失</w:t>
      </w:r>
      <w:r>
        <w:rPr>
          <w:rFonts w:hint="eastAsia" w:ascii="宋体" w:hAnsi="宋体" w:eastAsia="宋体" w:cs="宋体"/>
          <w:sz w:val="24"/>
          <w:szCs w:val="24"/>
          <w:lang w:val="en-US" w:eastAsia="zh-CN"/>
        </w:rPr>
        <w:t>或</w:t>
      </w:r>
      <w:r>
        <w:rPr>
          <w:rFonts w:hint="eastAsia" w:ascii="宋体" w:hAnsi="宋体" w:eastAsia="宋体" w:cs="宋体"/>
          <w:sz w:val="24"/>
          <w:szCs w:val="24"/>
          <w:lang w:val="en-US"/>
        </w:rPr>
        <w:t>人身伤亡等事故，由乙方承担全部责任和经济赔偿</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因管理不当或服务缺失，造成委托服务范围内发生盗窃、火灾、安全等事故，造成财产损失和人员伤亡的，由乙方承担一切责任和经济损失。</w:t>
      </w:r>
    </w:p>
    <w:p w14:paraId="25E89B6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5、甲方严格执行事故责任追究制度，如在承包期内发生食物中毒等重大责任事故，损害就餐员工身体健康，影响甲方声誉，乙方必须承担由此造成的一切责任和经济损失，甲方有权无条件终止合同。</w:t>
      </w:r>
    </w:p>
    <w:p w14:paraId="56D6A292">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6、乙方应接受甲方对服务质量提出的合理建议和意见，并积极配合整改，若经3次整改仍不能满足甲方要求的，甲方有权终止合同。</w:t>
      </w:r>
    </w:p>
    <w:p w14:paraId="6D03C886">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7、乙方因自身原因不能继续履行合同的，应提前三个月告知甲方，若未履行告知义务擅自停工的，甲方有权</w:t>
      </w:r>
      <w:r>
        <w:rPr>
          <w:rFonts w:hint="eastAsia" w:ascii="宋体" w:hAnsi="宋体" w:eastAsia="宋体" w:cs="宋体"/>
          <w:sz w:val="24"/>
          <w:szCs w:val="24"/>
          <w:lang w:val="en-US" w:eastAsia="zh-CN"/>
        </w:rPr>
        <w:t>解</w:t>
      </w:r>
      <w:r>
        <w:rPr>
          <w:rFonts w:hint="eastAsia" w:ascii="宋体" w:hAnsi="宋体" w:eastAsia="宋体" w:cs="宋体"/>
          <w:sz w:val="24"/>
          <w:szCs w:val="24"/>
          <w:lang w:val="en-US"/>
        </w:rPr>
        <w:t>除</w:t>
      </w:r>
      <w:r>
        <w:rPr>
          <w:rFonts w:hint="eastAsia" w:ascii="宋体" w:hAnsi="宋体" w:eastAsia="宋体" w:cs="宋体"/>
          <w:sz w:val="24"/>
          <w:szCs w:val="24"/>
          <w:lang w:val="en-US" w:eastAsia="zh-CN"/>
        </w:rPr>
        <w:t>合同</w:t>
      </w:r>
      <w:r>
        <w:rPr>
          <w:rFonts w:hint="eastAsia" w:ascii="宋体" w:hAnsi="宋体" w:eastAsia="宋体" w:cs="宋体"/>
          <w:sz w:val="24"/>
          <w:szCs w:val="24"/>
          <w:lang w:val="en-US"/>
        </w:rPr>
        <w:t>。</w:t>
      </w:r>
    </w:p>
    <w:p w14:paraId="765EE691">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8、上述情况任何一款，甲方保留有权单方面解除与乙方合同的权利。</w:t>
      </w:r>
    </w:p>
    <w:p w14:paraId="2258FEE7">
      <w:pPr>
        <w:spacing w:line="360" w:lineRule="auto"/>
        <w:ind w:firstLine="480" w:firstLineChars="200"/>
        <w:outlineLvl w:val="0"/>
        <w:rPr>
          <w:rFonts w:hint="eastAsia" w:ascii="宋体" w:hAnsi="宋体" w:eastAsia="宋体" w:cs="宋体"/>
          <w:sz w:val="24"/>
          <w:szCs w:val="24"/>
          <w:lang w:val="en-US"/>
        </w:rPr>
      </w:pPr>
      <w:bookmarkStart w:id="76" w:name="_Toc16183"/>
      <w:r>
        <w:rPr>
          <w:rFonts w:hint="eastAsia" w:ascii="宋体" w:hAnsi="宋体" w:eastAsia="宋体" w:cs="宋体"/>
          <w:sz w:val="24"/>
          <w:szCs w:val="24"/>
          <w:lang w:val="en-US"/>
        </w:rPr>
        <w:t>第十</w:t>
      </w:r>
      <w:r>
        <w:rPr>
          <w:rFonts w:hint="eastAsia" w:ascii="宋体" w:hAnsi="宋体" w:eastAsia="宋体" w:cs="宋体"/>
          <w:sz w:val="24"/>
          <w:szCs w:val="24"/>
          <w:lang w:val="en-US" w:eastAsia="zh-CN"/>
        </w:rPr>
        <w:t>一</w:t>
      </w:r>
      <w:r>
        <w:rPr>
          <w:rFonts w:hint="eastAsia" w:ascii="宋体" w:hAnsi="宋体" w:eastAsia="宋体" w:cs="宋体"/>
          <w:sz w:val="24"/>
          <w:szCs w:val="24"/>
          <w:lang w:val="en-US"/>
        </w:rPr>
        <w:t>条 不可抗力</w:t>
      </w:r>
      <w:bookmarkEnd w:id="76"/>
    </w:p>
    <w:p w14:paraId="52A4306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任何一方由于不可抗力原因不能履行合同时，应在不可抗力事件发生后2日内向对方通知，以减轻可能给对方造成的损失，在取得有权机关的不可抗力证明后，允许延期履行，并根据情况可部分或全部免予承担违约责任。</w:t>
      </w:r>
    </w:p>
    <w:p w14:paraId="192F371B">
      <w:pPr>
        <w:spacing w:line="360" w:lineRule="auto"/>
        <w:ind w:firstLine="480" w:firstLineChars="200"/>
        <w:outlineLvl w:val="0"/>
        <w:rPr>
          <w:rFonts w:hint="eastAsia" w:ascii="宋体" w:hAnsi="宋体" w:eastAsia="宋体" w:cs="宋体"/>
          <w:sz w:val="24"/>
          <w:szCs w:val="24"/>
          <w:lang w:val="en-US"/>
        </w:rPr>
      </w:pPr>
      <w:bookmarkStart w:id="77" w:name="_Toc7829"/>
      <w:r>
        <w:rPr>
          <w:rFonts w:hint="eastAsia" w:ascii="宋体" w:hAnsi="宋体" w:eastAsia="宋体" w:cs="宋体"/>
          <w:sz w:val="24"/>
          <w:szCs w:val="24"/>
          <w:lang w:val="en-US"/>
        </w:rPr>
        <w:t>第十</w:t>
      </w:r>
      <w:r>
        <w:rPr>
          <w:rFonts w:hint="eastAsia" w:ascii="宋体" w:hAnsi="宋体" w:eastAsia="宋体" w:cs="宋体"/>
          <w:sz w:val="24"/>
          <w:szCs w:val="24"/>
          <w:lang w:val="en-US" w:eastAsia="zh-CN"/>
        </w:rPr>
        <w:t>二</w:t>
      </w:r>
      <w:r>
        <w:rPr>
          <w:rFonts w:hint="eastAsia" w:ascii="宋体" w:hAnsi="宋体" w:eastAsia="宋体" w:cs="宋体"/>
          <w:sz w:val="24"/>
          <w:szCs w:val="24"/>
          <w:lang w:val="en-US"/>
        </w:rPr>
        <w:t>条 争议处理</w:t>
      </w:r>
      <w:bookmarkEnd w:id="77"/>
    </w:p>
    <w:p w14:paraId="7584841A">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1、在本合同执行中所发生的一切争议，合同当事人双方应通过友好协商的办法加以解决。</w:t>
      </w:r>
    </w:p>
    <w:p w14:paraId="3DCAC172">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2、如从协商开始的30天内仍得不到解决，任何一方可向项目所在地法院提起诉讼。</w:t>
      </w:r>
    </w:p>
    <w:p w14:paraId="189E4B6D">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3、在乙方出现经营方式重大变化、卷入诉讼或其他纠纷、违反协议及服务规范或出现其他甲方认为不宜继续提供服务的情形，甲方有权提前15日通知乙方，提前终止合同，双方的债权债务按照实际发生额计算，甲方对此情形不负任何赔偿的责任。</w:t>
      </w:r>
    </w:p>
    <w:p w14:paraId="4F6E3CC4">
      <w:pPr>
        <w:spacing w:line="360" w:lineRule="auto"/>
        <w:ind w:firstLine="480" w:firstLineChars="200"/>
        <w:outlineLvl w:val="0"/>
        <w:rPr>
          <w:rFonts w:hint="eastAsia" w:ascii="宋体" w:hAnsi="宋体" w:eastAsia="宋体" w:cs="宋体"/>
          <w:sz w:val="24"/>
          <w:szCs w:val="24"/>
          <w:lang w:val="en-US"/>
        </w:rPr>
      </w:pPr>
      <w:bookmarkStart w:id="78" w:name="_Toc5705"/>
      <w:r>
        <w:rPr>
          <w:rFonts w:hint="eastAsia" w:ascii="宋体" w:hAnsi="宋体" w:eastAsia="宋体" w:cs="宋体"/>
          <w:sz w:val="24"/>
          <w:szCs w:val="24"/>
          <w:lang w:val="en-US"/>
        </w:rPr>
        <w:t>第十</w:t>
      </w:r>
      <w:r>
        <w:rPr>
          <w:rFonts w:hint="eastAsia" w:ascii="宋体" w:hAnsi="宋体" w:eastAsia="宋体" w:cs="宋体"/>
          <w:sz w:val="24"/>
          <w:szCs w:val="24"/>
          <w:lang w:val="en-US" w:eastAsia="zh-CN"/>
        </w:rPr>
        <w:t>三</w:t>
      </w:r>
      <w:r>
        <w:rPr>
          <w:rFonts w:hint="eastAsia" w:ascii="宋体" w:hAnsi="宋体" w:eastAsia="宋体" w:cs="宋体"/>
          <w:sz w:val="24"/>
          <w:szCs w:val="24"/>
          <w:lang w:val="en-US"/>
        </w:rPr>
        <w:t>条 合同有效期</w:t>
      </w:r>
      <w:bookmarkEnd w:id="78"/>
    </w:p>
    <w:p w14:paraId="09D5B155">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本合同有效期为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日至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日（合同期满，</w:t>
      </w:r>
      <w:r>
        <w:rPr>
          <w:rFonts w:hint="eastAsia" w:ascii="宋体" w:hAnsi="宋体" w:eastAsia="宋体" w:cs="宋体"/>
          <w:sz w:val="24"/>
          <w:szCs w:val="24"/>
          <w:lang w:val="en-US" w:eastAsia="zh-CN"/>
        </w:rPr>
        <w:t>采购人</w:t>
      </w:r>
      <w:r>
        <w:rPr>
          <w:rFonts w:hint="eastAsia" w:ascii="宋体" w:hAnsi="宋体" w:eastAsia="宋体" w:cs="宋体"/>
          <w:sz w:val="24"/>
          <w:szCs w:val="24"/>
          <w:lang w:val="en-US"/>
        </w:rPr>
        <w:t>根据</w:t>
      </w:r>
      <w:r>
        <w:rPr>
          <w:rFonts w:hint="eastAsia" w:ascii="宋体" w:hAnsi="宋体" w:eastAsia="宋体" w:cs="宋体"/>
          <w:sz w:val="24"/>
          <w:szCs w:val="24"/>
          <w:lang w:val="en-US" w:eastAsia="zh-CN"/>
        </w:rPr>
        <w:t>中标供应商</w:t>
      </w:r>
      <w:r>
        <w:rPr>
          <w:rFonts w:hint="eastAsia" w:ascii="宋体" w:hAnsi="宋体" w:eastAsia="宋体" w:cs="宋体"/>
          <w:sz w:val="24"/>
          <w:szCs w:val="24"/>
          <w:lang w:val="en-US"/>
        </w:rPr>
        <w:t>服务质量等决定是否续签下年度合同，同等条件下乙方享有优先权）。</w:t>
      </w:r>
    </w:p>
    <w:p w14:paraId="1B2F067C">
      <w:pPr>
        <w:spacing w:line="360" w:lineRule="auto"/>
        <w:ind w:firstLine="480" w:firstLineChars="200"/>
        <w:outlineLvl w:val="0"/>
        <w:rPr>
          <w:rFonts w:hint="eastAsia" w:ascii="宋体" w:hAnsi="宋体" w:eastAsia="宋体" w:cs="宋体"/>
          <w:sz w:val="24"/>
          <w:szCs w:val="24"/>
          <w:lang w:val="en-US"/>
        </w:rPr>
      </w:pPr>
      <w:bookmarkStart w:id="79" w:name="_Toc31033"/>
      <w:r>
        <w:rPr>
          <w:rFonts w:hint="eastAsia" w:ascii="宋体" w:hAnsi="宋体" w:eastAsia="宋体" w:cs="宋体"/>
          <w:sz w:val="24"/>
          <w:szCs w:val="24"/>
          <w:lang w:val="en-US"/>
        </w:rPr>
        <w:t>第十</w:t>
      </w:r>
      <w:r>
        <w:rPr>
          <w:rFonts w:hint="eastAsia" w:ascii="宋体" w:hAnsi="宋体" w:eastAsia="宋体" w:cs="宋体"/>
          <w:sz w:val="24"/>
          <w:szCs w:val="24"/>
          <w:lang w:val="en-US" w:eastAsia="zh-CN"/>
        </w:rPr>
        <w:t>四</w:t>
      </w:r>
      <w:r>
        <w:rPr>
          <w:rFonts w:hint="eastAsia" w:ascii="宋体" w:hAnsi="宋体" w:eastAsia="宋体" w:cs="宋体"/>
          <w:sz w:val="24"/>
          <w:szCs w:val="24"/>
          <w:lang w:val="en-US"/>
        </w:rPr>
        <w:t>条 特别约定条款及合同生效</w:t>
      </w:r>
      <w:bookmarkEnd w:id="79"/>
    </w:p>
    <w:p w14:paraId="64E34905">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rPr>
        <w:t>、当特别约定条款与其他条款不一致时，特别条款效力优于其他条款。</w:t>
      </w:r>
    </w:p>
    <w:p w14:paraId="2DDC9477">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rPr>
        <w:t>、如需对合同内容做出任何修改和补充，应为书面形式，由各方另行签署。另行签署书面文件，另行签署的书面文件为本合同不可分割的组成部分，与本合同具有同等效力。</w:t>
      </w:r>
    </w:p>
    <w:p w14:paraId="0822D2BC">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rPr>
        <w:t xml:space="preserve">、本合同共有 </w:t>
      </w:r>
      <w:r>
        <w:rPr>
          <w:rFonts w:hint="eastAsia" w:ascii="宋体" w:hAnsi="宋体" w:eastAsia="宋体" w:cs="宋体"/>
          <w:sz w:val="24"/>
          <w:szCs w:val="24"/>
          <w:lang w:val="en-US" w:eastAsia="zh-CN"/>
        </w:rPr>
        <w:t>肆</w:t>
      </w:r>
      <w:r>
        <w:rPr>
          <w:rFonts w:hint="eastAsia" w:ascii="宋体" w:hAnsi="宋体" w:eastAsia="宋体" w:cs="宋体"/>
          <w:sz w:val="24"/>
          <w:szCs w:val="24"/>
          <w:lang w:val="en-US"/>
        </w:rPr>
        <w:t xml:space="preserve"> 份原件，甲乙双方各持 </w:t>
      </w:r>
      <w:r>
        <w:rPr>
          <w:rFonts w:hint="eastAsia" w:ascii="宋体" w:hAnsi="宋体" w:eastAsia="宋体" w:cs="宋体"/>
          <w:sz w:val="24"/>
          <w:szCs w:val="24"/>
          <w:lang w:val="en-US" w:eastAsia="zh-CN"/>
        </w:rPr>
        <w:t>贰</w:t>
      </w:r>
      <w:r>
        <w:rPr>
          <w:rFonts w:hint="eastAsia" w:ascii="宋体" w:hAnsi="宋体" w:eastAsia="宋体" w:cs="宋体"/>
          <w:sz w:val="24"/>
          <w:szCs w:val="24"/>
          <w:lang w:val="en-US"/>
        </w:rPr>
        <w:t xml:space="preserve"> 份，具有同等法律效力。</w:t>
      </w:r>
    </w:p>
    <w:p w14:paraId="793EF15F">
      <w:p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（以下为签字页，无正文）</w:t>
      </w:r>
    </w:p>
    <w:p w14:paraId="64799852">
      <w:pPr>
        <w:spacing w:line="360" w:lineRule="auto"/>
        <w:ind w:firstLine="566" w:firstLineChars="236"/>
        <w:rPr>
          <w:rFonts w:hint="eastAsia" w:ascii="宋体" w:hAnsi="宋体" w:eastAsia="宋体" w:cs="宋体"/>
          <w:sz w:val="24"/>
          <w:szCs w:val="24"/>
        </w:rPr>
      </w:pPr>
    </w:p>
    <w:p w14:paraId="02E168AE">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rPr>
        <w:t>：_________                乙方</w:t>
      </w:r>
      <w:r>
        <w:rPr>
          <w:rFonts w:hint="eastAsia" w:ascii="宋体" w:hAnsi="宋体" w:eastAsia="宋体" w:cs="宋体"/>
          <w:sz w:val="24"/>
          <w:szCs w:val="24"/>
          <w:lang w:eastAsia="zh-CN"/>
        </w:rPr>
        <w:t>（</w:t>
      </w:r>
      <w:r>
        <w:rPr>
          <w:rFonts w:hint="eastAsia" w:ascii="宋体" w:hAnsi="宋体" w:eastAsia="宋体" w:cs="宋体"/>
          <w:sz w:val="24"/>
          <w:szCs w:val="24"/>
        </w:rPr>
        <w:t>公章</w:t>
      </w:r>
      <w:r>
        <w:rPr>
          <w:rFonts w:hint="eastAsia" w:ascii="宋体" w:hAnsi="宋体" w:eastAsia="宋体" w:cs="宋体"/>
          <w:sz w:val="24"/>
          <w:szCs w:val="24"/>
          <w:lang w:eastAsia="zh-CN"/>
        </w:rPr>
        <w:t>）</w:t>
      </w:r>
      <w:r>
        <w:rPr>
          <w:rFonts w:hint="eastAsia" w:ascii="宋体" w:hAnsi="宋体" w:eastAsia="宋体" w:cs="宋体"/>
          <w:sz w:val="24"/>
          <w:szCs w:val="24"/>
        </w:rPr>
        <w:t>：_________</w:t>
      </w:r>
    </w:p>
    <w:p w14:paraId="0DE84A7C">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法定代表人或                         法定代表人或</w:t>
      </w:r>
    </w:p>
    <w:p w14:paraId="01E22861">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：_________          委托代理人</w:t>
      </w:r>
      <w:r>
        <w:rPr>
          <w:rFonts w:hint="eastAsia" w:ascii="宋体" w:hAnsi="宋体" w:eastAsia="宋体" w:cs="宋体"/>
          <w:sz w:val="24"/>
          <w:szCs w:val="24"/>
          <w:lang w:eastAsia="zh-CN"/>
        </w:rPr>
        <w:t>（</w:t>
      </w:r>
      <w:r>
        <w:rPr>
          <w:rFonts w:hint="eastAsia" w:ascii="宋体" w:hAnsi="宋体" w:eastAsia="宋体" w:cs="宋体"/>
          <w:sz w:val="24"/>
          <w:szCs w:val="24"/>
        </w:rPr>
        <w:t>签字</w:t>
      </w:r>
      <w:r>
        <w:rPr>
          <w:rFonts w:hint="eastAsia" w:ascii="宋体" w:hAnsi="宋体" w:eastAsia="宋体" w:cs="宋体"/>
          <w:sz w:val="24"/>
          <w:szCs w:val="24"/>
          <w:lang w:eastAsia="zh-CN"/>
        </w:rPr>
        <w:t>）</w:t>
      </w:r>
      <w:r>
        <w:rPr>
          <w:rFonts w:hint="eastAsia" w:ascii="宋体" w:hAnsi="宋体" w:eastAsia="宋体" w:cs="宋体"/>
          <w:sz w:val="24"/>
          <w:szCs w:val="24"/>
        </w:rPr>
        <w:t>：_________</w:t>
      </w:r>
    </w:p>
    <w:p w14:paraId="4D9F1C20">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税  号</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                    税  号</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 </w:t>
      </w:r>
    </w:p>
    <w:p w14:paraId="0822AF53">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                    账  号</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w:t>
      </w:r>
    </w:p>
    <w:p w14:paraId="0BF5225F">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                    开户行</w:t>
      </w:r>
      <w:r>
        <w:rPr>
          <w:rFonts w:hint="eastAsia" w:ascii="宋体" w:hAnsi="宋体" w:eastAsia="宋体" w:cs="宋体"/>
          <w:sz w:val="24"/>
          <w:szCs w:val="24"/>
          <w:lang w:eastAsia="zh-CN"/>
        </w:rPr>
        <w:t>：</w:t>
      </w:r>
      <w:r>
        <w:rPr>
          <w:rFonts w:hint="eastAsia" w:ascii="宋体" w:hAnsi="宋体" w:eastAsia="宋体" w:cs="宋体"/>
          <w:sz w:val="24"/>
          <w:szCs w:val="24"/>
        </w:rPr>
        <w:t xml:space="preserve"> _________</w:t>
      </w:r>
    </w:p>
    <w:p w14:paraId="2A9F6E47">
      <w:pPr>
        <w:spacing w:line="360" w:lineRule="auto"/>
        <w:ind w:firstLine="566" w:firstLineChars="236"/>
        <w:rPr>
          <w:rFonts w:hint="eastAsia" w:ascii="宋体" w:hAnsi="宋体" w:eastAsia="宋体" w:cs="宋体"/>
          <w:sz w:val="24"/>
          <w:szCs w:val="24"/>
        </w:rPr>
      </w:pPr>
      <w:r>
        <w:rPr>
          <w:rFonts w:hint="eastAsia" w:ascii="宋体" w:hAnsi="宋体" w:eastAsia="宋体" w:cs="宋体"/>
          <w:sz w:val="24"/>
          <w:szCs w:val="24"/>
        </w:rPr>
        <w:t>_________年____月____日              _________年____月____日</w:t>
      </w:r>
    </w:p>
    <w:p w14:paraId="675EE418">
      <w:pPr>
        <w:spacing w:line="360" w:lineRule="auto"/>
        <w:ind w:firstLine="361" w:firstLineChars="150"/>
        <w:rPr>
          <w:rFonts w:hint="eastAsia" w:ascii="宋体" w:hAnsi="宋体" w:eastAsia="宋体" w:cs="宋体"/>
          <w:b/>
          <w:color w:val="auto"/>
          <w:sz w:val="24"/>
          <w:szCs w:val="24"/>
          <w:highlight w:val="none"/>
        </w:rPr>
      </w:pPr>
    </w:p>
    <w:p w14:paraId="38F9ED2B">
      <w:pPr>
        <w:spacing w:line="360" w:lineRule="auto"/>
        <w:ind w:firstLine="361" w:firstLineChars="150"/>
        <w:rPr>
          <w:rFonts w:hint="eastAsia" w:ascii="宋体" w:hAnsi="宋体" w:eastAsia="宋体" w:cs="宋体"/>
          <w:b/>
          <w:color w:val="auto"/>
          <w:sz w:val="24"/>
          <w:szCs w:val="24"/>
          <w:highlight w:val="none"/>
        </w:rPr>
      </w:pPr>
    </w:p>
    <w:p w14:paraId="5EAA9A17">
      <w:pPr>
        <w:rPr>
          <w:rFonts w:hint="eastAsia" w:ascii="黑体" w:cs="宋体"/>
          <w:b/>
          <w:kern w:val="2"/>
          <w:sz w:val="28"/>
          <w:szCs w:val="28"/>
        </w:rPr>
      </w:pPr>
      <w:r>
        <w:rPr>
          <w:rFonts w:hint="eastAsia" w:ascii="黑体" w:cs="宋体"/>
          <w:b/>
          <w:kern w:val="2"/>
          <w:sz w:val="28"/>
          <w:szCs w:val="28"/>
        </w:rPr>
        <w:br w:type="page"/>
      </w:r>
    </w:p>
    <w:p w14:paraId="24B49650">
      <w:pPr>
        <w:keepNext/>
        <w:widowControl w:val="0"/>
        <w:spacing w:before="100" w:beforeAutospacing="1" w:after="100" w:afterAutospacing="1" w:line="360" w:lineRule="auto"/>
        <w:ind w:left="0" w:leftChars="0" w:firstLine="0" w:firstLineChars="0"/>
        <w:jc w:val="center"/>
        <w:outlineLvl w:val="0"/>
        <w:rPr>
          <w:sz w:val="28"/>
          <w:szCs w:val="28"/>
        </w:rPr>
      </w:pPr>
      <w:bookmarkStart w:id="80" w:name="_Toc4085"/>
      <w:r>
        <w:rPr>
          <w:rFonts w:hint="eastAsia" w:ascii="黑体" w:cs="宋体"/>
          <w:b/>
          <w:kern w:val="2"/>
          <w:sz w:val="28"/>
          <w:szCs w:val="28"/>
        </w:rPr>
        <w:t xml:space="preserve">第五章 </w:t>
      </w:r>
      <w:r>
        <w:rPr>
          <w:rFonts w:hint="eastAsia" w:ascii="黑体" w:cs="宋体"/>
          <w:b/>
          <w:kern w:val="2"/>
          <w:sz w:val="28"/>
          <w:szCs w:val="28"/>
          <w:lang w:val="en-US" w:eastAsia="zh-CN"/>
        </w:rPr>
        <w:t xml:space="preserve">   </w:t>
      </w:r>
      <w:r>
        <w:rPr>
          <w:rFonts w:hint="eastAsia" w:ascii="黑体" w:cs="宋体"/>
          <w:b/>
          <w:kern w:val="2"/>
          <w:sz w:val="28"/>
          <w:szCs w:val="28"/>
        </w:rPr>
        <w:t>评审标准</w:t>
      </w:r>
      <w:bookmarkEnd w:id="80"/>
    </w:p>
    <w:p w14:paraId="28567DF5">
      <w:pPr>
        <w:widowControl w:val="0"/>
        <w:spacing w:beforeLines="50" w:afterLines="50" w:line="360" w:lineRule="auto"/>
        <w:ind w:left="0" w:leftChars="0" w:firstLine="0" w:firstLineChars="0"/>
        <w:jc w:val="center"/>
        <w:rPr>
          <w:rFonts w:ascii="宋体" w:hAnsi="宋体" w:cs="宋体"/>
          <w:b/>
          <w:sz w:val="24"/>
          <w:szCs w:val="24"/>
        </w:rPr>
      </w:pPr>
      <w:r>
        <w:rPr>
          <w:rFonts w:hint="eastAsia" w:ascii="宋体" w:hAnsi="宋体" w:cs="宋体"/>
          <w:b/>
          <w:kern w:val="2"/>
          <w:sz w:val="24"/>
          <w:szCs w:val="24"/>
        </w:rPr>
        <w:t>评标办法前附表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965"/>
        <w:gridCol w:w="1884"/>
        <w:gridCol w:w="5442"/>
      </w:tblGrid>
      <w:tr w14:paraId="2A33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797" w:type="dxa"/>
            <w:gridSpan w:val="2"/>
            <w:vAlign w:val="center"/>
          </w:tcPr>
          <w:p w14:paraId="4699C152">
            <w:pPr>
              <w:widowControl w:val="0"/>
              <w:spacing w:line="360" w:lineRule="auto"/>
              <w:jc w:val="center"/>
              <w:rPr>
                <w:rFonts w:ascii="宋体" w:hAnsi="宋体" w:cs="宋体"/>
                <w:kern w:val="2"/>
                <w:sz w:val="24"/>
                <w:szCs w:val="24"/>
              </w:rPr>
            </w:pPr>
            <w:r>
              <w:rPr>
                <w:rFonts w:ascii="宋体" w:hAnsi="宋体" w:cs="宋体"/>
                <w:kern w:val="2"/>
                <w:sz w:val="24"/>
                <w:szCs w:val="24"/>
              </w:rPr>
              <w:t>2.1初步评审</w:t>
            </w:r>
          </w:p>
        </w:tc>
        <w:tc>
          <w:tcPr>
            <w:tcW w:w="1884" w:type="dxa"/>
            <w:vAlign w:val="center"/>
          </w:tcPr>
          <w:p w14:paraId="08DE10EF">
            <w:pPr>
              <w:widowControl w:val="0"/>
              <w:spacing w:line="360" w:lineRule="auto"/>
              <w:jc w:val="center"/>
              <w:rPr>
                <w:rFonts w:ascii="宋体" w:hAnsi="宋体" w:cs="宋体"/>
                <w:kern w:val="2"/>
                <w:sz w:val="24"/>
                <w:szCs w:val="24"/>
              </w:rPr>
            </w:pPr>
            <w:r>
              <w:rPr>
                <w:rFonts w:ascii="宋体" w:hAnsi="宋体" w:cs="宋体"/>
                <w:kern w:val="2"/>
                <w:sz w:val="24"/>
                <w:szCs w:val="24"/>
              </w:rPr>
              <w:t>评审因素</w:t>
            </w:r>
          </w:p>
        </w:tc>
        <w:tc>
          <w:tcPr>
            <w:tcW w:w="5442" w:type="dxa"/>
            <w:vAlign w:val="center"/>
          </w:tcPr>
          <w:p w14:paraId="3D181B68">
            <w:pPr>
              <w:widowControl w:val="0"/>
              <w:spacing w:line="360" w:lineRule="auto"/>
              <w:jc w:val="center"/>
              <w:rPr>
                <w:rFonts w:ascii="宋体" w:hAnsi="宋体" w:cs="宋体"/>
                <w:kern w:val="2"/>
                <w:sz w:val="24"/>
                <w:szCs w:val="24"/>
              </w:rPr>
            </w:pPr>
            <w:r>
              <w:rPr>
                <w:rFonts w:ascii="宋体" w:hAnsi="宋体" w:cs="宋体"/>
                <w:kern w:val="2"/>
                <w:sz w:val="24"/>
                <w:szCs w:val="24"/>
              </w:rPr>
              <w:t>评审标准</w:t>
            </w:r>
          </w:p>
        </w:tc>
      </w:tr>
      <w:tr w14:paraId="7017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restart"/>
            <w:vAlign w:val="center"/>
          </w:tcPr>
          <w:p w14:paraId="3C7CF3FD">
            <w:pPr>
              <w:widowControl w:val="0"/>
              <w:spacing w:line="360" w:lineRule="auto"/>
              <w:ind w:left="0" w:leftChars="0" w:firstLine="0" w:firstLineChars="0"/>
              <w:jc w:val="both"/>
              <w:rPr>
                <w:rFonts w:ascii="宋体" w:hAnsi="宋体" w:cs="宋体"/>
                <w:kern w:val="2"/>
                <w:sz w:val="24"/>
                <w:szCs w:val="24"/>
              </w:rPr>
            </w:pPr>
            <w:r>
              <w:rPr>
                <w:rFonts w:ascii="宋体" w:hAnsi="宋体" w:cs="宋体"/>
                <w:kern w:val="2"/>
                <w:sz w:val="24"/>
                <w:szCs w:val="24"/>
              </w:rPr>
              <w:t>2.1.1</w:t>
            </w:r>
          </w:p>
        </w:tc>
        <w:tc>
          <w:tcPr>
            <w:tcW w:w="965" w:type="dxa"/>
            <w:vMerge w:val="restart"/>
            <w:vAlign w:val="center"/>
          </w:tcPr>
          <w:p w14:paraId="48DC88D3">
            <w:pPr>
              <w:widowControl w:val="0"/>
              <w:spacing w:line="360" w:lineRule="auto"/>
              <w:ind w:left="0" w:leftChars="0" w:firstLine="0" w:firstLineChars="0"/>
              <w:jc w:val="both"/>
              <w:rPr>
                <w:rFonts w:ascii="宋体" w:hAnsi="宋体" w:cs="宋体"/>
                <w:kern w:val="2"/>
                <w:sz w:val="24"/>
                <w:szCs w:val="24"/>
              </w:rPr>
            </w:pPr>
            <w:r>
              <w:rPr>
                <w:rFonts w:ascii="宋体" w:hAnsi="宋体" w:cs="宋体"/>
                <w:kern w:val="2"/>
                <w:sz w:val="24"/>
                <w:szCs w:val="24"/>
              </w:rPr>
              <w:t>资格评审标准</w:t>
            </w:r>
          </w:p>
        </w:tc>
        <w:tc>
          <w:tcPr>
            <w:tcW w:w="1884" w:type="dxa"/>
            <w:vAlign w:val="center"/>
          </w:tcPr>
          <w:p w14:paraId="4A21DA1E">
            <w:pPr>
              <w:widowControl w:val="0"/>
              <w:spacing w:line="360" w:lineRule="auto"/>
              <w:ind w:left="0" w:leftChars="0" w:firstLine="0" w:firstLineChars="0"/>
              <w:jc w:val="center"/>
              <w:rPr>
                <w:rFonts w:ascii="宋体" w:hAnsi="宋体" w:cs="宋体"/>
                <w:kern w:val="2"/>
                <w:sz w:val="24"/>
                <w:szCs w:val="24"/>
              </w:rPr>
            </w:pPr>
            <w:r>
              <w:rPr>
                <w:rFonts w:ascii="宋体" w:hAnsi="宋体" w:cs="宋体"/>
                <w:kern w:val="2"/>
                <w:sz w:val="24"/>
                <w:szCs w:val="24"/>
              </w:rPr>
              <w:t>营业执照</w:t>
            </w:r>
          </w:p>
        </w:tc>
        <w:tc>
          <w:tcPr>
            <w:tcW w:w="5442" w:type="dxa"/>
            <w:vAlign w:val="center"/>
          </w:tcPr>
          <w:p w14:paraId="7592456A">
            <w:pPr>
              <w:widowControl w:val="0"/>
              <w:spacing w:line="360" w:lineRule="auto"/>
              <w:ind w:firstLine="480" w:firstLineChars="200"/>
              <w:jc w:val="both"/>
              <w:rPr>
                <w:rFonts w:hint="eastAsia" w:ascii="宋体" w:hAnsi="宋体" w:cs="宋体"/>
                <w:kern w:val="2"/>
                <w:sz w:val="24"/>
                <w:szCs w:val="24"/>
              </w:rPr>
            </w:pPr>
            <w:r>
              <w:rPr>
                <w:rFonts w:hint="eastAsia" w:ascii="宋体" w:hAnsi="宋体" w:cs="宋体"/>
                <w:kern w:val="2"/>
                <w:sz w:val="24"/>
                <w:szCs w:val="24"/>
              </w:rPr>
              <w:t>投标人须具有独立承担民事责任的能力；提供合法有效的营业执照或其他证明材料</w:t>
            </w:r>
          </w:p>
        </w:tc>
      </w:tr>
      <w:tr w14:paraId="2E9C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vAlign w:val="center"/>
          </w:tcPr>
          <w:p w14:paraId="6FB1B824">
            <w:pPr>
              <w:spacing w:line="360" w:lineRule="auto"/>
              <w:rPr>
                <w:rFonts w:ascii="宋体" w:hAnsi="宋体" w:cs="宋体"/>
                <w:kern w:val="2"/>
                <w:sz w:val="24"/>
                <w:szCs w:val="24"/>
              </w:rPr>
            </w:pPr>
          </w:p>
        </w:tc>
        <w:tc>
          <w:tcPr>
            <w:tcW w:w="965" w:type="dxa"/>
            <w:vMerge w:val="continue"/>
            <w:vAlign w:val="center"/>
          </w:tcPr>
          <w:p w14:paraId="64A4BA69">
            <w:pPr>
              <w:spacing w:line="360" w:lineRule="auto"/>
              <w:rPr>
                <w:rFonts w:ascii="宋体" w:hAnsi="宋体" w:cs="宋体"/>
                <w:kern w:val="2"/>
                <w:sz w:val="24"/>
                <w:szCs w:val="24"/>
              </w:rPr>
            </w:pPr>
          </w:p>
        </w:tc>
        <w:tc>
          <w:tcPr>
            <w:tcW w:w="1884" w:type="dxa"/>
            <w:vAlign w:val="center"/>
          </w:tcPr>
          <w:p w14:paraId="3975DA47">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eastAsia="宋体" w:cs="宋体"/>
                <w:kern w:val="2"/>
                <w:sz w:val="24"/>
                <w:szCs w:val="24"/>
                <w:lang w:val="en-US" w:eastAsia="zh-CN"/>
              </w:rPr>
              <w:t>资格要求</w:t>
            </w:r>
          </w:p>
        </w:tc>
        <w:tc>
          <w:tcPr>
            <w:tcW w:w="5442" w:type="dxa"/>
            <w:vAlign w:val="center"/>
          </w:tcPr>
          <w:p w14:paraId="377AD0C2">
            <w:pPr>
              <w:tabs>
                <w:tab w:val="center" w:pos="4153"/>
                <w:tab w:val="right" w:pos="8306"/>
              </w:tabs>
              <w:spacing w:line="360" w:lineRule="auto"/>
              <w:ind w:firstLine="480" w:firstLineChars="200"/>
              <w:rPr>
                <w:rFonts w:hint="eastAsia" w:ascii="宋体" w:hAnsi="宋体" w:cs="宋体"/>
                <w:kern w:val="2"/>
                <w:sz w:val="24"/>
                <w:szCs w:val="24"/>
              </w:rPr>
            </w:pPr>
            <w:r>
              <w:rPr>
                <w:rFonts w:hint="eastAsia" w:ascii="宋体" w:hAnsi="宋体" w:cs="宋体"/>
                <w:kern w:val="2"/>
                <w:sz w:val="24"/>
                <w:szCs w:val="24"/>
              </w:rPr>
              <w:t>投标人必须要持有餐饮行业经营活动的《食品经营许可证》或《餐饮服务许可证》且在有效期内，并在人员、设备、资金等方面具有相应的能力；</w:t>
            </w:r>
          </w:p>
        </w:tc>
      </w:tr>
      <w:tr w14:paraId="7A6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832" w:type="dxa"/>
            <w:vMerge w:val="continue"/>
            <w:vAlign w:val="center"/>
          </w:tcPr>
          <w:p w14:paraId="79087219">
            <w:pPr>
              <w:spacing w:line="360" w:lineRule="auto"/>
              <w:rPr>
                <w:rFonts w:ascii="宋体" w:hAnsi="宋体" w:cs="宋体"/>
                <w:kern w:val="2"/>
                <w:sz w:val="24"/>
                <w:szCs w:val="24"/>
              </w:rPr>
            </w:pPr>
          </w:p>
        </w:tc>
        <w:tc>
          <w:tcPr>
            <w:tcW w:w="965" w:type="dxa"/>
            <w:vMerge w:val="continue"/>
            <w:vAlign w:val="center"/>
          </w:tcPr>
          <w:p w14:paraId="2A0D3736">
            <w:pPr>
              <w:spacing w:line="360" w:lineRule="auto"/>
              <w:rPr>
                <w:rFonts w:ascii="宋体" w:hAnsi="宋体" w:cs="宋体"/>
                <w:kern w:val="2"/>
                <w:sz w:val="24"/>
                <w:szCs w:val="24"/>
              </w:rPr>
            </w:pPr>
          </w:p>
        </w:tc>
        <w:tc>
          <w:tcPr>
            <w:tcW w:w="1884" w:type="dxa"/>
            <w:vAlign w:val="center"/>
          </w:tcPr>
          <w:p w14:paraId="2E855336">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拟派项目负责人</w:t>
            </w:r>
          </w:p>
        </w:tc>
        <w:tc>
          <w:tcPr>
            <w:tcW w:w="5442" w:type="dxa"/>
            <w:vAlign w:val="center"/>
          </w:tcPr>
          <w:p w14:paraId="5EB690A8">
            <w:pPr>
              <w:keepNext w:val="0"/>
              <w:keepLines w:val="0"/>
              <w:pageBreakBefore w:val="0"/>
              <w:shd w:val="clear" w:color="auto" w:fill="FFFFFF"/>
              <w:tabs>
                <w:tab w:val="center" w:pos="4153"/>
                <w:tab w:val="right" w:pos="8306"/>
              </w:tabs>
              <w:kinsoku/>
              <w:wordWrap/>
              <w:overflowPunct/>
              <w:autoSpaceDE/>
              <w:autoSpaceDN/>
              <w:bidi w:val="0"/>
              <w:spacing w:line="360" w:lineRule="auto"/>
              <w:ind w:firstLine="480" w:firstLineChars="200"/>
              <w:textAlignment w:val="auto"/>
              <w:rPr>
                <w:rFonts w:hint="eastAsia" w:ascii="宋体" w:hAnsi="宋体" w:cs="宋体"/>
                <w:kern w:val="2"/>
                <w:sz w:val="24"/>
                <w:szCs w:val="24"/>
              </w:rPr>
            </w:pPr>
            <w:r>
              <w:rPr>
                <w:rFonts w:hint="eastAsia" w:ascii="宋体" w:hAnsi="宋体" w:cs="宋体"/>
                <w:kern w:val="2"/>
                <w:sz w:val="24"/>
                <w:szCs w:val="24"/>
              </w:rPr>
              <w:t>拟派项目负责人为本单位正式员工与单位签订劳动合同；(需提供相关材料证明）</w:t>
            </w:r>
          </w:p>
        </w:tc>
      </w:tr>
      <w:tr w14:paraId="2A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32" w:type="dxa"/>
            <w:vMerge w:val="continue"/>
            <w:vAlign w:val="center"/>
          </w:tcPr>
          <w:p w14:paraId="7B426FC7">
            <w:pPr>
              <w:spacing w:line="360" w:lineRule="auto"/>
              <w:rPr>
                <w:rFonts w:ascii="宋体" w:hAnsi="宋体" w:cs="宋体"/>
                <w:kern w:val="2"/>
                <w:sz w:val="24"/>
                <w:szCs w:val="24"/>
              </w:rPr>
            </w:pPr>
          </w:p>
        </w:tc>
        <w:tc>
          <w:tcPr>
            <w:tcW w:w="965" w:type="dxa"/>
            <w:vMerge w:val="continue"/>
            <w:vAlign w:val="center"/>
          </w:tcPr>
          <w:p w14:paraId="08B10DB5">
            <w:pPr>
              <w:spacing w:line="360" w:lineRule="auto"/>
              <w:rPr>
                <w:rFonts w:ascii="宋体" w:hAnsi="宋体" w:cs="宋体"/>
                <w:kern w:val="2"/>
                <w:sz w:val="24"/>
                <w:szCs w:val="24"/>
              </w:rPr>
            </w:pPr>
          </w:p>
        </w:tc>
        <w:tc>
          <w:tcPr>
            <w:tcW w:w="1884" w:type="dxa"/>
            <w:vAlign w:val="center"/>
          </w:tcPr>
          <w:p w14:paraId="14501A9C">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信用承诺</w:t>
            </w:r>
          </w:p>
        </w:tc>
        <w:tc>
          <w:tcPr>
            <w:tcW w:w="5442" w:type="dxa"/>
            <w:vAlign w:val="center"/>
          </w:tcPr>
          <w:p w14:paraId="4E65A540">
            <w:pPr>
              <w:keepNext w:val="0"/>
              <w:keepLines w:val="0"/>
              <w:pageBreakBefore w:val="0"/>
              <w:shd w:val="clear" w:color="auto" w:fill="FFFFFF"/>
              <w:tabs>
                <w:tab w:val="center" w:pos="4153"/>
                <w:tab w:val="right" w:pos="8306"/>
              </w:tabs>
              <w:kinsoku/>
              <w:wordWrap/>
              <w:overflowPunct/>
              <w:autoSpaceDE/>
              <w:autoSpaceDN/>
              <w:bidi w:val="0"/>
              <w:spacing w:line="360" w:lineRule="auto"/>
              <w:ind w:firstLine="480" w:firstLineChars="200"/>
              <w:textAlignment w:val="auto"/>
              <w:rPr>
                <w:rFonts w:hint="eastAsia" w:ascii="宋体" w:hAnsi="宋体" w:eastAsia="宋体" w:cs="宋体"/>
                <w:kern w:val="2"/>
                <w:sz w:val="24"/>
                <w:szCs w:val="24"/>
                <w:lang w:eastAsia="zh-CN"/>
              </w:rPr>
            </w:pPr>
            <w:r>
              <w:rPr>
                <w:rFonts w:hint="eastAsia" w:ascii="宋体" w:hAnsi="宋体" w:cs="宋体"/>
                <w:kern w:val="2"/>
                <w:sz w:val="24"/>
                <w:szCs w:val="24"/>
              </w:rPr>
              <w:t>参加本次采购活动前3年内在经营活动中没有重大违法记录、重大质量安全事故、食品卫生、消防安全、规范用工和财务制度等方面不良记录；（提供声明</w:t>
            </w:r>
            <w:r>
              <w:rPr>
                <w:rFonts w:hint="eastAsia" w:ascii="宋体" w:hAnsi="宋体" w:cs="宋体"/>
                <w:kern w:val="2"/>
                <w:sz w:val="24"/>
                <w:szCs w:val="24"/>
                <w:lang w:val="en-US" w:eastAsia="zh-CN"/>
              </w:rPr>
              <w:t>函</w:t>
            </w:r>
            <w:r>
              <w:rPr>
                <w:rFonts w:hint="eastAsia" w:ascii="宋体" w:hAnsi="宋体" w:cs="宋体"/>
                <w:kern w:val="2"/>
                <w:sz w:val="24"/>
                <w:szCs w:val="24"/>
              </w:rPr>
              <w:t>，并加盖公司公章）</w:t>
            </w:r>
          </w:p>
        </w:tc>
      </w:tr>
      <w:tr w14:paraId="4706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832" w:type="dxa"/>
            <w:vMerge w:val="continue"/>
            <w:vAlign w:val="center"/>
          </w:tcPr>
          <w:p w14:paraId="779132E8">
            <w:pPr>
              <w:spacing w:line="360" w:lineRule="auto"/>
              <w:rPr>
                <w:rFonts w:ascii="宋体" w:hAnsi="宋体" w:cs="宋体"/>
                <w:kern w:val="2"/>
                <w:sz w:val="24"/>
                <w:szCs w:val="24"/>
              </w:rPr>
            </w:pPr>
          </w:p>
        </w:tc>
        <w:tc>
          <w:tcPr>
            <w:tcW w:w="965" w:type="dxa"/>
            <w:vMerge w:val="continue"/>
            <w:vAlign w:val="center"/>
          </w:tcPr>
          <w:p w14:paraId="3913936F">
            <w:pPr>
              <w:spacing w:line="360" w:lineRule="auto"/>
              <w:rPr>
                <w:rFonts w:ascii="宋体" w:hAnsi="宋体" w:cs="宋体"/>
                <w:kern w:val="2"/>
                <w:sz w:val="24"/>
                <w:szCs w:val="24"/>
              </w:rPr>
            </w:pPr>
          </w:p>
        </w:tc>
        <w:tc>
          <w:tcPr>
            <w:tcW w:w="1884" w:type="dxa"/>
            <w:vAlign w:val="center"/>
          </w:tcPr>
          <w:p w14:paraId="2F815EBE">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财务状况</w:t>
            </w:r>
          </w:p>
        </w:tc>
        <w:tc>
          <w:tcPr>
            <w:tcW w:w="5442" w:type="dxa"/>
            <w:vAlign w:val="center"/>
          </w:tcPr>
          <w:p w14:paraId="195DD60D">
            <w:pPr>
              <w:keepNext w:val="0"/>
              <w:keepLines w:val="0"/>
              <w:pageBreakBefore w:val="0"/>
              <w:shd w:val="clear" w:color="auto" w:fill="FFFFFF"/>
              <w:tabs>
                <w:tab w:val="center" w:pos="4153"/>
                <w:tab w:val="right" w:pos="8306"/>
              </w:tabs>
              <w:kinsoku/>
              <w:wordWrap/>
              <w:overflowPunct/>
              <w:autoSpaceDE/>
              <w:autoSpaceDN/>
              <w:bidi w:val="0"/>
              <w:spacing w:line="360" w:lineRule="auto"/>
              <w:ind w:firstLine="480" w:firstLineChars="200"/>
              <w:textAlignment w:val="auto"/>
              <w:rPr>
                <w:rFonts w:hint="eastAsia" w:ascii="宋体" w:hAnsi="宋体" w:cs="宋体"/>
                <w:kern w:val="2"/>
                <w:sz w:val="24"/>
                <w:szCs w:val="24"/>
              </w:rPr>
            </w:pPr>
            <w:r>
              <w:rPr>
                <w:rFonts w:hint="eastAsia" w:ascii="宋体" w:hAnsi="宋体" w:cs="宋体"/>
                <w:kern w:val="2"/>
                <w:sz w:val="24"/>
                <w:szCs w:val="24"/>
              </w:rPr>
              <w:t>具有良好的财务状况且没有处于被责令停业；（提供近三年（2023年度-2025年度）任意一年经会计师事务所或审计机构出具的年度财务审计报告；公司成立不足一年无审计报告应附最新的财务报表说明；）</w:t>
            </w:r>
          </w:p>
        </w:tc>
      </w:tr>
      <w:tr w14:paraId="6B0F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2" w:type="dxa"/>
            <w:vMerge w:val="continue"/>
            <w:vAlign w:val="center"/>
          </w:tcPr>
          <w:p w14:paraId="5EB0B62C">
            <w:pPr>
              <w:spacing w:line="360" w:lineRule="auto"/>
              <w:rPr>
                <w:rFonts w:ascii="宋体" w:hAnsi="宋体" w:cs="宋体"/>
                <w:kern w:val="2"/>
                <w:sz w:val="24"/>
                <w:szCs w:val="24"/>
              </w:rPr>
            </w:pPr>
          </w:p>
        </w:tc>
        <w:tc>
          <w:tcPr>
            <w:tcW w:w="965" w:type="dxa"/>
            <w:vMerge w:val="continue"/>
            <w:vAlign w:val="center"/>
          </w:tcPr>
          <w:p w14:paraId="0A22BD70">
            <w:pPr>
              <w:spacing w:line="360" w:lineRule="auto"/>
              <w:rPr>
                <w:rFonts w:ascii="宋体" w:hAnsi="宋体" w:cs="宋体"/>
                <w:kern w:val="2"/>
                <w:sz w:val="24"/>
                <w:szCs w:val="24"/>
              </w:rPr>
            </w:pPr>
          </w:p>
        </w:tc>
        <w:tc>
          <w:tcPr>
            <w:tcW w:w="1884" w:type="dxa"/>
            <w:vAlign w:val="center"/>
          </w:tcPr>
          <w:p w14:paraId="05527565">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无商业贿赂和不正当竞争行为承诺书</w:t>
            </w:r>
          </w:p>
        </w:tc>
        <w:tc>
          <w:tcPr>
            <w:tcW w:w="5442" w:type="dxa"/>
            <w:vAlign w:val="center"/>
          </w:tcPr>
          <w:p w14:paraId="6A8BCFDC">
            <w:pPr>
              <w:keepNext w:val="0"/>
              <w:keepLines w:val="0"/>
              <w:pageBreakBefore w:val="0"/>
              <w:shd w:val="clear" w:color="auto" w:fill="FFFFFF"/>
              <w:tabs>
                <w:tab w:val="center" w:pos="4153"/>
                <w:tab w:val="right" w:pos="8306"/>
              </w:tabs>
              <w:kinsoku/>
              <w:wordWrap/>
              <w:overflowPunct/>
              <w:autoSpaceDE/>
              <w:autoSpaceDN/>
              <w:bidi w:val="0"/>
              <w:spacing w:line="360" w:lineRule="auto"/>
              <w:ind w:firstLine="480" w:firstLineChars="200"/>
              <w:textAlignment w:val="auto"/>
              <w:rPr>
                <w:rFonts w:hint="eastAsia" w:ascii="宋体" w:hAnsi="宋体" w:cs="宋体"/>
                <w:kern w:val="2"/>
                <w:sz w:val="24"/>
                <w:szCs w:val="24"/>
              </w:rPr>
            </w:pPr>
            <w:r>
              <w:rPr>
                <w:rFonts w:hint="eastAsia" w:ascii="宋体" w:hAnsi="宋体" w:cs="宋体"/>
                <w:kern w:val="2"/>
                <w:sz w:val="24"/>
                <w:szCs w:val="24"/>
              </w:rPr>
              <w:t>投标企业出具的无行贿犯罪记录在中国裁判文书网自行查询或自行承诺（查询对象：企业、法定代表人)及工商部门出具的无商业贿赂和不正当竞争证明，若当地工商部门不出具此证明，企业自行承诺无商业贿赂和不正当竞争行为；</w:t>
            </w:r>
          </w:p>
        </w:tc>
      </w:tr>
      <w:tr w14:paraId="70F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32" w:type="dxa"/>
            <w:vMerge w:val="continue"/>
            <w:vAlign w:val="center"/>
          </w:tcPr>
          <w:p w14:paraId="37B06DA6">
            <w:pPr>
              <w:widowControl w:val="0"/>
              <w:spacing w:line="360" w:lineRule="auto"/>
              <w:jc w:val="center"/>
              <w:rPr>
                <w:rFonts w:ascii="宋体" w:hAnsi="宋体" w:cs="宋体"/>
                <w:kern w:val="2"/>
                <w:sz w:val="24"/>
                <w:szCs w:val="24"/>
              </w:rPr>
            </w:pPr>
          </w:p>
        </w:tc>
        <w:tc>
          <w:tcPr>
            <w:tcW w:w="965" w:type="dxa"/>
            <w:vMerge w:val="continue"/>
            <w:vAlign w:val="center"/>
          </w:tcPr>
          <w:p w14:paraId="18ABBC68">
            <w:pPr>
              <w:widowControl w:val="0"/>
              <w:spacing w:line="360" w:lineRule="auto"/>
              <w:jc w:val="center"/>
              <w:rPr>
                <w:rFonts w:ascii="宋体" w:hAnsi="宋体" w:cs="宋体"/>
                <w:kern w:val="2"/>
                <w:sz w:val="24"/>
                <w:szCs w:val="24"/>
              </w:rPr>
            </w:pPr>
          </w:p>
        </w:tc>
        <w:tc>
          <w:tcPr>
            <w:tcW w:w="1884" w:type="dxa"/>
            <w:vAlign w:val="center"/>
          </w:tcPr>
          <w:p w14:paraId="477B3560">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en-US" w:eastAsia="zh-CN"/>
              </w:rPr>
              <w:t>信用查询信息</w:t>
            </w:r>
          </w:p>
        </w:tc>
        <w:tc>
          <w:tcPr>
            <w:tcW w:w="5442" w:type="dxa"/>
            <w:vAlign w:val="center"/>
          </w:tcPr>
          <w:p w14:paraId="105DEC9D">
            <w:pPr>
              <w:keepNext w:val="0"/>
              <w:keepLines w:val="0"/>
              <w:pageBreakBefore w:val="0"/>
              <w:widowControl w:val="0"/>
              <w:suppressLineNumbers w:val="0"/>
              <w:tabs>
                <w:tab w:val="center" w:pos="4153"/>
                <w:tab w:val="right" w:pos="8306"/>
              </w:tabs>
              <w:kinsoku/>
              <w:wordWrap w:val="0"/>
              <w:overflowPunct/>
              <w:topLinePunct w:val="0"/>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宋体" w:hAnsi="宋体" w:cs="宋体"/>
                <w:kern w:val="2"/>
                <w:sz w:val="24"/>
                <w:szCs w:val="24"/>
              </w:rPr>
            </w:pPr>
            <w:r>
              <w:rPr>
                <w:rFonts w:hint="eastAsia" w:ascii="宋体" w:hAnsi="宋体" w:cs="宋体"/>
                <w:kern w:val="2"/>
                <w:sz w:val="24"/>
                <w:szCs w:val="24"/>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查询日期自公告发布之日起，查询截止时间为投标截止时间止。</w:t>
            </w:r>
          </w:p>
        </w:tc>
      </w:tr>
      <w:tr w14:paraId="4E9C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832" w:type="dxa"/>
            <w:vMerge w:val="continue"/>
            <w:vAlign w:val="center"/>
          </w:tcPr>
          <w:p w14:paraId="4B3C0493">
            <w:pPr>
              <w:widowControl w:val="0"/>
              <w:spacing w:line="360" w:lineRule="auto"/>
              <w:jc w:val="center"/>
              <w:rPr>
                <w:rFonts w:ascii="宋体" w:hAnsi="宋体" w:cs="宋体"/>
                <w:kern w:val="2"/>
                <w:sz w:val="24"/>
                <w:szCs w:val="24"/>
              </w:rPr>
            </w:pPr>
          </w:p>
        </w:tc>
        <w:tc>
          <w:tcPr>
            <w:tcW w:w="965" w:type="dxa"/>
            <w:vMerge w:val="continue"/>
            <w:vAlign w:val="center"/>
          </w:tcPr>
          <w:p w14:paraId="750314FE">
            <w:pPr>
              <w:widowControl w:val="0"/>
              <w:spacing w:line="360" w:lineRule="auto"/>
              <w:jc w:val="center"/>
              <w:rPr>
                <w:rFonts w:ascii="宋体" w:hAnsi="宋体" w:cs="宋体"/>
                <w:kern w:val="2"/>
                <w:sz w:val="24"/>
                <w:szCs w:val="24"/>
              </w:rPr>
            </w:pPr>
          </w:p>
        </w:tc>
        <w:tc>
          <w:tcPr>
            <w:tcW w:w="1884" w:type="dxa"/>
            <w:vAlign w:val="center"/>
          </w:tcPr>
          <w:p w14:paraId="5305E380">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eastAsia="宋体" w:cs="宋体"/>
                <w:kern w:val="2"/>
                <w:sz w:val="24"/>
                <w:szCs w:val="24"/>
                <w:lang w:val="zh-CN" w:eastAsia="zh-CN"/>
              </w:rPr>
              <w:t>其他</w:t>
            </w:r>
          </w:p>
        </w:tc>
        <w:tc>
          <w:tcPr>
            <w:tcW w:w="5442" w:type="dxa"/>
            <w:vAlign w:val="center"/>
          </w:tcPr>
          <w:p w14:paraId="30D901A6">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1、本项目不接受联合体投标。</w:t>
            </w:r>
          </w:p>
          <w:p w14:paraId="1ED52DDC">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2、本次招标实行资格后审，资格审查的具体要求见竞争性磋商文件。</w:t>
            </w:r>
          </w:p>
          <w:p w14:paraId="45E04F5C">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rPr>
              <w:t>注：被列入失信被执行人及重大税收违法失信主体的企业做无效标处理。采购人或采购代理机构有权对供应商信用记录进行甄别和复查。</w:t>
            </w:r>
          </w:p>
        </w:tc>
      </w:tr>
      <w:tr w14:paraId="52F2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32" w:type="dxa"/>
            <w:vMerge w:val="restart"/>
            <w:vAlign w:val="center"/>
          </w:tcPr>
          <w:p w14:paraId="129E3980">
            <w:pPr>
              <w:widowControl w:val="0"/>
              <w:spacing w:line="360" w:lineRule="auto"/>
              <w:ind w:left="0" w:leftChars="0" w:firstLine="0" w:firstLineChars="0"/>
              <w:jc w:val="both"/>
              <w:rPr>
                <w:rFonts w:ascii="宋体" w:hAnsi="宋体" w:cs="宋体"/>
                <w:kern w:val="2"/>
                <w:sz w:val="24"/>
                <w:szCs w:val="24"/>
              </w:rPr>
            </w:pPr>
            <w:r>
              <w:rPr>
                <w:rFonts w:ascii="宋体" w:hAnsi="宋体" w:cs="宋体"/>
                <w:kern w:val="2"/>
                <w:sz w:val="24"/>
                <w:szCs w:val="24"/>
              </w:rPr>
              <w:t>2.1.2</w:t>
            </w:r>
          </w:p>
        </w:tc>
        <w:tc>
          <w:tcPr>
            <w:tcW w:w="965" w:type="dxa"/>
            <w:vMerge w:val="restart"/>
            <w:vAlign w:val="center"/>
          </w:tcPr>
          <w:p w14:paraId="7F3A603B">
            <w:pPr>
              <w:widowControl w:val="0"/>
              <w:spacing w:line="360" w:lineRule="auto"/>
              <w:ind w:left="0" w:leftChars="0" w:firstLine="0" w:firstLineChars="0"/>
              <w:jc w:val="both"/>
              <w:rPr>
                <w:rFonts w:ascii="宋体" w:hAnsi="宋体" w:cs="宋体"/>
                <w:kern w:val="2"/>
                <w:sz w:val="24"/>
                <w:szCs w:val="24"/>
              </w:rPr>
            </w:pPr>
            <w:r>
              <w:rPr>
                <w:rFonts w:hint="eastAsia" w:ascii="宋体" w:hAnsi="宋体" w:cs="宋体"/>
                <w:kern w:val="2"/>
                <w:sz w:val="24"/>
                <w:szCs w:val="24"/>
              </w:rPr>
              <w:t>实质</w:t>
            </w:r>
            <w:r>
              <w:rPr>
                <w:rFonts w:ascii="宋体" w:hAnsi="宋体" w:cs="宋体"/>
                <w:kern w:val="2"/>
                <w:sz w:val="24"/>
                <w:szCs w:val="24"/>
              </w:rPr>
              <w:t>性</w:t>
            </w:r>
            <w:r>
              <w:rPr>
                <w:rFonts w:hint="eastAsia" w:ascii="宋体" w:hAnsi="宋体" w:cs="宋体"/>
                <w:kern w:val="2"/>
                <w:sz w:val="24"/>
                <w:szCs w:val="24"/>
              </w:rPr>
              <w:t>响应</w:t>
            </w:r>
            <w:r>
              <w:rPr>
                <w:rFonts w:ascii="宋体" w:hAnsi="宋体" w:cs="宋体"/>
                <w:kern w:val="2"/>
                <w:sz w:val="24"/>
                <w:szCs w:val="24"/>
              </w:rPr>
              <w:t>审查</w:t>
            </w:r>
          </w:p>
        </w:tc>
        <w:tc>
          <w:tcPr>
            <w:tcW w:w="1884" w:type="dxa"/>
            <w:vAlign w:val="center"/>
          </w:tcPr>
          <w:p w14:paraId="628E4470">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服务地点</w:t>
            </w:r>
          </w:p>
        </w:tc>
        <w:tc>
          <w:tcPr>
            <w:tcW w:w="5442" w:type="dxa"/>
            <w:vAlign w:val="center"/>
          </w:tcPr>
          <w:p w14:paraId="0BDDBE12">
            <w:pPr>
              <w:widowControl w:val="0"/>
              <w:spacing w:line="360" w:lineRule="auto"/>
              <w:ind w:left="0" w:leftChars="0" w:firstLine="0" w:firstLineChars="0"/>
              <w:jc w:val="both"/>
              <w:rPr>
                <w:rFonts w:hint="eastAsia" w:ascii="宋体" w:hAnsi="宋体" w:eastAsia="宋体" w:cs="宋体"/>
                <w:kern w:val="2"/>
                <w:sz w:val="24"/>
                <w:szCs w:val="24"/>
                <w:lang w:eastAsia="zh-CN"/>
              </w:rPr>
            </w:pPr>
            <w:r>
              <w:rPr>
                <w:rFonts w:hint="eastAsia" w:ascii="宋体" w:hAnsi="宋体" w:cs="宋体"/>
                <w:kern w:val="2"/>
                <w:sz w:val="24"/>
                <w:szCs w:val="24"/>
                <w:lang w:eastAsia="zh-CN"/>
              </w:rPr>
              <w:t>卢氏县干部周转房院内食堂</w:t>
            </w:r>
          </w:p>
        </w:tc>
      </w:tr>
      <w:tr w14:paraId="7065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32" w:type="dxa"/>
            <w:vMerge w:val="continue"/>
            <w:vAlign w:val="center"/>
          </w:tcPr>
          <w:p w14:paraId="331A21D2">
            <w:pPr>
              <w:spacing w:line="360" w:lineRule="auto"/>
              <w:rPr>
                <w:rFonts w:ascii="宋体" w:hAnsi="宋体" w:cs="宋体"/>
                <w:kern w:val="2"/>
                <w:sz w:val="24"/>
                <w:szCs w:val="24"/>
              </w:rPr>
            </w:pPr>
          </w:p>
        </w:tc>
        <w:tc>
          <w:tcPr>
            <w:tcW w:w="965" w:type="dxa"/>
            <w:vMerge w:val="continue"/>
            <w:vAlign w:val="center"/>
          </w:tcPr>
          <w:p w14:paraId="7225D13D">
            <w:pPr>
              <w:spacing w:line="360" w:lineRule="auto"/>
              <w:rPr>
                <w:rFonts w:ascii="宋体" w:hAnsi="宋体" w:cs="宋体"/>
                <w:kern w:val="2"/>
                <w:sz w:val="24"/>
                <w:szCs w:val="24"/>
              </w:rPr>
            </w:pPr>
          </w:p>
        </w:tc>
        <w:tc>
          <w:tcPr>
            <w:tcW w:w="1884" w:type="dxa"/>
            <w:vAlign w:val="center"/>
          </w:tcPr>
          <w:p w14:paraId="4F110B15">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服务期限</w:t>
            </w:r>
          </w:p>
        </w:tc>
        <w:tc>
          <w:tcPr>
            <w:tcW w:w="5442" w:type="dxa"/>
            <w:vAlign w:val="center"/>
          </w:tcPr>
          <w:p w14:paraId="32F39A97">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eastAsia="宋体" w:cs="宋体"/>
                <w:kern w:val="2"/>
                <w:sz w:val="24"/>
                <w:szCs w:val="24"/>
              </w:rPr>
              <w:t>1年</w:t>
            </w:r>
          </w:p>
        </w:tc>
      </w:tr>
      <w:tr w14:paraId="1F22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832" w:type="dxa"/>
            <w:vMerge w:val="continue"/>
            <w:vAlign w:val="center"/>
          </w:tcPr>
          <w:p w14:paraId="4F113570">
            <w:pPr>
              <w:spacing w:line="360" w:lineRule="auto"/>
              <w:rPr>
                <w:rFonts w:ascii="宋体" w:hAnsi="宋体" w:cs="宋体"/>
                <w:kern w:val="2"/>
                <w:sz w:val="24"/>
                <w:szCs w:val="24"/>
              </w:rPr>
            </w:pPr>
          </w:p>
        </w:tc>
        <w:tc>
          <w:tcPr>
            <w:tcW w:w="965" w:type="dxa"/>
            <w:vMerge w:val="continue"/>
            <w:vAlign w:val="center"/>
          </w:tcPr>
          <w:p w14:paraId="4AD770F0">
            <w:pPr>
              <w:spacing w:line="360" w:lineRule="auto"/>
              <w:rPr>
                <w:rFonts w:ascii="宋体" w:hAnsi="宋体" w:cs="宋体"/>
                <w:kern w:val="2"/>
                <w:sz w:val="24"/>
                <w:szCs w:val="24"/>
              </w:rPr>
            </w:pPr>
          </w:p>
        </w:tc>
        <w:tc>
          <w:tcPr>
            <w:tcW w:w="1884" w:type="dxa"/>
            <w:vAlign w:val="center"/>
          </w:tcPr>
          <w:p w14:paraId="5C8EDC87">
            <w:pPr>
              <w:widowControl w:val="0"/>
              <w:spacing w:line="360" w:lineRule="auto"/>
              <w:ind w:left="0" w:leftChars="0" w:firstLine="0" w:firstLineChars="0"/>
              <w:jc w:val="center"/>
              <w:rPr>
                <w:rFonts w:hint="eastAsia" w:ascii="宋体" w:hAnsi="宋体" w:eastAsia="宋体" w:cs="宋体"/>
                <w:kern w:val="2"/>
                <w:sz w:val="24"/>
                <w:szCs w:val="24"/>
                <w:lang w:val="zh-CN" w:eastAsia="zh-CN"/>
              </w:rPr>
            </w:pPr>
            <w:r>
              <w:rPr>
                <w:rFonts w:hint="eastAsia" w:ascii="宋体" w:hAnsi="宋体" w:cs="宋体"/>
                <w:kern w:val="2"/>
                <w:sz w:val="24"/>
                <w:szCs w:val="24"/>
                <w:lang w:val="zh-CN"/>
              </w:rPr>
              <w:t>服务</w:t>
            </w:r>
            <w:r>
              <w:rPr>
                <w:rFonts w:hint="eastAsia" w:ascii="宋体" w:hAnsi="宋体" w:cs="宋体"/>
                <w:kern w:val="2"/>
                <w:sz w:val="24"/>
                <w:szCs w:val="24"/>
                <w:lang w:val="en-US" w:eastAsia="zh-CN"/>
              </w:rPr>
              <w:t>需求</w:t>
            </w:r>
          </w:p>
        </w:tc>
        <w:tc>
          <w:tcPr>
            <w:tcW w:w="5442" w:type="dxa"/>
            <w:vAlign w:val="center"/>
          </w:tcPr>
          <w:p w14:paraId="05117C21">
            <w:pPr>
              <w:widowControl w:val="0"/>
              <w:spacing w:line="360" w:lineRule="auto"/>
              <w:ind w:left="0" w:leftChars="0" w:firstLine="0" w:firstLineChars="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符合餐饮行业相关规范，满足采购人要求</w:t>
            </w:r>
          </w:p>
        </w:tc>
      </w:tr>
      <w:tr w14:paraId="0660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32" w:type="dxa"/>
            <w:vMerge w:val="continue"/>
            <w:vAlign w:val="center"/>
          </w:tcPr>
          <w:p w14:paraId="66F7D934">
            <w:pPr>
              <w:spacing w:line="360" w:lineRule="auto"/>
              <w:rPr>
                <w:rFonts w:ascii="宋体" w:hAnsi="宋体" w:cs="宋体"/>
                <w:kern w:val="2"/>
                <w:sz w:val="24"/>
                <w:szCs w:val="24"/>
              </w:rPr>
            </w:pPr>
          </w:p>
        </w:tc>
        <w:tc>
          <w:tcPr>
            <w:tcW w:w="965" w:type="dxa"/>
            <w:vMerge w:val="continue"/>
            <w:vAlign w:val="center"/>
          </w:tcPr>
          <w:p w14:paraId="3DACA6BF">
            <w:pPr>
              <w:spacing w:line="360" w:lineRule="auto"/>
              <w:rPr>
                <w:rFonts w:ascii="宋体" w:hAnsi="宋体" w:cs="宋体"/>
                <w:kern w:val="2"/>
                <w:sz w:val="24"/>
                <w:szCs w:val="24"/>
              </w:rPr>
            </w:pPr>
          </w:p>
        </w:tc>
        <w:tc>
          <w:tcPr>
            <w:tcW w:w="1884" w:type="dxa"/>
            <w:vAlign w:val="center"/>
          </w:tcPr>
          <w:p w14:paraId="3C359431">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磋商有效期</w:t>
            </w:r>
          </w:p>
        </w:tc>
        <w:tc>
          <w:tcPr>
            <w:tcW w:w="5442" w:type="dxa"/>
            <w:vAlign w:val="center"/>
          </w:tcPr>
          <w:p w14:paraId="2807FDF7">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spacing w:val="6"/>
                <w:kern w:val="2"/>
                <w:sz w:val="24"/>
                <w:szCs w:val="24"/>
              </w:rPr>
              <w:t>60日历天(指本次采购项目递交响应性文件截止之日起</w:t>
            </w:r>
            <w:r>
              <w:rPr>
                <w:rFonts w:hint="eastAsia" w:ascii="宋体" w:hAnsi="宋体" w:cs="宋体"/>
                <w:spacing w:val="6"/>
                <w:kern w:val="2"/>
                <w:sz w:val="24"/>
                <w:szCs w:val="24"/>
                <w:lang w:eastAsia="zh-CN"/>
              </w:rPr>
              <w:t>）</w:t>
            </w:r>
          </w:p>
        </w:tc>
      </w:tr>
      <w:tr w14:paraId="7757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32" w:type="dxa"/>
            <w:vMerge w:val="continue"/>
            <w:vAlign w:val="center"/>
          </w:tcPr>
          <w:p w14:paraId="03CCF1A4">
            <w:pPr>
              <w:spacing w:line="360" w:lineRule="auto"/>
              <w:rPr>
                <w:rFonts w:ascii="宋体" w:hAnsi="宋体" w:cs="宋体"/>
                <w:kern w:val="2"/>
                <w:sz w:val="24"/>
                <w:szCs w:val="24"/>
              </w:rPr>
            </w:pPr>
          </w:p>
        </w:tc>
        <w:tc>
          <w:tcPr>
            <w:tcW w:w="965" w:type="dxa"/>
            <w:vMerge w:val="continue"/>
            <w:vAlign w:val="center"/>
          </w:tcPr>
          <w:p w14:paraId="598226B3">
            <w:pPr>
              <w:spacing w:line="360" w:lineRule="auto"/>
              <w:rPr>
                <w:rFonts w:ascii="宋体" w:hAnsi="宋体" w:cs="宋体"/>
                <w:kern w:val="2"/>
                <w:sz w:val="24"/>
                <w:szCs w:val="24"/>
              </w:rPr>
            </w:pPr>
          </w:p>
        </w:tc>
        <w:tc>
          <w:tcPr>
            <w:tcW w:w="1884" w:type="dxa"/>
            <w:vAlign w:val="center"/>
          </w:tcPr>
          <w:p w14:paraId="60C39705">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磋商报价</w:t>
            </w:r>
          </w:p>
        </w:tc>
        <w:tc>
          <w:tcPr>
            <w:tcW w:w="5442" w:type="dxa"/>
            <w:vAlign w:val="center"/>
          </w:tcPr>
          <w:p w14:paraId="2F0CCE37">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rPr>
              <w:t>磋商供应商的报价不能超出磋商预算价（超出按废标处理）</w:t>
            </w:r>
          </w:p>
        </w:tc>
      </w:tr>
      <w:tr w14:paraId="1720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32" w:type="dxa"/>
            <w:vMerge w:val="restart"/>
            <w:vAlign w:val="center"/>
          </w:tcPr>
          <w:p w14:paraId="2EA7FBFA">
            <w:pPr>
              <w:spacing w:line="360" w:lineRule="auto"/>
              <w:ind w:left="0" w:leftChars="0" w:firstLine="0" w:firstLineChars="0"/>
              <w:rPr>
                <w:rFonts w:ascii="宋体" w:hAnsi="宋体" w:cs="宋体"/>
                <w:kern w:val="2"/>
                <w:sz w:val="24"/>
                <w:szCs w:val="24"/>
              </w:rPr>
            </w:pPr>
            <w:r>
              <w:rPr>
                <w:rFonts w:hint="eastAsia" w:ascii="宋体" w:hAnsi="宋体" w:cs="宋体"/>
                <w:kern w:val="2"/>
                <w:sz w:val="24"/>
                <w:szCs w:val="24"/>
              </w:rPr>
              <w:t>2.1.3</w:t>
            </w:r>
          </w:p>
        </w:tc>
        <w:tc>
          <w:tcPr>
            <w:tcW w:w="965" w:type="dxa"/>
            <w:vMerge w:val="restart"/>
            <w:vAlign w:val="center"/>
          </w:tcPr>
          <w:p w14:paraId="6B738DD1">
            <w:pPr>
              <w:widowControl w:val="0"/>
              <w:spacing w:line="360" w:lineRule="auto"/>
              <w:ind w:left="0" w:leftChars="0" w:firstLine="0" w:firstLineChars="0"/>
              <w:jc w:val="both"/>
              <w:rPr>
                <w:rFonts w:ascii="宋体" w:hAnsi="宋体" w:cs="宋体"/>
                <w:kern w:val="2"/>
                <w:sz w:val="24"/>
                <w:szCs w:val="24"/>
              </w:rPr>
            </w:pPr>
            <w:r>
              <w:rPr>
                <w:rFonts w:hint="eastAsia" w:ascii="宋体" w:hAnsi="宋体" w:cs="宋体"/>
                <w:kern w:val="2"/>
                <w:sz w:val="24"/>
                <w:szCs w:val="24"/>
              </w:rPr>
              <w:t>符合性</w:t>
            </w:r>
            <w:r>
              <w:rPr>
                <w:rFonts w:hint="eastAsia" w:ascii="宋体" w:hAnsi="宋体" w:cs="宋体"/>
                <w:kern w:val="2"/>
                <w:sz w:val="24"/>
                <w:szCs w:val="24"/>
                <w:lang w:val="zh-CN"/>
              </w:rPr>
              <w:t>评审标准</w:t>
            </w:r>
          </w:p>
        </w:tc>
        <w:tc>
          <w:tcPr>
            <w:tcW w:w="1884" w:type="dxa"/>
            <w:vAlign w:val="center"/>
          </w:tcPr>
          <w:p w14:paraId="43EBFAD4">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供应商名称</w:t>
            </w:r>
          </w:p>
        </w:tc>
        <w:tc>
          <w:tcPr>
            <w:tcW w:w="5442" w:type="dxa"/>
            <w:vAlign w:val="center"/>
          </w:tcPr>
          <w:p w14:paraId="5948455F">
            <w:pPr>
              <w:widowControl w:val="0"/>
              <w:spacing w:line="360" w:lineRule="auto"/>
              <w:ind w:left="0" w:leftChars="0" w:firstLine="0" w:firstLineChars="0"/>
              <w:jc w:val="both"/>
              <w:rPr>
                <w:rFonts w:hint="eastAsia" w:ascii="宋体" w:hAnsi="宋体" w:cs="宋体"/>
                <w:kern w:val="2"/>
                <w:sz w:val="24"/>
                <w:szCs w:val="24"/>
                <w:lang w:val="zh-CN"/>
              </w:rPr>
            </w:pPr>
            <w:r>
              <w:rPr>
                <w:rFonts w:hint="eastAsia" w:ascii="宋体" w:hAnsi="宋体" w:cs="宋体"/>
                <w:kern w:val="2"/>
                <w:sz w:val="24"/>
                <w:szCs w:val="24"/>
                <w:lang w:val="zh-CN"/>
              </w:rPr>
              <w:t>与营业执照等一致</w:t>
            </w:r>
          </w:p>
        </w:tc>
      </w:tr>
      <w:tr w14:paraId="01DE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32" w:type="dxa"/>
            <w:vMerge w:val="continue"/>
            <w:vAlign w:val="center"/>
          </w:tcPr>
          <w:p w14:paraId="60DE1CC4">
            <w:pPr>
              <w:spacing w:line="360" w:lineRule="auto"/>
              <w:rPr>
                <w:rFonts w:ascii="宋体" w:hAnsi="宋体" w:cs="宋体"/>
                <w:kern w:val="2"/>
                <w:sz w:val="24"/>
                <w:szCs w:val="24"/>
              </w:rPr>
            </w:pPr>
          </w:p>
        </w:tc>
        <w:tc>
          <w:tcPr>
            <w:tcW w:w="965" w:type="dxa"/>
            <w:vMerge w:val="continue"/>
            <w:vAlign w:val="center"/>
          </w:tcPr>
          <w:p w14:paraId="2557D832">
            <w:pPr>
              <w:widowControl w:val="0"/>
              <w:spacing w:line="360" w:lineRule="auto"/>
              <w:jc w:val="both"/>
              <w:rPr>
                <w:rFonts w:ascii="宋体" w:hAnsi="宋体" w:cs="宋体"/>
                <w:kern w:val="2"/>
                <w:sz w:val="24"/>
                <w:szCs w:val="24"/>
              </w:rPr>
            </w:pPr>
          </w:p>
        </w:tc>
        <w:tc>
          <w:tcPr>
            <w:tcW w:w="1884" w:type="dxa"/>
            <w:vAlign w:val="center"/>
          </w:tcPr>
          <w:p w14:paraId="46CED28E">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签字盖章</w:t>
            </w:r>
          </w:p>
        </w:tc>
        <w:tc>
          <w:tcPr>
            <w:tcW w:w="5442" w:type="dxa"/>
            <w:vAlign w:val="center"/>
          </w:tcPr>
          <w:p w14:paraId="39AFFBCF">
            <w:pPr>
              <w:widowControl w:val="0"/>
              <w:spacing w:line="360" w:lineRule="auto"/>
              <w:ind w:left="0" w:leftChars="0" w:firstLine="0" w:firstLineChars="0"/>
              <w:jc w:val="both"/>
              <w:rPr>
                <w:rFonts w:hint="eastAsia" w:ascii="宋体" w:hAnsi="宋体" w:cs="宋体"/>
                <w:kern w:val="2"/>
                <w:sz w:val="24"/>
                <w:szCs w:val="24"/>
                <w:lang w:val="zh-CN"/>
              </w:rPr>
            </w:pPr>
            <w:r>
              <w:rPr>
                <w:rFonts w:hint="eastAsia" w:ascii="宋体" w:hAnsi="宋体" w:cs="宋体"/>
                <w:kern w:val="2"/>
                <w:sz w:val="24"/>
                <w:szCs w:val="24"/>
                <w:lang w:val="zh-CN"/>
              </w:rPr>
              <w:t>符合竞争性磋商文件要求的签字、盖章或标注的要求</w:t>
            </w:r>
          </w:p>
        </w:tc>
      </w:tr>
      <w:tr w14:paraId="6472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32" w:type="dxa"/>
            <w:vMerge w:val="continue"/>
            <w:vAlign w:val="center"/>
          </w:tcPr>
          <w:p w14:paraId="3771007B">
            <w:pPr>
              <w:spacing w:line="360" w:lineRule="auto"/>
              <w:rPr>
                <w:rFonts w:ascii="宋体" w:hAnsi="宋体" w:cs="宋体"/>
                <w:kern w:val="2"/>
                <w:sz w:val="24"/>
                <w:szCs w:val="24"/>
              </w:rPr>
            </w:pPr>
          </w:p>
        </w:tc>
        <w:tc>
          <w:tcPr>
            <w:tcW w:w="965" w:type="dxa"/>
            <w:vMerge w:val="continue"/>
            <w:vAlign w:val="center"/>
          </w:tcPr>
          <w:p w14:paraId="53A67978">
            <w:pPr>
              <w:widowControl w:val="0"/>
              <w:spacing w:line="360" w:lineRule="auto"/>
              <w:jc w:val="both"/>
              <w:rPr>
                <w:rFonts w:ascii="宋体" w:hAnsi="宋体" w:cs="宋体"/>
                <w:kern w:val="2"/>
                <w:sz w:val="24"/>
                <w:szCs w:val="24"/>
              </w:rPr>
            </w:pPr>
          </w:p>
        </w:tc>
        <w:tc>
          <w:tcPr>
            <w:tcW w:w="1884" w:type="dxa"/>
            <w:vAlign w:val="center"/>
          </w:tcPr>
          <w:p w14:paraId="6CDBE7CC">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响应文件内容及格式</w:t>
            </w:r>
          </w:p>
        </w:tc>
        <w:tc>
          <w:tcPr>
            <w:tcW w:w="5442" w:type="dxa"/>
            <w:vAlign w:val="center"/>
          </w:tcPr>
          <w:p w14:paraId="1BA5A0EA">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lang w:val="zh-CN"/>
              </w:rPr>
              <w:t>符合第六章“响应文件内容及格式”的要求</w:t>
            </w:r>
          </w:p>
        </w:tc>
      </w:tr>
      <w:tr w14:paraId="1271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32" w:type="dxa"/>
            <w:vMerge w:val="continue"/>
            <w:vAlign w:val="center"/>
          </w:tcPr>
          <w:p w14:paraId="4CFB2ECC">
            <w:pPr>
              <w:spacing w:line="360" w:lineRule="auto"/>
              <w:rPr>
                <w:rFonts w:ascii="宋体" w:hAnsi="宋体" w:cs="宋体"/>
                <w:kern w:val="2"/>
                <w:sz w:val="24"/>
                <w:szCs w:val="24"/>
              </w:rPr>
            </w:pPr>
          </w:p>
        </w:tc>
        <w:tc>
          <w:tcPr>
            <w:tcW w:w="965" w:type="dxa"/>
            <w:vMerge w:val="continue"/>
            <w:vAlign w:val="center"/>
          </w:tcPr>
          <w:p w14:paraId="2961D072">
            <w:pPr>
              <w:widowControl w:val="0"/>
              <w:spacing w:line="360" w:lineRule="auto"/>
              <w:jc w:val="both"/>
              <w:rPr>
                <w:rFonts w:ascii="宋体" w:hAnsi="宋体" w:cs="宋体"/>
                <w:kern w:val="2"/>
                <w:sz w:val="24"/>
                <w:szCs w:val="24"/>
              </w:rPr>
            </w:pPr>
          </w:p>
        </w:tc>
        <w:tc>
          <w:tcPr>
            <w:tcW w:w="1884" w:type="dxa"/>
            <w:vAlign w:val="center"/>
          </w:tcPr>
          <w:p w14:paraId="5F260A28">
            <w:pPr>
              <w:widowControl w:val="0"/>
              <w:spacing w:line="360" w:lineRule="auto"/>
              <w:ind w:left="0" w:leftChars="0" w:firstLine="0" w:firstLineChars="0"/>
              <w:jc w:val="center"/>
              <w:rPr>
                <w:rFonts w:hint="eastAsia" w:ascii="宋体" w:hAnsi="宋体" w:cs="宋体"/>
                <w:kern w:val="2"/>
                <w:sz w:val="24"/>
                <w:szCs w:val="24"/>
                <w:lang w:val="zh-CN"/>
              </w:rPr>
            </w:pPr>
            <w:r>
              <w:rPr>
                <w:rFonts w:hint="eastAsia" w:ascii="宋体" w:hAnsi="宋体" w:cs="宋体"/>
                <w:kern w:val="2"/>
                <w:sz w:val="24"/>
                <w:szCs w:val="24"/>
                <w:lang w:val="zh-CN"/>
              </w:rPr>
              <w:t>报价唯一</w:t>
            </w:r>
          </w:p>
        </w:tc>
        <w:tc>
          <w:tcPr>
            <w:tcW w:w="5442" w:type="dxa"/>
            <w:vAlign w:val="center"/>
          </w:tcPr>
          <w:p w14:paraId="56B331A7">
            <w:pPr>
              <w:widowControl w:val="0"/>
              <w:spacing w:line="360" w:lineRule="auto"/>
              <w:ind w:left="0" w:leftChars="0" w:firstLine="0" w:firstLineChars="0"/>
              <w:jc w:val="both"/>
              <w:rPr>
                <w:rFonts w:hint="eastAsia" w:ascii="宋体" w:hAnsi="宋体" w:cs="宋体"/>
                <w:kern w:val="2"/>
                <w:sz w:val="24"/>
                <w:szCs w:val="24"/>
              </w:rPr>
            </w:pPr>
            <w:r>
              <w:rPr>
                <w:rFonts w:hint="eastAsia" w:ascii="宋体" w:hAnsi="宋体" w:cs="宋体"/>
                <w:kern w:val="2"/>
                <w:sz w:val="24"/>
                <w:szCs w:val="24"/>
                <w:lang w:val="zh-CN"/>
              </w:rPr>
              <w:t>只能有一个有效报价</w:t>
            </w:r>
          </w:p>
        </w:tc>
      </w:tr>
    </w:tbl>
    <w:p w14:paraId="64215225">
      <w:pPr>
        <w:widowControl w:val="0"/>
        <w:spacing w:line="360" w:lineRule="auto"/>
        <w:jc w:val="both"/>
        <w:rPr>
          <w:sz w:val="24"/>
          <w:szCs w:val="24"/>
        </w:rPr>
      </w:pPr>
      <w:r>
        <w:rPr>
          <w:rFonts w:hint="eastAsia"/>
          <w:kern w:val="2"/>
          <w:sz w:val="24"/>
          <w:szCs w:val="24"/>
        </w:rPr>
        <w:t xml:space="preserve"> </w:t>
      </w:r>
    </w:p>
    <w:p w14:paraId="30041BA7">
      <w:pPr>
        <w:spacing w:line="360" w:lineRule="auto"/>
        <w:ind w:firstLine="482" w:firstLineChars="200"/>
        <w:jc w:val="both"/>
        <w:outlineLvl w:val="0"/>
        <w:rPr>
          <w:sz w:val="24"/>
          <w:szCs w:val="24"/>
        </w:rPr>
      </w:pPr>
      <w:bookmarkStart w:id="81" w:name="_Toc29705"/>
      <w:r>
        <w:rPr>
          <w:rFonts w:hint="eastAsia" w:ascii="宋体" w:hAnsi="宋体" w:cs="宋体"/>
          <w:b/>
          <w:sz w:val="24"/>
          <w:szCs w:val="24"/>
        </w:rPr>
        <w:t>1. 磋商文件的评审、比较和否决</w:t>
      </w:r>
      <w:bookmarkEnd w:id="81"/>
    </w:p>
    <w:p w14:paraId="6C732B38">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2A827ECD">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0BC68F60">
      <w:pPr>
        <w:spacing w:line="360" w:lineRule="auto"/>
        <w:ind w:firstLine="480"/>
        <w:jc w:val="both"/>
        <w:rPr>
          <w:sz w:val="24"/>
          <w:szCs w:val="24"/>
        </w:rPr>
      </w:pPr>
      <w:r>
        <w:rPr>
          <w:rFonts w:hint="eastAsia" w:ascii="宋体" w:hAnsi="宋体" w:cs="宋体"/>
          <w:b/>
          <w:sz w:val="24"/>
          <w:szCs w:val="24"/>
        </w:rPr>
        <w:t>1.3</w:t>
      </w:r>
      <w:r>
        <w:rPr>
          <w:rFonts w:hint="eastAsia" w:ascii="宋体" w:hAnsi="宋体" w:cs="宋体"/>
          <w:sz w:val="24"/>
          <w:szCs w:val="24"/>
        </w:rPr>
        <w:t>在评审过程中，磋商小组可以以书面形式要求磋商供应商就磋商文件中含义不明确的内容进行书面说明并提供相关材料；</w:t>
      </w:r>
      <w:r>
        <w:rPr>
          <w:rFonts w:hint="eastAsia" w:ascii="宋体" w:hAnsi="宋体" w:cs="宋体"/>
          <w:spacing w:val="-12"/>
          <w:sz w:val="24"/>
          <w:szCs w:val="24"/>
        </w:rPr>
        <w:t>凡遇到竞争性磋商文件中无界定或界定不清、前后不一致使评委会成员</w:t>
      </w:r>
      <w:r>
        <w:rPr>
          <w:rFonts w:hint="eastAsia" w:ascii="宋体" w:hAnsi="宋体" w:cs="宋体"/>
          <w:sz w:val="24"/>
          <w:szCs w:val="24"/>
        </w:rPr>
        <w:t>意见</w:t>
      </w:r>
      <w:r>
        <w:rPr>
          <w:rFonts w:hint="eastAsia" w:ascii="宋体" w:hAnsi="宋体" w:cs="宋体"/>
          <w:spacing w:val="-12"/>
          <w:sz w:val="24"/>
          <w:szCs w:val="24"/>
        </w:rPr>
        <w:t>有分歧且又难于协商一致的问题，均由评委会予以表决，获半数以上同意的即为通过，未获半数同意的即为否决</w:t>
      </w:r>
      <w:r>
        <w:rPr>
          <w:rFonts w:hint="eastAsia" w:ascii="宋体" w:hAnsi="宋体" w:cs="宋体"/>
          <w:sz w:val="24"/>
          <w:szCs w:val="24"/>
        </w:rPr>
        <w:t>。</w:t>
      </w:r>
    </w:p>
    <w:p w14:paraId="4C936C97">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评标时，磋商报价是评标的重要依据，但不是唯一依据，采购人不承诺将合同授予报价最低或最高的磋商供应商。</w:t>
      </w:r>
    </w:p>
    <w:p w14:paraId="52ECF714">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57BFB710">
      <w:pPr>
        <w:spacing w:line="360" w:lineRule="auto"/>
        <w:ind w:firstLine="482" w:firstLineChars="200"/>
        <w:jc w:val="both"/>
        <w:outlineLvl w:val="0"/>
        <w:rPr>
          <w:sz w:val="24"/>
          <w:szCs w:val="24"/>
        </w:rPr>
      </w:pPr>
      <w:bookmarkStart w:id="82" w:name="_Toc23075"/>
      <w:r>
        <w:rPr>
          <w:rFonts w:hint="eastAsia" w:ascii="宋体" w:hAnsi="宋体" w:cs="宋体"/>
          <w:b/>
          <w:sz w:val="24"/>
          <w:szCs w:val="24"/>
        </w:rPr>
        <w:t>2. 评审程序</w:t>
      </w:r>
      <w:bookmarkEnd w:id="82"/>
    </w:p>
    <w:p w14:paraId="122A59B1">
      <w:pPr>
        <w:spacing w:line="360" w:lineRule="auto"/>
        <w:ind w:firstLine="480" w:firstLineChars="200"/>
        <w:jc w:val="both"/>
        <w:outlineLvl w:val="1"/>
        <w:rPr>
          <w:sz w:val="24"/>
          <w:szCs w:val="24"/>
        </w:rPr>
      </w:pPr>
      <w:bookmarkStart w:id="83" w:name="_Toc3909"/>
      <w:r>
        <w:rPr>
          <w:rFonts w:hint="eastAsia" w:ascii="宋体" w:hAnsi="宋体" w:cs="宋体"/>
          <w:sz w:val="24"/>
          <w:szCs w:val="24"/>
        </w:rPr>
        <w:t>2.1 资格审查</w:t>
      </w:r>
      <w:bookmarkEnd w:id="83"/>
    </w:p>
    <w:p w14:paraId="54706C25">
      <w:pPr>
        <w:spacing w:line="360" w:lineRule="auto"/>
        <w:ind w:firstLine="480"/>
        <w:jc w:val="both"/>
        <w:rPr>
          <w:sz w:val="24"/>
          <w:szCs w:val="24"/>
        </w:rPr>
      </w:pPr>
      <w:r>
        <w:rPr>
          <w:rFonts w:hint="eastAsia" w:ascii="宋体" w:hAnsi="宋体" w:cs="宋体"/>
          <w:sz w:val="24"/>
          <w:szCs w:val="24"/>
        </w:rPr>
        <w:t>本项目采用资格后审</w:t>
      </w:r>
    </w:p>
    <w:p w14:paraId="6D92F194">
      <w:pPr>
        <w:spacing w:line="360" w:lineRule="auto"/>
        <w:ind w:firstLine="480"/>
        <w:jc w:val="both"/>
        <w:rPr>
          <w:sz w:val="24"/>
          <w:szCs w:val="24"/>
        </w:rPr>
      </w:pPr>
      <w:r>
        <w:rPr>
          <w:rFonts w:hint="eastAsia" w:ascii="宋体" w:hAnsi="宋体" w:cs="宋体"/>
          <w:sz w:val="24"/>
          <w:szCs w:val="24"/>
        </w:rPr>
        <w:t>磋商小组按照竞争性磋商文件供应商资格要求，对磋商供应商的磋商文件进行初步评审，有一项不符合的，视为未通过初步审查，按废标处理，符合的进入下一评标程序。</w:t>
      </w:r>
    </w:p>
    <w:p w14:paraId="2BC4297A">
      <w:pPr>
        <w:spacing w:line="360" w:lineRule="auto"/>
        <w:ind w:firstLine="472" w:firstLineChars="196"/>
        <w:outlineLvl w:val="0"/>
        <w:rPr>
          <w:rFonts w:ascii="宋体" w:hAnsi="宋体" w:cs="宋体"/>
          <w:b/>
          <w:sz w:val="24"/>
          <w:szCs w:val="24"/>
        </w:rPr>
      </w:pPr>
      <w:bookmarkStart w:id="84" w:name="_Toc7739"/>
      <w:r>
        <w:rPr>
          <w:rFonts w:hint="eastAsia" w:ascii="宋体" w:hAnsi="宋体" w:cs="宋体"/>
          <w:b/>
          <w:sz w:val="24"/>
          <w:szCs w:val="24"/>
        </w:rPr>
        <w:t>3.评标具体方法和标准</w:t>
      </w:r>
      <w:bookmarkEnd w:id="84"/>
    </w:p>
    <w:p w14:paraId="680D4AED">
      <w:pPr>
        <w:widowControl w:val="0"/>
        <w:spacing w:line="360" w:lineRule="auto"/>
        <w:jc w:val="both"/>
        <w:rPr>
          <w:rFonts w:ascii="宋体" w:hAnsi="宋体" w:cs="宋体"/>
          <w:sz w:val="24"/>
          <w:szCs w:val="24"/>
        </w:rPr>
      </w:pPr>
      <w:r>
        <w:rPr>
          <w:rFonts w:hint="eastAsia" w:ascii="宋体" w:hAnsi="宋体" w:cs="宋体"/>
          <w:sz w:val="24"/>
          <w:szCs w:val="24"/>
        </w:rPr>
        <w:t>磋商小组根据评标原则和办法对所有磋商文件进行集中审核，分别评价。</w:t>
      </w:r>
    </w:p>
    <w:p w14:paraId="24F8E3D8">
      <w:pPr>
        <w:adjustRightInd w:val="0"/>
        <w:spacing w:line="360" w:lineRule="auto"/>
        <w:textAlignment w:val="baseline"/>
        <w:rPr>
          <w:rFonts w:ascii="宋体" w:cs="宋体"/>
          <w:spacing w:val="-4"/>
          <w:sz w:val="24"/>
          <w:szCs w:val="24"/>
        </w:rPr>
      </w:pPr>
      <w:r>
        <w:rPr>
          <w:rFonts w:hint="eastAsia" w:ascii="宋体" w:cs="宋体"/>
          <w:spacing w:val="-4"/>
          <w:sz w:val="24"/>
          <w:szCs w:val="24"/>
        </w:rPr>
        <w:t>评审因素：首先应对投标企业的资格文件进行审查，不能通过初步审查的，其投标文件不再评审，通过初步审查的，其投标进入以下评标程序。</w:t>
      </w:r>
    </w:p>
    <w:p w14:paraId="4AC41F77">
      <w:pPr>
        <w:rPr>
          <w:rFonts w:hint="eastAsia" w:ascii="宋体" w:hAnsi="宋体" w:cs="宋体"/>
          <w:b/>
          <w:bCs/>
          <w:sz w:val="28"/>
          <w:szCs w:val="28"/>
        </w:rPr>
      </w:pPr>
      <w:r>
        <w:rPr>
          <w:rFonts w:hint="eastAsia" w:ascii="宋体" w:hAnsi="宋体" w:cs="宋体"/>
          <w:b/>
          <w:bCs/>
          <w:sz w:val="28"/>
          <w:szCs w:val="28"/>
        </w:rPr>
        <w:br w:type="page"/>
      </w:r>
    </w:p>
    <w:p w14:paraId="29B86318">
      <w:pPr>
        <w:pStyle w:val="18"/>
        <w:spacing w:line="360" w:lineRule="auto"/>
        <w:ind w:left="0" w:leftChars="0" w:firstLine="0" w:firstLineChars="0"/>
        <w:jc w:val="center"/>
        <w:outlineLvl w:val="1"/>
        <w:rPr>
          <w:rFonts w:ascii="宋体" w:hAnsi="宋体" w:cs="宋体"/>
          <w:b/>
          <w:bCs/>
          <w:sz w:val="28"/>
          <w:szCs w:val="28"/>
        </w:rPr>
      </w:pPr>
      <w:bookmarkStart w:id="85" w:name="_Toc30775"/>
      <w:r>
        <w:rPr>
          <w:rFonts w:hint="eastAsia" w:ascii="宋体" w:hAnsi="宋体" w:cs="宋体"/>
          <w:b/>
          <w:bCs/>
          <w:sz w:val="28"/>
          <w:szCs w:val="28"/>
        </w:rPr>
        <w:t>综合评分法评标办法</w:t>
      </w:r>
      <w:bookmarkEnd w:id="85"/>
    </w:p>
    <w:p w14:paraId="1289ADD6">
      <w:pPr>
        <w:ind w:left="0" w:leftChars="0" w:firstLine="0" w:firstLineChars="0"/>
        <w:jc w:val="center"/>
        <w:outlineLvl w:val="1"/>
        <w:rPr>
          <w:sz w:val="28"/>
          <w:szCs w:val="28"/>
        </w:rPr>
      </w:pPr>
      <w:bookmarkStart w:id="86" w:name="_Toc24540"/>
      <w:r>
        <w:rPr>
          <w:rFonts w:hint="eastAsia"/>
          <w:sz w:val="28"/>
          <w:szCs w:val="28"/>
        </w:rPr>
        <w:t>评分细则</w:t>
      </w:r>
      <w:bookmarkEnd w:id="86"/>
    </w:p>
    <w:tbl>
      <w:tblPr>
        <w:tblStyle w:val="19"/>
        <w:tblW w:w="1005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07"/>
        <w:gridCol w:w="872"/>
        <w:gridCol w:w="6977"/>
      </w:tblGrid>
      <w:tr w14:paraId="61B1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205" w:type="dxa"/>
            <w:gridSpan w:val="2"/>
            <w:tcBorders>
              <w:top w:val="single" w:color="auto" w:sz="4" w:space="0"/>
              <w:left w:val="single" w:color="auto" w:sz="4" w:space="0"/>
              <w:bottom w:val="single" w:color="auto" w:sz="4" w:space="0"/>
              <w:right w:val="single" w:color="auto" w:sz="4" w:space="0"/>
            </w:tcBorders>
            <w:vAlign w:val="center"/>
          </w:tcPr>
          <w:p w14:paraId="56661C53">
            <w:pPr>
              <w:ind w:firstLine="482" w:firstLineChars="200"/>
              <w:jc w:val="both"/>
              <w:rPr>
                <w:rFonts w:ascii="宋体" w:hAnsi="宋体"/>
                <w:b/>
                <w:bCs/>
                <w:sz w:val="24"/>
                <w:szCs w:val="28"/>
                <w:lang w:val="zh-CN"/>
              </w:rPr>
            </w:pPr>
            <w:r>
              <w:rPr>
                <w:rFonts w:hint="eastAsia" w:ascii="宋体" w:hAnsi="宋体"/>
                <w:b/>
                <w:bCs/>
                <w:sz w:val="24"/>
                <w:szCs w:val="24"/>
                <w:lang w:val="zh-CN"/>
              </w:rPr>
              <w:t>计分项目</w:t>
            </w:r>
          </w:p>
        </w:tc>
        <w:tc>
          <w:tcPr>
            <w:tcW w:w="872" w:type="dxa"/>
            <w:tcBorders>
              <w:top w:val="single" w:color="auto" w:sz="4" w:space="0"/>
              <w:left w:val="single" w:color="auto" w:sz="4" w:space="0"/>
              <w:bottom w:val="single" w:color="auto" w:sz="4" w:space="0"/>
              <w:right w:val="single" w:color="auto" w:sz="4" w:space="0"/>
            </w:tcBorders>
            <w:vAlign w:val="center"/>
          </w:tcPr>
          <w:p w14:paraId="702853AF">
            <w:pPr>
              <w:ind w:left="0" w:leftChars="0" w:firstLine="0" w:firstLineChars="0"/>
              <w:jc w:val="both"/>
              <w:rPr>
                <w:rFonts w:ascii="宋体" w:hAnsi="宋体"/>
                <w:b/>
                <w:bCs/>
                <w:sz w:val="24"/>
                <w:szCs w:val="24"/>
                <w:lang w:val="zh-CN"/>
              </w:rPr>
            </w:pPr>
            <w:r>
              <w:rPr>
                <w:rFonts w:hint="eastAsia" w:ascii="宋体" w:hAnsi="宋体"/>
                <w:b/>
                <w:bCs/>
                <w:sz w:val="24"/>
                <w:szCs w:val="24"/>
                <w:lang w:val="zh-CN"/>
              </w:rPr>
              <w:t>分值</w:t>
            </w:r>
          </w:p>
        </w:tc>
        <w:tc>
          <w:tcPr>
            <w:tcW w:w="6977" w:type="dxa"/>
            <w:tcBorders>
              <w:top w:val="single" w:color="auto" w:sz="4" w:space="0"/>
              <w:left w:val="single" w:color="auto" w:sz="4" w:space="0"/>
              <w:bottom w:val="single" w:color="auto" w:sz="4" w:space="0"/>
              <w:right w:val="single" w:color="auto" w:sz="4" w:space="0"/>
            </w:tcBorders>
            <w:vAlign w:val="center"/>
          </w:tcPr>
          <w:p w14:paraId="4AFE2D83">
            <w:pPr>
              <w:ind w:firstLine="2530" w:firstLineChars="1050"/>
              <w:rPr>
                <w:rFonts w:ascii="宋体" w:hAnsi="宋体"/>
                <w:b/>
                <w:bCs/>
                <w:sz w:val="24"/>
                <w:szCs w:val="24"/>
                <w:lang w:val="zh-CN"/>
              </w:rPr>
            </w:pPr>
            <w:r>
              <w:rPr>
                <w:rFonts w:hint="eastAsia" w:ascii="宋体" w:hAnsi="宋体"/>
                <w:b/>
                <w:bCs/>
                <w:sz w:val="24"/>
                <w:szCs w:val="24"/>
                <w:lang w:val="zh-CN"/>
              </w:rPr>
              <w:t>计分标准</w:t>
            </w:r>
          </w:p>
        </w:tc>
      </w:tr>
      <w:tr w14:paraId="7966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205" w:type="dxa"/>
            <w:gridSpan w:val="2"/>
            <w:tcBorders>
              <w:top w:val="single" w:color="auto" w:sz="4" w:space="0"/>
              <w:left w:val="single" w:color="auto" w:sz="4" w:space="0"/>
              <w:bottom w:val="single" w:color="auto" w:sz="4" w:space="0"/>
              <w:right w:val="single" w:color="auto" w:sz="4" w:space="0"/>
            </w:tcBorders>
            <w:vAlign w:val="center"/>
          </w:tcPr>
          <w:p w14:paraId="36B7171C">
            <w:pPr>
              <w:spacing w:line="300" w:lineRule="exact"/>
              <w:jc w:val="both"/>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 w:val="0"/>
                <w:bCs/>
                <w:sz w:val="24"/>
                <w:szCs w:val="24"/>
                <w:lang w:val="zh-CN"/>
              </w:rPr>
              <w:t>价格部分</w:t>
            </w:r>
          </w:p>
        </w:tc>
        <w:tc>
          <w:tcPr>
            <w:tcW w:w="872" w:type="dxa"/>
            <w:tcBorders>
              <w:top w:val="single" w:color="auto" w:sz="4" w:space="0"/>
              <w:left w:val="single" w:color="auto" w:sz="4" w:space="0"/>
              <w:bottom w:val="single" w:color="auto" w:sz="4" w:space="0"/>
              <w:right w:val="single" w:color="auto" w:sz="4" w:space="0"/>
            </w:tcBorders>
            <w:vAlign w:val="center"/>
          </w:tcPr>
          <w:p w14:paraId="71FF05DC">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20分</w:t>
            </w:r>
          </w:p>
        </w:tc>
        <w:tc>
          <w:tcPr>
            <w:tcW w:w="6977" w:type="dxa"/>
            <w:tcBorders>
              <w:top w:val="single" w:color="auto" w:sz="4" w:space="0"/>
              <w:left w:val="single" w:color="auto" w:sz="4" w:space="0"/>
              <w:bottom w:val="single" w:color="auto" w:sz="4" w:space="0"/>
              <w:right w:val="single" w:color="auto" w:sz="4" w:space="0"/>
            </w:tcBorders>
            <w:vAlign w:val="center"/>
          </w:tcPr>
          <w:p w14:paraId="4A97185D">
            <w:pPr>
              <w:spacing w:line="400" w:lineRule="exact"/>
              <w:rPr>
                <w:rFonts w:hint="eastAsia" w:ascii="宋体" w:hAnsi="宋体" w:eastAsia="宋体" w:cs="宋体"/>
                <w:sz w:val="24"/>
                <w:highlight w:val="none"/>
              </w:rPr>
            </w:pPr>
            <w:r>
              <w:rPr>
                <w:rFonts w:hint="eastAsia" w:ascii="宋体" w:hAnsi="宋体" w:eastAsia="宋体" w:cs="宋体"/>
                <w:sz w:val="24"/>
                <w:highlight w:val="none"/>
              </w:rPr>
              <w:t>1、价格分采用低价优先法计算，即满足</w:t>
            </w:r>
            <w:r>
              <w:rPr>
                <w:rFonts w:hint="eastAsia" w:ascii="宋体" w:hAnsi="宋体" w:eastAsia="宋体" w:cs="宋体"/>
                <w:sz w:val="24"/>
                <w:highlight w:val="none"/>
                <w:lang w:eastAsia="zh-CN"/>
              </w:rPr>
              <w:t>竞争性磋商</w:t>
            </w:r>
            <w:r>
              <w:rPr>
                <w:rFonts w:hint="eastAsia" w:ascii="宋体" w:hAnsi="宋体" w:eastAsia="宋体" w:cs="宋体"/>
                <w:sz w:val="24"/>
                <w:highlight w:val="none"/>
              </w:rPr>
              <w:t>文件通过</w:t>
            </w:r>
            <w:r>
              <w:rPr>
                <w:rFonts w:hint="eastAsia" w:ascii="宋体" w:hAnsi="宋体" w:eastAsia="宋体" w:cs="宋体"/>
                <w:sz w:val="24"/>
                <w:highlight w:val="none"/>
                <w:lang w:eastAsia="zh-CN"/>
              </w:rPr>
              <w:t>初步评审</w:t>
            </w:r>
            <w:r>
              <w:rPr>
                <w:rFonts w:hint="eastAsia" w:ascii="宋体" w:hAnsi="宋体" w:eastAsia="宋体" w:cs="宋体"/>
                <w:sz w:val="24"/>
                <w:highlight w:val="none"/>
              </w:rPr>
              <w:t>且</w:t>
            </w:r>
            <w:r>
              <w:rPr>
                <w:rFonts w:hint="eastAsia" w:ascii="宋体" w:hAnsi="宋体" w:eastAsia="宋体" w:cs="宋体"/>
                <w:sz w:val="24"/>
                <w:highlight w:val="none"/>
                <w:lang w:val="en-US" w:eastAsia="zh-CN"/>
              </w:rPr>
              <w:t>最终报价</w:t>
            </w:r>
            <w:r>
              <w:rPr>
                <w:rFonts w:hint="eastAsia" w:ascii="宋体" w:hAnsi="宋体" w:eastAsia="宋体" w:cs="宋体"/>
                <w:sz w:val="24"/>
                <w:highlight w:val="none"/>
              </w:rPr>
              <w:t>最低的投标报价为评标基准价，其价格得分为满分</w:t>
            </w:r>
            <w:r>
              <w:rPr>
                <w:rFonts w:hint="eastAsia" w:ascii="宋体" w:hAnsi="宋体" w:cs="宋体"/>
                <w:sz w:val="24"/>
                <w:highlight w:val="none"/>
                <w:lang w:val="en-US" w:eastAsia="zh-CN"/>
              </w:rPr>
              <w:t>2</w:t>
            </w:r>
            <w:r>
              <w:rPr>
                <w:rFonts w:hint="eastAsia" w:ascii="宋体" w:hAnsi="宋体" w:eastAsia="宋体" w:cs="宋体"/>
                <w:sz w:val="24"/>
                <w:highlight w:val="none"/>
              </w:rPr>
              <w:t>0分。</w:t>
            </w:r>
          </w:p>
          <w:p w14:paraId="1131E0E9">
            <w:pPr>
              <w:spacing w:line="400" w:lineRule="exact"/>
              <w:rPr>
                <w:rFonts w:hint="eastAsia" w:ascii="宋体" w:hAnsi="宋体" w:eastAsia="宋体" w:cs="宋体"/>
                <w:sz w:val="24"/>
                <w:highlight w:val="none"/>
              </w:rPr>
            </w:pPr>
            <w:r>
              <w:rPr>
                <w:rFonts w:hint="eastAsia" w:ascii="宋体" w:hAnsi="宋体" w:eastAsia="宋体" w:cs="宋体"/>
                <w:sz w:val="24"/>
                <w:highlight w:val="none"/>
              </w:rPr>
              <w:t>2、其他</w:t>
            </w:r>
            <w:r>
              <w:rPr>
                <w:rFonts w:hint="eastAsia" w:ascii="宋体" w:hAnsi="宋体" w:cs="宋体"/>
                <w:sz w:val="24"/>
                <w:highlight w:val="none"/>
                <w:lang w:val="en-US" w:eastAsia="zh-CN"/>
              </w:rPr>
              <w:t>供应商</w:t>
            </w:r>
            <w:r>
              <w:rPr>
                <w:rFonts w:hint="eastAsia" w:ascii="宋体" w:hAnsi="宋体" w:eastAsia="宋体" w:cs="宋体"/>
                <w:sz w:val="24"/>
                <w:highlight w:val="none"/>
              </w:rPr>
              <w:t>的价格分统一按照下列公式计算：</w:t>
            </w:r>
          </w:p>
          <w:p w14:paraId="3A024D34">
            <w:pPr>
              <w:spacing w:line="400" w:lineRule="exact"/>
              <w:rPr>
                <w:rFonts w:hint="eastAsia" w:ascii="宋体" w:hAnsi="宋体" w:eastAsia="宋体" w:cs="宋体"/>
                <w:sz w:val="24"/>
                <w:highlight w:val="none"/>
              </w:rPr>
            </w:pPr>
            <w:r>
              <w:rPr>
                <w:rFonts w:hint="eastAsia" w:ascii="宋体" w:hAnsi="宋体" w:eastAsia="宋体" w:cs="宋体"/>
                <w:sz w:val="24"/>
                <w:highlight w:val="none"/>
              </w:rPr>
              <w:t>投标报价得分=(评标基准价／投标报价)×</w:t>
            </w:r>
            <w:r>
              <w:rPr>
                <w:rFonts w:hint="eastAsia" w:ascii="宋体" w:hAnsi="宋体" w:cs="宋体"/>
                <w:sz w:val="24"/>
                <w:highlight w:val="none"/>
                <w:lang w:val="en-US" w:eastAsia="zh-CN"/>
              </w:rPr>
              <w:t>2</w:t>
            </w:r>
            <w:r>
              <w:rPr>
                <w:rFonts w:hint="eastAsia" w:ascii="宋体" w:hAnsi="宋体" w:eastAsia="宋体" w:cs="宋体"/>
                <w:sz w:val="24"/>
                <w:highlight w:val="none"/>
              </w:rPr>
              <w:t>0</w:t>
            </w:r>
          </w:p>
          <w:p w14:paraId="10AB7C44">
            <w:pPr>
              <w:spacing w:line="360" w:lineRule="auto"/>
              <w:rPr>
                <w:rFonts w:hint="eastAsia" w:ascii="宋体" w:hAnsi="宋体" w:cs="宋体"/>
                <w:sz w:val="24"/>
                <w:highlight w:val="none"/>
                <w:lang w:eastAsia="zh-CN"/>
              </w:rPr>
            </w:pPr>
            <w:r>
              <w:rPr>
                <w:rFonts w:hint="eastAsia" w:ascii="宋体" w:hAnsi="宋体" w:eastAsia="宋体" w:cs="宋体"/>
                <w:sz w:val="24"/>
                <w:highlight w:val="none"/>
              </w:rPr>
              <w:t>注：价格分计算保留小数点后二位。在评标过程中，评标小组发现</w:t>
            </w:r>
            <w:r>
              <w:rPr>
                <w:rFonts w:hint="eastAsia" w:ascii="宋体" w:hAnsi="宋体" w:cs="宋体"/>
                <w:sz w:val="24"/>
                <w:highlight w:val="none"/>
                <w:lang w:val="en-US" w:eastAsia="zh-CN"/>
              </w:rPr>
              <w:t>供应商</w:t>
            </w:r>
            <w:r>
              <w:rPr>
                <w:rFonts w:hint="eastAsia" w:ascii="宋体" w:hAnsi="宋体" w:eastAsia="宋体" w:cs="宋体"/>
                <w:sz w:val="24"/>
                <w:highlight w:val="none"/>
              </w:rPr>
              <w:t>的报价明显低于成本价时或明显低于其他通过初步审查投标人的报价，有可能影响产品质量或者不能诚信履约的，评标小组可向该</w:t>
            </w:r>
            <w:r>
              <w:rPr>
                <w:rFonts w:hint="eastAsia" w:ascii="宋体" w:hAnsi="宋体" w:cs="宋体"/>
                <w:sz w:val="24"/>
                <w:highlight w:val="none"/>
                <w:lang w:val="en-US" w:eastAsia="zh-CN"/>
              </w:rPr>
              <w:t>供应商</w:t>
            </w:r>
            <w:r>
              <w:rPr>
                <w:rFonts w:hint="eastAsia" w:ascii="宋体" w:hAnsi="宋体" w:eastAsia="宋体" w:cs="宋体"/>
                <w:sz w:val="24"/>
                <w:highlight w:val="none"/>
              </w:rPr>
              <w:t>提出询问</w:t>
            </w:r>
            <w:r>
              <w:rPr>
                <w:rFonts w:hint="eastAsia" w:ascii="宋体" w:hAnsi="宋体" w:eastAsia="宋体" w:cs="宋体"/>
                <w:sz w:val="24"/>
                <w:highlight w:val="none"/>
                <w:lang w:eastAsia="zh-CN"/>
              </w:rPr>
              <w:t>，</w:t>
            </w:r>
            <w:r>
              <w:rPr>
                <w:rFonts w:hint="eastAsia" w:ascii="宋体" w:hAnsi="宋体" w:eastAsia="宋体" w:cs="宋体"/>
                <w:sz w:val="24"/>
                <w:highlight w:val="none"/>
              </w:rPr>
              <w:t>要求该</w:t>
            </w:r>
            <w:r>
              <w:rPr>
                <w:rFonts w:hint="eastAsia" w:ascii="宋体" w:hAnsi="宋体" w:cs="宋体"/>
                <w:sz w:val="24"/>
                <w:highlight w:val="none"/>
                <w:lang w:val="en-US" w:eastAsia="zh-CN"/>
              </w:rPr>
              <w:t>供应商</w:t>
            </w:r>
            <w:r>
              <w:rPr>
                <w:rFonts w:hint="eastAsia" w:ascii="宋体" w:hAnsi="宋体" w:eastAsia="宋体" w:cs="宋体"/>
                <w:sz w:val="24"/>
                <w:highlight w:val="none"/>
              </w:rPr>
              <w:t>作出书面说明并提供相关证明材料。</w:t>
            </w:r>
            <w:r>
              <w:rPr>
                <w:rFonts w:hint="eastAsia" w:ascii="宋体" w:hAnsi="宋体" w:cs="宋体"/>
                <w:sz w:val="24"/>
                <w:highlight w:val="none"/>
                <w:lang w:val="en-US" w:eastAsia="zh-CN"/>
              </w:rPr>
              <w:t>供应商</w:t>
            </w:r>
            <w:r>
              <w:rPr>
                <w:rFonts w:hint="eastAsia" w:ascii="宋体" w:hAnsi="宋体" w:eastAsia="宋体" w:cs="宋体"/>
                <w:sz w:val="24"/>
                <w:highlight w:val="none"/>
              </w:rPr>
              <w:t>不能合理说明及不能提供相关证明材料的，评标委员会认定该</w:t>
            </w:r>
            <w:r>
              <w:rPr>
                <w:rFonts w:hint="eastAsia" w:ascii="宋体" w:hAnsi="宋体" w:cs="宋体"/>
                <w:sz w:val="24"/>
                <w:highlight w:val="none"/>
                <w:lang w:val="en-US" w:eastAsia="zh-CN"/>
              </w:rPr>
              <w:t>供应商</w:t>
            </w:r>
            <w:r>
              <w:rPr>
                <w:rFonts w:hint="eastAsia" w:ascii="宋体" w:hAnsi="宋体" w:eastAsia="宋体" w:cs="宋体"/>
                <w:sz w:val="24"/>
                <w:highlight w:val="none"/>
              </w:rPr>
              <w:t>以低于成本价恶意竞标，其投标作废标处理</w:t>
            </w:r>
            <w:r>
              <w:rPr>
                <w:rFonts w:hint="eastAsia" w:ascii="宋体" w:hAnsi="宋体" w:cs="宋体"/>
                <w:sz w:val="24"/>
                <w:highlight w:val="none"/>
                <w:lang w:eastAsia="zh-CN"/>
              </w:rPr>
              <w:t>。</w:t>
            </w:r>
          </w:p>
          <w:p w14:paraId="183DD04E">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 xml:space="preserve">3、价格扣除：供应商为小微企业的（监狱企业/残疾人福利性企业视同小型、微型企业），对所投标的小型和微型企业价格给予20%的扣除，用扣除后的价格参与评审。参加投标的中小企业，应当按照《政府采购促进中小企业发展管理办法》 （财库〔2020〕46 号）的规定提供《中小企业声明函》（中小企业划型标准详见《关于印发中小企业划型标准规定的通知》工信部联企业〔2011〕300 号）。供应商为大型企业的不适用本款规定。 </w:t>
            </w:r>
          </w:p>
          <w:p w14:paraId="4CE8920A">
            <w:pPr>
              <w:widowControl/>
              <w:spacing w:line="360" w:lineRule="auto"/>
              <w:textAlignment w:val="baseline"/>
              <w:rPr>
                <w:rFonts w:hint="eastAsia" w:ascii="宋体" w:hAnsi="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sz w:val="24"/>
                <w:highlight w:val="none"/>
              </w:rPr>
              <w:t>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r>
              <w:rPr>
                <w:rFonts w:hint="eastAsia" w:ascii="宋体" w:hAnsi="宋体" w:cs="宋体"/>
                <w:color w:val="auto"/>
                <w:sz w:val="24"/>
                <w:lang w:val="en-US" w:eastAsia="zh-CN"/>
              </w:rPr>
              <w:t xml:space="preserve"> </w:t>
            </w:r>
          </w:p>
          <w:p w14:paraId="31B120C1">
            <w:pPr>
              <w:spacing w:line="360" w:lineRule="auto"/>
              <w:rPr>
                <w:rFonts w:hint="eastAsia" w:ascii="宋体" w:hAnsi="宋体" w:eastAsia="宋体" w:cs="宋体"/>
                <w:sz w:val="24"/>
                <w:highlight w:val="none"/>
              </w:rPr>
            </w:pPr>
            <w:r>
              <w:rPr>
                <w:rFonts w:hint="eastAsia" w:ascii="宋体" w:hAnsi="宋体" w:cs="宋体"/>
                <w:color w:val="auto"/>
                <w:sz w:val="24"/>
                <w:lang w:val="en-US" w:eastAsia="zh-CN"/>
              </w:rPr>
              <w:t>5、</w:t>
            </w:r>
            <w:r>
              <w:rPr>
                <w:rFonts w:hint="eastAsia" w:ascii="宋体" w:hAnsi="宋体" w:eastAsia="宋体" w:cs="宋体"/>
                <w:sz w:val="24"/>
                <w:highlight w:val="none"/>
              </w:rPr>
              <w:t>参加政府采购活动的残疾人福利性单位应当提供《残疾人福利性单位声明函》，未填写残疾人福利性单位声明函的在开标过程中不予认可。</w:t>
            </w:r>
          </w:p>
          <w:p w14:paraId="17F2B6A6">
            <w:pPr>
              <w:spacing w:line="360" w:lineRule="auto"/>
              <w:rPr>
                <w:rFonts w:hint="eastAsia"/>
                <w:lang w:val="zh-CN"/>
              </w:rPr>
            </w:pPr>
            <w:r>
              <w:rPr>
                <w:rFonts w:hint="eastAsia" w:ascii="宋体" w:hAnsi="宋体" w:eastAsia="宋体" w:cs="宋体"/>
                <w:sz w:val="24"/>
                <w:highlight w:val="none"/>
              </w:rPr>
              <w:t>6、同一投标供应商，中小微企业产品和监狱企业产品价格扣除优惠只享受一次，不得重复享受</w:t>
            </w:r>
            <w:r>
              <w:rPr>
                <w:rFonts w:hint="eastAsia" w:ascii="宋体" w:hAnsi="宋体" w:cs="宋体"/>
                <w:sz w:val="24"/>
                <w:highlight w:val="none"/>
                <w:lang w:eastAsia="zh-CN"/>
              </w:rPr>
              <w:t>。</w:t>
            </w:r>
          </w:p>
        </w:tc>
      </w:tr>
      <w:tr w14:paraId="0EC2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8" w:type="dxa"/>
            <w:vMerge w:val="restart"/>
            <w:tcBorders>
              <w:top w:val="single" w:color="auto" w:sz="4" w:space="0"/>
              <w:left w:val="single" w:color="auto" w:sz="4" w:space="0"/>
              <w:bottom w:val="single" w:color="auto" w:sz="4" w:space="0"/>
              <w:right w:val="single" w:color="auto" w:sz="4" w:space="0"/>
            </w:tcBorders>
            <w:vAlign w:val="center"/>
          </w:tcPr>
          <w:p w14:paraId="54E43DFC">
            <w:pPr>
              <w:spacing w:line="300" w:lineRule="exact"/>
              <w:ind w:left="0" w:leftChars="0" w:firstLine="0" w:firstLineChars="0"/>
              <w:jc w:val="both"/>
              <w:rPr>
                <w:rFonts w:hint="eastAsia" w:asciiTheme="minorEastAsia" w:hAnsiTheme="minorEastAsia" w:eastAsiaTheme="minorEastAsia" w:cstheme="minorEastAsia"/>
                <w:bCs/>
                <w:spacing w:val="-24"/>
                <w:sz w:val="24"/>
                <w:szCs w:val="24"/>
                <w:lang w:val="zh-CN"/>
              </w:rPr>
            </w:pPr>
            <w:r>
              <w:rPr>
                <w:rFonts w:hint="eastAsia" w:asciiTheme="minorEastAsia" w:hAnsiTheme="minorEastAsia" w:eastAsiaTheme="minorEastAsia" w:cstheme="minorEastAsia"/>
                <w:sz w:val="24"/>
                <w:szCs w:val="24"/>
                <w:lang w:val="zh-CN"/>
              </w:rPr>
              <w:t>技术部分（</w:t>
            </w:r>
            <w:r>
              <w:rPr>
                <w:rFonts w:hint="eastAsia" w:asciiTheme="minorEastAsia" w:hAnsiTheme="minorEastAsia" w:eastAsiaTheme="minorEastAsia" w:cstheme="minorEastAsia"/>
                <w:sz w:val="24"/>
                <w:szCs w:val="24"/>
                <w:lang w:val="en-US" w:eastAsia="zh-CN"/>
              </w:rPr>
              <w:t>60</w:t>
            </w:r>
            <w:r>
              <w:rPr>
                <w:rFonts w:hint="eastAsia" w:asciiTheme="minorEastAsia" w:hAnsiTheme="minorEastAsia" w:eastAsiaTheme="minorEastAsia" w:cstheme="minorEastAsia"/>
                <w:sz w:val="24"/>
                <w:szCs w:val="24"/>
                <w:lang w:val="zh-CN"/>
              </w:rPr>
              <w:t>分）</w:t>
            </w:r>
          </w:p>
        </w:tc>
        <w:tc>
          <w:tcPr>
            <w:tcW w:w="1007" w:type="dxa"/>
            <w:tcBorders>
              <w:top w:val="single" w:color="auto" w:sz="4" w:space="0"/>
              <w:left w:val="single" w:color="auto" w:sz="4" w:space="0"/>
              <w:bottom w:val="single" w:color="auto" w:sz="4" w:space="0"/>
              <w:right w:val="single" w:color="auto" w:sz="4" w:space="0"/>
            </w:tcBorders>
            <w:vAlign w:val="center"/>
          </w:tcPr>
          <w:p w14:paraId="4CC68497">
            <w:pPr>
              <w:keepNext w:val="0"/>
              <w:keepLines w:val="0"/>
              <w:widowControl/>
              <w:suppressLineNumbers w:val="0"/>
              <w:ind w:left="0" w:leftChars="0" w:firstLine="0" w:firstLineChars="0"/>
              <w:jc w:val="left"/>
            </w:pPr>
            <w:r>
              <w:rPr>
                <w:rFonts w:ascii="宋体" w:hAnsi="宋体" w:eastAsia="宋体" w:cs="宋体"/>
                <w:kern w:val="0"/>
                <w:sz w:val="24"/>
                <w:szCs w:val="24"/>
                <w:lang w:val="en-US" w:eastAsia="zh-CN" w:bidi="ar"/>
              </w:rPr>
              <w:t>食堂整体运营服务方案</w:t>
            </w:r>
          </w:p>
          <w:p w14:paraId="2A823611">
            <w:pPr>
              <w:spacing w:after="88" w:line="256" w:lineRule="auto"/>
              <w:ind w:left="0" w:leftChars="0" w:firstLine="0" w:firstLineChars="0"/>
              <w:jc w:val="center"/>
              <w:rPr>
                <w:rFonts w:hint="eastAsia" w:asciiTheme="minorEastAsia" w:hAnsiTheme="minorEastAsia" w:eastAsiaTheme="minorEastAsia" w:cstheme="minorEastAsia"/>
                <w:bCs/>
                <w:sz w:val="24"/>
                <w:szCs w:val="24"/>
                <w:lang w:val="zh-CN"/>
              </w:rPr>
            </w:pPr>
          </w:p>
        </w:tc>
        <w:tc>
          <w:tcPr>
            <w:tcW w:w="872" w:type="dxa"/>
            <w:tcBorders>
              <w:top w:val="single" w:color="auto" w:sz="4" w:space="0"/>
              <w:left w:val="single" w:color="auto" w:sz="4" w:space="0"/>
              <w:bottom w:val="single" w:color="auto" w:sz="4" w:space="0"/>
              <w:right w:val="single" w:color="auto" w:sz="4" w:space="0"/>
            </w:tcBorders>
            <w:vAlign w:val="center"/>
          </w:tcPr>
          <w:p w14:paraId="0BBAAE4C">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tcPr>
          <w:p w14:paraId="0DEB270B">
            <w:pPr>
              <w:keepNext w:val="0"/>
              <w:keepLines w:val="0"/>
              <w:widowControl/>
              <w:suppressLineNumbers w:val="0"/>
              <w:jc w:val="left"/>
            </w:pPr>
            <w:r>
              <w:rPr>
                <w:rFonts w:ascii="宋体" w:hAnsi="宋体" w:eastAsia="宋体" w:cs="宋体"/>
                <w:kern w:val="0"/>
                <w:sz w:val="24"/>
                <w:szCs w:val="24"/>
                <w:lang w:val="en-US" w:eastAsia="zh-CN" w:bidi="ar"/>
              </w:rPr>
              <w:t>根据供应商针对本</w:t>
            </w:r>
            <w:r>
              <w:rPr>
                <w:rFonts w:hint="eastAsia" w:ascii="宋体" w:hAnsi="宋体" w:eastAsia="宋体" w:cs="宋体"/>
                <w:kern w:val="0"/>
                <w:sz w:val="24"/>
                <w:szCs w:val="24"/>
                <w:lang w:val="en-US" w:eastAsia="zh-CN" w:bidi="ar"/>
              </w:rPr>
              <w:t>项目</w:t>
            </w:r>
            <w:r>
              <w:rPr>
                <w:rFonts w:ascii="宋体" w:hAnsi="宋体" w:eastAsia="宋体" w:cs="宋体"/>
                <w:kern w:val="0"/>
                <w:sz w:val="24"/>
                <w:szCs w:val="24"/>
                <w:lang w:val="en-US" w:eastAsia="zh-CN" w:bidi="ar"/>
              </w:rPr>
              <w:t>的经营理念、服务定位、运营目标、餐饮服务提升、整体运营管理策划方案的完整性、科学性、针对性、可行性进行综合评分</w:t>
            </w:r>
            <w:r>
              <w:rPr>
                <w:rFonts w:hint="eastAsia" w:ascii="宋体" w:hAnsi="宋体" w:eastAsia="宋体" w:cs="宋体"/>
                <w:kern w:val="0"/>
                <w:sz w:val="24"/>
                <w:szCs w:val="24"/>
                <w:lang w:val="en-US" w:eastAsia="zh-CN" w:bidi="ar"/>
              </w:rPr>
              <w:t>:</w:t>
            </w:r>
          </w:p>
          <w:p w14:paraId="54D52C4E">
            <w:pPr>
              <w:keepNext w:val="0"/>
              <w:keepLines w:val="0"/>
              <w:widowControl/>
              <w:suppressLineNumbers w:val="0"/>
              <w:jc w:val="left"/>
            </w:pPr>
            <w:r>
              <w:rPr>
                <w:rFonts w:ascii="宋体" w:hAnsi="宋体" w:eastAsia="宋体" w:cs="宋体"/>
                <w:kern w:val="0"/>
                <w:sz w:val="24"/>
                <w:szCs w:val="24"/>
                <w:lang w:val="en-US" w:eastAsia="zh-CN" w:bidi="ar"/>
              </w:rPr>
              <w:t>（1）方案内容详细完整、科学合理、贴合</w:t>
            </w:r>
            <w:r>
              <w:rPr>
                <w:rFonts w:hint="eastAsia" w:ascii="宋体" w:hAnsi="宋体" w:eastAsia="宋体" w:cs="宋体"/>
                <w:kern w:val="0"/>
                <w:sz w:val="24"/>
                <w:szCs w:val="24"/>
                <w:lang w:val="en-US" w:eastAsia="zh-CN" w:bidi="ar"/>
              </w:rPr>
              <w:t>本项目</w:t>
            </w:r>
            <w:r>
              <w:rPr>
                <w:rFonts w:ascii="宋体" w:hAnsi="宋体" w:eastAsia="宋体" w:cs="宋体"/>
                <w:kern w:val="0"/>
                <w:sz w:val="24"/>
                <w:szCs w:val="24"/>
                <w:lang w:val="en-US" w:eastAsia="zh-CN" w:bidi="ar"/>
              </w:rPr>
              <w:t>保障属性、针对性强、可落地性高，得10分；</w:t>
            </w:r>
          </w:p>
          <w:p w14:paraId="02138E24">
            <w:pPr>
              <w:keepNext w:val="0"/>
              <w:keepLines w:val="0"/>
              <w:widowControl/>
              <w:suppressLineNumbers w:val="0"/>
              <w:jc w:val="left"/>
            </w:pPr>
            <w:r>
              <w:rPr>
                <w:rFonts w:ascii="宋体" w:hAnsi="宋体" w:eastAsia="宋体" w:cs="宋体"/>
                <w:kern w:val="0"/>
                <w:sz w:val="24"/>
                <w:szCs w:val="24"/>
                <w:lang w:val="en-US" w:eastAsia="zh-CN" w:bidi="ar"/>
              </w:rPr>
              <w:t>（2）方案内容较为完整、合理可行，贴合项目需求，仅个别细节需完善，得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w:t>
            </w:r>
          </w:p>
          <w:p w14:paraId="54D9C184">
            <w:pPr>
              <w:keepNext w:val="0"/>
              <w:keepLines w:val="0"/>
              <w:widowControl/>
              <w:suppressLineNumbers w:val="0"/>
              <w:jc w:val="left"/>
            </w:pPr>
            <w:r>
              <w:rPr>
                <w:rFonts w:ascii="宋体" w:hAnsi="宋体" w:eastAsia="宋体" w:cs="宋体"/>
                <w:kern w:val="0"/>
                <w:sz w:val="24"/>
                <w:szCs w:val="24"/>
                <w:lang w:val="en-US" w:eastAsia="zh-CN" w:bidi="ar"/>
              </w:rPr>
              <w:t>（3）方案内容不完善、考虑不周全、针对性较弱，多处内容需优化调整，得</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分；</w:t>
            </w:r>
          </w:p>
          <w:p w14:paraId="0DB53E33">
            <w:pPr>
              <w:keepNext w:val="0"/>
              <w:keepLines w:val="0"/>
              <w:widowControl/>
              <w:suppressLineNumbers w:val="0"/>
              <w:jc w:val="left"/>
              <w:rPr>
                <w:rFonts w:hint="eastAsia" w:asciiTheme="minorEastAsia" w:hAnsiTheme="minorEastAsia" w:eastAsiaTheme="minorEastAsia" w:cstheme="minorEastAsia"/>
                <w:color w:val="000000"/>
                <w:sz w:val="24"/>
                <w:szCs w:val="24"/>
              </w:rPr>
            </w:pPr>
            <w:r>
              <w:rPr>
                <w:rFonts w:ascii="宋体" w:hAnsi="宋体" w:eastAsia="宋体" w:cs="宋体"/>
                <w:kern w:val="0"/>
                <w:sz w:val="24"/>
                <w:szCs w:val="24"/>
                <w:lang w:val="en-US" w:eastAsia="zh-CN" w:bidi="ar"/>
              </w:rPr>
              <w:t>（4）未提供方案不得分。</w:t>
            </w:r>
          </w:p>
        </w:tc>
      </w:tr>
      <w:tr w14:paraId="094C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6BABF824">
            <w:pPr>
              <w:rPr>
                <w:rFonts w:hint="eastAsia" w:asciiTheme="minorEastAsia" w:hAnsiTheme="minorEastAsia" w:eastAsiaTheme="minorEastAsia" w:cstheme="minorEastAsia"/>
                <w:bCs/>
                <w:spacing w:val="-24"/>
                <w:sz w:val="24"/>
                <w:szCs w:val="24"/>
                <w:lang w:val="zh-CN"/>
              </w:rPr>
            </w:pPr>
          </w:p>
        </w:tc>
        <w:tc>
          <w:tcPr>
            <w:tcW w:w="1007" w:type="dxa"/>
            <w:tcBorders>
              <w:top w:val="single" w:color="auto" w:sz="4" w:space="0"/>
              <w:left w:val="single" w:color="auto" w:sz="4" w:space="0"/>
              <w:bottom w:val="single" w:color="auto" w:sz="4" w:space="0"/>
              <w:right w:val="single" w:color="auto" w:sz="4" w:space="0"/>
            </w:tcBorders>
            <w:vAlign w:val="center"/>
          </w:tcPr>
          <w:p w14:paraId="4D2E5B08">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食材储存保管与食材品质管控方案</w:t>
            </w:r>
          </w:p>
        </w:tc>
        <w:tc>
          <w:tcPr>
            <w:tcW w:w="872" w:type="dxa"/>
            <w:tcBorders>
              <w:top w:val="single" w:color="auto" w:sz="4" w:space="0"/>
              <w:left w:val="single" w:color="auto" w:sz="4" w:space="0"/>
              <w:bottom w:val="single" w:color="auto" w:sz="4" w:space="0"/>
              <w:right w:val="single" w:color="auto" w:sz="4" w:space="0"/>
            </w:tcBorders>
            <w:vAlign w:val="center"/>
          </w:tcPr>
          <w:p w14:paraId="63BDAC93">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tcPr>
          <w:p w14:paraId="1CAA72FF">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根据供应商食材入库查验、分类存放、分区保管、温湿度管控、食材保鲜、防变质、防串味、库存管理、食材品质日常管控等方案的规范性、完整性、实用性评分</w:t>
            </w:r>
            <w:r>
              <w:rPr>
                <w:rFonts w:hint="eastAsia" w:ascii="宋体" w:hAnsi="宋体" w:eastAsia="宋体" w:cs="宋体"/>
                <w:kern w:val="0"/>
                <w:sz w:val="24"/>
                <w:szCs w:val="24"/>
                <w:lang w:val="en-US" w:eastAsia="zh-CN" w:bidi="ar"/>
              </w:rPr>
              <w:t>:</w:t>
            </w:r>
          </w:p>
          <w:p w14:paraId="6E39D7DA">
            <w:pPr>
              <w:keepNext w:val="0"/>
              <w:keepLines w:val="0"/>
              <w:widowControl/>
              <w:suppressLineNumbers w:val="0"/>
              <w:jc w:val="left"/>
            </w:pPr>
            <w:r>
              <w:rPr>
                <w:rFonts w:ascii="宋体" w:hAnsi="宋体" w:eastAsia="宋体" w:cs="宋体"/>
                <w:kern w:val="0"/>
                <w:sz w:val="24"/>
                <w:szCs w:val="24"/>
                <w:lang w:val="en-US" w:eastAsia="zh-CN" w:bidi="ar"/>
              </w:rPr>
              <w:t>（1）方案覆盖全流程、规范严谨、符合食品安全法规、贴合食堂实际、可操作性极强，得10分；</w:t>
            </w:r>
          </w:p>
          <w:p w14:paraId="1ED19C50">
            <w:pPr>
              <w:keepNext w:val="0"/>
              <w:keepLines w:val="0"/>
              <w:widowControl/>
              <w:suppressLineNumbers w:val="0"/>
              <w:jc w:val="left"/>
            </w:pPr>
            <w:r>
              <w:rPr>
                <w:rFonts w:ascii="宋体" w:hAnsi="宋体" w:eastAsia="宋体" w:cs="宋体"/>
                <w:kern w:val="0"/>
                <w:sz w:val="24"/>
                <w:szCs w:val="24"/>
                <w:lang w:val="en-US" w:eastAsia="zh-CN" w:bidi="ar"/>
              </w:rPr>
              <w:t>（2）方案整体完整、基本规范，细节略有欠缺，得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w:t>
            </w:r>
          </w:p>
          <w:p w14:paraId="526A0E17">
            <w:pPr>
              <w:keepNext w:val="0"/>
              <w:keepLines w:val="0"/>
              <w:widowControl/>
              <w:suppressLineNumbers w:val="0"/>
              <w:jc w:val="left"/>
            </w:pPr>
            <w:r>
              <w:rPr>
                <w:rFonts w:ascii="宋体" w:hAnsi="宋体" w:eastAsia="宋体" w:cs="宋体"/>
                <w:kern w:val="0"/>
                <w:sz w:val="24"/>
                <w:szCs w:val="24"/>
                <w:lang w:val="en-US" w:eastAsia="zh-CN" w:bidi="ar"/>
              </w:rPr>
              <w:t>（3）方案内容简单、存在漏项、逻辑不严谨、贴合性差，得</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分；</w:t>
            </w:r>
          </w:p>
          <w:p w14:paraId="04D834AA">
            <w:pPr>
              <w:keepNext w:val="0"/>
              <w:keepLines w:val="0"/>
              <w:widowControl/>
              <w:suppressLineNumbers w:val="0"/>
              <w:jc w:val="left"/>
              <w:rPr>
                <w:rFonts w:hint="eastAsia" w:asciiTheme="minorEastAsia" w:hAnsiTheme="minorEastAsia" w:eastAsiaTheme="minorEastAsia" w:cstheme="minorEastAsia"/>
                <w:bCs/>
                <w:sz w:val="24"/>
                <w:szCs w:val="24"/>
              </w:rPr>
            </w:pPr>
            <w:r>
              <w:rPr>
                <w:rFonts w:ascii="宋体" w:hAnsi="宋体" w:eastAsia="宋体" w:cs="宋体"/>
                <w:kern w:val="0"/>
                <w:sz w:val="24"/>
                <w:szCs w:val="24"/>
                <w:lang w:val="en-US" w:eastAsia="zh-CN" w:bidi="ar"/>
              </w:rPr>
              <w:t>（4）未提供方案不得分。</w:t>
            </w:r>
          </w:p>
        </w:tc>
      </w:tr>
      <w:tr w14:paraId="7B58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7EA6FB71">
            <w:pPr>
              <w:rPr>
                <w:rFonts w:hint="eastAsia" w:asciiTheme="minorEastAsia" w:hAnsiTheme="minorEastAsia" w:eastAsiaTheme="minorEastAsia" w:cstheme="minorEastAsia"/>
                <w:bCs/>
                <w:spacing w:val="-24"/>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A289E95">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食品安全保障措施</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45B1519D">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shd w:val="clear" w:color="auto" w:fill="auto"/>
          </w:tcPr>
          <w:p w14:paraId="5D0FB1C2">
            <w:pPr>
              <w:keepNext w:val="0"/>
              <w:keepLines w:val="0"/>
              <w:widowControl/>
              <w:suppressLineNumbers w:val="0"/>
              <w:jc w:val="left"/>
              <w:rPr>
                <w:rFonts w:hint="default"/>
                <w:lang w:val="en-US"/>
              </w:rPr>
            </w:pPr>
            <w:r>
              <w:rPr>
                <w:rFonts w:ascii="宋体" w:hAnsi="宋体" w:eastAsia="宋体" w:cs="宋体"/>
                <w:kern w:val="0"/>
                <w:sz w:val="24"/>
                <w:szCs w:val="24"/>
                <w:lang w:val="en-US" w:eastAsia="zh-CN" w:bidi="ar"/>
              </w:rPr>
              <w:t>根据供应商食品安全管理制度、日常安全自查、食品留样管理、加工操作安全、交叉污染防控、食品安全隐患排查及整改机制等保障措施评分</w:t>
            </w:r>
            <w:r>
              <w:rPr>
                <w:rFonts w:hint="eastAsia" w:ascii="宋体" w:hAnsi="宋体" w:eastAsia="宋体" w:cs="宋体"/>
                <w:kern w:val="0"/>
                <w:sz w:val="24"/>
                <w:szCs w:val="24"/>
                <w:lang w:val="en-US" w:eastAsia="zh-CN" w:bidi="ar"/>
              </w:rPr>
              <w:t>:</w:t>
            </w:r>
          </w:p>
          <w:p w14:paraId="184DBC00">
            <w:pPr>
              <w:keepNext w:val="0"/>
              <w:keepLines w:val="0"/>
              <w:widowControl/>
              <w:suppressLineNumbers w:val="0"/>
              <w:jc w:val="left"/>
            </w:pPr>
            <w:r>
              <w:rPr>
                <w:rFonts w:ascii="宋体" w:hAnsi="宋体" w:eastAsia="宋体" w:cs="宋体"/>
                <w:kern w:val="0"/>
                <w:sz w:val="24"/>
                <w:szCs w:val="24"/>
                <w:lang w:val="en-US" w:eastAsia="zh-CN" w:bidi="ar"/>
              </w:rPr>
              <w:t>（1）制度完善、措施详细、针对性强、落地性高、全覆盖食堂食品安全风险，得10分；</w:t>
            </w:r>
          </w:p>
          <w:p w14:paraId="0C1C2A58">
            <w:pPr>
              <w:keepNext w:val="0"/>
              <w:keepLines w:val="0"/>
              <w:widowControl/>
              <w:suppressLineNumbers w:val="0"/>
              <w:jc w:val="left"/>
            </w:pPr>
            <w:r>
              <w:rPr>
                <w:rFonts w:ascii="宋体" w:hAnsi="宋体" w:eastAsia="宋体" w:cs="宋体"/>
                <w:kern w:val="0"/>
                <w:sz w:val="24"/>
                <w:szCs w:val="24"/>
                <w:lang w:val="en-US" w:eastAsia="zh-CN" w:bidi="ar"/>
              </w:rPr>
              <w:t>（2）制度及措施较为完善，整体可行，个别细节需优化，得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w:t>
            </w:r>
          </w:p>
          <w:p w14:paraId="4FB486F4">
            <w:pPr>
              <w:keepNext w:val="0"/>
              <w:keepLines w:val="0"/>
              <w:widowControl/>
              <w:suppressLineNumbers w:val="0"/>
              <w:jc w:val="left"/>
            </w:pPr>
            <w:r>
              <w:rPr>
                <w:rFonts w:ascii="宋体" w:hAnsi="宋体" w:eastAsia="宋体" w:cs="宋体"/>
                <w:kern w:val="0"/>
                <w:sz w:val="24"/>
                <w:szCs w:val="24"/>
                <w:lang w:val="en-US" w:eastAsia="zh-CN" w:bidi="ar"/>
              </w:rPr>
              <w:t>（3）内容不完善、考虑不周、针对性弱，存在较多漏洞，得</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分；</w:t>
            </w:r>
          </w:p>
          <w:p w14:paraId="1E76981D">
            <w:pPr>
              <w:keepNext w:val="0"/>
              <w:keepLines w:val="0"/>
              <w:widowControl/>
              <w:suppressLineNumbers w:val="0"/>
              <w:jc w:val="left"/>
              <w:rPr>
                <w:rFonts w:hint="eastAsia" w:asciiTheme="minorEastAsia" w:hAnsiTheme="minorEastAsia" w:eastAsiaTheme="minorEastAsia" w:cstheme="minorEastAsia"/>
                <w:sz w:val="24"/>
                <w:szCs w:val="24"/>
                <w:lang w:val="zh-CN"/>
              </w:rPr>
            </w:pPr>
            <w:r>
              <w:rPr>
                <w:rFonts w:ascii="宋体" w:hAnsi="宋体" w:eastAsia="宋体" w:cs="宋体"/>
                <w:kern w:val="0"/>
                <w:sz w:val="24"/>
                <w:szCs w:val="24"/>
                <w:lang w:val="en-US" w:eastAsia="zh-CN" w:bidi="ar"/>
              </w:rPr>
              <w:t>（4）未提供不得分。</w:t>
            </w:r>
          </w:p>
        </w:tc>
      </w:tr>
      <w:tr w14:paraId="7D90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441E6255">
            <w:pPr>
              <w:rPr>
                <w:rFonts w:hint="eastAsia" w:asciiTheme="minorEastAsia" w:hAnsiTheme="minorEastAsia" w:eastAsiaTheme="minorEastAsia" w:cstheme="minorEastAsia"/>
                <w:bCs/>
                <w:spacing w:val="-24"/>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1E5CC6FE">
            <w:pPr>
              <w:ind w:left="0" w:leftChars="0" w:firstLine="0" w:firstLineChars="0"/>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全域卫生管理方案</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33D392E7">
            <w:pPr>
              <w:spacing w:line="300" w:lineRule="exact"/>
              <w:ind w:left="0" w:leftChars="0" w:firstLine="0"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tcPr>
          <w:p w14:paraId="1F6BAB3B">
            <w:pPr>
              <w:keepNext w:val="0"/>
              <w:keepLines w:val="0"/>
              <w:widowControl/>
              <w:suppressLineNumbers w:val="0"/>
              <w:jc w:val="left"/>
            </w:pPr>
            <w:r>
              <w:rPr>
                <w:rFonts w:ascii="宋体" w:hAnsi="宋体" w:eastAsia="宋体" w:cs="宋体"/>
                <w:kern w:val="0"/>
                <w:sz w:val="24"/>
                <w:szCs w:val="24"/>
                <w:lang w:val="en-US" w:eastAsia="zh-CN" w:bidi="ar"/>
              </w:rPr>
              <w:t>从食材卫生、从业人员个人卫生、就餐环境卫生、后厨作业卫生、餐具厨具消杀、垃圾清运处置、全域消杀通风等方面综合评分</w:t>
            </w:r>
            <w:r>
              <w:rPr>
                <w:rFonts w:hint="eastAsia" w:ascii="宋体" w:hAnsi="宋体" w:eastAsia="宋体" w:cs="宋体"/>
                <w:kern w:val="0"/>
                <w:sz w:val="24"/>
                <w:szCs w:val="24"/>
                <w:lang w:val="en-US" w:eastAsia="zh-CN" w:bidi="ar"/>
              </w:rPr>
              <w:t>:</w:t>
            </w:r>
          </w:p>
          <w:p w14:paraId="4B6A872C">
            <w:pPr>
              <w:keepNext w:val="0"/>
              <w:keepLines w:val="0"/>
              <w:widowControl/>
              <w:suppressLineNumbers w:val="0"/>
              <w:jc w:val="left"/>
            </w:pPr>
            <w:r>
              <w:rPr>
                <w:rFonts w:ascii="宋体" w:hAnsi="宋体" w:eastAsia="宋体" w:cs="宋体"/>
                <w:kern w:val="0"/>
                <w:sz w:val="24"/>
                <w:szCs w:val="24"/>
                <w:lang w:val="en-US" w:eastAsia="zh-CN" w:bidi="ar"/>
              </w:rPr>
              <w:t>（1）方案完整全面、条理清晰、严格符合食品安全规范、可操作性强，得10分；</w:t>
            </w:r>
          </w:p>
          <w:p w14:paraId="40C77EC3">
            <w:pPr>
              <w:keepNext w:val="0"/>
              <w:keepLines w:val="0"/>
              <w:widowControl/>
              <w:suppressLineNumbers w:val="0"/>
              <w:jc w:val="left"/>
            </w:pPr>
            <w:r>
              <w:rPr>
                <w:rFonts w:ascii="宋体" w:hAnsi="宋体" w:eastAsia="宋体" w:cs="宋体"/>
                <w:kern w:val="0"/>
                <w:sz w:val="24"/>
                <w:szCs w:val="24"/>
                <w:lang w:val="en-US" w:eastAsia="zh-CN" w:bidi="ar"/>
              </w:rPr>
              <w:t>（2）方案内容完整、基本符合规范，细节不够周密，得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w:t>
            </w:r>
          </w:p>
          <w:p w14:paraId="16D5D097">
            <w:pPr>
              <w:keepNext w:val="0"/>
              <w:keepLines w:val="0"/>
              <w:widowControl/>
              <w:suppressLineNumbers w:val="0"/>
              <w:jc w:val="left"/>
            </w:pPr>
            <w:r>
              <w:rPr>
                <w:rFonts w:ascii="宋体" w:hAnsi="宋体" w:eastAsia="宋体" w:cs="宋体"/>
                <w:kern w:val="0"/>
                <w:sz w:val="24"/>
                <w:szCs w:val="24"/>
                <w:lang w:val="en-US" w:eastAsia="zh-CN" w:bidi="ar"/>
              </w:rPr>
              <w:t>（3）内容简单、逻辑不严密、规范性不足，得</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分；</w:t>
            </w:r>
          </w:p>
          <w:p w14:paraId="18E55EDD">
            <w:pPr>
              <w:keepNext w:val="0"/>
              <w:keepLines w:val="0"/>
              <w:widowControl/>
              <w:suppressLineNumbers w:val="0"/>
              <w:ind w:firstLine="480" w:firstLineChars="200"/>
              <w:jc w:val="left"/>
              <w:rPr>
                <w:rFonts w:hint="eastAsia" w:asciiTheme="minorEastAsia" w:hAnsiTheme="minorEastAsia" w:eastAsiaTheme="minorEastAsia" w:cstheme="minorEastAsia"/>
                <w:kern w:val="2"/>
                <w:sz w:val="24"/>
                <w:szCs w:val="24"/>
                <w:lang w:val="en-US" w:eastAsia="zh-CN" w:bidi="ar-SA"/>
              </w:rPr>
            </w:pPr>
            <w:r>
              <w:rPr>
                <w:rFonts w:ascii="宋体" w:hAnsi="宋体" w:eastAsia="宋体" w:cs="宋体"/>
                <w:kern w:val="0"/>
                <w:sz w:val="24"/>
                <w:szCs w:val="24"/>
                <w:lang w:val="en-US" w:eastAsia="zh-CN" w:bidi="ar"/>
              </w:rPr>
              <w:t>（4）未提供不得分。</w:t>
            </w:r>
          </w:p>
        </w:tc>
      </w:tr>
      <w:tr w14:paraId="3F0E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0F49CEB1">
            <w:pPr>
              <w:rPr>
                <w:rFonts w:hint="eastAsia" w:asciiTheme="minorEastAsia" w:hAnsiTheme="minorEastAsia" w:eastAsiaTheme="minorEastAsia" w:cstheme="minorEastAsia"/>
                <w:bCs/>
                <w:spacing w:val="-24"/>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1F17FD52">
            <w:pPr>
              <w:ind w:left="0" w:leftChars="0" w:firstLine="0" w:firstLineChars="0"/>
              <w:jc w:val="both"/>
              <w:rPr>
                <w:rFonts w:hint="eastAsia" w:asciiTheme="minorEastAsia" w:hAnsiTheme="minorEastAsia" w:eastAsiaTheme="minorEastAsia" w:cstheme="minorEastAsia"/>
                <w:sz w:val="24"/>
                <w:szCs w:val="24"/>
              </w:rPr>
            </w:pPr>
            <w:r>
              <w:rPr>
                <w:rFonts w:ascii="宋体" w:hAnsi="宋体" w:eastAsia="宋体" w:cs="宋体"/>
                <w:sz w:val="24"/>
                <w:szCs w:val="24"/>
              </w:rPr>
              <w:t>应急保障与设备设施运维管理方案</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247425AB">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tcPr>
          <w:p w14:paraId="4B102C5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针对食堂水电气及厨具设备日常巡检、保养、隐患排查、故障处置；突发缺岗、设备故障、极端天气、食品安全隐患、就餐投诉、临时值守保障、节假日应急供餐等突发事件制定完整预案</w:t>
            </w:r>
            <w:r>
              <w:rPr>
                <w:rFonts w:hint="eastAsia" w:ascii="宋体" w:hAnsi="宋体" w:eastAsia="宋体" w:cs="宋体"/>
                <w:kern w:val="0"/>
                <w:sz w:val="24"/>
                <w:szCs w:val="24"/>
                <w:lang w:val="en-US" w:eastAsia="zh-CN" w:bidi="ar"/>
              </w:rPr>
              <w:t>打分：</w:t>
            </w:r>
          </w:p>
          <w:p w14:paraId="58ABD20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（1）预案体系完善、覆盖全面、处置流程清晰、可实操性强，得 10 分</w:t>
            </w:r>
          </w:p>
          <w:p w14:paraId="2B38943C">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 xml:space="preserve">）预案基本齐全，部分处置流程简略，得 </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 xml:space="preserve"> 分</w:t>
            </w:r>
          </w:p>
          <w:p w14:paraId="1AF81A20">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）预案简单、覆盖面不足、无实操性，得</w:t>
            </w:r>
            <w:r>
              <w:rPr>
                <w:rFonts w:hint="eastAsia" w:ascii="宋体" w:hAnsi="宋体" w:cs="宋体"/>
                <w:kern w:val="0"/>
                <w:sz w:val="24"/>
                <w:szCs w:val="24"/>
                <w:lang w:val="en-US" w:eastAsia="zh-CN" w:bidi="ar"/>
              </w:rPr>
              <w:t xml:space="preserve"> 3</w:t>
            </w:r>
            <w:r>
              <w:rPr>
                <w:rFonts w:ascii="宋体" w:hAnsi="宋体" w:eastAsia="宋体" w:cs="宋体"/>
                <w:kern w:val="0"/>
                <w:sz w:val="24"/>
                <w:szCs w:val="24"/>
                <w:lang w:val="en-US" w:eastAsia="zh-CN" w:bidi="ar"/>
              </w:rPr>
              <w:t xml:space="preserve"> 分</w:t>
            </w:r>
          </w:p>
          <w:p w14:paraId="5661D3CC">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）未提供不得分。</w:t>
            </w:r>
          </w:p>
        </w:tc>
      </w:tr>
      <w:tr w14:paraId="6510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31DFA4A4">
            <w:pPr>
              <w:rPr>
                <w:rFonts w:hint="eastAsia" w:asciiTheme="minorEastAsia" w:hAnsiTheme="minorEastAsia" w:eastAsiaTheme="minorEastAsia" w:cstheme="minorEastAsia"/>
                <w:bCs/>
                <w:spacing w:val="-24"/>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BD31EB8">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员工专项培训方案</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7F4D4EBA">
            <w:pPr>
              <w:spacing w:line="300" w:lineRule="exact"/>
              <w:ind w:left="0" w:leftChars="0" w:firstLine="0" w:firstLineChars="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10分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tcPr>
          <w:p w14:paraId="0BA1CED1">
            <w:pPr>
              <w:keepNext w:val="0"/>
              <w:keepLines w:val="0"/>
              <w:widowControl/>
              <w:suppressLineNumbers w:val="0"/>
              <w:jc w:val="left"/>
            </w:pPr>
            <w:r>
              <w:rPr>
                <w:rFonts w:ascii="宋体" w:hAnsi="宋体" w:eastAsia="宋体" w:cs="宋体"/>
                <w:kern w:val="0"/>
                <w:sz w:val="24"/>
                <w:szCs w:val="24"/>
                <w:lang w:val="en-US" w:eastAsia="zh-CN" w:bidi="ar"/>
              </w:rPr>
              <w:t>根据供应商针对本项目制定的员工培训计划，包含餐饮服务技能、食品安全操作规范、消防安全知识、菜品更新研发、营养餐配比、机关服务礼仪、应急处置等培训内容评分</w:t>
            </w:r>
            <w:r>
              <w:rPr>
                <w:rFonts w:hint="eastAsia" w:ascii="宋体" w:hAnsi="宋体" w:eastAsia="宋体" w:cs="宋体"/>
                <w:kern w:val="0"/>
                <w:sz w:val="24"/>
                <w:szCs w:val="24"/>
                <w:lang w:val="en-US" w:eastAsia="zh-CN" w:bidi="ar"/>
              </w:rPr>
              <w:t>:</w:t>
            </w:r>
          </w:p>
          <w:p w14:paraId="53951798">
            <w:pPr>
              <w:keepNext w:val="0"/>
              <w:keepLines w:val="0"/>
              <w:widowControl/>
              <w:suppressLineNumbers w:val="0"/>
              <w:jc w:val="left"/>
            </w:pPr>
            <w:r>
              <w:rPr>
                <w:rFonts w:ascii="宋体" w:hAnsi="宋体" w:eastAsia="宋体" w:cs="宋体"/>
                <w:kern w:val="0"/>
                <w:sz w:val="24"/>
                <w:szCs w:val="24"/>
                <w:lang w:val="en-US" w:eastAsia="zh-CN" w:bidi="ar"/>
              </w:rPr>
              <w:t>（1）培训方案详细具体、周期清晰、内容全面、贴合本项目实际、针对性极强，得10分；</w:t>
            </w:r>
          </w:p>
          <w:p w14:paraId="78568623">
            <w:pPr>
              <w:keepNext w:val="0"/>
              <w:keepLines w:val="0"/>
              <w:widowControl/>
              <w:suppressLineNumbers w:val="0"/>
              <w:jc w:val="left"/>
            </w:pPr>
            <w:r>
              <w:rPr>
                <w:rFonts w:ascii="宋体" w:hAnsi="宋体" w:eastAsia="宋体" w:cs="宋体"/>
                <w:kern w:val="0"/>
                <w:sz w:val="24"/>
                <w:szCs w:val="24"/>
                <w:lang w:val="en-US" w:eastAsia="zh-CN" w:bidi="ar"/>
              </w:rPr>
              <w:t>（2）培训方案基本合理、内容齐全、可行性较强，得</w:t>
            </w:r>
            <w:r>
              <w:rPr>
                <w:rFonts w:hint="eastAsia" w:ascii="宋体" w:hAnsi="宋体" w:cs="宋体"/>
                <w:kern w:val="0"/>
                <w:sz w:val="24"/>
                <w:szCs w:val="24"/>
                <w:lang w:val="en-US" w:eastAsia="zh-CN" w:bidi="ar"/>
              </w:rPr>
              <w:t>6</w:t>
            </w:r>
            <w:r>
              <w:rPr>
                <w:rFonts w:ascii="宋体" w:hAnsi="宋体" w:eastAsia="宋体" w:cs="宋体"/>
                <w:kern w:val="0"/>
                <w:sz w:val="24"/>
                <w:szCs w:val="24"/>
                <w:lang w:val="en-US" w:eastAsia="zh-CN" w:bidi="ar"/>
              </w:rPr>
              <w:t>分；</w:t>
            </w:r>
          </w:p>
          <w:p w14:paraId="50441A1D">
            <w:pPr>
              <w:keepNext w:val="0"/>
              <w:keepLines w:val="0"/>
              <w:widowControl/>
              <w:suppressLineNumbers w:val="0"/>
              <w:jc w:val="left"/>
            </w:pPr>
            <w:r>
              <w:rPr>
                <w:rFonts w:ascii="宋体" w:hAnsi="宋体" w:eastAsia="宋体" w:cs="宋体"/>
                <w:kern w:val="0"/>
                <w:sz w:val="24"/>
                <w:szCs w:val="24"/>
                <w:lang w:val="en-US" w:eastAsia="zh-CN" w:bidi="ar"/>
              </w:rPr>
              <w:t>（3）培训内容片面、安排笼统、针对性和可行性欠缺，得</w:t>
            </w:r>
            <w:r>
              <w:rPr>
                <w:rFonts w:hint="eastAsia" w:ascii="宋体" w:hAnsi="宋体" w:cs="宋体"/>
                <w:kern w:val="0"/>
                <w:sz w:val="24"/>
                <w:szCs w:val="24"/>
                <w:lang w:val="en-US" w:eastAsia="zh-CN" w:bidi="ar"/>
              </w:rPr>
              <w:t>3</w:t>
            </w:r>
            <w:r>
              <w:rPr>
                <w:rFonts w:ascii="宋体" w:hAnsi="宋体" w:eastAsia="宋体" w:cs="宋体"/>
                <w:kern w:val="0"/>
                <w:sz w:val="24"/>
                <w:szCs w:val="24"/>
                <w:lang w:val="en-US" w:eastAsia="zh-CN" w:bidi="ar"/>
              </w:rPr>
              <w:t>分；</w:t>
            </w:r>
          </w:p>
          <w:p w14:paraId="145A5F08">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lang w:eastAsia="zh-CN"/>
              </w:rPr>
            </w:pPr>
            <w:r>
              <w:rPr>
                <w:rFonts w:ascii="宋体" w:hAnsi="宋体" w:eastAsia="宋体" w:cs="宋体"/>
                <w:kern w:val="0"/>
                <w:sz w:val="24"/>
                <w:szCs w:val="24"/>
                <w:lang w:val="en-US" w:eastAsia="zh-CN" w:bidi="ar"/>
              </w:rPr>
              <w:t>（4）未提供不得分。</w:t>
            </w:r>
          </w:p>
        </w:tc>
      </w:tr>
      <w:tr w14:paraId="56F1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198" w:type="dxa"/>
            <w:vMerge w:val="restart"/>
            <w:tcBorders>
              <w:top w:val="single" w:color="auto" w:sz="4" w:space="0"/>
              <w:left w:val="single" w:color="auto" w:sz="4" w:space="0"/>
              <w:bottom w:val="single" w:color="auto" w:sz="4" w:space="0"/>
              <w:right w:val="single" w:color="auto" w:sz="4" w:space="0"/>
            </w:tcBorders>
            <w:vAlign w:val="center"/>
          </w:tcPr>
          <w:p w14:paraId="6EFAB2CA">
            <w:pPr>
              <w:spacing w:line="300" w:lineRule="exact"/>
              <w:ind w:left="0" w:leftChars="0" w:firstLine="0" w:firstLineChars="0"/>
              <w:jc w:val="both"/>
              <w:rPr>
                <w:rFonts w:hint="eastAsia"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sz w:val="24"/>
                <w:szCs w:val="24"/>
                <w:lang w:val="zh-CN"/>
              </w:rPr>
              <w:t>商务部分（</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val="zh-CN"/>
              </w:rPr>
              <w:t>分）</w:t>
            </w:r>
          </w:p>
        </w:tc>
        <w:tc>
          <w:tcPr>
            <w:tcW w:w="1007" w:type="dxa"/>
            <w:tcBorders>
              <w:top w:val="single" w:color="auto" w:sz="4" w:space="0"/>
              <w:left w:val="single" w:color="auto" w:sz="4" w:space="0"/>
              <w:bottom w:val="single" w:color="auto" w:sz="4" w:space="0"/>
              <w:right w:val="single" w:color="auto" w:sz="4" w:space="0"/>
            </w:tcBorders>
            <w:vAlign w:val="center"/>
          </w:tcPr>
          <w:p w14:paraId="3AD7F14A">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类似</w:t>
            </w:r>
          </w:p>
          <w:p w14:paraId="456A394D">
            <w:pPr>
              <w:ind w:left="0" w:leftChars="0" w:firstLine="0" w:firstLineChar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业绩</w:t>
            </w:r>
          </w:p>
        </w:tc>
        <w:tc>
          <w:tcPr>
            <w:tcW w:w="872" w:type="dxa"/>
            <w:tcBorders>
              <w:top w:val="single" w:color="auto" w:sz="4" w:space="0"/>
              <w:left w:val="single" w:color="auto" w:sz="4" w:space="0"/>
              <w:bottom w:val="single" w:color="auto" w:sz="4" w:space="0"/>
              <w:right w:val="single" w:color="auto" w:sz="4" w:space="0"/>
            </w:tcBorders>
            <w:vAlign w:val="center"/>
          </w:tcPr>
          <w:p w14:paraId="0336916C">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6分</w:t>
            </w:r>
          </w:p>
        </w:tc>
        <w:tc>
          <w:tcPr>
            <w:tcW w:w="6977" w:type="dxa"/>
            <w:tcBorders>
              <w:top w:val="single" w:color="auto" w:sz="4" w:space="0"/>
              <w:left w:val="single" w:color="auto" w:sz="4" w:space="0"/>
              <w:bottom w:val="single" w:color="auto" w:sz="4" w:space="0"/>
              <w:right w:val="single" w:color="auto" w:sz="4" w:space="0"/>
            </w:tcBorders>
            <w:vAlign w:val="center"/>
          </w:tcPr>
          <w:p w14:paraId="330AE90C">
            <w:pPr>
              <w:spacing w:line="360" w:lineRule="auto"/>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供应商202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年1月1日以来承担过同类食堂运营管理业绩</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14:textFill>
                  <w14:solidFill>
                    <w14:schemeClr w14:val="tx1"/>
                  </w14:solidFill>
                </w14:textFill>
              </w:rPr>
              <w:t>，每提供一项得</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需提供</w:t>
            </w:r>
            <w:bookmarkStart w:id="87" w:name="OLE_LINK142"/>
            <w:bookmarkStart w:id="88" w:name="OLE_LINK143"/>
            <w:r>
              <w:rPr>
                <w:rFonts w:hint="eastAsia" w:ascii="宋体" w:hAnsi="宋体" w:cs="宋体"/>
                <w:color w:val="000000" w:themeColor="text1"/>
                <w:sz w:val="24"/>
                <w14:textFill>
                  <w14:solidFill>
                    <w14:schemeClr w14:val="tx1"/>
                  </w14:solidFill>
                </w14:textFill>
              </w:rPr>
              <w:t>中标通知书</w:t>
            </w:r>
            <w:bookmarkEnd w:id="87"/>
            <w:bookmarkEnd w:id="88"/>
            <w:r>
              <w:rPr>
                <w:rFonts w:hint="eastAsia" w:ascii="宋体" w:hAnsi="宋体" w:cs="宋体"/>
                <w:color w:val="000000" w:themeColor="text1"/>
                <w:sz w:val="24"/>
                <w14:textFill>
                  <w14:solidFill>
                    <w14:schemeClr w14:val="tx1"/>
                  </w14:solidFill>
                </w14:textFill>
              </w:rPr>
              <w:t>原件扫描件</w:t>
            </w:r>
            <w:r>
              <w:rPr>
                <w:rFonts w:hint="eastAsia" w:ascii="宋体" w:hAnsi="宋体" w:cs="宋体"/>
                <w:color w:val="000000" w:themeColor="text1"/>
                <w:sz w:val="24"/>
                <w:lang w:val="en-US" w:eastAsia="zh-CN"/>
                <w14:textFill>
                  <w14:solidFill>
                    <w14:schemeClr w14:val="tx1"/>
                  </w14:solidFill>
                </w14:textFill>
              </w:rPr>
              <w:t>和</w:t>
            </w:r>
            <w:r>
              <w:rPr>
                <w:rFonts w:hint="eastAsia" w:ascii="宋体" w:hAnsi="宋体" w:cs="宋体"/>
                <w:color w:val="000000" w:themeColor="text1"/>
                <w:sz w:val="24"/>
                <w14:textFill>
                  <w14:solidFill>
                    <w14:schemeClr w14:val="tx1"/>
                  </w14:solidFill>
                </w14:textFill>
              </w:rPr>
              <w:t>合同原件扫描件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时间以</w:t>
            </w:r>
            <w:r>
              <w:rPr>
                <w:rFonts w:hint="eastAsia" w:ascii="宋体" w:hAnsi="宋体" w:cs="宋体"/>
                <w:color w:val="000000" w:themeColor="text1"/>
                <w:sz w:val="24"/>
                <w:lang w:val="en-US" w:eastAsia="zh-CN"/>
                <w14:textFill>
                  <w14:solidFill>
                    <w14:schemeClr w14:val="tx1"/>
                  </w14:solidFill>
                </w14:textFill>
              </w:rPr>
              <w:t>合同</w:t>
            </w:r>
            <w:r>
              <w:rPr>
                <w:rFonts w:hint="eastAsia" w:ascii="宋体" w:hAnsi="宋体" w:cs="宋体"/>
                <w:color w:val="000000" w:themeColor="text1"/>
                <w:sz w:val="24"/>
                <w14:textFill>
                  <w14:solidFill>
                    <w14:schemeClr w14:val="tx1"/>
                  </w14:solidFill>
                </w14:textFill>
              </w:rPr>
              <w:t>签订日期为准</w:t>
            </w:r>
            <w:r>
              <w:rPr>
                <w:rFonts w:hint="eastAsia"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w:t>
            </w:r>
          </w:p>
        </w:tc>
      </w:tr>
      <w:tr w14:paraId="1E9E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5FEE3E27">
            <w:pPr>
              <w:rPr>
                <w:rFonts w:hint="eastAsia" w:asciiTheme="minorEastAsia" w:hAnsiTheme="minorEastAsia" w:eastAsiaTheme="minorEastAsia" w:cstheme="minorEastAsia"/>
                <w:bCs/>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AB87C39">
            <w:pPr>
              <w:ind w:left="0" w:leftChars="0"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服务</w:t>
            </w:r>
          </w:p>
          <w:p w14:paraId="29EBEA05">
            <w:pPr>
              <w:ind w:left="0" w:lef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承诺</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7CD700E">
            <w:pPr>
              <w:spacing w:line="300" w:lineRule="exact"/>
              <w:ind w:left="0" w:leftChars="0" w:firstLine="0" w:firstLineChars="0"/>
              <w:jc w:val="center"/>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bCs/>
                <w:sz w:val="24"/>
                <w:szCs w:val="24"/>
                <w:lang w:val="en-US" w:eastAsia="zh-CN"/>
              </w:rPr>
              <w:t>5分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center"/>
          </w:tcPr>
          <w:p w14:paraId="6718A62B">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根据供应商整体服务保障承诺、配合采购人管理、日常整改、值班值守、延时供餐、应急保障、协调配合、满意度提升等承诺内容综合打分</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14:paraId="627D044C">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（1）承诺内容详细具体、条款清晰、贴合项目、保障力度足，得5分；</w:t>
            </w:r>
          </w:p>
          <w:p w14:paraId="29F807F6">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（2）承诺内容较为完善、基本清晰，得3分；</w:t>
            </w:r>
          </w:p>
          <w:p w14:paraId="5552CB78">
            <w:pPr>
              <w:keepNext w:val="0"/>
              <w:keepLines w:val="0"/>
              <w:widowControl/>
              <w:suppressLineNumbers w:val="0"/>
              <w:jc w:val="left"/>
              <w:rPr>
                <w:color w:val="000000" w:themeColor="text1"/>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（3）承诺内容简单笼统，仅基本覆盖需求，得1分；</w:t>
            </w:r>
          </w:p>
          <w:p w14:paraId="2A78B0D3">
            <w:pPr>
              <w:keepNext w:val="0"/>
              <w:keepLines w:val="0"/>
              <w:widowControl/>
              <w:suppressLineNumbers w:val="0"/>
              <w:jc w:val="left"/>
              <w:rPr>
                <w:rFonts w:hint="eastAsia" w:asciiTheme="minorEastAsia" w:hAnsiTheme="minorEastAsia" w:eastAsiaTheme="minorEastAsia" w:cstheme="minorEastAsia"/>
                <w:color w:val="000000" w:themeColor="text1"/>
                <w:spacing w:val="-8"/>
                <w:kern w:val="2"/>
                <w:sz w:val="24"/>
                <w:szCs w:val="24"/>
                <w:lang w:val="en-US" w:eastAsia="zh-CN" w:bidi="ar-SA"/>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（4）未提供不得分。</w:t>
            </w:r>
          </w:p>
        </w:tc>
      </w:tr>
      <w:tr w14:paraId="098A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20F8B7BF">
            <w:pPr>
              <w:rPr>
                <w:rFonts w:hint="eastAsia" w:asciiTheme="minorEastAsia" w:hAnsiTheme="minorEastAsia" w:eastAsiaTheme="minorEastAsia" w:cstheme="minorEastAsia"/>
                <w:bCs/>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A73EEB8">
            <w:pPr>
              <w:ind w:left="0" w:leftChars="0" w:firstLine="0" w:firstLineChars="0"/>
              <w:jc w:val="center"/>
              <w:rPr>
                <w:rFonts w:hint="eastAsia" w:asciiTheme="minorEastAsia" w:hAnsiTheme="minorEastAsia" w:eastAsiaTheme="minorEastAsia" w:cstheme="minorEastAsia"/>
                <w:sz w:val="24"/>
                <w:szCs w:val="24"/>
              </w:rPr>
            </w:pPr>
            <w:r>
              <w:rPr>
                <w:rFonts w:hint="eastAsia" w:ascii="宋体" w:hAnsi="宋体" w:cs="宋体"/>
                <w:sz w:val="24"/>
                <w:szCs w:val="24"/>
                <w:lang w:eastAsia="zh-CN"/>
              </w:rPr>
              <w:t>团队</w:t>
            </w:r>
            <w:r>
              <w:rPr>
                <w:rFonts w:hint="eastAsia" w:ascii="宋体" w:hAnsi="宋体" w:eastAsia="宋体" w:cs="宋体"/>
                <w:sz w:val="24"/>
                <w:szCs w:val="24"/>
                <w:lang w:eastAsia="zh-CN"/>
              </w:rPr>
              <w:t>人员配置</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50CFBEBB">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5分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top"/>
          </w:tcPr>
          <w:p w14:paraId="5E5769C2">
            <w:pPr>
              <w:pageBreakBefore w:val="0"/>
              <w:kinsoku/>
              <w:wordWrap/>
              <w:overflowPunct/>
              <w:topLinePunct w:val="0"/>
              <w:bidi w:val="0"/>
              <w:adjustRightIn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1.项目负责人持有团餐职业经理人相关证书，得2分；</w:t>
            </w:r>
          </w:p>
          <w:p w14:paraId="446294B7">
            <w:pPr>
              <w:keepNext w:val="0"/>
              <w:keepLines w:val="0"/>
              <w:widowControl/>
              <w:suppressLineNumbers w:val="0"/>
              <w:jc w:val="left"/>
              <w:rPr>
                <w:rFonts w:hint="eastAsia" w:ascii="宋体" w:hAnsi="宋体" w:eastAsia="宋体" w:cs="宋体"/>
                <w:color w:val="auto"/>
                <w:sz w:val="24"/>
                <w:szCs w:val="24"/>
                <w:lang w:val="en-US" w:eastAsia="zh-CN"/>
              </w:rPr>
            </w:pPr>
            <w:r>
              <w:rPr>
                <w:rFonts w:hint="eastAsia" w:ascii="宋体" w:hAnsi="宋体" w:cs="宋体"/>
                <w:sz w:val="24"/>
                <w:szCs w:val="24"/>
                <w:lang w:val="en-US" w:eastAsia="zh-CN"/>
              </w:rPr>
              <w:t>2.拟派人员持有餐饮、食品安全相关证书，得1.5分，最多得3分</w:t>
            </w:r>
            <w:r>
              <w:rPr>
                <w:rFonts w:hint="eastAsia" w:ascii="宋体" w:hAnsi="宋体" w:eastAsia="宋体" w:cs="宋体"/>
                <w:color w:val="auto"/>
                <w:sz w:val="24"/>
                <w:szCs w:val="24"/>
                <w:lang w:val="en-US" w:eastAsia="zh-CN"/>
              </w:rPr>
              <w:t>；</w:t>
            </w:r>
          </w:p>
          <w:p w14:paraId="530758CC">
            <w:pPr>
              <w:keepNext w:val="0"/>
              <w:keepLines w:val="0"/>
              <w:widowControl/>
              <w:suppressLineNumbers w:val="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注：提供相关证书（需在有效期内）及对应员工健康证、劳务合同复印件，附在响应文件中。</w:t>
            </w:r>
          </w:p>
        </w:tc>
      </w:tr>
      <w:tr w14:paraId="1264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31BA3652">
            <w:pPr>
              <w:rPr>
                <w:rFonts w:hint="eastAsia" w:asciiTheme="minorEastAsia" w:hAnsiTheme="minorEastAsia" w:eastAsiaTheme="minorEastAsia" w:cstheme="minorEastAsia"/>
                <w:bCs/>
                <w:sz w:val="24"/>
                <w:szCs w:val="24"/>
                <w:lang w:val="zh-CN"/>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49B1CCD3">
            <w:pPr>
              <w:ind w:left="0" w:leftChars="0" w:firstLine="0" w:firstLineChar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合理化建议</w:t>
            </w: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14:paraId="3D946811">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2分</w:t>
            </w:r>
          </w:p>
        </w:tc>
        <w:tc>
          <w:tcPr>
            <w:tcW w:w="6977" w:type="dxa"/>
            <w:tcBorders>
              <w:top w:val="single" w:color="auto" w:sz="4" w:space="0"/>
              <w:left w:val="single" w:color="auto" w:sz="4" w:space="0"/>
              <w:bottom w:val="single" w:color="auto" w:sz="4" w:space="0"/>
              <w:right w:val="single" w:color="auto" w:sz="4" w:space="0"/>
            </w:tcBorders>
            <w:shd w:val="clear" w:color="auto" w:fill="auto"/>
            <w:vAlign w:val="top"/>
          </w:tcPr>
          <w:p w14:paraId="467D733B">
            <w:pPr>
              <w:keepNext w:val="0"/>
              <w:keepLines w:val="0"/>
              <w:widowControl/>
              <w:suppressLineNumbers w:val="0"/>
              <w:jc w:val="left"/>
            </w:pPr>
            <w:r>
              <w:rPr>
                <w:rFonts w:ascii="宋体" w:hAnsi="宋体" w:eastAsia="宋体" w:cs="宋体"/>
                <w:kern w:val="0"/>
                <w:sz w:val="24"/>
                <w:szCs w:val="24"/>
                <w:lang w:val="en-US" w:eastAsia="zh-CN" w:bidi="ar"/>
              </w:rPr>
              <w:t>针对本干部周转房食堂运营、菜品提质、服务优化、满意度提升等提出合理化建议</w:t>
            </w:r>
            <w:r>
              <w:rPr>
                <w:rFonts w:hint="eastAsia" w:ascii="宋体" w:hAnsi="宋体" w:eastAsia="宋体" w:cs="宋体"/>
                <w:kern w:val="0"/>
                <w:sz w:val="24"/>
                <w:szCs w:val="24"/>
                <w:lang w:val="en-US" w:eastAsia="zh-CN" w:bidi="ar"/>
              </w:rPr>
              <w:t>：</w:t>
            </w:r>
          </w:p>
          <w:p w14:paraId="0FE04CEE">
            <w:pPr>
              <w:keepNext w:val="0"/>
              <w:keepLines w:val="0"/>
              <w:widowControl/>
              <w:suppressLineNumbers w:val="0"/>
              <w:jc w:val="left"/>
            </w:pPr>
            <w:r>
              <w:rPr>
                <w:rFonts w:ascii="宋体" w:hAnsi="宋体" w:eastAsia="宋体" w:cs="宋体"/>
                <w:kern w:val="0"/>
                <w:sz w:val="24"/>
                <w:szCs w:val="24"/>
                <w:lang w:val="en-US" w:eastAsia="zh-CN" w:bidi="ar"/>
              </w:rPr>
              <w:t>（1）建议科学合理、贴合项目、可操作性强，得2分；</w:t>
            </w:r>
          </w:p>
          <w:p w14:paraId="05AFEEF8">
            <w:pPr>
              <w:keepNext w:val="0"/>
              <w:keepLines w:val="0"/>
              <w:widowControl/>
              <w:suppressLineNumbers w:val="0"/>
              <w:jc w:val="left"/>
            </w:pPr>
            <w:r>
              <w:rPr>
                <w:rFonts w:ascii="宋体" w:hAnsi="宋体" w:eastAsia="宋体" w:cs="宋体"/>
                <w:kern w:val="0"/>
                <w:sz w:val="24"/>
                <w:szCs w:val="24"/>
                <w:lang w:val="en-US" w:eastAsia="zh-CN" w:bidi="ar"/>
              </w:rPr>
              <w:t>（2）建议可行性一般、针对性不足，得1分；</w:t>
            </w:r>
          </w:p>
          <w:p w14:paraId="41F06BC2">
            <w:pPr>
              <w:keepNext w:val="0"/>
              <w:keepLines w:val="0"/>
              <w:widowControl/>
              <w:suppressLineNumbers w:val="0"/>
              <w:jc w:val="left"/>
              <w:rPr>
                <w:rFonts w:hint="eastAsia" w:asciiTheme="minorEastAsia" w:hAnsiTheme="minorEastAsia" w:eastAsiaTheme="minorEastAsia" w:cstheme="minorEastAsia"/>
                <w:sz w:val="24"/>
                <w:szCs w:val="24"/>
                <w:lang w:val="zh-CN" w:eastAsia="zh-CN"/>
              </w:rPr>
            </w:pPr>
            <w:r>
              <w:rPr>
                <w:rFonts w:ascii="宋体" w:hAnsi="宋体" w:eastAsia="宋体" w:cs="宋体"/>
                <w:kern w:val="0"/>
                <w:sz w:val="24"/>
                <w:szCs w:val="24"/>
                <w:lang w:val="en-US" w:eastAsia="zh-CN" w:bidi="ar"/>
              </w:rPr>
              <w:t>（3）无建议或建议不切实际，得0分</w:t>
            </w:r>
            <w:r>
              <w:rPr>
                <w:rFonts w:hint="eastAsia" w:ascii="宋体" w:hAnsi="宋体" w:eastAsia="宋体" w:cs="宋体"/>
                <w:kern w:val="0"/>
                <w:sz w:val="24"/>
                <w:szCs w:val="24"/>
                <w:lang w:val="en-US" w:eastAsia="zh-CN" w:bidi="ar"/>
              </w:rPr>
              <w:t>。</w:t>
            </w:r>
          </w:p>
        </w:tc>
      </w:tr>
      <w:tr w14:paraId="63DC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1198" w:type="dxa"/>
            <w:vMerge w:val="continue"/>
            <w:tcBorders>
              <w:top w:val="single" w:color="auto" w:sz="4" w:space="0"/>
              <w:left w:val="single" w:color="auto" w:sz="4" w:space="0"/>
              <w:bottom w:val="single" w:color="auto" w:sz="4" w:space="0"/>
              <w:right w:val="single" w:color="auto" w:sz="4" w:space="0"/>
            </w:tcBorders>
            <w:vAlign w:val="center"/>
          </w:tcPr>
          <w:p w14:paraId="0F156997">
            <w:pPr>
              <w:rPr>
                <w:rFonts w:hint="eastAsia" w:asciiTheme="minorEastAsia" w:hAnsiTheme="minorEastAsia" w:eastAsiaTheme="minorEastAsia" w:cstheme="minorEastAsia"/>
                <w:bCs/>
                <w:sz w:val="24"/>
                <w:szCs w:val="24"/>
                <w:lang w:val="zh-CN"/>
              </w:rPr>
            </w:pPr>
          </w:p>
        </w:tc>
        <w:tc>
          <w:tcPr>
            <w:tcW w:w="1007" w:type="dxa"/>
            <w:tcBorders>
              <w:top w:val="single" w:color="auto" w:sz="4" w:space="0"/>
              <w:left w:val="single" w:color="auto" w:sz="4" w:space="0"/>
              <w:bottom w:val="single" w:color="auto" w:sz="4" w:space="0"/>
              <w:right w:val="single" w:color="auto" w:sz="4" w:space="0"/>
            </w:tcBorders>
            <w:vAlign w:val="center"/>
          </w:tcPr>
          <w:p w14:paraId="2A3F79D6">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投标文件规范程度</w:t>
            </w:r>
          </w:p>
          <w:p w14:paraId="739F81DB">
            <w:pPr>
              <w:ind w:left="0" w:leftChars="0" w:firstLine="0" w:firstLineChars="0"/>
              <w:jc w:val="center"/>
              <w:rPr>
                <w:rFonts w:hint="eastAsia" w:asciiTheme="minorEastAsia" w:hAnsiTheme="minorEastAsia" w:eastAsiaTheme="minorEastAsia" w:cstheme="minorEastAsia"/>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14:paraId="1CFADF70">
            <w:pPr>
              <w:spacing w:line="300" w:lineRule="exact"/>
              <w:ind w:left="0" w:leftChars="0" w:firstLine="0" w:firstLineChars="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2分</w:t>
            </w:r>
          </w:p>
        </w:tc>
        <w:tc>
          <w:tcPr>
            <w:tcW w:w="6977" w:type="dxa"/>
            <w:tcBorders>
              <w:top w:val="single" w:color="auto" w:sz="4" w:space="0"/>
              <w:left w:val="single" w:color="auto" w:sz="4" w:space="0"/>
              <w:bottom w:val="single" w:color="auto" w:sz="4" w:space="0"/>
              <w:right w:val="single" w:color="auto" w:sz="4" w:space="0"/>
            </w:tcBorders>
            <w:vAlign w:val="center"/>
          </w:tcPr>
          <w:p w14:paraId="6F46DC0F">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ascii="宋体" w:hAnsi="宋体" w:eastAsia="宋体" w:cs="宋体"/>
                <w:kern w:val="0"/>
                <w:sz w:val="24"/>
                <w:szCs w:val="24"/>
                <w:lang w:val="en-US" w:eastAsia="zh-CN" w:bidi="ar"/>
              </w:rPr>
              <w:t>（1）</w:t>
            </w:r>
            <w:r>
              <w:rPr>
                <w:rFonts w:hint="eastAsia" w:asciiTheme="minorEastAsia" w:hAnsiTheme="minorEastAsia" w:eastAsiaTheme="minorEastAsia" w:cstheme="minorEastAsia"/>
                <w:sz w:val="24"/>
                <w:szCs w:val="24"/>
                <w:lang w:val="en-US" w:eastAsia="zh-CN"/>
              </w:rPr>
              <w:t>所提供资料准确完整、排版清晰、一目了然、无差错得2分；</w:t>
            </w:r>
          </w:p>
          <w:p w14:paraId="3C727A89">
            <w:pPr>
              <w:numPr>
                <w:ilvl w:val="0"/>
                <w:numId w:val="0"/>
              </w:num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w:t>
            </w:r>
            <w:r>
              <w:rPr>
                <w:rFonts w:hint="eastAsia" w:asciiTheme="minorEastAsia" w:hAnsiTheme="minorEastAsia" w:eastAsiaTheme="minorEastAsia" w:cstheme="minorEastAsia"/>
                <w:sz w:val="24"/>
                <w:szCs w:val="24"/>
                <w:lang w:val="en-US" w:eastAsia="zh-CN"/>
              </w:rPr>
              <w:t>一般得1分；</w:t>
            </w:r>
          </w:p>
          <w:p w14:paraId="48A973FB">
            <w:pPr>
              <w:numPr>
                <w:ilvl w:val="0"/>
                <w:numId w:val="0"/>
              </w:numPr>
              <w:spacing w:line="360" w:lineRule="auto"/>
              <w:ind w:firstLine="480" w:firstLineChars="200"/>
              <w:rPr>
                <w:rFonts w:hint="eastAsia" w:asciiTheme="minorEastAsia" w:hAnsiTheme="minorEastAsia" w:eastAsiaTheme="minorEastAsia" w:cstheme="minorEastAsia"/>
                <w:color w:val="000000"/>
                <w:spacing w:val="-8"/>
                <w:sz w:val="24"/>
                <w:szCs w:val="24"/>
              </w:rPr>
            </w:pP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w:t>
            </w:r>
            <w:r>
              <w:rPr>
                <w:rFonts w:hint="eastAsia" w:asciiTheme="minorEastAsia" w:hAnsiTheme="minorEastAsia" w:eastAsiaTheme="minorEastAsia" w:cstheme="minorEastAsia"/>
                <w:sz w:val="24"/>
                <w:szCs w:val="24"/>
                <w:lang w:val="en-US" w:eastAsia="zh-CN"/>
              </w:rPr>
              <w:t>不完整得0分</w:t>
            </w:r>
            <w:r>
              <w:rPr>
                <w:rFonts w:hint="eastAsia" w:ascii="宋体" w:hAnsi="宋体" w:eastAsia="宋体" w:cs="宋体"/>
                <w:kern w:val="0"/>
                <w:sz w:val="24"/>
                <w:szCs w:val="24"/>
                <w:lang w:val="en-US" w:eastAsia="zh-CN" w:bidi="ar"/>
              </w:rPr>
              <w:t>。</w:t>
            </w:r>
          </w:p>
        </w:tc>
      </w:tr>
    </w:tbl>
    <w:p w14:paraId="11855D50">
      <w:pPr>
        <w:rPr>
          <w:rFonts w:hint="eastAsia" w:asciiTheme="minorEastAsia" w:hAnsiTheme="minorEastAsia" w:eastAsiaTheme="minorEastAsia" w:cstheme="minorEastAsia"/>
          <w:sz w:val="24"/>
          <w:szCs w:val="24"/>
        </w:rPr>
      </w:pPr>
    </w:p>
    <w:p w14:paraId="5BA3811E">
      <w:pPr>
        <w:snapToGrid w:val="0"/>
        <w:spacing w:line="440" w:lineRule="exact"/>
        <w:ind w:right="42" w:rightChars="15" w:firstLine="482" w:firstLineChars="200"/>
        <w:outlineLvl w:val="1"/>
        <w:rPr>
          <w:rFonts w:ascii="宋体" w:hAnsi="宋体" w:cs="宋体"/>
          <w:b/>
          <w:sz w:val="24"/>
          <w:szCs w:val="24"/>
        </w:rPr>
      </w:pPr>
      <w:bookmarkStart w:id="89" w:name="_Toc27023"/>
      <w:r>
        <w:rPr>
          <w:rFonts w:hint="eastAsia" w:ascii="宋体" w:hAnsi="宋体" w:cs="宋体"/>
          <w:b/>
          <w:sz w:val="24"/>
          <w:szCs w:val="24"/>
        </w:rPr>
        <w:t>1.评标方法</w:t>
      </w:r>
      <w:bookmarkEnd w:id="89"/>
    </w:p>
    <w:p w14:paraId="3C335D32">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本次评标先进行资格审查。通过资格审查的单位进行下一步的综合得分评审。资格评审、响应性评审、符合性评审未合格的按无效标处理。</w:t>
      </w:r>
    </w:p>
    <w:p w14:paraId="043A7A51">
      <w:pPr>
        <w:snapToGrid w:val="0"/>
        <w:spacing w:line="440" w:lineRule="exact"/>
        <w:ind w:right="42" w:rightChars="15" w:firstLine="480" w:firstLineChars="200"/>
        <w:rPr>
          <w:rFonts w:ascii="宋体" w:hAnsi="宋体" w:cs="宋体"/>
          <w:bCs/>
          <w:sz w:val="24"/>
          <w:szCs w:val="24"/>
        </w:rPr>
      </w:pPr>
      <w:r>
        <w:rPr>
          <w:rFonts w:hint="eastAsia" w:ascii="宋体" w:hAnsi="宋体" w:cs="宋体"/>
          <w:sz w:val="24"/>
          <w:szCs w:val="24"/>
        </w:rPr>
        <w:t>本次评标采用综合评估法。竞争性磋商小组对满足磋商文件实质性要求的响应文件，按照本章第 2.2款规定的评分标准进行打分，并按得分由高到低顺序推荐成交候选人，或根据采购人授权直接确定成交响应人，但报价低于国家规定的除外。</w:t>
      </w:r>
      <w:r>
        <w:rPr>
          <w:rFonts w:hint="eastAsia" w:ascii="宋体" w:hAnsi="宋体" w:cs="宋体"/>
          <w:bCs/>
          <w:sz w:val="24"/>
          <w:szCs w:val="24"/>
        </w:rPr>
        <w:t xml:space="preserve">最终评分相等时，以最终报价低的优先；最终报价也相等的，由采购人自行确定。 </w:t>
      </w:r>
    </w:p>
    <w:p w14:paraId="3436F032">
      <w:pPr>
        <w:snapToGrid w:val="0"/>
        <w:spacing w:line="440" w:lineRule="exact"/>
        <w:ind w:right="42" w:rightChars="15" w:firstLine="482" w:firstLineChars="200"/>
        <w:outlineLvl w:val="1"/>
        <w:rPr>
          <w:rFonts w:ascii="宋体" w:hAnsi="宋体" w:cs="宋体"/>
          <w:b/>
          <w:sz w:val="24"/>
          <w:szCs w:val="24"/>
        </w:rPr>
      </w:pPr>
      <w:bookmarkStart w:id="90" w:name="_Toc26174"/>
      <w:bookmarkStart w:id="91" w:name="_Toc449367501"/>
      <w:r>
        <w:rPr>
          <w:rFonts w:hint="eastAsia" w:ascii="宋体" w:hAnsi="宋体" w:cs="宋体"/>
          <w:b/>
          <w:sz w:val="24"/>
          <w:szCs w:val="24"/>
        </w:rPr>
        <w:t>2. 评审标准</w:t>
      </w:r>
      <w:bookmarkEnd w:id="90"/>
      <w:bookmarkEnd w:id="91"/>
    </w:p>
    <w:p w14:paraId="48933FEB">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2.1 初步评审标准 </w:t>
      </w:r>
    </w:p>
    <w:p w14:paraId="1812E448">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2.1.1 资格评审标准：见评标办法前附表。</w:t>
      </w:r>
    </w:p>
    <w:p w14:paraId="28A27D3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2.1.2 响应性评审标准：见评标办法前附表。</w:t>
      </w:r>
    </w:p>
    <w:p w14:paraId="68ABE1DF">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2.1.3 符合性评审标准：见评标办法前附表。 </w:t>
      </w:r>
    </w:p>
    <w:p w14:paraId="285BA15D">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2.2 分值构成与评分标准 </w:t>
      </w:r>
    </w:p>
    <w:p w14:paraId="31E64143">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2.2.1 分值构成</w:t>
      </w:r>
    </w:p>
    <w:p w14:paraId="174B089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（1）报价部分：见评标办法前附表；</w:t>
      </w:r>
    </w:p>
    <w:p w14:paraId="02FFADF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（2）技术部分：见评标办法前附表；</w:t>
      </w:r>
    </w:p>
    <w:p w14:paraId="35879198">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（3）综合部分：见评标办法前附表；</w:t>
      </w:r>
    </w:p>
    <w:p w14:paraId="59542BEA">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2.2.4评分标准</w:t>
      </w:r>
    </w:p>
    <w:p w14:paraId="59DB753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（1）报价部分：见评标办法前附表；</w:t>
      </w:r>
    </w:p>
    <w:p w14:paraId="72215C8E">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（2）技术部分：见评标办法前附表；</w:t>
      </w:r>
    </w:p>
    <w:p w14:paraId="789DD1C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（3）综合部分：见评标办法前附表；</w:t>
      </w:r>
    </w:p>
    <w:p w14:paraId="6B579055">
      <w:pPr>
        <w:snapToGrid w:val="0"/>
        <w:spacing w:line="440" w:lineRule="exact"/>
        <w:ind w:right="42" w:rightChars="15" w:firstLine="482" w:firstLineChars="200"/>
        <w:outlineLvl w:val="1"/>
        <w:rPr>
          <w:rFonts w:ascii="宋体" w:hAnsi="宋体" w:cs="宋体"/>
          <w:b/>
          <w:sz w:val="24"/>
          <w:szCs w:val="24"/>
        </w:rPr>
      </w:pPr>
      <w:bookmarkStart w:id="92" w:name="_Toc20429"/>
      <w:bookmarkStart w:id="93" w:name="_Toc449367502"/>
      <w:r>
        <w:rPr>
          <w:rFonts w:hint="eastAsia" w:ascii="宋体" w:hAnsi="宋体" w:cs="宋体"/>
          <w:b/>
          <w:sz w:val="24"/>
          <w:szCs w:val="24"/>
        </w:rPr>
        <w:t>3.评标程序</w:t>
      </w:r>
      <w:bookmarkEnd w:id="92"/>
      <w:bookmarkEnd w:id="93"/>
    </w:p>
    <w:p w14:paraId="7405FE2E">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3.1 初步评审 </w:t>
      </w:r>
    </w:p>
    <w:p w14:paraId="74A03CC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5622F06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3.1.2 响应人有以下情形之一的，其投标作废标处理：</w:t>
      </w:r>
    </w:p>
    <w:p w14:paraId="0E850DCF">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（1）串通投标或弄虚作假或有其他违法行为的；</w:t>
      </w:r>
    </w:p>
    <w:p w14:paraId="7CDA482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（2）不按竞争性磋商小组要求澄清、说明或补正的。</w:t>
      </w:r>
    </w:p>
    <w:p w14:paraId="45564B01">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服务周期、质量目标前后不一致时，以磋商响应书中填报的相应内容为准。</w:t>
      </w:r>
    </w:p>
    <w:p w14:paraId="0C31A9F0">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(1）响应文件中的大写金额与小写金额不一致的，以大写金额为准；</w:t>
      </w:r>
    </w:p>
    <w:p w14:paraId="6C5F873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5D61289C">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3.2 详细评审 </w:t>
      </w:r>
    </w:p>
    <w:p w14:paraId="2092ACF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每个响应人最终得分为各评委打分的算术平均值。</w:t>
      </w:r>
    </w:p>
    <w:p w14:paraId="7B228D4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(1）按本章第2.2.4(1）目规定的评审因素和分值对报价部分计算出得分A；</w:t>
      </w:r>
    </w:p>
    <w:p w14:paraId="02BC79B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(2）按本章第2.2.4(2）目规定的评审因素和分值对技术部分计算出得分B；</w:t>
      </w:r>
    </w:p>
    <w:p w14:paraId="03EABE9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(3）按本章第2.2.4(3）目规定的评审因素和分值对综合部分计算出得分C；</w:t>
      </w:r>
    </w:p>
    <w:p w14:paraId="0DE12690">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3.2.2 评分分值计算保留小数点后两位，小数点后第三位“四舍五入”。</w:t>
      </w:r>
    </w:p>
    <w:p w14:paraId="4F1CE2A2">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3.2.3 响应人得分=A 十B 十C 。</w:t>
      </w:r>
    </w:p>
    <w:p w14:paraId="4A8975CA">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2F24295C">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 xml:space="preserve">3.3 响应文件的澄清和补正 </w:t>
      </w:r>
    </w:p>
    <w:p w14:paraId="50E3F4D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35AEF4C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3.3.2澄清、说明和补正不得改变响应文件的实质性内容（算术性错误修正的除外）。响应人的书面澄清、说明和补正属于响应文件的组成部分。 </w:t>
      </w:r>
    </w:p>
    <w:p w14:paraId="6E3AC45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3.3.3 竞争性磋商小组对响应人提交的澄清、说明或补正有疑问的，可以要求响应人进一步澄清、说明或补正，直至满足竞争性磋商小组的要求。</w:t>
      </w:r>
    </w:p>
    <w:p w14:paraId="1464DBCA">
      <w:pPr>
        <w:snapToGrid w:val="0"/>
        <w:spacing w:line="440" w:lineRule="exact"/>
        <w:ind w:right="42" w:rightChars="15" w:firstLine="482" w:firstLineChars="200"/>
        <w:rPr>
          <w:rFonts w:ascii="宋体" w:hAnsi="宋体" w:cs="宋体"/>
          <w:b/>
          <w:sz w:val="24"/>
          <w:szCs w:val="24"/>
        </w:rPr>
      </w:pPr>
      <w:r>
        <w:rPr>
          <w:rFonts w:hint="eastAsia" w:ascii="宋体" w:hAnsi="宋体" w:cs="宋体"/>
          <w:b/>
          <w:sz w:val="24"/>
          <w:szCs w:val="24"/>
        </w:rPr>
        <w:t>3.4定标办法</w:t>
      </w:r>
    </w:p>
    <w:p w14:paraId="74D43247">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3.4.1 竞争性磋商小组按照上述办法打分，最后按照各响应人最终得分从高到低排序。</w:t>
      </w:r>
    </w:p>
    <w:p w14:paraId="38DB667F">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4E46C51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按照推荐顺序依次确定另一名成交候选人为成交人。</w:t>
      </w:r>
    </w:p>
    <w:p w14:paraId="2B618CED">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3.4.4 成交人确定后，面向社会公示，公示期为1个工作日，采购人向成交响应人签发成交通知书，采购人与成交响应人应自成交通知书签发之日起2个工作日内签定合同。</w:t>
      </w:r>
    </w:p>
    <w:p w14:paraId="4F694893">
      <w:pPr>
        <w:snapToGrid w:val="0"/>
        <w:spacing w:line="440" w:lineRule="exact"/>
        <w:ind w:right="42" w:rightChars="15" w:firstLine="482" w:firstLineChars="200"/>
        <w:outlineLvl w:val="1"/>
        <w:rPr>
          <w:rFonts w:ascii="宋体" w:hAnsi="宋体" w:cs="宋体"/>
          <w:b/>
          <w:sz w:val="24"/>
          <w:szCs w:val="24"/>
        </w:rPr>
      </w:pPr>
      <w:bookmarkStart w:id="94" w:name="_Toc449367503"/>
      <w:bookmarkStart w:id="95" w:name="_Toc11643"/>
      <w:r>
        <w:rPr>
          <w:rFonts w:hint="eastAsia" w:ascii="宋体" w:hAnsi="宋体" w:cs="宋体"/>
          <w:b/>
          <w:sz w:val="24"/>
          <w:szCs w:val="24"/>
        </w:rPr>
        <w:t>4. 评标注意事项</w:t>
      </w:r>
      <w:bookmarkEnd w:id="94"/>
      <w:bookmarkEnd w:id="95"/>
    </w:p>
    <w:p w14:paraId="6742D27C">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竞争性磋商小组应按下列原则进行评分汇总统计：</w:t>
      </w:r>
    </w:p>
    <w:p w14:paraId="489B1E39">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1、分数计算过程中，保留两位小数，小数点后第三位四舍五入。</w:t>
      </w:r>
    </w:p>
    <w:p w14:paraId="46F9CC85">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2、分数汇总时，将所有评委打分取算术平均值作为该响应人的最终得分。</w:t>
      </w:r>
    </w:p>
    <w:p w14:paraId="60F4665F">
      <w:pPr>
        <w:snapToGrid w:val="0"/>
        <w:spacing w:line="420" w:lineRule="exact"/>
        <w:ind w:right="42" w:rightChars="15" w:firstLine="482" w:firstLineChars="200"/>
        <w:outlineLvl w:val="1"/>
        <w:rPr>
          <w:rFonts w:ascii="宋体" w:hAnsi="宋体" w:cs="宋体"/>
          <w:b/>
          <w:sz w:val="24"/>
          <w:szCs w:val="24"/>
        </w:rPr>
      </w:pPr>
      <w:bookmarkStart w:id="96" w:name="_Toc449367504"/>
      <w:bookmarkStart w:id="97" w:name="_Toc22993"/>
      <w:r>
        <w:rPr>
          <w:rFonts w:hint="eastAsia" w:ascii="宋体" w:hAnsi="宋体" w:cs="宋体"/>
          <w:b/>
          <w:sz w:val="24"/>
          <w:szCs w:val="24"/>
        </w:rPr>
        <w:t>5.评标报告</w:t>
      </w:r>
      <w:bookmarkEnd w:id="96"/>
      <w:bookmarkEnd w:id="97"/>
    </w:p>
    <w:p w14:paraId="653B7E33">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竞争性磋商小组根据响应人须知前附表的规定向采购人提交评标报告。评标报告应当由全体竞争性磋商小组成员签字。</w:t>
      </w:r>
    </w:p>
    <w:p w14:paraId="0AD34CF4">
      <w:pPr>
        <w:snapToGrid w:val="0"/>
        <w:spacing w:line="440" w:lineRule="exact"/>
        <w:ind w:right="42" w:rightChars="15" w:firstLine="480" w:firstLineChars="200"/>
        <w:rPr>
          <w:rFonts w:ascii="宋体" w:hAnsi="宋体" w:cs="宋体"/>
          <w:sz w:val="24"/>
          <w:szCs w:val="24"/>
        </w:rPr>
      </w:pPr>
      <w:r>
        <w:rPr>
          <w:rFonts w:hint="eastAsia" w:ascii="宋体" w:hAnsi="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74185C7E">
      <w:pPr>
        <w:keepNext/>
        <w:widowControl w:val="0"/>
        <w:spacing w:before="100" w:beforeAutospacing="1" w:after="100" w:afterAutospacing="1" w:line="360" w:lineRule="auto"/>
        <w:ind w:left="0" w:leftChars="0" w:firstLine="0" w:firstLineChars="0"/>
        <w:jc w:val="center"/>
        <w:outlineLvl w:val="0"/>
        <w:rPr>
          <w:rFonts w:ascii="宋体" w:hAnsi="宋体" w:cs="黑体"/>
          <w:b/>
          <w:sz w:val="28"/>
          <w:szCs w:val="28"/>
        </w:rPr>
      </w:pPr>
      <w:r>
        <w:rPr>
          <w:rFonts w:hint="eastAsia" w:ascii="宋体" w:hAnsi="宋体" w:cs="宋体"/>
          <w:b/>
          <w:kern w:val="2"/>
          <w:sz w:val="24"/>
          <w:szCs w:val="24"/>
        </w:rPr>
        <w:br w:type="page"/>
      </w:r>
      <w:bookmarkStart w:id="98" w:name="_Toc1883"/>
      <w:r>
        <w:rPr>
          <w:rFonts w:hint="eastAsia" w:ascii="宋体" w:hAnsi="宋体" w:cs="宋体"/>
          <w:b/>
          <w:kern w:val="2"/>
          <w:sz w:val="28"/>
          <w:szCs w:val="28"/>
        </w:rPr>
        <w:t xml:space="preserve">第六章  </w:t>
      </w:r>
      <w:r>
        <w:rPr>
          <w:rFonts w:hint="eastAsia" w:ascii="宋体" w:hAnsi="宋体" w:cs="宋体"/>
          <w:b/>
          <w:kern w:val="2"/>
          <w:sz w:val="28"/>
          <w:szCs w:val="28"/>
          <w:lang w:val="en-US" w:eastAsia="zh-CN"/>
        </w:rPr>
        <w:t xml:space="preserve">  </w:t>
      </w:r>
      <w:r>
        <w:rPr>
          <w:rFonts w:hint="eastAsia" w:ascii="宋体" w:hAnsi="宋体" w:cs="宋体"/>
          <w:b/>
          <w:kern w:val="2"/>
          <w:sz w:val="28"/>
          <w:szCs w:val="28"/>
        </w:rPr>
        <w:t>磋商文件格式</w:t>
      </w:r>
      <w:bookmarkEnd w:id="98"/>
    </w:p>
    <w:p w14:paraId="43965346">
      <w:pPr>
        <w:widowControl w:val="0"/>
        <w:spacing w:line="360" w:lineRule="auto"/>
        <w:ind w:firstLine="952" w:firstLineChars="395"/>
        <w:jc w:val="center"/>
        <w:rPr>
          <w:rFonts w:ascii="宋体" w:hAnsi="宋体" w:cs="宋体"/>
          <w:b/>
          <w:kern w:val="2"/>
          <w:sz w:val="24"/>
          <w:szCs w:val="24"/>
          <w:u w:val="single"/>
        </w:rPr>
      </w:pPr>
    </w:p>
    <w:p w14:paraId="592FAC78">
      <w:pPr>
        <w:widowControl w:val="0"/>
        <w:spacing w:line="360" w:lineRule="auto"/>
        <w:ind w:firstLine="952" w:firstLineChars="395"/>
        <w:jc w:val="center"/>
        <w:outlineLvl w:val="0"/>
        <w:rPr>
          <w:rFonts w:ascii="宋体" w:hAnsi="宋体"/>
          <w:b/>
          <w:sz w:val="24"/>
          <w:szCs w:val="24"/>
        </w:rPr>
      </w:pPr>
      <w:r>
        <w:rPr>
          <w:rFonts w:hint="eastAsia" w:ascii="宋体" w:hAnsi="宋体" w:cs="宋体"/>
          <w:b/>
          <w:kern w:val="2"/>
          <w:sz w:val="24"/>
          <w:szCs w:val="24"/>
          <w:u w:val="single"/>
        </w:rPr>
        <w:t xml:space="preserve">         </w:t>
      </w:r>
      <w:bookmarkStart w:id="99" w:name="_Toc7942"/>
      <w:r>
        <w:rPr>
          <w:rFonts w:hint="eastAsia" w:ascii="宋体" w:hAnsi="宋体" w:cs="宋体"/>
          <w:b/>
          <w:kern w:val="2"/>
          <w:sz w:val="24"/>
          <w:szCs w:val="24"/>
        </w:rPr>
        <w:t>项目名称</w:t>
      </w:r>
      <w:bookmarkEnd w:id="99"/>
    </w:p>
    <w:p w14:paraId="2E8E3B18">
      <w:pPr>
        <w:widowControl w:val="0"/>
        <w:spacing w:line="360" w:lineRule="auto"/>
        <w:ind w:firstLine="952" w:firstLineChars="395"/>
        <w:jc w:val="both"/>
        <w:rPr>
          <w:rFonts w:ascii="宋体" w:hAnsi="宋体"/>
          <w:b/>
          <w:sz w:val="24"/>
          <w:szCs w:val="24"/>
        </w:rPr>
      </w:pPr>
      <w:r>
        <w:rPr>
          <w:rFonts w:hint="eastAsia" w:ascii="宋体" w:hAnsi="宋体"/>
          <w:b/>
          <w:kern w:val="2"/>
          <w:sz w:val="24"/>
          <w:szCs w:val="24"/>
        </w:rPr>
        <w:t xml:space="preserve"> </w:t>
      </w:r>
    </w:p>
    <w:p w14:paraId="6C342F5E">
      <w:pPr>
        <w:widowControl w:val="0"/>
        <w:spacing w:line="360" w:lineRule="auto"/>
        <w:ind w:firstLine="1193" w:firstLineChars="495"/>
        <w:jc w:val="both"/>
        <w:rPr>
          <w:rFonts w:ascii="宋体" w:hAnsi="宋体" w:cs="宋体"/>
          <w:b/>
          <w:kern w:val="2"/>
          <w:sz w:val="24"/>
          <w:szCs w:val="24"/>
        </w:rPr>
      </w:pPr>
      <w:bookmarkStart w:id="100" w:name="_Toc453139657"/>
      <w:bookmarkEnd w:id="100"/>
    </w:p>
    <w:p w14:paraId="558130C8">
      <w:pPr>
        <w:widowControl w:val="0"/>
        <w:spacing w:line="360" w:lineRule="auto"/>
        <w:ind w:firstLine="1193" w:firstLineChars="495"/>
        <w:jc w:val="center"/>
        <w:rPr>
          <w:rFonts w:ascii="宋体" w:hAnsi="宋体"/>
          <w:b/>
          <w:sz w:val="24"/>
          <w:szCs w:val="24"/>
        </w:rPr>
      </w:pPr>
      <w:r>
        <w:rPr>
          <w:rFonts w:hint="eastAsia" w:ascii="宋体" w:hAnsi="宋体" w:cs="宋体"/>
          <w:b/>
          <w:kern w:val="2"/>
          <w:sz w:val="24"/>
          <w:szCs w:val="24"/>
        </w:rPr>
        <w:t>竞争性磋商响应文件</w:t>
      </w:r>
    </w:p>
    <w:p w14:paraId="1534C988">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799C0592">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25D6A5DE">
      <w:pPr>
        <w:widowControl w:val="0"/>
        <w:spacing w:line="360" w:lineRule="auto"/>
        <w:ind w:firstLine="1554" w:firstLineChars="645"/>
        <w:jc w:val="center"/>
        <w:rPr>
          <w:rFonts w:ascii="宋体" w:hAnsi="宋体"/>
          <w:b/>
          <w:sz w:val="24"/>
          <w:szCs w:val="24"/>
        </w:rPr>
      </w:pPr>
      <w:r>
        <w:rPr>
          <w:rFonts w:hint="eastAsia" w:ascii="宋体" w:hAnsi="宋体" w:cs="宋体"/>
          <w:b/>
          <w:kern w:val="2"/>
          <w:sz w:val="24"/>
          <w:szCs w:val="24"/>
        </w:rPr>
        <w:t>项目编号：</w:t>
      </w:r>
    </w:p>
    <w:p w14:paraId="0EB8360B">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6D8BA5ED">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75D0ED36">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7EF35ACE">
      <w:pPr>
        <w:pStyle w:val="18"/>
        <w:ind w:left="400" w:firstLine="480"/>
        <w:rPr>
          <w:rFonts w:ascii="宋体" w:hAnsi="宋体"/>
          <w:kern w:val="2"/>
          <w:sz w:val="24"/>
          <w:szCs w:val="24"/>
        </w:rPr>
      </w:pPr>
    </w:p>
    <w:p w14:paraId="29B06BCE">
      <w:pPr>
        <w:pStyle w:val="17"/>
        <w:rPr>
          <w:rFonts w:ascii="宋体" w:hAnsi="宋体"/>
          <w:sz w:val="24"/>
          <w:szCs w:val="24"/>
        </w:rPr>
      </w:pPr>
    </w:p>
    <w:p w14:paraId="239EA650">
      <w:pPr>
        <w:pStyle w:val="18"/>
        <w:ind w:left="400" w:firstLine="480"/>
        <w:rPr>
          <w:rFonts w:ascii="宋体" w:hAnsi="宋体"/>
          <w:kern w:val="2"/>
          <w:sz w:val="24"/>
          <w:szCs w:val="24"/>
        </w:rPr>
      </w:pPr>
    </w:p>
    <w:p w14:paraId="2104C3DE">
      <w:pPr>
        <w:pStyle w:val="17"/>
        <w:rPr>
          <w:rFonts w:ascii="宋体" w:hAnsi="宋体"/>
          <w:sz w:val="24"/>
          <w:szCs w:val="24"/>
        </w:rPr>
      </w:pPr>
    </w:p>
    <w:p w14:paraId="3F6A7DAA">
      <w:pPr>
        <w:pStyle w:val="18"/>
        <w:ind w:left="400" w:firstLine="400"/>
      </w:pPr>
    </w:p>
    <w:p w14:paraId="72321B6D">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5DC859E8">
      <w:pPr>
        <w:pStyle w:val="18"/>
        <w:ind w:left="400" w:firstLine="480"/>
        <w:rPr>
          <w:rFonts w:ascii="宋体" w:hAnsi="宋体"/>
          <w:kern w:val="2"/>
          <w:sz w:val="24"/>
          <w:szCs w:val="24"/>
        </w:rPr>
      </w:pPr>
    </w:p>
    <w:p w14:paraId="64900C68">
      <w:pPr>
        <w:pStyle w:val="17"/>
      </w:pPr>
    </w:p>
    <w:p w14:paraId="5140879E">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5043C41E">
      <w:pPr>
        <w:widowControl w:val="0"/>
        <w:spacing w:line="360" w:lineRule="auto"/>
        <w:jc w:val="center"/>
        <w:rPr>
          <w:rFonts w:ascii="宋体" w:hAnsi="宋体"/>
          <w:sz w:val="24"/>
          <w:szCs w:val="24"/>
        </w:rPr>
      </w:pPr>
      <w:bookmarkStart w:id="101" w:name="_Toc453139658"/>
      <w:bookmarkEnd w:id="101"/>
      <w:r>
        <w:rPr>
          <w:rFonts w:hint="eastAsia" w:ascii="宋体" w:hAnsi="宋体" w:cs="宋体"/>
          <w:kern w:val="2"/>
          <w:sz w:val="24"/>
          <w:szCs w:val="24"/>
        </w:rPr>
        <w:t>供应商名称：</w:t>
      </w:r>
      <w:r>
        <w:rPr>
          <w:rFonts w:hint="eastAsia" w:ascii="宋体" w:hAnsi="宋体"/>
          <w:kern w:val="2"/>
          <w:sz w:val="24"/>
          <w:szCs w:val="24"/>
        </w:rPr>
        <w:t xml:space="preserve">                </w:t>
      </w:r>
      <w:r>
        <w:rPr>
          <w:rFonts w:hint="eastAsia" w:ascii="宋体" w:hAnsi="宋体" w:cs="宋体"/>
          <w:kern w:val="2"/>
          <w:sz w:val="24"/>
          <w:szCs w:val="24"/>
        </w:rPr>
        <w:t>（公章签章）</w:t>
      </w:r>
    </w:p>
    <w:p w14:paraId="3FF486BD">
      <w:pPr>
        <w:widowControl w:val="0"/>
        <w:spacing w:line="360" w:lineRule="auto"/>
        <w:jc w:val="center"/>
        <w:rPr>
          <w:rFonts w:ascii="宋体" w:hAnsi="宋体"/>
          <w:sz w:val="24"/>
          <w:szCs w:val="24"/>
        </w:rPr>
      </w:pPr>
      <w:bookmarkStart w:id="102" w:name="_Toc453139660"/>
      <w:bookmarkEnd w:id="102"/>
      <w:r>
        <w:rPr>
          <w:rFonts w:hint="eastAsia" w:ascii="宋体" w:hAnsi="宋体" w:cs="宋体"/>
          <w:kern w:val="2"/>
          <w:sz w:val="24"/>
          <w:szCs w:val="24"/>
        </w:rPr>
        <w:t>法定代表人：</w:t>
      </w:r>
      <w:r>
        <w:rPr>
          <w:rFonts w:hint="eastAsia" w:ascii="宋体" w:hAnsi="宋体"/>
          <w:kern w:val="2"/>
          <w:sz w:val="24"/>
          <w:szCs w:val="24"/>
        </w:rPr>
        <w:t xml:space="preserve">                （签章</w:t>
      </w:r>
      <w:r>
        <w:rPr>
          <w:rFonts w:hint="eastAsia" w:ascii="宋体" w:hAnsi="宋体" w:cs="宋体"/>
          <w:kern w:val="2"/>
          <w:sz w:val="24"/>
          <w:szCs w:val="24"/>
        </w:rPr>
        <w:t>）</w:t>
      </w:r>
    </w:p>
    <w:p w14:paraId="62C37E7A">
      <w:pPr>
        <w:widowControl w:val="0"/>
        <w:spacing w:line="360" w:lineRule="auto"/>
        <w:jc w:val="center"/>
        <w:rPr>
          <w:rFonts w:ascii="宋体" w:hAnsi="宋体"/>
          <w:sz w:val="24"/>
          <w:szCs w:val="24"/>
        </w:rPr>
      </w:pPr>
      <w:bookmarkStart w:id="103" w:name="_Toc453139662"/>
      <w:bookmarkEnd w:id="103"/>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cs="宋体"/>
          <w:kern w:val="2"/>
          <w:sz w:val="24"/>
          <w:szCs w:val="24"/>
        </w:rPr>
        <w:t>期：</w:t>
      </w:r>
    </w:p>
    <w:p w14:paraId="312AAED1">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06E10081">
      <w:pPr>
        <w:widowControl w:val="0"/>
        <w:spacing w:line="360" w:lineRule="auto"/>
        <w:jc w:val="both"/>
        <w:rPr>
          <w:rFonts w:ascii="宋体" w:hAnsi="宋体"/>
          <w:kern w:val="2"/>
          <w:sz w:val="24"/>
          <w:szCs w:val="24"/>
        </w:rPr>
      </w:pPr>
    </w:p>
    <w:p w14:paraId="36F19CC8">
      <w:pPr>
        <w:widowControl w:val="0"/>
        <w:spacing w:line="360" w:lineRule="auto"/>
        <w:jc w:val="both"/>
        <w:rPr>
          <w:rFonts w:ascii="宋体" w:hAnsi="宋体"/>
          <w:kern w:val="2"/>
          <w:sz w:val="24"/>
          <w:szCs w:val="24"/>
        </w:rPr>
      </w:pPr>
    </w:p>
    <w:p w14:paraId="2E9AB341">
      <w:pPr>
        <w:widowControl w:val="0"/>
        <w:spacing w:line="360" w:lineRule="auto"/>
        <w:jc w:val="both"/>
        <w:rPr>
          <w:rFonts w:ascii="宋体" w:hAnsi="宋体"/>
          <w:kern w:val="2"/>
          <w:sz w:val="24"/>
          <w:szCs w:val="24"/>
        </w:rPr>
      </w:pPr>
    </w:p>
    <w:p w14:paraId="1C62FDF2">
      <w:pPr>
        <w:spacing w:line="360" w:lineRule="auto"/>
        <w:ind w:firstLine="482" w:firstLineChars="200"/>
        <w:jc w:val="center"/>
        <w:outlineLvl w:val="0"/>
        <w:rPr>
          <w:rFonts w:ascii="宋体" w:hAnsi="宋体" w:cs="宋体"/>
          <w:b/>
          <w:sz w:val="24"/>
          <w:szCs w:val="24"/>
        </w:rPr>
      </w:pPr>
      <w:bookmarkStart w:id="104" w:name="_Toc3934"/>
      <w:r>
        <w:rPr>
          <w:rFonts w:hint="eastAsia" w:ascii="宋体" w:hAnsi="宋体" w:cs="宋体"/>
          <w:b/>
          <w:sz w:val="24"/>
          <w:szCs w:val="24"/>
        </w:rPr>
        <w:t>目录</w:t>
      </w:r>
      <w:bookmarkEnd w:id="104"/>
    </w:p>
    <w:p w14:paraId="5846600B">
      <w:pPr>
        <w:pStyle w:val="18"/>
        <w:ind w:left="400" w:firstLine="482"/>
        <w:rPr>
          <w:rFonts w:ascii="宋体" w:hAnsi="宋体" w:cs="宋体"/>
          <w:b/>
          <w:sz w:val="24"/>
          <w:szCs w:val="24"/>
        </w:rPr>
      </w:pPr>
    </w:p>
    <w:p w14:paraId="0FAF3A2D">
      <w:pPr>
        <w:jc w:val="center"/>
        <w:rPr>
          <w:rFonts w:ascii="宋体" w:hAnsi="宋体" w:cs="宋体"/>
          <w:b/>
          <w:sz w:val="24"/>
          <w:szCs w:val="24"/>
        </w:rPr>
      </w:pPr>
      <w:r>
        <w:rPr>
          <w:rFonts w:hint="eastAsia" w:ascii="宋体" w:hAnsi="宋体" w:cs="宋体"/>
          <w:b/>
          <w:sz w:val="24"/>
          <w:szCs w:val="24"/>
        </w:rPr>
        <w:t>（格式自拟）</w:t>
      </w:r>
    </w:p>
    <w:p w14:paraId="5A9A0B25">
      <w:pPr>
        <w:pStyle w:val="18"/>
        <w:ind w:left="400" w:firstLine="482"/>
        <w:rPr>
          <w:rFonts w:ascii="宋体" w:hAnsi="宋体" w:cs="宋体"/>
          <w:b/>
          <w:sz w:val="24"/>
          <w:szCs w:val="24"/>
        </w:rPr>
      </w:pPr>
    </w:p>
    <w:p w14:paraId="62C32EED">
      <w:pPr>
        <w:rPr>
          <w:rFonts w:ascii="宋体" w:hAnsi="宋体" w:cs="宋体"/>
          <w:b/>
          <w:sz w:val="24"/>
          <w:szCs w:val="24"/>
        </w:rPr>
      </w:pPr>
    </w:p>
    <w:p w14:paraId="16CC737F">
      <w:pPr>
        <w:pStyle w:val="18"/>
        <w:ind w:left="400" w:firstLine="482"/>
        <w:rPr>
          <w:rFonts w:ascii="宋体" w:hAnsi="宋体" w:cs="宋体"/>
          <w:b/>
          <w:sz w:val="24"/>
          <w:szCs w:val="24"/>
        </w:rPr>
      </w:pPr>
    </w:p>
    <w:p w14:paraId="0CB779EF">
      <w:pPr>
        <w:rPr>
          <w:rFonts w:ascii="宋体" w:hAnsi="宋体" w:cs="宋体"/>
          <w:b/>
          <w:sz w:val="24"/>
          <w:szCs w:val="24"/>
        </w:rPr>
      </w:pPr>
    </w:p>
    <w:p w14:paraId="736DA15D">
      <w:pPr>
        <w:pStyle w:val="18"/>
        <w:ind w:left="400" w:firstLine="400"/>
      </w:pPr>
    </w:p>
    <w:p w14:paraId="1DF085C9">
      <w:pPr>
        <w:rPr>
          <w:rFonts w:ascii="宋体" w:hAnsi="宋体" w:cs="宋体"/>
          <w:b/>
          <w:sz w:val="24"/>
          <w:szCs w:val="24"/>
        </w:rPr>
      </w:pPr>
    </w:p>
    <w:p w14:paraId="7891D939">
      <w:pPr>
        <w:pStyle w:val="18"/>
        <w:ind w:left="400" w:firstLine="482"/>
        <w:rPr>
          <w:rFonts w:ascii="宋体" w:hAnsi="宋体" w:cs="宋体"/>
          <w:b/>
          <w:sz w:val="24"/>
          <w:szCs w:val="24"/>
        </w:rPr>
      </w:pPr>
    </w:p>
    <w:p w14:paraId="79F6F9A5">
      <w:pPr>
        <w:rPr>
          <w:rFonts w:ascii="宋体" w:hAnsi="宋体" w:cs="宋体"/>
          <w:b/>
          <w:sz w:val="24"/>
          <w:szCs w:val="24"/>
        </w:rPr>
      </w:pPr>
    </w:p>
    <w:p w14:paraId="787B5E08">
      <w:pPr>
        <w:pStyle w:val="18"/>
        <w:ind w:left="400" w:firstLine="482"/>
        <w:rPr>
          <w:rFonts w:ascii="宋体" w:hAnsi="宋体" w:cs="宋体"/>
          <w:b/>
          <w:sz w:val="24"/>
          <w:szCs w:val="24"/>
        </w:rPr>
      </w:pPr>
    </w:p>
    <w:p w14:paraId="6E3942F7">
      <w:pPr>
        <w:rPr>
          <w:rFonts w:ascii="宋体" w:hAnsi="宋体" w:cs="宋体"/>
          <w:b/>
          <w:sz w:val="24"/>
          <w:szCs w:val="24"/>
        </w:rPr>
      </w:pPr>
    </w:p>
    <w:p w14:paraId="42FB9CD5">
      <w:pPr>
        <w:pStyle w:val="18"/>
        <w:ind w:left="400" w:firstLine="400"/>
      </w:pPr>
    </w:p>
    <w:p w14:paraId="1146DF98">
      <w:pPr>
        <w:spacing w:line="360" w:lineRule="auto"/>
        <w:jc w:val="center"/>
        <w:rPr>
          <w:rFonts w:ascii="宋体" w:hAnsi="宋体" w:cs="宋体"/>
          <w:b/>
          <w:sz w:val="24"/>
          <w:szCs w:val="24"/>
        </w:rPr>
      </w:pPr>
    </w:p>
    <w:p w14:paraId="0804E35B">
      <w:pPr>
        <w:spacing w:line="360" w:lineRule="auto"/>
        <w:jc w:val="center"/>
        <w:rPr>
          <w:rFonts w:ascii="宋体" w:hAnsi="宋体" w:cs="宋体"/>
          <w:b/>
          <w:sz w:val="24"/>
          <w:szCs w:val="24"/>
        </w:rPr>
      </w:pPr>
    </w:p>
    <w:p w14:paraId="1CA466B4">
      <w:pPr>
        <w:spacing w:line="360" w:lineRule="auto"/>
        <w:jc w:val="center"/>
        <w:rPr>
          <w:rFonts w:ascii="宋体" w:hAnsi="宋体" w:cs="宋体"/>
          <w:b/>
          <w:sz w:val="24"/>
          <w:szCs w:val="24"/>
        </w:rPr>
      </w:pPr>
    </w:p>
    <w:p w14:paraId="24FADF24">
      <w:pPr>
        <w:spacing w:line="360" w:lineRule="auto"/>
        <w:jc w:val="center"/>
        <w:rPr>
          <w:rFonts w:ascii="宋体" w:hAnsi="宋体" w:cs="宋体"/>
          <w:b/>
          <w:sz w:val="24"/>
          <w:szCs w:val="24"/>
        </w:rPr>
      </w:pPr>
    </w:p>
    <w:p w14:paraId="0ED0D4E4">
      <w:pPr>
        <w:spacing w:line="360" w:lineRule="auto"/>
        <w:jc w:val="center"/>
        <w:rPr>
          <w:rFonts w:ascii="宋体" w:hAnsi="宋体" w:cs="宋体"/>
          <w:b/>
          <w:sz w:val="24"/>
          <w:szCs w:val="24"/>
        </w:rPr>
      </w:pPr>
    </w:p>
    <w:p w14:paraId="3B100999">
      <w:pPr>
        <w:spacing w:line="360" w:lineRule="auto"/>
        <w:jc w:val="center"/>
        <w:rPr>
          <w:rFonts w:ascii="宋体" w:hAnsi="宋体" w:cs="宋体"/>
          <w:b/>
          <w:sz w:val="24"/>
          <w:szCs w:val="24"/>
        </w:rPr>
      </w:pPr>
    </w:p>
    <w:p w14:paraId="5EC90599">
      <w:pPr>
        <w:spacing w:line="360" w:lineRule="auto"/>
        <w:jc w:val="center"/>
        <w:rPr>
          <w:rFonts w:ascii="宋体" w:hAnsi="宋体" w:cs="宋体"/>
          <w:b/>
          <w:sz w:val="24"/>
          <w:szCs w:val="24"/>
        </w:rPr>
      </w:pPr>
    </w:p>
    <w:p w14:paraId="297A2852">
      <w:pPr>
        <w:spacing w:line="360" w:lineRule="auto"/>
        <w:jc w:val="center"/>
        <w:rPr>
          <w:rFonts w:ascii="宋体" w:hAnsi="宋体" w:cs="宋体"/>
          <w:b/>
          <w:sz w:val="24"/>
          <w:szCs w:val="24"/>
        </w:rPr>
      </w:pPr>
    </w:p>
    <w:p w14:paraId="23426E1D">
      <w:pPr>
        <w:spacing w:line="360" w:lineRule="auto"/>
        <w:jc w:val="center"/>
        <w:rPr>
          <w:rFonts w:ascii="宋体" w:hAnsi="宋体" w:cs="宋体"/>
          <w:b/>
          <w:sz w:val="24"/>
          <w:szCs w:val="24"/>
        </w:rPr>
      </w:pPr>
    </w:p>
    <w:p w14:paraId="2FD423A9">
      <w:pPr>
        <w:spacing w:line="360" w:lineRule="auto"/>
        <w:jc w:val="center"/>
        <w:rPr>
          <w:rFonts w:ascii="宋体" w:hAnsi="宋体" w:cs="宋体"/>
          <w:b/>
          <w:sz w:val="24"/>
          <w:szCs w:val="24"/>
        </w:rPr>
      </w:pPr>
    </w:p>
    <w:p w14:paraId="4F6E2B17">
      <w:pPr>
        <w:pStyle w:val="17"/>
      </w:pPr>
    </w:p>
    <w:p w14:paraId="68A908C1">
      <w:pPr>
        <w:rPr>
          <w:rFonts w:hint="eastAsia" w:ascii="宋体" w:hAnsi="宋体" w:cs="宋体"/>
          <w:b/>
          <w:sz w:val="24"/>
          <w:szCs w:val="24"/>
        </w:rPr>
      </w:pPr>
      <w:r>
        <w:rPr>
          <w:rFonts w:hint="eastAsia" w:ascii="宋体" w:hAnsi="宋体" w:cs="宋体"/>
          <w:b/>
          <w:sz w:val="24"/>
          <w:szCs w:val="24"/>
        </w:rPr>
        <w:br w:type="page"/>
      </w:r>
    </w:p>
    <w:p w14:paraId="3092C87B">
      <w:pPr>
        <w:spacing w:line="360" w:lineRule="auto"/>
        <w:ind w:firstLine="482" w:firstLineChars="200"/>
        <w:jc w:val="center"/>
        <w:outlineLvl w:val="0"/>
        <w:rPr>
          <w:rFonts w:ascii="宋体" w:hAnsi="宋体"/>
          <w:sz w:val="24"/>
          <w:szCs w:val="24"/>
        </w:rPr>
      </w:pPr>
      <w:bookmarkStart w:id="105" w:name="_Toc4032"/>
      <w:r>
        <w:rPr>
          <w:rFonts w:hint="eastAsia" w:ascii="宋体" w:hAnsi="宋体" w:cs="宋体"/>
          <w:b/>
          <w:sz w:val="24"/>
          <w:szCs w:val="24"/>
        </w:rPr>
        <w:t>一、 磋 商 函</w:t>
      </w:r>
      <w:bookmarkEnd w:id="105"/>
    </w:p>
    <w:p w14:paraId="6129384C">
      <w:pPr>
        <w:spacing w:line="360" w:lineRule="auto"/>
        <w:rPr>
          <w:rFonts w:ascii="宋体" w:hAnsi="宋体" w:cs="宋体"/>
          <w:sz w:val="24"/>
          <w:szCs w:val="24"/>
          <w:u w:val="single"/>
        </w:rPr>
      </w:pPr>
      <w:bookmarkStart w:id="106" w:name="OLE_LINK11"/>
      <w:bookmarkEnd w:id="106"/>
      <w:r>
        <w:rPr>
          <w:rFonts w:hint="eastAsia" w:ascii="宋体" w:hAnsi="宋体" w:cs="宋体"/>
          <w:sz w:val="24"/>
          <w:szCs w:val="24"/>
          <w:u w:val="single"/>
        </w:rPr>
        <w:t>致：（采购人）</w:t>
      </w:r>
    </w:p>
    <w:p w14:paraId="6891BF36">
      <w:pPr>
        <w:spacing w:line="360" w:lineRule="auto"/>
        <w:ind w:firstLine="480" w:firstLineChars="200"/>
        <w:rPr>
          <w:rFonts w:ascii="宋体" w:hAnsi="宋体" w:cs="宋体"/>
          <w:sz w:val="24"/>
          <w:szCs w:val="24"/>
        </w:rPr>
      </w:pPr>
      <w:r>
        <w:rPr>
          <w:rFonts w:hint="eastAsia" w:ascii="宋体" w:hAnsi="宋体" w:cs="宋体"/>
          <w:sz w:val="24"/>
          <w:szCs w:val="24"/>
        </w:rPr>
        <w:t>我们收到了</w:t>
      </w:r>
      <w:r>
        <w:rPr>
          <w:rFonts w:hint="eastAsia" w:ascii="宋体" w:hAnsi="宋体" w:cs="宋体"/>
          <w:sz w:val="24"/>
          <w:szCs w:val="24"/>
          <w:u w:val="single"/>
        </w:rPr>
        <w:t xml:space="preserve">     （项目名称）  </w:t>
      </w:r>
      <w:r>
        <w:rPr>
          <w:rFonts w:hint="eastAsia" w:ascii="宋体" w:hAnsi="宋体" w:cs="宋体"/>
          <w:sz w:val="24"/>
          <w:szCs w:val="24"/>
        </w:rPr>
        <w:t xml:space="preserve"> 的磋商文件，经详细研究，我们郑重声明以下诸点并负法律责任。</w:t>
      </w:r>
    </w:p>
    <w:p w14:paraId="0CC0EC4C">
      <w:pPr>
        <w:spacing w:line="360" w:lineRule="auto"/>
        <w:ind w:firstLine="480" w:firstLineChars="200"/>
        <w:rPr>
          <w:rFonts w:ascii="宋体" w:hAnsi="宋体" w:cs="宋体"/>
          <w:sz w:val="24"/>
          <w:szCs w:val="24"/>
        </w:rPr>
      </w:pPr>
      <w:r>
        <w:rPr>
          <w:rFonts w:hint="eastAsia" w:ascii="宋体" w:hAnsi="宋体" w:cs="宋体"/>
          <w:sz w:val="24"/>
          <w:szCs w:val="24"/>
        </w:rPr>
        <w:t>（1）愿按照磋商文件中的条款和要求，提供服务，报价为人民币（小写）</w:t>
      </w:r>
      <w:r>
        <w:rPr>
          <w:rFonts w:hint="eastAsia" w:ascii="宋体" w:hAnsi="宋体" w:cs="宋体"/>
          <w:sz w:val="24"/>
          <w:szCs w:val="24"/>
          <w:u w:val="single"/>
        </w:rPr>
        <w:t xml:space="preserve">：        元，（大写）：        </w:t>
      </w:r>
      <w:r>
        <w:rPr>
          <w:rFonts w:hint="eastAsia" w:ascii="宋体" w:hAnsi="宋体" w:cs="宋体"/>
          <w:sz w:val="24"/>
          <w:szCs w:val="24"/>
        </w:rPr>
        <w:t>，</w:t>
      </w:r>
      <w:r>
        <w:rPr>
          <w:rFonts w:hint="eastAsia" w:ascii="宋体" w:hAnsi="宋体" w:cs="宋体"/>
          <w:sz w:val="24"/>
          <w:szCs w:val="24"/>
          <w:lang w:eastAsia="zh-CN"/>
        </w:rPr>
        <w:t>服务</w:t>
      </w:r>
      <w:r>
        <w:rPr>
          <w:rFonts w:hint="eastAsia" w:ascii="宋体" w:hAnsi="宋体" w:cs="宋体"/>
          <w:sz w:val="24"/>
          <w:szCs w:val="24"/>
          <w:lang w:val="en-US" w:eastAsia="zh-CN"/>
        </w:rPr>
        <w:t>要求</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kern w:val="2"/>
          <w:sz w:val="24"/>
          <w:szCs w:val="24"/>
          <w:lang w:eastAsia="zh-CN"/>
        </w:rPr>
        <w:t>服务期限</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0B94CF66">
      <w:pPr>
        <w:spacing w:line="360" w:lineRule="auto"/>
        <w:ind w:firstLine="480" w:firstLineChars="200"/>
        <w:rPr>
          <w:rFonts w:ascii="宋体" w:hAnsi="宋体" w:cs="宋体"/>
          <w:sz w:val="24"/>
          <w:szCs w:val="24"/>
        </w:rPr>
      </w:pPr>
      <w:r>
        <w:rPr>
          <w:rFonts w:hint="eastAsia" w:ascii="宋体" w:hAnsi="宋体" w:cs="宋体"/>
          <w:sz w:val="24"/>
          <w:szCs w:val="24"/>
        </w:rPr>
        <w:t>(2) 如果我们的响应文件被接受，我们将履行磋商文件中规定的各项要求。</w:t>
      </w:r>
    </w:p>
    <w:p w14:paraId="38CDBF68">
      <w:pPr>
        <w:spacing w:line="360" w:lineRule="auto"/>
        <w:ind w:firstLine="480" w:firstLineChars="200"/>
        <w:rPr>
          <w:rFonts w:ascii="宋体" w:hAnsi="宋体" w:cs="宋体"/>
          <w:sz w:val="24"/>
          <w:szCs w:val="24"/>
        </w:rPr>
      </w:pPr>
      <w:r>
        <w:rPr>
          <w:rFonts w:hint="eastAsia" w:ascii="宋体" w:hAnsi="宋体" w:cs="宋体"/>
          <w:sz w:val="24"/>
          <w:szCs w:val="24"/>
        </w:rPr>
        <w:t>(3) 我们同意按磋商文件中的规定，本响应文件的磋商有效期为</w:t>
      </w:r>
      <w:r>
        <w:rPr>
          <w:rFonts w:hint="eastAsia" w:ascii="宋体" w:hAnsi="宋体" w:cs="宋体"/>
          <w:spacing w:val="6"/>
          <w:kern w:val="2"/>
          <w:sz w:val="24"/>
          <w:szCs w:val="24"/>
        </w:rPr>
        <w:t>60日历天(指本次采购项目递交响应性文件截止之日起)</w:t>
      </w:r>
      <w:r>
        <w:rPr>
          <w:rFonts w:hint="eastAsia" w:ascii="宋体" w:hAnsi="宋体" w:cs="宋体"/>
          <w:sz w:val="24"/>
          <w:szCs w:val="24"/>
        </w:rPr>
        <w:t>。如果中标，有效期延长至合同终止日止。</w:t>
      </w:r>
    </w:p>
    <w:p w14:paraId="6E910B9A">
      <w:pPr>
        <w:spacing w:line="360" w:lineRule="auto"/>
        <w:ind w:firstLine="480" w:firstLineChars="200"/>
        <w:rPr>
          <w:rFonts w:ascii="宋体" w:hAnsi="宋体" w:cs="宋体"/>
          <w:sz w:val="24"/>
          <w:szCs w:val="24"/>
        </w:rPr>
      </w:pPr>
      <w:r>
        <w:rPr>
          <w:rFonts w:hint="eastAsia" w:ascii="宋体" w:hAnsi="宋体" w:cs="宋体"/>
          <w:sz w:val="24"/>
          <w:szCs w:val="24"/>
        </w:rPr>
        <w:t>(4) 我们愿提供磋商文件中要求的所有文件资料。</w:t>
      </w:r>
    </w:p>
    <w:p w14:paraId="43CD34CF">
      <w:pPr>
        <w:spacing w:line="360" w:lineRule="auto"/>
        <w:ind w:firstLine="480" w:firstLineChars="200"/>
        <w:rPr>
          <w:rFonts w:ascii="宋体" w:hAnsi="宋体" w:cs="宋体"/>
          <w:sz w:val="24"/>
          <w:szCs w:val="24"/>
        </w:rPr>
      </w:pPr>
      <w:r>
        <w:rPr>
          <w:rFonts w:hint="eastAsia" w:ascii="宋体" w:hAnsi="宋体" w:cs="宋体"/>
          <w:sz w:val="24"/>
          <w:szCs w:val="24"/>
        </w:rPr>
        <w:t>(5) 我们已经详细审核了全部磋商文件，包括修改、补充的文件(如果有的话)和参考资料及有关附件，我们完全理解并同意放弃对这方面有不明及误解的权利。</w:t>
      </w:r>
    </w:p>
    <w:p w14:paraId="227748FE">
      <w:pPr>
        <w:spacing w:line="360" w:lineRule="auto"/>
        <w:ind w:firstLine="480" w:firstLineChars="200"/>
        <w:rPr>
          <w:rFonts w:ascii="宋体" w:hAnsi="宋体" w:cs="宋体"/>
          <w:sz w:val="24"/>
          <w:szCs w:val="24"/>
        </w:rPr>
      </w:pPr>
      <w:r>
        <w:rPr>
          <w:rFonts w:hint="eastAsia" w:ascii="宋体" w:hAnsi="宋体" w:cs="宋体"/>
          <w:sz w:val="24"/>
          <w:szCs w:val="24"/>
        </w:rPr>
        <w:t>(6) 我们愿按《中华人民共和国民法典》履行自己的全部责任。</w:t>
      </w:r>
    </w:p>
    <w:p w14:paraId="7C85306E">
      <w:pPr>
        <w:spacing w:line="360" w:lineRule="auto"/>
        <w:ind w:firstLine="480" w:firstLineChars="200"/>
        <w:rPr>
          <w:rFonts w:ascii="宋体" w:hAnsi="宋体" w:cs="宋体"/>
          <w:sz w:val="24"/>
          <w:szCs w:val="24"/>
        </w:rPr>
      </w:pPr>
      <w:r>
        <w:rPr>
          <w:rFonts w:hint="eastAsia" w:ascii="宋体" w:hAnsi="宋体" w:cs="宋体"/>
          <w:sz w:val="24"/>
          <w:szCs w:val="24"/>
        </w:rPr>
        <w:t>（7）随同本磋商函递交的磋商函附录属于合同文件的组成部分。</w:t>
      </w:r>
    </w:p>
    <w:p w14:paraId="53596192">
      <w:pPr>
        <w:spacing w:line="360" w:lineRule="auto"/>
        <w:ind w:firstLine="480" w:firstLineChars="200"/>
        <w:rPr>
          <w:rFonts w:ascii="宋体" w:hAnsi="宋体" w:cs="宋体"/>
          <w:sz w:val="24"/>
          <w:szCs w:val="24"/>
        </w:rPr>
      </w:pPr>
      <w:r>
        <w:rPr>
          <w:rFonts w:hint="eastAsia" w:ascii="宋体" w:hAnsi="宋体" w:cs="宋体"/>
          <w:sz w:val="24"/>
          <w:szCs w:val="24"/>
        </w:rPr>
        <w:t>（8）如果我方中标，愿履行磋商文件中的各项条款和规定，并按国家有关标准向采购代理机构交纳中标服务费。</w:t>
      </w:r>
    </w:p>
    <w:p w14:paraId="3507D2F9">
      <w:pPr>
        <w:spacing w:line="360" w:lineRule="auto"/>
        <w:jc w:val="right"/>
        <w:rPr>
          <w:rFonts w:ascii="宋体" w:hAnsi="宋体" w:cs="宋体"/>
          <w:sz w:val="24"/>
          <w:szCs w:val="24"/>
        </w:rPr>
      </w:pPr>
      <w:r>
        <w:rPr>
          <w:rFonts w:hint="eastAsia" w:ascii="宋体" w:hAnsi="宋体" w:cs="宋体"/>
          <w:sz w:val="24"/>
          <w:szCs w:val="24"/>
        </w:rPr>
        <w:t xml:space="preserve">磋商供应商：（公章签章） </w:t>
      </w:r>
    </w:p>
    <w:p w14:paraId="12662B1F">
      <w:pPr>
        <w:spacing w:line="360" w:lineRule="auto"/>
        <w:jc w:val="right"/>
        <w:rPr>
          <w:rFonts w:ascii="宋体" w:hAnsi="宋体" w:cs="宋体"/>
          <w:sz w:val="24"/>
          <w:szCs w:val="24"/>
        </w:rPr>
      </w:pPr>
      <w:r>
        <w:rPr>
          <w:rFonts w:hint="eastAsia" w:ascii="宋体" w:hAnsi="宋体" w:cs="宋体"/>
          <w:sz w:val="24"/>
          <w:szCs w:val="24"/>
        </w:rPr>
        <w:t>法定代表人：（签章）</w:t>
      </w:r>
    </w:p>
    <w:p w14:paraId="54D745B1">
      <w:pPr>
        <w:wordWrap w:val="0"/>
        <w:spacing w:line="360" w:lineRule="auto"/>
        <w:ind w:right="420"/>
        <w:jc w:val="right"/>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 xml:space="preserve">   </w:t>
      </w:r>
    </w:p>
    <w:p w14:paraId="4DB549B2">
      <w:pPr>
        <w:pStyle w:val="7"/>
      </w:pPr>
    </w:p>
    <w:p w14:paraId="57083143">
      <w:pPr>
        <w:pStyle w:val="7"/>
      </w:pPr>
    </w:p>
    <w:p w14:paraId="0C32F699">
      <w:pPr>
        <w:rPr>
          <w:rFonts w:hint="eastAsia" w:ascii="宋体" w:hAnsi="宋体" w:cs="宋体"/>
          <w:b/>
          <w:sz w:val="24"/>
          <w:szCs w:val="24"/>
        </w:rPr>
      </w:pPr>
      <w:r>
        <w:rPr>
          <w:rFonts w:hint="eastAsia" w:ascii="宋体" w:hAnsi="宋体" w:cs="宋体"/>
          <w:b/>
          <w:sz w:val="24"/>
          <w:szCs w:val="24"/>
        </w:rPr>
        <w:br w:type="page"/>
      </w:r>
    </w:p>
    <w:p w14:paraId="308303BF">
      <w:pPr>
        <w:spacing w:afterLines="50" w:line="360" w:lineRule="auto"/>
        <w:ind w:firstLine="482" w:firstLineChars="200"/>
        <w:jc w:val="center"/>
        <w:outlineLvl w:val="0"/>
        <w:rPr>
          <w:rFonts w:ascii="宋体" w:hAnsi="宋体" w:cs="宋体"/>
          <w:sz w:val="24"/>
          <w:szCs w:val="24"/>
        </w:rPr>
      </w:pPr>
      <w:bookmarkStart w:id="107" w:name="_Toc18894"/>
      <w:r>
        <w:rPr>
          <w:rFonts w:hint="eastAsia" w:ascii="宋体" w:hAnsi="宋体" w:cs="宋体"/>
          <w:b/>
          <w:sz w:val="24"/>
          <w:szCs w:val="24"/>
        </w:rPr>
        <w:t>二、磋商函附录</w:t>
      </w:r>
      <w:bookmarkEnd w:id="107"/>
      <w:r>
        <w:rPr>
          <w:rFonts w:hint="eastAsia" w:ascii="宋体" w:hAnsi="宋体" w:cs="宋体"/>
          <w:b/>
          <w:sz w:val="24"/>
          <w:szCs w:val="24"/>
        </w:rPr>
        <w:t xml:space="preserve">    </w:t>
      </w:r>
      <w:r>
        <w:rPr>
          <w:rFonts w:hint="eastAsia" w:ascii="宋体" w:hAnsi="宋体" w:cs="宋体"/>
          <w:sz w:val="24"/>
          <w:szCs w:val="24"/>
        </w:rPr>
        <w:t xml:space="preserve">                               </w:t>
      </w:r>
    </w:p>
    <w:tbl>
      <w:tblPr>
        <w:tblStyle w:val="19"/>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65"/>
        <w:gridCol w:w="5177"/>
      </w:tblGrid>
      <w:tr w14:paraId="045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92" w:type="dxa"/>
            <w:vAlign w:val="center"/>
          </w:tcPr>
          <w:p w14:paraId="592D3CA2">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w:t>
            </w:r>
          </w:p>
        </w:tc>
        <w:tc>
          <w:tcPr>
            <w:tcW w:w="1765" w:type="dxa"/>
            <w:vAlign w:val="center"/>
          </w:tcPr>
          <w:p w14:paraId="274BB8C6">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项目名称</w:t>
            </w:r>
          </w:p>
        </w:tc>
        <w:tc>
          <w:tcPr>
            <w:tcW w:w="5177" w:type="dxa"/>
            <w:vAlign w:val="center"/>
          </w:tcPr>
          <w:p w14:paraId="5B18E9B3">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5823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2" w:type="dxa"/>
            <w:vAlign w:val="center"/>
          </w:tcPr>
          <w:p w14:paraId="5FB4F7F7">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2</w:t>
            </w:r>
          </w:p>
        </w:tc>
        <w:tc>
          <w:tcPr>
            <w:tcW w:w="1765" w:type="dxa"/>
            <w:vAlign w:val="center"/>
          </w:tcPr>
          <w:p w14:paraId="7833D27C">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kern w:val="2"/>
                <w:sz w:val="24"/>
                <w:szCs w:val="24"/>
              </w:rPr>
              <w:t>项目编号</w:t>
            </w:r>
          </w:p>
        </w:tc>
        <w:tc>
          <w:tcPr>
            <w:tcW w:w="5177" w:type="dxa"/>
            <w:vAlign w:val="center"/>
          </w:tcPr>
          <w:p w14:paraId="239578B0">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4D24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Align w:val="center"/>
          </w:tcPr>
          <w:p w14:paraId="76F20072">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3</w:t>
            </w:r>
          </w:p>
        </w:tc>
        <w:tc>
          <w:tcPr>
            <w:tcW w:w="1765" w:type="dxa"/>
            <w:vAlign w:val="center"/>
          </w:tcPr>
          <w:p w14:paraId="4CCB7A47">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供应商名称</w:t>
            </w:r>
          </w:p>
        </w:tc>
        <w:tc>
          <w:tcPr>
            <w:tcW w:w="5177" w:type="dxa"/>
            <w:vAlign w:val="center"/>
          </w:tcPr>
          <w:p w14:paraId="79027051">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279A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Align w:val="center"/>
          </w:tcPr>
          <w:p w14:paraId="4CFF02F1">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4</w:t>
            </w:r>
          </w:p>
        </w:tc>
        <w:tc>
          <w:tcPr>
            <w:tcW w:w="1765" w:type="dxa"/>
            <w:vAlign w:val="center"/>
          </w:tcPr>
          <w:p w14:paraId="31FFD11F">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法定代表人</w:t>
            </w:r>
          </w:p>
        </w:tc>
        <w:tc>
          <w:tcPr>
            <w:tcW w:w="5177" w:type="dxa"/>
            <w:vAlign w:val="center"/>
          </w:tcPr>
          <w:p w14:paraId="119F8936">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B5C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Align w:val="center"/>
          </w:tcPr>
          <w:p w14:paraId="40165CA5">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5</w:t>
            </w:r>
          </w:p>
        </w:tc>
        <w:tc>
          <w:tcPr>
            <w:tcW w:w="1765" w:type="dxa"/>
            <w:vAlign w:val="center"/>
          </w:tcPr>
          <w:p w14:paraId="3D0CDB78">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供应商地址</w:t>
            </w:r>
          </w:p>
        </w:tc>
        <w:tc>
          <w:tcPr>
            <w:tcW w:w="5177" w:type="dxa"/>
            <w:vAlign w:val="center"/>
          </w:tcPr>
          <w:p w14:paraId="74141BCE">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121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Align w:val="center"/>
          </w:tcPr>
          <w:p w14:paraId="7C657F92">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6</w:t>
            </w:r>
          </w:p>
        </w:tc>
        <w:tc>
          <w:tcPr>
            <w:tcW w:w="1765" w:type="dxa"/>
            <w:vAlign w:val="center"/>
          </w:tcPr>
          <w:p w14:paraId="286C17C1">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
                <w:kern w:val="2"/>
                <w:sz w:val="24"/>
                <w:szCs w:val="22"/>
              </w:rPr>
              <w:t>统一机构代码</w:t>
            </w:r>
          </w:p>
        </w:tc>
        <w:tc>
          <w:tcPr>
            <w:tcW w:w="5177" w:type="dxa"/>
            <w:vAlign w:val="center"/>
          </w:tcPr>
          <w:p w14:paraId="575683CB">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4CA8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restart"/>
            <w:vAlign w:val="center"/>
          </w:tcPr>
          <w:p w14:paraId="6951D878">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7</w:t>
            </w:r>
          </w:p>
        </w:tc>
        <w:tc>
          <w:tcPr>
            <w:tcW w:w="1765" w:type="dxa"/>
            <w:vMerge w:val="restart"/>
            <w:vAlign w:val="center"/>
          </w:tcPr>
          <w:p w14:paraId="6731F2D4">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磋商报价（元）</w:t>
            </w:r>
          </w:p>
        </w:tc>
        <w:tc>
          <w:tcPr>
            <w:tcW w:w="5177" w:type="dxa"/>
            <w:vAlign w:val="center"/>
          </w:tcPr>
          <w:p w14:paraId="06F16B91">
            <w:pPr>
              <w:widowControl w:val="0"/>
              <w:autoSpaceDE w:val="0"/>
              <w:autoSpaceDN w:val="0"/>
              <w:adjustRightInd w:val="0"/>
              <w:spacing w:line="360" w:lineRule="auto"/>
              <w:ind w:firstLine="520" w:firstLineChars="200"/>
              <w:rPr>
                <w:rFonts w:ascii="宋体" w:hAnsi="宋体" w:cs="宋体"/>
                <w:spacing w:val="10"/>
                <w:kern w:val="2"/>
                <w:sz w:val="24"/>
                <w:szCs w:val="24"/>
              </w:rPr>
            </w:pPr>
            <w:r>
              <w:rPr>
                <w:rFonts w:hint="eastAsia" w:ascii="宋体" w:hAnsi="宋体" w:cs="宋体"/>
                <w:spacing w:val="10"/>
                <w:kern w:val="2"/>
                <w:sz w:val="24"/>
                <w:szCs w:val="24"/>
              </w:rPr>
              <w:t>小写：</w:t>
            </w:r>
          </w:p>
        </w:tc>
      </w:tr>
      <w:tr w14:paraId="27B5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2" w:type="dxa"/>
            <w:vMerge w:val="continue"/>
            <w:vAlign w:val="center"/>
          </w:tcPr>
          <w:p w14:paraId="69F17283">
            <w:pPr>
              <w:widowControl w:val="0"/>
              <w:autoSpaceDE w:val="0"/>
              <w:autoSpaceDN w:val="0"/>
              <w:adjustRightInd w:val="0"/>
              <w:spacing w:line="360" w:lineRule="auto"/>
              <w:ind w:firstLine="520" w:firstLineChars="200"/>
              <w:jc w:val="center"/>
              <w:rPr>
                <w:rFonts w:ascii="宋体" w:hAnsi="宋体" w:cs="宋体"/>
                <w:spacing w:val="10"/>
                <w:kern w:val="2"/>
                <w:sz w:val="24"/>
                <w:szCs w:val="24"/>
              </w:rPr>
            </w:pPr>
          </w:p>
        </w:tc>
        <w:tc>
          <w:tcPr>
            <w:tcW w:w="1765" w:type="dxa"/>
            <w:vMerge w:val="continue"/>
            <w:vAlign w:val="center"/>
          </w:tcPr>
          <w:p w14:paraId="315E4748">
            <w:pPr>
              <w:widowControl w:val="0"/>
              <w:autoSpaceDE w:val="0"/>
              <w:autoSpaceDN w:val="0"/>
              <w:adjustRightInd w:val="0"/>
              <w:spacing w:line="360" w:lineRule="auto"/>
              <w:ind w:firstLine="520" w:firstLineChars="200"/>
              <w:rPr>
                <w:rFonts w:ascii="宋体" w:hAnsi="宋体" w:cs="宋体"/>
                <w:spacing w:val="10"/>
                <w:kern w:val="2"/>
                <w:sz w:val="24"/>
                <w:szCs w:val="24"/>
              </w:rPr>
            </w:pPr>
          </w:p>
        </w:tc>
        <w:tc>
          <w:tcPr>
            <w:tcW w:w="5177" w:type="dxa"/>
            <w:vAlign w:val="center"/>
          </w:tcPr>
          <w:p w14:paraId="19143A43">
            <w:pPr>
              <w:widowControl w:val="0"/>
              <w:autoSpaceDE w:val="0"/>
              <w:autoSpaceDN w:val="0"/>
              <w:adjustRightInd w:val="0"/>
              <w:spacing w:line="360" w:lineRule="auto"/>
              <w:ind w:firstLine="520" w:firstLineChars="200"/>
              <w:rPr>
                <w:rFonts w:ascii="宋体" w:hAnsi="宋体" w:cs="宋体"/>
                <w:spacing w:val="10"/>
                <w:kern w:val="2"/>
                <w:sz w:val="24"/>
                <w:szCs w:val="24"/>
              </w:rPr>
            </w:pPr>
            <w:r>
              <w:rPr>
                <w:rFonts w:hint="eastAsia" w:ascii="宋体" w:hAnsi="宋体" w:cs="宋体"/>
                <w:spacing w:val="10"/>
                <w:kern w:val="2"/>
                <w:sz w:val="24"/>
                <w:szCs w:val="24"/>
              </w:rPr>
              <w:t>大写：</w:t>
            </w:r>
          </w:p>
        </w:tc>
      </w:tr>
      <w:tr w14:paraId="669D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710A3114">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9</w:t>
            </w:r>
          </w:p>
        </w:tc>
        <w:tc>
          <w:tcPr>
            <w:tcW w:w="1765" w:type="dxa"/>
            <w:vAlign w:val="center"/>
          </w:tcPr>
          <w:p w14:paraId="6FC2A958">
            <w:pPr>
              <w:widowControl w:val="0"/>
              <w:autoSpaceDE w:val="0"/>
              <w:autoSpaceDN w:val="0"/>
              <w:adjustRightInd w:val="0"/>
              <w:spacing w:line="360" w:lineRule="auto"/>
              <w:ind w:left="0" w:leftChars="0" w:firstLine="0" w:firstLineChars="0"/>
              <w:rPr>
                <w:rFonts w:hint="eastAsia" w:ascii="宋体" w:hAnsi="宋体" w:eastAsia="宋体" w:cs="宋体"/>
                <w:kern w:val="2"/>
                <w:sz w:val="24"/>
                <w:szCs w:val="24"/>
                <w:lang w:eastAsia="zh-CN"/>
              </w:rPr>
            </w:pPr>
            <w:r>
              <w:rPr>
                <w:rFonts w:hint="eastAsia" w:ascii="宋体" w:hAnsi="宋体" w:cs="宋体"/>
                <w:kern w:val="2"/>
                <w:sz w:val="24"/>
                <w:szCs w:val="24"/>
              </w:rPr>
              <w:t>服务</w:t>
            </w:r>
            <w:r>
              <w:rPr>
                <w:rFonts w:hint="eastAsia" w:ascii="宋体" w:hAnsi="宋体" w:cs="宋体"/>
                <w:kern w:val="2"/>
                <w:sz w:val="24"/>
                <w:szCs w:val="24"/>
                <w:lang w:eastAsia="zh-CN"/>
              </w:rPr>
              <w:t>期限</w:t>
            </w:r>
          </w:p>
        </w:tc>
        <w:tc>
          <w:tcPr>
            <w:tcW w:w="5177" w:type="dxa"/>
            <w:vAlign w:val="center"/>
          </w:tcPr>
          <w:p w14:paraId="08FB1F7A">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4C5F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 w:type="dxa"/>
            <w:vAlign w:val="center"/>
          </w:tcPr>
          <w:p w14:paraId="487DB9C3">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10</w:t>
            </w:r>
          </w:p>
        </w:tc>
        <w:tc>
          <w:tcPr>
            <w:tcW w:w="1765" w:type="dxa"/>
            <w:vAlign w:val="center"/>
          </w:tcPr>
          <w:p w14:paraId="68A5FCE8">
            <w:pPr>
              <w:widowControl w:val="0"/>
              <w:autoSpaceDE w:val="0"/>
              <w:autoSpaceDN w:val="0"/>
              <w:adjustRightInd w:val="0"/>
              <w:spacing w:line="360" w:lineRule="auto"/>
              <w:ind w:left="0" w:leftChars="0" w:firstLine="0" w:firstLineChars="0"/>
              <w:rPr>
                <w:rFonts w:hint="default" w:ascii="宋体" w:hAnsi="宋体" w:eastAsia="宋体" w:cs="宋体"/>
                <w:spacing w:val="10"/>
                <w:kern w:val="2"/>
                <w:sz w:val="24"/>
                <w:szCs w:val="24"/>
                <w:lang w:val="en-US" w:eastAsia="zh-CN"/>
              </w:rPr>
            </w:pPr>
            <w:r>
              <w:rPr>
                <w:rFonts w:hint="eastAsia" w:ascii="宋体" w:hAnsi="宋体" w:cs="宋体"/>
                <w:kern w:val="2"/>
                <w:sz w:val="24"/>
                <w:szCs w:val="24"/>
                <w:lang w:eastAsia="zh-CN"/>
              </w:rPr>
              <w:t>服务</w:t>
            </w:r>
            <w:r>
              <w:rPr>
                <w:rFonts w:hint="eastAsia" w:ascii="宋体" w:hAnsi="宋体" w:cs="宋体"/>
                <w:kern w:val="2"/>
                <w:sz w:val="24"/>
                <w:szCs w:val="24"/>
                <w:lang w:val="en-US" w:eastAsia="zh-CN"/>
              </w:rPr>
              <w:t>要求</w:t>
            </w:r>
          </w:p>
        </w:tc>
        <w:tc>
          <w:tcPr>
            <w:tcW w:w="5177" w:type="dxa"/>
            <w:vAlign w:val="center"/>
          </w:tcPr>
          <w:p w14:paraId="427227F4">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807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418B1B9B">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11</w:t>
            </w:r>
          </w:p>
        </w:tc>
        <w:tc>
          <w:tcPr>
            <w:tcW w:w="1765" w:type="dxa"/>
            <w:vAlign w:val="center"/>
          </w:tcPr>
          <w:p w14:paraId="43D43A23">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项目负责人</w:t>
            </w:r>
          </w:p>
        </w:tc>
        <w:tc>
          <w:tcPr>
            <w:tcW w:w="5177" w:type="dxa"/>
            <w:vAlign w:val="center"/>
          </w:tcPr>
          <w:p w14:paraId="6AD0394E">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5AB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3FAB4075">
            <w:pPr>
              <w:widowControl w:val="0"/>
              <w:autoSpaceDE w:val="0"/>
              <w:autoSpaceDN w:val="0"/>
              <w:adjustRightInd w:val="0"/>
              <w:spacing w:line="360" w:lineRule="auto"/>
              <w:ind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12</w:t>
            </w:r>
          </w:p>
        </w:tc>
        <w:tc>
          <w:tcPr>
            <w:tcW w:w="1765" w:type="dxa"/>
            <w:vAlign w:val="center"/>
          </w:tcPr>
          <w:p w14:paraId="63774D9D">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联系电话</w:t>
            </w:r>
          </w:p>
        </w:tc>
        <w:tc>
          <w:tcPr>
            <w:tcW w:w="5177" w:type="dxa"/>
            <w:vAlign w:val="center"/>
          </w:tcPr>
          <w:p w14:paraId="05E4AB94">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r w14:paraId="3E37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92" w:type="dxa"/>
            <w:vAlign w:val="center"/>
          </w:tcPr>
          <w:p w14:paraId="489E1256">
            <w:pPr>
              <w:widowControl w:val="0"/>
              <w:autoSpaceDE w:val="0"/>
              <w:autoSpaceDN w:val="0"/>
              <w:adjustRightInd w:val="0"/>
              <w:spacing w:line="360" w:lineRule="auto"/>
              <w:ind w:left="0" w:leftChars="0" w:firstLine="260" w:firstLineChars="100"/>
              <w:jc w:val="both"/>
              <w:rPr>
                <w:rFonts w:ascii="宋体" w:hAnsi="宋体" w:cs="宋体"/>
                <w:spacing w:val="10"/>
                <w:kern w:val="2"/>
                <w:sz w:val="24"/>
                <w:szCs w:val="24"/>
              </w:rPr>
            </w:pPr>
            <w:r>
              <w:rPr>
                <w:rFonts w:hint="eastAsia" w:ascii="宋体" w:hAnsi="宋体" w:cs="宋体"/>
                <w:spacing w:val="10"/>
                <w:kern w:val="2"/>
                <w:sz w:val="24"/>
                <w:szCs w:val="24"/>
              </w:rPr>
              <w:t>13</w:t>
            </w:r>
          </w:p>
        </w:tc>
        <w:tc>
          <w:tcPr>
            <w:tcW w:w="1765" w:type="dxa"/>
            <w:vAlign w:val="center"/>
          </w:tcPr>
          <w:p w14:paraId="2789C7EF">
            <w:pPr>
              <w:widowControl w:val="0"/>
              <w:autoSpaceDE w:val="0"/>
              <w:autoSpaceDN w:val="0"/>
              <w:adjustRightInd w:val="0"/>
              <w:spacing w:line="360" w:lineRule="auto"/>
              <w:ind w:left="0" w:leftChars="0" w:firstLine="0" w:firstLineChars="0"/>
              <w:rPr>
                <w:rFonts w:ascii="宋体" w:hAnsi="宋体" w:cs="宋体"/>
                <w:spacing w:val="10"/>
                <w:kern w:val="2"/>
                <w:sz w:val="24"/>
                <w:szCs w:val="24"/>
              </w:rPr>
            </w:pPr>
            <w:r>
              <w:rPr>
                <w:rFonts w:hint="eastAsia" w:ascii="宋体" w:hAnsi="宋体" w:cs="宋体"/>
                <w:spacing w:val="10"/>
                <w:kern w:val="2"/>
                <w:sz w:val="24"/>
                <w:szCs w:val="24"/>
              </w:rPr>
              <w:t>备注</w:t>
            </w:r>
          </w:p>
        </w:tc>
        <w:tc>
          <w:tcPr>
            <w:tcW w:w="5177" w:type="dxa"/>
            <w:vAlign w:val="center"/>
          </w:tcPr>
          <w:p w14:paraId="4A8F3693">
            <w:pPr>
              <w:widowControl w:val="0"/>
              <w:autoSpaceDE w:val="0"/>
              <w:autoSpaceDN w:val="0"/>
              <w:adjustRightInd w:val="0"/>
              <w:spacing w:line="360" w:lineRule="auto"/>
              <w:ind w:firstLine="520" w:firstLineChars="200"/>
              <w:rPr>
                <w:rFonts w:ascii="宋体" w:hAnsi="宋体" w:cs="宋体"/>
                <w:spacing w:val="10"/>
                <w:kern w:val="2"/>
                <w:sz w:val="24"/>
                <w:szCs w:val="24"/>
              </w:rPr>
            </w:pPr>
          </w:p>
        </w:tc>
      </w:tr>
    </w:tbl>
    <w:p w14:paraId="76D2517C">
      <w:pPr>
        <w:pStyle w:val="6"/>
        <w:spacing w:line="480" w:lineRule="auto"/>
        <w:rPr>
          <w:rFonts w:ascii="宋体" w:hAnsi="宋体" w:cs="宋体"/>
          <w:spacing w:val="10"/>
          <w:sz w:val="24"/>
          <w:szCs w:val="24"/>
        </w:rPr>
      </w:pPr>
      <w:r>
        <w:rPr>
          <w:rFonts w:hint="eastAsia" w:ascii="宋体" w:hAnsi="宋体" w:cs="宋体"/>
          <w:spacing w:val="10"/>
          <w:sz w:val="24"/>
          <w:szCs w:val="24"/>
        </w:rPr>
        <w:t>表中内容不允许缺项。</w:t>
      </w:r>
    </w:p>
    <w:p w14:paraId="79B2097A">
      <w:pPr>
        <w:pStyle w:val="6"/>
        <w:ind w:firstLine="460" w:firstLineChars="200"/>
        <w:rPr>
          <w:rFonts w:ascii="宋体" w:hAnsi="宋体" w:cs="宋体"/>
          <w:spacing w:val="10"/>
          <w:szCs w:val="21"/>
        </w:rPr>
      </w:pPr>
      <w:r>
        <w:rPr>
          <w:rFonts w:hint="eastAsia" w:ascii="宋体" w:hAnsi="宋体" w:cs="宋体"/>
          <w:spacing w:val="10"/>
          <w:szCs w:val="21"/>
        </w:rPr>
        <w:t>说明：</w:t>
      </w:r>
    </w:p>
    <w:p w14:paraId="5FFC3E21">
      <w:pPr>
        <w:pStyle w:val="6"/>
        <w:ind w:firstLine="460" w:firstLineChars="200"/>
        <w:rPr>
          <w:rFonts w:ascii="宋体" w:hAnsi="宋体" w:cs="宋体"/>
          <w:spacing w:val="10"/>
          <w:szCs w:val="21"/>
        </w:rPr>
      </w:pPr>
      <w:r>
        <w:rPr>
          <w:rFonts w:hint="eastAsia" w:ascii="宋体" w:hAnsi="宋体" w:cs="宋体"/>
          <w:spacing w:val="10"/>
          <w:szCs w:val="21"/>
        </w:rPr>
        <w:t>1、本表投标总价应与磋商文件中报价表的总报价一致。</w:t>
      </w:r>
    </w:p>
    <w:p w14:paraId="007781E0">
      <w:pPr>
        <w:pStyle w:val="6"/>
        <w:ind w:firstLine="460" w:firstLineChars="200"/>
        <w:rPr>
          <w:rFonts w:ascii="宋体" w:hAnsi="宋体" w:cs="宋体"/>
          <w:spacing w:val="10"/>
          <w:szCs w:val="21"/>
        </w:rPr>
      </w:pPr>
      <w:r>
        <w:rPr>
          <w:rFonts w:hint="eastAsia" w:ascii="宋体" w:hAnsi="宋体" w:cs="宋体"/>
          <w:spacing w:val="10"/>
          <w:szCs w:val="21"/>
        </w:rPr>
        <w:t>2、开标一览表中每个包只允许有一个磋商总报价。</w:t>
      </w:r>
    </w:p>
    <w:p w14:paraId="483FF872">
      <w:pPr>
        <w:widowControl w:val="0"/>
        <w:autoSpaceDE w:val="0"/>
        <w:autoSpaceDN w:val="0"/>
        <w:adjustRightInd w:val="0"/>
        <w:spacing w:line="360" w:lineRule="auto"/>
        <w:ind w:firstLine="420" w:firstLineChars="200"/>
        <w:rPr>
          <w:rFonts w:ascii="宋体" w:hAnsi="宋体" w:cs="宋体"/>
          <w:sz w:val="21"/>
          <w:szCs w:val="21"/>
        </w:rPr>
      </w:pPr>
      <w:r>
        <w:rPr>
          <w:rFonts w:hint="eastAsia" w:ascii="宋体" w:hAnsi="宋体" w:cs="宋体"/>
          <w:sz w:val="21"/>
          <w:szCs w:val="21"/>
        </w:rPr>
        <w:t xml:space="preserve">              </w:t>
      </w:r>
    </w:p>
    <w:p w14:paraId="65340D30">
      <w:pPr>
        <w:autoSpaceDE w:val="0"/>
        <w:autoSpaceDN w:val="0"/>
        <w:adjustRightInd w:val="0"/>
        <w:snapToGrid w:val="0"/>
        <w:spacing w:after="200" w:line="360" w:lineRule="auto"/>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（公章签章）</w:t>
      </w:r>
    </w:p>
    <w:p w14:paraId="036D9B0B">
      <w:pPr>
        <w:autoSpaceDE w:val="0"/>
        <w:autoSpaceDN w:val="0"/>
        <w:adjustRightInd w:val="0"/>
        <w:snapToGrid w:val="0"/>
        <w:spacing w:after="200" w:line="360" w:lineRule="auto"/>
        <w:rPr>
          <w:rFonts w:ascii="宋体" w:hAnsi="宋体" w:cs="宋体"/>
          <w:sz w:val="24"/>
          <w:szCs w:val="24"/>
        </w:rPr>
      </w:pPr>
      <w:r>
        <w:rPr>
          <w:rFonts w:hint="eastAsia" w:ascii="宋体" w:hAnsi="宋体" w:cs="宋体"/>
          <w:sz w:val="24"/>
          <w:szCs w:val="24"/>
        </w:rPr>
        <w:t>法定代表人或授权委托人：</w:t>
      </w:r>
      <w:r>
        <w:rPr>
          <w:rFonts w:hint="eastAsia" w:ascii="宋体" w:hAnsi="宋体" w:cs="宋体"/>
          <w:sz w:val="24"/>
          <w:szCs w:val="24"/>
          <w:u w:val="single"/>
        </w:rPr>
        <w:t xml:space="preserve">           </w:t>
      </w:r>
      <w:r>
        <w:rPr>
          <w:rFonts w:hint="eastAsia" w:ascii="宋体" w:hAnsi="宋体" w:cs="宋体"/>
          <w:sz w:val="24"/>
          <w:szCs w:val="24"/>
        </w:rPr>
        <w:t>（签章）</w:t>
      </w:r>
    </w:p>
    <w:p w14:paraId="3D25FE94">
      <w:pPr>
        <w:autoSpaceDE w:val="0"/>
        <w:autoSpaceDN w:val="0"/>
        <w:adjustRightInd w:val="0"/>
        <w:snapToGrid w:val="0"/>
        <w:spacing w:after="200" w:line="360" w:lineRule="auto"/>
        <w:rPr>
          <w:rFonts w:ascii="宋体" w:hAnsi="宋体" w:cs="宋体"/>
          <w:b/>
          <w:bCs/>
          <w:sz w:val="28"/>
          <w:szCs w:val="28"/>
        </w:rPr>
      </w:pPr>
      <w:r>
        <w:rPr>
          <w:rFonts w:hint="eastAsia" w:ascii="宋体" w:hAnsi="宋体" w:cs="宋体"/>
          <w:sz w:val="24"/>
          <w:szCs w:val="24"/>
        </w:rPr>
        <w:t xml:space="preserve"> 日期：</w:t>
      </w:r>
    </w:p>
    <w:p w14:paraId="5C653A2B">
      <w:pPr>
        <w:rPr>
          <w:rFonts w:hint="eastAsia" w:ascii="宋体" w:hAnsi="宋体" w:cs="宋体"/>
          <w:b/>
          <w:sz w:val="24"/>
          <w:szCs w:val="24"/>
        </w:rPr>
      </w:pPr>
      <w:r>
        <w:rPr>
          <w:rFonts w:hint="eastAsia" w:ascii="宋体" w:hAnsi="宋体" w:cs="宋体"/>
          <w:b/>
          <w:sz w:val="24"/>
          <w:szCs w:val="24"/>
        </w:rPr>
        <w:br w:type="page"/>
      </w:r>
    </w:p>
    <w:p w14:paraId="7F529E1F">
      <w:pPr>
        <w:spacing w:line="360" w:lineRule="auto"/>
        <w:ind w:firstLine="2891" w:firstLineChars="1200"/>
        <w:jc w:val="both"/>
        <w:outlineLvl w:val="0"/>
        <w:rPr>
          <w:rFonts w:ascii="宋体" w:hAnsi="宋体" w:cs="宋体"/>
          <w:b/>
          <w:sz w:val="24"/>
          <w:szCs w:val="24"/>
        </w:rPr>
      </w:pPr>
      <w:bookmarkStart w:id="108" w:name="_Toc26576"/>
      <w:r>
        <w:rPr>
          <w:rFonts w:hint="eastAsia" w:ascii="宋体" w:hAnsi="宋体" w:cs="宋体"/>
          <w:b/>
          <w:sz w:val="24"/>
          <w:szCs w:val="24"/>
        </w:rPr>
        <w:t>三、法定代表人证明及授权书</w:t>
      </w:r>
      <w:bookmarkEnd w:id="108"/>
    </w:p>
    <w:p w14:paraId="72FA68AD">
      <w:pPr>
        <w:spacing w:line="360" w:lineRule="auto"/>
        <w:jc w:val="center"/>
        <w:rPr>
          <w:rFonts w:ascii="宋体" w:hAnsi="宋体" w:cs="宋体"/>
          <w:b/>
          <w:sz w:val="24"/>
          <w:szCs w:val="24"/>
        </w:rPr>
      </w:pPr>
      <w:r>
        <w:rPr>
          <w:rFonts w:hint="eastAsia" w:ascii="宋体" w:hAnsi="宋体" w:cs="宋体"/>
          <w:b/>
          <w:sz w:val="24"/>
          <w:szCs w:val="24"/>
        </w:rPr>
        <w:t>（一）法定代表人身份证明书</w:t>
      </w:r>
    </w:p>
    <w:p w14:paraId="3165CFE2">
      <w:pPr>
        <w:spacing w:line="360" w:lineRule="auto"/>
        <w:jc w:val="both"/>
        <w:rPr>
          <w:rFonts w:ascii="宋体" w:hAnsi="宋体"/>
          <w:sz w:val="24"/>
          <w:szCs w:val="24"/>
        </w:rPr>
      </w:pPr>
      <w:r>
        <w:rPr>
          <w:rFonts w:hint="eastAsia" w:ascii="宋体" w:hAnsi="宋体" w:cs="宋体"/>
          <w:b/>
          <w:sz w:val="24"/>
          <w:szCs w:val="24"/>
        </w:rPr>
        <w:t xml:space="preserve"> </w:t>
      </w:r>
    </w:p>
    <w:p w14:paraId="781A9C36">
      <w:pPr>
        <w:spacing w:line="360" w:lineRule="auto"/>
        <w:ind w:firstLine="610"/>
        <w:jc w:val="both"/>
        <w:rPr>
          <w:rFonts w:ascii="宋体" w:hAnsi="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10BEC0F3">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10B5CB4A">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796EA92A">
      <w:pPr>
        <w:spacing w:line="360" w:lineRule="auto"/>
        <w:ind w:firstLine="610"/>
        <w:jc w:val="both"/>
        <w:rPr>
          <w:rFonts w:ascii="宋体" w:hAnsi="宋体"/>
          <w:sz w:val="24"/>
          <w:szCs w:val="24"/>
        </w:rPr>
      </w:pPr>
      <w:r>
        <w:rPr>
          <w:rFonts w:hint="eastAsia" w:ascii="宋体" w:hAnsi="宋体" w:cs="宋体"/>
          <w:sz w:val="24"/>
          <w:szCs w:val="24"/>
        </w:rPr>
        <w:t>成立时间：年月日</w:t>
      </w:r>
    </w:p>
    <w:p w14:paraId="72EE568F">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p>
    <w:p w14:paraId="4E52FCBB">
      <w:pPr>
        <w:spacing w:line="360" w:lineRule="auto"/>
        <w:ind w:firstLine="610"/>
        <w:jc w:val="both"/>
        <w:rPr>
          <w:rFonts w:ascii="宋体" w:hAnsi="宋体"/>
          <w:sz w:val="24"/>
          <w:szCs w:val="24"/>
        </w:rPr>
      </w:pPr>
      <w:r>
        <w:rPr>
          <w:rFonts w:hint="eastAsia" w:ascii="宋体" w:hAnsi="宋体" w:cs="宋体"/>
          <w:sz w:val="24"/>
          <w:szCs w:val="24"/>
        </w:rPr>
        <w:t>姓 名：性别：年龄：职务：</w:t>
      </w:r>
      <w:r>
        <w:rPr>
          <w:rFonts w:hint="eastAsia" w:ascii="宋体" w:hAnsi="宋体" w:cs="宋体"/>
          <w:sz w:val="24"/>
          <w:szCs w:val="24"/>
          <w:u w:val="single"/>
        </w:rPr>
        <w:t xml:space="preserve">       </w:t>
      </w:r>
    </w:p>
    <w:p w14:paraId="1E460D45">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（磋商供应商单位名称） </w:t>
      </w:r>
      <w:r>
        <w:rPr>
          <w:rFonts w:hint="eastAsia" w:ascii="宋体" w:hAnsi="宋体" w:cs="宋体"/>
          <w:sz w:val="24"/>
          <w:szCs w:val="24"/>
        </w:rPr>
        <w:t>的法定代表人。</w:t>
      </w:r>
    </w:p>
    <w:p w14:paraId="36CCE2EA">
      <w:pPr>
        <w:spacing w:line="360" w:lineRule="auto"/>
        <w:ind w:firstLine="610"/>
        <w:jc w:val="both"/>
        <w:rPr>
          <w:rFonts w:ascii="宋体" w:hAnsi="宋体"/>
          <w:sz w:val="24"/>
          <w:szCs w:val="24"/>
        </w:rPr>
      </w:pPr>
      <w:r>
        <w:rPr>
          <w:rFonts w:hint="eastAsia" w:ascii="宋体" w:hAnsi="宋体" w:cs="宋体"/>
          <w:sz w:val="24"/>
          <w:szCs w:val="24"/>
        </w:rPr>
        <w:t xml:space="preserve"> </w:t>
      </w:r>
    </w:p>
    <w:p w14:paraId="7D915C43">
      <w:pPr>
        <w:spacing w:line="360" w:lineRule="auto"/>
        <w:ind w:firstLine="1090"/>
        <w:jc w:val="both"/>
        <w:rPr>
          <w:rFonts w:ascii="宋体" w:hAnsi="宋体"/>
          <w:sz w:val="24"/>
          <w:szCs w:val="24"/>
        </w:rPr>
      </w:pPr>
      <w:r>
        <w:rPr>
          <w:rFonts w:hint="eastAsia" w:ascii="宋体" w:hAnsi="宋体" w:cs="宋体"/>
          <w:sz w:val="24"/>
          <w:szCs w:val="24"/>
        </w:rPr>
        <w:t>特此证明。</w:t>
      </w:r>
    </w:p>
    <w:p w14:paraId="44AA1A47">
      <w:pPr>
        <w:spacing w:line="360" w:lineRule="auto"/>
        <w:ind w:firstLine="5040"/>
        <w:jc w:val="both"/>
        <w:rPr>
          <w:rFonts w:ascii="宋体" w:hAnsi="宋体" w:cs="宋体"/>
          <w:sz w:val="24"/>
          <w:szCs w:val="24"/>
        </w:rPr>
      </w:pPr>
    </w:p>
    <w:p w14:paraId="1F36D591">
      <w:pPr>
        <w:spacing w:line="360" w:lineRule="auto"/>
        <w:ind w:firstLine="5040"/>
        <w:jc w:val="both"/>
        <w:rPr>
          <w:rFonts w:ascii="宋体" w:hAnsi="宋体"/>
          <w:sz w:val="24"/>
          <w:szCs w:val="24"/>
        </w:rPr>
      </w:pPr>
      <w:r>
        <w:rPr>
          <w:rFonts w:hint="eastAsia" w:ascii="宋体" w:hAnsi="宋体" w:cs="宋体"/>
          <w:sz w:val="24"/>
          <w:szCs w:val="24"/>
        </w:rPr>
        <w:t>磋商供应商：</w:t>
      </w:r>
      <w:r>
        <w:rPr>
          <w:rFonts w:hint="eastAsia" w:ascii="宋体" w:hAnsi="宋体" w:cs="宋体"/>
          <w:sz w:val="24"/>
          <w:szCs w:val="24"/>
          <w:u w:val="single"/>
        </w:rPr>
        <w:t xml:space="preserve"> （公章签章）</w:t>
      </w:r>
      <w:r>
        <w:rPr>
          <w:rFonts w:hint="eastAsia" w:ascii="宋体" w:hAnsi="宋体" w:cs="宋体"/>
          <w:sz w:val="24"/>
          <w:szCs w:val="24"/>
        </w:rPr>
        <w:t xml:space="preserve"> </w:t>
      </w:r>
    </w:p>
    <w:p w14:paraId="6D8AEC63">
      <w:pPr>
        <w:spacing w:line="360" w:lineRule="auto"/>
        <w:ind w:firstLine="5040"/>
        <w:jc w:val="both"/>
        <w:rPr>
          <w:rFonts w:ascii="宋体" w:hAnsi="宋体"/>
          <w:sz w:val="24"/>
          <w:szCs w:val="24"/>
        </w:rPr>
      </w:pPr>
    </w:p>
    <w:p w14:paraId="0C901294">
      <w:pPr>
        <w:spacing w:line="360" w:lineRule="auto"/>
        <w:jc w:val="center"/>
        <w:rPr>
          <w:rFonts w:ascii="宋体" w:hAnsi="宋体" w:cs="宋体"/>
          <w:sz w:val="24"/>
          <w:szCs w:val="24"/>
        </w:rPr>
      </w:pPr>
      <w:r>
        <w:rPr>
          <w:rFonts w:hint="eastAsia" w:ascii="宋体" w:hAnsi="宋体" w:cs="宋体"/>
          <w:sz w:val="24"/>
          <w:szCs w:val="24"/>
        </w:rPr>
        <w:t xml:space="preserve">                       日 期：年月日</w:t>
      </w:r>
    </w:p>
    <w:p w14:paraId="7047E86C">
      <w:pPr>
        <w:spacing w:line="360" w:lineRule="auto"/>
        <w:jc w:val="center"/>
        <w:rPr>
          <w:rFonts w:ascii="宋体" w:hAnsi="宋体" w:cs="宋体"/>
          <w:sz w:val="24"/>
          <w:szCs w:val="24"/>
        </w:rPr>
      </w:pPr>
      <w:r>
        <w:rPr>
          <w:rFonts w:hint="eastAsia" w:ascii="宋体" w:hAnsi="宋体" w:cs="宋体"/>
          <w:sz w:val="24"/>
          <w:szCs w:val="24"/>
        </w:rPr>
        <w:t xml:space="preserve"> </w:t>
      </w:r>
    </w:p>
    <w:p w14:paraId="047E3BAB">
      <w:pPr>
        <w:rPr>
          <w:rFonts w:hint="eastAsia" w:ascii="宋体" w:hAnsi="宋体" w:cs="宋体"/>
          <w:b/>
          <w:sz w:val="24"/>
          <w:szCs w:val="24"/>
        </w:rPr>
      </w:pPr>
      <w:r>
        <w:rPr>
          <w:rFonts w:hint="eastAsia" w:ascii="宋体" w:hAnsi="宋体" w:cs="宋体"/>
          <w:b/>
          <w:sz w:val="24"/>
          <w:szCs w:val="24"/>
        </w:rPr>
        <w:br w:type="page"/>
      </w:r>
    </w:p>
    <w:p w14:paraId="37E404B6">
      <w:pPr>
        <w:spacing w:line="360" w:lineRule="auto"/>
        <w:jc w:val="center"/>
        <w:rPr>
          <w:rFonts w:ascii="宋体" w:hAnsi="宋体"/>
          <w:sz w:val="24"/>
          <w:szCs w:val="24"/>
        </w:rPr>
      </w:pPr>
      <w:r>
        <w:rPr>
          <w:rFonts w:hint="eastAsia" w:ascii="宋体" w:hAnsi="宋体" w:cs="宋体"/>
          <w:b/>
          <w:sz w:val="24"/>
          <w:szCs w:val="24"/>
        </w:rPr>
        <w:t>（二） 法定代表人授权书</w:t>
      </w:r>
    </w:p>
    <w:p w14:paraId="51530908">
      <w:pPr>
        <w:snapToGrid w:val="0"/>
        <w:spacing w:line="360" w:lineRule="auto"/>
        <w:ind w:firstLine="480" w:firstLineChars="200"/>
        <w:rPr>
          <w:rFonts w:ascii="宋体" w:hAnsi="宋体"/>
          <w:sz w:val="24"/>
          <w:szCs w:val="24"/>
        </w:rPr>
      </w:pPr>
      <w:r>
        <w:rPr>
          <w:rFonts w:hint="eastAsia" w:ascii="宋体" w:hAnsi="宋体"/>
          <w:sz w:val="24"/>
          <w:szCs w:val="24"/>
        </w:rPr>
        <w:t>本授权书声明：注册于</w:t>
      </w:r>
      <w:r>
        <w:rPr>
          <w:rFonts w:hint="eastAsia" w:ascii="宋体" w:hAnsi="宋体"/>
          <w:sz w:val="24"/>
          <w:szCs w:val="24"/>
          <w:u w:val="single"/>
        </w:rPr>
        <w:t xml:space="preserve">     注册地址      </w:t>
      </w:r>
      <w:r>
        <w:rPr>
          <w:rFonts w:hint="eastAsia" w:ascii="宋体" w:hAnsi="宋体"/>
          <w:sz w:val="24"/>
          <w:szCs w:val="24"/>
        </w:rPr>
        <w:t xml:space="preserve"> 的</w:t>
      </w:r>
      <w:r>
        <w:rPr>
          <w:rFonts w:hint="eastAsia" w:ascii="宋体" w:hAnsi="宋体"/>
          <w:sz w:val="24"/>
          <w:szCs w:val="24"/>
          <w:u w:val="single"/>
        </w:rPr>
        <w:t xml:space="preserve">     公司名称     </w:t>
      </w:r>
      <w:r>
        <w:rPr>
          <w:rFonts w:hint="eastAsia" w:ascii="宋体" w:hAnsi="宋体"/>
          <w:sz w:val="24"/>
          <w:szCs w:val="24"/>
        </w:rPr>
        <w:t>的在下面签字的</w:t>
      </w:r>
      <w:r>
        <w:rPr>
          <w:rFonts w:hint="eastAsia" w:ascii="宋体" w:hAnsi="宋体"/>
          <w:sz w:val="24"/>
          <w:szCs w:val="24"/>
          <w:u w:val="single"/>
        </w:rPr>
        <w:t xml:space="preserve"> 法人姓名  </w:t>
      </w:r>
      <w:r>
        <w:rPr>
          <w:rFonts w:hint="eastAsia" w:ascii="宋体" w:hAnsi="宋体"/>
          <w:sz w:val="24"/>
          <w:szCs w:val="24"/>
        </w:rPr>
        <w:t>代表本公司授权</w:t>
      </w:r>
      <w:r>
        <w:rPr>
          <w:rFonts w:hint="eastAsia" w:ascii="宋体" w:hAnsi="宋体"/>
          <w:sz w:val="24"/>
          <w:szCs w:val="24"/>
          <w:u w:val="single"/>
        </w:rPr>
        <w:t xml:space="preserve">  公司名称   </w:t>
      </w:r>
      <w:r>
        <w:rPr>
          <w:rFonts w:hint="eastAsia" w:ascii="宋体" w:hAnsi="宋体"/>
          <w:sz w:val="24"/>
          <w:szCs w:val="24"/>
        </w:rPr>
        <w:t>的在下面签字的</w:t>
      </w:r>
      <w:r>
        <w:rPr>
          <w:rFonts w:hint="eastAsia" w:ascii="宋体" w:hAnsi="宋体"/>
          <w:sz w:val="24"/>
          <w:szCs w:val="24"/>
          <w:u w:val="single"/>
        </w:rPr>
        <w:t xml:space="preserve">   受权人姓名称  </w:t>
      </w:r>
      <w:r>
        <w:rPr>
          <w:rFonts w:hint="eastAsia" w:ascii="宋体" w:hAnsi="宋体"/>
          <w:sz w:val="24"/>
          <w:szCs w:val="24"/>
        </w:rPr>
        <w:t>为本公司的合法代理人，就</w:t>
      </w:r>
      <w:r>
        <w:rPr>
          <w:rFonts w:hint="eastAsia" w:ascii="宋体" w:hAnsi="宋体"/>
          <w:sz w:val="24"/>
          <w:szCs w:val="24"/>
          <w:u w:val="single"/>
        </w:rPr>
        <w:t xml:space="preserve"> 项目名称  </w:t>
      </w:r>
      <w:r>
        <w:rPr>
          <w:rFonts w:hint="eastAsia" w:ascii="宋体" w:hAnsi="宋体"/>
          <w:sz w:val="24"/>
          <w:szCs w:val="24"/>
        </w:rPr>
        <w:t xml:space="preserve">的投标，以本公司名义处理一切与之有关的事务。 </w:t>
      </w:r>
    </w:p>
    <w:p w14:paraId="2462CADA">
      <w:pPr>
        <w:spacing w:line="360" w:lineRule="auto"/>
        <w:ind w:firstLine="480" w:firstLineChars="200"/>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月 </w:t>
      </w:r>
      <w:r>
        <w:rPr>
          <w:rFonts w:hint="eastAsia" w:ascii="宋体" w:hAnsi="宋体"/>
          <w:sz w:val="24"/>
          <w:szCs w:val="24"/>
          <w:u w:val="single"/>
        </w:rPr>
        <w:t xml:space="preserve">  </w:t>
      </w:r>
      <w:r>
        <w:rPr>
          <w:rFonts w:hint="eastAsia" w:ascii="宋体" w:hAnsi="宋体"/>
          <w:sz w:val="24"/>
          <w:szCs w:val="24"/>
        </w:rPr>
        <w:t>日签字生效， 特此声明。</w:t>
      </w:r>
    </w:p>
    <w:p w14:paraId="2B485303">
      <w:pPr>
        <w:spacing w:line="360" w:lineRule="auto"/>
        <w:ind w:firstLine="480" w:firstLineChars="200"/>
        <w:rPr>
          <w:rFonts w:ascii="宋体" w:hAnsi="宋体"/>
          <w:sz w:val="24"/>
          <w:szCs w:val="24"/>
        </w:rPr>
      </w:pPr>
      <w:r>
        <w:rPr>
          <w:rFonts w:hint="eastAsia" w:ascii="宋体" w:hAnsi="宋体"/>
          <w:sz w:val="24"/>
          <w:szCs w:val="24"/>
        </w:rPr>
        <w:t>附：法定代表人身份证明和委托人身份证明</w:t>
      </w:r>
    </w:p>
    <w:p w14:paraId="6F3BAE44">
      <w:pPr>
        <w:spacing w:line="360" w:lineRule="auto"/>
        <w:ind w:firstLine="480" w:firstLineChars="200"/>
        <w:rPr>
          <w:rFonts w:ascii="宋体" w:hAnsi="宋体"/>
          <w:sz w:val="24"/>
          <w:szCs w:val="24"/>
        </w:rPr>
      </w:pPr>
      <w:r>
        <w:rPr>
          <w:rFonts w:hint="eastAsia" w:ascii="宋体" w:hAnsi="宋体"/>
          <w:sz w:val="24"/>
          <w:szCs w:val="24"/>
        </w:rPr>
        <w:t xml:space="preserve"> </w:t>
      </w:r>
    </w:p>
    <w:p w14:paraId="48A72B2B">
      <w:pPr>
        <w:spacing w:line="360" w:lineRule="auto"/>
        <w:rPr>
          <w:rFonts w:ascii="宋体" w:hAnsi="宋体"/>
          <w:sz w:val="24"/>
          <w:szCs w:val="24"/>
        </w:rPr>
      </w:pPr>
      <w:r>
        <w:rPr>
          <w:rFonts w:hint="eastAsia" w:ascii="宋体" w:hAnsi="宋体"/>
          <w:sz w:val="24"/>
          <w:szCs w:val="24"/>
        </w:rPr>
        <w:t>供应商：（公章签章）</w:t>
      </w:r>
    </w:p>
    <w:p w14:paraId="7F3F6F41">
      <w:pPr>
        <w:spacing w:line="360" w:lineRule="auto"/>
        <w:rPr>
          <w:rFonts w:ascii="宋体" w:hAnsi="宋体"/>
          <w:sz w:val="24"/>
          <w:szCs w:val="24"/>
          <w:u w:val="single"/>
        </w:rPr>
      </w:pPr>
      <w:r>
        <w:rPr>
          <w:rFonts w:hint="eastAsia" w:ascii="宋体" w:hAnsi="宋体"/>
          <w:sz w:val="24"/>
          <w:szCs w:val="24"/>
        </w:rPr>
        <w:t>法定代表人：（签章）                        　　　　</w:t>
      </w:r>
    </w:p>
    <w:p w14:paraId="5E4491B6">
      <w:pPr>
        <w:spacing w:line="360" w:lineRule="auto"/>
        <w:rPr>
          <w:rFonts w:ascii="宋体" w:hAnsi="宋体"/>
          <w:sz w:val="24"/>
          <w:szCs w:val="24"/>
        </w:rPr>
      </w:pPr>
      <w:r>
        <w:rPr>
          <w:rFonts w:hint="eastAsia" w:ascii="宋体" w:hAnsi="宋体"/>
          <w:sz w:val="24"/>
          <w:szCs w:val="24"/>
        </w:rPr>
        <w:t xml:space="preserve">身份证号码：  </w:t>
      </w:r>
      <w:r>
        <w:rPr>
          <w:rFonts w:hint="eastAsia" w:ascii="宋体" w:hAnsi="宋体"/>
          <w:sz w:val="24"/>
          <w:szCs w:val="24"/>
          <w:u w:val="single"/>
        </w:rPr>
        <w:t xml:space="preserve">                            </w:t>
      </w:r>
      <w:r>
        <w:rPr>
          <w:rFonts w:hint="eastAsia" w:ascii="宋体" w:hAnsi="宋体"/>
          <w:sz w:val="24"/>
          <w:szCs w:val="24"/>
        </w:rPr>
        <w:t xml:space="preserve"> </w:t>
      </w:r>
    </w:p>
    <w:p w14:paraId="31941845">
      <w:pPr>
        <w:spacing w:line="360" w:lineRule="auto"/>
        <w:rPr>
          <w:rFonts w:ascii="宋体" w:hAnsi="宋体"/>
          <w:sz w:val="24"/>
          <w:szCs w:val="24"/>
          <w:u w:val="single"/>
        </w:rPr>
      </w:pPr>
      <w:r>
        <w:rPr>
          <w:rFonts w:hint="eastAsia" w:ascii="宋体" w:hAnsi="宋体"/>
          <w:sz w:val="24"/>
          <w:szCs w:val="24"/>
        </w:rPr>
        <w:t>委托代理人：</w:t>
      </w:r>
      <w:r>
        <w:rPr>
          <w:rFonts w:hint="eastAsia" w:ascii="宋体" w:hAnsi="宋体"/>
          <w:sz w:val="24"/>
          <w:szCs w:val="24"/>
          <w:u w:val="single"/>
        </w:rPr>
        <w:t xml:space="preserve">                           </w:t>
      </w:r>
    </w:p>
    <w:p w14:paraId="11CE24CD">
      <w:pPr>
        <w:spacing w:line="360" w:lineRule="auto"/>
        <w:jc w:val="both"/>
        <w:rPr>
          <w:rFonts w:ascii="宋体" w:hAnsi="宋体" w:cs="宋体"/>
          <w:b/>
          <w:sz w:val="24"/>
          <w:szCs w:val="24"/>
        </w:rPr>
      </w:pPr>
      <w:r>
        <w:rPr>
          <w:rFonts w:hint="eastAsia" w:ascii="宋体" w:hAnsi="宋体"/>
          <w:sz w:val="24"/>
          <w:szCs w:val="24"/>
        </w:rPr>
        <w:t xml:space="preserve">身份证号码：   </w:t>
      </w:r>
    </w:p>
    <w:p w14:paraId="2FFC2D5C">
      <w:pPr>
        <w:spacing w:line="360" w:lineRule="auto"/>
        <w:jc w:val="both"/>
        <w:rPr>
          <w:rFonts w:ascii="宋体" w:hAnsi="宋体" w:cs="宋体"/>
          <w:bCs/>
          <w:sz w:val="24"/>
          <w:szCs w:val="24"/>
        </w:rPr>
      </w:pPr>
      <w:r>
        <w:rPr>
          <w:rFonts w:hint="eastAsia" w:ascii="宋体" w:hAnsi="宋体" w:cs="宋体"/>
          <w:bCs/>
          <w:sz w:val="24"/>
          <w:szCs w:val="24"/>
        </w:rPr>
        <w:t>联系方式：</w:t>
      </w:r>
    </w:p>
    <w:p w14:paraId="5F0408F2">
      <w:pPr>
        <w:spacing w:line="360" w:lineRule="auto"/>
        <w:jc w:val="both"/>
        <w:rPr>
          <w:rFonts w:ascii="宋体" w:hAnsi="宋体" w:cs="宋体"/>
          <w:b/>
          <w:sz w:val="24"/>
          <w:szCs w:val="24"/>
        </w:rPr>
      </w:pPr>
      <w:r>
        <w:rPr>
          <w:rFonts w:hint="eastAsia" w:ascii="宋体" w:hAnsi="宋体" w:cs="宋体"/>
          <w:b/>
          <w:sz w:val="24"/>
          <w:szCs w:val="24"/>
        </w:rPr>
        <w:t xml:space="preserve">                                       年  月  日</w:t>
      </w:r>
    </w:p>
    <w:p w14:paraId="0619F6D1">
      <w:pPr>
        <w:widowControl w:val="0"/>
        <w:spacing w:line="360" w:lineRule="auto"/>
        <w:ind w:firstLine="3410" w:firstLineChars="1421"/>
        <w:jc w:val="both"/>
        <w:rPr>
          <w:rFonts w:ascii="宋体" w:hAnsi="宋体"/>
          <w:sz w:val="24"/>
          <w:szCs w:val="24"/>
        </w:rPr>
      </w:pPr>
      <w:bookmarkStart w:id="109" w:name="_Toc90713373"/>
      <w:bookmarkEnd w:id="109"/>
      <w:bookmarkStart w:id="110" w:name="_Toc269219203"/>
      <w:bookmarkEnd w:id="110"/>
      <w:bookmarkStart w:id="111" w:name="_Toc90712554"/>
      <w:bookmarkEnd w:id="111"/>
      <w:bookmarkStart w:id="112" w:name="_Toc87621074"/>
      <w:bookmarkEnd w:id="112"/>
      <w:bookmarkStart w:id="113" w:name="_Hlk450185103"/>
      <w:bookmarkEnd w:id="113"/>
      <w:bookmarkStart w:id="114" w:name="_Toc461977433"/>
      <w:r>
        <w:rPr>
          <w:rFonts w:hint="eastAsia" w:ascii="宋体" w:hAnsi="宋体"/>
          <w:kern w:val="2"/>
          <w:sz w:val="24"/>
          <w:szCs w:val="24"/>
        </w:rPr>
        <w:t xml:space="preserve"> </w:t>
      </w:r>
      <w:bookmarkEnd w:id="114"/>
    </w:p>
    <w:p w14:paraId="6B950F99">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09D6DC4A">
      <w:pPr>
        <w:widowControl w:val="0"/>
        <w:spacing w:line="360" w:lineRule="auto"/>
        <w:ind w:firstLine="3410" w:firstLineChars="1421"/>
        <w:jc w:val="both"/>
        <w:rPr>
          <w:rFonts w:ascii="宋体" w:hAnsi="宋体" w:cs="宋体"/>
          <w:kern w:val="2"/>
          <w:sz w:val="24"/>
          <w:szCs w:val="24"/>
        </w:rPr>
      </w:pPr>
    </w:p>
    <w:p w14:paraId="61D3E414">
      <w:pPr>
        <w:widowControl w:val="0"/>
        <w:spacing w:line="360" w:lineRule="auto"/>
        <w:ind w:firstLine="3410" w:firstLineChars="1421"/>
        <w:jc w:val="both"/>
        <w:rPr>
          <w:rFonts w:ascii="宋体" w:hAnsi="宋体" w:cs="宋体"/>
          <w:kern w:val="2"/>
          <w:sz w:val="24"/>
          <w:szCs w:val="24"/>
        </w:rPr>
      </w:pPr>
    </w:p>
    <w:p w14:paraId="2B4EAF96">
      <w:pPr>
        <w:widowControl w:val="0"/>
        <w:spacing w:line="360" w:lineRule="auto"/>
        <w:ind w:firstLine="3424" w:firstLineChars="1421"/>
        <w:jc w:val="center"/>
        <w:rPr>
          <w:rFonts w:ascii="宋体" w:hAnsi="宋体" w:cs="宋体"/>
          <w:b/>
          <w:sz w:val="24"/>
          <w:szCs w:val="24"/>
        </w:rPr>
      </w:pPr>
    </w:p>
    <w:p w14:paraId="0A1067D3">
      <w:pPr>
        <w:widowControl w:val="0"/>
        <w:spacing w:line="360" w:lineRule="auto"/>
        <w:jc w:val="center"/>
        <w:outlineLvl w:val="9"/>
        <w:rPr>
          <w:rFonts w:ascii="宋体" w:hAnsi="宋体" w:cs="宋体"/>
          <w:b/>
          <w:sz w:val="24"/>
          <w:szCs w:val="24"/>
        </w:rPr>
      </w:pPr>
      <w:bookmarkStart w:id="115" w:name="_Toc269219204"/>
      <w:bookmarkEnd w:id="115"/>
      <w:bookmarkStart w:id="116" w:name="_Toc461977434"/>
    </w:p>
    <w:p w14:paraId="59ACF121">
      <w:pPr>
        <w:widowControl w:val="0"/>
        <w:spacing w:line="360" w:lineRule="auto"/>
        <w:jc w:val="center"/>
        <w:outlineLvl w:val="9"/>
        <w:rPr>
          <w:rFonts w:ascii="宋体" w:hAnsi="宋体" w:cs="宋体"/>
          <w:b/>
          <w:sz w:val="24"/>
          <w:szCs w:val="24"/>
        </w:rPr>
      </w:pPr>
    </w:p>
    <w:p w14:paraId="0E382F00">
      <w:pPr>
        <w:widowControl w:val="0"/>
        <w:spacing w:line="360" w:lineRule="auto"/>
        <w:jc w:val="both"/>
        <w:outlineLvl w:val="9"/>
        <w:rPr>
          <w:rFonts w:ascii="宋体" w:hAnsi="宋体" w:cs="宋体"/>
          <w:b/>
          <w:sz w:val="24"/>
          <w:szCs w:val="24"/>
        </w:rPr>
      </w:pPr>
    </w:p>
    <w:p w14:paraId="3D20D3D6">
      <w:pPr>
        <w:pStyle w:val="7"/>
        <w:rPr>
          <w:rFonts w:ascii="宋体" w:hAnsi="宋体" w:cs="宋体"/>
          <w:b/>
          <w:sz w:val="24"/>
        </w:rPr>
      </w:pPr>
    </w:p>
    <w:p w14:paraId="5751A590">
      <w:pPr>
        <w:widowControl w:val="0"/>
        <w:spacing w:line="360" w:lineRule="auto"/>
        <w:ind w:firstLine="482" w:firstLineChars="200"/>
        <w:jc w:val="center"/>
        <w:outlineLvl w:val="0"/>
        <w:rPr>
          <w:rFonts w:ascii="宋体" w:hAnsi="宋体"/>
          <w:sz w:val="24"/>
          <w:szCs w:val="24"/>
        </w:rPr>
      </w:pPr>
      <w:r>
        <w:rPr>
          <w:rFonts w:hint="eastAsia" w:ascii="宋体" w:hAnsi="宋体" w:cs="宋体"/>
          <w:b/>
          <w:sz w:val="24"/>
          <w:szCs w:val="24"/>
        </w:rPr>
        <w:br w:type="page"/>
      </w:r>
      <w:bookmarkStart w:id="117" w:name="_Toc31305"/>
      <w:r>
        <w:rPr>
          <w:rFonts w:hint="eastAsia" w:ascii="宋体" w:hAnsi="宋体" w:cs="宋体"/>
          <w:b/>
          <w:sz w:val="24"/>
          <w:szCs w:val="24"/>
          <w:lang w:val="en-US" w:eastAsia="zh-CN"/>
        </w:rPr>
        <w:t>四</w:t>
      </w:r>
      <w:r>
        <w:rPr>
          <w:rFonts w:hint="eastAsia" w:ascii="宋体" w:hAnsi="宋体" w:cs="宋体"/>
          <w:b/>
          <w:sz w:val="24"/>
          <w:szCs w:val="24"/>
        </w:rPr>
        <w:t>、</w:t>
      </w:r>
      <w:bookmarkEnd w:id="116"/>
      <w:r>
        <w:rPr>
          <w:rFonts w:hint="eastAsia" w:ascii="宋体" w:hAnsi="宋体" w:cs="宋体"/>
          <w:b/>
          <w:sz w:val="24"/>
          <w:szCs w:val="24"/>
        </w:rPr>
        <w:t>供应商资格证明材料</w:t>
      </w:r>
      <w:bookmarkEnd w:id="117"/>
    </w:p>
    <w:p w14:paraId="6D579434">
      <w:pPr>
        <w:pStyle w:val="7"/>
        <w:spacing w:line="360" w:lineRule="auto"/>
        <w:rPr>
          <w:rFonts w:ascii="宋体" w:hAnsi="宋体" w:cs="宋体"/>
          <w:sz w:val="24"/>
        </w:rPr>
      </w:pPr>
    </w:p>
    <w:p w14:paraId="30954425">
      <w:pPr>
        <w:widowControl w:val="0"/>
        <w:spacing w:line="360" w:lineRule="auto"/>
        <w:jc w:val="both"/>
        <w:rPr>
          <w:rFonts w:ascii="宋体" w:hAnsi="宋体" w:cs="宋体"/>
          <w:b/>
          <w:sz w:val="24"/>
          <w:szCs w:val="24"/>
        </w:rPr>
      </w:pPr>
      <w:bookmarkStart w:id="118" w:name="_Toc269219206"/>
      <w:bookmarkEnd w:id="118"/>
    </w:p>
    <w:p w14:paraId="14426EF0">
      <w:pPr>
        <w:widowControl w:val="0"/>
        <w:spacing w:line="360" w:lineRule="auto"/>
        <w:ind w:firstLine="482" w:firstLineChars="200"/>
        <w:jc w:val="center"/>
        <w:outlineLvl w:val="0"/>
        <w:rPr>
          <w:rFonts w:ascii="宋体" w:hAnsi="宋体" w:cs="宋体"/>
          <w:b/>
          <w:sz w:val="24"/>
          <w:szCs w:val="24"/>
        </w:rPr>
      </w:pPr>
      <w:r>
        <w:rPr>
          <w:rFonts w:hint="eastAsia" w:ascii="宋体" w:hAnsi="宋体" w:cs="宋体"/>
          <w:b/>
          <w:sz w:val="24"/>
          <w:szCs w:val="24"/>
        </w:rPr>
        <w:br w:type="page"/>
      </w:r>
      <w:bookmarkStart w:id="119" w:name="_Toc24077"/>
      <w:r>
        <w:rPr>
          <w:rFonts w:hint="eastAsia" w:ascii="宋体" w:hAnsi="宋体" w:cs="宋体"/>
          <w:b/>
          <w:sz w:val="24"/>
          <w:szCs w:val="24"/>
          <w:lang w:val="en-US" w:eastAsia="zh-CN"/>
        </w:rPr>
        <w:t>五</w:t>
      </w:r>
      <w:r>
        <w:rPr>
          <w:rFonts w:hint="eastAsia" w:ascii="宋体" w:hAnsi="宋体" w:cs="宋体"/>
          <w:b/>
          <w:sz w:val="24"/>
          <w:szCs w:val="24"/>
        </w:rPr>
        <w:t>、</w:t>
      </w:r>
      <w:r>
        <w:rPr>
          <w:rFonts w:hint="eastAsia" w:ascii="宋体" w:hAnsi="宋体" w:cs="宋体"/>
          <w:b/>
          <w:sz w:val="24"/>
          <w:szCs w:val="24"/>
          <w:lang w:val="en-US" w:eastAsia="zh-CN"/>
        </w:rPr>
        <w:t>服务</w:t>
      </w:r>
      <w:r>
        <w:rPr>
          <w:rFonts w:hint="eastAsia" w:ascii="宋体" w:hAnsi="宋体" w:cs="宋体"/>
          <w:b/>
          <w:sz w:val="24"/>
          <w:szCs w:val="24"/>
        </w:rPr>
        <w:t>方案</w:t>
      </w:r>
      <w:bookmarkEnd w:id="119"/>
    </w:p>
    <w:p w14:paraId="631FEB09">
      <w:pPr>
        <w:widowControl w:val="0"/>
        <w:autoSpaceDE w:val="0"/>
        <w:autoSpaceDN w:val="0"/>
        <w:adjustRightInd w:val="0"/>
        <w:spacing w:line="360" w:lineRule="auto"/>
        <w:jc w:val="center"/>
        <w:rPr>
          <w:rFonts w:ascii="宋体" w:hAnsi="宋体" w:cs="宋体"/>
          <w:b/>
          <w:spacing w:val="10"/>
          <w:sz w:val="24"/>
          <w:szCs w:val="24"/>
        </w:rPr>
      </w:pPr>
      <w:r>
        <w:rPr>
          <w:rFonts w:hint="eastAsia" w:ascii="宋体" w:hAnsi="宋体" w:cs="宋体"/>
          <w:b/>
          <w:spacing w:val="10"/>
          <w:sz w:val="24"/>
          <w:szCs w:val="24"/>
        </w:rPr>
        <w:t xml:space="preserve"> </w:t>
      </w:r>
    </w:p>
    <w:p w14:paraId="34E3C9CC">
      <w:pPr>
        <w:widowControl w:val="0"/>
        <w:autoSpaceDE w:val="0"/>
        <w:autoSpaceDN w:val="0"/>
        <w:adjustRightInd w:val="0"/>
        <w:spacing w:line="360" w:lineRule="auto"/>
        <w:rPr>
          <w:rFonts w:ascii="宋体" w:hAnsi="宋体" w:cs="宋体"/>
          <w:spacing w:val="10"/>
          <w:sz w:val="24"/>
          <w:szCs w:val="24"/>
        </w:rPr>
      </w:pPr>
    </w:p>
    <w:p w14:paraId="709C835B">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格式自拟</w:t>
      </w:r>
    </w:p>
    <w:p w14:paraId="1C419310">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5BA24DC6">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295AFBF7">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38AF274D">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7732EC85">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0BA21912">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5E59BBB8">
      <w:pPr>
        <w:widowControl w:val="0"/>
        <w:autoSpaceDE w:val="0"/>
        <w:autoSpaceDN w:val="0"/>
        <w:adjustRightInd w:val="0"/>
        <w:spacing w:line="360" w:lineRule="auto"/>
        <w:rPr>
          <w:rFonts w:ascii="宋体" w:hAnsi="宋体" w:cs="宋体"/>
          <w:spacing w:val="10"/>
          <w:sz w:val="24"/>
          <w:szCs w:val="24"/>
        </w:rPr>
      </w:pPr>
      <w:r>
        <w:rPr>
          <w:rFonts w:hint="eastAsia" w:ascii="宋体" w:hAnsi="宋体" w:cs="宋体"/>
          <w:spacing w:val="10"/>
          <w:sz w:val="24"/>
          <w:szCs w:val="24"/>
        </w:rPr>
        <w:t xml:space="preserve"> </w:t>
      </w:r>
    </w:p>
    <w:p w14:paraId="6A994EC5">
      <w:pPr>
        <w:pStyle w:val="37"/>
        <w:rPr>
          <w:rFonts w:ascii="宋体" w:hAnsi="宋体" w:cs="宋体"/>
          <w:spacing w:val="10"/>
          <w:sz w:val="24"/>
          <w:szCs w:val="24"/>
        </w:rPr>
      </w:pPr>
    </w:p>
    <w:p w14:paraId="36D44C49">
      <w:pPr>
        <w:pStyle w:val="37"/>
        <w:rPr>
          <w:rFonts w:ascii="宋体" w:hAnsi="宋体" w:cs="宋体"/>
          <w:spacing w:val="10"/>
          <w:sz w:val="24"/>
          <w:szCs w:val="24"/>
        </w:rPr>
      </w:pPr>
    </w:p>
    <w:p w14:paraId="172F01C6">
      <w:pPr>
        <w:pStyle w:val="37"/>
        <w:rPr>
          <w:rFonts w:ascii="宋体" w:hAnsi="宋体" w:cs="宋体"/>
          <w:spacing w:val="10"/>
          <w:sz w:val="24"/>
          <w:szCs w:val="24"/>
        </w:rPr>
      </w:pPr>
    </w:p>
    <w:p w14:paraId="2B874E4A">
      <w:pPr>
        <w:wordWrap w:val="0"/>
        <w:spacing w:line="360" w:lineRule="auto"/>
        <w:ind w:firstLine="520" w:firstLineChars="200"/>
        <w:rPr>
          <w:rFonts w:ascii="宋体" w:hAnsi="宋体" w:cs="宋体"/>
          <w:sz w:val="24"/>
        </w:rPr>
      </w:pPr>
      <w:r>
        <w:rPr>
          <w:rFonts w:hint="eastAsia" w:ascii="宋体" w:hAnsi="宋体" w:cs="宋体"/>
          <w:spacing w:val="10"/>
          <w:sz w:val="24"/>
          <w:szCs w:val="24"/>
        </w:rPr>
        <w:t xml:space="preserve"> </w:t>
      </w:r>
    </w:p>
    <w:p w14:paraId="04C011E4">
      <w:pPr>
        <w:wordWrap w:val="0"/>
        <w:spacing w:line="360" w:lineRule="auto"/>
        <w:ind w:firstLine="480" w:firstLineChars="200"/>
        <w:rPr>
          <w:rFonts w:ascii="宋体" w:hAnsi="宋体" w:cs="宋体"/>
          <w:sz w:val="24"/>
        </w:rPr>
      </w:pPr>
      <w:r>
        <w:rPr>
          <w:rFonts w:hint="eastAsia" w:ascii="宋体" w:hAnsi="宋体" w:cs="宋体"/>
          <w:sz w:val="24"/>
        </w:rPr>
        <w:t xml:space="preserve"> 供应商（公章签章）：</w:t>
      </w:r>
    </w:p>
    <w:p w14:paraId="729A4219">
      <w:pPr>
        <w:wordWrap w:val="0"/>
        <w:spacing w:line="360" w:lineRule="auto"/>
        <w:ind w:firstLine="480" w:firstLineChars="200"/>
        <w:rPr>
          <w:rFonts w:ascii="宋体" w:hAnsi="宋体" w:cs="宋体"/>
          <w:sz w:val="24"/>
        </w:rPr>
      </w:pPr>
      <w:r>
        <w:rPr>
          <w:rFonts w:hint="eastAsia" w:ascii="宋体" w:hAnsi="宋体" w:cs="宋体"/>
          <w:sz w:val="24"/>
        </w:rPr>
        <w:t>法定代表人或授权委托人（签章）：</w:t>
      </w:r>
    </w:p>
    <w:p w14:paraId="32D37AD1">
      <w:pPr>
        <w:wordWrap w:val="0"/>
        <w:spacing w:line="360" w:lineRule="auto"/>
        <w:ind w:firstLine="480" w:firstLineChars="200"/>
        <w:rPr>
          <w:rFonts w:ascii="宋体" w:hAnsi="宋体" w:cs="宋体"/>
          <w:sz w:val="24"/>
        </w:rPr>
      </w:pPr>
      <w:r>
        <w:rPr>
          <w:rFonts w:hint="eastAsia" w:ascii="宋体" w:hAnsi="宋体" w:cs="宋体"/>
          <w:sz w:val="24"/>
        </w:rPr>
        <w:t xml:space="preserve">                        日期：</w:t>
      </w:r>
    </w:p>
    <w:p w14:paraId="141C8099">
      <w:pPr>
        <w:wordWrap w:val="0"/>
        <w:spacing w:line="360" w:lineRule="auto"/>
        <w:ind w:firstLine="480" w:firstLineChars="200"/>
        <w:jc w:val="center"/>
        <w:outlineLvl w:val="0"/>
        <w:rPr>
          <w:rFonts w:ascii="宋体" w:hAnsi="宋体"/>
          <w:b/>
          <w:sz w:val="24"/>
          <w:szCs w:val="24"/>
        </w:rPr>
      </w:pPr>
      <w:r>
        <w:rPr>
          <w:rFonts w:hint="eastAsia" w:ascii="宋体" w:hAnsi="宋体" w:cs="宋体"/>
          <w:sz w:val="24"/>
        </w:rPr>
        <w:br w:type="page"/>
      </w:r>
      <w:bookmarkStart w:id="120" w:name="_Toc269219207"/>
      <w:bookmarkEnd w:id="120"/>
      <w:bookmarkStart w:id="121" w:name="_Toc461977437"/>
      <w:bookmarkStart w:id="122" w:name="_Toc32551"/>
      <w:r>
        <w:rPr>
          <w:rFonts w:hint="eastAsia" w:ascii="宋体" w:hAnsi="宋体" w:cs="宋体"/>
          <w:b/>
          <w:sz w:val="24"/>
          <w:szCs w:val="24"/>
          <w:lang w:val="en-US" w:eastAsia="zh-CN"/>
        </w:rPr>
        <w:t>六</w:t>
      </w:r>
      <w:r>
        <w:rPr>
          <w:rFonts w:hint="eastAsia" w:ascii="宋体" w:hAnsi="宋体" w:cs="宋体"/>
          <w:b/>
          <w:sz w:val="24"/>
          <w:szCs w:val="24"/>
        </w:rPr>
        <w:t>、投标承诺函</w:t>
      </w:r>
      <w:bookmarkEnd w:id="121"/>
      <w:bookmarkEnd w:id="122"/>
    </w:p>
    <w:p w14:paraId="2ABDCDB8">
      <w:pPr>
        <w:wordWrap w:val="0"/>
        <w:spacing w:line="360" w:lineRule="auto"/>
        <w:ind w:firstLine="480" w:firstLineChars="200"/>
        <w:rPr>
          <w:rFonts w:ascii="宋体" w:hAnsi="宋体" w:cs="宋体"/>
          <w:sz w:val="24"/>
        </w:rPr>
      </w:pPr>
      <w:r>
        <w:rPr>
          <w:rFonts w:hint="eastAsia" w:ascii="宋体" w:hAnsi="宋体" w:cs="宋体"/>
          <w:sz w:val="24"/>
        </w:rPr>
        <w:t>致 （采购人）：</w:t>
      </w:r>
    </w:p>
    <w:p w14:paraId="2DE6A35E">
      <w:pPr>
        <w:wordWrap w:val="0"/>
        <w:spacing w:line="360" w:lineRule="auto"/>
        <w:ind w:firstLine="480" w:firstLineChars="200"/>
        <w:rPr>
          <w:rFonts w:ascii="宋体" w:hAnsi="宋体" w:cs="宋体"/>
          <w:sz w:val="24"/>
        </w:rPr>
      </w:pPr>
      <w:r>
        <w:rPr>
          <w:rFonts w:hint="eastAsia" w:ascii="宋体" w:hAnsi="宋体" w:cs="宋体"/>
          <w:sz w:val="24"/>
        </w:rPr>
        <w:t>我公司作为本次采购项目的供应商，根据竞争性磋商文件要求，现郑重承诺如下：</w:t>
      </w:r>
    </w:p>
    <w:p w14:paraId="77316C89">
      <w:pPr>
        <w:wordWrap w:val="0"/>
        <w:spacing w:line="360" w:lineRule="auto"/>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5381F90C">
      <w:pPr>
        <w:wordWrap w:val="0"/>
        <w:spacing w:line="360" w:lineRule="auto"/>
        <w:ind w:firstLine="480" w:firstLineChars="200"/>
        <w:rPr>
          <w:rFonts w:ascii="宋体" w:hAnsi="宋体" w:cs="宋体"/>
          <w:sz w:val="24"/>
        </w:rPr>
      </w:pPr>
      <w:r>
        <w:rPr>
          <w:rFonts w:hint="eastAsia" w:ascii="宋体" w:hAnsi="宋体" w:cs="宋体"/>
          <w:sz w:val="24"/>
        </w:rPr>
        <w:t>（一）具有独立承担民事责任的能力；</w:t>
      </w:r>
    </w:p>
    <w:p w14:paraId="542B90F3">
      <w:pPr>
        <w:wordWrap w:val="0"/>
        <w:spacing w:line="360" w:lineRule="auto"/>
        <w:ind w:firstLine="480" w:firstLineChars="200"/>
        <w:rPr>
          <w:rFonts w:ascii="宋体" w:hAnsi="宋体" w:cs="宋体"/>
          <w:sz w:val="24"/>
        </w:rPr>
      </w:pPr>
      <w:r>
        <w:rPr>
          <w:rFonts w:hint="eastAsia" w:ascii="宋体" w:hAnsi="宋体" w:cs="宋体"/>
          <w:sz w:val="24"/>
        </w:rPr>
        <w:t>（二）具有良好的商业信誉和健全的财务会计制度；</w:t>
      </w:r>
    </w:p>
    <w:p w14:paraId="59747E01">
      <w:pPr>
        <w:wordWrap w:val="0"/>
        <w:spacing w:line="360" w:lineRule="auto"/>
        <w:ind w:firstLine="480" w:firstLineChars="200"/>
        <w:rPr>
          <w:rFonts w:ascii="宋体" w:hAnsi="宋体" w:cs="宋体"/>
          <w:sz w:val="24"/>
        </w:rPr>
      </w:pPr>
      <w:r>
        <w:rPr>
          <w:rFonts w:hint="eastAsia" w:ascii="宋体" w:hAnsi="宋体" w:cs="宋体"/>
          <w:sz w:val="24"/>
        </w:rPr>
        <w:t>（三）具有履行合同所必需的设备和专业技术能力；</w:t>
      </w:r>
    </w:p>
    <w:p w14:paraId="37C16C5A">
      <w:pPr>
        <w:wordWrap w:val="0"/>
        <w:spacing w:line="360" w:lineRule="auto"/>
        <w:ind w:firstLine="480" w:firstLineChars="200"/>
        <w:rPr>
          <w:rFonts w:ascii="宋体" w:hAnsi="宋体" w:cs="宋体"/>
          <w:sz w:val="24"/>
        </w:rPr>
      </w:pPr>
      <w:r>
        <w:rPr>
          <w:rFonts w:hint="eastAsia" w:ascii="宋体" w:hAnsi="宋体" w:cs="宋体"/>
          <w:sz w:val="24"/>
        </w:rPr>
        <w:t>（四）有依法缴纳税收和社会保障资金的良好记录；</w:t>
      </w:r>
    </w:p>
    <w:p w14:paraId="2FCC0C24">
      <w:pPr>
        <w:wordWrap w:val="0"/>
        <w:spacing w:line="360" w:lineRule="auto"/>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6B76CC58">
      <w:pPr>
        <w:wordWrap w:val="0"/>
        <w:spacing w:line="360" w:lineRule="auto"/>
        <w:ind w:firstLine="480" w:firstLineChars="200"/>
        <w:rPr>
          <w:rFonts w:ascii="宋体" w:hAnsi="宋体" w:cs="宋体"/>
          <w:sz w:val="24"/>
        </w:rPr>
      </w:pPr>
      <w:r>
        <w:rPr>
          <w:rFonts w:hint="eastAsia" w:ascii="宋体" w:hAnsi="宋体" w:cs="宋体"/>
          <w:sz w:val="24"/>
        </w:rPr>
        <w:t>（六）法律、行政法规规定的其他条件；</w:t>
      </w:r>
    </w:p>
    <w:p w14:paraId="05F5E5BE">
      <w:pPr>
        <w:wordWrap w:val="0"/>
        <w:spacing w:line="360" w:lineRule="auto"/>
        <w:ind w:firstLine="480" w:firstLineChars="200"/>
        <w:rPr>
          <w:rFonts w:ascii="宋体" w:hAnsi="宋体" w:cs="宋体"/>
          <w:sz w:val="24"/>
        </w:rPr>
      </w:pPr>
      <w:r>
        <w:rPr>
          <w:rFonts w:hint="eastAsia" w:ascii="宋体" w:hAnsi="宋体" w:cs="宋体"/>
          <w:sz w:val="24"/>
        </w:rPr>
        <w:t>（七）根据采购项目提出的特殊条件。</w:t>
      </w:r>
    </w:p>
    <w:p w14:paraId="235E584E">
      <w:pPr>
        <w:wordWrap w:val="0"/>
        <w:spacing w:line="360" w:lineRule="auto"/>
        <w:ind w:firstLine="480" w:firstLineChars="200"/>
        <w:rPr>
          <w:rFonts w:ascii="宋体" w:hAnsi="宋体" w:cs="宋体"/>
          <w:sz w:val="24"/>
        </w:rPr>
      </w:pPr>
      <w:r>
        <w:rPr>
          <w:rFonts w:hint="eastAsia" w:ascii="宋体" w:hAnsi="宋体" w:cs="宋体"/>
          <w:sz w:val="24"/>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6A1787A8">
      <w:pPr>
        <w:wordWrap w:val="0"/>
        <w:spacing w:line="360" w:lineRule="auto"/>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三、参加本次招标采购活动，不存在与单位负责人为同一人或者存在直接控股、管理关系的其他供应商参与同一合同项下的政府采购活动的行为。</w:t>
      </w:r>
    </w:p>
    <w:p w14:paraId="583A00B0">
      <w:pPr>
        <w:wordWrap w:val="0"/>
        <w:spacing w:line="360" w:lineRule="auto"/>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6931BFCF">
      <w:pPr>
        <w:wordWrap w:val="0"/>
        <w:spacing w:line="360" w:lineRule="auto"/>
        <w:ind w:firstLine="480" w:firstLineChars="200"/>
        <w:rPr>
          <w:rFonts w:ascii="宋体" w:hAnsi="宋体" w:cs="宋体"/>
          <w:sz w:val="24"/>
        </w:rPr>
      </w:pPr>
      <w:r>
        <w:rPr>
          <w:rFonts w:hint="eastAsia" w:ascii="宋体" w:hAnsi="宋体" w:cs="宋体"/>
          <w:sz w:val="24"/>
        </w:rPr>
        <w:t>五、参加本次招标采购活动，不存在和其他供应商在同一合同项下的采购项目中，同时委托同一个自然人、同一家庭的人员、同一单位的人员作为代理人的行为。</w:t>
      </w:r>
    </w:p>
    <w:p w14:paraId="75758B13">
      <w:pPr>
        <w:wordWrap w:val="0"/>
        <w:spacing w:line="360" w:lineRule="auto"/>
        <w:ind w:firstLine="480" w:firstLineChars="200"/>
        <w:rPr>
          <w:rFonts w:ascii="宋体" w:hAnsi="宋体" w:cs="宋体"/>
          <w:sz w:val="24"/>
        </w:rPr>
      </w:pPr>
      <w:r>
        <w:rPr>
          <w:rFonts w:hint="eastAsia" w:ascii="宋体" w:hAnsi="宋体" w:cs="宋体"/>
          <w:sz w:val="24"/>
        </w:rPr>
        <w:t>六、供应商参加本次政府采购活动要求在近三年内供应商和其法定代表人没有行贿犯罪行为。</w:t>
      </w:r>
    </w:p>
    <w:p w14:paraId="5A723D21">
      <w:pPr>
        <w:wordWrap w:val="0"/>
        <w:spacing w:line="360" w:lineRule="auto"/>
        <w:ind w:firstLine="480" w:firstLineChars="200"/>
        <w:rPr>
          <w:rFonts w:ascii="宋体" w:hAnsi="宋体" w:cs="宋体"/>
          <w:sz w:val="24"/>
        </w:rPr>
      </w:pPr>
      <w:r>
        <w:rPr>
          <w:rFonts w:hint="eastAsia" w:ascii="宋体" w:hAnsi="宋体" w:cs="宋体"/>
          <w:sz w:val="24"/>
        </w:rPr>
        <w:t>七、参加本次招标采购活动，不存在联合体投标。</w:t>
      </w:r>
    </w:p>
    <w:p w14:paraId="77FBD5AD">
      <w:pPr>
        <w:wordWrap w:val="0"/>
        <w:spacing w:line="360" w:lineRule="auto"/>
        <w:ind w:firstLine="480" w:firstLineChars="200"/>
        <w:rPr>
          <w:rFonts w:ascii="宋体" w:hAnsi="宋体" w:cs="宋体"/>
          <w:sz w:val="24"/>
        </w:rPr>
      </w:pPr>
      <w:r>
        <w:rPr>
          <w:rFonts w:hint="eastAsia" w:ascii="宋体" w:hAnsi="宋体" w:cs="宋体"/>
          <w:sz w:val="24"/>
        </w:rPr>
        <w:t>八、响应文件中提供的能够给予我公司带来优惠、好处的任何材料资料和技术、服务、商务等响应承诺情况都是真实的、有效的、合法的。</w:t>
      </w:r>
    </w:p>
    <w:p w14:paraId="091F3DE2">
      <w:pPr>
        <w:wordWrap w:val="0"/>
        <w:spacing w:line="360" w:lineRule="auto"/>
        <w:ind w:firstLine="480" w:firstLineChars="200"/>
        <w:rPr>
          <w:rFonts w:ascii="宋体" w:hAnsi="宋体" w:cs="宋体"/>
          <w:sz w:val="24"/>
        </w:rPr>
      </w:pPr>
      <w:r>
        <w:rPr>
          <w:rFonts w:hint="eastAsia" w:ascii="宋体" w:hAnsi="宋体" w:cs="宋体"/>
          <w:sz w:val="24"/>
        </w:rPr>
        <w:t>九、存在以下行为之一的愿意接受相关部门的处理：</w:t>
      </w:r>
    </w:p>
    <w:p w14:paraId="2C51E558">
      <w:pPr>
        <w:wordWrap w:val="0"/>
        <w:spacing w:line="360" w:lineRule="auto"/>
        <w:ind w:firstLine="480" w:firstLineChars="200"/>
        <w:rPr>
          <w:rFonts w:ascii="宋体" w:hAnsi="宋体" w:cs="宋体"/>
          <w:sz w:val="24"/>
        </w:rPr>
      </w:pPr>
      <w:r>
        <w:rPr>
          <w:rFonts w:hint="eastAsia" w:ascii="宋体" w:hAnsi="宋体" w:cs="宋体"/>
          <w:sz w:val="24"/>
        </w:rPr>
        <w:t>（一）投标有效期内撤销响应文件的；</w:t>
      </w:r>
    </w:p>
    <w:p w14:paraId="17CE5D89">
      <w:pPr>
        <w:wordWrap w:val="0"/>
        <w:spacing w:line="360" w:lineRule="auto"/>
        <w:ind w:firstLine="480" w:firstLineChars="200"/>
        <w:rPr>
          <w:rFonts w:ascii="宋体" w:hAnsi="宋体" w:cs="宋体"/>
          <w:sz w:val="24"/>
        </w:rPr>
      </w:pPr>
      <w:r>
        <w:rPr>
          <w:rFonts w:hint="eastAsia" w:ascii="宋体" w:hAnsi="宋体" w:cs="宋体"/>
          <w:sz w:val="24"/>
        </w:rPr>
        <w:t>（二）在采购人确定中标人以前放弃中标候选资格的；</w:t>
      </w:r>
    </w:p>
    <w:p w14:paraId="633E1CA8">
      <w:pPr>
        <w:wordWrap w:val="0"/>
        <w:spacing w:line="360" w:lineRule="auto"/>
        <w:ind w:firstLine="480" w:firstLineChars="200"/>
        <w:rPr>
          <w:rFonts w:ascii="宋体" w:hAnsi="宋体" w:cs="宋体"/>
          <w:sz w:val="24"/>
        </w:rPr>
      </w:pPr>
      <w:r>
        <w:rPr>
          <w:rFonts w:hint="eastAsia" w:ascii="宋体" w:hAnsi="宋体" w:cs="宋体"/>
          <w:sz w:val="24"/>
        </w:rPr>
        <w:t>（三）由于中标人的原因未能按照竞争性磋商文件的规定与采购人签订合同；</w:t>
      </w:r>
    </w:p>
    <w:p w14:paraId="71BE46C8">
      <w:pPr>
        <w:wordWrap w:val="0"/>
        <w:spacing w:line="360" w:lineRule="auto"/>
        <w:ind w:firstLine="480" w:firstLineChars="200"/>
        <w:rPr>
          <w:rFonts w:ascii="宋体" w:hAnsi="宋体" w:cs="宋体"/>
          <w:sz w:val="24"/>
        </w:rPr>
      </w:pPr>
      <w:r>
        <w:rPr>
          <w:rFonts w:hint="eastAsia" w:ascii="宋体" w:hAnsi="宋体" w:cs="宋体"/>
          <w:sz w:val="24"/>
        </w:rPr>
        <w:t>（四）由于中标人的原因未能按照竞争性磋商文件的规定交纳履约保证金；</w:t>
      </w:r>
    </w:p>
    <w:p w14:paraId="13004414">
      <w:pPr>
        <w:wordWrap w:val="0"/>
        <w:spacing w:line="360" w:lineRule="auto"/>
        <w:ind w:firstLine="480" w:firstLineChars="200"/>
        <w:rPr>
          <w:rFonts w:ascii="宋体" w:hAnsi="宋体" w:cs="宋体"/>
          <w:sz w:val="24"/>
        </w:rPr>
      </w:pPr>
      <w:r>
        <w:rPr>
          <w:rFonts w:hint="eastAsia" w:ascii="宋体" w:hAnsi="宋体" w:cs="宋体"/>
          <w:sz w:val="24"/>
        </w:rPr>
        <w:t>（五）在响应文件中提供虚假材料谋取中标；</w:t>
      </w:r>
    </w:p>
    <w:p w14:paraId="04888366">
      <w:pPr>
        <w:wordWrap w:val="0"/>
        <w:spacing w:line="360" w:lineRule="auto"/>
        <w:ind w:firstLine="480" w:firstLineChars="200"/>
        <w:rPr>
          <w:rFonts w:ascii="宋体" w:hAnsi="宋体" w:cs="宋体"/>
          <w:sz w:val="24"/>
        </w:rPr>
      </w:pPr>
      <w:r>
        <w:rPr>
          <w:rFonts w:hint="eastAsia" w:ascii="宋体" w:hAnsi="宋体" w:cs="宋体"/>
          <w:sz w:val="24"/>
        </w:rPr>
        <w:t>（六）与采购人、其他供应商或者采购代理机构恶意串通的；</w:t>
      </w:r>
    </w:p>
    <w:p w14:paraId="7C84B6D1">
      <w:pPr>
        <w:wordWrap w:val="0"/>
        <w:spacing w:line="360" w:lineRule="auto"/>
        <w:ind w:firstLine="480" w:firstLineChars="200"/>
        <w:rPr>
          <w:rFonts w:ascii="宋体" w:hAnsi="宋体" w:cs="宋体"/>
          <w:sz w:val="24"/>
        </w:rPr>
      </w:pPr>
      <w:r>
        <w:rPr>
          <w:rFonts w:hint="eastAsia" w:ascii="宋体" w:hAnsi="宋体" w:cs="宋体"/>
          <w:sz w:val="24"/>
        </w:rPr>
        <w:t>（七）投标有效期内，供应商在政府采购活动中有违法、违规、违纪行为。</w:t>
      </w:r>
    </w:p>
    <w:p w14:paraId="7893D591">
      <w:pPr>
        <w:wordWrap w:val="0"/>
        <w:spacing w:line="360" w:lineRule="auto"/>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2C66105A">
      <w:pPr>
        <w:wordWrap w:val="0"/>
        <w:spacing w:line="360" w:lineRule="auto"/>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05AA1CFB">
      <w:pPr>
        <w:wordWrap w:val="0"/>
        <w:spacing w:line="360" w:lineRule="auto"/>
        <w:ind w:firstLine="480" w:firstLineChars="200"/>
        <w:rPr>
          <w:rFonts w:ascii="宋体" w:hAnsi="宋体" w:cs="宋体"/>
          <w:sz w:val="24"/>
        </w:rPr>
      </w:pPr>
      <w:r>
        <w:rPr>
          <w:rFonts w:hint="eastAsia" w:ascii="宋体" w:hAnsi="宋体" w:cs="宋体"/>
          <w:sz w:val="24"/>
        </w:rPr>
        <w:t xml:space="preserve"> </w:t>
      </w:r>
    </w:p>
    <w:p w14:paraId="0F883004">
      <w:pPr>
        <w:wordWrap w:val="0"/>
        <w:spacing w:line="360" w:lineRule="auto"/>
        <w:ind w:firstLine="480" w:firstLineChars="200"/>
        <w:rPr>
          <w:rFonts w:ascii="宋体" w:hAnsi="宋体" w:cs="宋体"/>
          <w:sz w:val="24"/>
        </w:rPr>
      </w:pPr>
      <w:r>
        <w:rPr>
          <w:rFonts w:hint="eastAsia" w:ascii="宋体" w:hAnsi="宋体" w:cs="宋体"/>
          <w:sz w:val="24"/>
        </w:rPr>
        <w:t>供应商名称：               （公章签章）</w:t>
      </w:r>
    </w:p>
    <w:p w14:paraId="006FE0D1">
      <w:pPr>
        <w:wordWrap w:val="0"/>
        <w:spacing w:line="360" w:lineRule="auto"/>
        <w:ind w:firstLine="480" w:firstLineChars="200"/>
        <w:rPr>
          <w:rFonts w:ascii="宋体" w:hAnsi="宋体" w:cs="宋体"/>
          <w:sz w:val="24"/>
        </w:rPr>
      </w:pPr>
      <w:r>
        <w:rPr>
          <w:rFonts w:hint="eastAsia" w:ascii="宋体" w:hAnsi="宋体" w:cs="宋体"/>
          <w:sz w:val="24"/>
        </w:rPr>
        <w:t>法定代表人：               （签章）</w:t>
      </w:r>
    </w:p>
    <w:p w14:paraId="2F67E283">
      <w:pPr>
        <w:widowControl w:val="0"/>
        <w:spacing w:line="360" w:lineRule="auto"/>
        <w:jc w:val="center"/>
        <w:outlineLvl w:val="9"/>
        <w:rPr>
          <w:rFonts w:ascii="宋体" w:hAnsi="宋体" w:cs="仿宋"/>
          <w:sz w:val="24"/>
          <w:szCs w:val="24"/>
        </w:rPr>
      </w:pPr>
      <w:r>
        <w:rPr>
          <w:rFonts w:hint="eastAsia" w:ascii="宋体" w:hAnsi="宋体" w:cs="宋体"/>
          <w:sz w:val="24"/>
        </w:rPr>
        <w:t xml:space="preserve">日期：              </w:t>
      </w:r>
      <w:bookmarkStart w:id="123" w:name="_Toc247085880"/>
      <w:bookmarkEnd w:id="123"/>
      <w:bookmarkStart w:id="124" w:name="_Toc246996362"/>
      <w:bookmarkEnd w:id="124"/>
      <w:bookmarkStart w:id="125" w:name="_Toc394651926"/>
      <w:bookmarkEnd w:id="125"/>
      <w:bookmarkStart w:id="126" w:name="_Toc244934213"/>
      <w:bookmarkEnd w:id="126"/>
      <w:bookmarkStart w:id="127" w:name="_Toc144974862"/>
      <w:bookmarkEnd w:id="127"/>
      <w:bookmarkStart w:id="128" w:name="_Toc244934212"/>
      <w:bookmarkEnd w:id="128"/>
      <w:bookmarkStart w:id="129" w:name="_Toc361989463"/>
      <w:bookmarkEnd w:id="129"/>
      <w:bookmarkStart w:id="130" w:name="_Toc528078071"/>
      <w:bookmarkEnd w:id="130"/>
      <w:bookmarkStart w:id="131" w:name="_Toc152042583"/>
      <w:bookmarkEnd w:id="131"/>
      <w:bookmarkStart w:id="132" w:name="_Toc361989462"/>
      <w:bookmarkEnd w:id="132"/>
      <w:bookmarkStart w:id="133" w:name="_Toc179632814"/>
      <w:bookmarkEnd w:id="133"/>
      <w:bookmarkStart w:id="134" w:name="_Toc152045794"/>
      <w:bookmarkEnd w:id="134"/>
      <w:bookmarkStart w:id="135" w:name="_Hlk3282331"/>
      <w:bookmarkEnd w:id="135"/>
      <w:bookmarkStart w:id="136" w:name="_Toc246997105"/>
      <w:bookmarkEnd w:id="136"/>
    </w:p>
    <w:p w14:paraId="1B121329">
      <w:pPr>
        <w:widowControl w:val="0"/>
        <w:spacing w:line="360" w:lineRule="auto"/>
        <w:ind w:firstLine="482" w:firstLineChars="200"/>
        <w:jc w:val="center"/>
        <w:outlineLvl w:val="0"/>
        <w:rPr>
          <w:rFonts w:ascii="宋体" w:hAnsi="宋体" w:cs="仿宋"/>
          <w:b/>
          <w:sz w:val="24"/>
          <w:szCs w:val="24"/>
        </w:rPr>
      </w:pPr>
      <w:r>
        <w:rPr>
          <w:rFonts w:hint="eastAsia" w:ascii="宋体" w:hAnsi="宋体" w:cs="仿宋"/>
          <w:b/>
          <w:kern w:val="2"/>
          <w:sz w:val="24"/>
          <w:szCs w:val="24"/>
        </w:rPr>
        <w:br w:type="page"/>
      </w:r>
      <w:bookmarkStart w:id="137" w:name="_Toc7390"/>
      <w:r>
        <w:rPr>
          <w:rFonts w:hint="eastAsia" w:ascii="宋体" w:hAnsi="宋体" w:cs="仿宋"/>
          <w:b/>
          <w:kern w:val="2"/>
          <w:sz w:val="24"/>
          <w:szCs w:val="24"/>
          <w:lang w:val="en-US" w:eastAsia="zh-CN"/>
        </w:rPr>
        <w:t>七</w:t>
      </w:r>
      <w:r>
        <w:rPr>
          <w:rFonts w:hint="eastAsia" w:ascii="宋体" w:hAnsi="宋体" w:cs="仿宋"/>
          <w:b/>
          <w:kern w:val="2"/>
          <w:sz w:val="24"/>
          <w:szCs w:val="24"/>
        </w:rPr>
        <w:t>、服务承诺及优惠条件</w:t>
      </w:r>
      <w:bookmarkEnd w:id="137"/>
    </w:p>
    <w:p w14:paraId="6D0EAC26">
      <w:pPr>
        <w:widowControl w:val="0"/>
        <w:spacing w:line="360" w:lineRule="auto"/>
        <w:jc w:val="center"/>
        <w:outlineLvl w:val="9"/>
        <w:rPr>
          <w:rFonts w:ascii="宋体" w:hAnsi="宋体"/>
          <w:sz w:val="24"/>
          <w:szCs w:val="24"/>
        </w:rPr>
      </w:pPr>
      <w:r>
        <w:rPr>
          <w:rFonts w:hint="eastAsia" w:ascii="宋体" w:hAnsi="宋体" w:cs="仿宋"/>
          <w:b/>
          <w:kern w:val="2"/>
          <w:sz w:val="24"/>
          <w:szCs w:val="24"/>
        </w:rPr>
        <w:t xml:space="preserve"> </w:t>
      </w:r>
      <w:bookmarkStart w:id="138" w:name="_Toc461977439"/>
      <w:bookmarkEnd w:id="138"/>
    </w:p>
    <w:p w14:paraId="4FE0319A">
      <w:pPr>
        <w:widowControl w:val="0"/>
        <w:jc w:val="both"/>
        <w:rPr>
          <w:rFonts w:ascii="宋体" w:hAnsi="宋体"/>
          <w:sz w:val="24"/>
          <w:szCs w:val="24"/>
        </w:rPr>
      </w:pPr>
    </w:p>
    <w:p w14:paraId="1255DEAB">
      <w:pPr>
        <w:widowControl w:val="0"/>
        <w:jc w:val="center"/>
        <w:rPr>
          <w:rFonts w:ascii="宋体" w:hAnsi="宋体" w:cs="宋体"/>
          <w:sz w:val="24"/>
          <w:szCs w:val="24"/>
        </w:rPr>
      </w:pPr>
    </w:p>
    <w:p w14:paraId="2DB2ECD9">
      <w:pPr>
        <w:rPr>
          <w:sz w:val="28"/>
          <w:szCs w:val="28"/>
        </w:rPr>
      </w:pPr>
    </w:p>
    <w:p w14:paraId="74E02547">
      <w:pPr>
        <w:widowControl w:val="0"/>
        <w:spacing w:line="360" w:lineRule="auto"/>
        <w:ind w:firstLine="560" w:firstLineChars="200"/>
        <w:jc w:val="center"/>
        <w:outlineLvl w:val="0"/>
        <w:rPr>
          <w:rFonts w:ascii="宋体" w:hAnsi="宋体" w:cs="仿宋"/>
          <w:b/>
          <w:kern w:val="2"/>
          <w:sz w:val="24"/>
          <w:szCs w:val="24"/>
        </w:rPr>
      </w:pPr>
      <w:r>
        <w:rPr>
          <w:rFonts w:hint="eastAsia"/>
          <w:sz w:val="28"/>
          <w:szCs w:val="28"/>
        </w:rPr>
        <w:br w:type="page"/>
      </w:r>
      <w:bookmarkStart w:id="139" w:name="_Toc19995"/>
      <w:r>
        <w:rPr>
          <w:rFonts w:hint="eastAsia" w:ascii="宋体" w:hAnsi="宋体" w:cs="仿宋"/>
          <w:b/>
          <w:kern w:val="2"/>
          <w:sz w:val="24"/>
          <w:szCs w:val="24"/>
          <w:lang w:val="en-US" w:eastAsia="zh-CN"/>
        </w:rPr>
        <w:t>八、供应商认为应附的其他资料</w:t>
      </w:r>
      <w:bookmarkEnd w:id="139"/>
    </w:p>
    <w:p w14:paraId="7342A592">
      <w:pPr>
        <w:widowControl w:val="0"/>
        <w:spacing w:line="360" w:lineRule="auto"/>
        <w:jc w:val="center"/>
        <w:outlineLvl w:val="9"/>
        <w:rPr>
          <w:rFonts w:ascii="宋体" w:hAnsi="宋体" w:cs="仿宋"/>
          <w:b/>
          <w:kern w:val="2"/>
          <w:sz w:val="24"/>
          <w:szCs w:val="24"/>
        </w:rPr>
      </w:pPr>
    </w:p>
    <w:p w14:paraId="514B6BD2">
      <w:pPr>
        <w:rPr>
          <w:sz w:val="28"/>
          <w:szCs w:val="28"/>
        </w:rPr>
      </w:pPr>
    </w:p>
    <w:p w14:paraId="46E17006">
      <w:pPr>
        <w:rPr>
          <w:sz w:val="28"/>
          <w:szCs w:val="28"/>
        </w:rPr>
      </w:pPr>
    </w:p>
    <w:p w14:paraId="6ED6B2E0">
      <w:pPr>
        <w:rPr>
          <w:sz w:val="28"/>
          <w:szCs w:val="28"/>
        </w:rPr>
      </w:pPr>
    </w:p>
    <w:p w14:paraId="14E8A596">
      <w:pPr>
        <w:rPr>
          <w:sz w:val="28"/>
          <w:szCs w:val="28"/>
        </w:rPr>
      </w:pPr>
    </w:p>
    <w:p w14:paraId="21CBDC4B">
      <w:pPr>
        <w:rPr>
          <w:sz w:val="28"/>
          <w:szCs w:val="28"/>
        </w:rPr>
      </w:pPr>
    </w:p>
    <w:p w14:paraId="0B3AAFCD">
      <w:pPr>
        <w:rPr>
          <w:sz w:val="28"/>
          <w:szCs w:val="28"/>
        </w:rPr>
      </w:pPr>
    </w:p>
    <w:p w14:paraId="338C3C73">
      <w:pPr>
        <w:rPr>
          <w:sz w:val="28"/>
          <w:szCs w:val="28"/>
        </w:rPr>
      </w:pPr>
    </w:p>
    <w:p w14:paraId="4CFA8C43">
      <w:pPr>
        <w:rPr>
          <w:sz w:val="28"/>
          <w:szCs w:val="28"/>
        </w:rPr>
      </w:pPr>
    </w:p>
    <w:p w14:paraId="46AA1B89">
      <w:pPr>
        <w:rPr>
          <w:sz w:val="28"/>
          <w:szCs w:val="28"/>
        </w:rPr>
      </w:pPr>
    </w:p>
    <w:p w14:paraId="6446AE4E">
      <w:pPr>
        <w:rPr>
          <w:sz w:val="28"/>
          <w:szCs w:val="28"/>
        </w:rPr>
      </w:pPr>
    </w:p>
    <w:p w14:paraId="48FC3D36">
      <w:pPr>
        <w:rPr>
          <w:sz w:val="28"/>
          <w:szCs w:val="28"/>
        </w:rPr>
      </w:pPr>
    </w:p>
    <w:p w14:paraId="7F3AFB6F">
      <w:pPr>
        <w:rPr>
          <w:sz w:val="28"/>
          <w:szCs w:val="28"/>
        </w:rPr>
      </w:pPr>
    </w:p>
    <w:p w14:paraId="6AB38AAA">
      <w:pPr>
        <w:rPr>
          <w:sz w:val="28"/>
          <w:szCs w:val="28"/>
        </w:rPr>
      </w:pPr>
    </w:p>
    <w:p w14:paraId="06DB809A">
      <w:pPr>
        <w:rPr>
          <w:sz w:val="28"/>
          <w:szCs w:val="28"/>
        </w:rPr>
      </w:pPr>
    </w:p>
    <w:p w14:paraId="47F9AF46">
      <w:pPr>
        <w:rPr>
          <w:sz w:val="28"/>
          <w:szCs w:val="28"/>
        </w:rPr>
      </w:pPr>
    </w:p>
    <w:p w14:paraId="7D02AD7E">
      <w:pPr>
        <w:rPr>
          <w:sz w:val="28"/>
          <w:szCs w:val="28"/>
        </w:rPr>
      </w:pPr>
    </w:p>
    <w:p w14:paraId="0D173C60">
      <w:pPr>
        <w:rPr>
          <w:sz w:val="28"/>
          <w:szCs w:val="28"/>
        </w:rPr>
      </w:pPr>
    </w:p>
    <w:p w14:paraId="4C36F8A3">
      <w:pPr>
        <w:rPr>
          <w:sz w:val="28"/>
          <w:szCs w:val="28"/>
        </w:rPr>
      </w:pPr>
    </w:p>
    <w:p w14:paraId="7A68AFCB">
      <w:pPr>
        <w:rPr>
          <w:sz w:val="28"/>
          <w:szCs w:val="28"/>
        </w:rPr>
      </w:pPr>
    </w:p>
    <w:p w14:paraId="24F1B1C8">
      <w:pPr>
        <w:rPr>
          <w:sz w:val="28"/>
          <w:szCs w:val="28"/>
        </w:rPr>
      </w:pPr>
    </w:p>
    <w:p w14:paraId="64F73F0C">
      <w:pPr>
        <w:rPr>
          <w:sz w:val="28"/>
          <w:szCs w:val="28"/>
        </w:rPr>
      </w:pPr>
    </w:p>
    <w:p w14:paraId="2374022B">
      <w:pPr>
        <w:pStyle w:val="7"/>
        <w:spacing w:after="0" w:line="362" w:lineRule="auto"/>
        <w:ind w:left="63" w:right="63"/>
        <w:jc w:val="center"/>
        <w:rPr>
          <w:rFonts w:ascii="宋体" w:hAnsi="宋体" w:cs="宋体"/>
          <w:b/>
          <w:sz w:val="24"/>
        </w:rPr>
      </w:pPr>
      <w:r>
        <w:rPr>
          <w:rFonts w:hint="eastAsia" w:ascii="宋体" w:hAnsi="宋体" w:cs="宋体"/>
          <w:b/>
          <w:sz w:val="24"/>
        </w:rPr>
        <w:t>中小微企业声明函</w:t>
      </w:r>
    </w:p>
    <w:p w14:paraId="5F88C23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14:paraId="18BADD1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3CB57092">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；制造商为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746B1FE">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p>
    <w:p w14:paraId="7EB960E7">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49B938F9">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04882221">
      <w:pPr>
        <w:adjustRightInd w:val="0"/>
        <w:snapToGrid w:val="0"/>
        <w:spacing w:line="360" w:lineRule="auto"/>
        <w:jc w:val="both"/>
        <w:rPr>
          <w:rFonts w:ascii="宋体" w:hAnsi="宋体" w:cs="宋体"/>
          <w:sz w:val="24"/>
          <w:szCs w:val="24"/>
        </w:rPr>
      </w:pPr>
      <w:r>
        <w:rPr>
          <w:rFonts w:hint="eastAsia" w:ascii="宋体" w:hAnsi="宋体" w:cs="宋体"/>
          <w:sz w:val="24"/>
          <w:szCs w:val="24"/>
        </w:rPr>
        <w:t xml:space="preserve">  </w:t>
      </w:r>
    </w:p>
    <w:p w14:paraId="7812DB20">
      <w:pPr>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企业名称（公章签章）：</w:t>
      </w:r>
    </w:p>
    <w:p w14:paraId="7C68C0B4">
      <w:pPr>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日      期：</w:t>
      </w:r>
    </w:p>
    <w:p w14:paraId="587B982B">
      <w:pPr>
        <w:pStyle w:val="18"/>
        <w:spacing w:line="360" w:lineRule="auto"/>
        <w:ind w:left="400" w:firstLine="560"/>
        <w:rPr>
          <w:rFonts w:ascii="宋体" w:hAnsi="宋体" w:cs="宋体"/>
          <w:sz w:val="28"/>
          <w:szCs w:val="28"/>
        </w:rPr>
      </w:pPr>
    </w:p>
    <w:p w14:paraId="6EE85DC5">
      <w:pPr>
        <w:adjustRightInd w:val="0"/>
        <w:snapToGrid w:val="0"/>
        <w:spacing w:line="360" w:lineRule="auto"/>
        <w:rPr>
          <w:rFonts w:ascii="宋体" w:hAnsi="宋体" w:cs="宋体"/>
          <w:spacing w:val="6"/>
          <w:sz w:val="24"/>
          <w:szCs w:val="24"/>
        </w:rPr>
      </w:pPr>
    </w:p>
    <w:p w14:paraId="41FA6579">
      <w:pPr>
        <w:pStyle w:val="18"/>
        <w:spacing w:line="360" w:lineRule="auto"/>
        <w:ind w:left="0" w:leftChars="0" w:firstLine="0" w:firstLineChars="0"/>
        <w:rPr>
          <w:rFonts w:ascii="宋体" w:hAnsi="宋体" w:cs="宋体"/>
          <w:sz w:val="24"/>
          <w:szCs w:val="24"/>
        </w:rPr>
      </w:pPr>
    </w:p>
    <w:p w14:paraId="18E143DF">
      <w:pPr>
        <w:spacing w:line="520" w:lineRule="atLeast"/>
        <w:ind w:firstLine="482" w:firstLineChars="200"/>
        <w:outlineLvl w:val="9"/>
        <w:rPr>
          <w:rFonts w:ascii="宋体" w:hAnsi="宋体" w:cs="宋体"/>
          <w:b/>
          <w:bCs/>
          <w:sz w:val="24"/>
          <w:szCs w:val="24"/>
        </w:rPr>
      </w:pPr>
      <w:bookmarkStart w:id="140" w:name="_Toc9976"/>
      <w:r>
        <w:rPr>
          <w:rFonts w:hint="eastAsia" w:ascii="宋体" w:hAnsi="宋体" w:cs="宋体"/>
          <w:b/>
          <w:bCs/>
          <w:sz w:val="24"/>
          <w:szCs w:val="24"/>
        </w:rPr>
        <w:t>从业人员、营业收入、资产总额填报上一年度数据，无上一年度数据的</w:t>
      </w:r>
      <w:bookmarkEnd w:id="140"/>
    </w:p>
    <w:p w14:paraId="5FD5BD8B">
      <w:pPr>
        <w:spacing w:line="520" w:lineRule="atLeast"/>
        <w:outlineLvl w:val="9"/>
        <w:rPr>
          <w:rFonts w:ascii="宋体" w:hAnsi="宋体" w:cs="宋体"/>
          <w:b/>
          <w:bCs/>
          <w:sz w:val="24"/>
          <w:szCs w:val="24"/>
        </w:rPr>
      </w:pPr>
      <w:bookmarkStart w:id="141" w:name="_Toc30673"/>
      <w:r>
        <w:rPr>
          <w:rFonts w:hint="eastAsia" w:ascii="宋体" w:hAnsi="宋体" w:cs="宋体"/>
          <w:b/>
          <w:bCs/>
          <w:sz w:val="24"/>
          <w:szCs w:val="24"/>
        </w:rPr>
        <w:t>新成立企业可不填报</w:t>
      </w:r>
      <w:bookmarkEnd w:id="141"/>
    </w:p>
    <w:p w14:paraId="78E02800">
      <w:pPr>
        <w:pStyle w:val="17"/>
      </w:pPr>
    </w:p>
    <w:p w14:paraId="5C4EFF39"/>
    <w:p w14:paraId="54E155B8"/>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7A462">
    <w:pPr>
      <w:pStyle w:val="11"/>
      <w:tabs>
        <w:tab w:val="center" w:pos="4646"/>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F4411">
    <w:pPr>
      <w:pStyle w:val="11"/>
      <w:tabs>
        <w:tab w:val="center" w:pos="4646"/>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7348">
    <w:pPr>
      <w:pStyle w:val="11"/>
      <w:tabs>
        <w:tab w:val="center" w:pos="464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CF11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1CF11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A2F7">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E1BB">
                          <w:pPr>
                            <w:pStyle w:val="11"/>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1CE1BB">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zyy0u657j5njaBX3d+Md3TDeK0=" w:salt="V4vrEKASuZZwvdv80EAnk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24C6A"/>
    <w:rsid w:val="014700E2"/>
    <w:rsid w:val="014F4893"/>
    <w:rsid w:val="01EC74CB"/>
    <w:rsid w:val="034617DC"/>
    <w:rsid w:val="03A173F2"/>
    <w:rsid w:val="04963AEA"/>
    <w:rsid w:val="052D3B24"/>
    <w:rsid w:val="086715F6"/>
    <w:rsid w:val="09E35B78"/>
    <w:rsid w:val="0B257DC5"/>
    <w:rsid w:val="0BC814CA"/>
    <w:rsid w:val="0BD171ED"/>
    <w:rsid w:val="0BE97049"/>
    <w:rsid w:val="0C0B585A"/>
    <w:rsid w:val="0C1F7636"/>
    <w:rsid w:val="0C6D1692"/>
    <w:rsid w:val="0E632BFE"/>
    <w:rsid w:val="10284C2D"/>
    <w:rsid w:val="10B92C94"/>
    <w:rsid w:val="13254BB5"/>
    <w:rsid w:val="139A4ED2"/>
    <w:rsid w:val="13AC6743"/>
    <w:rsid w:val="19F81081"/>
    <w:rsid w:val="1CE123EB"/>
    <w:rsid w:val="1D65301C"/>
    <w:rsid w:val="1EAB12A3"/>
    <w:rsid w:val="1EC00541"/>
    <w:rsid w:val="215B4B4B"/>
    <w:rsid w:val="21C12AC1"/>
    <w:rsid w:val="23046E34"/>
    <w:rsid w:val="234542B8"/>
    <w:rsid w:val="246578B3"/>
    <w:rsid w:val="26494165"/>
    <w:rsid w:val="276357F9"/>
    <w:rsid w:val="297A6FD1"/>
    <w:rsid w:val="2A37191C"/>
    <w:rsid w:val="2B0C3777"/>
    <w:rsid w:val="2BE140E5"/>
    <w:rsid w:val="2C5B7ECC"/>
    <w:rsid w:val="2D46231B"/>
    <w:rsid w:val="2E302163"/>
    <w:rsid w:val="2ED07ADB"/>
    <w:rsid w:val="304E7940"/>
    <w:rsid w:val="318151BF"/>
    <w:rsid w:val="31CA7244"/>
    <w:rsid w:val="33806CF1"/>
    <w:rsid w:val="339C56D8"/>
    <w:rsid w:val="35613C72"/>
    <w:rsid w:val="357C2CDC"/>
    <w:rsid w:val="37885B07"/>
    <w:rsid w:val="37B06CE3"/>
    <w:rsid w:val="380F48B1"/>
    <w:rsid w:val="39C069E5"/>
    <w:rsid w:val="39E84476"/>
    <w:rsid w:val="3A642BC3"/>
    <w:rsid w:val="3B7206CC"/>
    <w:rsid w:val="3BB740DE"/>
    <w:rsid w:val="3BFA4677"/>
    <w:rsid w:val="3C091D5B"/>
    <w:rsid w:val="3CB9392B"/>
    <w:rsid w:val="3D8347FC"/>
    <w:rsid w:val="3DA30C11"/>
    <w:rsid w:val="3E5B62FC"/>
    <w:rsid w:val="409551F4"/>
    <w:rsid w:val="40DB643C"/>
    <w:rsid w:val="42605910"/>
    <w:rsid w:val="42A94390"/>
    <w:rsid w:val="44BE457F"/>
    <w:rsid w:val="44F61E5B"/>
    <w:rsid w:val="45516C9F"/>
    <w:rsid w:val="45BE23EF"/>
    <w:rsid w:val="45CB3326"/>
    <w:rsid w:val="45D316BD"/>
    <w:rsid w:val="461B60BF"/>
    <w:rsid w:val="469320F9"/>
    <w:rsid w:val="46C57696"/>
    <w:rsid w:val="47B74789"/>
    <w:rsid w:val="4A8A3813"/>
    <w:rsid w:val="4A906BE5"/>
    <w:rsid w:val="4AA14D68"/>
    <w:rsid w:val="4AFF65A3"/>
    <w:rsid w:val="4C0B1536"/>
    <w:rsid w:val="4C4E1AF5"/>
    <w:rsid w:val="4D447CA9"/>
    <w:rsid w:val="4FBE0D27"/>
    <w:rsid w:val="4FFD1D1F"/>
    <w:rsid w:val="506D3DCA"/>
    <w:rsid w:val="50D61ADF"/>
    <w:rsid w:val="52F21F55"/>
    <w:rsid w:val="53786DFC"/>
    <w:rsid w:val="552C7BAF"/>
    <w:rsid w:val="562E7748"/>
    <w:rsid w:val="56674FA1"/>
    <w:rsid w:val="57EE53E1"/>
    <w:rsid w:val="59E30AA1"/>
    <w:rsid w:val="5AB330AD"/>
    <w:rsid w:val="5CBE5112"/>
    <w:rsid w:val="5CDB24A4"/>
    <w:rsid w:val="5DFB3252"/>
    <w:rsid w:val="5EC7698C"/>
    <w:rsid w:val="5EE00C5D"/>
    <w:rsid w:val="611F3319"/>
    <w:rsid w:val="626A1B08"/>
    <w:rsid w:val="62810DC6"/>
    <w:rsid w:val="646E67E3"/>
    <w:rsid w:val="64C8422F"/>
    <w:rsid w:val="661D0170"/>
    <w:rsid w:val="670B2C4D"/>
    <w:rsid w:val="67D24C6A"/>
    <w:rsid w:val="68FB4800"/>
    <w:rsid w:val="690C1B6B"/>
    <w:rsid w:val="695D51EA"/>
    <w:rsid w:val="6B215D18"/>
    <w:rsid w:val="6BFE74E6"/>
    <w:rsid w:val="6D9A716E"/>
    <w:rsid w:val="6DEA58CA"/>
    <w:rsid w:val="6E7759D9"/>
    <w:rsid w:val="708F55ED"/>
    <w:rsid w:val="71161354"/>
    <w:rsid w:val="72FE7F64"/>
    <w:rsid w:val="732018F3"/>
    <w:rsid w:val="73C731C8"/>
    <w:rsid w:val="748A7EA3"/>
    <w:rsid w:val="7557416E"/>
    <w:rsid w:val="78113211"/>
    <w:rsid w:val="7A4A27AA"/>
    <w:rsid w:val="7E5A2F4E"/>
    <w:rsid w:val="7F49482A"/>
    <w:rsid w:val="7FC71EF0"/>
    <w:rsid w:val="7FDC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left"/>
    </w:pPr>
    <w:rPr>
      <w:rFonts w:ascii="Times New Roman" w:hAnsi="Times New Roman" w:eastAsia="宋体" w:cs="Times New Roman"/>
      <w:kern w:val="2"/>
      <w:sz w:val="28"/>
      <w:szCs w:val="24"/>
      <w:lang w:val="en-US" w:eastAsia="zh-CN" w:bidi="ar-SA"/>
    </w:rPr>
  </w:style>
  <w:style w:type="paragraph" w:styleId="2">
    <w:name w:val="heading 1"/>
    <w:basedOn w:val="1"/>
    <w:next w:val="3"/>
    <w:qFormat/>
    <w:uiPriority w:val="0"/>
    <w:pPr>
      <w:keepNext/>
      <w:keepLines/>
      <w:widowControl w:val="0"/>
      <w:adjustRightInd w:val="0"/>
      <w:snapToGrid w:val="0"/>
      <w:spacing w:beforeLines="0" w:beforeAutospacing="0" w:afterLines="0" w:afterAutospacing="0" w:line="360" w:lineRule="auto"/>
      <w:ind w:firstLine="0" w:firstLineChars="0"/>
      <w:jc w:val="center"/>
      <w:outlineLvl w:val="0"/>
    </w:pPr>
    <w:rPr>
      <w:rFonts w:ascii="Times New Roman" w:hAnsi="Times New Roman" w:eastAsia="宋体" w:cs="Times New Roman"/>
      <w:b/>
      <w:kern w:val="44"/>
      <w:sz w:val="44"/>
      <w:szCs w:val="24"/>
      <w:lang w:val="en-US" w:eastAsia="zh-CN" w:bidi="ar-SA"/>
    </w:rPr>
  </w:style>
  <w:style w:type="paragraph" w:styleId="3">
    <w:name w:val="heading 2"/>
    <w:basedOn w:val="1"/>
    <w:next w:val="1"/>
    <w:link w:val="35"/>
    <w:semiHidden/>
    <w:unhideWhenUsed/>
    <w:qFormat/>
    <w:uiPriority w:val="0"/>
    <w:pPr>
      <w:spacing w:before="1"/>
      <w:ind w:left="1600"/>
      <w:jc w:val="center"/>
      <w:outlineLvl w:val="1"/>
    </w:pPr>
    <w:rPr>
      <w:rFonts w:eastAsia="宋体" w:asciiTheme="minorAscii" w:hAnsiTheme="minorAscii" w:cstheme="minorBidi"/>
      <w:b/>
      <w:sz w:val="30"/>
      <w:szCs w:val="30"/>
    </w:rPr>
  </w:style>
  <w:style w:type="paragraph" w:styleId="4">
    <w:name w:val="heading 3"/>
    <w:basedOn w:val="2"/>
    <w:next w:val="1"/>
    <w:semiHidden/>
    <w:unhideWhenUsed/>
    <w:qFormat/>
    <w:uiPriority w:val="0"/>
    <w:pPr>
      <w:keepNext/>
      <w:keepLines/>
      <w:spacing w:line="416" w:lineRule="auto"/>
      <w:ind w:left="0"/>
      <w:outlineLvl w:val="2"/>
    </w:pPr>
    <w:rPr>
      <w:rFonts w:ascii="Times New Roman" w:hAnsi="Times New Roman" w:eastAsia="宋体" w:cs="Times New Roman"/>
      <w:bCs/>
      <w:kern w:val="0"/>
      <w:sz w:val="32"/>
      <w:szCs w:val="32"/>
    </w:rPr>
  </w:style>
  <w:style w:type="paragraph" w:styleId="5">
    <w:name w:val="heading 4"/>
    <w:basedOn w:val="4"/>
    <w:next w:val="1"/>
    <w:unhideWhenUsed/>
    <w:qFormat/>
    <w:uiPriority w:val="9"/>
    <w:pPr>
      <w:tabs>
        <w:tab w:val="left" w:pos="720"/>
      </w:tabs>
      <w:outlineLvl w:val="3"/>
    </w:pPr>
    <w:rPr>
      <w:sz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jc w:val="both"/>
    </w:pPr>
    <w:rPr>
      <w:kern w:val="2"/>
      <w:sz w:val="21"/>
    </w:rPr>
  </w:style>
  <w:style w:type="paragraph" w:styleId="7">
    <w:name w:val="Body Text"/>
    <w:basedOn w:val="1"/>
    <w:next w:val="8"/>
    <w:qFormat/>
    <w:uiPriority w:val="0"/>
    <w:pPr>
      <w:spacing w:after="120" w:afterLines="0" w:afterAutospacing="0"/>
    </w:pPr>
  </w:style>
  <w:style w:type="paragraph" w:styleId="8">
    <w:name w:val="Body Text 2"/>
    <w:basedOn w:val="1"/>
    <w:next w:val="7"/>
    <w:qFormat/>
    <w:uiPriority w:val="0"/>
    <w:pPr>
      <w:spacing w:after="120" w:line="480" w:lineRule="auto"/>
      <w:ind w:firstLine="560" w:firstLineChars="200"/>
    </w:pPr>
    <w:rPr>
      <w:rFonts w:ascii="Calibri" w:hAnsi="Calibri" w:eastAsia="仿宋_GB2312"/>
      <w:sz w:val="28"/>
      <w:szCs w:val="24"/>
    </w:rPr>
  </w:style>
  <w:style w:type="paragraph" w:styleId="9">
    <w:name w:val="Body Text Indent"/>
    <w:basedOn w:val="1"/>
    <w:next w:val="6"/>
    <w:qFormat/>
    <w:uiPriority w:val="0"/>
    <w:pPr>
      <w:spacing w:after="120" w:afterLines="0" w:afterAutospacing="0"/>
      <w:ind w:left="420" w:leftChars="200"/>
    </w:pPr>
  </w:style>
  <w:style w:type="paragraph" w:styleId="10">
    <w:name w:val="Plain Text"/>
    <w:basedOn w:val="1"/>
    <w:unhideWhenUsed/>
    <w:qFormat/>
    <w:uiPriority w:val="0"/>
    <w:rPr>
      <w:rFonts w:hint="eastAsia" w:ascii="宋体" w:hAnsi="Courier New"/>
      <w:sz w:val="21"/>
      <w:szCs w:val="21"/>
    </w:rPr>
  </w:style>
  <w:style w:type="paragraph" w:styleId="11">
    <w:name w:val="footer"/>
    <w:basedOn w:val="1"/>
    <w:unhideWhenUsed/>
    <w:qFormat/>
    <w:uiPriority w:val="0"/>
    <w:pPr>
      <w:tabs>
        <w:tab w:val="center" w:pos="4153"/>
        <w:tab w:val="right" w:pos="8306"/>
      </w:tabs>
      <w:snapToGrid w:val="0"/>
    </w:pPr>
    <w:rPr>
      <w:kern w:val="2"/>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widowControl w:val="0"/>
      <w:jc w:val="both"/>
    </w:pPr>
    <w:rPr>
      <w:kern w:val="2"/>
      <w:sz w:val="21"/>
      <w:szCs w:val="24"/>
    </w:rPr>
  </w:style>
  <w:style w:type="paragraph" w:styleId="14">
    <w:name w:val="toc 2"/>
    <w:basedOn w:val="1"/>
    <w:next w:val="1"/>
    <w:uiPriority w:val="0"/>
    <w:pPr>
      <w:ind w:left="420" w:leftChars="200"/>
    </w:p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7">
    <w:name w:val="Body Text First Indent"/>
    <w:basedOn w:val="1"/>
    <w:next w:val="18"/>
    <w:unhideWhenUsed/>
    <w:qFormat/>
    <w:uiPriority w:val="99"/>
    <w:pPr>
      <w:ind w:firstLine="420"/>
    </w:pPr>
    <w:rPr>
      <w:rFonts w:eastAsia="楷体_GB2312"/>
      <w:sz w:val="20"/>
      <w:szCs w:val="20"/>
    </w:rPr>
  </w:style>
  <w:style w:type="paragraph" w:styleId="18">
    <w:name w:val="Body Text First Indent 2"/>
    <w:basedOn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vertAlign w:val="baseline"/>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unhideWhenUsed/>
    <w:qFormat/>
    <w:uiPriority w:val="99"/>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styleId="34">
    <w:name w:val="No Spacing"/>
    <w:qFormat/>
    <w:uiPriority w:val="99"/>
    <w:rPr>
      <w:rFonts w:ascii="Calibri" w:hAnsi="Calibri" w:eastAsia="宋体" w:cs="Times New Roman"/>
      <w:sz w:val="22"/>
      <w:szCs w:val="22"/>
      <w:lang w:val="en-US" w:eastAsia="zh-CN" w:bidi="ar-SA"/>
    </w:rPr>
  </w:style>
  <w:style w:type="character" w:customStyle="1" w:styleId="35">
    <w:name w:val="标题 2 Char"/>
    <w:link w:val="3"/>
    <w:qFormat/>
    <w:uiPriority w:val="0"/>
    <w:rPr>
      <w:rFonts w:ascii="Arial" w:hAnsi="Arial" w:eastAsia="宋体" w:cstheme="minorBidi"/>
      <w:b/>
      <w:bCs/>
      <w:kern w:val="0"/>
      <w:sz w:val="36"/>
      <w:szCs w:val="32"/>
      <w:lang w:val="en-US" w:eastAsia="zh-CN" w:bidi="ar-SA"/>
    </w:rPr>
  </w:style>
  <w:style w:type="paragraph" w:customStyle="1" w:styleId="36">
    <w:name w:val="我的正文"/>
    <w:basedOn w:val="9"/>
    <w:qFormat/>
    <w:uiPriority w:val="0"/>
    <w:pPr>
      <w:ind w:firstLine="480" w:firstLineChars="200"/>
    </w:pPr>
    <w:rPr>
      <w:rFonts w:ascii="Calibri" w:hAnsi="Calibri" w:eastAsia="宋体"/>
      <w:sz w:val="28"/>
      <w:szCs w:val="20"/>
    </w:rPr>
  </w:style>
  <w:style w:type="paragraph" w:customStyle="1" w:styleId="37">
    <w:name w:val="文档正文5"/>
    <w:basedOn w:val="6"/>
    <w:autoRedefine/>
    <w:qFormat/>
    <w:uiPriority w:val="0"/>
    <w:pPr>
      <w:autoSpaceDE w:val="0"/>
      <w:autoSpaceDN w:val="0"/>
      <w:snapToGrid w:val="0"/>
      <w:spacing w:line="440" w:lineRule="exact"/>
      <w:ind w:firstLine="505"/>
    </w:pPr>
    <w:rPr>
      <w:spacing w:val="4"/>
    </w:rPr>
  </w:style>
  <w:style w:type="character" w:customStyle="1" w:styleId="38">
    <w:name w:val="hover1"/>
    <w:basedOn w:val="21"/>
    <w:qFormat/>
    <w:uiPriority w:val="0"/>
    <w:rPr>
      <w:color w:val="2590EB"/>
    </w:rPr>
  </w:style>
  <w:style w:type="character" w:customStyle="1" w:styleId="39">
    <w:name w:val="hover2"/>
    <w:basedOn w:val="21"/>
    <w:qFormat/>
    <w:uiPriority w:val="0"/>
    <w:rPr>
      <w:color w:val="2590EB"/>
    </w:rPr>
  </w:style>
  <w:style w:type="character" w:customStyle="1" w:styleId="40">
    <w:name w:val="hover3"/>
    <w:basedOn w:val="21"/>
    <w:qFormat/>
    <w:uiPriority w:val="0"/>
  </w:style>
  <w:style w:type="character" w:customStyle="1" w:styleId="41">
    <w:name w:val="mini-outputtext1"/>
    <w:basedOn w:val="21"/>
    <w:qFormat/>
    <w:uiPriority w:val="0"/>
  </w:style>
  <w:style w:type="character" w:customStyle="1" w:styleId="42">
    <w:name w:val="hover"/>
    <w:basedOn w:val="21"/>
    <w:qFormat/>
    <w:uiPriority w:val="0"/>
    <w:rPr>
      <w:color w:val="2590EB"/>
    </w:rPr>
  </w:style>
  <w:style w:type="character" w:customStyle="1" w:styleId="43">
    <w:name w:val="first-child"/>
    <w:basedOn w:val="21"/>
    <w:qFormat/>
    <w:uiPriority w:val="0"/>
  </w:style>
  <w:style w:type="character" w:customStyle="1" w:styleId="44">
    <w:name w:val="layui-layer-tabnow"/>
    <w:basedOn w:val="21"/>
    <w:qFormat/>
    <w:uiPriority w:val="0"/>
    <w:rPr>
      <w:bdr w:val="single" w:color="CCCCCC" w:sz="6" w:space="0"/>
      <w:shd w:val="clear" w:fill="FFFFFF"/>
    </w:rPr>
  </w:style>
  <w:style w:type="paragraph" w:styleId="45">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20802</Words>
  <Characters>21906</Characters>
  <Lines>0</Lines>
  <Paragraphs>0</Paragraphs>
  <TotalTime>3</TotalTime>
  <ScaleCrop>false</ScaleCrop>
  <LinksUpToDate>false</LinksUpToDate>
  <CharactersWithSpaces>22444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2025-12-23T07:08:00Z</dcterms:created>
  <dc:creator>Administrator</dc:creator>
  <cp:lastModifiedBy>   </cp:lastModifiedBy>
  <cp:lastPrinted>2026-05-29T02:46:00Z</cp:lastPrinted>
  <dcterms:modified xsi:type="dcterms:W3CDTF">2026-05-29T07:41:34Z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24B12A146C2746F38A334E89F3F4D702_13</vt:lpwstr>
  </property>
  <property fmtid="{D5CDD505-2E9C-101B-9397-08002B2CF9AE}" pid="4" name="KSOTemplateDocerSaveRecord">
    <vt:lpwstr>eyJoZGlkIjoiNDk3ZTc3ZjM3N2JiYjQzOWYzZTAyNGVlMjZkNDRlNTEiLCJ1c2VySWQiOiIyNzg2OTg5ODIifQ==</vt:lpwstr>
  </property>
</Properties>
</file>