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1C66">
      <w:pPr>
        <w:spacing w:line="240" w:lineRule="exact"/>
        <w:jc w:val="left"/>
        <w:rPr>
          <w:rFonts w:ascii="宋体" w:hAnsi="宋体" w:eastAsia="宋体" w:cs="宋体"/>
          <w:b/>
          <w:color w:val="auto"/>
          <w:kern w:val="0"/>
          <w:sz w:val="40"/>
          <w:szCs w:val="44"/>
        </w:rPr>
      </w:pPr>
    </w:p>
    <w:p w14:paraId="24ADB232">
      <w:pPr>
        <w:spacing w:line="240" w:lineRule="exact"/>
        <w:jc w:val="left"/>
        <w:rPr>
          <w:rFonts w:ascii="宋体" w:hAnsi="宋体" w:eastAsia="宋体" w:cs="Times New Roman"/>
          <w:color w:val="auto"/>
          <w:sz w:val="10"/>
          <w:szCs w:val="11"/>
        </w:rPr>
      </w:pPr>
    </w:p>
    <w:p w14:paraId="19EA2FF0">
      <w:pPr>
        <w:spacing w:line="360" w:lineRule="auto"/>
        <w:jc w:val="center"/>
        <w:rPr>
          <w:rFonts w:hint="eastAsia" w:ascii="宋体" w:hAnsi="宋体" w:eastAsia="宋体" w:cs="宋体"/>
          <w:b/>
          <w:bCs/>
          <w:color w:val="auto"/>
          <w:sz w:val="48"/>
          <w:szCs w:val="52"/>
          <w:lang w:eastAsia="zh-CN"/>
        </w:rPr>
      </w:pPr>
      <w:r>
        <w:rPr>
          <w:rFonts w:hint="eastAsia" w:ascii="宋体" w:hAnsi="宋体" w:eastAsia="宋体" w:cs="宋体"/>
          <w:b/>
          <w:bCs/>
          <w:color w:val="auto"/>
          <w:sz w:val="52"/>
          <w:szCs w:val="56"/>
          <w:lang w:eastAsia="zh-CN"/>
        </w:rPr>
        <w:t>城乡一体化示范区安全生产技术服务项目</w:t>
      </w:r>
    </w:p>
    <w:p w14:paraId="28A5FD20">
      <w:pPr>
        <w:spacing w:line="360" w:lineRule="auto"/>
        <w:jc w:val="center"/>
        <w:rPr>
          <w:rFonts w:ascii="宋体" w:hAnsi="宋体" w:eastAsia="宋体" w:cs="宋体"/>
          <w:b/>
          <w:color w:val="auto"/>
          <w:sz w:val="56"/>
          <w:szCs w:val="72"/>
        </w:rPr>
      </w:pPr>
    </w:p>
    <w:p w14:paraId="4672D463">
      <w:pPr>
        <w:spacing w:line="360" w:lineRule="auto"/>
        <w:jc w:val="center"/>
        <w:rPr>
          <w:rFonts w:ascii="宋体" w:hAnsi="宋体" w:eastAsia="宋体" w:cs="宋体"/>
          <w:b/>
          <w:color w:val="auto"/>
          <w:sz w:val="72"/>
          <w:szCs w:val="80"/>
        </w:rPr>
      </w:pPr>
      <w:r>
        <w:rPr>
          <w:rFonts w:hint="eastAsia" w:ascii="宋体" w:hAnsi="宋体" w:eastAsia="宋体" w:cs="宋体"/>
          <w:b/>
          <w:color w:val="auto"/>
          <w:sz w:val="72"/>
          <w:szCs w:val="80"/>
        </w:rPr>
        <w:t>竞争性磋商文件</w:t>
      </w:r>
    </w:p>
    <w:p w14:paraId="07545765">
      <w:pPr>
        <w:spacing w:line="500" w:lineRule="exact"/>
        <w:jc w:val="center"/>
        <w:rPr>
          <w:rFonts w:ascii="宋体" w:hAnsi="宋体" w:eastAsia="宋体" w:cs="宋体"/>
          <w:b/>
          <w:color w:val="auto"/>
          <w:sz w:val="56"/>
          <w:szCs w:val="72"/>
        </w:rPr>
      </w:pPr>
    </w:p>
    <w:p w14:paraId="70FE98E7">
      <w:pPr>
        <w:jc w:val="center"/>
        <w:rPr>
          <w:rFonts w:hint="eastAsia" w:ascii="宋体" w:hAnsi="宋体" w:eastAsia="宋体" w:cs="宋体"/>
          <w:b/>
          <w:bCs/>
          <w:color w:val="auto"/>
          <w:kern w:val="0"/>
          <w:sz w:val="28"/>
          <w:szCs w:val="32"/>
          <w:lang w:eastAsia="zh-CN"/>
        </w:rPr>
      </w:pPr>
      <w:r>
        <w:rPr>
          <w:rFonts w:hint="eastAsia" w:ascii="宋体" w:hAnsi="宋体" w:eastAsia="宋体" w:cs="宋体"/>
          <w:b/>
          <w:bCs/>
          <w:color w:val="auto"/>
          <w:kern w:val="0"/>
          <w:sz w:val="28"/>
          <w:szCs w:val="32"/>
        </w:rPr>
        <w:t>项目编号：</w:t>
      </w:r>
      <w:r>
        <w:rPr>
          <w:rFonts w:hint="eastAsia" w:ascii="宋体" w:hAnsi="宋体" w:eastAsia="宋体" w:cs="宋体"/>
          <w:b/>
          <w:bCs/>
          <w:color w:val="auto"/>
          <w:kern w:val="0"/>
          <w:sz w:val="28"/>
          <w:szCs w:val="32"/>
          <w:lang w:eastAsia="zh-CN"/>
        </w:rPr>
        <w:t>示范竞磋采购-2026-5</w:t>
      </w:r>
    </w:p>
    <w:p w14:paraId="7D714267">
      <w:pPr>
        <w:jc w:val="center"/>
        <w:rPr>
          <w:rFonts w:hint="eastAsia" w:ascii="宋体" w:hAnsi="宋体" w:eastAsia="宋体" w:cs="宋体"/>
          <w:b/>
          <w:bCs/>
          <w:color w:val="auto"/>
          <w:kern w:val="0"/>
          <w:sz w:val="28"/>
          <w:szCs w:val="32"/>
          <w:lang w:eastAsia="zh-CN"/>
        </w:rPr>
      </w:pPr>
      <w:r>
        <w:rPr>
          <w:rFonts w:hint="eastAsia" w:ascii="宋体" w:hAnsi="宋体" w:eastAsia="宋体" w:cs="宋体"/>
          <w:b/>
          <w:bCs/>
          <w:color w:val="auto"/>
          <w:kern w:val="0"/>
          <w:sz w:val="28"/>
          <w:szCs w:val="32"/>
        </w:rPr>
        <w:t xml:space="preserve">      </w:t>
      </w:r>
      <w:r>
        <w:rPr>
          <w:rFonts w:hint="eastAsia" w:ascii="宋体" w:hAnsi="宋体" w:eastAsia="宋体" w:cs="宋体"/>
          <w:b/>
          <w:bCs/>
          <w:color w:val="auto"/>
          <w:kern w:val="0"/>
          <w:sz w:val="28"/>
          <w:szCs w:val="32"/>
          <w:lang w:val="en-US" w:eastAsia="zh-CN"/>
        </w:rPr>
        <w:t xml:space="preserve">   </w:t>
      </w:r>
      <w:r>
        <w:rPr>
          <w:rFonts w:hint="eastAsia" w:ascii="宋体" w:hAnsi="宋体" w:eastAsia="宋体" w:cs="宋体"/>
          <w:b/>
          <w:bCs/>
          <w:color w:val="auto"/>
          <w:kern w:val="0"/>
          <w:sz w:val="28"/>
          <w:szCs w:val="32"/>
          <w:lang w:eastAsia="zh-CN"/>
        </w:rPr>
        <w:t>SGZ[2026]156-ZC101</w:t>
      </w:r>
    </w:p>
    <w:p w14:paraId="75BD556E">
      <w:pPr>
        <w:spacing w:line="360" w:lineRule="auto"/>
        <w:jc w:val="center"/>
        <w:rPr>
          <w:rFonts w:ascii="宋体" w:hAnsi="宋体" w:eastAsia="宋体" w:cs="宋体"/>
          <w:b/>
          <w:color w:val="auto"/>
          <w:sz w:val="24"/>
          <w:szCs w:val="28"/>
        </w:rPr>
      </w:pPr>
    </w:p>
    <w:p w14:paraId="49B67B07">
      <w:pPr>
        <w:spacing w:line="360" w:lineRule="auto"/>
        <w:jc w:val="center"/>
        <w:rPr>
          <w:rFonts w:ascii="宋体" w:hAnsi="宋体" w:eastAsia="宋体" w:cs="宋体"/>
          <w:b/>
          <w:color w:val="auto"/>
          <w:sz w:val="24"/>
          <w:szCs w:val="28"/>
        </w:rPr>
      </w:pPr>
    </w:p>
    <w:p w14:paraId="673BF94E">
      <w:pPr>
        <w:spacing w:line="360" w:lineRule="auto"/>
        <w:jc w:val="center"/>
        <w:rPr>
          <w:rFonts w:ascii="宋体" w:hAnsi="宋体" w:eastAsia="宋体" w:cs="宋体"/>
          <w:b/>
          <w:color w:val="auto"/>
          <w:sz w:val="24"/>
          <w:szCs w:val="28"/>
        </w:rPr>
      </w:pPr>
      <w:r>
        <w:rPr>
          <w:rFonts w:ascii="宋体" w:hAnsi="宋体" w:eastAsia="宋体" w:cs="Times New Roman"/>
          <w:b/>
          <w:color w:val="auto"/>
          <w:w w:val="110"/>
          <w:sz w:val="32"/>
          <w:szCs w:val="36"/>
        </w:rPr>
        <w:drawing>
          <wp:inline distT="0" distB="0" distL="0" distR="0">
            <wp:extent cx="2337435" cy="2074545"/>
            <wp:effectExtent l="0" t="0" r="5715" b="1905"/>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337435" cy="2074545"/>
                    </a:xfrm>
                    <a:prstGeom prst="rect">
                      <a:avLst/>
                    </a:prstGeom>
                    <a:noFill/>
                    <a:ln>
                      <a:noFill/>
                    </a:ln>
                  </pic:spPr>
                </pic:pic>
              </a:graphicData>
            </a:graphic>
          </wp:inline>
        </w:drawing>
      </w:r>
    </w:p>
    <w:p w14:paraId="6BB9619A">
      <w:pPr>
        <w:spacing w:line="360" w:lineRule="auto"/>
        <w:jc w:val="center"/>
        <w:rPr>
          <w:rFonts w:ascii="宋体" w:hAnsi="宋体" w:eastAsia="宋体" w:cs="宋体"/>
          <w:b/>
          <w:color w:val="auto"/>
          <w:sz w:val="24"/>
          <w:szCs w:val="28"/>
        </w:rPr>
      </w:pPr>
    </w:p>
    <w:p w14:paraId="7A4E9ADB">
      <w:pPr>
        <w:ind w:firstLine="400" w:firstLineChars="200"/>
        <w:jc w:val="center"/>
        <w:rPr>
          <w:rFonts w:ascii="宋体" w:hAnsi="宋体" w:eastAsia="宋体" w:cs="Times New Roman"/>
          <w:color w:val="auto"/>
          <w:sz w:val="20"/>
        </w:rPr>
      </w:pPr>
    </w:p>
    <w:p w14:paraId="7E83A6B7">
      <w:pPr>
        <w:pStyle w:val="2"/>
        <w:spacing w:before="0"/>
        <w:rPr>
          <w:color w:val="auto"/>
          <w:sz w:val="2"/>
          <w:szCs w:val="2"/>
        </w:rPr>
      </w:pPr>
    </w:p>
    <w:p w14:paraId="6504BB7E">
      <w:pPr>
        <w:tabs>
          <w:tab w:val="left" w:pos="1843"/>
        </w:tabs>
        <w:spacing w:line="360" w:lineRule="auto"/>
        <w:ind w:left="1680" w:leftChars="800"/>
        <w:rPr>
          <w:rFonts w:ascii="宋体" w:hAnsi="宋体" w:eastAsia="宋体" w:cs="宋体"/>
          <w:b/>
          <w:color w:val="auto"/>
          <w:sz w:val="28"/>
          <w:szCs w:val="32"/>
        </w:rPr>
      </w:pPr>
      <w:r>
        <w:rPr>
          <w:rFonts w:hint="eastAsia" w:ascii="宋体" w:hAnsi="宋体" w:eastAsia="宋体" w:cs="宋体"/>
          <w:b/>
          <w:color w:val="auto"/>
          <w:sz w:val="28"/>
          <w:szCs w:val="32"/>
        </w:rPr>
        <w:t>采购人：三门峡市城乡一体化示范区应急救援保障中心</w:t>
      </w:r>
    </w:p>
    <w:p w14:paraId="3F63FA43">
      <w:pPr>
        <w:tabs>
          <w:tab w:val="left" w:pos="1843"/>
        </w:tabs>
        <w:spacing w:line="360" w:lineRule="auto"/>
        <w:ind w:left="1680" w:leftChars="800"/>
        <w:rPr>
          <w:rFonts w:ascii="宋体" w:hAnsi="宋体" w:eastAsia="宋体" w:cs="宋体"/>
          <w:b/>
          <w:color w:val="auto"/>
          <w:sz w:val="28"/>
          <w:szCs w:val="32"/>
        </w:rPr>
      </w:pPr>
      <w:r>
        <w:rPr>
          <w:rFonts w:hint="eastAsia" w:ascii="宋体" w:hAnsi="宋体" w:eastAsia="宋体" w:cs="宋体"/>
          <w:b/>
          <w:color w:val="auto"/>
          <w:sz w:val="28"/>
          <w:szCs w:val="32"/>
        </w:rPr>
        <w:t>采购代理机构：中鼎誉润工程咨询有限公司</w:t>
      </w:r>
    </w:p>
    <w:p w14:paraId="0E702ECF">
      <w:pPr>
        <w:tabs>
          <w:tab w:val="left" w:pos="1843"/>
        </w:tabs>
        <w:spacing w:line="360" w:lineRule="auto"/>
        <w:ind w:left="1680" w:leftChars="800"/>
        <w:rPr>
          <w:rFonts w:ascii="宋体" w:hAnsi="宋体" w:eastAsia="宋体" w:cs="宋体"/>
          <w:b/>
          <w:color w:val="auto"/>
          <w:sz w:val="28"/>
          <w:szCs w:val="32"/>
        </w:rPr>
      </w:pPr>
      <w:r>
        <w:rPr>
          <w:rFonts w:hint="eastAsia" w:ascii="宋体" w:hAnsi="宋体" w:eastAsia="宋体" w:cs="宋体"/>
          <w:b/>
          <w:color w:val="auto"/>
          <w:sz w:val="28"/>
          <w:szCs w:val="32"/>
        </w:rPr>
        <w:t>日        期：二〇二六年</w:t>
      </w:r>
      <w:r>
        <w:rPr>
          <w:rFonts w:hint="eastAsia" w:ascii="宋体" w:hAnsi="宋体" w:eastAsia="宋体" w:cs="宋体"/>
          <w:b/>
          <w:color w:val="auto"/>
          <w:sz w:val="28"/>
          <w:szCs w:val="32"/>
          <w:lang w:val="en-US" w:eastAsia="zh-CN"/>
        </w:rPr>
        <w:t>五</w:t>
      </w:r>
      <w:r>
        <w:rPr>
          <w:rFonts w:hint="eastAsia" w:ascii="宋体" w:hAnsi="宋体" w:eastAsia="宋体" w:cs="宋体"/>
          <w:b/>
          <w:color w:val="auto"/>
          <w:sz w:val="28"/>
          <w:szCs w:val="32"/>
        </w:rPr>
        <w:t>月</w:t>
      </w:r>
    </w:p>
    <w:p w14:paraId="5B18CB4A">
      <w:pPr>
        <w:spacing w:line="360" w:lineRule="auto"/>
        <w:jc w:val="center"/>
        <w:rPr>
          <w:rFonts w:ascii="宋体" w:hAnsi="宋体" w:eastAsia="宋体" w:cs="宋体"/>
          <w:b/>
          <w:color w:val="auto"/>
          <w:sz w:val="40"/>
          <w:szCs w:val="44"/>
        </w:rPr>
      </w:pPr>
      <w:r>
        <w:rPr>
          <w:rFonts w:ascii="宋体" w:hAnsi="宋体" w:eastAsia="宋体" w:cs="宋体"/>
          <w:b/>
          <w:color w:val="auto"/>
          <w:sz w:val="40"/>
          <w:szCs w:val="44"/>
        </w:rPr>
        <w:br w:type="page"/>
      </w:r>
      <w:bookmarkStart w:id="224" w:name="_GoBack"/>
      <w:bookmarkEnd w:id="224"/>
      <w:r>
        <w:rPr>
          <w:rFonts w:hint="eastAsia" w:ascii="宋体" w:hAnsi="宋体" w:eastAsia="宋体" w:cs="宋体"/>
          <w:b/>
          <w:color w:val="auto"/>
          <w:sz w:val="40"/>
          <w:szCs w:val="44"/>
        </w:rPr>
        <w:t>目 录</w:t>
      </w:r>
      <w:r>
        <w:rPr>
          <w:rFonts w:ascii="宋体" w:hAnsi="宋体" w:eastAsia="宋体" w:cs="宋体"/>
          <w:b/>
          <w:color w:val="auto"/>
          <w:sz w:val="40"/>
          <w:szCs w:val="44"/>
        </w:rPr>
        <w:fldChar w:fldCharType="begin"/>
      </w:r>
      <w:r>
        <w:rPr>
          <w:rFonts w:ascii="宋体" w:hAnsi="宋体" w:eastAsia="宋体" w:cs="宋体"/>
          <w:b/>
          <w:color w:val="auto"/>
          <w:sz w:val="40"/>
          <w:szCs w:val="44"/>
        </w:rPr>
        <w:instrText xml:space="preserve"> </w:instrText>
      </w:r>
      <w:r>
        <w:rPr>
          <w:rFonts w:hint="eastAsia" w:ascii="宋体" w:hAnsi="宋体" w:eastAsia="宋体" w:cs="宋体"/>
          <w:b/>
          <w:color w:val="auto"/>
          <w:sz w:val="40"/>
          <w:szCs w:val="44"/>
        </w:rPr>
        <w:instrText xml:space="preserve">TOC \o "1-2" \h \z \u</w:instrText>
      </w:r>
      <w:r>
        <w:rPr>
          <w:rFonts w:ascii="宋体" w:hAnsi="宋体" w:eastAsia="宋体" w:cs="宋体"/>
          <w:b/>
          <w:color w:val="auto"/>
          <w:sz w:val="40"/>
          <w:szCs w:val="44"/>
        </w:rPr>
        <w:instrText xml:space="preserve"> </w:instrText>
      </w:r>
      <w:r>
        <w:rPr>
          <w:rFonts w:ascii="宋体" w:hAnsi="宋体" w:eastAsia="宋体" w:cs="宋体"/>
          <w:b/>
          <w:color w:val="auto"/>
          <w:sz w:val="40"/>
          <w:szCs w:val="44"/>
        </w:rPr>
        <w:fldChar w:fldCharType="separate"/>
      </w:r>
    </w:p>
    <w:p w14:paraId="6408AABD">
      <w:pPr>
        <w:pStyle w:val="8"/>
        <w:tabs>
          <w:tab w:val="right" w:leader="dot" w:pos="8306"/>
        </w:tabs>
        <w:spacing w:line="360" w:lineRule="auto"/>
        <w:rPr>
          <w:rFonts w:ascii="宋体" w:hAnsi="宋体" w:eastAsia="宋体" w:cs="宋体"/>
          <w:color w:val="auto"/>
          <w:sz w:val="28"/>
          <w:szCs w:val="28"/>
        </w:rPr>
      </w:pPr>
      <w:r>
        <w:rPr>
          <w:color w:val="auto"/>
        </w:rPr>
        <w:fldChar w:fldCharType="begin"/>
      </w:r>
      <w:r>
        <w:rPr>
          <w:color w:val="auto"/>
        </w:rPr>
        <w:instrText xml:space="preserve"> HYPERLINK \l "_Toc1421" </w:instrText>
      </w:r>
      <w:r>
        <w:rPr>
          <w:color w:val="auto"/>
        </w:rPr>
        <w:fldChar w:fldCharType="separate"/>
      </w:r>
      <w:r>
        <w:rPr>
          <w:rFonts w:hint="eastAsia" w:ascii="宋体" w:hAnsi="宋体" w:eastAsia="宋体" w:cs="宋体"/>
          <w:color w:val="auto"/>
          <w:spacing w:val="2"/>
          <w:kern w:val="0"/>
          <w:sz w:val="28"/>
          <w:szCs w:val="52"/>
        </w:rPr>
        <w:t>第一章 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_Toc1421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8671A09">
      <w:pPr>
        <w:pStyle w:val="8"/>
        <w:tabs>
          <w:tab w:val="right" w:leader="dot" w:pos="8306"/>
        </w:tabs>
        <w:spacing w:line="360" w:lineRule="auto"/>
        <w:rPr>
          <w:rFonts w:ascii="宋体" w:hAnsi="宋体" w:eastAsia="宋体" w:cs="宋体"/>
          <w:color w:val="auto"/>
          <w:sz w:val="28"/>
          <w:szCs w:val="28"/>
        </w:rPr>
      </w:pPr>
      <w:r>
        <w:rPr>
          <w:color w:val="auto"/>
        </w:rPr>
        <w:fldChar w:fldCharType="begin"/>
      </w:r>
      <w:r>
        <w:rPr>
          <w:color w:val="auto"/>
        </w:rPr>
        <w:instrText xml:space="preserve"> HYPERLINK \l "_Toc27150" </w:instrText>
      </w:r>
      <w:r>
        <w:rPr>
          <w:color w:val="auto"/>
        </w:rPr>
        <w:fldChar w:fldCharType="separate"/>
      </w:r>
      <w:r>
        <w:rPr>
          <w:rFonts w:hint="eastAsia" w:ascii="宋体" w:hAnsi="宋体" w:eastAsia="宋体" w:cs="宋体"/>
          <w:color w:val="auto"/>
          <w:spacing w:val="2"/>
          <w:kern w:val="0"/>
          <w:sz w:val="28"/>
          <w:szCs w:val="52"/>
        </w:rPr>
        <w:t>第二章 供应商须知及前附表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_Toc27150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9EF57FD">
      <w:pPr>
        <w:pStyle w:val="8"/>
        <w:tabs>
          <w:tab w:val="right" w:leader="dot" w:pos="8306"/>
        </w:tabs>
        <w:spacing w:line="360" w:lineRule="auto"/>
        <w:rPr>
          <w:rFonts w:ascii="宋体" w:hAnsi="宋体" w:eastAsia="宋体" w:cs="宋体"/>
          <w:color w:val="auto"/>
          <w:sz w:val="28"/>
          <w:szCs w:val="28"/>
        </w:rPr>
      </w:pPr>
      <w:r>
        <w:rPr>
          <w:color w:val="auto"/>
        </w:rPr>
        <w:fldChar w:fldCharType="begin"/>
      </w:r>
      <w:r>
        <w:rPr>
          <w:color w:val="auto"/>
        </w:rPr>
        <w:instrText xml:space="preserve"> HYPERLINK \l "_Toc245" </w:instrText>
      </w:r>
      <w:r>
        <w:rPr>
          <w:color w:val="auto"/>
        </w:rPr>
        <w:fldChar w:fldCharType="separate"/>
      </w:r>
      <w:r>
        <w:rPr>
          <w:rFonts w:hint="eastAsia" w:ascii="宋体" w:hAnsi="宋体" w:eastAsia="宋体" w:cs="宋体"/>
          <w:color w:val="auto"/>
          <w:spacing w:val="2"/>
          <w:kern w:val="0"/>
          <w:sz w:val="28"/>
          <w:szCs w:val="52"/>
        </w:rPr>
        <w:t>第三章 评标办法（综合评分法）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_Toc245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8986002">
      <w:pPr>
        <w:pStyle w:val="8"/>
        <w:tabs>
          <w:tab w:val="right" w:leader="dot" w:pos="8306"/>
        </w:tabs>
        <w:spacing w:line="360" w:lineRule="auto"/>
        <w:rPr>
          <w:rFonts w:ascii="宋体" w:hAnsi="宋体" w:eastAsia="宋体" w:cs="宋体"/>
          <w:color w:val="auto"/>
          <w:sz w:val="28"/>
          <w:szCs w:val="28"/>
        </w:rPr>
      </w:pPr>
      <w:r>
        <w:rPr>
          <w:color w:val="auto"/>
        </w:rPr>
        <w:fldChar w:fldCharType="begin"/>
      </w:r>
      <w:r>
        <w:rPr>
          <w:color w:val="auto"/>
        </w:rPr>
        <w:instrText xml:space="preserve"> HYPERLINK \l "_Toc7593" </w:instrText>
      </w:r>
      <w:r>
        <w:rPr>
          <w:color w:val="auto"/>
        </w:rPr>
        <w:fldChar w:fldCharType="separate"/>
      </w:r>
      <w:r>
        <w:rPr>
          <w:rFonts w:hint="eastAsia" w:ascii="宋体" w:hAnsi="宋体" w:eastAsia="宋体" w:cs="宋体"/>
          <w:color w:val="auto"/>
          <w:spacing w:val="2"/>
          <w:kern w:val="0"/>
          <w:sz w:val="28"/>
          <w:szCs w:val="52"/>
        </w:rPr>
        <w:t>第四章 政府采购合同（主要条款）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_Toc7593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4C8ECB8">
      <w:pPr>
        <w:pStyle w:val="8"/>
        <w:tabs>
          <w:tab w:val="right" w:leader="dot" w:pos="8306"/>
        </w:tabs>
        <w:spacing w:line="360" w:lineRule="auto"/>
        <w:rPr>
          <w:rFonts w:ascii="宋体" w:hAnsi="宋体" w:eastAsia="宋体" w:cs="宋体"/>
          <w:color w:val="auto"/>
          <w:sz w:val="28"/>
          <w:szCs w:val="28"/>
        </w:rPr>
      </w:pPr>
      <w:r>
        <w:rPr>
          <w:color w:val="auto"/>
        </w:rPr>
        <w:fldChar w:fldCharType="begin"/>
      </w:r>
      <w:r>
        <w:rPr>
          <w:color w:val="auto"/>
        </w:rPr>
        <w:instrText xml:space="preserve"> HYPERLINK \l "_Toc11774" </w:instrText>
      </w:r>
      <w:r>
        <w:rPr>
          <w:color w:val="auto"/>
        </w:rPr>
        <w:fldChar w:fldCharType="separate"/>
      </w:r>
      <w:r>
        <w:rPr>
          <w:rFonts w:hint="eastAsia" w:ascii="宋体" w:hAnsi="宋体" w:eastAsia="宋体" w:cs="宋体"/>
          <w:color w:val="auto"/>
          <w:spacing w:val="2"/>
          <w:kern w:val="0"/>
          <w:sz w:val="28"/>
          <w:szCs w:val="52"/>
        </w:rPr>
        <w:t>第五章 服务内容及要求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_Toc11774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7F33914">
      <w:pPr>
        <w:pStyle w:val="8"/>
        <w:tabs>
          <w:tab w:val="right" w:leader="dot" w:pos="8306"/>
        </w:tabs>
        <w:spacing w:line="360" w:lineRule="auto"/>
        <w:rPr>
          <w:rFonts w:ascii="宋体" w:hAnsi="宋体" w:eastAsia="宋体" w:cs="宋体"/>
          <w:color w:val="auto"/>
        </w:rPr>
      </w:pPr>
      <w:r>
        <w:rPr>
          <w:color w:val="auto"/>
        </w:rPr>
        <w:fldChar w:fldCharType="begin"/>
      </w:r>
      <w:r>
        <w:rPr>
          <w:color w:val="auto"/>
        </w:rPr>
        <w:instrText xml:space="preserve"> HYPERLINK \l "_Toc19872" </w:instrText>
      </w:r>
      <w:r>
        <w:rPr>
          <w:color w:val="auto"/>
        </w:rPr>
        <w:fldChar w:fldCharType="separate"/>
      </w:r>
      <w:r>
        <w:rPr>
          <w:rFonts w:hint="eastAsia" w:ascii="宋体" w:hAnsi="宋体" w:eastAsia="宋体" w:cs="宋体"/>
          <w:color w:val="auto"/>
          <w:spacing w:val="2"/>
          <w:kern w:val="0"/>
          <w:sz w:val="28"/>
          <w:szCs w:val="52"/>
        </w:rPr>
        <w:t>第六章 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_Toc19872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E82E064">
      <w:pPr>
        <w:spacing w:line="360" w:lineRule="auto"/>
        <w:jc w:val="center"/>
        <w:rPr>
          <w:color w:val="auto"/>
        </w:rPr>
      </w:pPr>
      <w:r>
        <w:rPr>
          <w:rFonts w:ascii="宋体" w:hAnsi="宋体" w:eastAsia="宋体" w:cs="宋体"/>
          <w:b/>
          <w:color w:val="auto"/>
          <w:sz w:val="40"/>
          <w:szCs w:val="44"/>
        </w:rPr>
        <w:fldChar w:fldCharType="end"/>
      </w:r>
      <w:r>
        <w:rPr>
          <w:rFonts w:ascii="宋体" w:hAnsi="宋体" w:eastAsia="宋体" w:cs="宋体"/>
          <w:b/>
          <w:color w:val="auto"/>
          <w:sz w:val="40"/>
          <w:szCs w:val="44"/>
        </w:rPr>
        <w:br w:type="page"/>
      </w:r>
    </w:p>
    <w:p w14:paraId="28A6388C">
      <w:pPr>
        <w:numPr>
          <w:ilvl w:val="0"/>
          <w:numId w:val="1"/>
        </w:numPr>
        <w:tabs>
          <w:tab w:val="left" w:pos="1456"/>
        </w:tabs>
        <w:autoSpaceDE w:val="0"/>
        <w:autoSpaceDN w:val="0"/>
        <w:spacing w:line="360" w:lineRule="auto"/>
        <w:ind w:right="30"/>
        <w:jc w:val="left"/>
        <w:outlineLvl w:val="0"/>
        <w:rPr>
          <w:rFonts w:ascii="宋体" w:hAnsi="宋体" w:eastAsia="宋体" w:cs="宋体"/>
          <w:b/>
          <w:bCs/>
          <w:color w:val="auto"/>
          <w:spacing w:val="2"/>
          <w:kern w:val="0"/>
          <w:sz w:val="36"/>
          <w:szCs w:val="36"/>
        </w:rPr>
      </w:pPr>
      <w:bookmarkStart w:id="0" w:name="_Toc109893762"/>
      <w:bookmarkStart w:id="1" w:name="_Toc1421"/>
      <w:r>
        <w:rPr>
          <w:rFonts w:hint="eastAsia" w:ascii="宋体" w:hAnsi="宋体" w:eastAsia="宋体" w:cs="宋体"/>
          <w:b/>
          <w:bCs/>
          <w:color w:val="auto"/>
          <w:spacing w:val="2"/>
          <w:kern w:val="0"/>
          <w:sz w:val="36"/>
          <w:szCs w:val="36"/>
        </w:rPr>
        <w:t>竞争性磋商公告</w:t>
      </w:r>
      <w:bookmarkEnd w:id="0"/>
      <w:bookmarkEnd w:id="1"/>
    </w:p>
    <w:p w14:paraId="5D9D7A24">
      <w:pPr>
        <w:spacing w:line="276" w:lineRule="auto"/>
        <w:ind w:firstLine="442" w:firstLineChars="200"/>
        <w:rPr>
          <w:rFonts w:ascii="宋体" w:hAnsi="宋体"/>
          <w:b/>
          <w:color w:val="auto"/>
          <w:sz w:val="22"/>
          <w:szCs w:val="24"/>
        </w:rPr>
      </w:pPr>
      <w:r>
        <w:rPr>
          <w:rFonts w:hint="eastAsia" w:ascii="宋体" w:hAnsi="宋体"/>
          <w:b/>
          <w:color w:val="auto"/>
          <w:sz w:val="22"/>
          <w:szCs w:val="24"/>
        </w:rPr>
        <w:t>项目概况</w:t>
      </w:r>
    </w:p>
    <w:p w14:paraId="1A716498">
      <w:pPr>
        <w:spacing w:line="276" w:lineRule="auto"/>
        <w:ind w:firstLine="440" w:firstLineChars="200"/>
        <w:rPr>
          <w:rFonts w:ascii="宋体" w:hAnsi="宋体" w:eastAsia="宋体" w:cs="Times New Roman"/>
          <w:color w:val="auto"/>
          <w:sz w:val="22"/>
          <w:szCs w:val="24"/>
        </w:rPr>
      </w:pPr>
      <w:r>
        <w:rPr>
          <w:rFonts w:hint="eastAsia" w:ascii="宋体" w:hAnsi="宋体" w:eastAsia="宋体" w:cs="宋体"/>
          <w:color w:val="auto"/>
          <w:sz w:val="22"/>
          <w:szCs w:val="24"/>
          <w:lang w:eastAsia="zh-CN"/>
        </w:rPr>
        <w:t>城乡一体化示范区安全生产技术服务项目</w:t>
      </w:r>
      <w:r>
        <w:rPr>
          <w:rFonts w:hint="eastAsia" w:ascii="宋体" w:hAnsi="宋体" w:eastAsia="宋体" w:cs="Times New Roman"/>
          <w:color w:val="auto"/>
          <w:sz w:val="22"/>
          <w:szCs w:val="24"/>
        </w:rPr>
        <w:t>的潜在供应商应在三门峡市公共资源交易中心（http://gzjy.smx.gov.cn/）获取招标文件，并于</w:t>
      </w:r>
      <w:r>
        <w:rPr>
          <w:rFonts w:hint="eastAsia" w:ascii="宋体" w:hAnsi="宋体" w:eastAsia="宋体" w:cs="Times New Roman"/>
          <w:color w:val="auto"/>
          <w:sz w:val="22"/>
          <w:szCs w:val="24"/>
          <w:lang w:eastAsia="zh-CN"/>
        </w:rPr>
        <w:t>2026年6月12日08时30分</w:t>
      </w:r>
      <w:r>
        <w:rPr>
          <w:rFonts w:hint="eastAsia" w:ascii="宋体" w:hAnsi="宋体" w:eastAsia="宋体" w:cs="Times New Roman"/>
          <w:color w:val="auto"/>
          <w:sz w:val="22"/>
          <w:szCs w:val="24"/>
        </w:rPr>
        <w:t>（北京时间）前递交响应文件。</w:t>
      </w:r>
    </w:p>
    <w:p w14:paraId="6130A7E5">
      <w:pPr>
        <w:spacing w:line="440" w:lineRule="exact"/>
        <w:ind w:firstLine="440" w:firstLineChars="200"/>
        <w:rPr>
          <w:rFonts w:ascii="宋体" w:hAnsi="宋体" w:eastAsia="宋体" w:cs="宋体"/>
          <w:color w:val="auto"/>
          <w:sz w:val="22"/>
          <w:szCs w:val="24"/>
        </w:rPr>
      </w:pPr>
      <w:r>
        <w:rPr>
          <w:rFonts w:hint="eastAsia" w:ascii="宋体" w:hAnsi="宋体" w:eastAsia="宋体" w:cs="宋体"/>
          <w:color w:val="auto"/>
          <w:sz w:val="22"/>
          <w:szCs w:val="24"/>
        </w:rPr>
        <w:t>一、</w:t>
      </w:r>
      <w:r>
        <w:rPr>
          <w:rFonts w:hint="eastAsia" w:ascii="宋体" w:hAnsi="宋体" w:eastAsia="宋体" w:cs="宋体"/>
          <w:b/>
          <w:color w:val="auto"/>
          <w:sz w:val="22"/>
          <w:szCs w:val="24"/>
        </w:rPr>
        <w:t>项目基本情况</w:t>
      </w:r>
    </w:p>
    <w:p w14:paraId="47CB13FB">
      <w:pPr>
        <w:tabs>
          <w:tab w:val="left" w:pos="142"/>
        </w:tabs>
        <w:spacing w:line="440" w:lineRule="exact"/>
        <w:ind w:firstLine="424" w:firstLineChars="193"/>
        <w:rPr>
          <w:rFonts w:hint="eastAsia" w:ascii="宋体" w:hAnsi="宋体" w:eastAsia="宋体" w:cs="宋体"/>
          <w:color w:val="auto"/>
          <w:sz w:val="22"/>
          <w:szCs w:val="24"/>
          <w:lang w:eastAsia="zh-CN"/>
        </w:rPr>
      </w:pPr>
      <w:r>
        <w:rPr>
          <w:rFonts w:hint="eastAsia" w:ascii="宋体" w:hAnsi="宋体" w:eastAsia="宋体" w:cs="宋体"/>
          <w:color w:val="auto"/>
          <w:sz w:val="22"/>
          <w:szCs w:val="24"/>
        </w:rPr>
        <w:t>1、项目编号：</w:t>
      </w:r>
      <w:r>
        <w:rPr>
          <w:rFonts w:hint="eastAsia" w:ascii="宋体" w:hAnsi="宋体" w:eastAsia="宋体" w:cs="宋体"/>
          <w:color w:val="auto"/>
          <w:sz w:val="22"/>
          <w:szCs w:val="24"/>
          <w:lang w:eastAsia="zh-CN"/>
        </w:rPr>
        <w:t>示范竞磋采购-2026-5</w:t>
      </w:r>
    </w:p>
    <w:p w14:paraId="29F34C1E">
      <w:pPr>
        <w:tabs>
          <w:tab w:val="left" w:pos="142"/>
        </w:tabs>
        <w:spacing w:line="440" w:lineRule="exact"/>
        <w:ind w:left="425" w:firstLine="1430" w:firstLineChars="650"/>
        <w:rPr>
          <w:rFonts w:hint="eastAsia" w:ascii="宋体" w:hAnsi="宋体" w:eastAsia="宋体" w:cs="宋体"/>
          <w:color w:val="auto"/>
          <w:sz w:val="22"/>
          <w:szCs w:val="24"/>
          <w:lang w:eastAsia="zh-CN"/>
        </w:rPr>
      </w:pPr>
      <w:r>
        <w:rPr>
          <w:rFonts w:hint="eastAsia" w:ascii="宋体" w:hAnsi="宋体" w:eastAsia="宋体" w:cs="宋体"/>
          <w:bCs/>
          <w:color w:val="auto"/>
          <w:sz w:val="22"/>
          <w:szCs w:val="24"/>
          <w:lang w:eastAsia="zh-CN"/>
        </w:rPr>
        <w:t>SGZ[2026]156-ZC101</w:t>
      </w:r>
    </w:p>
    <w:p w14:paraId="75C9984A">
      <w:pPr>
        <w:tabs>
          <w:tab w:val="left" w:pos="142"/>
        </w:tabs>
        <w:spacing w:line="440" w:lineRule="exact"/>
        <w:ind w:firstLine="424" w:firstLineChars="193"/>
        <w:rPr>
          <w:rFonts w:hint="eastAsia" w:ascii="宋体" w:hAnsi="宋体" w:eastAsia="宋体" w:cs="宋体"/>
          <w:color w:val="auto"/>
          <w:sz w:val="22"/>
          <w:szCs w:val="24"/>
          <w:lang w:eastAsia="zh-CN"/>
        </w:rPr>
      </w:pPr>
      <w:r>
        <w:rPr>
          <w:rFonts w:hint="eastAsia" w:ascii="宋体" w:hAnsi="宋体" w:eastAsia="宋体" w:cs="宋体"/>
          <w:color w:val="auto"/>
          <w:sz w:val="22"/>
          <w:szCs w:val="24"/>
        </w:rPr>
        <w:t>2、项目名称：</w:t>
      </w:r>
      <w:r>
        <w:rPr>
          <w:rFonts w:hint="eastAsia" w:ascii="宋体" w:hAnsi="宋体" w:eastAsia="宋体" w:cs="宋体"/>
          <w:color w:val="auto"/>
          <w:sz w:val="22"/>
          <w:szCs w:val="24"/>
          <w:lang w:eastAsia="zh-CN"/>
        </w:rPr>
        <w:t>城乡一体化示范区安全生产技术服务项目</w:t>
      </w:r>
    </w:p>
    <w:p w14:paraId="499F718D">
      <w:pPr>
        <w:tabs>
          <w:tab w:val="left" w:pos="142"/>
        </w:tabs>
        <w:spacing w:line="440" w:lineRule="exact"/>
        <w:ind w:firstLine="424" w:firstLineChars="193"/>
        <w:rPr>
          <w:rFonts w:ascii="宋体" w:hAnsi="宋体" w:eastAsia="宋体" w:cs="宋体"/>
          <w:color w:val="auto"/>
          <w:sz w:val="22"/>
          <w:szCs w:val="24"/>
        </w:rPr>
      </w:pPr>
      <w:r>
        <w:rPr>
          <w:rFonts w:hint="eastAsia" w:ascii="宋体" w:hAnsi="宋体" w:eastAsia="宋体" w:cs="宋体"/>
          <w:color w:val="auto"/>
          <w:sz w:val="22"/>
          <w:szCs w:val="24"/>
        </w:rPr>
        <w:t>3、采购方式：竞争性磋商</w:t>
      </w:r>
    </w:p>
    <w:p w14:paraId="6450EDF5">
      <w:pPr>
        <w:tabs>
          <w:tab w:val="left" w:pos="142"/>
        </w:tabs>
        <w:spacing w:line="440" w:lineRule="exact"/>
        <w:ind w:firstLine="424" w:firstLineChars="193"/>
        <w:rPr>
          <w:rFonts w:ascii="宋体" w:hAnsi="宋体" w:eastAsia="宋体" w:cs="宋体"/>
          <w:color w:val="auto"/>
          <w:sz w:val="22"/>
          <w:szCs w:val="24"/>
        </w:rPr>
      </w:pPr>
      <w:r>
        <w:rPr>
          <w:rFonts w:hint="eastAsia" w:ascii="宋体" w:hAnsi="宋体" w:eastAsia="宋体" w:cs="宋体"/>
          <w:color w:val="auto"/>
          <w:sz w:val="22"/>
          <w:szCs w:val="24"/>
        </w:rPr>
        <w:t>4、预算金额：</w:t>
      </w:r>
      <w:r>
        <w:rPr>
          <w:rFonts w:hint="eastAsia" w:ascii="宋体" w:hAnsi="宋体" w:eastAsia="宋体" w:cs="宋体"/>
          <w:color w:val="auto"/>
          <w:sz w:val="22"/>
          <w:szCs w:val="24"/>
          <w:lang w:eastAsia="zh-CN"/>
        </w:rPr>
        <w:t>471900.00</w:t>
      </w:r>
      <w:r>
        <w:rPr>
          <w:rFonts w:hint="eastAsia" w:ascii="宋体" w:hAnsi="宋体" w:eastAsia="宋体" w:cs="宋体"/>
          <w:color w:val="auto"/>
          <w:sz w:val="22"/>
          <w:szCs w:val="24"/>
        </w:rPr>
        <w:t>元</w:t>
      </w:r>
    </w:p>
    <w:p w14:paraId="385FBB59">
      <w:pPr>
        <w:tabs>
          <w:tab w:val="left" w:pos="142"/>
        </w:tabs>
        <w:spacing w:line="440" w:lineRule="exact"/>
        <w:ind w:firstLine="660" w:firstLineChars="300"/>
        <w:rPr>
          <w:rFonts w:ascii="宋体" w:hAnsi="宋体" w:eastAsia="宋体" w:cs="宋体"/>
          <w:color w:val="auto"/>
          <w:sz w:val="22"/>
          <w:szCs w:val="24"/>
        </w:rPr>
      </w:pPr>
      <w:r>
        <w:rPr>
          <w:rFonts w:hint="eastAsia" w:ascii="宋体" w:hAnsi="宋体" w:eastAsia="宋体" w:cs="宋体"/>
          <w:color w:val="auto"/>
          <w:sz w:val="22"/>
          <w:szCs w:val="24"/>
        </w:rPr>
        <w:t>最高限价：</w:t>
      </w:r>
      <w:r>
        <w:rPr>
          <w:rFonts w:hint="eastAsia" w:ascii="宋体" w:hAnsi="宋体" w:eastAsia="宋体" w:cs="宋体"/>
          <w:color w:val="auto"/>
          <w:sz w:val="22"/>
          <w:szCs w:val="24"/>
          <w:lang w:eastAsia="zh-CN"/>
        </w:rPr>
        <w:t>471900.00</w:t>
      </w:r>
      <w:r>
        <w:rPr>
          <w:rFonts w:hint="eastAsia" w:ascii="宋体" w:hAnsi="宋体" w:eastAsia="宋体" w:cs="宋体"/>
          <w:color w:val="auto"/>
          <w:sz w:val="22"/>
          <w:szCs w:val="24"/>
        </w:rPr>
        <w:t>元</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535"/>
        <w:gridCol w:w="2682"/>
        <w:gridCol w:w="1386"/>
        <w:gridCol w:w="1779"/>
      </w:tblGrid>
      <w:tr w14:paraId="125A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71" w:type="dxa"/>
            <w:vAlign w:val="center"/>
          </w:tcPr>
          <w:p w14:paraId="57E0350C">
            <w:pPr>
              <w:tabs>
                <w:tab w:val="left" w:pos="142"/>
              </w:tabs>
              <w:jc w:val="center"/>
              <w:rPr>
                <w:rFonts w:ascii="宋体" w:hAnsi="宋体" w:eastAsia="宋体"/>
                <w:color w:val="auto"/>
                <w:kern w:val="0"/>
                <w:sz w:val="22"/>
                <w:szCs w:val="24"/>
              </w:rPr>
            </w:pPr>
            <w:r>
              <w:rPr>
                <w:rFonts w:hint="eastAsia" w:ascii="宋体" w:hAnsi="宋体" w:eastAsia="宋体"/>
                <w:color w:val="auto"/>
                <w:kern w:val="0"/>
                <w:sz w:val="22"/>
                <w:szCs w:val="24"/>
              </w:rPr>
              <w:t>序号</w:t>
            </w:r>
          </w:p>
        </w:tc>
        <w:tc>
          <w:tcPr>
            <w:tcW w:w="2535" w:type="dxa"/>
            <w:vAlign w:val="center"/>
          </w:tcPr>
          <w:p w14:paraId="49BF245E">
            <w:pPr>
              <w:tabs>
                <w:tab w:val="left" w:pos="142"/>
              </w:tabs>
              <w:ind w:firstLine="17" w:firstLineChars="8"/>
              <w:jc w:val="center"/>
              <w:rPr>
                <w:rFonts w:ascii="宋体" w:hAnsi="宋体" w:eastAsia="宋体"/>
                <w:color w:val="auto"/>
                <w:kern w:val="0"/>
                <w:sz w:val="22"/>
                <w:szCs w:val="24"/>
              </w:rPr>
            </w:pPr>
            <w:r>
              <w:rPr>
                <w:rFonts w:hint="eastAsia" w:ascii="宋体" w:hAnsi="宋体" w:eastAsia="宋体"/>
                <w:color w:val="auto"/>
                <w:kern w:val="0"/>
                <w:sz w:val="22"/>
                <w:szCs w:val="24"/>
              </w:rPr>
              <w:t>包号</w:t>
            </w:r>
          </w:p>
        </w:tc>
        <w:tc>
          <w:tcPr>
            <w:tcW w:w="2682" w:type="dxa"/>
            <w:vAlign w:val="center"/>
          </w:tcPr>
          <w:p w14:paraId="56D7BDD5">
            <w:pPr>
              <w:tabs>
                <w:tab w:val="left" w:pos="142"/>
              </w:tabs>
              <w:ind w:firstLine="24" w:firstLineChars="11"/>
              <w:jc w:val="center"/>
              <w:rPr>
                <w:rFonts w:ascii="宋体" w:hAnsi="宋体" w:eastAsia="宋体"/>
                <w:color w:val="auto"/>
                <w:kern w:val="0"/>
                <w:sz w:val="22"/>
                <w:szCs w:val="24"/>
              </w:rPr>
            </w:pPr>
            <w:r>
              <w:rPr>
                <w:rFonts w:hint="eastAsia" w:ascii="宋体" w:hAnsi="宋体" w:eastAsia="宋体"/>
                <w:color w:val="auto"/>
                <w:kern w:val="0"/>
                <w:sz w:val="22"/>
                <w:szCs w:val="24"/>
              </w:rPr>
              <w:t>包名称</w:t>
            </w:r>
          </w:p>
        </w:tc>
        <w:tc>
          <w:tcPr>
            <w:tcW w:w="1386" w:type="dxa"/>
            <w:vAlign w:val="center"/>
          </w:tcPr>
          <w:p w14:paraId="3BC4AEE1">
            <w:pPr>
              <w:tabs>
                <w:tab w:val="left" w:pos="142"/>
              </w:tabs>
              <w:jc w:val="left"/>
              <w:rPr>
                <w:rFonts w:ascii="宋体" w:hAnsi="宋体" w:eastAsia="宋体"/>
                <w:color w:val="auto"/>
                <w:kern w:val="0"/>
                <w:sz w:val="22"/>
                <w:szCs w:val="24"/>
              </w:rPr>
            </w:pPr>
            <w:r>
              <w:rPr>
                <w:rFonts w:hint="eastAsia" w:ascii="宋体" w:hAnsi="宋体" w:eastAsia="宋体"/>
                <w:color w:val="auto"/>
                <w:kern w:val="0"/>
                <w:sz w:val="22"/>
                <w:szCs w:val="24"/>
              </w:rPr>
              <w:t>包预算（元）</w:t>
            </w:r>
          </w:p>
        </w:tc>
        <w:tc>
          <w:tcPr>
            <w:tcW w:w="1779" w:type="dxa"/>
            <w:vAlign w:val="center"/>
          </w:tcPr>
          <w:p w14:paraId="23FC98BB">
            <w:pPr>
              <w:tabs>
                <w:tab w:val="left" w:pos="142"/>
              </w:tabs>
              <w:jc w:val="left"/>
              <w:rPr>
                <w:rFonts w:ascii="宋体" w:hAnsi="宋体" w:eastAsia="宋体"/>
                <w:color w:val="auto"/>
                <w:kern w:val="0"/>
                <w:sz w:val="22"/>
                <w:szCs w:val="24"/>
              </w:rPr>
            </w:pPr>
            <w:r>
              <w:rPr>
                <w:rFonts w:hint="eastAsia" w:ascii="宋体" w:hAnsi="宋体" w:eastAsia="宋体"/>
                <w:color w:val="auto"/>
                <w:kern w:val="0"/>
                <w:sz w:val="22"/>
                <w:szCs w:val="24"/>
              </w:rPr>
              <w:t>包最高限价（元）</w:t>
            </w:r>
          </w:p>
        </w:tc>
      </w:tr>
      <w:tr w14:paraId="7209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71" w:type="dxa"/>
            <w:vAlign w:val="center"/>
          </w:tcPr>
          <w:p w14:paraId="5A36D78D">
            <w:pPr>
              <w:tabs>
                <w:tab w:val="left" w:pos="142"/>
              </w:tabs>
              <w:jc w:val="center"/>
              <w:rPr>
                <w:rFonts w:ascii="宋体" w:hAnsi="宋体" w:eastAsia="宋体"/>
                <w:color w:val="auto"/>
                <w:kern w:val="0"/>
                <w:sz w:val="22"/>
                <w:szCs w:val="24"/>
              </w:rPr>
            </w:pPr>
            <w:r>
              <w:rPr>
                <w:rFonts w:hint="eastAsia" w:ascii="宋体" w:hAnsi="宋体" w:eastAsia="宋体"/>
                <w:color w:val="auto"/>
                <w:kern w:val="0"/>
                <w:sz w:val="22"/>
                <w:szCs w:val="24"/>
              </w:rPr>
              <w:t>1</w:t>
            </w:r>
          </w:p>
        </w:tc>
        <w:tc>
          <w:tcPr>
            <w:tcW w:w="2535" w:type="dxa"/>
            <w:vAlign w:val="center"/>
          </w:tcPr>
          <w:p w14:paraId="02C96202">
            <w:pPr>
              <w:tabs>
                <w:tab w:val="left" w:pos="142"/>
              </w:tabs>
              <w:spacing w:line="440" w:lineRule="exact"/>
              <w:rPr>
                <w:rFonts w:ascii="宋体" w:hAnsi="宋体" w:eastAsia="宋体"/>
                <w:color w:val="auto"/>
                <w:kern w:val="0"/>
                <w:sz w:val="22"/>
                <w:szCs w:val="24"/>
              </w:rPr>
            </w:pPr>
            <w:r>
              <w:rPr>
                <w:rFonts w:hint="eastAsia" w:ascii="宋体" w:hAnsi="宋体" w:eastAsia="宋体" w:cs="宋体"/>
                <w:bCs/>
                <w:color w:val="auto"/>
                <w:sz w:val="22"/>
                <w:szCs w:val="24"/>
                <w:lang w:eastAsia="zh-CN"/>
              </w:rPr>
              <w:t>SGZ[2026]156-ZC101</w:t>
            </w:r>
            <w:r>
              <w:rPr>
                <w:rFonts w:hint="eastAsia" w:ascii="宋体" w:hAnsi="宋体" w:eastAsia="宋体" w:cs="宋体"/>
                <w:bCs/>
                <w:color w:val="auto"/>
                <w:sz w:val="22"/>
                <w:szCs w:val="24"/>
              </w:rPr>
              <w:t>-1</w:t>
            </w:r>
          </w:p>
        </w:tc>
        <w:tc>
          <w:tcPr>
            <w:tcW w:w="2682" w:type="dxa"/>
            <w:vAlign w:val="center"/>
          </w:tcPr>
          <w:p w14:paraId="6BB894E4">
            <w:pPr>
              <w:tabs>
                <w:tab w:val="left" w:pos="142"/>
              </w:tabs>
              <w:ind w:firstLine="24" w:firstLineChars="11"/>
              <w:jc w:val="center"/>
              <w:rPr>
                <w:rFonts w:hint="eastAsia" w:ascii="宋体" w:hAnsi="宋体" w:eastAsia="宋体"/>
                <w:color w:val="auto"/>
                <w:kern w:val="0"/>
                <w:sz w:val="22"/>
                <w:szCs w:val="24"/>
                <w:lang w:eastAsia="zh-CN"/>
              </w:rPr>
            </w:pPr>
            <w:r>
              <w:rPr>
                <w:rFonts w:hint="eastAsia" w:ascii="宋体" w:hAnsi="宋体" w:eastAsia="宋体"/>
                <w:color w:val="auto"/>
                <w:kern w:val="0"/>
                <w:sz w:val="22"/>
                <w:szCs w:val="24"/>
                <w:lang w:eastAsia="zh-CN"/>
              </w:rPr>
              <w:t>城乡一体化示范区安全生产技术服务项目</w:t>
            </w:r>
          </w:p>
        </w:tc>
        <w:tc>
          <w:tcPr>
            <w:tcW w:w="1386" w:type="dxa"/>
            <w:vAlign w:val="center"/>
          </w:tcPr>
          <w:p w14:paraId="7DBB9C4F">
            <w:pPr>
              <w:tabs>
                <w:tab w:val="left" w:pos="142"/>
              </w:tabs>
              <w:jc w:val="center"/>
              <w:rPr>
                <w:rFonts w:hint="eastAsia" w:ascii="宋体" w:hAnsi="宋体" w:eastAsia="宋体"/>
                <w:color w:val="auto"/>
                <w:kern w:val="0"/>
                <w:sz w:val="22"/>
                <w:szCs w:val="24"/>
                <w:lang w:eastAsia="zh-CN"/>
              </w:rPr>
            </w:pPr>
            <w:r>
              <w:rPr>
                <w:rFonts w:hint="eastAsia" w:ascii="宋体" w:hAnsi="宋体" w:eastAsia="宋体"/>
                <w:color w:val="auto"/>
                <w:kern w:val="0"/>
                <w:sz w:val="22"/>
                <w:szCs w:val="24"/>
                <w:lang w:eastAsia="zh-CN"/>
              </w:rPr>
              <w:t>471900.00</w:t>
            </w:r>
          </w:p>
        </w:tc>
        <w:tc>
          <w:tcPr>
            <w:tcW w:w="1779" w:type="dxa"/>
            <w:vAlign w:val="center"/>
          </w:tcPr>
          <w:p w14:paraId="2FCB0518">
            <w:pPr>
              <w:tabs>
                <w:tab w:val="left" w:pos="142"/>
              </w:tabs>
              <w:jc w:val="center"/>
              <w:rPr>
                <w:rFonts w:hint="eastAsia" w:ascii="宋体" w:hAnsi="宋体" w:eastAsia="宋体"/>
                <w:color w:val="auto"/>
                <w:kern w:val="0"/>
                <w:sz w:val="22"/>
                <w:szCs w:val="24"/>
                <w:lang w:eastAsia="zh-CN"/>
              </w:rPr>
            </w:pPr>
            <w:r>
              <w:rPr>
                <w:rFonts w:hint="eastAsia" w:ascii="宋体" w:hAnsi="宋体" w:eastAsia="宋体"/>
                <w:color w:val="auto"/>
                <w:kern w:val="0"/>
                <w:sz w:val="22"/>
                <w:szCs w:val="24"/>
                <w:lang w:eastAsia="zh-CN"/>
              </w:rPr>
              <w:t>471900.00</w:t>
            </w:r>
          </w:p>
        </w:tc>
      </w:tr>
    </w:tbl>
    <w:p w14:paraId="75E2518A">
      <w:pPr>
        <w:tabs>
          <w:tab w:val="left" w:pos="142"/>
        </w:tabs>
        <w:spacing w:line="440" w:lineRule="exact"/>
        <w:ind w:firstLine="424" w:firstLineChars="193"/>
        <w:rPr>
          <w:rFonts w:ascii="宋体" w:hAnsi="宋体" w:eastAsia="宋体" w:cs="宋体"/>
          <w:color w:val="auto"/>
          <w:sz w:val="22"/>
          <w:szCs w:val="24"/>
        </w:rPr>
      </w:pPr>
      <w:r>
        <w:rPr>
          <w:rFonts w:hint="eastAsia" w:ascii="宋体" w:hAnsi="宋体" w:eastAsia="宋体" w:cs="宋体"/>
          <w:color w:val="auto"/>
          <w:sz w:val="22"/>
          <w:szCs w:val="24"/>
        </w:rPr>
        <w:t>5、采购内容和服务要求（包括但不限于标的的名称、数量、简要技术需求或服务要求等）</w:t>
      </w:r>
    </w:p>
    <w:p w14:paraId="747BFA1F">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color w:val="auto"/>
          <w:sz w:val="22"/>
          <w:szCs w:val="24"/>
        </w:rPr>
      </w:pPr>
      <w:r>
        <w:rPr>
          <w:rFonts w:hint="eastAsia" w:ascii="宋体" w:hAnsi="宋体" w:eastAsia="宋体" w:cs="宋体"/>
          <w:color w:val="auto"/>
          <w:sz w:val="22"/>
          <w:szCs w:val="24"/>
        </w:rPr>
        <w:t>采购内容：为更好的做好示范区安全生产、应急管理等各项工作，通过采购技术服务，协助做好日常的安全生产、应急管理工作以及相关法律法规的获取、指导，具体内容详见采购需求</w:t>
      </w:r>
    </w:p>
    <w:p w14:paraId="12020452">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color w:val="auto"/>
          <w:sz w:val="22"/>
          <w:szCs w:val="24"/>
        </w:rPr>
      </w:pPr>
      <w:r>
        <w:rPr>
          <w:rFonts w:hint="eastAsia" w:ascii="宋体" w:hAnsi="宋体" w:eastAsia="宋体" w:cs="宋体"/>
          <w:color w:val="auto"/>
          <w:sz w:val="22"/>
          <w:szCs w:val="24"/>
        </w:rPr>
        <w:t>服务地点：采购人指定地点</w:t>
      </w:r>
    </w:p>
    <w:p w14:paraId="3CDDCBFB">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color w:val="auto"/>
          <w:sz w:val="22"/>
          <w:szCs w:val="24"/>
        </w:rPr>
      </w:pPr>
      <w:r>
        <w:rPr>
          <w:rFonts w:hint="eastAsia" w:ascii="宋体" w:hAnsi="宋体" w:eastAsia="宋体" w:cs="宋体"/>
          <w:color w:val="auto"/>
          <w:sz w:val="22"/>
          <w:szCs w:val="24"/>
        </w:rPr>
        <w:t>服务期限：</w:t>
      </w:r>
      <w:r>
        <w:rPr>
          <w:rFonts w:hint="eastAsia" w:ascii="宋体" w:hAnsi="宋体" w:eastAsia="宋体" w:cs="宋体"/>
          <w:color w:val="auto"/>
          <w:sz w:val="22"/>
          <w:szCs w:val="24"/>
          <w:lang w:eastAsia="zh-CN"/>
        </w:rPr>
        <w:t>一年（合同期满，成交人服务考核合格且采购人下一年度财政预算已落实的，双方可续签次年服务合同，续签合同服务内容、服务标准、合同金额与本合同一致，累计服务期限最长不超过三年）</w:t>
      </w:r>
    </w:p>
    <w:p w14:paraId="7A706F4C">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color w:val="auto"/>
          <w:kern w:val="0"/>
          <w:sz w:val="22"/>
        </w:rPr>
      </w:pPr>
      <w:r>
        <w:rPr>
          <w:rFonts w:hint="eastAsia" w:ascii="宋体" w:hAnsi="宋体" w:eastAsia="宋体" w:cs="宋体"/>
          <w:color w:val="auto"/>
          <w:kern w:val="0"/>
          <w:sz w:val="22"/>
        </w:rPr>
        <w:t>资金来源及落实情况：财政资金，已落实</w:t>
      </w:r>
    </w:p>
    <w:p w14:paraId="5F97F70E">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color w:val="auto"/>
          <w:sz w:val="22"/>
          <w:szCs w:val="24"/>
        </w:rPr>
      </w:pPr>
      <w:r>
        <w:rPr>
          <w:rFonts w:hint="eastAsia" w:ascii="宋体" w:hAnsi="宋体" w:eastAsia="宋体" w:cs="宋体"/>
          <w:color w:val="auto"/>
          <w:sz w:val="22"/>
          <w:szCs w:val="24"/>
        </w:rPr>
        <w:t>质量标准：符合国家或行业规定的合格标准，满足采购人提出的技术标准及要求</w:t>
      </w:r>
    </w:p>
    <w:p w14:paraId="3C4A61FA">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color w:val="auto"/>
          <w:sz w:val="22"/>
          <w:szCs w:val="24"/>
        </w:rPr>
      </w:pPr>
      <w:r>
        <w:rPr>
          <w:rFonts w:hint="eastAsia" w:ascii="宋体" w:hAnsi="宋体" w:eastAsia="宋体" w:cs="宋体"/>
          <w:color w:val="auto"/>
          <w:sz w:val="22"/>
          <w:szCs w:val="24"/>
        </w:rPr>
        <w:t>磋商范围：本项目竞争性磋商文件、补充文件及答疑纪要等列明的所有内容</w:t>
      </w:r>
    </w:p>
    <w:p w14:paraId="45C21408">
      <w:pPr>
        <w:tabs>
          <w:tab w:val="left" w:pos="142"/>
          <w:tab w:val="left" w:pos="993"/>
        </w:tabs>
        <w:spacing w:line="440" w:lineRule="exact"/>
        <w:ind w:firstLine="424" w:firstLineChars="193"/>
        <w:rPr>
          <w:rFonts w:ascii="宋体" w:hAnsi="宋体" w:eastAsia="宋体" w:cs="宋体"/>
          <w:color w:val="auto"/>
          <w:sz w:val="22"/>
          <w:szCs w:val="24"/>
        </w:rPr>
      </w:pPr>
      <w:r>
        <w:rPr>
          <w:rFonts w:hint="eastAsia" w:ascii="宋体" w:hAnsi="宋体" w:eastAsia="宋体" w:cs="宋体"/>
          <w:color w:val="auto"/>
          <w:sz w:val="22"/>
          <w:szCs w:val="24"/>
        </w:rPr>
        <w:t>6、合同履行期限：同服务期限</w:t>
      </w:r>
    </w:p>
    <w:p w14:paraId="6E21387C">
      <w:pPr>
        <w:tabs>
          <w:tab w:val="left" w:pos="142"/>
          <w:tab w:val="left" w:pos="993"/>
        </w:tabs>
        <w:spacing w:line="440" w:lineRule="exact"/>
        <w:ind w:firstLine="424" w:firstLineChars="193"/>
        <w:rPr>
          <w:rFonts w:ascii="宋体" w:hAnsi="宋体" w:eastAsia="宋体" w:cs="宋体"/>
          <w:color w:val="auto"/>
          <w:sz w:val="22"/>
          <w:szCs w:val="24"/>
        </w:rPr>
      </w:pPr>
      <w:r>
        <w:rPr>
          <w:rFonts w:hint="eastAsia" w:ascii="宋体" w:hAnsi="宋体" w:eastAsia="宋体" w:cs="宋体"/>
          <w:color w:val="auto"/>
          <w:sz w:val="22"/>
          <w:szCs w:val="24"/>
        </w:rPr>
        <w:t>7、</w:t>
      </w:r>
      <w:r>
        <w:rPr>
          <w:rFonts w:ascii="宋体" w:hAnsi="宋体" w:eastAsia="宋体" w:cs="宋体"/>
          <w:color w:val="auto"/>
          <w:sz w:val="22"/>
          <w:szCs w:val="24"/>
        </w:rPr>
        <w:t>本项目是否接受联合体：否</w:t>
      </w:r>
    </w:p>
    <w:p w14:paraId="4798BB0A">
      <w:pPr>
        <w:tabs>
          <w:tab w:val="left" w:pos="142"/>
          <w:tab w:val="left" w:pos="993"/>
        </w:tabs>
        <w:spacing w:line="440" w:lineRule="exact"/>
        <w:ind w:firstLine="424" w:firstLineChars="193"/>
        <w:rPr>
          <w:rFonts w:ascii="宋体" w:hAnsi="宋体" w:eastAsia="宋体" w:cs="宋体"/>
          <w:color w:val="auto"/>
          <w:sz w:val="22"/>
          <w:szCs w:val="24"/>
        </w:rPr>
      </w:pPr>
      <w:r>
        <w:rPr>
          <w:rFonts w:hint="eastAsia" w:ascii="宋体" w:hAnsi="宋体" w:eastAsia="宋体" w:cs="宋体"/>
          <w:color w:val="auto"/>
          <w:sz w:val="22"/>
          <w:szCs w:val="24"/>
        </w:rPr>
        <w:t>8、</w:t>
      </w:r>
      <w:r>
        <w:rPr>
          <w:rFonts w:ascii="宋体" w:hAnsi="宋体" w:eastAsia="宋体" w:cs="宋体"/>
          <w:color w:val="auto"/>
          <w:sz w:val="22"/>
          <w:szCs w:val="24"/>
        </w:rPr>
        <w:t>是否接受进口产品：否</w:t>
      </w:r>
    </w:p>
    <w:p w14:paraId="6BF07B05">
      <w:pPr>
        <w:tabs>
          <w:tab w:val="left" w:pos="142"/>
          <w:tab w:val="left" w:pos="993"/>
        </w:tabs>
        <w:spacing w:line="440" w:lineRule="exact"/>
        <w:ind w:firstLine="424" w:firstLineChars="193"/>
        <w:rPr>
          <w:rFonts w:ascii="宋体" w:hAnsi="宋体" w:eastAsia="宋体" w:cs="宋体"/>
          <w:b w:val="0"/>
          <w:bCs/>
          <w:color w:val="auto"/>
          <w:sz w:val="22"/>
          <w:szCs w:val="24"/>
        </w:rPr>
      </w:pPr>
      <w:r>
        <w:rPr>
          <w:rFonts w:hint="eastAsia" w:ascii="宋体" w:hAnsi="宋体" w:eastAsia="宋体" w:cs="宋体"/>
          <w:b w:val="0"/>
          <w:bCs/>
          <w:color w:val="auto"/>
          <w:sz w:val="22"/>
          <w:szCs w:val="24"/>
        </w:rPr>
        <w:t>9、是否</w:t>
      </w:r>
      <w:r>
        <w:rPr>
          <w:rFonts w:ascii="宋体" w:hAnsi="宋体" w:eastAsia="宋体" w:cs="宋体"/>
          <w:b w:val="0"/>
          <w:bCs/>
          <w:color w:val="auto"/>
          <w:sz w:val="22"/>
          <w:szCs w:val="24"/>
        </w:rPr>
        <w:t>专门面向中小企业</w:t>
      </w:r>
      <w:r>
        <w:rPr>
          <w:rFonts w:hint="eastAsia" w:ascii="宋体" w:hAnsi="宋体" w:eastAsia="宋体" w:cs="宋体"/>
          <w:b w:val="0"/>
          <w:bCs/>
          <w:color w:val="auto"/>
          <w:sz w:val="22"/>
          <w:szCs w:val="24"/>
        </w:rPr>
        <w:t>：是</w:t>
      </w:r>
    </w:p>
    <w:p w14:paraId="7BCE9F89">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二、供应商资格要求</w:t>
      </w:r>
    </w:p>
    <w:p w14:paraId="7A81E941">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1、满足《中华人民共和国政府采购法》第二十二条规定；</w:t>
      </w:r>
    </w:p>
    <w:p w14:paraId="3B1F4AAD">
      <w:pPr>
        <w:spacing w:line="360" w:lineRule="auto"/>
        <w:ind w:firstLine="444" w:firstLineChars="202"/>
        <w:rPr>
          <w:rFonts w:hint="eastAsia" w:ascii="宋体" w:hAnsi="宋体" w:eastAsia="宋体" w:cs="Times New Roman"/>
          <w:color w:val="auto"/>
          <w:sz w:val="22"/>
          <w:szCs w:val="24"/>
        </w:rPr>
      </w:pPr>
      <w:r>
        <w:rPr>
          <w:rFonts w:hint="eastAsia" w:ascii="宋体" w:hAnsi="宋体" w:eastAsia="宋体" w:cs="Times New Roman"/>
          <w:color w:val="auto"/>
          <w:sz w:val="22"/>
          <w:szCs w:val="24"/>
        </w:rPr>
        <w:t>2、落实政府采购政策满足的资格要求：</w:t>
      </w:r>
      <w:r>
        <w:rPr>
          <w:rFonts w:hint="eastAsia" w:ascii="宋体" w:hAnsi="宋体" w:eastAsia="宋体" w:cs="Times New Roman"/>
          <w:color w:val="auto"/>
          <w:sz w:val="22"/>
          <w:szCs w:val="24"/>
          <w:lang w:eastAsia="zh-CN"/>
        </w:rPr>
        <w:t>本项目专门面向中小企业采购，监狱企业、残疾人福利性单位视同小型、微型企业参与本次采购。供应商需按规定分别提供中小企业声明函、监狱企业证明文件或残疾人福利性单位声明函</w:t>
      </w:r>
      <w:r>
        <w:rPr>
          <w:rFonts w:hint="eastAsia" w:ascii="宋体" w:hAnsi="宋体" w:eastAsia="宋体" w:cs="Times New Roman"/>
          <w:color w:val="auto"/>
          <w:sz w:val="22"/>
          <w:szCs w:val="24"/>
        </w:rPr>
        <w:t>。</w:t>
      </w:r>
    </w:p>
    <w:p w14:paraId="0B94EA5C">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 xml:space="preserve">3、本项目的特定资格要求 </w:t>
      </w:r>
    </w:p>
    <w:p w14:paraId="5D8562B0">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3.1</w:t>
      </w:r>
      <w:r>
        <w:rPr>
          <w:rFonts w:hint="eastAsia" w:ascii="宋体" w:hAnsi="宋体" w:eastAsia="宋体" w:cs="Times New Roman"/>
          <w:color w:val="auto"/>
          <w:sz w:val="22"/>
          <w:szCs w:val="24"/>
        </w:rPr>
        <w:tab/>
      </w:r>
      <w:r>
        <w:rPr>
          <w:rFonts w:hint="eastAsia" w:ascii="宋体" w:hAnsi="宋体" w:eastAsia="宋体" w:cs="Times New Roman"/>
          <w:color w:val="auto"/>
          <w:sz w:val="22"/>
          <w:szCs w:val="24"/>
        </w:rPr>
        <w:t>供应商具有有效的营业执照或者事业单位法人证书；</w:t>
      </w:r>
    </w:p>
    <w:p w14:paraId="383A8D42">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3.2供应商具有履行合同所必需的设备和专业技术能力（自行承诺，格式自拟）；</w:t>
      </w:r>
    </w:p>
    <w:p w14:paraId="4E31D3E1">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 xml:space="preserve">3.3供应商须自行出具本单位无商业贿赂及无不正当竞争行为的承诺书； </w:t>
      </w:r>
    </w:p>
    <w:p w14:paraId="780FBE52">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 xml:space="preserve">3.4供应商未列入“中国执行信息公开网”的“失信被执行人”，“信用中国”www.creditchina.gov.cn网站的“重大税收违法失信主体”和“中国政府采购网”www.ccgp.gov.cn网站的“政府采购严重违法失信行为记录名单”（采购人、代理机构在开标后对所有响应人信用记录进行查询，并将查询结果网页打印存档，响应人不良信用记录以代理机构开标后查询结果为准）； </w:t>
      </w:r>
    </w:p>
    <w:p w14:paraId="456827C3">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3.5</w:t>
      </w:r>
      <w:r>
        <w:rPr>
          <w:rFonts w:ascii="宋体" w:hAnsi="宋体" w:eastAsia="宋体" w:cs="Times New Roman"/>
          <w:color w:val="auto"/>
          <w:sz w:val="22"/>
          <w:szCs w:val="24"/>
        </w:rPr>
        <w:t>单位负责人为同一人或者存在直接控股、管理关系的不同</w:t>
      </w:r>
      <w:r>
        <w:rPr>
          <w:rFonts w:hint="eastAsia" w:ascii="宋体" w:hAnsi="宋体" w:eastAsia="宋体" w:cs="Times New Roman"/>
          <w:color w:val="auto"/>
          <w:sz w:val="22"/>
          <w:szCs w:val="24"/>
        </w:rPr>
        <w:t>供应商</w:t>
      </w:r>
      <w:r>
        <w:rPr>
          <w:rFonts w:ascii="宋体" w:hAnsi="宋体" w:eastAsia="宋体" w:cs="Times New Roman"/>
          <w:color w:val="auto"/>
          <w:sz w:val="22"/>
          <w:szCs w:val="24"/>
        </w:rPr>
        <w:t>，不得参加同一合同项下的政府采购活动</w:t>
      </w:r>
      <w:r>
        <w:rPr>
          <w:rFonts w:hint="eastAsia" w:ascii="宋体" w:hAnsi="宋体" w:eastAsia="宋体" w:cs="Times New Roman"/>
          <w:color w:val="auto"/>
          <w:sz w:val="22"/>
          <w:szCs w:val="24"/>
        </w:rPr>
        <w:t xml:space="preserve">（提供“国家企业信用信息公示系统”中查询打印的相关信息并加盖公章（需包含公司基本信息、股东信息及股权变更信息）或者自行承诺）； </w:t>
      </w:r>
    </w:p>
    <w:p w14:paraId="4D368A96">
      <w:pPr>
        <w:spacing w:line="360" w:lineRule="auto"/>
        <w:ind w:firstLine="444" w:firstLineChars="202"/>
        <w:rPr>
          <w:rFonts w:hint="eastAsia" w:ascii="宋体" w:hAnsi="宋体" w:eastAsia="宋体" w:cs="Times New Roman"/>
          <w:color w:val="auto"/>
          <w:sz w:val="22"/>
          <w:szCs w:val="24"/>
        </w:rPr>
      </w:pPr>
      <w:r>
        <w:rPr>
          <w:rFonts w:hint="eastAsia" w:ascii="宋体" w:hAnsi="宋体" w:eastAsia="宋体" w:cs="Times New Roman"/>
          <w:color w:val="auto"/>
          <w:sz w:val="22"/>
          <w:szCs w:val="24"/>
        </w:rPr>
        <w:t>3.6</w:t>
      </w:r>
      <w:r>
        <w:rPr>
          <w:rFonts w:hint="eastAsia" w:ascii="宋体" w:hAnsi="宋体" w:eastAsia="宋体" w:cs="Times New Roman"/>
          <w:color w:val="auto"/>
          <w:sz w:val="22"/>
          <w:szCs w:val="24"/>
          <w:lang w:eastAsia="zh-CN"/>
        </w:rPr>
        <w:t>本项目不允许联合体磋商（提供非联合体声明函）</w:t>
      </w:r>
      <w:r>
        <w:rPr>
          <w:rFonts w:hint="eastAsia" w:ascii="宋体" w:hAnsi="宋体" w:eastAsia="宋体" w:cs="Times New Roman"/>
          <w:color w:val="auto"/>
          <w:sz w:val="22"/>
          <w:szCs w:val="24"/>
        </w:rPr>
        <w:t>。</w:t>
      </w:r>
    </w:p>
    <w:p w14:paraId="30B4B7E6">
      <w:pPr>
        <w:spacing w:line="360" w:lineRule="auto"/>
        <w:ind w:firstLine="444" w:firstLineChars="202"/>
        <w:rPr>
          <w:rFonts w:hint="default" w:ascii="宋体" w:hAnsi="宋体" w:eastAsia="宋体" w:cs="Times New Roman"/>
          <w:color w:val="auto"/>
          <w:sz w:val="22"/>
          <w:szCs w:val="24"/>
          <w:lang w:val="en-US" w:eastAsia="zh-CN"/>
        </w:rPr>
      </w:pPr>
      <w:r>
        <w:rPr>
          <w:rFonts w:hint="eastAsia" w:ascii="宋体" w:hAnsi="宋体" w:eastAsia="宋体" w:cs="Times New Roman"/>
          <w:color w:val="auto"/>
          <w:sz w:val="22"/>
          <w:szCs w:val="24"/>
          <w:lang w:val="en-US" w:eastAsia="zh-CN"/>
        </w:rPr>
        <w:t>注：本项目为资格后审。</w:t>
      </w:r>
    </w:p>
    <w:p w14:paraId="54D282F1">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 xml:space="preserve">三、磋商文件的获取方式： </w:t>
      </w:r>
    </w:p>
    <w:p w14:paraId="49C36FD2">
      <w:pPr>
        <w:widowControl/>
        <w:spacing w:line="360" w:lineRule="auto"/>
        <w:ind w:firstLine="440" w:firstLineChars="200"/>
        <w:jc w:val="left"/>
        <w:rPr>
          <w:rFonts w:ascii="宋体" w:hAnsi="宋体" w:eastAsia="宋体" w:cs="宋体"/>
          <w:color w:val="auto"/>
          <w:sz w:val="20"/>
        </w:rPr>
      </w:pPr>
      <w:r>
        <w:rPr>
          <w:rFonts w:hint="eastAsia" w:ascii="宋体" w:hAnsi="宋体" w:eastAsia="宋体" w:cs="宋体"/>
          <w:color w:val="auto"/>
          <w:kern w:val="0"/>
          <w:sz w:val="22"/>
          <w:lang w:bidi="ar"/>
        </w:rPr>
        <w:t>1、磋商文件获取方式：本项目没有报名环节，供应商凭CA数字证书通过三门峡市公共资源交易中心网（网 址：http://gzjy.smx.gov.cn/），点击交易平台选择“交易主体登录”，在所参与项目右侧点击参与投标，即可直接下载本项目磋商文件。</w:t>
      </w:r>
    </w:p>
    <w:p w14:paraId="41C9C9F4">
      <w:pPr>
        <w:widowControl/>
        <w:spacing w:line="360" w:lineRule="auto"/>
        <w:ind w:firstLine="440" w:firstLineChars="200"/>
        <w:jc w:val="left"/>
        <w:rPr>
          <w:rFonts w:ascii="宋体" w:hAnsi="宋体" w:eastAsia="宋体" w:cs="宋体"/>
          <w:color w:val="auto"/>
          <w:sz w:val="20"/>
        </w:rPr>
      </w:pPr>
      <w:r>
        <w:rPr>
          <w:rFonts w:hint="eastAsia" w:ascii="宋体" w:hAnsi="宋体" w:eastAsia="宋体" w:cs="宋体"/>
          <w:color w:val="auto"/>
          <w:kern w:val="0"/>
          <w:sz w:val="22"/>
          <w:lang w:bidi="ar"/>
        </w:rPr>
        <w:t>办理CA证书：</w:t>
      </w:r>
    </w:p>
    <w:p w14:paraId="6A92A5B8">
      <w:pPr>
        <w:widowControl/>
        <w:spacing w:line="360" w:lineRule="auto"/>
        <w:ind w:firstLine="440" w:firstLineChars="200"/>
        <w:jc w:val="left"/>
        <w:rPr>
          <w:rFonts w:ascii="宋体" w:hAnsi="宋体" w:eastAsia="宋体" w:cs="宋体"/>
          <w:color w:val="auto"/>
          <w:kern w:val="0"/>
          <w:sz w:val="22"/>
          <w:lang w:bidi="ar"/>
        </w:rPr>
      </w:pPr>
      <w:r>
        <w:rPr>
          <w:rFonts w:hint="eastAsia" w:ascii="宋体" w:hAnsi="宋体" w:eastAsia="宋体" w:cs="宋体"/>
          <w:color w:val="auto"/>
          <w:kern w:val="0"/>
          <w:sz w:val="22"/>
          <w:lang w:bidi="ar"/>
        </w:rPr>
        <w:t>http://gzjy.smx.gov.cn/bzzx/008001/20231102/4defc9b5-408e-47f2-9e9f-1f376a06ee1f.html</w:t>
      </w:r>
    </w:p>
    <w:p w14:paraId="4AFFEF1E">
      <w:pPr>
        <w:widowControl/>
        <w:spacing w:line="360" w:lineRule="auto"/>
        <w:ind w:firstLine="440" w:firstLineChars="200"/>
        <w:jc w:val="left"/>
        <w:rPr>
          <w:rFonts w:ascii="宋体" w:hAnsi="宋体" w:eastAsia="宋体" w:cs="宋体"/>
          <w:color w:val="auto"/>
          <w:sz w:val="20"/>
        </w:rPr>
      </w:pPr>
      <w:r>
        <w:rPr>
          <w:rFonts w:hint="eastAsia" w:ascii="宋体" w:hAnsi="宋体" w:eastAsia="宋体" w:cs="宋体"/>
          <w:color w:val="auto"/>
          <w:kern w:val="0"/>
          <w:sz w:val="22"/>
          <w:lang w:bidi="ar"/>
        </w:rPr>
        <w:t>2、磋商文件下载时间：2026年</w:t>
      </w:r>
      <w:r>
        <w:rPr>
          <w:rFonts w:hint="eastAsia" w:ascii="宋体" w:hAnsi="宋体" w:eastAsia="宋体" w:cs="宋体"/>
          <w:color w:val="auto"/>
          <w:kern w:val="0"/>
          <w:sz w:val="22"/>
          <w:lang w:val="en-US" w:eastAsia="zh-CN" w:bidi="ar"/>
        </w:rPr>
        <w:t>6</w:t>
      </w:r>
      <w:r>
        <w:rPr>
          <w:rFonts w:hint="eastAsia" w:ascii="宋体" w:hAnsi="宋体" w:eastAsia="宋体" w:cs="宋体"/>
          <w:color w:val="auto"/>
          <w:kern w:val="0"/>
          <w:sz w:val="22"/>
          <w:lang w:bidi="ar"/>
        </w:rPr>
        <w:t>月</w:t>
      </w:r>
      <w:r>
        <w:rPr>
          <w:rFonts w:hint="eastAsia" w:ascii="宋体" w:hAnsi="宋体" w:eastAsia="宋体" w:cs="宋体"/>
          <w:color w:val="auto"/>
          <w:kern w:val="0"/>
          <w:sz w:val="22"/>
          <w:lang w:val="en-US" w:eastAsia="zh-CN" w:bidi="ar"/>
        </w:rPr>
        <w:t>1</w:t>
      </w:r>
      <w:r>
        <w:rPr>
          <w:rFonts w:hint="eastAsia" w:ascii="宋体" w:hAnsi="宋体" w:eastAsia="宋体" w:cs="宋体"/>
          <w:color w:val="auto"/>
          <w:kern w:val="0"/>
          <w:sz w:val="22"/>
          <w:lang w:bidi="ar"/>
        </w:rPr>
        <w:t>日至2026年</w:t>
      </w:r>
      <w:r>
        <w:rPr>
          <w:rFonts w:hint="eastAsia" w:ascii="宋体" w:hAnsi="宋体" w:eastAsia="宋体" w:cs="宋体"/>
          <w:color w:val="auto"/>
          <w:kern w:val="0"/>
          <w:sz w:val="22"/>
          <w:lang w:val="en-US" w:eastAsia="zh-CN" w:bidi="ar"/>
        </w:rPr>
        <w:t>6</w:t>
      </w:r>
      <w:r>
        <w:rPr>
          <w:rFonts w:hint="eastAsia" w:ascii="宋体" w:hAnsi="宋体" w:eastAsia="宋体" w:cs="宋体"/>
          <w:color w:val="auto"/>
          <w:kern w:val="0"/>
          <w:sz w:val="22"/>
          <w:lang w:bidi="ar"/>
        </w:rPr>
        <w:t>月</w:t>
      </w:r>
      <w:r>
        <w:rPr>
          <w:rFonts w:hint="eastAsia" w:ascii="宋体" w:hAnsi="宋体" w:eastAsia="宋体" w:cs="宋体"/>
          <w:color w:val="auto"/>
          <w:kern w:val="0"/>
          <w:sz w:val="22"/>
          <w:lang w:val="en-US" w:eastAsia="zh-CN" w:bidi="ar"/>
        </w:rPr>
        <w:t>12</w:t>
      </w:r>
      <w:r>
        <w:rPr>
          <w:rFonts w:hint="eastAsia" w:ascii="宋体" w:hAnsi="宋体" w:eastAsia="宋体" w:cs="宋体"/>
          <w:color w:val="auto"/>
          <w:kern w:val="0"/>
          <w:sz w:val="22"/>
          <w:lang w:bidi="ar"/>
        </w:rPr>
        <w:t>日08时30分整（北京时间）。</w:t>
      </w:r>
    </w:p>
    <w:p w14:paraId="292AE55A">
      <w:pPr>
        <w:widowControl/>
        <w:wordWrap w:val="0"/>
        <w:spacing w:line="360" w:lineRule="auto"/>
        <w:ind w:firstLine="440" w:firstLineChars="200"/>
        <w:contextualSpacing/>
        <w:jc w:val="left"/>
        <w:rPr>
          <w:rFonts w:ascii="宋体" w:hAnsi="宋体" w:eastAsia="宋体" w:cs="宋体"/>
          <w:color w:val="auto"/>
          <w:sz w:val="20"/>
        </w:rPr>
      </w:pPr>
      <w:r>
        <w:rPr>
          <w:rFonts w:hint="eastAsia" w:ascii="宋体" w:hAnsi="宋体" w:eastAsia="宋体" w:cs="宋体"/>
          <w:color w:val="auto"/>
          <w:kern w:val="0"/>
          <w:sz w:val="22"/>
          <w:lang w:bidi="ar"/>
        </w:rPr>
        <w:t>3、本项目为不见面开标项目，开标当日，供应商无需到开标现场参加开标会议，供应商应当在磋商截止时间前，</w:t>
      </w:r>
      <w:r>
        <w:rPr>
          <w:rFonts w:hint="eastAsia" w:ascii="宋体" w:hAnsi="宋体" w:eastAsia="宋体" w:cs="宋体"/>
          <w:color w:val="auto"/>
          <w:kern w:val="0"/>
          <w:sz w:val="22"/>
          <w:lang w:eastAsia="zh-CN" w:bidi="ar"/>
        </w:rPr>
        <w:t>登录</w:t>
      </w:r>
      <w:r>
        <w:rPr>
          <w:rFonts w:hint="eastAsia" w:ascii="宋体" w:hAnsi="宋体" w:eastAsia="宋体" w:cs="宋体"/>
          <w:color w:val="auto"/>
          <w:kern w:val="0"/>
          <w:sz w:val="22"/>
          <w:lang w:bidi="ar"/>
        </w:rPr>
        <w:t>不见面开标大厅选择</w:t>
      </w:r>
      <w:r>
        <w:rPr>
          <w:rFonts w:hint="eastAsia" w:ascii="宋体" w:hAnsi="宋体" w:eastAsia="宋体" w:cs="宋体"/>
          <w:color w:val="auto"/>
          <w:kern w:val="0"/>
          <w:sz w:val="22"/>
          <w:lang w:eastAsia="zh-CN" w:bidi="ar"/>
        </w:rPr>
        <w:t>登录</w:t>
      </w:r>
      <w:r>
        <w:rPr>
          <w:rFonts w:hint="eastAsia" w:ascii="宋体" w:hAnsi="宋体" w:eastAsia="宋体" w:cs="宋体"/>
          <w:color w:val="auto"/>
          <w:kern w:val="0"/>
          <w:sz w:val="22"/>
          <w:lang w:bidi="ar"/>
        </w:rPr>
        <w:t>三门峡市公共资源电子招投标系统进行</w:t>
      </w:r>
      <w:r>
        <w:rPr>
          <w:rFonts w:hint="eastAsia" w:ascii="宋体" w:hAnsi="宋体" w:eastAsia="宋体" w:cs="宋体"/>
          <w:color w:val="auto"/>
          <w:kern w:val="0"/>
          <w:sz w:val="22"/>
          <w:lang w:eastAsia="zh-CN" w:bidi="ar"/>
        </w:rPr>
        <w:t>登录</w:t>
      </w:r>
      <w:r>
        <w:rPr>
          <w:rFonts w:hint="eastAsia" w:ascii="宋体" w:hAnsi="宋体" w:eastAsia="宋体" w:cs="宋体"/>
          <w:color w:val="auto"/>
          <w:kern w:val="0"/>
          <w:sz w:val="22"/>
          <w:lang w:bidi="ar"/>
        </w:rPr>
        <w:t>（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558EDC3C">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四、响应上传递交截止时间及地点：</w:t>
      </w:r>
    </w:p>
    <w:p w14:paraId="22A0FB5E">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1、截止时间：2026年月日8时30分（北京时间）</w:t>
      </w:r>
    </w:p>
    <w:p w14:paraId="2727D487">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2、地点：在三门峡市公共资源交易中心网上传加密响应文件</w:t>
      </w:r>
    </w:p>
    <w:p w14:paraId="520B7ABA">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五、磋商保证金：</w:t>
      </w:r>
    </w:p>
    <w:p w14:paraId="39518905">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按照《河南省财政厅关于优化政府采购营商环境有关问题的通知》（豫财购[2019]4号文）的要求本项目不再收取磋商保证金。</w:t>
      </w:r>
    </w:p>
    <w:p w14:paraId="3BA40042">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六、磋商时间和地点：</w:t>
      </w:r>
    </w:p>
    <w:p w14:paraId="40F438E5">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1、磋商时间：</w:t>
      </w:r>
      <w:r>
        <w:rPr>
          <w:rFonts w:hint="eastAsia" w:ascii="宋体" w:hAnsi="宋体" w:eastAsia="宋体" w:cs="宋体"/>
          <w:color w:val="auto"/>
          <w:sz w:val="22"/>
          <w:lang w:eastAsia="zh-CN"/>
        </w:rPr>
        <w:t>2026年6月12日08时30分</w:t>
      </w:r>
      <w:r>
        <w:rPr>
          <w:rFonts w:hint="eastAsia" w:ascii="宋体" w:hAnsi="宋体" w:eastAsia="宋体" w:cs="宋体"/>
          <w:color w:val="auto"/>
          <w:sz w:val="22"/>
        </w:rPr>
        <w:t>（北京时间）</w:t>
      </w:r>
    </w:p>
    <w:p w14:paraId="62E3A0AC">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2、磋商地点：三门峡市公共资源交易中心五楼开标区</w:t>
      </w:r>
    </w:p>
    <w:p w14:paraId="7CA1084E">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七、其他事项</w:t>
      </w:r>
    </w:p>
    <w:p w14:paraId="57F024D9">
      <w:pPr>
        <w:widowControl/>
        <w:spacing w:line="360" w:lineRule="auto"/>
        <w:ind w:firstLine="440" w:firstLineChars="200"/>
        <w:jc w:val="left"/>
        <w:rPr>
          <w:rFonts w:hint="eastAsia" w:ascii="宋体" w:hAnsi="宋体" w:eastAsia="宋体" w:cs="宋体"/>
          <w:color w:val="auto"/>
          <w:sz w:val="22"/>
          <w:lang w:eastAsia="zh-CN"/>
        </w:rPr>
      </w:pPr>
      <w:r>
        <w:rPr>
          <w:rFonts w:hint="eastAsia" w:ascii="宋体" w:hAnsi="宋体" w:eastAsia="宋体" w:cs="宋体"/>
          <w:color w:val="auto"/>
          <w:sz w:val="22"/>
        </w:rPr>
        <w:t>1、供应商应仔细阅读操作手册，在本公告中要求的截止时间前完成网上响应文件的上传递交等工作。因供应商操作不当等问题造成的无法下载磋商文件、无法投标等一切后果，由供应商自行承担</w:t>
      </w:r>
      <w:r>
        <w:rPr>
          <w:rFonts w:hint="eastAsia" w:ascii="宋体" w:hAnsi="宋体" w:eastAsia="宋体" w:cs="宋体"/>
          <w:color w:val="auto"/>
          <w:sz w:val="22"/>
          <w:lang w:eastAsia="zh-CN"/>
        </w:rPr>
        <w:t>。</w:t>
      </w:r>
    </w:p>
    <w:p w14:paraId="215B19B8">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2、本项目实行资格后审，根据优化营商环境的要求，评标时审查内容以响应文件为准：</w:t>
      </w:r>
    </w:p>
    <w:p w14:paraId="4DEC42B5">
      <w:pPr>
        <w:widowControl/>
        <w:numPr>
          <w:ilvl w:val="0"/>
          <w:numId w:val="3"/>
        </w:numPr>
        <w:spacing w:line="360" w:lineRule="auto"/>
        <w:ind w:left="0" w:firstLine="440" w:firstLineChars="200"/>
        <w:jc w:val="left"/>
        <w:rPr>
          <w:rFonts w:ascii="宋体" w:hAnsi="宋体" w:eastAsia="宋体" w:cs="宋体"/>
          <w:color w:val="auto"/>
          <w:sz w:val="22"/>
        </w:rPr>
      </w:pPr>
      <w:r>
        <w:rPr>
          <w:rFonts w:hint="eastAsia" w:ascii="宋体" w:hAnsi="宋体" w:eastAsia="宋体" w:cs="宋体"/>
          <w:color w:val="auto"/>
          <w:sz w:val="22"/>
        </w:rPr>
        <w:t>资格评（预）审部分：资格评（预）以响应文件为准，其上传资料真实性由供应商自行承担。</w:t>
      </w:r>
    </w:p>
    <w:p w14:paraId="6FCB0007">
      <w:pPr>
        <w:widowControl/>
        <w:numPr>
          <w:ilvl w:val="0"/>
          <w:numId w:val="3"/>
        </w:numPr>
        <w:spacing w:line="360" w:lineRule="auto"/>
        <w:ind w:left="0" w:firstLine="440" w:firstLineChars="200"/>
        <w:jc w:val="left"/>
        <w:rPr>
          <w:rFonts w:ascii="宋体" w:hAnsi="宋体" w:eastAsia="宋体" w:cs="宋体"/>
          <w:color w:val="auto"/>
          <w:sz w:val="22"/>
        </w:rPr>
      </w:pPr>
      <w:r>
        <w:rPr>
          <w:rFonts w:hint="eastAsia" w:ascii="宋体" w:hAnsi="宋体" w:eastAsia="宋体" w:cs="宋体"/>
          <w:color w:val="auto"/>
          <w:sz w:val="22"/>
        </w:rPr>
        <w:t>评标打分部分：评标打分部分仍按照100分制原则进行，涉及到资格审查、企业荣誉、人员业绩、企业业绩等计分部分时，以投标单位自行上传到响应文件中的相应内容为准。</w:t>
      </w:r>
    </w:p>
    <w:p w14:paraId="7244440C">
      <w:pPr>
        <w:widowControl/>
        <w:numPr>
          <w:ilvl w:val="0"/>
          <w:numId w:val="3"/>
        </w:numPr>
        <w:spacing w:line="360" w:lineRule="auto"/>
        <w:ind w:left="0" w:firstLine="440" w:firstLineChars="200"/>
        <w:jc w:val="left"/>
        <w:rPr>
          <w:rFonts w:ascii="宋体" w:hAnsi="宋体" w:eastAsia="宋体" w:cs="宋体"/>
          <w:color w:val="auto"/>
          <w:sz w:val="22"/>
        </w:rPr>
      </w:pPr>
      <w:r>
        <w:rPr>
          <w:rFonts w:hint="eastAsia" w:ascii="宋体" w:hAnsi="宋体" w:eastAsia="宋体" w:cs="宋体"/>
          <w:color w:val="auto"/>
          <w:sz w:val="22"/>
        </w:rPr>
        <w:t xml:space="preserve">响应文件编制部分：在招标文件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 </w:t>
      </w:r>
    </w:p>
    <w:p w14:paraId="7B6E7137">
      <w:pPr>
        <w:widowControl/>
        <w:numPr>
          <w:ilvl w:val="0"/>
          <w:numId w:val="3"/>
        </w:numPr>
        <w:spacing w:line="360" w:lineRule="auto"/>
        <w:ind w:left="0" w:firstLine="440" w:firstLineChars="200"/>
        <w:jc w:val="left"/>
        <w:rPr>
          <w:rFonts w:ascii="宋体" w:hAnsi="宋体" w:eastAsia="宋体" w:cs="宋体"/>
          <w:color w:val="auto"/>
          <w:sz w:val="22"/>
        </w:rPr>
      </w:pPr>
      <w:r>
        <w:rPr>
          <w:rFonts w:hint="eastAsia" w:ascii="宋体" w:hAnsi="宋体" w:eastAsia="宋体" w:cs="宋体"/>
          <w:color w:val="auto"/>
          <w:sz w:val="22"/>
        </w:rPr>
        <w:t>供应商递交的响应文件不论中标与否均不予退还。</w:t>
      </w:r>
    </w:p>
    <w:p w14:paraId="27F46046">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八、发布磋商公告的媒介：</w:t>
      </w:r>
    </w:p>
    <w:p w14:paraId="691222BB">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本次公告同时在</w:t>
      </w:r>
      <w:r>
        <w:rPr>
          <w:rFonts w:hint="eastAsia" w:ascii="宋体" w:hAnsi="宋体" w:eastAsia="宋体" w:cs="宋体"/>
          <w:color w:val="auto"/>
          <w:sz w:val="22"/>
          <w:lang w:bidi="ar"/>
        </w:rPr>
        <w:t>《中国采购与招标网》、</w:t>
      </w:r>
      <w:r>
        <w:rPr>
          <w:rFonts w:hint="eastAsia" w:ascii="宋体" w:hAnsi="宋体" w:eastAsia="宋体" w:cs="宋体"/>
          <w:color w:val="auto"/>
          <w:sz w:val="22"/>
        </w:rPr>
        <w:t>《河南省政府采购网》和《三门峡市公共资源交易中心网》发布。</w:t>
      </w:r>
    </w:p>
    <w:p w14:paraId="20CC8306">
      <w:pPr>
        <w:spacing w:line="440" w:lineRule="exact"/>
        <w:ind w:firstLine="442" w:firstLineChars="200"/>
        <w:rPr>
          <w:rFonts w:ascii="宋体" w:hAnsi="宋体" w:eastAsia="宋体" w:cs="宋体"/>
          <w:b/>
          <w:color w:val="auto"/>
          <w:sz w:val="22"/>
          <w:szCs w:val="24"/>
        </w:rPr>
      </w:pPr>
      <w:r>
        <w:rPr>
          <w:rFonts w:hint="eastAsia" w:ascii="宋体" w:hAnsi="宋体" w:eastAsia="宋体" w:cs="宋体"/>
          <w:b/>
          <w:color w:val="auto"/>
          <w:sz w:val="22"/>
          <w:szCs w:val="24"/>
        </w:rPr>
        <w:t>九、联系方式：</w:t>
      </w:r>
    </w:p>
    <w:p w14:paraId="505D16BC">
      <w:pPr>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1、采购人：三门峡市城乡一体化示范区应急救援保障中心</w:t>
      </w:r>
    </w:p>
    <w:p w14:paraId="30111EC8">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联系地址：三门峡市城乡一体化示范区圆通路中段管委会405室</w:t>
      </w:r>
    </w:p>
    <w:p w14:paraId="051742BD">
      <w:pPr>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联系人：荆女士</w:t>
      </w:r>
    </w:p>
    <w:p w14:paraId="5A17C099">
      <w:pPr>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联系电话：17739716137</w:t>
      </w:r>
    </w:p>
    <w:p w14:paraId="1BCCE04D">
      <w:pPr>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2、采购代理机构：中鼎誉润工程咨询有限公司</w:t>
      </w:r>
    </w:p>
    <w:p w14:paraId="069334F4">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联系地址：三门峡市五原西路商会大厦B座1005室</w:t>
      </w:r>
    </w:p>
    <w:p w14:paraId="7610FC60">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联系人：王先生</w:t>
      </w:r>
    </w:p>
    <w:p w14:paraId="5E556049">
      <w:pPr>
        <w:widowControl/>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联系电话：</w:t>
      </w:r>
      <w:r>
        <w:rPr>
          <w:rFonts w:ascii="宋体" w:hAnsi="宋体" w:eastAsia="宋体" w:cs="宋体"/>
          <w:color w:val="auto"/>
          <w:sz w:val="22"/>
        </w:rPr>
        <w:t>0398-2351288</w:t>
      </w:r>
    </w:p>
    <w:p w14:paraId="554FE6FD">
      <w:pPr>
        <w:spacing w:line="360" w:lineRule="auto"/>
        <w:ind w:firstLine="440" w:firstLineChars="200"/>
        <w:jc w:val="left"/>
        <w:rPr>
          <w:rFonts w:ascii="宋体" w:hAnsi="宋体" w:eastAsia="宋体" w:cs="宋体"/>
          <w:color w:val="auto"/>
          <w:sz w:val="22"/>
        </w:rPr>
      </w:pPr>
      <w:r>
        <w:rPr>
          <w:rFonts w:hint="eastAsia" w:ascii="宋体" w:hAnsi="宋体" w:eastAsia="宋体" w:cs="宋体"/>
          <w:color w:val="auto"/>
          <w:sz w:val="22"/>
        </w:rPr>
        <w:t>3、监督单位：三门峡市城乡一体化示范区政府采购监督管理科</w:t>
      </w:r>
    </w:p>
    <w:p w14:paraId="450B0C4C">
      <w:pPr>
        <w:spacing w:line="360" w:lineRule="auto"/>
        <w:ind w:firstLine="440" w:firstLineChars="200"/>
        <w:jc w:val="left"/>
        <w:rPr>
          <w:rFonts w:ascii="宋体" w:hAnsi="宋体" w:eastAsia="宋体" w:cs="宋体"/>
          <w:color w:val="auto"/>
          <w:sz w:val="22"/>
        </w:rPr>
      </w:pPr>
      <w:r>
        <w:rPr>
          <w:rFonts w:ascii="宋体" w:hAnsi="宋体" w:eastAsia="宋体" w:cs="宋体"/>
          <w:color w:val="auto"/>
          <w:sz w:val="22"/>
        </w:rPr>
        <w:t>联系电话：0398-2751080</w:t>
      </w:r>
    </w:p>
    <w:p w14:paraId="49EC5F80">
      <w:pPr>
        <w:spacing w:line="360" w:lineRule="auto"/>
        <w:ind w:firstLine="440" w:firstLineChars="200"/>
        <w:jc w:val="left"/>
        <w:rPr>
          <w:rFonts w:ascii="宋体" w:hAnsi="宋体" w:eastAsia="宋体" w:cs="宋体"/>
          <w:color w:val="auto"/>
          <w:sz w:val="22"/>
        </w:rPr>
      </w:pPr>
    </w:p>
    <w:p w14:paraId="2404A688">
      <w:pPr>
        <w:widowControl/>
        <w:spacing w:line="360" w:lineRule="auto"/>
        <w:ind w:firstLine="440" w:firstLineChars="200"/>
        <w:jc w:val="left"/>
        <w:rPr>
          <w:rFonts w:ascii="宋体" w:hAnsi="宋体" w:eastAsia="宋体" w:cs="宋体"/>
          <w:color w:val="auto"/>
          <w:sz w:val="22"/>
        </w:rPr>
      </w:pPr>
    </w:p>
    <w:p w14:paraId="1DF34354">
      <w:pPr>
        <w:widowControl/>
        <w:spacing w:line="360" w:lineRule="auto"/>
        <w:ind w:firstLine="440" w:firstLineChars="200"/>
        <w:jc w:val="left"/>
        <w:rPr>
          <w:rFonts w:ascii="宋体" w:hAnsi="宋体" w:eastAsia="宋体" w:cs="宋体"/>
          <w:color w:val="auto"/>
          <w:sz w:val="22"/>
        </w:rPr>
      </w:pPr>
    </w:p>
    <w:p w14:paraId="28014586">
      <w:pPr>
        <w:widowControl/>
        <w:spacing w:line="360" w:lineRule="auto"/>
        <w:ind w:firstLine="440" w:firstLineChars="200"/>
        <w:jc w:val="left"/>
        <w:rPr>
          <w:rFonts w:ascii="宋体" w:hAnsi="宋体" w:eastAsia="宋体" w:cs="宋体"/>
          <w:color w:val="auto"/>
          <w:sz w:val="22"/>
        </w:rPr>
      </w:pPr>
    </w:p>
    <w:p w14:paraId="4561E364">
      <w:pPr>
        <w:widowControl/>
        <w:spacing w:line="360" w:lineRule="auto"/>
        <w:ind w:firstLine="440" w:firstLineChars="200"/>
        <w:jc w:val="left"/>
        <w:rPr>
          <w:rFonts w:ascii="宋体" w:hAnsi="宋体" w:eastAsia="宋体" w:cs="宋体"/>
          <w:color w:val="auto"/>
          <w:sz w:val="22"/>
        </w:rPr>
      </w:pPr>
    </w:p>
    <w:p w14:paraId="135D2EE7">
      <w:pPr>
        <w:widowControl/>
        <w:jc w:val="left"/>
        <w:rPr>
          <w:rFonts w:ascii="宋体" w:hAnsi="宋体" w:eastAsia="宋体" w:cs="宋体"/>
          <w:b/>
          <w:bCs/>
          <w:color w:val="auto"/>
          <w:spacing w:val="2"/>
          <w:kern w:val="0"/>
          <w:sz w:val="36"/>
          <w:szCs w:val="36"/>
        </w:rPr>
      </w:pPr>
      <w:bookmarkStart w:id="2" w:name="_Toc109893763"/>
      <w:r>
        <w:rPr>
          <w:rFonts w:ascii="宋体" w:hAnsi="宋体" w:eastAsia="宋体" w:cs="宋体"/>
          <w:b/>
          <w:bCs/>
          <w:color w:val="auto"/>
          <w:spacing w:val="2"/>
          <w:kern w:val="0"/>
          <w:sz w:val="36"/>
          <w:szCs w:val="36"/>
        </w:rPr>
        <w:br w:type="page"/>
      </w:r>
    </w:p>
    <w:p w14:paraId="08A44BF6">
      <w:pPr>
        <w:numPr>
          <w:ilvl w:val="0"/>
          <w:numId w:val="1"/>
        </w:numPr>
        <w:tabs>
          <w:tab w:val="left" w:pos="1456"/>
        </w:tabs>
        <w:autoSpaceDE w:val="0"/>
        <w:autoSpaceDN w:val="0"/>
        <w:spacing w:line="360" w:lineRule="auto"/>
        <w:ind w:right="30"/>
        <w:jc w:val="left"/>
        <w:outlineLvl w:val="0"/>
        <w:rPr>
          <w:rFonts w:ascii="宋体" w:hAnsi="宋体" w:eastAsia="宋体" w:cs="宋体"/>
          <w:b/>
          <w:bCs/>
          <w:color w:val="auto"/>
          <w:spacing w:val="2"/>
          <w:kern w:val="0"/>
          <w:sz w:val="36"/>
          <w:szCs w:val="36"/>
        </w:rPr>
      </w:pPr>
      <w:bookmarkStart w:id="3" w:name="_Toc27150"/>
      <w:r>
        <w:rPr>
          <w:rFonts w:hint="eastAsia" w:ascii="宋体" w:hAnsi="宋体" w:eastAsia="宋体" w:cs="宋体"/>
          <w:b/>
          <w:bCs/>
          <w:color w:val="auto"/>
          <w:spacing w:val="2"/>
          <w:kern w:val="0"/>
          <w:sz w:val="36"/>
          <w:szCs w:val="36"/>
        </w:rPr>
        <w:t>供应商须知及前附表</w:t>
      </w:r>
      <w:bookmarkEnd w:id="2"/>
      <w:bookmarkEnd w:id="3"/>
      <w:bookmarkStart w:id="4" w:name="_Toc240169682"/>
    </w:p>
    <w:p w14:paraId="447C0C59">
      <w:pPr>
        <w:spacing w:line="360" w:lineRule="auto"/>
        <w:jc w:val="center"/>
        <w:rPr>
          <w:rFonts w:ascii="宋体" w:hAnsi="宋体" w:eastAsia="宋体" w:cs="宋体"/>
          <w:b/>
          <w:color w:val="auto"/>
          <w:sz w:val="32"/>
          <w:szCs w:val="36"/>
        </w:rPr>
      </w:pPr>
      <w:r>
        <w:rPr>
          <w:rFonts w:hint="eastAsia" w:ascii="宋体" w:hAnsi="宋体" w:eastAsia="宋体" w:cs="宋体"/>
          <w:b/>
          <w:color w:val="auto"/>
          <w:sz w:val="22"/>
        </w:rPr>
        <w:t>供应商须知前附表</w:t>
      </w:r>
      <w:bookmarkEnd w:id="4"/>
    </w:p>
    <w:tbl>
      <w:tblPr>
        <w:tblStyle w:val="12"/>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99"/>
        <w:gridCol w:w="6816"/>
      </w:tblGrid>
      <w:tr w14:paraId="53FC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08" w:type="dxa"/>
            <w:vAlign w:val="center"/>
          </w:tcPr>
          <w:p w14:paraId="2EF70F6B">
            <w:pPr>
              <w:tabs>
                <w:tab w:val="left" w:pos="1540"/>
                <w:tab w:val="left" w:pos="1960"/>
                <w:tab w:val="left" w:pos="2380"/>
              </w:tabs>
              <w:autoSpaceDE w:val="0"/>
              <w:autoSpaceDN w:val="0"/>
              <w:adjustRightInd w:val="0"/>
              <w:spacing w:line="460" w:lineRule="exact"/>
              <w:rPr>
                <w:rFonts w:ascii="宋体" w:hAnsi="宋体" w:eastAsia="宋体" w:cs="宋体"/>
                <w:b/>
                <w:color w:val="auto"/>
                <w:sz w:val="22"/>
                <w:szCs w:val="24"/>
              </w:rPr>
            </w:pPr>
            <w:r>
              <w:rPr>
                <w:rFonts w:hint="eastAsia" w:ascii="宋体" w:hAnsi="宋体" w:eastAsia="宋体" w:cs="宋体"/>
                <w:b/>
                <w:color w:val="auto"/>
                <w:sz w:val="22"/>
                <w:szCs w:val="24"/>
              </w:rPr>
              <w:t>条款号</w:t>
            </w:r>
          </w:p>
        </w:tc>
        <w:tc>
          <w:tcPr>
            <w:tcW w:w="1799" w:type="dxa"/>
            <w:vAlign w:val="center"/>
          </w:tcPr>
          <w:p w14:paraId="68ABD519">
            <w:pPr>
              <w:tabs>
                <w:tab w:val="left" w:pos="1540"/>
                <w:tab w:val="left" w:pos="1960"/>
                <w:tab w:val="left" w:pos="2380"/>
              </w:tabs>
              <w:autoSpaceDE w:val="0"/>
              <w:autoSpaceDN w:val="0"/>
              <w:adjustRightInd w:val="0"/>
              <w:spacing w:line="460" w:lineRule="exact"/>
              <w:rPr>
                <w:rFonts w:ascii="宋体" w:hAnsi="宋体" w:eastAsia="宋体" w:cs="宋体"/>
                <w:b/>
                <w:color w:val="auto"/>
                <w:sz w:val="22"/>
                <w:szCs w:val="24"/>
              </w:rPr>
            </w:pPr>
            <w:r>
              <w:rPr>
                <w:rFonts w:hint="eastAsia" w:ascii="宋体" w:hAnsi="宋体" w:eastAsia="宋体" w:cs="宋体"/>
                <w:b/>
                <w:color w:val="auto"/>
                <w:sz w:val="22"/>
                <w:szCs w:val="24"/>
              </w:rPr>
              <w:t>条款名称</w:t>
            </w:r>
          </w:p>
        </w:tc>
        <w:tc>
          <w:tcPr>
            <w:tcW w:w="6816" w:type="dxa"/>
            <w:vAlign w:val="center"/>
          </w:tcPr>
          <w:p w14:paraId="54CC000F">
            <w:pPr>
              <w:tabs>
                <w:tab w:val="left" w:pos="1540"/>
                <w:tab w:val="left" w:pos="1960"/>
                <w:tab w:val="left" w:pos="2380"/>
              </w:tabs>
              <w:autoSpaceDE w:val="0"/>
              <w:autoSpaceDN w:val="0"/>
              <w:adjustRightInd w:val="0"/>
              <w:spacing w:line="460" w:lineRule="exact"/>
              <w:rPr>
                <w:rFonts w:ascii="宋体" w:hAnsi="宋体" w:eastAsia="宋体" w:cs="宋体"/>
                <w:b/>
                <w:color w:val="auto"/>
                <w:sz w:val="22"/>
                <w:szCs w:val="24"/>
              </w:rPr>
            </w:pPr>
            <w:r>
              <w:rPr>
                <w:rFonts w:hint="eastAsia" w:ascii="宋体" w:hAnsi="宋体" w:eastAsia="宋体" w:cs="宋体"/>
                <w:b/>
                <w:color w:val="auto"/>
                <w:sz w:val="22"/>
                <w:szCs w:val="24"/>
              </w:rPr>
              <w:t>编列内容</w:t>
            </w:r>
          </w:p>
        </w:tc>
      </w:tr>
      <w:tr w14:paraId="5D20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restart"/>
            <w:vAlign w:val="center"/>
          </w:tcPr>
          <w:p w14:paraId="41D4C135">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1.1</w:t>
            </w:r>
          </w:p>
        </w:tc>
        <w:tc>
          <w:tcPr>
            <w:tcW w:w="1799" w:type="dxa"/>
            <w:vMerge w:val="restart"/>
            <w:vAlign w:val="center"/>
          </w:tcPr>
          <w:p w14:paraId="3915097E">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采购人</w:t>
            </w:r>
          </w:p>
        </w:tc>
        <w:tc>
          <w:tcPr>
            <w:tcW w:w="6816" w:type="dxa"/>
            <w:vAlign w:val="center"/>
          </w:tcPr>
          <w:p w14:paraId="009A98F6">
            <w:pPr>
              <w:widowControl/>
              <w:spacing w:line="460" w:lineRule="exact"/>
              <w:jc w:val="left"/>
              <w:rPr>
                <w:rFonts w:ascii="宋体" w:hAnsi="宋体" w:eastAsia="宋体" w:cs="宋体"/>
                <w:color w:val="auto"/>
                <w:kern w:val="0"/>
                <w:sz w:val="22"/>
                <w:szCs w:val="24"/>
              </w:rPr>
            </w:pPr>
            <w:r>
              <w:rPr>
                <w:rFonts w:hint="eastAsia" w:ascii="宋体" w:hAnsi="宋体" w:eastAsia="宋体" w:cs="宋体"/>
                <w:bCs/>
                <w:color w:val="auto"/>
                <w:sz w:val="22"/>
                <w:szCs w:val="24"/>
              </w:rPr>
              <w:t>名    称：</w:t>
            </w:r>
            <w:r>
              <w:rPr>
                <w:rFonts w:hint="eastAsia" w:ascii="宋体" w:hAnsi="宋体" w:eastAsia="宋体" w:cs="宋体"/>
                <w:color w:val="auto"/>
                <w:sz w:val="22"/>
                <w:szCs w:val="24"/>
              </w:rPr>
              <w:t>三门峡市城乡一体化示范区应急救援保障中心</w:t>
            </w:r>
          </w:p>
        </w:tc>
      </w:tr>
      <w:tr w14:paraId="21FB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53CC9216">
            <w:pPr>
              <w:autoSpaceDE w:val="0"/>
              <w:autoSpaceDN w:val="0"/>
              <w:adjustRightInd w:val="0"/>
              <w:spacing w:line="460" w:lineRule="exact"/>
              <w:rPr>
                <w:rFonts w:ascii="宋体" w:hAnsi="宋体" w:eastAsia="宋体" w:cs="宋体"/>
                <w:color w:val="auto"/>
                <w:sz w:val="22"/>
                <w:szCs w:val="24"/>
              </w:rPr>
            </w:pPr>
          </w:p>
        </w:tc>
        <w:tc>
          <w:tcPr>
            <w:tcW w:w="1799" w:type="dxa"/>
            <w:vMerge w:val="continue"/>
            <w:vAlign w:val="center"/>
          </w:tcPr>
          <w:p w14:paraId="5805AE59">
            <w:pPr>
              <w:widowControl/>
              <w:spacing w:line="460" w:lineRule="exact"/>
              <w:rPr>
                <w:rFonts w:ascii="宋体" w:hAnsi="宋体" w:eastAsia="宋体" w:cs="宋体"/>
                <w:bCs/>
                <w:color w:val="auto"/>
                <w:sz w:val="22"/>
                <w:szCs w:val="24"/>
              </w:rPr>
            </w:pPr>
          </w:p>
        </w:tc>
        <w:tc>
          <w:tcPr>
            <w:tcW w:w="6816" w:type="dxa"/>
            <w:vAlign w:val="center"/>
          </w:tcPr>
          <w:p w14:paraId="302DB61E">
            <w:pPr>
              <w:widowControl/>
              <w:spacing w:line="460" w:lineRule="exact"/>
              <w:rPr>
                <w:rFonts w:ascii="宋体" w:hAnsi="宋体" w:eastAsia="宋体" w:cs="宋体"/>
                <w:bCs/>
                <w:color w:val="auto"/>
                <w:sz w:val="22"/>
                <w:szCs w:val="24"/>
              </w:rPr>
            </w:pPr>
            <w:r>
              <w:rPr>
                <w:rFonts w:hint="eastAsia" w:ascii="宋体" w:hAnsi="宋体" w:eastAsia="宋体" w:cs="宋体"/>
                <w:color w:val="auto"/>
                <w:sz w:val="22"/>
              </w:rPr>
              <w:t>联系地址：三门峡市城乡一体化示范区圆通路中段管委会405室</w:t>
            </w:r>
          </w:p>
        </w:tc>
      </w:tr>
      <w:tr w14:paraId="001F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2558B39D">
            <w:pPr>
              <w:autoSpaceDE w:val="0"/>
              <w:autoSpaceDN w:val="0"/>
              <w:adjustRightInd w:val="0"/>
              <w:spacing w:line="460" w:lineRule="exact"/>
              <w:rPr>
                <w:rFonts w:ascii="宋体" w:hAnsi="宋体" w:eastAsia="宋体" w:cs="宋体"/>
                <w:color w:val="auto"/>
                <w:sz w:val="22"/>
                <w:szCs w:val="24"/>
              </w:rPr>
            </w:pPr>
          </w:p>
        </w:tc>
        <w:tc>
          <w:tcPr>
            <w:tcW w:w="1799" w:type="dxa"/>
            <w:vMerge w:val="continue"/>
            <w:vAlign w:val="center"/>
          </w:tcPr>
          <w:p w14:paraId="61AA285F">
            <w:pPr>
              <w:widowControl/>
              <w:spacing w:line="460" w:lineRule="exact"/>
              <w:rPr>
                <w:rFonts w:ascii="宋体" w:hAnsi="宋体" w:eastAsia="宋体" w:cs="宋体"/>
                <w:bCs/>
                <w:color w:val="auto"/>
                <w:sz w:val="22"/>
                <w:szCs w:val="24"/>
              </w:rPr>
            </w:pPr>
          </w:p>
        </w:tc>
        <w:tc>
          <w:tcPr>
            <w:tcW w:w="6816" w:type="dxa"/>
            <w:vAlign w:val="center"/>
          </w:tcPr>
          <w:p w14:paraId="14EB9CAF">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联 系 人：</w:t>
            </w:r>
            <w:r>
              <w:rPr>
                <w:rFonts w:hint="eastAsia" w:ascii="宋体" w:hAnsi="宋体" w:eastAsia="宋体" w:cs="宋体"/>
                <w:color w:val="auto"/>
                <w:sz w:val="22"/>
              </w:rPr>
              <w:t>荆女士</w:t>
            </w:r>
          </w:p>
        </w:tc>
      </w:tr>
      <w:tr w14:paraId="01C9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3FAF27E6">
            <w:pPr>
              <w:autoSpaceDE w:val="0"/>
              <w:autoSpaceDN w:val="0"/>
              <w:adjustRightInd w:val="0"/>
              <w:spacing w:line="460" w:lineRule="exact"/>
              <w:rPr>
                <w:rFonts w:ascii="宋体" w:hAnsi="宋体" w:eastAsia="宋体" w:cs="宋体"/>
                <w:color w:val="auto"/>
                <w:sz w:val="22"/>
                <w:szCs w:val="24"/>
              </w:rPr>
            </w:pPr>
          </w:p>
        </w:tc>
        <w:tc>
          <w:tcPr>
            <w:tcW w:w="1799" w:type="dxa"/>
            <w:vMerge w:val="continue"/>
            <w:vAlign w:val="center"/>
          </w:tcPr>
          <w:p w14:paraId="57082224">
            <w:pPr>
              <w:widowControl/>
              <w:spacing w:line="460" w:lineRule="exact"/>
              <w:rPr>
                <w:rFonts w:ascii="宋体" w:hAnsi="宋体" w:eastAsia="宋体" w:cs="宋体"/>
                <w:bCs/>
                <w:color w:val="auto"/>
                <w:sz w:val="22"/>
                <w:szCs w:val="24"/>
              </w:rPr>
            </w:pPr>
          </w:p>
        </w:tc>
        <w:tc>
          <w:tcPr>
            <w:tcW w:w="6816" w:type="dxa"/>
            <w:vAlign w:val="center"/>
          </w:tcPr>
          <w:p w14:paraId="64343E96">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联系电话：</w:t>
            </w:r>
            <w:r>
              <w:rPr>
                <w:rFonts w:hint="eastAsia" w:ascii="宋体" w:hAnsi="宋体" w:eastAsia="宋体" w:cs="宋体"/>
                <w:color w:val="auto"/>
                <w:sz w:val="22"/>
              </w:rPr>
              <w:t>17739716137</w:t>
            </w:r>
          </w:p>
        </w:tc>
      </w:tr>
      <w:tr w14:paraId="1B04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restart"/>
            <w:vAlign w:val="center"/>
          </w:tcPr>
          <w:p w14:paraId="75FB4102">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1.2</w:t>
            </w:r>
          </w:p>
        </w:tc>
        <w:tc>
          <w:tcPr>
            <w:tcW w:w="1799" w:type="dxa"/>
            <w:vMerge w:val="restart"/>
            <w:vAlign w:val="center"/>
          </w:tcPr>
          <w:p w14:paraId="4FA1C70E">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采购代理机构</w:t>
            </w:r>
          </w:p>
        </w:tc>
        <w:tc>
          <w:tcPr>
            <w:tcW w:w="6816" w:type="dxa"/>
            <w:vAlign w:val="center"/>
          </w:tcPr>
          <w:p w14:paraId="2208DD90">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名    称:中鼎誉润工程咨询有限公司</w:t>
            </w:r>
          </w:p>
        </w:tc>
      </w:tr>
      <w:tr w14:paraId="5C28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4D5A0021">
            <w:pPr>
              <w:autoSpaceDE w:val="0"/>
              <w:autoSpaceDN w:val="0"/>
              <w:adjustRightInd w:val="0"/>
              <w:spacing w:line="460" w:lineRule="exact"/>
              <w:rPr>
                <w:rFonts w:ascii="宋体" w:hAnsi="宋体" w:eastAsia="宋体" w:cs="宋体"/>
                <w:color w:val="auto"/>
                <w:sz w:val="22"/>
                <w:szCs w:val="24"/>
              </w:rPr>
            </w:pPr>
          </w:p>
        </w:tc>
        <w:tc>
          <w:tcPr>
            <w:tcW w:w="1799" w:type="dxa"/>
            <w:vMerge w:val="continue"/>
            <w:vAlign w:val="center"/>
          </w:tcPr>
          <w:p w14:paraId="1ACA600C">
            <w:pPr>
              <w:widowControl/>
              <w:spacing w:line="460" w:lineRule="exact"/>
              <w:rPr>
                <w:rFonts w:ascii="宋体" w:hAnsi="宋体" w:eastAsia="宋体" w:cs="宋体"/>
                <w:bCs/>
                <w:color w:val="auto"/>
                <w:sz w:val="22"/>
                <w:szCs w:val="24"/>
              </w:rPr>
            </w:pPr>
          </w:p>
        </w:tc>
        <w:tc>
          <w:tcPr>
            <w:tcW w:w="6816" w:type="dxa"/>
            <w:vAlign w:val="center"/>
          </w:tcPr>
          <w:p w14:paraId="0E3AA5C2">
            <w:pPr>
              <w:widowControl/>
              <w:spacing w:line="360" w:lineRule="auto"/>
              <w:jc w:val="left"/>
              <w:rPr>
                <w:rFonts w:ascii="宋体" w:hAnsi="宋体" w:eastAsia="宋体" w:cs="宋体"/>
                <w:bCs/>
                <w:color w:val="auto"/>
                <w:sz w:val="22"/>
                <w:szCs w:val="24"/>
              </w:rPr>
            </w:pPr>
            <w:r>
              <w:rPr>
                <w:rFonts w:hint="eastAsia" w:ascii="宋体" w:hAnsi="宋体" w:eastAsia="宋体" w:cs="宋体"/>
                <w:color w:val="auto"/>
                <w:sz w:val="22"/>
              </w:rPr>
              <w:t>联系地址：三门峡市五原西路商会大厦B座1005室</w:t>
            </w:r>
          </w:p>
        </w:tc>
      </w:tr>
      <w:tr w14:paraId="5330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7F86AEB5">
            <w:pPr>
              <w:autoSpaceDE w:val="0"/>
              <w:autoSpaceDN w:val="0"/>
              <w:adjustRightInd w:val="0"/>
              <w:spacing w:line="460" w:lineRule="exact"/>
              <w:rPr>
                <w:rFonts w:ascii="宋体" w:hAnsi="宋体" w:eastAsia="宋体" w:cs="宋体"/>
                <w:color w:val="auto"/>
                <w:sz w:val="22"/>
                <w:szCs w:val="24"/>
              </w:rPr>
            </w:pPr>
          </w:p>
        </w:tc>
        <w:tc>
          <w:tcPr>
            <w:tcW w:w="1799" w:type="dxa"/>
            <w:vMerge w:val="continue"/>
            <w:vAlign w:val="center"/>
          </w:tcPr>
          <w:p w14:paraId="12582BB0">
            <w:pPr>
              <w:widowControl/>
              <w:spacing w:line="460" w:lineRule="exact"/>
              <w:rPr>
                <w:rFonts w:ascii="宋体" w:hAnsi="宋体" w:eastAsia="宋体" w:cs="宋体"/>
                <w:bCs/>
                <w:color w:val="auto"/>
                <w:sz w:val="22"/>
                <w:szCs w:val="24"/>
              </w:rPr>
            </w:pPr>
          </w:p>
        </w:tc>
        <w:tc>
          <w:tcPr>
            <w:tcW w:w="6816" w:type="dxa"/>
            <w:vAlign w:val="center"/>
          </w:tcPr>
          <w:p w14:paraId="11994DB6">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联 系 人:</w:t>
            </w:r>
            <w:r>
              <w:rPr>
                <w:rFonts w:hint="eastAsia" w:ascii="宋体" w:hAnsi="宋体" w:eastAsia="宋体" w:cs="宋体"/>
                <w:color w:val="auto"/>
                <w:sz w:val="22"/>
              </w:rPr>
              <w:t xml:space="preserve"> 王先生</w:t>
            </w:r>
          </w:p>
        </w:tc>
      </w:tr>
      <w:tr w14:paraId="007B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251ADD05">
            <w:pPr>
              <w:autoSpaceDE w:val="0"/>
              <w:autoSpaceDN w:val="0"/>
              <w:adjustRightInd w:val="0"/>
              <w:spacing w:line="460" w:lineRule="exact"/>
              <w:rPr>
                <w:rFonts w:ascii="宋体" w:hAnsi="宋体" w:eastAsia="宋体" w:cs="宋体"/>
                <w:color w:val="auto"/>
                <w:sz w:val="22"/>
                <w:szCs w:val="24"/>
              </w:rPr>
            </w:pPr>
          </w:p>
        </w:tc>
        <w:tc>
          <w:tcPr>
            <w:tcW w:w="1799" w:type="dxa"/>
            <w:vMerge w:val="continue"/>
            <w:vAlign w:val="center"/>
          </w:tcPr>
          <w:p w14:paraId="1EB9D303">
            <w:pPr>
              <w:widowControl/>
              <w:spacing w:line="460" w:lineRule="exact"/>
              <w:rPr>
                <w:rFonts w:ascii="宋体" w:hAnsi="宋体" w:eastAsia="宋体" w:cs="宋体"/>
                <w:bCs/>
                <w:color w:val="auto"/>
                <w:sz w:val="22"/>
                <w:szCs w:val="24"/>
              </w:rPr>
            </w:pPr>
          </w:p>
        </w:tc>
        <w:tc>
          <w:tcPr>
            <w:tcW w:w="6816" w:type="dxa"/>
            <w:vAlign w:val="center"/>
          </w:tcPr>
          <w:p w14:paraId="5E453D6A">
            <w:pPr>
              <w:widowControl/>
              <w:spacing w:line="460" w:lineRule="exact"/>
              <w:rPr>
                <w:rFonts w:ascii="宋体" w:hAnsi="宋体" w:eastAsia="宋体" w:cs="宋体"/>
                <w:color w:val="auto"/>
                <w:sz w:val="22"/>
              </w:rPr>
            </w:pPr>
            <w:r>
              <w:rPr>
                <w:rFonts w:hint="eastAsia" w:ascii="宋体" w:hAnsi="宋体" w:eastAsia="宋体" w:cs="宋体"/>
                <w:bCs/>
                <w:color w:val="auto"/>
                <w:sz w:val="22"/>
                <w:szCs w:val="24"/>
              </w:rPr>
              <w:t xml:space="preserve">联系电话: </w:t>
            </w:r>
            <w:r>
              <w:rPr>
                <w:rFonts w:ascii="宋体" w:hAnsi="宋体" w:eastAsia="宋体" w:cs="宋体"/>
                <w:bCs/>
                <w:color w:val="auto"/>
                <w:sz w:val="22"/>
                <w:szCs w:val="24"/>
              </w:rPr>
              <w:t>0398-2351288</w:t>
            </w:r>
          </w:p>
        </w:tc>
      </w:tr>
      <w:tr w14:paraId="6A7C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3A34EFB">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1.3</w:t>
            </w:r>
          </w:p>
        </w:tc>
        <w:tc>
          <w:tcPr>
            <w:tcW w:w="1799" w:type="dxa"/>
            <w:vAlign w:val="center"/>
          </w:tcPr>
          <w:p w14:paraId="0E2CB034">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项目名称</w:t>
            </w:r>
          </w:p>
        </w:tc>
        <w:tc>
          <w:tcPr>
            <w:tcW w:w="6816" w:type="dxa"/>
            <w:vAlign w:val="center"/>
          </w:tcPr>
          <w:p w14:paraId="63847002">
            <w:pPr>
              <w:widowControl/>
              <w:spacing w:line="460" w:lineRule="exact"/>
              <w:rPr>
                <w:rFonts w:hint="eastAsia" w:ascii="宋体" w:hAnsi="宋体" w:eastAsia="宋体" w:cs="宋体"/>
                <w:bCs/>
                <w:color w:val="auto"/>
                <w:sz w:val="22"/>
                <w:szCs w:val="24"/>
                <w:lang w:eastAsia="zh-CN"/>
              </w:rPr>
            </w:pPr>
            <w:r>
              <w:rPr>
                <w:rFonts w:hint="eastAsia" w:ascii="宋体" w:hAnsi="宋体" w:eastAsia="宋体" w:cs="宋体"/>
                <w:color w:val="auto"/>
                <w:sz w:val="22"/>
                <w:szCs w:val="24"/>
                <w:lang w:eastAsia="zh-CN"/>
              </w:rPr>
              <w:t>城乡一体化示范区安全生产技术服务项目</w:t>
            </w:r>
          </w:p>
        </w:tc>
      </w:tr>
      <w:tr w14:paraId="01E6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A57EAB6">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1.4</w:t>
            </w:r>
          </w:p>
        </w:tc>
        <w:tc>
          <w:tcPr>
            <w:tcW w:w="1799" w:type="dxa"/>
            <w:vAlign w:val="center"/>
          </w:tcPr>
          <w:p w14:paraId="39F05497">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采购内容</w:t>
            </w:r>
          </w:p>
        </w:tc>
        <w:tc>
          <w:tcPr>
            <w:tcW w:w="6816" w:type="dxa"/>
            <w:vAlign w:val="center"/>
          </w:tcPr>
          <w:p w14:paraId="6AB182A3">
            <w:pPr>
              <w:spacing w:line="360" w:lineRule="auto"/>
              <w:rPr>
                <w:rFonts w:ascii="宋体" w:hAnsi="宋体" w:eastAsia="宋体" w:cs="宋体"/>
                <w:color w:val="auto"/>
                <w:sz w:val="22"/>
                <w:szCs w:val="24"/>
              </w:rPr>
            </w:pPr>
            <w:r>
              <w:rPr>
                <w:rFonts w:hint="eastAsia" w:ascii="宋体" w:hAnsi="宋体" w:eastAsia="宋体" w:cs="宋体"/>
                <w:color w:val="auto"/>
                <w:sz w:val="22"/>
                <w:szCs w:val="24"/>
              </w:rPr>
              <w:t>为更好的做好示范区安全生产、应急管理等各项工作，通过采购技术服务，协助做好日常的安全生产、应急管理工作以及相关法律法规的获取、指导，具体内容详见采购需求</w:t>
            </w:r>
          </w:p>
        </w:tc>
      </w:tr>
      <w:tr w14:paraId="6D8F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38ABE7C">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1.5</w:t>
            </w:r>
          </w:p>
        </w:tc>
        <w:tc>
          <w:tcPr>
            <w:tcW w:w="1799" w:type="dxa"/>
            <w:vAlign w:val="center"/>
          </w:tcPr>
          <w:p w14:paraId="0333D046">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资金来源及落实情况</w:t>
            </w:r>
          </w:p>
        </w:tc>
        <w:tc>
          <w:tcPr>
            <w:tcW w:w="6816" w:type="dxa"/>
            <w:vAlign w:val="center"/>
          </w:tcPr>
          <w:p w14:paraId="7BD8010F">
            <w:pPr>
              <w:widowControl/>
              <w:spacing w:line="460" w:lineRule="exact"/>
              <w:rPr>
                <w:rFonts w:ascii="宋体" w:hAnsi="宋体" w:eastAsia="宋体" w:cs="宋体"/>
                <w:color w:val="auto"/>
                <w:sz w:val="22"/>
                <w:szCs w:val="24"/>
              </w:rPr>
            </w:pPr>
            <w:r>
              <w:rPr>
                <w:rFonts w:hint="eastAsia" w:ascii="宋体" w:hAnsi="宋体" w:eastAsia="宋体" w:cs="宋体"/>
                <w:bCs/>
                <w:color w:val="auto"/>
                <w:sz w:val="22"/>
                <w:szCs w:val="24"/>
              </w:rPr>
              <w:t>财政资金，已落实</w:t>
            </w:r>
          </w:p>
        </w:tc>
      </w:tr>
      <w:tr w14:paraId="2281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3449C21">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1.6</w:t>
            </w:r>
          </w:p>
        </w:tc>
        <w:tc>
          <w:tcPr>
            <w:tcW w:w="1799" w:type="dxa"/>
            <w:vAlign w:val="center"/>
          </w:tcPr>
          <w:p w14:paraId="11DBEBC7">
            <w:pPr>
              <w:widowControl/>
              <w:spacing w:line="460" w:lineRule="exact"/>
              <w:rPr>
                <w:rFonts w:ascii="宋体" w:hAnsi="宋体" w:eastAsia="宋体" w:cs="宋体"/>
                <w:bCs/>
                <w:color w:val="auto"/>
                <w:sz w:val="22"/>
                <w:szCs w:val="24"/>
              </w:rPr>
            </w:pPr>
            <w:r>
              <w:rPr>
                <w:rFonts w:hint="eastAsia" w:ascii="宋体" w:hAnsi="宋体" w:eastAsia="宋体" w:cs="宋体"/>
                <w:color w:val="auto"/>
                <w:kern w:val="0"/>
                <w:sz w:val="22"/>
              </w:rPr>
              <w:t>服务期限</w:t>
            </w:r>
          </w:p>
        </w:tc>
        <w:tc>
          <w:tcPr>
            <w:tcW w:w="6816" w:type="dxa"/>
            <w:vAlign w:val="center"/>
          </w:tcPr>
          <w:p w14:paraId="4B00418A">
            <w:pPr>
              <w:spacing w:line="360" w:lineRule="auto"/>
              <w:rPr>
                <w:rFonts w:hint="eastAsia" w:ascii="宋体" w:hAnsi="宋体" w:eastAsia="宋体" w:cs="宋体"/>
                <w:bCs/>
                <w:color w:val="auto"/>
                <w:sz w:val="22"/>
                <w:szCs w:val="24"/>
                <w:lang w:eastAsia="zh-CN"/>
              </w:rPr>
            </w:pPr>
            <w:r>
              <w:rPr>
                <w:rFonts w:hint="eastAsia" w:ascii="宋体" w:hAnsi="宋体" w:eastAsia="宋体" w:cs="宋体"/>
                <w:color w:val="auto"/>
                <w:sz w:val="22"/>
                <w:szCs w:val="24"/>
                <w:lang w:eastAsia="zh-CN"/>
              </w:rPr>
              <w:t>一年（合同期满，成交人服务考核合格且采购人下一年度财政预算已落实的，双方可续签次年服务合同，续签合同服务内容、服务标准、合同金额与本合同一致，累计服务期限最长不超过三年）</w:t>
            </w:r>
          </w:p>
        </w:tc>
      </w:tr>
      <w:tr w14:paraId="4B5A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FD70103">
            <w:pPr>
              <w:autoSpaceDE w:val="0"/>
              <w:autoSpaceDN w:val="0"/>
              <w:adjustRightInd w:val="0"/>
              <w:spacing w:line="460" w:lineRule="exact"/>
              <w:rPr>
                <w:rFonts w:hint="eastAsia" w:ascii="宋体" w:hAnsi="宋体" w:eastAsia="宋体" w:cs="宋体"/>
                <w:color w:val="auto"/>
                <w:sz w:val="22"/>
                <w:szCs w:val="24"/>
              </w:rPr>
            </w:pPr>
            <w:r>
              <w:rPr>
                <w:rFonts w:hint="eastAsia" w:ascii="宋体" w:hAnsi="宋体" w:eastAsia="宋体" w:cs="宋体"/>
                <w:color w:val="auto"/>
                <w:sz w:val="22"/>
                <w:szCs w:val="24"/>
              </w:rPr>
              <w:t>1.7</w:t>
            </w:r>
          </w:p>
        </w:tc>
        <w:tc>
          <w:tcPr>
            <w:tcW w:w="1799" w:type="dxa"/>
            <w:vAlign w:val="center"/>
          </w:tcPr>
          <w:p w14:paraId="279FAB52">
            <w:pPr>
              <w:widowControl/>
              <w:spacing w:line="460" w:lineRule="exact"/>
              <w:rPr>
                <w:rFonts w:hint="eastAsia" w:ascii="宋体" w:hAnsi="宋体" w:eastAsia="宋体" w:cs="宋体"/>
                <w:color w:val="auto"/>
                <w:sz w:val="22"/>
              </w:rPr>
            </w:pPr>
            <w:r>
              <w:rPr>
                <w:rFonts w:hint="eastAsia" w:ascii="宋体" w:hAnsi="宋体" w:eastAsia="宋体" w:cs="宋体"/>
                <w:color w:val="auto"/>
                <w:sz w:val="22"/>
              </w:rPr>
              <w:t>服务地点</w:t>
            </w:r>
          </w:p>
        </w:tc>
        <w:tc>
          <w:tcPr>
            <w:tcW w:w="6816" w:type="dxa"/>
            <w:vAlign w:val="center"/>
          </w:tcPr>
          <w:p w14:paraId="3DFDB26E">
            <w:pPr>
              <w:spacing w:line="440" w:lineRule="exact"/>
              <w:rPr>
                <w:rFonts w:hint="eastAsia" w:ascii="宋体" w:hAnsi="宋体" w:eastAsia="宋体" w:cs="Times New Roman"/>
                <w:color w:val="auto"/>
                <w:sz w:val="22"/>
                <w:szCs w:val="24"/>
              </w:rPr>
            </w:pPr>
            <w:r>
              <w:rPr>
                <w:rFonts w:hint="eastAsia" w:ascii="宋体" w:hAnsi="宋体" w:eastAsia="宋体" w:cs="Times New Roman"/>
                <w:color w:val="auto"/>
                <w:sz w:val="22"/>
                <w:szCs w:val="24"/>
              </w:rPr>
              <w:t>采购人指定地点</w:t>
            </w:r>
          </w:p>
        </w:tc>
      </w:tr>
      <w:tr w14:paraId="1A5C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33748A40">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1.8</w:t>
            </w:r>
          </w:p>
        </w:tc>
        <w:tc>
          <w:tcPr>
            <w:tcW w:w="1799" w:type="dxa"/>
            <w:vAlign w:val="center"/>
          </w:tcPr>
          <w:p w14:paraId="1F6DCA68">
            <w:pPr>
              <w:widowControl/>
              <w:spacing w:line="460" w:lineRule="exact"/>
              <w:rPr>
                <w:rFonts w:ascii="宋体" w:hAnsi="宋体" w:eastAsia="宋体" w:cs="宋体"/>
                <w:bCs/>
                <w:color w:val="auto"/>
                <w:sz w:val="22"/>
                <w:szCs w:val="24"/>
              </w:rPr>
            </w:pPr>
            <w:r>
              <w:rPr>
                <w:rFonts w:hint="eastAsia" w:ascii="宋体" w:hAnsi="宋体" w:eastAsia="宋体" w:cs="宋体"/>
                <w:color w:val="auto"/>
                <w:sz w:val="22"/>
              </w:rPr>
              <w:t>质量标准</w:t>
            </w:r>
          </w:p>
        </w:tc>
        <w:tc>
          <w:tcPr>
            <w:tcW w:w="6816" w:type="dxa"/>
            <w:vAlign w:val="center"/>
          </w:tcPr>
          <w:p w14:paraId="4D2E22A1">
            <w:pPr>
              <w:spacing w:line="440" w:lineRule="exact"/>
              <w:rPr>
                <w:rFonts w:ascii="宋体" w:hAnsi="宋体" w:eastAsia="宋体" w:cs="Times New Roman"/>
                <w:color w:val="auto"/>
                <w:sz w:val="22"/>
                <w:szCs w:val="24"/>
              </w:rPr>
            </w:pPr>
            <w:r>
              <w:rPr>
                <w:rFonts w:hint="eastAsia" w:ascii="宋体" w:hAnsi="宋体" w:eastAsia="宋体" w:cs="Times New Roman"/>
                <w:color w:val="auto"/>
                <w:sz w:val="22"/>
                <w:szCs w:val="24"/>
              </w:rPr>
              <w:t>符合国家或行业规定的合格标准，满足采购人提出的技术标准及要求</w:t>
            </w:r>
          </w:p>
        </w:tc>
      </w:tr>
      <w:tr w14:paraId="550E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E91D2DF">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1.9</w:t>
            </w:r>
          </w:p>
        </w:tc>
        <w:tc>
          <w:tcPr>
            <w:tcW w:w="1799" w:type="dxa"/>
            <w:vAlign w:val="center"/>
          </w:tcPr>
          <w:p w14:paraId="00C04A41">
            <w:pPr>
              <w:widowControl/>
              <w:spacing w:line="460" w:lineRule="exact"/>
              <w:rPr>
                <w:rFonts w:ascii="宋体" w:hAnsi="宋体" w:eastAsia="宋体" w:cs="宋体"/>
                <w:bCs/>
                <w:color w:val="auto"/>
                <w:sz w:val="22"/>
                <w:szCs w:val="24"/>
              </w:rPr>
            </w:pPr>
            <w:r>
              <w:rPr>
                <w:rFonts w:hint="eastAsia" w:ascii="宋体" w:hAnsi="宋体" w:eastAsia="宋体" w:cs="宋体"/>
                <w:color w:val="auto"/>
                <w:kern w:val="0"/>
                <w:sz w:val="22"/>
              </w:rPr>
              <w:t>合同履行期限</w:t>
            </w:r>
          </w:p>
        </w:tc>
        <w:tc>
          <w:tcPr>
            <w:tcW w:w="6816" w:type="dxa"/>
            <w:vAlign w:val="center"/>
          </w:tcPr>
          <w:p w14:paraId="64D40007">
            <w:pPr>
              <w:spacing w:line="440" w:lineRule="exact"/>
              <w:rPr>
                <w:rFonts w:ascii="宋体" w:hAnsi="宋体" w:eastAsia="宋体" w:cs="Times New Roman"/>
                <w:color w:val="auto"/>
                <w:sz w:val="22"/>
                <w:szCs w:val="24"/>
              </w:rPr>
            </w:pPr>
            <w:r>
              <w:rPr>
                <w:rFonts w:hint="eastAsia" w:ascii="宋体" w:hAnsi="宋体" w:eastAsia="宋体" w:cs="宋体"/>
                <w:color w:val="auto"/>
                <w:kern w:val="0"/>
                <w:sz w:val="22"/>
              </w:rPr>
              <w:t>同服务期限</w:t>
            </w:r>
          </w:p>
        </w:tc>
      </w:tr>
      <w:tr w14:paraId="39F4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6E984786">
            <w:pPr>
              <w:autoSpaceDE w:val="0"/>
              <w:autoSpaceDN w:val="0"/>
              <w:adjustRightInd w:val="0"/>
              <w:spacing w:line="460" w:lineRule="exact"/>
              <w:rPr>
                <w:rFonts w:hint="default" w:ascii="宋体" w:hAnsi="宋体" w:eastAsia="宋体" w:cs="宋体"/>
                <w:color w:val="auto"/>
                <w:sz w:val="22"/>
                <w:szCs w:val="24"/>
                <w:lang w:val="en-US" w:eastAsia="zh-CN"/>
              </w:rPr>
            </w:pPr>
            <w:r>
              <w:rPr>
                <w:rFonts w:hint="eastAsia" w:ascii="宋体" w:hAnsi="宋体" w:eastAsia="宋体" w:cs="宋体"/>
                <w:color w:val="auto"/>
                <w:sz w:val="22"/>
                <w:szCs w:val="24"/>
                <w:lang w:val="en-US" w:eastAsia="zh-CN"/>
              </w:rPr>
              <w:t>1.10</w:t>
            </w:r>
          </w:p>
        </w:tc>
        <w:tc>
          <w:tcPr>
            <w:tcW w:w="1799" w:type="dxa"/>
            <w:vAlign w:val="center"/>
          </w:tcPr>
          <w:p w14:paraId="09B00BBB">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供应商资格要求</w:t>
            </w:r>
          </w:p>
        </w:tc>
        <w:tc>
          <w:tcPr>
            <w:tcW w:w="6816" w:type="dxa"/>
            <w:vAlign w:val="center"/>
          </w:tcPr>
          <w:p w14:paraId="0ABFC61E">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1、满足《中华人民共和国政府采购法》第二十二条规定；</w:t>
            </w:r>
          </w:p>
          <w:p w14:paraId="38A8EEB4">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2、落实政府采购政策满足的资格要求：</w:t>
            </w:r>
            <w:r>
              <w:rPr>
                <w:rFonts w:hint="eastAsia" w:ascii="宋体" w:hAnsi="宋体" w:eastAsia="宋体" w:cs="Times New Roman"/>
                <w:color w:val="auto"/>
                <w:sz w:val="22"/>
                <w:szCs w:val="24"/>
                <w:lang w:eastAsia="zh-CN"/>
              </w:rPr>
              <w:t>本项目专门面向中小企业采购，监狱企业、残疾人福利性单位视同小型、微型企业参与本次采购。供应商需按规定分别提供中小企业声明函、监狱企业证明文件或残疾人福利性单位声明函</w:t>
            </w:r>
            <w:r>
              <w:rPr>
                <w:rFonts w:hint="eastAsia" w:ascii="宋体" w:hAnsi="宋体" w:eastAsia="宋体" w:cs="Times New Roman"/>
                <w:color w:val="auto"/>
                <w:sz w:val="22"/>
                <w:szCs w:val="24"/>
              </w:rPr>
              <w:t>。</w:t>
            </w:r>
          </w:p>
          <w:p w14:paraId="38233943">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 xml:space="preserve">3、本项目的特定资格要求 </w:t>
            </w:r>
          </w:p>
          <w:p w14:paraId="5D018C5B">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3.1</w:t>
            </w:r>
            <w:r>
              <w:rPr>
                <w:rFonts w:hint="eastAsia" w:ascii="宋体" w:hAnsi="宋体" w:eastAsia="宋体" w:cs="Times New Roman"/>
                <w:color w:val="auto"/>
                <w:sz w:val="22"/>
                <w:szCs w:val="24"/>
              </w:rPr>
              <w:tab/>
            </w:r>
            <w:r>
              <w:rPr>
                <w:rFonts w:hint="eastAsia" w:ascii="宋体" w:hAnsi="宋体" w:eastAsia="宋体" w:cs="Times New Roman"/>
                <w:color w:val="auto"/>
                <w:sz w:val="22"/>
                <w:szCs w:val="24"/>
              </w:rPr>
              <w:t>供应商具有有效的营业执照或者事业单位法人证书；</w:t>
            </w:r>
          </w:p>
          <w:p w14:paraId="00AAC6CE">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3.2供应商具有履行合同所必需的设备和专业技术能力（自行承诺，格式自拟）；</w:t>
            </w:r>
          </w:p>
          <w:p w14:paraId="72352009">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 xml:space="preserve">3.3供应商须自行出具本单位无商业贿赂及无不正当竞争行为的承诺书； </w:t>
            </w:r>
          </w:p>
          <w:p w14:paraId="42F77B2D">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 xml:space="preserve">3.4供应商未列入“中国执行信息公开网”的“失信被执行人”，“信用中国”www.creditchina.gov.cn网站的“重大税收违法失信主体”和“中国政府采购网”www.ccgp.gov.cn网站的“政府采购严重违法失信行为记录名单”（采购人、代理机构在开标后对所有响应人信用记录进行查询，并将查询结果网页打印存档，响应人不良信用记录以代理机构开标后查询结果为准）； </w:t>
            </w:r>
          </w:p>
          <w:p w14:paraId="191D59F2">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3.5</w:t>
            </w:r>
            <w:r>
              <w:rPr>
                <w:rFonts w:ascii="宋体" w:hAnsi="宋体" w:eastAsia="宋体" w:cs="Times New Roman"/>
                <w:color w:val="auto"/>
                <w:sz w:val="22"/>
                <w:szCs w:val="24"/>
              </w:rPr>
              <w:t>单位负责人为同一人或者存在直接控股、管理关系的不同</w:t>
            </w:r>
            <w:r>
              <w:rPr>
                <w:rFonts w:hint="eastAsia" w:ascii="宋体" w:hAnsi="宋体" w:eastAsia="宋体" w:cs="Times New Roman"/>
                <w:color w:val="auto"/>
                <w:sz w:val="22"/>
                <w:szCs w:val="24"/>
              </w:rPr>
              <w:t>供应商</w:t>
            </w:r>
            <w:r>
              <w:rPr>
                <w:rFonts w:ascii="宋体" w:hAnsi="宋体" w:eastAsia="宋体" w:cs="Times New Roman"/>
                <w:color w:val="auto"/>
                <w:sz w:val="22"/>
                <w:szCs w:val="24"/>
              </w:rPr>
              <w:t>，不得参加同一合同项下的政府采购活动</w:t>
            </w:r>
            <w:r>
              <w:rPr>
                <w:rFonts w:hint="eastAsia" w:ascii="宋体" w:hAnsi="宋体" w:eastAsia="宋体" w:cs="Times New Roman"/>
                <w:color w:val="auto"/>
                <w:sz w:val="22"/>
                <w:szCs w:val="24"/>
              </w:rPr>
              <w:t xml:space="preserve">（提供“国家企业信用信息公示系统”中查询打印的相关信息并加盖公章（需包含公司基本信息、股东信息及股权变更信息）或者自行承诺）； </w:t>
            </w:r>
          </w:p>
          <w:p w14:paraId="1E6C91FE">
            <w:pPr>
              <w:spacing w:line="360" w:lineRule="auto"/>
              <w:ind w:firstLine="444" w:firstLineChars="202"/>
              <w:rPr>
                <w:rFonts w:ascii="宋体" w:hAnsi="宋体" w:eastAsia="宋体" w:cs="Times New Roman"/>
                <w:color w:val="auto"/>
                <w:sz w:val="22"/>
                <w:szCs w:val="24"/>
              </w:rPr>
            </w:pPr>
            <w:r>
              <w:rPr>
                <w:rFonts w:hint="eastAsia" w:ascii="宋体" w:hAnsi="宋体" w:eastAsia="宋体" w:cs="Times New Roman"/>
                <w:color w:val="auto"/>
                <w:sz w:val="22"/>
                <w:szCs w:val="24"/>
              </w:rPr>
              <w:t>3.6</w:t>
            </w:r>
            <w:r>
              <w:rPr>
                <w:rFonts w:hint="eastAsia" w:ascii="宋体" w:hAnsi="宋体" w:eastAsia="宋体" w:cs="Times New Roman"/>
                <w:color w:val="auto"/>
                <w:sz w:val="22"/>
                <w:szCs w:val="24"/>
                <w:lang w:eastAsia="zh-CN"/>
              </w:rPr>
              <w:t>本项目不允许联合体磋商（提供非联合体声明函）</w:t>
            </w:r>
            <w:r>
              <w:rPr>
                <w:rFonts w:hint="eastAsia" w:ascii="宋体" w:hAnsi="宋体" w:eastAsia="宋体" w:cs="Times New Roman"/>
                <w:color w:val="auto"/>
                <w:sz w:val="22"/>
                <w:szCs w:val="24"/>
              </w:rPr>
              <w:t>。</w:t>
            </w:r>
          </w:p>
        </w:tc>
      </w:tr>
      <w:tr w14:paraId="47AA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9A8C0A3">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2.0</w:t>
            </w:r>
          </w:p>
        </w:tc>
        <w:tc>
          <w:tcPr>
            <w:tcW w:w="1799" w:type="dxa"/>
            <w:vAlign w:val="center"/>
          </w:tcPr>
          <w:p w14:paraId="5D1A029D">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踏勘现场</w:t>
            </w:r>
          </w:p>
        </w:tc>
        <w:tc>
          <w:tcPr>
            <w:tcW w:w="6816" w:type="dxa"/>
            <w:vAlign w:val="center"/>
          </w:tcPr>
          <w:p w14:paraId="1ED31048">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不组织</w:t>
            </w:r>
          </w:p>
        </w:tc>
      </w:tr>
      <w:tr w14:paraId="5AEA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CD7A3E5">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2.1</w:t>
            </w:r>
          </w:p>
        </w:tc>
        <w:tc>
          <w:tcPr>
            <w:tcW w:w="1799" w:type="dxa"/>
            <w:vAlign w:val="center"/>
          </w:tcPr>
          <w:p w14:paraId="312873E6">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投标预备会</w:t>
            </w:r>
          </w:p>
        </w:tc>
        <w:tc>
          <w:tcPr>
            <w:tcW w:w="6816" w:type="dxa"/>
            <w:vAlign w:val="center"/>
          </w:tcPr>
          <w:p w14:paraId="75CEEF53">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不召开</w:t>
            </w:r>
          </w:p>
        </w:tc>
      </w:tr>
      <w:tr w14:paraId="7232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F58F493">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2.2</w:t>
            </w:r>
          </w:p>
        </w:tc>
        <w:tc>
          <w:tcPr>
            <w:tcW w:w="1799" w:type="dxa"/>
            <w:vAlign w:val="center"/>
          </w:tcPr>
          <w:p w14:paraId="5704BA9A">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供应商提出问题的截止时间</w:t>
            </w:r>
          </w:p>
        </w:tc>
        <w:tc>
          <w:tcPr>
            <w:tcW w:w="6816" w:type="dxa"/>
            <w:vAlign w:val="center"/>
          </w:tcPr>
          <w:p w14:paraId="37B89A8E">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递交磋商响应文件截止之日3日前</w:t>
            </w:r>
          </w:p>
        </w:tc>
      </w:tr>
      <w:tr w14:paraId="6AF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5CF02B6">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2.3</w:t>
            </w:r>
          </w:p>
        </w:tc>
        <w:tc>
          <w:tcPr>
            <w:tcW w:w="1799" w:type="dxa"/>
            <w:vAlign w:val="center"/>
          </w:tcPr>
          <w:p w14:paraId="2A02BEE2">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采购人书面澄清的时间</w:t>
            </w:r>
          </w:p>
        </w:tc>
        <w:tc>
          <w:tcPr>
            <w:tcW w:w="6816" w:type="dxa"/>
            <w:vAlign w:val="center"/>
          </w:tcPr>
          <w:p w14:paraId="3BC5089C">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递交磋商响应文件截止之日5日前</w:t>
            </w:r>
          </w:p>
        </w:tc>
      </w:tr>
      <w:tr w14:paraId="2C12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FA2BB32">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2.4</w:t>
            </w:r>
          </w:p>
        </w:tc>
        <w:tc>
          <w:tcPr>
            <w:tcW w:w="1799" w:type="dxa"/>
            <w:vAlign w:val="center"/>
          </w:tcPr>
          <w:p w14:paraId="633E88EF">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分包</w:t>
            </w:r>
          </w:p>
        </w:tc>
        <w:tc>
          <w:tcPr>
            <w:tcW w:w="6816" w:type="dxa"/>
            <w:vAlign w:val="center"/>
          </w:tcPr>
          <w:p w14:paraId="776EDB01">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不允许</w:t>
            </w:r>
          </w:p>
        </w:tc>
      </w:tr>
      <w:tr w14:paraId="7D17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80F2367">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2.5</w:t>
            </w:r>
          </w:p>
        </w:tc>
        <w:tc>
          <w:tcPr>
            <w:tcW w:w="1799" w:type="dxa"/>
            <w:vAlign w:val="center"/>
          </w:tcPr>
          <w:p w14:paraId="43C8CE0E">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构成竞争性磋商文件的其他材料</w:t>
            </w:r>
          </w:p>
        </w:tc>
        <w:tc>
          <w:tcPr>
            <w:tcW w:w="6816" w:type="dxa"/>
            <w:vAlign w:val="center"/>
          </w:tcPr>
          <w:p w14:paraId="40FE47AD">
            <w:pPr>
              <w:widowControl/>
              <w:spacing w:line="460" w:lineRule="exact"/>
              <w:ind w:left="34" w:leftChars="16"/>
              <w:rPr>
                <w:rFonts w:ascii="宋体" w:hAnsi="宋体" w:eastAsia="宋体" w:cs="宋体"/>
                <w:bCs/>
                <w:color w:val="auto"/>
                <w:sz w:val="22"/>
                <w:szCs w:val="24"/>
              </w:rPr>
            </w:pPr>
            <w:r>
              <w:rPr>
                <w:rFonts w:hint="eastAsia" w:ascii="宋体" w:hAnsi="宋体" w:eastAsia="宋体" w:cs="宋体"/>
                <w:bCs/>
                <w:color w:val="auto"/>
                <w:sz w:val="22"/>
                <w:szCs w:val="24"/>
              </w:rPr>
              <w:t>答疑纪要、竞争性磋商文件的补充和修改文件（如有）</w:t>
            </w:r>
          </w:p>
        </w:tc>
      </w:tr>
      <w:tr w14:paraId="00B7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69A8A24B">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2.6</w:t>
            </w:r>
          </w:p>
        </w:tc>
        <w:tc>
          <w:tcPr>
            <w:tcW w:w="1799" w:type="dxa"/>
            <w:vAlign w:val="center"/>
          </w:tcPr>
          <w:p w14:paraId="6D47DF12">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供应商要求澄清竞争性磋商文件的截止时间</w:t>
            </w:r>
          </w:p>
        </w:tc>
        <w:tc>
          <w:tcPr>
            <w:tcW w:w="6816" w:type="dxa"/>
            <w:vAlign w:val="center"/>
          </w:tcPr>
          <w:p w14:paraId="61CAE202">
            <w:pPr>
              <w:widowControl/>
              <w:spacing w:line="460" w:lineRule="exact"/>
              <w:ind w:left="34" w:leftChars="16"/>
              <w:rPr>
                <w:rFonts w:ascii="宋体" w:hAnsi="宋体" w:eastAsia="宋体" w:cs="宋体"/>
                <w:bCs/>
                <w:color w:val="auto"/>
                <w:sz w:val="22"/>
                <w:szCs w:val="24"/>
              </w:rPr>
            </w:pPr>
            <w:r>
              <w:rPr>
                <w:rFonts w:hint="eastAsia" w:ascii="宋体" w:hAnsi="宋体" w:eastAsia="宋体" w:cs="宋体"/>
                <w:bCs/>
                <w:color w:val="auto"/>
                <w:sz w:val="22"/>
                <w:szCs w:val="24"/>
              </w:rPr>
              <w:t>递交磋商响应文件截止之日3日前</w:t>
            </w:r>
          </w:p>
        </w:tc>
      </w:tr>
      <w:tr w14:paraId="4C31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24335F0">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2.7</w:t>
            </w:r>
          </w:p>
        </w:tc>
        <w:tc>
          <w:tcPr>
            <w:tcW w:w="1799" w:type="dxa"/>
            <w:vAlign w:val="center"/>
          </w:tcPr>
          <w:p w14:paraId="733D6DC5">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供应商确认收到竞争性磋商文件</w:t>
            </w:r>
          </w:p>
          <w:p w14:paraId="0C1CFF79">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澄清的时间</w:t>
            </w:r>
          </w:p>
        </w:tc>
        <w:tc>
          <w:tcPr>
            <w:tcW w:w="6816" w:type="dxa"/>
            <w:vAlign w:val="center"/>
          </w:tcPr>
          <w:p w14:paraId="21249FAB">
            <w:pPr>
              <w:widowControl/>
              <w:spacing w:line="460" w:lineRule="exact"/>
              <w:ind w:left="34" w:leftChars="16"/>
              <w:rPr>
                <w:rFonts w:ascii="宋体" w:hAnsi="宋体" w:eastAsia="宋体" w:cs="宋体"/>
                <w:bCs/>
                <w:color w:val="auto"/>
                <w:sz w:val="22"/>
                <w:szCs w:val="24"/>
              </w:rPr>
            </w:pPr>
            <w:r>
              <w:rPr>
                <w:rFonts w:hint="eastAsia" w:ascii="宋体" w:hAnsi="宋体" w:eastAsia="宋体" w:cs="宋体"/>
                <w:bCs/>
                <w:color w:val="auto"/>
                <w:sz w:val="22"/>
                <w:szCs w:val="24"/>
              </w:rPr>
              <w:t>竞争性磋商文件的补充文件发出之日24小时内，如未回函确认，采购人和采购代理机构都视为供应商收到竞争性磋商文件澄清内容。</w:t>
            </w:r>
          </w:p>
        </w:tc>
      </w:tr>
      <w:tr w14:paraId="6523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B632FC0">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2.8</w:t>
            </w:r>
          </w:p>
        </w:tc>
        <w:tc>
          <w:tcPr>
            <w:tcW w:w="1799" w:type="dxa"/>
            <w:vAlign w:val="center"/>
          </w:tcPr>
          <w:p w14:paraId="72F7FDA5">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供应商确认收到竞争性磋商文件</w:t>
            </w:r>
          </w:p>
          <w:p w14:paraId="70476372">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修改的时间</w:t>
            </w:r>
          </w:p>
        </w:tc>
        <w:tc>
          <w:tcPr>
            <w:tcW w:w="6816" w:type="dxa"/>
            <w:vAlign w:val="center"/>
          </w:tcPr>
          <w:p w14:paraId="095A6C8E">
            <w:pPr>
              <w:widowControl/>
              <w:spacing w:line="460" w:lineRule="exact"/>
              <w:ind w:left="34" w:leftChars="16"/>
              <w:rPr>
                <w:rFonts w:ascii="宋体" w:hAnsi="宋体" w:eastAsia="宋体" w:cs="宋体"/>
                <w:bCs/>
                <w:color w:val="auto"/>
                <w:sz w:val="22"/>
                <w:szCs w:val="24"/>
              </w:rPr>
            </w:pPr>
            <w:r>
              <w:rPr>
                <w:rFonts w:hint="eastAsia" w:ascii="宋体" w:hAnsi="宋体" w:eastAsia="宋体" w:cs="宋体"/>
                <w:bCs/>
                <w:color w:val="auto"/>
                <w:sz w:val="22"/>
                <w:szCs w:val="24"/>
              </w:rPr>
              <w:t>竞争性磋商文件的补充文件发出之日24小时内，如未回函确认，采购人和采购代理机构都视为供应商收到竞争性磋商文件澄清内容。</w:t>
            </w:r>
          </w:p>
        </w:tc>
      </w:tr>
      <w:tr w14:paraId="525D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3CA8F10D">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2.9</w:t>
            </w:r>
          </w:p>
        </w:tc>
        <w:tc>
          <w:tcPr>
            <w:tcW w:w="1799" w:type="dxa"/>
            <w:vAlign w:val="center"/>
          </w:tcPr>
          <w:p w14:paraId="4819A3AB">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磋商截止时间</w:t>
            </w:r>
          </w:p>
        </w:tc>
        <w:tc>
          <w:tcPr>
            <w:tcW w:w="6816" w:type="dxa"/>
            <w:vAlign w:val="center"/>
          </w:tcPr>
          <w:p w14:paraId="3A80E6E1">
            <w:pPr>
              <w:widowControl/>
              <w:spacing w:line="460" w:lineRule="exact"/>
              <w:ind w:left="34" w:leftChars="16"/>
              <w:rPr>
                <w:rFonts w:hint="eastAsia" w:ascii="宋体" w:hAnsi="宋体" w:eastAsia="宋体" w:cs="宋体"/>
                <w:bCs/>
                <w:color w:val="auto"/>
                <w:sz w:val="22"/>
                <w:szCs w:val="24"/>
                <w:lang w:eastAsia="zh-CN"/>
              </w:rPr>
            </w:pPr>
            <w:r>
              <w:rPr>
                <w:rFonts w:hint="eastAsia" w:ascii="宋体" w:hAnsi="宋体" w:eastAsia="宋体" w:cs="宋体"/>
                <w:color w:val="auto"/>
                <w:sz w:val="22"/>
                <w:szCs w:val="24"/>
                <w:lang w:eastAsia="zh-CN"/>
              </w:rPr>
              <w:t>2026年6月12日08时30分</w:t>
            </w:r>
          </w:p>
        </w:tc>
      </w:tr>
      <w:tr w14:paraId="4453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3748BF90">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3.0</w:t>
            </w:r>
          </w:p>
        </w:tc>
        <w:tc>
          <w:tcPr>
            <w:tcW w:w="1799" w:type="dxa"/>
            <w:vAlign w:val="center"/>
          </w:tcPr>
          <w:p w14:paraId="6870C623">
            <w:pPr>
              <w:widowControl/>
              <w:spacing w:line="460" w:lineRule="exact"/>
              <w:rPr>
                <w:rFonts w:ascii="宋体" w:hAnsi="宋体" w:eastAsia="宋体" w:cs="宋体"/>
                <w:bCs/>
                <w:color w:val="auto"/>
                <w:sz w:val="22"/>
                <w:szCs w:val="24"/>
              </w:rPr>
            </w:pPr>
            <w:r>
              <w:rPr>
                <w:rFonts w:hint="eastAsia" w:ascii="宋体" w:hAnsi="宋体" w:eastAsia="宋体" w:cs="宋体"/>
                <w:bCs/>
                <w:color w:val="auto"/>
                <w:sz w:val="22"/>
                <w:szCs w:val="24"/>
              </w:rPr>
              <w:t>磋商有效期</w:t>
            </w:r>
          </w:p>
        </w:tc>
        <w:tc>
          <w:tcPr>
            <w:tcW w:w="6816" w:type="dxa"/>
            <w:vAlign w:val="center"/>
          </w:tcPr>
          <w:p w14:paraId="24EF33F3">
            <w:pPr>
              <w:widowControl/>
              <w:spacing w:line="460" w:lineRule="exact"/>
              <w:ind w:left="34" w:leftChars="16"/>
              <w:rPr>
                <w:rFonts w:ascii="宋体" w:hAnsi="宋体" w:eastAsia="宋体" w:cs="宋体"/>
                <w:bCs/>
                <w:color w:val="auto"/>
                <w:sz w:val="22"/>
                <w:szCs w:val="24"/>
              </w:rPr>
            </w:pPr>
            <w:r>
              <w:rPr>
                <w:rFonts w:hint="eastAsia" w:ascii="宋体" w:hAnsi="宋体" w:eastAsia="宋体" w:cs="宋体"/>
                <w:bCs/>
                <w:color w:val="auto"/>
                <w:sz w:val="22"/>
                <w:szCs w:val="24"/>
              </w:rPr>
              <w:t>60日历天（响应截止之日起）</w:t>
            </w:r>
          </w:p>
        </w:tc>
      </w:tr>
      <w:tr w14:paraId="1B5B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D39F271">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3.1</w:t>
            </w:r>
          </w:p>
        </w:tc>
        <w:tc>
          <w:tcPr>
            <w:tcW w:w="1799" w:type="dxa"/>
            <w:vAlign w:val="center"/>
          </w:tcPr>
          <w:p w14:paraId="7BD7FBC8">
            <w:pPr>
              <w:widowControl/>
              <w:spacing w:line="460" w:lineRule="exact"/>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近年完成的类似项目的年份要求</w:t>
            </w:r>
          </w:p>
        </w:tc>
        <w:tc>
          <w:tcPr>
            <w:tcW w:w="6816" w:type="dxa"/>
            <w:vAlign w:val="center"/>
          </w:tcPr>
          <w:p w14:paraId="4AE37E85">
            <w:pPr>
              <w:widowControl/>
              <w:spacing w:line="460" w:lineRule="exact"/>
              <w:ind w:left="34" w:leftChars="16"/>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2023年1月1日以来。</w:t>
            </w:r>
          </w:p>
        </w:tc>
      </w:tr>
      <w:tr w14:paraId="3D3E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59111C9">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3.1</w:t>
            </w:r>
          </w:p>
        </w:tc>
        <w:tc>
          <w:tcPr>
            <w:tcW w:w="1799" w:type="dxa"/>
            <w:vAlign w:val="center"/>
          </w:tcPr>
          <w:p w14:paraId="7F99DF11">
            <w:pPr>
              <w:widowControl/>
              <w:spacing w:line="460" w:lineRule="exact"/>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近年发生的诉讼及仲裁情况的年份要求</w:t>
            </w:r>
          </w:p>
        </w:tc>
        <w:tc>
          <w:tcPr>
            <w:tcW w:w="6816" w:type="dxa"/>
            <w:vAlign w:val="center"/>
          </w:tcPr>
          <w:p w14:paraId="74FCD177">
            <w:pPr>
              <w:widowControl/>
              <w:spacing w:line="460" w:lineRule="exact"/>
              <w:ind w:left="34" w:leftChars="16"/>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2023年1月1日以来。</w:t>
            </w:r>
          </w:p>
        </w:tc>
      </w:tr>
      <w:tr w14:paraId="0355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EACE699">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3.2</w:t>
            </w:r>
          </w:p>
        </w:tc>
        <w:tc>
          <w:tcPr>
            <w:tcW w:w="1799" w:type="dxa"/>
            <w:vAlign w:val="center"/>
          </w:tcPr>
          <w:p w14:paraId="126CC411">
            <w:pPr>
              <w:widowControl/>
              <w:spacing w:line="460" w:lineRule="exact"/>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签字或盖章要求</w:t>
            </w:r>
          </w:p>
        </w:tc>
        <w:tc>
          <w:tcPr>
            <w:tcW w:w="6816" w:type="dxa"/>
            <w:vAlign w:val="center"/>
          </w:tcPr>
          <w:p w14:paraId="40E55839">
            <w:pPr>
              <w:widowControl/>
              <w:spacing w:line="460" w:lineRule="exact"/>
              <w:ind w:left="34" w:leftChars="16"/>
              <w:rPr>
                <w:rFonts w:ascii="宋体" w:hAnsi="宋体" w:eastAsia="宋体" w:cs="宋体"/>
                <w:b/>
                <w:bCs/>
                <w:color w:val="auto"/>
                <w:kern w:val="44"/>
                <w:sz w:val="22"/>
                <w:szCs w:val="24"/>
              </w:rPr>
            </w:pPr>
            <w:r>
              <w:rPr>
                <w:rFonts w:hint="eastAsia" w:ascii="宋体" w:hAnsi="宋体" w:eastAsia="宋体" w:cs="宋体"/>
                <w:bCs/>
                <w:color w:val="auto"/>
                <w:kern w:val="44"/>
                <w:sz w:val="22"/>
                <w:szCs w:val="24"/>
              </w:rPr>
              <w:t>1、</w:t>
            </w:r>
            <w:r>
              <w:rPr>
                <w:rFonts w:hint="eastAsia" w:ascii="宋体" w:hAnsi="宋体" w:eastAsia="宋体" w:cs="宋体"/>
                <w:b/>
                <w:bCs/>
                <w:color w:val="auto"/>
                <w:kern w:val="44"/>
                <w:sz w:val="22"/>
                <w:szCs w:val="24"/>
              </w:rPr>
              <w:t>本项目为电子化、无纸化交易项目，响应文件是供应商通过中心响应文件制作系统制作，并经过电子签章和加密后生成的电子化响应文件，未对电子化文件进行签章的视为无效投标。供应商投标时，将不再接受任何纸质文件资料。</w:t>
            </w:r>
          </w:p>
          <w:p w14:paraId="7719AE05">
            <w:pPr>
              <w:widowControl/>
              <w:spacing w:line="460" w:lineRule="exact"/>
              <w:ind w:left="34" w:leftChars="16"/>
              <w:rPr>
                <w:rFonts w:ascii="宋体" w:hAnsi="宋体" w:eastAsia="宋体" w:cs="宋体"/>
                <w:bCs/>
                <w:color w:val="auto"/>
                <w:kern w:val="44"/>
                <w:sz w:val="22"/>
                <w:szCs w:val="24"/>
              </w:rPr>
            </w:pPr>
            <w:r>
              <w:rPr>
                <w:rFonts w:hint="eastAsia" w:ascii="宋体" w:hAnsi="宋体" w:eastAsia="宋体" w:cs="宋体"/>
                <w:b/>
                <w:bCs/>
                <w:color w:val="auto"/>
                <w:kern w:val="44"/>
                <w:sz w:val="22"/>
                <w:szCs w:val="24"/>
              </w:rPr>
              <w:t>2、要求法定代表人或授权委托人签字或盖章的，供应商在进行电子化响应文件签章时，以签盖法定代表人签章为准</w:t>
            </w:r>
            <w:r>
              <w:rPr>
                <w:rFonts w:hint="eastAsia" w:ascii="宋体" w:hAnsi="宋体" w:eastAsia="宋体" w:cs="宋体"/>
                <w:bCs/>
                <w:color w:val="auto"/>
                <w:kern w:val="44"/>
                <w:sz w:val="22"/>
                <w:szCs w:val="24"/>
              </w:rPr>
              <w:t>。</w:t>
            </w:r>
          </w:p>
          <w:p w14:paraId="12438290">
            <w:pPr>
              <w:widowControl/>
              <w:spacing w:line="460" w:lineRule="exact"/>
              <w:ind w:left="34" w:leftChars="16"/>
              <w:rPr>
                <w:rFonts w:ascii="宋体" w:hAnsi="宋体" w:eastAsia="宋体" w:cs="宋体"/>
                <w:bCs/>
                <w:color w:val="auto"/>
                <w:kern w:val="44"/>
                <w:sz w:val="22"/>
                <w:szCs w:val="24"/>
              </w:rPr>
            </w:pPr>
            <w:r>
              <w:rPr>
                <w:rFonts w:hint="eastAsia" w:ascii="宋体" w:hAnsi="宋体" w:eastAsia="宋体" w:cs="宋体"/>
                <w:b/>
                <w:color w:val="auto"/>
                <w:kern w:val="44"/>
                <w:sz w:val="22"/>
                <w:szCs w:val="24"/>
              </w:rPr>
              <w:t>3、承诺类材料需同时加盖单位章和法人章，否则视为无效承诺。</w:t>
            </w:r>
          </w:p>
        </w:tc>
      </w:tr>
      <w:tr w14:paraId="1280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20C8B04">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3.3</w:t>
            </w:r>
          </w:p>
        </w:tc>
        <w:tc>
          <w:tcPr>
            <w:tcW w:w="1799" w:type="dxa"/>
            <w:vAlign w:val="center"/>
          </w:tcPr>
          <w:p w14:paraId="601E0012">
            <w:pPr>
              <w:spacing w:line="360" w:lineRule="auto"/>
              <w:rPr>
                <w:rFonts w:ascii="宋体" w:hAnsi="宋体" w:eastAsia="宋体" w:cs="宋体"/>
                <w:color w:val="auto"/>
                <w:sz w:val="22"/>
                <w:lang w:bidi="ar"/>
              </w:rPr>
            </w:pPr>
            <w:r>
              <w:rPr>
                <w:rFonts w:hint="eastAsia" w:ascii="宋体" w:hAnsi="宋体" w:eastAsia="宋体" w:cs="宋体"/>
                <w:color w:val="auto"/>
                <w:sz w:val="22"/>
                <w:lang w:bidi="ar"/>
              </w:rPr>
              <w:t>磋商响应文件</w:t>
            </w:r>
          </w:p>
        </w:tc>
        <w:tc>
          <w:tcPr>
            <w:tcW w:w="6816" w:type="dxa"/>
            <w:vAlign w:val="center"/>
          </w:tcPr>
          <w:p w14:paraId="794762BB">
            <w:pPr>
              <w:spacing w:line="360" w:lineRule="auto"/>
              <w:rPr>
                <w:rFonts w:ascii="宋体" w:hAnsi="宋体" w:eastAsia="宋体" w:cs="宋体"/>
                <w:color w:val="auto"/>
                <w:sz w:val="22"/>
                <w:lang w:bidi="ar"/>
              </w:rPr>
            </w:pPr>
            <w:r>
              <w:rPr>
                <w:rFonts w:hint="eastAsia" w:ascii="宋体" w:hAnsi="宋体" w:eastAsia="宋体" w:cs="宋体"/>
                <w:color w:val="auto"/>
                <w:sz w:val="22"/>
                <w:lang w:bidi="ar"/>
              </w:rPr>
              <w:t>1、本项目采用全过程电子化投标，供应商需用 CA 在电子平台上传电子磋商响应文件；</w:t>
            </w:r>
          </w:p>
          <w:p w14:paraId="3245D930">
            <w:pPr>
              <w:spacing w:line="360" w:lineRule="auto"/>
              <w:rPr>
                <w:rFonts w:ascii="宋体" w:hAnsi="宋体" w:eastAsia="宋体" w:cs="宋体"/>
                <w:color w:val="auto"/>
                <w:sz w:val="22"/>
                <w:lang w:bidi="ar"/>
              </w:rPr>
            </w:pPr>
            <w:r>
              <w:rPr>
                <w:rFonts w:hint="eastAsia" w:ascii="宋体" w:hAnsi="宋体" w:eastAsia="宋体" w:cs="宋体"/>
                <w:color w:val="auto"/>
                <w:sz w:val="22"/>
                <w:lang w:bidi="ar"/>
              </w:rPr>
              <w:t>2、开标时不再递交纸质磋商响应文件，成交单位领取成交通知书时提交叁份纸质磋商响应文件（一正两副），磋商响应文件应按以下要求装订：胶装（不得采用活页装订），应有目录，并逐页标注连续页码，需加盖公章。</w:t>
            </w:r>
            <w:r>
              <w:rPr>
                <w:rFonts w:hint="eastAsia" w:ascii="宋体" w:hAnsi="宋体" w:eastAsia="宋体" w:cs="宋体"/>
                <w:color w:val="auto"/>
                <w:sz w:val="22"/>
              </w:rPr>
              <w:t>根据采购人需要，供应商成交后须无偿增印磋商响应文件。</w:t>
            </w:r>
          </w:p>
        </w:tc>
      </w:tr>
      <w:tr w14:paraId="6BFC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DB7BDF4">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3.4</w:t>
            </w:r>
          </w:p>
        </w:tc>
        <w:tc>
          <w:tcPr>
            <w:tcW w:w="1799" w:type="dxa"/>
            <w:vAlign w:val="center"/>
          </w:tcPr>
          <w:p w14:paraId="475B1A7C">
            <w:pPr>
              <w:widowControl/>
              <w:spacing w:line="460" w:lineRule="exact"/>
              <w:rPr>
                <w:rFonts w:ascii="宋体" w:hAnsi="宋体" w:eastAsia="宋体" w:cs="宋体"/>
                <w:bCs/>
                <w:color w:val="auto"/>
                <w:sz w:val="22"/>
                <w:szCs w:val="24"/>
              </w:rPr>
            </w:pPr>
            <w:r>
              <w:rPr>
                <w:rFonts w:hint="eastAsia" w:ascii="宋体" w:hAnsi="宋体" w:eastAsia="宋体" w:cs="宋体"/>
                <w:color w:val="auto"/>
                <w:kern w:val="0"/>
                <w:sz w:val="22"/>
              </w:rPr>
              <w:t>电子化</w:t>
            </w:r>
            <w:r>
              <w:rPr>
                <w:rFonts w:hint="eastAsia" w:ascii="宋体" w:hAnsi="宋体" w:eastAsia="宋体" w:cs="宋体"/>
                <w:color w:val="auto"/>
                <w:sz w:val="22"/>
              </w:rPr>
              <w:t>磋商响应文件</w:t>
            </w:r>
            <w:r>
              <w:rPr>
                <w:rFonts w:hint="eastAsia" w:ascii="宋体" w:hAnsi="宋体" w:eastAsia="宋体" w:cs="宋体"/>
                <w:color w:val="auto"/>
                <w:kern w:val="0"/>
                <w:sz w:val="22"/>
              </w:rPr>
              <w:t>的格式及上传</w:t>
            </w:r>
          </w:p>
        </w:tc>
        <w:tc>
          <w:tcPr>
            <w:tcW w:w="6816" w:type="dxa"/>
            <w:vAlign w:val="center"/>
          </w:tcPr>
          <w:p w14:paraId="2A354F8E">
            <w:pPr>
              <w:widowControl/>
              <w:spacing w:line="460" w:lineRule="exact"/>
              <w:rPr>
                <w:rFonts w:ascii="宋体" w:hAnsi="宋体" w:eastAsia="宋体" w:cs="宋体"/>
                <w:color w:val="auto"/>
                <w:kern w:val="0"/>
                <w:sz w:val="22"/>
              </w:rPr>
            </w:pPr>
            <w:r>
              <w:rPr>
                <w:rFonts w:hint="eastAsia" w:ascii="宋体" w:hAnsi="宋体" w:eastAsia="宋体" w:cs="宋体"/>
                <w:color w:val="auto"/>
                <w:kern w:val="0"/>
                <w:sz w:val="22"/>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65A672BA">
            <w:pPr>
              <w:widowControl/>
              <w:spacing w:line="460" w:lineRule="exact"/>
              <w:rPr>
                <w:rFonts w:ascii="宋体" w:hAnsi="宋体" w:eastAsia="宋体" w:cs="宋体"/>
                <w:color w:val="auto"/>
                <w:kern w:val="0"/>
                <w:sz w:val="22"/>
              </w:rPr>
            </w:pPr>
            <w:r>
              <w:rPr>
                <w:rFonts w:hint="eastAsia" w:ascii="宋体" w:hAnsi="宋体" w:eastAsia="宋体" w:cs="宋体"/>
                <w:color w:val="auto"/>
                <w:kern w:val="0"/>
                <w:sz w:val="22"/>
              </w:rPr>
              <w:t>2、电子化磋商响应文件应在磋商截止时间前成功上传至三门峡市公共资源电子化交易系统。至磋商截止时间止，仍未上传成功的电子化磋商响应文件将不予接收。</w:t>
            </w:r>
          </w:p>
          <w:p w14:paraId="2CE977D4">
            <w:pPr>
              <w:widowControl/>
              <w:spacing w:line="460" w:lineRule="exact"/>
              <w:ind w:left="34" w:leftChars="16" w:firstLine="389" w:firstLineChars="177"/>
              <w:rPr>
                <w:rFonts w:ascii="宋体" w:hAnsi="宋体" w:eastAsia="宋体" w:cs="宋体"/>
                <w:color w:val="auto"/>
                <w:sz w:val="22"/>
                <w:szCs w:val="24"/>
                <w:lang w:val="zh-CN"/>
              </w:rPr>
            </w:pPr>
            <w:r>
              <w:rPr>
                <w:rFonts w:hint="eastAsia" w:ascii="宋体" w:hAnsi="宋体" w:eastAsia="宋体" w:cs="宋体"/>
                <w:color w:val="auto"/>
                <w:kern w:val="0"/>
                <w:sz w:val="22"/>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tc>
      </w:tr>
      <w:tr w14:paraId="0EE5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B897354">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3.5</w:t>
            </w:r>
          </w:p>
        </w:tc>
        <w:tc>
          <w:tcPr>
            <w:tcW w:w="1799" w:type="dxa"/>
            <w:vAlign w:val="center"/>
          </w:tcPr>
          <w:p w14:paraId="54191558">
            <w:pPr>
              <w:widowControl/>
              <w:spacing w:line="460" w:lineRule="exact"/>
              <w:rPr>
                <w:rFonts w:ascii="宋体" w:hAnsi="宋体" w:eastAsia="宋体" w:cs="宋体"/>
                <w:bCs/>
                <w:color w:val="auto"/>
                <w:kern w:val="44"/>
                <w:sz w:val="22"/>
                <w:szCs w:val="24"/>
              </w:rPr>
            </w:pPr>
            <w:r>
              <w:rPr>
                <w:rFonts w:hint="eastAsia" w:ascii="宋体" w:hAnsi="宋体" w:eastAsia="宋体" w:cs="宋体"/>
                <w:color w:val="auto"/>
                <w:sz w:val="22"/>
                <w:szCs w:val="24"/>
                <w:lang w:val="zh-CN"/>
              </w:rPr>
              <w:t>磋商</w:t>
            </w:r>
            <w:r>
              <w:rPr>
                <w:rFonts w:hint="eastAsia" w:ascii="宋体" w:hAnsi="宋体" w:eastAsia="宋体" w:cs="宋体"/>
                <w:bCs/>
                <w:color w:val="auto"/>
                <w:kern w:val="44"/>
                <w:sz w:val="22"/>
                <w:szCs w:val="24"/>
              </w:rPr>
              <w:t>时间和地点</w:t>
            </w:r>
          </w:p>
        </w:tc>
        <w:tc>
          <w:tcPr>
            <w:tcW w:w="6816" w:type="dxa"/>
            <w:vAlign w:val="center"/>
          </w:tcPr>
          <w:p w14:paraId="2B768E52">
            <w:pPr>
              <w:widowControl/>
              <w:spacing w:line="460" w:lineRule="exact"/>
              <w:ind w:left="34" w:leftChars="16"/>
              <w:jc w:val="left"/>
              <w:rPr>
                <w:rFonts w:hint="eastAsia" w:ascii="宋体" w:hAnsi="宋体" w:eastAsia="宋体" w:cs="宋体"/>
                <w:color w:val="auto"/>
                <w:sz w:val="22"/>
                <w:szCs w:val="24"/>
                <w:lang w:eastAsia="zh-CN"/>
              </w:rPr>
            </w:pPr>
            <w:r>
              <w:rPr>
                <w:rFonts w:hint="eastAsia" w:ascii="宋体" w:hAnsi="宋体" w:eastAsia="宋体" w:cs="宋体"/>
                <w:color w:val="auto"/>
                <w:kern w:val="0"/>
                <w:sz w:val="22"/>
                <w:szCs w:val="24"/>
              </w:rPr>
              <w:t>时间：</w:t>
            </w:r>
            <w:r>
              <w:rPr>
                <w:rFonts w:hint="eastAsia" w:ascii="宋体" w:hAnsi="宋体" w:eastAsia="宋体" w:cs="宋体"/>
                <w:color w:val="auto"/>
                <w:sz w:val="22"/>
                <w:szCs w:val="24"/>
                <w:lang w:eastAsia="zh-CN"/>
              </w:rPr>
              <w:t>2026年6月12日08时30分</w:t>
            </w:r>
          </w:p>
          <w:p w14:paraId="5F30E095">
            <w:pPr>
              <w:widowControl/>
              <w:spacing w:line="460" w:lineRule="exact"/>
              <w:ind w:left="34" w:leftChars="16"/>
              <w:jc w:val="left"/>
              <w:rPr>
                <w:rFonts w:ascii="宋体" w:hAnsi="宋体" w:eastAsia="宋体" w:cs="宋体"/>
                <w:bCs/>
                <w:color w:val="auto"/>
                <w:kern w:val="44"/>
                <w:sz w:val="22"/>
                <w:szCs w:val="24"/>
              </w:rPr>
            </w:pPr>
            <w:r>
              <w:rPr>
                <w:rFonts w:hint="eastAsia" w:ascii="宋体" w:hAnsi="宋体" w:eastAsia="宋体" w:cs="宋体"/>
                <w:color w:val="auto"/>
                <w:kern w:val="0"/>
                <w:sz w:val="22"/>
                <w:szCs w:val="24"/>
              </w:rPr>
              <w:t>地点：</w:t>
            </w:r>
            <w:r>
              <w:rPr>
                <w:rFonts w:hint="eastAsia" w:ascii="宋体" w:hAnsi="宋体" w:eastAsia="宋体" w:cs="宋体"/>
                <w:color w:val="auto"/>
                <w:sz w:val="22"/>
              </w:rPr>
              <w:t>三门峡市公共资源交易中心五楼开标区</w:t>
            </w:r>
            <w:r>
              <w:rPr>
                <w:rFonts w:hint="eastAsia" w:ascii="宋体" w:hAnsi="宋体" w:eastAsia="宋体" w:cs="宋体"/>
                <w:color w:val="auto"/>
                <w:sz w:val="22"/>
                <w:szCs w:val="24"/>
              </w:rPr>
              <w:t>。</w:t>
            </w:r>
          </w:p>
        </w:tc>
      </w:tr>
      <w:tr w14:paraId="35DD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91603DF">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3.6</w:t>
            </w:r>
          </w:p>
        </w:tc>
        <w:tc>
          <w:tcPr>
            <w:tcW w:w="1799" w:type="dxa"/>
            <w:vAlign w:val="center"/>
          </w:tcPr>
          <w:p w14:paraId="7B381E00">
            <w:pPr>
              <w:widowControl/>
              <w:spacing w:line="460" w:lineRule="exact"/>
              <w:rPr>
                <w:rFonts w:ascii="宋体" w:hAnsi="宋体" w:eastAsia="宋体" w:cs="宋体"/>
                <w:bCs/>
                <w:color w:val="auto"/>
                <w:kern w:val="44"/>
                <w:sz w:val="22"/>
                <w:szCs w:val="24"/>
              </w:rPr>
            </w:pPr>
            <w:r>
              <w:rPr>
                <w:rFonts w:hint="eastAsia" w:ascii="宋体" w:hAnsi="宋体" w:eastAsia="宋体" w:cs="宋体"/>
                <w:bCs/>
                <w:color w:val="auto"/>
                <w:sz w:val="22"/>
                <w:szCs w:val="24"/>
              </w:rPr>
              <w:t>磋商小组</w:t>
            </w:r>
            <w:r>
              <w:rPr>
                <w:rFonts w:hint="eastAsia" w:ascii="宋体" w:hAnsi="宋体" w:eastAsia="宋体" w:cs="宋体"/>
                <w:bCs/>
                <w:color w:val="auto"/>
                <w:kern w:val="44"/>
                <w:sz w:val="22"/>
                <w:szCs w:val="24"/>
              </w:rPr>
              <w:t>的组建</w:t>
            </w:r>
          </w:p>
        </w:tc>
        <w:tc>
          <w:tcPr>
            <w:tcW w:w="6816" w:type="dxa"/>
            <w:vAlign w:val="center"/>
          </w:tcPr>
          <w:p w14:paraId="6C3E10F9">
            <w:pPr>
              <w:widowControl/>
              <w:spacing w:line="460" w:lineRule="exact"/>
              <w:ind w:left="34" w:leftChars="16"/>
              <w:jc w:val="left"/>
              <w:rPr>
                <w:rFonts w:ascii="宋体" w:hAnsi="宋体" w:eastAsia="宋体" w:cs="宋体"/>
                <w:bCs/>
                <w:color w:val="auto"/>
                <w:sz w:val="22"/>
                <w:szCs w:val="24"/>
              </w:rPr>
            </w:pPr>
            <w:r>
              <w:rPr>
                <w:rFonts w:hint="eastAsia" w:ascii="宋体" w:hAnsi="宋体" w:eastAsia="宋体" w:cs="宋体"/>
                <w:bCs/>
                <w:color w:val="auto"/>
                <w:sz w:val="22"/>
                <w:szCs w:val="24"/>
              </w:rPr>
              <w:t>磋商小组</w:t>
            </w:r>
            <w:r>
              <w:rPr>
                <w:rFonts w:hint="eastAsia" w:ascii="宋体" w:hAnsi="宋体" w:eastAsia="宋体" w:cs="宋体"/>
                <w:bCs/>
                <w:color w:val="auto"/>
                <w:kern w:val="44"/>
                <w:sz w:val="22"/>
                <w:szCs w:val="24"/>
                <w:lang w:eastAsia="zh-CN"/>
              </w:rPr>
              <w:t>由采购人代表1人，有关技术、经济方面的专家2人，共3人组成</w:t>
            </w:r>
            <w:r>
              <w:rPr>
                <w:rFonts w:hint="eastAsia" w:ascii="宋体" w:hAnsi="宋体" w:eastAsia="宋体" w:cs="宋体"/>
                <w:bCs/>
                <w:color w:val="auto"/>
                <w:kern w:val="44"/>
                <w:sz w:val="22"/>
                <w:szCs w:val="24"/>
              </w:rPr>
              <w:t>。通过三门峡市公共资源交易中心抽取终端从河南省政府采购评审专家库中随机抽取。</w:t>
            </w:r>
          </w:p>
        </w:tc>
      </w:tr>
      <w:tr w14:paraId="7914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A0FD4A3">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3.7</w:t>
            </w:r>
          </w:p>
        </w:tc>
        <w:tc>
          <w:tcPr>
            <w:tcW w:w="1799" w:type="dxa"/>
            <w:vAlign w:val="center"/>
          </w:tcPr>
          <w:p w14:paraId="030825D9">
            <w:pPr>
              <w:widowControl/>
              <w:spacing w:line="460" w:lineRule="exact"/>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是否授权</w:t>
            </w:r>
            <w:r>
              <w:rPr>
                <w:rFonts w:hint="eastAsia" w:ascii="宋体" w:hAnsi="宋体" w:eastAsia="宋体" w:cs="宋体"/>
                <w:bCs/>
                <w:color w:val="auto"/>
                <w:sz w:val="22"/>
                <w:szCs w:val="24"/>
              </w:rPr>
              <w:t>磋商小组</w:t>
            </w:r>
            <w:r>
              <w:rPr>
                <w:rFonts w:hint="eastAsia" w:ascii="宋体" w:hAnsi="宋体" w:eastAsia="宋体" w:cs="宋体"/>
                <w:bCs/>
                <w:color w:val="auto"/>
                <w:kern w:val="44"/>
                <w:sz w:val="22"/>
                <w:szCs w:val="24"/>
              </w:rPr>
              <w:t>确定成交人</w:t>
            </w:r>
          </w:p>
        </w:tc>
        <w:tc>
          <w:tcPr>
            <w:tcW w:w="6816" w:type="dxa"/>
            <w:vAlign w:val="center"/>
          </w:tcPr>
          <w:p w14:paraId="5754A51F">
            <w:pPr>
              <w:widowControl/>
              <w:spacing w:line="460" w:lineRule="exact"/>
              <w:ind w:left="34" w:leftChars="16"/>
              <w:jc w:val="left"/>
              <w:rPr>
                <w:rFonts w:ascii="宋体" w:hAnsi="宋体" w:eastAsia="宋体" w:cs="宋体"/>
                <w:bCs/>
                <w:color w:val="auto"/>
                <w:kern w:val="44"/>
                <w:sz w:val="22"/>
                <w:szCs w:val="24"/>
              </w:rPr>
            </w:pPr>
            <w:r>
              <w:rPr>
                <w:rFonts w:hint="eastAsia" w:ascii="宋体" w:hAnsi="宋体" w:eastAsia="宋体" w:cs="宋体"/>
                <w:bCs/>
                <w:color w:val="auto"/>
                <w:kern w:val="44"/>
                <w:sz w:val="22"/>
                <w:szCs w:val="24"/>
              </w:rPr>
              <w:t>否，</w:t>
            </w:r>
            <w:r>
              <w:rPr>
                <w:rFonts w:hint="eastAsia" w:ascii="宋体" w:hAnsi="宋体" w:eastAsia="宋体" w:cs="Times New Roman"/>
                <w:color w:val="auto"/>
                <w:sz w:val="22"/>
                <w:szCs w:val="24"/>
              </w:rPr>
              <w:t>推荐的成交候选人数：三名。</w:t>
            </w:r>
          </w:p>
        </w:tc>
      </w:tr>
      <w:tr w14:paraId="0938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99DBC85">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3.8</w:t>
            </w:r>
          </w:p>
        </w:tc>
        <w:tc>
          <w:tcPr>
            <w:tcW w:w="1799" w:type="dxa"/>
            <w:vAlign w:val="center"/>
          </w:tcPr>
          <w:p w14:paraId="716FFAAD">
            <w:pPr>
              <w:widowControl/>
              <w:adjustRightInd w:val="0"/>
              <w:snapToGrid w:val="0"/>
              <w:spacing w:line="460" w:lineRule="exact"/>
              <w:rPr>
                <w:rFonts w:ascii="宋体" w:hAnsi="宋体" w:eastAsia="宋体" w:cs="宋体"/>
                <w:color w:val="auto"/>
                <w:kern w:val="0"/>
                <w:sz w:val="22"/>
                <w:szCs w:val="24"/>
              </w:rPr>
            </w:pPr>
            <w:r>
              <w:rPr>
                <w:rFonts w:hint="eastAsia" w:ascii="宋体" w:hAnsi="宋体" w:eastAsia="宋体" w:cs="宋体"/>
                <w:color w:val="auto"/>
                <w:sz w:val="22"/>
                <w:szCs w:val="24"/>
              </w:rPr>
              <w:t>付款方式</w:t>
            </w:r>
          </w:p>
        </w:tc>
        <w:tc>
          <w:tcPr>
            <w:tcW w:w="6816" w:type="dxa"/>
            <w:vAlign w:val="center"/>
          </w:tcPr>
          <w:p w14:paraId="057A85BB">
            <w:pPr>
              <w:widowControl/>
              <w:adjustRightInd w:val="0"/>
              <w:snapToGrid w:val="0"/>
              <w:spacing w:line="460" w:lineRule="exact"/>
              <w:ind w:left="34" w:leftChars="16"/>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签订合同时双方另行协商。</w:t>
            </w:r>
          </w:p>
        </w:tc>
      </w:tr>
      <w:tr w14:paraId="5199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445ECE96">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3.9</w:t>
            </w:r>
          </w:p>
        </w:tc>
        <w:tc>
          <w:tcPr>
            <w:tcW w:w="1799" w:type="dxa"/>
            <w:vAlign w:val="center"/>
          </w:tcPr>
          <w:p w14:paraId="6F95BD8F">
            <w:pPr>
              <w:widowControl/>
              <w:spacing w:line="480" w:lineRule="exact"/>
              <w:rPr>
                <w:rFonts w:ascii="宋体" w:hAnsi="宋体" w:eastAsia="宋体" w:cs="宋体"/>
                <w:color w:val="auto"/>
                <w:kern w:val="0"/>
                <w:sz w:val="22"/>
              </w:rPr>
            </w:pPr>
            <w:r>
              <w:rPr>
                <w:rFonts w:hint="eastAsia" w:ascii="宋体" w:hAnsi="宋体" w:eastAsia="宋体" w:cs="宋体"/>
                <w:color w:val="auto"/>
                <w:kern w:val="0"/>
                <w:sz w:val="22"/>
              </w:rPr>
              <w:t>成交公告</w:t>
            </w:r>
          </w:p>
        </w:tc>
        <w:tc>
          <w:tcPr>
            <w:tcW w:w="6816" w:type="dxa"/>
            <w:vAlign w:val="center"/>
          </w:tcPr>
          <w:p w14:paraId="776EBAC2">
            <w:pPr>
              <w:widowControl/>
              <w:spacing w:line="480" w:lineRule="exact"/>
              <w:jc w:val="left"/>
              <w:rPr>
                <w:rFonts w:ascii="宋体" w:hAnsi="宋体" w:eastAsia="宋体" w:cs="宋体"/>
                <w:color w:val="auto"/>
                <w:kern w:val="0"/>
                <w:sz w:val="22"/>
              </w:rPr>
            </w:pPr>
            <w:r>
              <w:rPr>
                <w:rFonts w:hint="eastAsia" w:ascii="宋体" w:hAnsi="宋体" w:eastAsia="宋体" w:cs="宋体"/>
                <w:color w:val="auto"/>
                <w:kern w:val="0"/>
                <w:sz w:val="22"/>
              </w:rPr>
              <w:t>在成交通知书发出前，采购人将成交情况在本项目竞争性磋商公告发布的同一媒介发布，公告期限1个工作日。</w:t>
            </w:r>
          </w:p>
        </w:tc>
      </w:tr>
      <w:tr w14:paraId="6FE5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41F8DC9">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4.0</w:t>
            </w:r>
          </w:p>
        </w:tc>
        <w:tc>
          <w:tcPr>
            <w:tcW w:w="1799" w:type="dxa"/>
            <w:vAlign w:val="center"/>
          </w:tcPr>
          <w:p w14:paraId="2530D154">
            <w:pPr>
              <w:spacing w:line="460" w:lineRule="exact"/>
              <w:rPr>
                <w:rFonts w:ascii="宋体" w:hAnsi="宋体" w:eastAsia="宋体" w:cs="Times New Roman"/>
                <w:color w:val="auto"/>
                <w:kern w:val="0"/>
                <w:sz w:val="22"/>
                <w:szCs w:val="24"/>
              </w:rPr>
            </w:pPr>
            <w:r>
              <w:rPr>
                <w:rFonts w:hint="eastAsia" w:ascii="宋体" w:hAnsi="宋体" w:eastAsia="宋体" w:cs="Times New Roman"/>
                <w:color w:val="auto"/>
                <w:kern w:val="0"/>
                <w:sz w:val="22"/>
                <w:szCs w:val="24"/>
              </w:rPr>
              <w:t>履约保证金</w:t>
            </w:r>
          </w:p>
        </w:tc>
        <w:tc>
          <w:tcPr>
            <w:tcW w:w="6816" w:type="dxa"/>
            <w:vAlign w:val="center"/>
          </w:tcPr>
          <w:p w14:paraId="0DE22AE7">
            <w:pPr>
              <w:spacing w:line="460" w:lineRule="exact"/>
              <w:jc w:val="left"/>
              <w:rPr>
                <w:rFonts w:ascii="宋体" w:hAnsi="宋体" w:eastAsia="宋体" w:cs="Times New Roman"/>
                <w:color w:val="auto"/>
                <w:kern w:val="0"/>
                <w:sz w:val="22"/>
                <w:szCs w:val="24"/>
              </w:rPr>
            </w:pPr>
            <w:r>
              <w:rPr>
                <w:rFonts w:ascii="宋体" w:hAnsi="宋体" w:eastAsia="宋体" w:cs="Times New Roman"/>
                <w:color w:val="auto"/>
                <w:kern w:val="0"/>
                <w:sz w:val="22"/>
                <w:szCs w:val="24"/>
              </w:rPr>
              <w:t>本项目不收取</w:t>
            </w:r>
          </w:p>
        </w:tc>
      </w:tr>
      <w:tr w14:paraId="5EF4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ED26315">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4.1</w:t>
            </w:r>
          </w:p>
        </w:tc>
        <w:tc>
          <w:tcPr>
            <w:tcW w:w="1799" w:type="dxa"/>
            <w:vAlign w:val="center"/>
          </w:tcPr>
          <w:p w14:paraId="3352E3C4">
            <w:pPr>
              <w:widowControl/>
              <w:adjustRightInd w:val="0"/>
              <w:snapToGrid w:val="0"/>
              <w:spacing w:line="460" w:lineRule="exact"/>
              <w:rPr>
                <w:rFonts w:ascii="宋体" w:hAnsi="宋体" w:eastAsia="宋体" w:cs="宋体"/>
                <w:color w:val="auto"/>
                <w:kern w:val="0"/>
                <w:sz w:val="22"/>
                <w:szCs w:val="24"/>
              </w:rPr>
            </w:pPr>
            <w:r>
              <w:rPr>
                <w:rFonts w:hint="eastAsia" w:ascii="宋体" w:hAnsi="宋体" w:eastAsia="宋体" w:cs="宋体"/>
                <w:color w:val="auto"/>
                <w:kern w:val="0"/>
                <w:sz w:val="22"/>
                <w:szCs w:val="24"/>
              </w:rPr>
              <w:t>投标最高限价</w:t>
            </w:r>
          </w:p>
        </w:tc>
        <w:tc>
          <w:tcPr>
            <w:tcW w:w="6816" w:type="dxa"/>
            <w:vAlign w:val="center"/>
          </w:tcPr>
          <w:p w14:paraId="79B02880">
            <w:pPr>
              <w:widowControl/>
              <w:adjustRightInd w:val="0"/>
              <w:snapToGrid w:val="0"/>
              <w:spacing w:line="460" w:lineRule="exact"/>
              <w:ind w:left="34" w:leftChars="16"/>
              <w:jc w:val="left"/>
              <w:rPr>
                <w:rFonts w:ascii="宋体" w:hAnsi="宋体" w:eastAsia="宋体" w:cs="宋体"/>
                <w:color w:val="auto"/>
                <w:kern w:val="0"/>
                <w:sz w:val="22"/>
                <w:szCs w:val="24"/>
              </w:rPr>
            </w:pPr>
            <w:r>
              <w:rPr>
                <w:rFonts w:hint="eastAsia" w:ascii="宋体" w:hAnsi="宋体" w:eastAsia="宋体" w:cs="Times New Roman"/>
                <w:color w:val="auto"/>
                <w:sz w:val="22"/>
                <w:szCs w:val="24"/>
              </w:rPr>
              <w:t>人民币</w:t>
            </w:r>
            <w:r>
              <w:rPr>
                <w:rFonts w:hint="eastAsia" w:ascii="宋体" w:hAnsi="宋体" w:eastAsia="宋体" w:cs="Times New Roman"/>
                <w:color w:val="auto"/>
                <w:sz w:val="22"/>
                <w:szCs w:val="24"/>
                <w:lang w:val="en-US" w:eastAsia="zh-CN"/>
              </w:rPr>
              <w:t>肆拾柒万壹仟玖佰元整</w:t>
            </w:r>
            <w:r>
              <w:rPr>
                <w:rFonts w:hint="eastAsia" w:ascii="宋体" w:hAnsi="宋体" w:eastAsia="宋体" w:cs="Times New Roman"/>
                <w:color w:val="auto"/>
                <w:sz w:val="22"/>
                <w:szCs w:val="24"/>
              </w:rPr>
              <w:t>（</w:t>
            </w:r>
            <w:r>
              <w:rPr>
                <w:rFonts w:hint="eastAsia" w:ascii="宋体" w:hAnsi="宋体" w:eastAsia="宋体" w:cs="宋体"/>
                <w:color w:val="auto"/>
                <w:sz w:val="22"/>
              </w:rPr>
              <w:t>¥：</w:t>
            </w:r>
            <w:r>
              <w:rPr>
                <w:rFonts w:hint="eastAsia" w:ascii="宋体" w:hAnsi="宋体" w:eastAsia="宋体" w:cs="宋体"/>
                <w:color w:val="auto"/>
                <w:sz w:val="22"/>
                <w:lang w:eastAsia="zh-CN"/>
              </w:rPr>
              <w:t>471900.00</w:t>
            </w:r>
            <w:r>
              <w:rPr>
                <w:rFonts w:hint="eastAsia" w:ascii="宋体" w:hAnsi="宋体" w:eastAsia="宋体" w:cs="宋体"/>
                <w:color w:val="auto"/>
                <w:sz w:val="22"/>
              </w:rPr>
              <w:t>元</w:t>
            </w:r>
            <w:r>
              <w:rPr>
                <w:rFonts w:hint="eastAsia" w:ascii="宋体" w:hAnsi="宋体" w:eastAsia="宋体" w:cs="Times New Roman"/>
                <w:color w:val="auto"/>
                <w:sz w:val="22"/>
                <w:szCs w:val="24"/>
              </w:rPr>
              <w:t>）凡磋商供应商的磋商报价超出“投标最高限价”的，该磋商供应商的磋商响应文件应作无效标处理。</w:t>
            </w:r>
          </w:p>
        </w:tc>
      </w:tr>
      <w:tr w14:paraId="5047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6FB02A6">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4.2</w:t>
            </w:r>
          </w:p>
        </w:tc>
        <w:tc>
          <w:tcPr>
            <w:tcW w:w="1799" w:type="dxa"/>
            <w:vAlign w:val="center"/>
          </w:tcPr>
          <w:p w14:paraId="63178BB5">
            <w:pPr>
              <w:widowControl/>
              <w:adjustRightInd w:val="0"/>
              <w:snapToGrid w:val="0"/>
              <w:spacing w:line="460" w:lineRule="exact"/>
              <w:rPr>
                <w:rFonts w:ascii="宋体" w:hAnsi="宋体" w:eastAsia="宋体" w:cs="宋体"/>
                <w:color w:val="auto"/>
                <w:kern w:val="0"/>
                <w:sz w:val="22"/>
                <w:szCs w:val="24"/>
              </w:rPr>
            </w:pPr>
            <w:r>
              <w:rPr>
                <w:rFonts w:hint="eastAsia" w:ascii="宋体" w:hAnsi="宋体" w:eastAsia="宋体" w:cs="宋体"/>
                <w:b/>
                <w:bCs/>
                <w:color w:val="auto"/>
                <w:kern w:val="0"/>
                <w:sz w:val="22"/>
                <w:szCs w:val="24"/>
              </w:rPr>
              <w:t>所属行业</w:t>
            </w:r>
          </w:p>
        </w:tc>
        <w:tc>
          <w:tcPr>
            <w:tcW w:w="6816" w:type="dxa"/>
            <w:vAlign w:val="center"/>
          </w:tcPr>
          <w:p w14:paraId="45DA3718">
            <w:pPr>
              <w:widowControl/>
              <w:adjustRightInd w:val="0"/>
              <w:snapToGrid w:val="0"/>
              <w:spacing w:line="460" w:lineRule="exact"/>
              <w:ind w:left="34" w:leftChars="16"/>
              <w:jc w:val="left"/>
              <w:rPr>
                <w:rFonts w:ascii="宋体" w:hAnsi="宋体" w:eastAsia="宋体" w:cs="Times New Roman"/>
                <w:color w:val="auto"/>
                <w:sz w:val="22"/>
                <w:szCs w:val="24"/>
              </w:rPr>
            </w:pPr>
            <w:r>
              <w:rPr>
                <w:rFonts w:hint="eastAsia" w:ascii="宋体" w:hAnsi="宋体" w:eastAsia="宋体" w:cs="Times New Roman"/>
                <w:color w:val="auto"/>
                <w:sz w:val="22"/>
                <w:szCs w:val="24"/>
              </w:rPr>
              <w:t>根据《关于印发中小企业划型标准规定的通知》（工信部联企业〔2011〕300号）的通知，行业划分具体为：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Times New Roman"/>
                <w:b w:val="0"/>
                <w:bCs w:val="0"/>
                <w:color w:val="auto"/>
                <w:sz w:val="22"/>
                <w:szCs w:val="24"/>
              </w:rPr>
              <w:t>。</w:t>
            </w:r>
            <w:r>
              <w:rPr>
                <w:rFonts w:hint="eastAsia" w:ascii="宋体" w:hAnsi="宋体" w:eastAsia="宋体" w:cs="Times New Roman"/>
                <w:b/>
                <w:bCs/>
                <w:color w:val="auto"/>
                <w:sz w:val="22"/>
                <w:szCs w:val="24"/>
              </w:rPr>
              <w:t>本项目属于其他未列明行业。</w:t>
            </w:r>
          </w:p>
        </w:tc>
      </w:tr>
      <w:tr w14:paraId="390E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6B3028B">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4.3</w:t>
            </w:r>
          </w:p>
        </w:tc>
        <w:tc>
          <w:tcPr>
            <w:tcW w:w="1799" w:type="dxa"/>
            <w:vAlign w:val="center"/>
          </w:tcPr>
          <w:p w14:paraId="04D36258">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代理服务费</w:t>
            </w:r>
          </w:p>
        </w:tc>
        <w:tc>
          <w:tcPr>
            <w:tcW w:w="6816" w:type="dxa"/>
            <w:vAlign w:val="center"/>
          </w:tcPr>
          <w:p w14:paraId="3CC9552C">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代理服务费的收取：执行河南省招标投标协会关于印发《河南省招标代理服务收费指导意见》的通知(豫招协[2023]002号)收费标准，招标代理服务费由成交人在领取成交通知书前支付。</w:t>
            </w:r>
          </w:p>
        </w:tc>
      </w:tr>
      <w:tr w14:paraId="7B1C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229FD6A">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4.4</w:t>
            </w:r>
          </w:p>
        </w:tc>
        <w:tc>
          <w:tcPr>
            <w:tcW w:w="1799" w:type="dxa"/>
            <w:vAlign w:val="center"/>
          </w:tcPr>
          <w:p w14:paraId="6BE96BFD">
            <w:pPr>
              <w:widowControl/>
              <w:spacing w:line="460" w:lineRule="exact"/>
              <w:rPr>
                <w:rFonts w:ascii="宋体" w:hAnsi="宋体" w:eastAsia="宋体" w:cs="宋体"/>
                <w:color w:val="auto"/>
                <w:kern w:val="0"/>
                <w:sz w:val="22"/>
              </w:rPr>
            </w:pPr>
            <w:r>
              <w:rPr>
                <w:rFonts w:hint="eastAsia" w:ascii="宋体" w:hAnsi="宋体" w:eastAsia="宋体" w:cs="宋体"/>
                <w:color w:val="auto"/>
                <w:kern w:val="0"/>
                <w:sz w:val="22"/>
              </w:rPr>
              <w:t>其他事项</w:t>
            </w:r>
          </w:p>
        </w:tc>
        <w:tc>
          <w:tcPr>
            <w:tcW w:w="6816" w:type="dxa"/>
            <w:vAlign w:val="center"/>
          </w:tcPr>
          <w:p w14:paraId="46300C88">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本项目实行资格后审，根据优化营商环境的要求，评标时审查内容以响应文件为准：</w:t>
            </w:r>
          </w:p>
          <w:p w14:paraId="50F25244">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1、资格评（预）审部分：资格评（预）以响应文件为准，其上传资料真实性由供应商自行承担。</w:t>
            </w:r>
          </w:p>
          <w:p w14:paraId="5CF1B192">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2、评标打分部分：评标打分部分仍按照100分制原则进行，涉及到资格审查、企业荣誉、人员业绩、企业业绩等计分部分时，以投标单位自行上传到响应文件中的相应内容为准。</w:t>
            </w:r>
          </w:p>
          <w:p w14:paraId="4145E2D5">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 xml:space="preserve">3、响应文件编制部分：在招标文件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 </w:t>
            </w:r>
          </w:p>
          <w:p w14:paraId="3DE16957">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4、我单位（采购人）严格按三财购【2021】9号文要求的时限发布中标结果公告，发出中标通知书，签订采购合同，上传采购合同。</w:t>
            </w:r>
          </w:p>
          <w:p w14:paraId="6D47B386">
            <w:pPr>
              <w:widowControl/>
              <w:spacing w:line="360" w:lineRule="auto"/>
              <w:jc w:val="left"/>
              <w:rPr>
                <w:rFonts w:ascii="宋体" w:hAnsi="宋体" w:eastAsia="宋体" w:cs="宋体"/>
                <w:color w:val="auto"/>
                <w:sz w:val="22"/>
              </w:rPr>
            </w:pPr>
            <w:r>
              <w:rPr>
                <w:rFonts w:hint="eastAsia" w:ascii="宋体" w:hAnsi="宋体" w:eastAsia="宋体" w:cs="宋体"/>
                <w:color w:val="auto"/>
                <w:sz w:val="22"/>
              </w:rPr>
              <w:t>5、本项目可使用电子营业执照。</w:t>
            </w:r>
          </w:p>
        </w:tc>
      </w:tr>
      <w:tr w14:paraId="236E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31AB6AF">
            <w:pPr>
              <w:autoSpaceDE w:val="0"/>
              <w:autoSpaceDN w:val="0"/>
              <w:adjustRightInd w:val="0"/>
              <w:spacing w:line="460" w:lineRule="exact"/>
              <w:rPr>
                <w:rFonts w:ascii="宋体" w:hAnsi="宋体" w:eastAsia="宋体" w:cs="宋体"/>
                <w:color w:val="auto"/>
                <w:sz w:val="22"/>
                <w:szCs w:val="24"/>
              </w:rPr>
            </w:pPr>
            <w:r>
              <w:rPr>
                <w:rFonts w:hint="eastAsia" w:ascii="宋体" w:hAnsi="宋体" w:eastAsia="宋体" w:cs="宋体"/>
                <w:color w:val="auto"/>
                <w:sz w:val="22"/>
                <w:szCs w:val="24"/>
              </w:rPr>
              <w:t>4.5</w:t>
            </w:r>
          </w:p>
        </w:tc>
        <w:tc>
          <w:tcPr>
            <w:tcW w:w="1799" w:type="dxa"/>
            <w:vAlign w:val="center"/>
          </w:tcPr>
          <w:p w14:paraId="6453CFF9">
            <w:pPr>
              <w:widowControl/>
              <w:spacing w:line="460" w:lineRule="exact"/>
              <w:rPr>
                <w:rFonts w:ascii="宋体" w:hAnsi="宋体" w:eastAsia="宋体" w:cs="宋体"/>
                <w:color w:val="auto"/>
                <w:kern w:val="0"/>
                <w:sz w:val="22"/>
              </w:rPr>
            </w:pPr>
            <w:r>
              <w:rPr>
                <w:rFonts w:hint="eastAsia" w:ascii="宋体" w:hAnsi="宋体" w:eastAsia="宋体" w:cs="宋体"/>
                <w:color w:val="auto"/>
                <w:kern w:val="0"/>
                <w:sz w:val="22"/>
              </w:rPr>
              <w:t>电子化交易注意事项</w:t>
            </w:r>
          </w:p>
        </w:tc>
        <w:tc>
          <w:tcPr>
            <w:tcW w:w="6816" w:type="dxa"/>
            <w:vAlign w:val="center"/>
          </w:tcPr>
          <w:p w14:paraId="47042B2E">
            <w:pPr>
              <w:spacing w:line="360" w:lineRule="auto"/>
              <w:rPr>
                <w:rFonts w:ascii="宋体" w:hAnsi="宋体" w:eastAsia="宋体" w:cs="宋体"/>
                <w:color w:val="auto"/>
                <w:sz w:val="22"/>
              </w:rPr>
            </w:pPr>
            <w:r>
              <w:rPr>
                <w:rFonts w:hint="eastAsia" w:ascii="宋体" w:hAnsi="宋体" w:eastAsia="宋体" w:cs="宋体"/>
                <w:color w:val="auto"/>
                <w:sz w:val="22"/>
              </w:rPr>
              <w:t>具体要求：本项目为电子化、无纸化交易项目，磋商响应文件是供应商通过中心磋商响应文件制作系统制作，并经过签章和加密后生成的电子版磋商响应文件。</w:t>
            </w:r>
          </w:p>
          <w:p w14:paraId="0CED47F0">
            <w:pPr>
              <w:spacing w:line="360" w:lineRule="auto"/>
              <w:rPr>
                <w:rFonts w:ascii="宋体" w:hAnsi="宋体" w:eastAsia="宋体" w:cs="宋体"/>
                <w:color w:val="auto"/>
                <w:sz w:val="22"/>
              </w:rPr>
            </w:pPr>
            <w:r>
              <w:rPr>
                <w:rFonts w:hint="eastAsia" w:ascii="宋体" w:hAnsi="宋体" w:eastAsia="宋体" w:cs="宋体"/>
                <w:color w:val="auto"/>
                <w:sz w:val="22"/>
              </w:rPr>
              <w:t>电子化磋商响应文件具体制作文件请点击</w:t>
            </w:r>
            <w:r>
              <w:rPr>
                <w:color w:val="auto"/>
              </w:rPr>
              <w:fldChar w:fldCharType="begin"/>
            </w:r>
            <w:r>
              <w:rPr>
                <w:color w:val="auto"/>
              </w:rPr>
              <w:instrText xml:space="preserve"> HYPERLINK "http://t.cn/A6ZvtVob" </w:instrText>
            </w:r>
            <w:r>
              <w:rPr>
                <w:color w:val="auto"/>
              </w:rPr>
              <w:fldChar w:fldCharType="separate"/>
            </w:r>
            <w:r>
              <w:rPr>
                <w:rFonts w:hint="eastAsia" w:ascii="宋体" w:hAnsi="宋体" w:eastAsia="宋体" w:cs="宋体"/>
                <w:color w:val="auto"/>
                <w:sz w:val="22"/>
                <w:u w:val="single"/>
              </w:rPr>
              <w:t>https://download.bqpoint.com/download/downloaddetail.html?SourceFrom=Ztb&amp;ZtbSoftXiaQuCode=1506&amp;ZtbSoftType=tballinclusive</w:t>
            </w:r>
            <w:r>
              <w:rPr>
                <w:rFonts w:hint="eastAsia" w:ascii="宋体" w:hAnsi="宋体" w:eastAsia="宋体" w:cs="宋体"/>
                <w:color w:val="auto"/>
                <w:sz w:val="22"/>
                <w:u w:val="single"/>
              </w:rPr>
              <w:fldChar w:fldCharType="end"/>
            </w:r>
            <w:r>
              <w:rPr>
                <w:rFonts w:hint="eastAsia" w:ascii="宋体" w:hAnsi="宋体" w:eastAsia="宋体" w:cs="宋体"/>
                <w:color w:val="auto"/>
                <w:sz w:val="22"/>
              </w:rPr>
              <w:t>进行下载。</w:t>
            </w:r>
          </w:p>
          <w:p w14:paraId="6B50227E">
            <w:pPr>
              <w:spacing w:line="360" w:lineRule="auto"/>
              <w:rPr>
                <w:rFonts w:ascii="宋体" w:hAnsi="宋体" w:eastAsia="宋体" w:cs="宋体"/>
                <w:color w:val="auto"/>
                <w:sz w:val="22"/>
              </w:rPr>
            </w:pPr>
            <w:r>
              <w:rPr>
                <w:rFonts w:hint="eastAsia" w:ascii="宋体" w:hAnsi="宋体" w:eastAsia="宋体" w:cs="宋体"/>
                <w:b/>
                <w:color w:val="auto"/>
                <w:sz w:val="22"/>
              </w:rPr>
              <w:t>温馨提示：本项目为电子化、无纸化交易项目，为保证您能投标成功，请需仔细阅读以下条款。</w:t>
            </w:r>
          </w:p>
          <w:p w14:paraId="621B5924">
            <w:pPr>
              <w:spacing w:line="360" w:lineRule="auto"/>
              <w:rPr>
                <w:rFonts w:ascii="宋体" w:hAnsi="宋体" w:eastAsia="宋体" w:cs="宋体"/>
                <w:b/>
                <w:color w:val="auto"/>
                <w:sz w:val="22"/>
              </w:rPr>
            </w:pPr>
            <w:r>
              <w:rPr>
                <w:rFonts w:hint="eastAsia" w:ascii="宋体" w:hAnsi="宋体" w:eastAsia="宋体" w:cs="宋体"/>
                <w:b/>
                <w:color w:val="auto"/>
                <w:sz w:val="22"/>
              </w:rPr>
              <w:t>一、电子化投标</w:t>
            </w:r>
          </w:p>
          <w:p w14:paraId="1C462422">
            <w:pPr>
              <w:spacing w:line="360" w:lineRule="auto"/>
              <w:rPr>
                <w:rFonts w:ascii="宋体" w:hAnsi="宋体" w:eastAsia="宋体" w:cs="宋体"/>
                <w:b/>
                <w:color w:val="auto"/>
                <w:sz w:val="22"/>
              </w:rPr>
            </w:pPr>
            <w:r>
              <w:rPr>
                <w:rFonts w:hint="eastAsia" w:ascii="宋体" w:hAnsi="宋体" w:eastAsia="宋体" w:cs="宋体"/>
                <w:color w:val="auto"/>
                <w:sz w:val="22"/>
              </w:rPr>
              <w:t>（一）网上磋商保证金的缴纳</w:t>
            </w:r>
          </w:p>
          <w:p w14:paraId="3A2413BE">
            <w:pPr>
              <w:spacing w:line="360" w:lineRule="auto"/>
              <w:rPr>
                <w:rFonts w:ascii="宋体" w:hAnsi="宋体" w:eastAsia="宋体" w:cs="宋体"/>
                <w:color w:val="auto"/>
                <w:sz w:val="22"/>
              </w:rPr>
            </w:pPr>
            <w:r>
              <w:rPr>
                <w:rFonts w:hint="eastAsia" w:ascii="宋体" w:hAnsi="宋体" w:eastAsia="宋体" w:cs="宋体"/>
                <w:color w:val="auto"/>
                <w:sz w:val="22"/>
              </w:rPr>
              <w:t>本项目不收取磋商保证金。</w:t>
            </w:r>
          </w:p>
          <w:p w14:paraId="55A7AEF8">
            <w:pPr>
              <w:spacing w:line="360" w:lineRule="auto"/>
              <w:rPr>
                <w:rFonts w:ascii="宋体" w:hAnsi="宋体" w:eastAsia="宋体" w:cs="宋体"/>
                <w:color w:val="auto"/>
                <w:sz w:val="22"/>
              </w:rPr>
            </w:pPr>
            <w:r>
              <w:rPr>
                <w:rFonts w:hint="eastAsia" w:ascii="宋体" w:hAnsi="宋体" w:eastAsia="宋体" w:cs="宋体"/>
                <w:color w:val="auto"/>
                <w:sz w:val="22"/>
              </w:rPr>
              <w:t>（二）电子化磋商响应文件的签章</w:t>
            </w:r>
          </w:p>
          <w:p w14:paraId="552A01B7">
            <w:pPr>
              <w:spacing w:line="360" w:lineRule="auto"/>
              <w:rPr>
                <w:rFonts w:ascii="宋体" w:hAnsi="宋体" w:eastAsia="宋体" w:cs="宋体"/>
                <w:color w:val="auto"/>
                <w:sz w:val="22"/>
              </w:rPr>
            </w:pPr>
            <w:r>
              <w:rPr>
                <w:rFonts w:hint="eastAsia" w:ascii="宋体" w:hAnsi="宋体" w:eastAsia="宋体" w:cs="宋体"/>
                <w:color w:val="auto"/>
                <w:sz w:val="22"/>
              </w:rPr>
              <w:t>1、供应商在生成电子化磋商响应文件后，应对电子化磋商响应文件进行签章，未进行签章的视为无效投标。</w:t>
            </w:r>
          </w:p>
          <w:p w14:paraId="35CDF093">
            <w:pPr>
              <w:spacing w:line="360" w:lineRule="auto"/>
              <w:rPr>
                <w:rFonts w:ascii="宋体" w:hAnsi="宋体" w:eastAsia="宋体" w:cs="宋体"/>
                <w:color w:val="auto"/>
                <w:sz w:val="22"/>
              </w:rPr>
            </w:pPr>
            <w:r>
              <w:rPr>
                <w:rFonts w:hint="eastAsia" w:ascii="宋体" w:hAnsi="宋体" w:eastAsia="宋体" w:cs="宋体"/>
                <w:color w:val="auto"/>
                <w:sz w:val="22"/>
              </w:rPr>
              <w:t>2、</w:t>
            </w:r>
            <w:r>
              <w:rPr>
                <w:rFonts w:hint="eastAsia" w:ascii="宋体" w:hAnsi="宋体" w:eastAsia="宋体" w:cs="宋体"/>
                <w:b/>
                <w:color w:val="auto"/>
                <w:sz w:val="22"/>
              </w:rPr>
              <w:t>磋商文件中要求磋商供应商盖章的，以签盖单位章为准；要求法定代表人或授权代理人</w:t>
            </w:r>
            <w:r>
              <w:rPr>
                <w:rFonts w:hint="eastAsia" w:ascii="宋体" w:hAnsi="宋体" w:eastAsia="宋体" w:cs="宋体"/>
                <w:b/>
                <w:color w:val="auto"/>
                <w:sz w:val="22"/>
                <w:lang w:val="en-US" w:eastAsia="zh-CN"/>
              </w:rPr>
              <w:t>签字或盖章</w:t>
            </w:r>
            <w:r>
              <w:rPr>
                <w:rFonts w:hint="eastAsia" w:ascii="宋体" w:hAnsi="宋体" w:eastAsia="宋体" w:cs="宋体"/>
                <w:b/>
                <w:color w:val="auto"/>
                <w:sz w:val="22"/>
              </w:rPr>
              <w:t>的，以签盖法定代表人签章为准</w:t>
            </w:r>
            <w:r>
              <w:rPr>
                <w:rFonts w:hint="eastAsia" w:ascii="宋体" w:hAnsi="宋体" w:eastAsia="宋体" w:cs="宋体"/>
                <w:color w:val="auto"/>
                <w:sz w:val="22"/>
              </w:rPr>
              <w:t>。</w:t>
            </w:r>
          </w:p>
          <w:p w14:paraId="28807D9F">
            <w:pPr>
              <w:spacing w:line="360" w:lineRule="auto"/>
              <w:rPr>
                <w:rFonts w:ascii="宋体" w:hAnsi="宋体" w:eastAsia="宋体" w:cs="宋体"/>
                <w:b/>
                <w:color w:val="auto"/>
                <w:sz w:val="22"/>
              </w:rPr>
            </w:pPr>
            <w:r>
              <w:rPr>
                <w:rFonts w:hint="eastAsia" w:ascii="宋体" w:hAnsi="宋体" w:eastAsia="宋体" w:cs="宋体"/>
                <w:color w:val="auto"/>
                <w:sz w:val="22"/>
              </w:rPr>
              <w:t>（三）电子化磋商响应文件的格式及上传投标</w:t>
            </w:r>
          </w:p>
          <w:p w14:paraId="0617880C">
            <w:pPr>
              <w:spacing w:line="360" w:lineRule="auto"/>
              <w:rPr>
                <w:rFonts w:ascii="宋体" w:hAnsi="宋体" w:eastAsia="宋体" w:cs="宋体"/>
                <w:color w:val="auto"/>
                <w:sz w:val="22"/>
              </w:rPr>
            </w:pPr>
            <w:r>
              <w:rPr>
                <w:rFonts w:hint="eastAsia" w:ascii="宋体" w:hAnsi="宋体" w:eastAsia="宋体" w:cs="宋体"/>
                <w:color w:val="auto"/>
                <w:sz w:val="22"/>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3C9983D0">
            <w:pPr>
              <w:spacing w:line="360" w:lineRule="auto"/>
              <w:rPr>
                <w:rFonts w:ascii="宋体" w:hAnsi="宋体" w:eastAsia="宋体" w:cs="宋体"/>
                <w:color w:val="auto"/>
                <w:sz w:val="22"/>
              </w:rPr>
            </w:pPr>
            <w:r>
              <w:rPr>
                <w:rFonts w:hint="eastAsia" w:ascii="宋体" w:hAnsi="宋体" w:eastAsia="宋体" w:cs="宋体"/>
                <w:color w:val="auto"/>
                <w:sz w:val="22"/>
              </w:rPr>
              <w:t>2、电子化磋商响应文件应在磋商截止时间前成功上传至三门峡市公共资源电子化交易系统。至磋商截止时间止，仍未上传成功的电子化磋商响应文件将不予接收。</w:t>
            </w:r>
          </w:p>
          <w:p w14:paraId="0743D59B">
            <w:pPr>
              <w:spacing w:line="360" w:lineRule="auto"/>
              <w:rPr>
                <w:rFonts w:ascii="宋体" w:hAnsi="宋体" w:eastAsia="宋体" w:cs="宋体"/>
                <w:b/>
                <w:color w:val="auto"/>
                <w:sz w:val="22"/>
              </w:rPr>
            </w:pPr>
            <w:r>
              <w:rPr>
                <w:rFonts w:hint="eastAsia" w:ascii="宋体" w:hAnsi="宋体" w:eastAsia="宋体" w:cs="宋体"/>
                <w:b/>
                <w:color w:val="auto"/>
                <w:sz w:val="22"/>
              </w:rPr>
              <w:t>注：</w:t>
            </w:r>
            <w:r>
              <w:rPr>
                <w:rFonts w:hint="eastAsia" w:ascii="宋体" w:hAnsi="宋体" w:eastAsia="宋体" w:cs="宋体"/>
                <w:color w:val="auto"/>
                <w:sz w:val="22"/>
              </w:rPr>
              <w:t>如按照电子化投标操作教材制作完成的电子化磋商响应文件无法上传的，供应商应在</w:t>
            </w:r>
            <w:r>
              <w:rPr>
                <w:rFonts w:hint="eastAsia" w:ascii="宋体" w:hAnsi="宋体" w:eastAsia="宋体" w:cs="宋体"/>
                <w:b/>
                <w:color w:val="auto"/>
                <w:sz w:val="22"/>
              </w:rPr>
              <w:t>磋商截止时间前尽早的</w:t>
            </w:r>
            <w:r>
              <w:rPr>
                <w:rFonts w:hint="eastAsia" w:ascii="宋体" w:hAnsi="宋体" w:eastAsia="宋体" w:cs="宋体"/>
                <w:color w:val="auto"/>
                <w:sz w:val="22"/>
              </w:rPr>
              <w:t>联系中心技术人员，以便有充分的时间进行处理。</w:t>
            </w:r>
            <w:r>
              <w:rPr>
                <w:rFonts w:hint="eastAsia" w:ascii="宋体" w:hAnsi="宋体" w:eastAsia="宋体" w:cs="宋体"/>
                <w:b/>
                <w:color w:val="auto"/>
                <w:sz w:val="22"/>
              </w:rPr>
              <w:t>供应商应充分考虑到处理技术问题和上传数据等工作所需的时间问题，磋商响应文件未在磋商截止时间前成功上传的，其磋商响应文件不予接收。</w:t>
            </w:r>
          </w:p>
          <w:p w14:paraId="01AB2352">
            <w:pPr>
              <w:spacing w:line="360" w:lineRule="auto"/>
              <w:rPr>
                <w:rFonts w:ascii="宋体" w:hAnsi="宋体" w:eastAsia="宋体" w:cs="宋体"/>
                <w:b/>
                <w:bCs/>
                <w:color w:val="auto"/>
                <w:sz w:val="22"/>
              </w:rPr>
            </w:pPr>
            <w:r>
              <w:rPr>
                <w:rFonts w:hint="eastAsia" w:ascii="宋体" w:hAnsi="宋体" w:eastAsia="宋体" w:cs="宋体"/>
                <w:b/>
                <w:color w:val="auto"/>
                <w:sz w:val="22"/>
              </w:rPr>
              <w:t>技术联系电话：</w:t>
            </w:r>
            <w:r>
              <w:rPr>
                <w:rFonts w:hint="eastAsia" w:ascii="宋体" w:hAnsi="宋体" w:eastAsia="宋体" w:cs="宋体"/>
                <w:b/>
                <w:bCs/>
                <w:color w:val="auto"/>
                <w:sz w:val="22"/>
              </w:rPr>
              <w:t>0398-3117095   3117080</w:t>
            </w:r>
          </w:p>
          <w:p w14:paraId="0E8A0EC7">
            <w:pPr>
              <w:spacing w:line="360" w:lineRule="auto"/>
              <w:rPr>
                <w:rFonts w:ascii="宋体" w:hAnsi="宋体" w:eastAsia="宋体" w:cs="宋体"/>
                <w:b/>
                <w:bCs/>
                <w:color w:val="auto"/>
                <w:sz w:val="22"/>
              </w:rPr>
            </w:pPr>
            <w:r>
              <w:rPr>
                <w:rFonts w:hint="eastAsia" w:ascii="宋体" w:hAnsi="宋体" w:eastAsia="宋体" w:cs="宋体"/>
                <w:b/>
                <w:bCs/>
                <w:color w:val="auto"/>
                <w:sz w:val="22"/>
              </w:rPr>
              <w:t>新点客服电话:4009980000</w:t>
            </w:r>
          </w:p>
          <w:p w14:paraId="36E34DB4">
            <w:pPr>
              <w:spacing w:line="360" w:lineRule="auto"/>
              <w:rPr>
                <w:rFonts w:ascii="宋体" w:hAnsi="宋体" w:eastAsia="宋体" w:cs="宋体"/>
                <w:color w:val="auto"/>
                <w:sz w:val="22"/>
              </w:rPr>
            </w:pPr>
            <w:r>
              <w:rPr>
                <w:rFonts w:hint="eastAsia" w:ascii="宋体" w:hAnsi="宋体" w:eastAsia="宋体" w:cs="宋体"/>
                <w:color w:val="auto"/>
                <w:sz w:val="22"/>
              </w:rPr>
              <w:t>（四）电子化项目开标、解密、唱标、评标</w:t>
            </w:r>
          </w:p>
          <w:p w14:paraId="1941B887">
            <w:pPr>
              <w:wordWrap w:val="0"/>
              <w:spacing w:line="360" w:lineRule="auto"/>
              <w:rPr>
                <w:rFonts w:ascii="宋体" w:hAnsi="宋体" w:eastAsia="宋体" w:cs="宋体"/>
                <w:color w:val="auto"/>
                <w:sz w:val="22"/>
              </w:rPr>
            </w:pPr>
            <w:r>
              <w:rPr>
                <w:rFonts w:hint="eastAsia" w:ascii="宋体" w:hAnsi="宋体" w:eastAsia="宋体" w:cs="宋体"/>
                <w:color w:val="auto"/>
                <w:sz w:val="22"/>
              </w:rPr>
              <w:t>1、本项目采用</w:t>
            </w:r>
            <w:r>
              <w:rPr>
                <w:rFonts w:hint="eastAsia" w:ascii="宋体" w:hAnsi="宋体" w:eastAsia="宋体" w:cs="宋体"/>
                <w:b/>
                <w:color w:val="auto"/>
                <w:sz w:val="22"/>
              </w:rPr>
              <w:t>电子化、无纸化</w:t>
            </w:r>
            <w:r>
              <w:rPr>
                <w:rFonts w:hint="eastAsia" w:ascii="宋体" w:hAnsi="宋体" w:eastAsia="宋体" w:cs="宋体"/>
                <w:color w:val="auto"/>
                <w:sz w:val="22"/>
              </w:rPr>
              <w:t>进行采购，开标当日，供应商无需到开标现场参加开标会议，供应商应当在磋商截止时间前，</w:t>
            </w:r>
            <w:r>
              <w:rPr>
                <w:rFonts w:hint="eastAsia" w:ascii="宋体" w:hAnsi="宋体" w:eastAsia="宋体" w:cs="宋体"/>
                <w:color w:val="auto"/>
                <w:sz w:val="22"/>
                <w:lang w:eastAsia="zh-CN"/>
              </w:rPr>
              <w:t>登录</w:t>
            </w:r>
            <w:r>
              <w:rPr>
                <w:rFonts w:hint="eastAsia" w:ascii="宋体" w:hAnsi="宋体" w:eastAsia="宋体" w:cs="宋体"/>
                <w:color w:val="auto"/>
                <w:sz w:val="22"/>
              </w:rPr>
              <w:t>不见面开标大厅选择</w:t>
            </w:r>
            <w:r>
              <w:rPr>
                <w:rFonts w:hint="eastAsia" w:ascii="宋体" w:hAnsi="宋体" w:eastAsia="宋体" w:cs="宋体"/>
                <w:color w:val="auto"/>
                <w:sz w:val="22"/>
                <w:lang w:eastAsia="zh-CN"/>
              </w:rPr>
              <w:t>登录</w:t>
            </w:r>
            <w:r>
              <w:rPr>
                <w:rFonts w:hint="eastAsia" w:ascii="宋体" w:hAnsi="宋体" w:eastAsia="宋体" w:cs="宋体"/>
                <w:color w:val="auto"/>
                <w:sz w:val="22"/>
              </w:rPr>
              <w:t>三门峡市公共资源电子招投标系统进行</w:t>
            </w:r>
            <w:r>
              <w:rPr>
                <w:rFonts w:hint="eastAsia" w:ascii="宋体" w:hAnsi="宋体" w:eastAsia="宋体" w:cs="宋体"/>
                <w:color w:val="auto"/>
                <w:sz w:val="22"/>
                <w:lang w:eastAsia="zh-CN"/>
              </w:rPr>
              <w:t>登录</w:t>
            </w:r>
            <w:r>
              <w:rPr>
                <w:rFonts w:hint="eastAsia" w:ascii="宋体" w:hAnsi="宋体" w:eastAsia="宋体" w:cs="宋体"/>
                <w:color w:val="auto"/>
                <w:sz w:val="22"/>
              </w:rPr>
              <w:t>（网址为http://120.194.249.36:10094/BidOpening/bidopeninghallaction/hall/login）,在线准时参加开标活动并进行磋商响应文件解密等。</w:t>
            </w:r>
          </w:p>
          <w:p w14:paraId="3D97D2B1">
            <w:pPr>
              <w:spacing w:line="360" w:lineRule="auto"/>
              <w:rPr>
                <w:rFonts w:ascii="宋体" w:hAnsi="宋体" w:eastAsia="宋体" w:cs="宋体"/>
                <w:color w:val="auto"/>
                <w:sz w:val="22"/>
              </w:rPr>
            </w:pPr>
            <w:r>
              <w:rPr>
                <w:rFonts w:hint="eastAsia" w:ascii="宋体" w:hAnsi="宋体" w:eastAsia="宋体" w:cs="宋体"/>
                <w:color w:val="auto"/>
                <w:sz w:val="22"/>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4F80F8FF">
            <w:pPr>
              <w:spacing w:line="360" w:lineRule="auto"/>
              <w:rPr>
                <w:rFonts w:ascii="宋体" w:hAnsi="宋体" w:eastAsia="宋体" w:cs="宋体"/>
                <w:b/>
                <w:color w:val="auto"/>
                <w:sz w:val="22"/>
              </w:rPr>
            </w:pPr>
            <w:r>
              <w:rPr>
                <w:rFonts w:hint="eastAsia" w:ascii="宋体" w:hAnsi="宋体" w:eastAsia="宋体" w:cs="宋体"/>
                <w:color w:val="auto"/>
                <w:sz w:val="22"/>
              </w:rPr>
              <w:t>3、电子化磋商响应文件解密异常的处理</w:t>
            </w:r>
          </w:p>
          <w:p w14:paraId="17711789">
            <w:pPr>
              <w:spacing w:line="360" w:lineRule="auto"/>
              <w:rPr>
                <w:rFonts w:ascii="宋体" w:hAnsi="宋体" w:eastAsia="宋体" w:cs="宋体"/>
                <w:color w:val="auto"/>
                <w:sz w:val="22"/>
              </w:rPr>
            </w:pPr>
            <w:r>
              <w:rPr>
                <w:rFonts w:hint="eastAsia" w:ascii="宋体" w:hAnsi="宋体" w:eastAsia="宋体" w:cs="宋体"/>
                <w:color w:val="auto"/>
                <w:sz w:val="22"/>
              </w:rPr>
              <w:t>如出现供应商的电子磋商响应文件无法解密等异常情况，供应商应及时致电中介服务机构说明。磋商响应文件异常，按以下步骤进行处理：</w:t>
            </w:r>
          </w:p>
          <w:p w14:paraId="6C43ACDA">
            <w:pPr>
              <w:spacing w:line="360" w:lineRule="auto"/>
              <w:rPr>
                <w:rFonts w:ascii="宋体" w:hAnsi="宋体" w:eastAsia="宋体" w:cs="宋体"/>
                <w:color w:val="auto"/>
                <w:sz w:val="22"/>
              </w:rPr>
            </w:pPr>
            <w:r>
              <w:rPr>
                <w:rFonts w:hint="eastAsia" w:ascii="宋体" w:hAnsi="宋体" w:eastAsia="宋体" w:cs="宋体"/>
                <w:color w:val="auto"/>
                <w:sz w:val="22"/>
              </w:rPr>
              <w:t>（1）首先由技术人员进行问题排查。</w:t>
            </w:r>
          </w:p>
          <w:p w14:paraId="2B80D780">
            <w:pPr>
              <w:spacing w:line="360" w:lineRule="auto"/>
              <w:rPr>
                <w:rFonts w:ascii="宋体" w:hAnsi="宋体" w:eastAsia="宋体" w:cs="宋体"/>
                <w:color w:val="auto"/>
                <w:sz w:val="22"/>
              </w:rPr>
            </w:pPr>
            <w:r>
              <w:rPr>
                <w:rFonts w:hint="eastAsia" w:ascii="宋体" w:hAnsi="宋体" w:eastAsia="宋体" w:cs="宋体"/>
                <w:color w:val="auto"/>
                <w:sz w:val="22"/>
              </w:rPr>
              <w:t>（2）经技术人员排查后，是供应商文件自身问题导致磋商响应文件无法解密的，该磋商响应文件将不予接收、解密和唱标。开标会议继续进行。</w:t>
            </w:r>
          </w:p>
          <w:p w14:paraId="6EE01842">
            <w:pPr>
              <w:spacing w:line="360" w:lineRule="auto"/>
              <w:rPr>
                <w:rFonts w:ascii="宋体" w:hAnsi="宋体" w:eastAsia="宋体" w:cs="宋体"/>
                <w:color w:val="auto"/>
                <w:sz w:val="22"/>
              </w:rPr>
            </w:pPr>
            <w:r>
              <w:rPr>
                <w:rFonts w:hint="eastAsia" w:ascii="宋体" w:hAnsi="宋体" w:eastAsia="宋体" w:cs="宋体"/>
                <w:color w:val="auto"/>
                <w:sz w:val="22"/>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3CD3064">
            <w:pPr>
              <w:spacing w:line="360" w:lineRule="auto"/>
              <w:rPr>
                <w:rFonts w:ascii="宋体" w:hAnsi="宋体" w:eastAsia="宋体" w:cs="宋体"/>
                <w:color w:val="auto"/>
                <w:sz w:val="22"/>
              </w:rPr>
            </w:pPr>
            <w:r>
              <w:rPr>
                <w:rFonts w:hint="eastAsia" w:ascii="宋体" w:hAnsi="宋体" w:eastAsia="宋体" w:cs="宋体"/>
                <w:color w:val="auto"/>
                <w:sz w:val="22"/>
              </w:rPr>
              <w:t>4、待所有供应商磋商响应文件解密完成后，由中介服务机构操作，对所有已解密磋商响应文件进行唱标。</w:t>
            </w:r>
          </w:p>
          <w:p w14:paraId="76069471">
            <w:pPr>
              <w:spacing w:line="360" w:lineRule="auto"/>
              <w:rPr>
                <w:rFonts w:ascii="宋体" w:hAnsi="宋体" w:eastAsia="宋体" w:cs="宋体"/>
                <w:color w:val="auto"/>
                <w:sz w:val="22"/>
              </w:rPr>
            </w:pPr>
            <w:r>
              <w:rPr>
                <w:rFonts w:hint="eastAsia" w:ascii="宋体" w:hAnsi="宋体" w:eastAsia="宋体" w:cs="宋体"/>
                <w:b/>
                <w:color w:val="auto"/>
                <w:sz w:val="22"/>
              </w:rPr>
              <w:t>供应商应保证在开标期间电话、电脑、网络能够正常工作，供应商因停电、电脑病毒、网络堵塞等原因，未在规定的解密时间内对磋商响应文件进行解密的，其磋商响应文件不予接收、唱标。</w:t>
            </w:r>
          </w:p>
          <w:p w14:paraId="4E1E4051">
            <w:pPr>
              <w:spacing w:line="360" w:lineRule="auto"/>
              <w:rPr>
                <w:rFonts w:ascii="宋体" w:hAnsi="宋体" w:eastAsia="宋体" w:cs="宋体"/>
                <w:color w:val="auto"/>
                <w:sz w:val="22"/>
              </w:rPr>
            </w:pPr>
            <w:r>
              <w:rPr>
                <w:rFonts w:hint="eastAsia" w:ascii="宋体" w:hAnsi="宋体" w:eastAsia="宋体" w:cs="宋体"/>
                <w:color w:val="auto"/>
                <w:sz w:val="22"/>
              </w:rPr>
              <w:t>5、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5E027AB2">
            <w:pPr>
              <w:spacing w:line="360" w:lineRule="auto"/>
              <w:rPr>
                <w:rFonts w:ascii="宋体" w:hAnsi="宋体" w:eastAsia="宋体" w:cs="宋体"/>
                <w:color w:val="auto"/>
                <w:sz w:val="22"/>
              </w:rPr>
            </w:pPr>
            <w:r>
              <w:rPr>
                <w:rFonts w:hint="eastAsia" w:ascii="宋体" w:hAnsi="宋体" w:eastAsia="宋体" w:cs="宋体"/>
                <w:color w:val="auto"/>
                <w:sz w:val="22"/>
              </w:rPr>
              <w:t>6、如磋商小组对需要回复的供应商连续三次致电未接通的，视为供应商放弃回复，磋商小组将自行对需要回复的内容进行认定。</w:t>
            </w:r>
          </w:p>
          <w:p w14:paraId="4F924555">
            <w:pPr>
              <w:spacing w:line="360" w:lineRule="auto"/>
              <w:rPr>
                <w:rFonts w:ascii="宋体" w:hAnsi="宋体" w:eastAsia="宋体" w:cs="宋体"/>
                <w:b/>
                <w:bCs/>
                <w:color w:val="auto"/>
                <w:sz w:val="22"/>
              </w:rPr>
            </w:pPr>
            <w:r>
              <w:rPr>
                <w:rFonts w:hint="eastAsia" w:ascii="宋体" w:hAnsi="宋体" w:eastAsia="宋体" w:cs="宋体"/>
                <w:b/>
                <w:bCs/>
                <w:color w:val="auto"/>
                <w:sz w:val="22"/>
              </w:rPr>
              <w:t>二、相关证书原件的提交</w:t>
            </w:r>
          </w:p>
          <w:p w14:paraId="3D1F6BEC">
            <w:pPr>
              <w:spacing w:line="360" w:lineRule="auto"/>
              <w:rPr>
                <w:rFonts w:ascii="宋体" w:hAnsi="宋体" w:eastAsia="宋体" w:cs="宋体"/>
                <w:color w:val="auto"/>
                <w:sz w:val="22"/>
              </w:rPr>
            </w:pPr>
            <w:r>
              <w:rPr>
                <w:rFonts w:hint="eastAsia" w:ascii="宋体" w:hAnsi="宋体" w:eastAsia="宋体" w:cs="宋体"/>
                <w:color w:val="auto"/>
                <w:sz w:val="22"/>
              </w:rPr>
              <w:t>本项目实行资格后审，资格审查内容以响应文件为准，其资料真实性由供应商自行承担。</w:t>
            </w:r>
          </w:p>
          <w:p w14:paraId="0F1A29D3">
            <w:pPr>
              <w:widowControl/>
              <w:spacing w:line="480" w:lineRule="exact"/>
              <w:rPr>
                <w:rFonts w:ascii="宋体" w:hAnsi="宋体" w:eastAsia="宋体" w:cs="宋体"/>
                <w:b/>
                <w:bCs/>
                <w:color w:val="auto"/>
                <w:sz w:val="22"/>
              </w:rPr>
            </w:pPr>
            <w:r>
              <w:rPr>
                <w:rFonts w:hint="eastAsia" w:ascii="宋体" w:hAnsi="宋体" w:eastAsia="宋体" w:cs="宋体"/>
                <w:b/>
                <w:bCs/>
                <w:color w:val="auto"/>
                <w:sz w:val="22"/>
              </w:rPr>
              <w:t>提示：CA证书延期激活后，已经报名未开标的项目，请重新下载制作响应文件并上传，否则开标时文件将无法解密。</w:t>
            </w:r>
          </w:p>
          <w:p w14:paraId="1F4F84D0">
            <w:pPr>
              <w:widowControl/>
              <w:spacing w:line="480" w:lineRule="exact"/>
              <w:ind w:firstLine="462" w:firstLineChars="209"/>
              <w:rPr>
                <w:rFonts w:ascii="宋体" w:hAnsi="宋体" w:eastAsia="宋体" w:cs="宋体"/>
                <w:color w:val="auto"/>
                <w:kern w:val="0"/>
                <w:sz w:val="22"/>
              </w:rPr>
            </w:pPr>
            <w:r>
              <w:rPr>
                <w:rFonts w:hint="eastAsia" w:ascii="宋体" w:hAnsi="宋体" w:eastAsia="宋体" w:cs="宋体"/>
                <w:b/>
                <w:bCs/>
                <w:color w:val="auto"/>
                <w:sz w:val="22"/>
              </w:rPr>
              <w:t>本项目为电子化、无纸化交易项目，为保证您能投标成功，请需仔细阅读以上条款。</w:t>
            </w:r>
          </w:p>
        </w:tc>
      </w:tr>
      <w:tr w14:paraId="28A2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2E56997">
            <w:pPr>
              <w:autoSpaceDE w:val="0"/>
              <w:autoSpaceDN w:val="0"/>
              <w:adjustRightInd w:val="0"/>
              <w:spacing w:line="460" w:lineRule="exact"/>
              <w:rPr>
                <w:rFonts w:hint="default" w:ascii="宋体" w:hAnsi="宋体" w:eastAsia="宋体" w:cs="宋体"/>
                <w:color w:val="auto"/>
                <w:sz w:val="22"/>
                <w:szCs w:val="24"/>
                <w:lang w:val="en-US" w:eastAsia="zh-CN"/>
              </w:rPr>
            </w:pPr>
            <w:r>
              <w:rPr>
                <w:rFonts w:hint="eastAsia" w:ascii="宋体" w:hAnsi="宋体" w:eastAsia="宋体" w:cs="宋体"/>
                <w:color w:val="auto"/>
                <w:sz w:val="22"/>
                <w:szCs w:val="24"/>
                <w:lang w:val="en-US" w:eastAsia="zh-CN"/>
              </w:rPr>
              <w:t>4.6</w:t>
            </w:r>
          </w:p>
        </w:tc>
        <w:tc>
          <w:tcPr>
            <w:tcW w:w="1799" w:type="dxa"/>
            <w:vAlign w:val="center"/>
          </w:tcPr>
          <w:p w14:paraId="403D5DBD">
            <w:pPr>
              <w:widowControl/>
              <w:spacing w:line="460" w:lineRule="exac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政策支持</w:t>
            </w:r>
          </w:p>
        </w:tc>
        <w:tc>
          <w:tcPr>
            <w:tcW w:w="6816" w:type="dxa"/>
            <w:vAlign w:val="center"/>
          </w:tcPr>
          <w:p w14:paraId="23A77182">
            <w:pPr>
              <w:widowControl/>
              <w:spacing w:line="480" w:lineRule="exact"/>
              <w:ind w:firstLine="459" w:firstLineChars="209"/>
              <w:rPr>
                <w:rFonts w:hint="eastAsia" w:ascii="宋体" w:hAnsi="宋体" w:eastAsia="宋体" w:cs="宋体"/>
                <w:b w:val="0"/>
                <w:bCs w:val="0"/>
                <w:color w:val="auto"/>
                <w:sz w:val="22"/>
              </w:rPr>
            </w:pPr>
            <w:r>
              <w:rPr>
                <w:rFonts w:hint="eastAsia" w:ascii="宋体" w:hAnsi="宋体" w:eastAsia="宋体" w:cs="宋体"/>
                <w:b w:val="0"/>
                <w:bCs w:val="0"/>
                <w:color w:val="auto"/>
                <w:sz w:val="22"/>
              </w:rPr>
              <w:t>本项目专门面向中小企业采购。依据《财政部关于政府采购监狱企业有关政策的通知》（财库〔2014〕68号）、《财政部关于促进残疾人就业政府采购政策的通知》（财库〔2017〕141号）规定，监狱企业、残疾人福利性单位视同小型、微型企业，可参与本项目采购活动，并享受中小企业同等扶持政策。</w:t>
            </w:r>
          </w:p>
          <w:p w14:paraId="2D3322BF">
            <w:pPr>
              <w:widowControl/>
              <w:spacing w:line="480" w:lineRule="exact"/>
              <w:ind w:firstLine="459" w:firstLineChars="209"/>
              <w:rPr>
                <w:rFonts w:hint="eastAsia" w:ascii="宋体" w:hAnsi="宋体" w:eastAsia="宋体" w:cs="宋体"/>
                <w:b w:val="0"/>
                <w:bCs w:val="0"/>
                <w:color w:val="auto"/>
                <w:sz w:val="22"/>
              </w:rPr>
            </w:pPr>
            <w:r>
              <w:rPr>
                <w:rFonts w:hint="eastAsia" w:ascii="宋体" w:hAnsi="宋体" w:eastAsia="宋体" w:cs="宋体"/>
                <w:b w:val="0"/>
                <w:bCs w:val="0"/>
                <w:color w:val="auto"/>
                <w:sz w:val="22"/>
              </w:rPr>
              <w:t>1. 中小企业供应商须提供《中小企业声明函》；</w:t>
            </w:r>
          </w:p>
          <w:p w14:paraId="68FFCEE3">
            <w:pPr>
              <w:widowControl/>
              <w:spacing w:line="480" w:lineRule="exact"/>
              <w:ind w:firstLine="459" w:firstLineChars="209"/>
              <w:rPr>
                <w:rFonts w:hint="eastAsia" w:ascii="宋体" w:hAnsi="宋体" w:eastAsia="宋体" w:cs="宋体"/>
                <w:b w:val="0"/>
                <w:bCs w:val="0"/>
                <w:color w:val="auto"/>
                <w:sz w:val="22"/>
              </w:rPr>
            </w:pPr>
            <w:r>
              <w:rPr>
                <w:rFonts w:hint="eastAsia" w:ascii="宋体" w:hAnsi="宋体" w:eastAsia="宋体" w:cs="宋体"/>
                <w:b w:val="0"/>
                <w:bCs w:val="0"/>
                <w:color w:val="auto"/>
                <w:sz w:val="22"/>
              </w:rPr>
              <w:t>2. 监狱企业须提供省级以上监狱管理局、戒毒管理局（含新疆生产建设兵团）出具的监狱企业证明文件；</w:t>
            </w:r>
          </w:p>
          <w:p w14:paraId="2040B787">
            <w:pPr>
              <w:widowControl/>
              <w:spacing w:line="480" w:lineRule="exact"/>
              <w:ind w:firstLine="459" w:firstLineChars="209"/>
              <w:rPr>
                <w:rFonts w:hint="eastAsia" w:ascii="宋体" w:hAnsi="宋体" w:eastAsia="宋体" w:cs="宋体"/>
                <w:b/>
                <w:bCs/>
                <w:color w:val="auto"/>
                <w:sz w:val="22"/>
              </w:rPr>
            </w:pPr>
            <w:r>
              <w:rPr>
                <w:rFonts w:hint="eastAsia" w:ascii="宋体" w:hAnsi="宋体" w:eastAsia="宋体" w:cs="宋体"/>
                <w:b w:val="0"/>
                <w:bCs w:val="0"/>
                <w:color w:val="auto"/>
                <w:sz w:val="22"/>
              </w:rPr>
              <w:t>3. 残疾人福利性单位须提供《残疾人福利性单位声明函》</w:t>
            </w:r>
          </w:p>
        </w:tc>
      </w:tr>
    </w:tbl>
    <w:p w14:paraId="76B2B0F6">
      <w:pPr>
        <w:keepNext/>
        <w:keepLines/>
        <w:adjustRightInd w:val="0"/>
        <w:snapToGrid w:val="0"/>
        <w:spacing w:line="360" w:lineRule="auto"/>
        <w:jc w:val="left"/>
        <w:textAlignment w:val="baseline"/>
        <w:outlineLvl w:val="1"/>
        <w:rPr>
          <w:rFonts w:ascii="宋体" w:hAnsi="宋体" w:eastAsia="宋体" w:cs="宋体"/>
          <w:b/>
          <w:bCs/>
          <w:color w:val="auto"/>
          <w:sz w:val="28"/>
          <w:szCs w:val="30"/>
        </w:rPr>
        <w:sectPr>
          <w:footerReference r:id="rId3" w:type="default"/>
          <w:pgSz w:w="11906" w:h="16838"/>
          <w:pgMar w:top="1440" w:right="1800" w:bottom="1440" w:left="1800" w:header="794" w:footer="624" w:gutter="0"/>
          <w:cols w:space="425" w:num="1"/>
          <w:docGrid w:type="lines" w:linePitch="312" w:charSpace="0"/>
        </w:sectPr>
      </w:pPr>
    </w:p>
    <w:p w14:paraId="58AD549E">
      <w:pPr>
        <w:jc w:val="left"/>
        <w:rPr>
          <w:rFonts w:ascii="宋体" w:hAnsi="宋体" w:eastAsia="宋体" w:cs="Times New Roman"/>
          <w:color w:val="auto"/>
          <w:sz w:val="20"/>
        </w:rPr>
      </w:pPr>
    </w:p>
    <w:p w14:paraId="6226E4AC">
      <w:pPr>
        <w:keepNext/>
        <w:keepLines/>
        <w:adjustRightInd w:val="0"/>
        <w:snapToGrid w:val="0"/>
        <w:spacing w:line="360" w:lineRule="auto"/>
        <w:jc w:val="left"/>
        <w:textAlignment w:val="baseline"/>
        <w:outlineLvl w:val="1"/>
        <w:rPr>
          <w:rFonts w:ascii="宋体" w:hAnsi="宋体" w:eastAsia="宋体" w:cs="宋体"/>
          <w:b/>
          <w:bCs/>
          <w:color w:val="auto"/>
          <w:sz w:val="28"/>
          <w:szCs w:val="30"/>
        </w:rPr>
      </w:pPr>
      <w:bookmarkStart w:id="5" w:name="_Toc109892708"/>
      <w:bookmarkStart w:id="6" w:name="_Toc119489919"/>
      <w:bookmarkStart w:id="7" w:name="_Toc25829"/>
      <w:bookmarkStart w:id="8" w:name="_Toc109893764"/>
      <w:bookmarkStart w:id="9" w:name="_Toc109893612"/>
      <w:bookmarkStart w:id="10" w:name="_Toc109893846"/>
      <w:bookmarkStart w:id="11" w:name="_Toc109893133"/>
      <w:r>
        <w:rPr>
          <w:rFonts w:hint="eastAsia" w:ascii="宋体" w:hAnsi="宋体" w:eastAsia="宋体" w:cs="宋体"/>
          <w:b/>
          <w:bCs/>
          <w:color w:val="auto"/>
          <w:sz w:val="28"/>
          <w:szCs w:val="30"/>
        </w:rPr>
        <w:t>一、总则</w:t>
      </w:r>
      <w:bookmarkEnd w:id="5"/>
      <w:bookmarkEnd w:id="6"/>
      <w:bookmarkEnd w:id="7"/>
      <w:bookmarkEnd w:id="8"/>
      <w:bookmarkEnd w:id="9"/>
      <w:bookmarkEnd w:id="10"/>
      <w:bookmarkEnd w:id="11"/>
    </w:p>
    <w:p w14:paraId="4E788E21">
      <w:pPr>
        <w:spacing w:line="460" w:lineRule="exact"/>
        <w:ind w:firstLine="389" w:firstLineChars="176"/>
        <w:jc w:val="left"/>
        <w:rPr>
          <w:rFonts w:ascii="宋体" w:hAnsi="宋体" w:eastAsia="宋体" w:cs="宋体"/>
          <w:b/>
          <w:color w:val="auto"/>
          <w:sz w:val="22"/>
        </w:rPr>
      </w:pPr>
      <w:r>
        <w:rPr>
          <w:rFonts w:hint="eastAsia" w:ascii="宋体" w:hAnsi="宋体" w:eastAsia="宋体" w:cs="宋体"/>
          <w:b/>
          <w:color w:val="auto"/>
          <w:sz w:val="22"/>
        </w:rPr>
        <w:t>1、项目概况</w:t>
      </w:r>
    </w:p>
    <w:p w14:paraId="38DCDD0D">
      <w:pPr>
        <w:spacing w:line="440" w:lineRule="exact"/>
        <w:ind w:firstLine="391" w:firstLineChars="177"/>
        <w:jc w:val="left"/>
        <w:rPr>
          <w:rFonts w:ascii="宋体" w:hAnsi="宋体" w:eastAsia="宋体" w:cs="宋体"/>
          <w:color w:val="auto"/>
          <w:sz w:val="22"/>
          <w:szCs w:val="24"/>
        </w:rPr>
      </w:pPr>
      <w:r>
        <w:rPr>
          <w:rFonts w:hint="eastAsia" w:ascii="宋体" w:hAnsi="宋体" w:eastAsia="宋体" w:cs="宋体"/>
          <w:b/>
          <w:color w:val="auto"/>
          <w:sz w:val="22"/>
          <w:szCs w:val="24"/>
        </w:rPr>
        <w:t>1.1</w:t>
      </w:r>
      <w:r>
        <w:rPr>
          <w:rFonts w:hint="eastAsia" w:ascii="宋体" w:hAnsi="宋体" w:eastAsia="宋体" w:cs="宋体"/>
          <w:color w:val="auto"/>
          <w:sz w:val="22"/>
          <w:szCs w:val="24"/>
        </w:rPr>
        <w:t>采购内容：为更好的做好示范区安全生产、应急管理等各项工作，通过采购技术服务，协助做好日常的安全生产、应急管理工作以及相关法律法规的获取、指导，具体内容详见采购需求。</w:t>
      </w:r>
    </w:p>
    <w:p w14:paraId="2772A13E">
      <w:pPr>
        <w:spacing w:line="440" w:lineRule="exact"/>
        <w:ind w:firstLine="391" w:firstLineChars="177"/>
        <w:jc w:val="left"/>
        <w:rPr>
          <w:rFonts w:ascii="宋体" w:hAnsi="宋体" w:eastAsia="宋体" w:cs="宋体"/>
          <w:color w:val="auto"/>
          <w:sz w:val="22"/>
          <w:szCs w:val="24"/>
        </w:rPr>
      </w:pPr>
      <w:r>
        <w:rPr>
          <w:rFonts w:hint="eastAsia" w:ascii="宋体" w:hAnsi="宋体" w:eastAsia="宋体" w:cs="宋体"/>
          <w:b/>
          <w:color w:val="auto"/>
          <w:sz w:val="22"/>
          <w:szCs w:val="24"/>
        </w:rPr>
        <w:t>1.2</w:t>
      </w:r>
      <w:r>
        <w:rPr>
          <w:rFonts w:hint="eastAsia" w:ascii="宋体" w:hAnsi="宋体" w:eastAsia="宋体" w:cs="宋体"/>
          <w:color w:val="auto"/>
          <w:sz w:val="22"/>
          <w:szCs w:val="24"/>
        </w:rPr>
        <w:t>磋商范围：本项目竞争性磋商文件、补充文件及答疑纪要等列明的所有内容。</w:t>
      </w:r>
    </w:p>
    <w:p w14:paraId="377DE329">
      <w:pPr>
        <w:spacing w:line="440" w:lineRule="exact"/>
        <w:ind w:firstLine="391" w:firstLineChars="177"/>
        <w:jc w:val="left"/>
        <w:rPr>
          <w:rFonts w:ascii="宋体" w:hAnsi="宋体" w:eastAsia="宋体" w:cs="宋体"/>
          <w:color w:val="auto"/>
          <w:sz w:val="22"/>
          <w:szCs w:val="24"/>
        </w:rPr>
      </w:pPr>
      <w:r>
        <w:rPr>
          <w:rFonts w:hint="eastAsia" w:ascii="宋体" w:hAnsi="宋体" w:eastAsia="宋体" w:cs="宋体"/>
          <w:b/>
          <w:color w:val="auto"/>
          <w:sz w:val="22"/>
        </w:rPr>
        <w:t>1.3</w:t>
      </w:r>
      <w:r>
        <w:rPr>
          <w:rFonts w:hint="eastAsia" w:ascii="宋体" w:hAnsi="宋体" w:eastAsia="宋体" w:cs="Times New Roman"/>
          <w:color w:val="auto"/>
          <w:sz w:val="22"/>
          <w:szCs w:val="24"/>
        </w:rPr>
        <w:t>预算金额：</w:t>
      </w:r>
      <w:r>
        <w:rPr>
          <w:rFonts w:hint="eastAsia" w:ascii="宋体" w:hAnsi="宋体" w:eastAsia="宋体" w:cs="Times New Roman"/>
          <w:color w:val="auto"/>
          <w:sz w:val="22"/>
          <w:szCs w:val="24"/>
          <w:lang w:eastAsia="zh-CN"/>
        </w:rPr>
        <w:t>471900.00</w:t>
      </w:r>
      <w:r>
        <w:rPr>
          <w:rFonts w:hint="eastAsia" w:ascii="宋体" w:hAnsi="宋体" w:eastAsia="宋体" w:cs="Times New Roman"/>
          <w:color w:val="auto"/>
          <w:sz w:val="22"/>
          <w:szCs w:val="24"/>
        </w:rPr>
        <w:t>元。</w:t>
      </w:r>
    </w:p>
    <w:p w14:paraId="304817DF">
      <w:pPr>
        <w:spacing w:line="440" w:lineRule="exact"/>
        <w:ind w:firstLine="391" w:firstLineChars="177"/>
        <w:jc w:val="left"/>
        <w:rPr>
          <w:rFonts w:ascii="宋体" w:hAnsi="宋体" w:eastAsia="宋体" w:cs="宋体"/>
          <w:color w:val="auto"/>
          <w:sz w:val="22"/>
          <w:szCs w:val="24"/>
        </w:rPr>
      </w:pPr>
      <w:r>
        <w:rPr>
          <w:rFonts w:hint="eastAsia" w:ascii="宋体" w:hAnsi="宋体" w:eastAsia="宋体" w:cs="宋体"/>
          <w:b/>
          <w:color w:val="auto"/>
          <w:sz w:val="22"/>
        </w:rPr>
        <w:t>1.4</w:t>
      </w:r>
      <w:r>
        <w:rPr>
          <w:rFonts w:hint="eastAsia" w:ascii="宋体" w:hAnsi="宋体" w:eastAsia="宋体" w:cs="宋体"/>
          <w:color w:val="auto"/>
          <w:sz w:val="22"/>
          <w:szCs w:val="24"/>
        </w:rPr>
        <w:t>资金来源及落实情况：财政资金，已落实。</w:t>
      </w:r>
    </w:p>
    <w:p w14:paraId="56417ED3">
      <w:pPr>
        <w:spacing w:line="440" w:lineRule="exact"/>
        <w:ind w:firstLine="389" w:firstLineChars="176"/>
        <w:jc w:val="left"/>
        <w:rPr>
          <w:rFonts w:ascii="宋体" w:hAnsi="宋体" w:eastAsia="宋体" w:cs="Times New Roman"/>
          <w:color w:val="auto"/>
          <w:sz w:val="22"/>
          <w:szCs w:val="24"/>
        </w:rPr>
      </w:pPr>
      <w:r>
        <w:rPr>
          <w:rFonts w:hint="eastAsia" w:ascii="宋体" w:hAnsi="宋体" w:eastAsia="宋体" w:cs="宋体"/>
          <w:b/>
          <w:color w:val="auto"/>
          <w:sz w:val="22"/>
        </w:rPr>
        <w:t>1.5</w:t>
      </w:r>
      <w:r>
        <w:rPr>
          <w:rFonts w:ascii="宋体" w:hAnsi="宋体" w:eastAsia="宋体" w:cs="Times New Roman"/>
          <w:color w:val="auto"/>
          <w:sz w:val="22"/>
          <w:szCs w:val="24"/>
        </w:rPr>
        <w:t>质量</w:t>
      </w:r>
      <w:r>
        <w:rPr>
          <w:rFonts w:hint="eastAsia" w:ascii="宋体" w:hAnsi="宋体" w:eastAsia="宋体" w:cs="Times New Roman"/>
          <w:color w:val="auto"/>
          <w:sz w:val="22"/>
          <w:szCs w:val="24"/>
        </w:rPr>
        <w:t>标准</w:t>
      </w:r>
      <w:r>
        <w:rPr>
          <w:rFonts w:ascii="宋体" w:hAnsi="宋体" w:eastAsia="宋体" w:cs="Times New Roman"/>
          <w:color w:val="auto"/>
          <w:sz w:val="22"/>
          <w:szCs w:val="24"/>
        </w:rPr>
        <w:t>：</w:t>
      </w:r>
      <w:r>
        <w:rPr>
          <w:rFonts w:hint="eastAsia" w:ascii="宋体" w:hAnsi="宋体" w:cs="宋体"/>
          <w:color w:val="auto"/>
          <w:sz w:val="22"/>
          <w:szCs w:val="24"/>
        </w:rPr>
        <w:t>符合国家或行业规定的合格标准，满足采购人提出的技术标准及要求</w:t>
      </w:r>
      <w:r>
        <w:rPr>
          <w:rFonts w:hint="eastAsia" w:ascii="宋体" w:hAnsi="宋体" w:eastAsia="宋体" w:cs="Times New Roman"/>
          <w:color w:val="auto"/>
          <w:sz w:val="22"/>
          <w:szCs w:val="24"/>
        </w:rPr>
        <w:t>。</w:t>
      </w:r>
    </w:p>
    <w:p w14:paraId="54379DA8">
      <w:pPr>
        <w:spacing w:line="440" w:lineRule="exact"/>
        <w:ind w:firstLine="389" w:firstLineChars="176"/>
        <w:jc w:val="left"/>
        <w:rPr>
          <w:rFonts w:ascii="宋体" w:hAnsi="宋体" w:eastAsia="宋体" w:cs="Times New Roman"/>
          <w:color w:val="auto"/>
          <w:sz w:val="22"/>
          <w:szCs w:val="24"/>
        </w:rPr>
      </w:pPr>
      <w:r>
        <w:rPr>
          <w:rFonts w:hint="eastAsia" w:ascii="宋体" w:hAnsi="宋体" w:eastAsia="宋体" w:cs="宋体"/>
          <w:b/>
          <w:color w:val="auto"/>
          <w:sz w:val="22"/>
        </w:rPr>
        <w:t>1.6</w:t>
      </w:r>
      <w:r>
        <w:rPr>
          <w:rFonts w:hint="eastAsia" w:ascii="宋体" w:hAnsi="宋体" w:cs="宋体"/>
          <w:color w:val="auto"/>
          <w:sz w:val="22"/>
          <w:szCs w:val="24"/>
        </w:rPr>
        <w:t>服务期限</w:t>
      </w:r>
      <w:r>
        <w:rPr>
          <w:rFonts w:hint="eastAsia" w:ascii="宋体" w:hAnsi="宋体" w:eastAsia="宋体" w:cs="Times New Roman"/>
          <w:color w:val="auto"/>
          <w:sz w:val="22"/>
          <w:szCs w:val="24"/>
        </w:rPr>
        <w:t>：</w:t>
      </w:r>
      <w:r>
        <w:rPr>
          <w:rFonts w:hint="eastAsia" w:ascii="宋体" w:hAnsi="宋体" w:eastAsia="宋体" w:cs="宋体"/>
          <w:color w:val="auto"/>
          <w:sz w:val="22"/>
          <w:szCs w:val="24"/>
          <w:lang w:eastAsia="zh-CN"/>
        </w:rPr>
        <w:t>一年（合同期满，成交人服务考核合格且采购人下一年度财政预算已落实的，双方可续签次年服务合同，续签合同服务内容、服务标准、合同金额与本合同一致，累计服务期限最长不超过三年）</w:t>
      </w:r>
    </w:p>
    <w:p w14:paraId="22E1DBD5">
      <w:pPr>
        <w:spacing w:line="440" w:lineRule="exact"/>
        <w:ind w:firstLine="389" w:firstLineChars="176"/>
        <w:jc w:val="left"/>
        <w:rPr>
          <w:rFonts w:hint="eastAsia" w:ascii="宋体" w:hAnsi="宋体" w:eastAsia="宋体" w:cs="宋体"/>
          <w:color w:val="auto"/>
          <w:sz w:val="22"/>
          <w:szCs w:val="24"/>
          <w:lang w:eastAsia="zh-CN"/>
        </w:rPr>
      </w:pPr>
      <w:r>
        <w:rPr>
          <w:rFonts w:hint="eastAsia" w:ascii="宋体" w:hAnsi="宋体" w:eastAsia="宋体" w:cs="Times New Roman"/>
          <w:b/>
          <w:color w:val="auto"/>
          <w:sz w:val="22"/>
          <w:szCs w:val="24"/>
        </w:rPr>
        <w:t>1.7</w:t>
      </w:r>
      <w:r>
        <w:rPr>
          <w:rFonts w:hint="eastAsia" w:ascii="宋体" w:hAnsi="宋体" w:eastAsia="宋体" w:cs="宋体"/>
          <w:color w:val="auto"/>
          <w:sz w:val="22"/>
          <w:szCs w:val="24"/>
          <w:lang w:eastAsia="zh-CN"/>
        </w:rPr>
        <w:t>服务地点：采购人指定地点</w:t>
      </w:r>
    </w:p>
    <w:p w14:paraId="569C37BF">
      <w:pPr>
        <w:spacing w:line="44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lang w:val="en-US" w:eastAsia="zh-CN"/>
        </w:rPr>
        <w:t>1.8</w:t>
      </w:r>
      <w:r>
        <w:rPr>
          <w:rFonts w:hint="eastAsia" w:ascii="宋体" w:hAnsi="宋体" w:eastAsia="宋体" w:cs="宋体"/>
          <w:color w:val="auto"/>
          <w:kern w:val="0"/>
          <w:sz w:val="22"/>
        </w:rPr>
        <w:t>合同履行期限</w:t>
      </w:r>
      <w:r>
        <w:rPr>
          <w:rFonts w:hint="eastAsia" w:ascii="宋体" w:hAnsi="宋体" w:eastAsia="宋体" w:cs="Times New Roman"/>
          <w:color w:val="auto"/>
          <w:sz w:val="22"/>
          <w:szCs w:val="24"/>
        </w:rPr>
        <w:t>：</w:t>
      </w:r>
      <w:r>
        <w:rPr>
          <w:rFonts w:hint="eastAsia" w:ascii="宋体" w:hAnsi="宋体" w:eastAsia="宋体" w:cs="宋体"/>
          <w:color w:val="auto"/>
          <w:kern w:val="0"/>
          <w:sz w:val="22"/>
        </w:rPr>
        <w:t>同服务期限</w:t>
      </w:r>
    </w:p>
    <w:p w14:paraId="7FA59556">
      <w:pPr>
        <w:spacing w:line="460" w:lineRule="exact"/>
        <w:ind w:firstLine="391" w:firstLineChars="177"/>
        <w:jc w:val="left"/>
        <w:rPr>
          <w:rFonts w:ascii="宋体" w:hAnsi="宋体" w:eastAsia="宋体" w:cs="宋体"/>
          <w:b/>
          <w:color w:val="auto"/>
          <w:sz w:val="22"/>
        </w:rPr>
      </w:pPr>
      <w:r>
        <w:rPr>
          <w:rFonts w:hint="eastAsia" w:ascii="宋体" w:hAnsi="宋体" w:eastAsia="宋体" w:cs="宋体"/>
          <w:b/>
          <w:color w:val="auto"/>
          <w:sz w:val="22"/>
        </w:rPr>
        <w:t>2、费用</w:t>
      </w:r>
    </w:p>
    <w:p w14:paraId="75795A6B">
      <w:pPr>
        <w:spacing w:line="460" w:lineRule="exact"/>
        <w:ind w:firstLine="391" w:firstLineChars="177"/>
        <w:jc w:val="left"/>
        <w:rPr>
          <w:rFonts w:ascii="宋体" w:hAnsi="宋体" w:eastAsia="宋体" w:cs="宋体"/>
          <w:color w:val="auto"/>
          <w:sz w:val="22"/>
        </w:rPr>
      </w:pPr>
      <w:r>
        <w:rPr>
          <w:rFonts w:hint="eastAsia" w:ascii="宋体" w:hAnsi="宋体" w:eastAsia="宋体" w:cs="宋体"/>
          <w:b/>
          <w:color w:val="auto"/>
          <w:sz w:val="22"/>
        </w:rPr>
        <w:t>2.1</w:t>
      </w:r>
      <w:r>
        <w:rPr>
          <w:rFonts w:hint="eastAsia" w:ascii="宋体" w:hAnsi="宋体" w:eastAsia="宋体" w:cs="宋体"/>
          <w:color w:val="auto"/>
          <w:sz w:val="22"/>
        </w:rPr>
        <w:t>供应商应自行承担参加</w:t>
      </w:r>
      <w:r>
        <w:rPr>
          <w:rFonts w:hint="eastAsia" w:ascii="宋体" w:hAnsi="宋体" w:eastAsia="宋体" w:cs="宋体"/>
          <w:color w:val="auto"/>
          <w:sz w:val="22"/>
          <w:szCs w:val="24"/>
        </w:rPr>
        <w:t>磋商</w:t>
      </w:r>
      <w:r>
        <w:rPr>
          <w:rFonts w:hint="eastAsia" w:ascii="宋体" w:hAnsi="宋体" w:eastAsia="宋体" w:cs="宋体"/>
          <w:color w:val="auto"/>
          <w:sz w:val="22"/>
        </w:rPr>
        <w:t>活动的全部费用，采购人在任何情况下均无义务和责任承担上述费用。</w:t>
      </w:r>
    </w:p>
    <w:p w14:paraId="2FD1DB6F">
      <w:pPr>
        <w:adjustRightInd w:val="0"/>
        <w:snapToGrid w:val="0"/>
        <w:spacing w:line="46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3、定义及解释</w:t>
      </w:r>
    </w:p>
    <w:p w14:paraId="3234B638">
      <w:pPr>
        <w:adjustRightInd w:val="0"/>
        <w:snapToGrid w:val="0"/>
        <w:spacing w:line="460" w:lineRule="exact"/>
        <w:ind w:firstLine="389" w:firstLineChars="176"/>
        <w:jc w:val="left"/>
        <w:rPr>
          <w:rFonts w:ascii="宋体" w:hAnsi="宋体" w:eastAsia="宋体" w:cs="宋体"/>
          <w:color w:val="auto"/>
          <w:sz w:val="22"/>
          <w:szCs w:val="24"/>
          <w:u w:val="single"/>
        </w:rPr>
      </w:pPr>
      <w:r>
        <w:rPr>
          <w:rFonts w:hint="eastAsia" w:ascii="宋体" w:hAnsi="宋体" w:eastAsia="宋体" w:cs="宋体"/>
          <w:b/>
          <w:bCs/>
          <w:color w:val="auto"/>
          <w:sz w:val="22"/>
          <w:szCs w:val="24"/>
        </w:rPr>
        <w:t>3.1</w:t>
      </w:r>
      <w:r>
        <w:rPr>
          <w:rFonts w:hint="eastAsia" w:ascii="宋体" w:hAnsi="宋体" w:eastAsia="宋体" w:cs="宋体"/>
          <w:color w:val="auto"/>
          <w:sz w:val="22"/>
          <w:szCs w:val="24"/>
        </w:rPr>
        <w:t>采购人：三门峡市城乡一体化示范区应急救援保障中心。</w:t>
      </w:r>
    </w:p>
    <w:p w14:paraId="6252B02A">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bCs/>
          <w:color w:val="auto"/>
          <w:sz w:val="22"/>
          <w:szCs w:val="24"/>
        </w:rPr>
        <w:t>3.2</w:t>
      </w:r>
      <w:r>
        <w:rPr>
          <w:rFonts w:hint="eastAsia" w:ascii="宋体" w:hAnsi="宋体" w:eastAsia="宋体" w:cs="宋体"/>
          <w:color w:val="auto"/>
          <w:sz w:val="22"/>
          <w:szCs w:val="24"/>
        </w:rPr>
        <w:t>供应商</w:t>
      </w:r>
      <w:r>
        <w:rPr>
          <w:rFonts w:hint="eastAsia" w:ascii="宋体" w:hAnsi="宋体" w:eastAsia="宋体" w:cs="宋体"/>
          <w:color w:val="auto"/>
          <w:sz w:val="22"/>
          <w:szCs w:val="24"/>
          <w:lang w:eastAsia="zh-CN"/>
        </w:rPr>
        <w:t>：</w:t>
      </w:r>
      <w:r>
        <w:rPr>
          <w:rFonts w:hint="eastAsia" w:ascii="宋体" w:hAnsi="宋体" w:eastAsia="宋体" w:cs="宋体"/>
          <w:color w:val="auto"/>
          <w:sz w:val="22"/>
          <w:szCs w:val="24"/>
        </w:rPr>
        <w:t>是指响应采购、参加投标的法人或者其他组织。</w:t>
      </w:r>
    </w:p>
    <w:p w14:paraId="0A89CBEB">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bCs/>
          <w:color w:val="auto"/>
          <w:sz w:val="22"/>
          <w:szCs w:val="24"/>
        </w:rPr>
        <w:t>3.3</w:t>
      </w:r>
      <w:r>
        <w:rPr>
          <w:rFonts w:hint="eastAsia" w:ascii="宋体" w:hAnsi="宋体" w:eastAsia="宋体" w:cs="宋体"/>
          <w:color w:val="auto"/>
          <w:sz w:val="22"/>
          <w:szCs w:val="24"/>
        </w:rPr>
        <w:t>采购代理机构：</w:t>
      </w:r>
      <w:r>
        <w:rPr>
          <w:rFonts w:hint="eastAsia" w:ascii="宋体" w:hAnsi="宋体" w:eastAsia="宋体" w:cs="宋体"/>
          <w:color w:val="auto"/>
          <w:sz w:val="22"/>
        </w:rPr>
        <w:t>中鼎誉润工程咨询有限公司</w:t>
      </w:r>
    </w:p>
    <w:p w14:paraId="7B80F397">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bCs/>
          <w:color w:val="auto"/>
          <w:sz w:val="22"/>
          <w:szCs w:val="24"/>
        </w:rPr>
        <w:t>3.4</w:t>
      </w:r>
      <w:r>
        <w:rPr>
          <w:rFonts w:hint="eastAsia" w:ascii="宋体" w:hAnsi="宋体" w:eastAsia="宋体" w:cs="宋体"/>
          <w:color w:val="auto"/>
          <w:sz w:val="22"/>
          <w:szCs w:val="24"/>
        </w:rPr>
        <w:t>磋商小组：是指按照《政府采购竞争性磋商采购方式管理暂行办法》</w:t>
      </w:r>
      <w:r>
        <w:rPr>
          <w:rFonts w:hint="eastAsia" w:ascii="宋体" w:hAnsi="宋体" w:eastAsia="宋体" w:cs="宋体"/>
          <w:color w:val="auto"/>
          <w:kern w:val="0"/>
          <w:sz w:val="22"/>
          <w:szCs w:val="24"/>
        </w:rPr>
        <w:t>的</w:t>
      </w:r>
      <w:r>
        <w:rPr>
          <w:rFonts w:hint="eastAsia" w:ascii="宋体" w:hAnsi="宋体" w:eastAsia="宋体" w:cs="宋体"/>
          <w:color w:val="auto"/>
          <w:sz w:val="22"/>
          <w:szCs w:val="24"/>
        </w:rPr>
        <w:t>规定组建的专门负责本次采购的评标工作的临时机构。</w:t>
      </w:r>
    </w:p>
    <w:p w14:paraId="2A44D708">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bCs/>
          <w:color w:val="auto"/>
          <w:sz w:val="22"/>
          <w:szCs w:val="24"/>
        </w:rPr>
        <w:t>3.5</w:t>
      </w:r>
      <w:r>
        <w:rPr>
          <w:rFonts w:hint="eastAsia" w:ascii="宋体" w:hAnsi="宋体" w:eastAsia="宋体" w:cs="宋体"/>
          <w:color w:val="auto"/>
          <w:sz w:val="22"/>
          <w:szCs w:val="24"/>
        </w:rPr>
        <w:t>日期、天数、时间：无特别说明时是指公历日及北京时间。</w:t>
      </w:r>
    </w:p>
    <w:p w14:paraId="407B473E">
      <w:pPr>
        <w:keepNext/>
        <w:keepLines/>
        <w:spacing w:line="480" w:lineRule="exact"/>
        <w:ind w:firstLine="442" w:firstLineChars="200"/>
        <w:jc w:val="left"/>
        <w:outlineLvl w:val="1"/>
        <w:rPr>
          <w:rFonts w:ascii="宋体" w:hAnsi="宋体" w:eastAsia="宋体" w:cs="宋体"/>
          <w:b/>
          <w:bCs/>
          <w:color w:val="auto"/>
          <w:sz w:val="24"/>
          <w:szCs w:val="28"/>
        </w:rPr>
      </w:pPr>
      <w:bookmarkStart w:id="12" w:name="_Toc109893613"/>
      <w:bookmarkStart w:id="13" w:name="_Toc119489920"/>
      <w:bookmarkStart w:id="14" w:name="_Toc109892709"/>
      <w:bookmarkStart w:id="15" w:name="_Toc109893765"/>
      <w:bookmarkStart w:id="16" w:name="_Toc109893134"/>
      <w:bookmarkStart w:id="17" w:name="_Toc5375"/>
      <w:bookmarkStart w:id="18" w:name="_Toc109893847"/>
      <w:r>
        <w:rPr>
          <w:rFonts w:hint="eastAsia" w:ascii="宋体" w:hAnsi="宋体" w:eastAsia="宋体" w:cs="宋体"/>
          <w:b/>
          <w:bCs/>
          <w:color w:val="auto"/>
          <w:sz w:val="22"/>
          <w:szCs w:val="32"/>
        </w:rPr>
        <w:t>4、</w:t>
      </w:r>
      <w:r>
        <w:rPr>
          <w:rFonts w:hint="eastAsia" w:ascii="宋体" w:hAnsi="宋体" w:eastAsia="宋体" w:cs="宋体"/>
          <w:b/>
          <w:bCs/>
          <w:color w:val="auto"/>
          <w:sz w:val="24"/>
          <w:szCs w:val="28"/>
        </w:rPr>
        <w:t>供应商资格要求</w:t>
      </w:r>
      <w:bookmarkEnd w:id="12"/>
      <w:bookmarkEnd w:id="13"/>
      <w:bookmarkEnd w:id="14"/>
      <w:bookmarkEnd w:id="15"/>
      <w:bookmarkEnd w:id="16"/>
      <w:bookmarkEnd w:id="17"/>
      <w:bookmarkEnd w:id="18"/>
    </w:p>
    <w:p w14:paraId="1A712066">
      <w:pPr>
        <w:spacing w:line="460" w:lineRule="exact"/>
        <w:ind w:firstLine="391" w:firstLineChars="177"/>
        <w:jc w:val="left"/>
        <w:rPr>
          <w:rFonts w:ascii="宋体" w:hAnsi="宋体" w:eastAsia="宋体" w:cs="宋体"/>
          <w:color w:val="auto"/>
          <w:sz w:val="22"/>
          <w:szCs w:val="24"/>
        </w:rPr>
      </w:pPr>
      <w:r>
        <w:rPr>
          <w:rFonts w:hint="eastAsia" w:ascii="宋体" w:hAnsi="宋体" w:eastAsia="宋体" w:cs="宋体"/>
          <w:b/>
          <w:bCs/>
          <w:color w:val="auto"/>
          <w:sz w:val="22"/>
          <w:szCs w:val="24"/>
        </w:rPr>
        <w:t>4.1</w:t>
      </w:r>
      <w:r>
        <w:rPr>
          <w:rFonts w:hint="eastAsia" w:ascii="宋体" w:hAnsi="宋体" w:eastAsia="宋体" w:cs="宋体"/>
          <w:color w:val="auto"/>
          <w:sz w:val="22"/>
          <w:szCs w:val="24"/>
        </w:rPr>
        <w:t>满足《中华人民共和国政府采购法》第二十二条规定；</w:t>
      </w:r>
    </w:p>
    <w:p w14:paraId="20B1A7EB">
      <w:pPr>
        <w:spacing w:line="460" w:lineRule="exact"/>
        <w:ind w:firstLine="391" w:firstLineChars="177"/>
        <w:jc w:val="left"/>
        <w:rPr>
          <w:rFonts w:ascii="宋体" w:hAnsi="宋体" w:eastAsia="宋体" w:cs="宋体"/>
          <w:color w:val="auto"/>
          <w:sz w:val="22"/>
          <w:szCs w:val="24"/>
        </w:rPr>
      </w:pPr>
      <w:r>
        <w:rPr>
          <w:rFonts w:hint="eastAsia" w:ascii="宋体" w:hAnsi="宋体" w:eastAsia="宋体" w:cs="宋体"/>
          <w:b/>
          <w:bCs/>
          <w:color w:val="auto"/>
          <w:sz w:val="22"/>
          <w:szCs w:val="24"/>
        </w:rPr>
        <w:t>4.2</w:t>
      </w:r>
      <w:r>
        <w:rPr>
          <w:rFonts w:hint="eastAsia" w:ascii="宋体" w:hAnsi="宋体" w:eastAsia="宋体" w:cs="宋体"/>
          <w:color w:val="auto"/>
          <w:sz w:val="22"/>
          <w:szCs w:val="24"/>
        </w:rPr>
        <w:t>落实政府采购政策满足的资格要求：</w:t>
      </w:r>
      <w:r>
        <w:rPr>
          <w:rFonts w:hint="eastAsia" w:ascii="宋体" w:hAnsi="宋体" w:eastAsia="宋体" w:cs="宋体"/>
          <w:color w:val="auto"/>
          <w:sz w:val="22"/>
          <w:szCs w:val="24"/>
          <w:lang w:eastAsia="zh-CN"/>
        </w:rPr>
        <w:t>本项目专门面向中小企业采购，监狱企业、残疾人福利性单位视同小型、微型企业参与本次采购。供应商需按规定分别提供中小企业声明函、监狱企业证明文件或残疾人福利性单位声明函</w:t>
      </w:r>
      <w:r>
        <w:rPr>
          <w:rFonts w:hint="eastAsia" w:ascii="宋体" w:hAnsi="宋体" w:eastAsia="宋体" w:cs="宋体"/>
          <w:color w:val="auto"/>
          <w:sz w:val="22"/>
          <w:szCs w:val="24"/>
        </w:rPr>
        <w:t>。</w:t>
      </w:r>
    </w:p>
    <w:p w14:paraId="3F7BF1D3">
      <w:pPr>
        <w:spacing w:line="460" w:lineRule="exact"/>
        <w:ind w:firstLine="391" w:firstLineChars="177"/>
        <w:jc w:val="left"/>
        <w:rPr>
          <w:rFonts w:ascii="宋体" w:hAnsi="宋体" w:eastAsia="宋体" w:cs="宋体"/>
          <w:color w:val="auto"/>
          <w:sz w:val="22"/>
          <w:szCs w:val="24"/>
        </w:rPr>
      </w:pPr>
      <w:r>
        <w:rPr>
          <w:rFonts w:hint="eastAsia" w:ascii="宋体" w:hAnsi="宋体" w:eastAsia="宋体" w:cs="宋体"/>
          <w:b/>
          <w:color w:val="auto"/>
          <w:sz w:val="22"/>
          <w:szCs w:val="24"/>
        </w:rPr>
        <w:t>4.3</w:t>
      </w:r>
      <w:r>
        <w:rPr>
          <w:rFonts w:hint="eastAsia" w:ascii="宋体" w:hAnsi="宋体" w:eastAsia="宋体" w:cs="宋体"/>
          <w:color w:val="auto"/>
          <w:sz w:val="22"/>
          <w:szCs w:val="24"/>
        </w:rPr>
        <w:t xml:space="preserve">本项目的特定资格要求 </w:t>
      </w:r>
    </w:p>
    <w:p w14:paraId="039FDA27">
      <w:pPr>
        <w:numPr>
          <w:ilvl w:val="0"/>
          <w:numId w:val="4"/>
        </w:numPr>
        <w:tabs>
          <w:tab w:val="left" w:pos="1134"/>
        </w:tabs>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供应商具有有效的营业执照或者事业单位法人证书；</w:t>
      </w:r>
    </w:p>
    <w:p w14:paraId="138B7A3D">
      <w:pPr>
        <w:numPr>
          <w:ilvl w:val="0"/>
          <w:numId w:val="4"/>
        </w:numPr>
        <w:tabs>
          <w:tab w:val="left" w:pos="1134"/>
        </w:tabs>
        <w:spacing w:line="460" w:lineRule="exact"/>
        <w:jc w:val="left"/>
        <w:rPr>
          <w:rFonts w:ascii="宋体" w:hAnsi="宋体" w:eastAsia="宋体" w:cs="宋体"/>
          <w:color w:val="auto"/>
          <w:sz w:val="22"/>
          <w:szCs w:val="24"/>
        </w:rPr>
      </w:pPr>
      <w:r>
        <w:rPr>
          <w:rFonts w:hint="eastAsia" w:ascii="宋体" w:hAnsi="宋体" w:eastAsia="宋体" w:cs="Times New Roman"/>
          <w:color w:val="auto"/>
          <w:sz w:val="22"/>
          <w:szCs w:val="24"/>
        </w:rPr>
        <w:t>供应商具有履行合同所必需的设备和专业技术能力（自行承诺，格式自拟）；</w:t>
      </w:r>
    </w:p>
    <w:p w14:paraId="2A11D268">
      <w:pPr>
        <w:numPr>
          <w:ilvl w:val="0"/>
          <w:numId w:val="4"/>
        </w:numPr>
        <w:tabs>
          <w:tab w:val="left" w:pos="1134"/>
        </w:tabs>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 xml:space="preserve">供应商须自行出具本单位无商业贿赂及无不正当竞争行为的承诺书； </w:t>
      </w:r>
    </w:p>
    <w:p w14:paraId="533D5593">
      <w:pPr>
        <w:numPr>
          <w:ilvl w:val="0"/>
          <w:numId w:val="4"/>
        </w:numPr>
        <w:tabs>
          <w:tab w:val="left" w:pos="1134"/>
        </w:tabs>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 xml:space="preserve">供应商未列入“中国执行信息公开网”的“失信被执行人”，“信用中国”www.creditchina.gov.cn网站的“重大税收违法失信主体”和“中国政府采购网”www.ccgp.gov.cn网站的“政府采购严重违法失信行为记录名单”（采购人、代理机构在开标后对所有响应人信用记录进行查询，并将查询结果网页打印存档，响应人不良信用记录以代理机构开标后查询结果为准）； </w:t>
      </w:r>
    </w:p>
    <w:p w14:paraId="0CAFF38D">
      <w:pPr>
        <w:numPr>
          <w:ilvl w:val="0"/>
          <w:numId w:val="4"/>
        </w:numPr>
        <w:tabs>
          <w:tab w:val="left" w:pos="1134"/>
        </w:tabs>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 xml:space="preserve">单位负责人为同一人或者存在直接控股、管理关系的不同供应商，不得参加同一合同项下的政府采购活动（提供“国家企业信用信息公示系统”中查询打印的相关信息并加盖公章（需包含公司基本信息、股东信息及股权变更信息）或者自行承诺）； </w:t>
      </w:r>
    </w:p>
    <w:p w14:paraId="0DFDBF3E">
      <w:pPr>
        <w:numPr>
          <w:ilvl w:val="0"/>
          <w:numId w:val="4"/>
        </w:numPr>
        <w:tabs>
          <w:tab w:val="left" w:pos="1134"/>
        </w:tabs>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lang w:eastAsia="zh-CN"/>
        </w:rPr>
        <w:t>本项目不允许联合体磋商（提供非联合体声明函）</w:t>
      </w:r>
      <w:r>
        <w:rPr>
          <w:rFonts w:hint="eastAsia" w:ascii="宋体" w:hAnsi="宋体" w:eastAsia="宋体" w:cs="宋体"/>
          <w:color w:val="auto"/>
          <w:sz w:val="22"/>
          <w:szCs w:val="24"/>
        </w:rPr>
        <w:t>。</w:t>
      </w:r>
    </w:p>
    <w:p w14:paraId="1C3257AA">
      <w:pPr>
        <w:spacing w:line="460" w:lineRule="exact"/>
        <w:ind w:firstLine="391" w:firstLineChars="177"/>
        <w:jc w:val="left"/>
        <w:rPr>
          <w:rFonts w:ascii="宋体" w:hAnsi="宋体" w:eastAsia="宋体" w:cs="宋体"/>
          <w:b/>
          <w:bCs/>
          <w:color w:val="auto"/>
          <w:sz w:val="22"/>
          <w:szCs w:val="24"/>
        </w:rPr>
      </w:pPr>
      <w:r>
        <w:rPr>
          <w:rFonts w:hint="eastAsia" w:ascii="宋体" w:hAnsi="宋体" w:eastAsia="宋体" w:cs="宋体"/>
          <w:b/>
          <w:bCs/>
          <w:color w:val="auto"/>
          <w:sz w:val="22"/>
          <w:szCs w:val="24"/>
        </w:rPr>
        <w:t>5、保证</w:t>
      </w:r>
    </w:p>
    <w:p w14:paraId="179DCC10">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5.1</w:t>
      </w:r>
      <w:r>
        <w:rPr>
          <w:rFonts w:hint="eastAsia" w:ascii="宋体" w:hAnsi="宋体" w:eastAsia="宋体" w:cs="宋体"/>
          <w:color w:val="auto"/>
          <w:sz w:val="22"/>
          <w:szCs w:val="24"/>
        </w:rPr>
        <w:t>供应商应保证在响应文件格式中所提交的资料和数据是真实的。</w:t>
      </w:r>
    </w:p>
    <w:p w14:paraId="4BDEEA9B">
      <w:pPr>
        <w:keepNext/>
        <w:keepLines/>
        <w:adjustRightInd w:val="0"/>
        <w:snapToGrid w:val="0"/>
        <w:spacing w:line="600" w:lineRule="exact"/>
        <w:jc w:val="left"/>
        <w:textAlignment w:val="baseline"/>
        <w:outlineLvl w:val="1"/>
        <w:rPr>
          <w:rFonts w:ascii="宋体" w:hAnsi="宋体" w:eastAsia="宋体" w:cs="宋体"/>
          <w:b/>
          <w:bCs/>
          <w:color w:val="auto"/>
          <w:sz w:val="28"/>
          <w:szCs w:val="32"/>
        </w:rPr>
      </w:pPr>
      <w:bookmarkStart w:id="19" w:name="_Toc109893766"/>
      <w:bookmarkStart w:id="20" w:name="_Toc119489921"/>
      <w:bookmarkStart w:id="21" w:name="_Toc109893614"/>
      <w:bookmarkStart w:id="22" w:name="_Toc109892710"/>
      <w:bookmarkStart w:id="23" w:name="_Toc109893848"/>
      <w:bookmarkStart w:id="24" w:name="_Toc5569"/>
      <w:bookmarkStart w:id="25" w:name="_Toc109893135"/>
      <w:r>
        <w:rPr>
          <w:rFonts w:hint="eastAsia" w:ascii="宋体" w:hAnsi="宋体" w:eastAsia="宋体" w:cs="宋体"/>
          <w:b/>
          <w:bCs/>
          <w:color w:val="auto"/>
          <w:sz w:val="28"/>
          <w:szCs w:val="32"/>
        </w:rPr>
        <w:t>二、竞争性磋商文件</w:t>
      </w:r>
      <w:bookmarkEnd w:id="19"/>
      <w:bookmarkEnd w:id="20"/>
      <w:bookmarkEnd w:id="21"/>
      <w:bookmarkEnd w:id="22"/>
      <w:bookmarkEnd w:id="23"/>
      <w:bookmarkEnd w:id="24"/>
      <w:bookmarkEnd w:id="25"/>
    </w:p>
    <w:p w14:paraId="5023732E">
      <w:pPr>
        <w:spacing w:line="460" w:lineRule="exact"/>
        <w:ind w:firstLine="389" w:firstLineChars="176"/>
        <w:jc w:val="left"/>
        <w:rPr>
          <w:rFonts w:ascii="宋体" w:hAnsi="宋体" w:eastAsia="宋体" w:cs="宋体"/>
          <w:b/>
          <w:color w:val="auto"/>
          <w:sz w:val="22"/>
          <w:szCs w:val="24"/>
        </w:rPr>
      </w:pPr>
      <w:r>
        <w:rPr>
          <w:rFonts w:hint="eastAsia" w:ascii="宋体" w:hAnsi="宋体" w:eastAsia="宋体" w:cs="宋体"/>
          <w:b/>
          <w:color w:val="auto"/>
          <w:sz w:val="22"/>
          <w:szCs w:val="24"/>
        </w:rPr>
        <w:t>6、竞争性磋商文件的组成</w:t>
      </w:r>
    </w:p>
    <w:p w14:paraId="33801EE7">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6.1</w:t>
      </w:r>
      <w:r>
        <w:rPr>
          <w:rFonts w:hint="eastAsia" w:ascii="宋体" w:hAnsi="宋体" w:eastAsia="宋体" w:cs="宋体"/>
          <w:color w:val="auto"/>
          <w:sz w:val="22"/>
          <w:szCs w:val="24"/>
        </w:rPr>
        <w:t>竞争性磋商文件的组成除以下内容外，采购人在采购期间可能发出的补充说明文件和采购答疑,均为竞争性磋商文件的组成部分，对供应商具有约束力。</w:t>
      </w:r>
    </w:p>
    <w:p w14:paraId="5B87C1F6">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第一章 竞争性磋商公告</w:t>
      </w:r>
    </w:p>
    <w:p w14:paraId="67EA8797">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第二章 供应商须知及前附表</w:t>
      </w:r>
    </w:p>
    <w:p w14:paraId="21622E2B">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第三章 评标办法（综合评分法）</w:t>
      </w:r>
    </w:p>
    <w:p w14:paraId="66B27BDB">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第四章 政府采购合同（主要条款）</w:t>
      </w:r>
    </w:p>
    <w:p w14:paraId="76BC3C3C">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第五章 服务内容及要求</w:t>
      </w:r>
    </w:p>
    <w:p w14:paraId="3982CF62">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第六章 响应文件格式</w:t>
      </w:r>
    </w:p>
    <w:p w14:paraId="717B397A">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磋商文件的补充、澄清、修改、答疑（如有）构成磋商件的组成部分。</w:t>
      </w:r>
    </w:p>
    <w:p w14:paraId="4AD469C5">
      <w:pPr>
        <w:spacing w:line="460" w:lineRule="exact"/>
        <w:ind w:firstLine="389" w:firstLineChars="176"/>
        <w:jc w:val="left"/>
        <w:rPr>
          <w:rFonts w:ascii="宋体" w:hAnsi="宋体" w:eastAsia="宋体" w:cs="宋体"/>
          <w:b/>
          <w:color w:val="auto"/>
          <w:sz w:val="22"/>
          <w:szCs w:val="24"/>
        </w:rPr>
      </w:pPr>
      <w:r>
        <w:rPr>
          <w:rFonts w:hint="eastAsia" w:ascii="宋体" w:hAnsi="宋体" w:eastAsia="宋体" w:cs="宋体"/>
          <w:b/>
          <w:color w:val="auto"/>
          <w:sz w:val="22"/>
          <w:szCs w:val="24"/>
        </w:rPr>
        <w:t>7、竞争性磋商文件的澄清</w:t>
      </w:r>
    </w:p>
    <w:p w14:paraId="5B9712BB">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7.1</w:t>
      </w:r>
      <w:r>
        <w:rPr>
          <w:rFonts w:hint="eastAsia" w:ascii="宋体" w:hAnsi="宋体" w:eastAsia="宋体" w:cs="宋体"/>
          <w:color w:val="auto"/>
          <w:sz w:val="22"/>
          <w:szCs w:val="24"/>
        </w:rPr>
        <w:t>供应商应仔细阅读和检查竞争性磋商文件的全部内容。如发现缺页或附件不全，应及时向采购人提出，以便补齐。如有疑问，应在供应商须知前附表规定的时间前将需澄清及答疑内容通过电子化交易系统（加盖单位公章）在答疑递交截止时间前提交至采购代理机构，要求采购人对竞争性磋商文件予以澄清。</w:t>
      </w:r>
    </w:p>
    <w:p w14:paraId="268C1B06">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 xml:space="preserve">7.2 </w:t>
      </w:r>
      <w:r>
        <w:rPr>
          <w:rFonts w:hint="eastAsia" w:ascii="宋体" w:hAnsi="宋体" w:eastAsia="宋体" w:cs="宋体"/>
          <w:color w:val="auto"/>
          <w:sz w:val="22"/>
          <w:szCs w:val="24"/>
        </w:rPr>
        <w:t>竞争性磋商文件的澄清通过电子化交易系统告知所有购买竞争性磋商文件的供应商，但不指明澄清问题的来源。澄清发出的时间距供应商须知前附表规定的磋商截止时间不足5日的，并且澄清内容影响磋商响应文件编制的，将相应延长磋商截止时间。</w:t>
      </w:r>
    </w:p>
    <w:p w14:paraId="3916AB78">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7.3</w:t>
      </w:r>
      <w:r>
        <w:rPr>
          <w:rFonts w:hint="eastAsia" w:ascii="宋体" w:hAnsi="宋体" w:eastAsia="宋体" w:cs="宋体"/>
          <w:color w:val="auto"/>
          <w:sz w:val="22"/>
          <w:szCs w:val="24"/>
        </w:rPr>
        <w:t>竞争性磋商文件变更不再另行通知，以网上发布的变更信息为准，潜在供应商注意上网查看变更信息。</w:t>
      </w:r>
    </w:p>
    <w:p w14:paraId="2C18FAD4">
      <w:pPr>
        <w:numPr>
          <w:ilvl w:val="0"/>
          <w:numId w:val="5"/>
        </w:numPr>
        <w:spacing w:line="460" w:lineRule="exact"/>
        <w:ind w:firstLine="389" w:firstLineChars="176"/>
        <w:jc w:val="left"/>
        <w:rPr>
          <w:rFonts w:ascii="宋体" w:hAnsi="宋体" w:eastAsia="宋体" w:cs="宋体"/>
          <w:b/>
          <w:color w:val="auto"/>
          <w:sz w:val="22"/>
          <w:szCs w:val="24"/>
        </w:rPr>
      </w:pPr>
      <w:r>
        <w:rPr>
          <w:rFonts w:hint="eastAsia" w:ascii="宋体" w:hAnsi="宋体" w:eastAsia="宋体" w:cs="宋体"/>
          <w:b/>
          <w:color w:val="auto"/>
          <w:sz w:val="22"/>
          <w:szCs w:val="24"/>
        </w:rPr>
        <w:t>竞争性磋商文件的修改</w:t>
      </w:r>
    </w:p>
    <w:p w14:paraId="7F6720BD">
      <w:pPr>
        <w:spacing w:line="460" w:lineRule="exact"/>
        <w:ind w:firstLine="442" w:firstLineChars="200"/>
        <w:jc w:val="left"/>
        <w:rPr>
          <w:rFonts w:ascii="宋体" w:hAnsi="宋体" w:eastAsia="宋体" w:cs="宋体"/>
          <w:color w:val="auto"/>
          <w:sz w:val="22"/>
          <w:szCs w:val="24"/>
        </w:rPr>
      </w:pPr>
      <w:r>
        <w:rPr>
          <w:rFonts w:hint="eastAsia" w:ascii="宋体" w:hAnsi="宋体" w:eastAsia="宋体" w:cs="宋体"/>
          <w:b/>
          <w:color w:val="auto"/>
          <w:sz w:val="22"/>
          <w:szCs w:val="24"/>
        </w:rPr>
        <w:t>8.l</w:t>
      </w:r>
      <w:r>
        <w:rPr>
          <w:rFonts w:hint="eastAsia" w:ascii="宋体" w:hAnsi="宋体" w:eastAsia="宋体" w:cs="宋体"/>
          <w:color w:val="auto"/>
          <w:sz w:val="22"/>
          <w:lang w:bidi="ar"/>
        </w:rPr>
        <w:t>采购人可以通过电子化交易系统澄清修改磋商文件，澄清修改磋商文件的时间距供应商须知前附表规定的磋商截止时间不足5日的，并且澄清内容影响磋商响应文件编制的，将相应延长磋商截止时间</w:t>
      </w:r>
      <w:r>
        <w:rPr>
          <w:rFonts w:hint="eastAsia" w:ascii="宋体" w:hAnsi="宋体" w:eastAsia="宋体" w:cs="宋体"/>
          <w:color w:val="auto"/>
          <w:sz w:val="22"/>
          <w:szCs w:val="24"/>
        </w:rPr>
        <w:t>。</w:t>
      </w:r>
    </w:p>
    <w:p w14:paraId="2AF216B6">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8.2</w:t>
      </w:r>
      <w:r>
        <w:rPr>
          <w:rFonts w:hint="eastAsia" w:ascii="宋体" w:hAnsi="宋体" w:eastAsia="宋体" w:cs="宋体"/>
          <w:color w:val="auto"/>
          <w:sz w:val="22"/>
          <w:lang w:bidi="ar"/>
        </w:rPr>
        <w:t>磋商文件的澄清修改内容作为磋商文件的组成部分，对供应商和采购人均具有约束作用。</w:t>
      </w:r>
    </w:p>
    <w:p w14:paraId="68953D55">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8.3</w:t>
      </w:r>
      <w:r>
        <w:rPr>
          <w:rFonts w:hint="eastAsia" w:ascii="宋体" w:hAnsi="宋体" w:eastAsia="宋体" w:cs="宋体"/>
          <w:color w:val="auto"/>
          <w:sz w:val="22"/>
          <w:lang w:bidi="ar"/>
        </w:rPr>
        <w:t>磋商文件的澄清、修改、补充等内容均通过电子化交易系统明确的内容为准。当磋商文件的澄清、修改、补充等在同一内容的表述不一致时，以最后发出的文件为准。供应商对磋商文件的任何推论和误解所造成的后果，均有供应商承担。</w:t>
      </w:r>
    </w:p>
    <w:p w14:paraId="399C135B">
      <w:pPr>
        <w:spacing w:line="520" w:lineRule="exact"/>
        <w:ind w:firstLine="442" w:firstLineChars="200"/>
        <w:jc w:val="left"/>
        <w:rPr>
          <w:rFonts w:ascii="宋体" w:hAnsi="宋体" w:eastAsia="宋体" w:cs="宋体"/>
          <w:color w:val="auto"/>
          <w:sz w:val="22"/>
          <w:szCs w:val="24"/>
        </w:rPr>
      </w:pPr>
      <w:r>
        <w:rPr>
          <w:rFonts w:hint="eastAsia" w:ascii="宋体" w:hAnsi="宋体" w:eastAsia="宋体" w:cs="宋体"/>
          <w:b/>
          <w:color w:val="auto"/>
          <w:sz w:val="22"/>
          <w:szCs w:val="24"/>
        </w:rPr>
        <w:t>8.4</w:t>
      </w:r>
      <w:r>
        <w:rPr>
          <w:rFonts w:hint="eastAsia" w:ascii="宋体" w:hAnsi="宋体" w:eastAsia="宋体" w:cs="宋体"/>
          <w:color w:val="auto"/>
          <w:sz w:val="22"/>
          <w:szCs w:val="24"/>
          <w:lang w:bidi="ar"/>
        </w:rPr>
        <w:t>根据本章第7款和第8款对磋商文件所作的澄清、修改，构成磋商文件的组成部分。上述所列内容均以书面文件（或网上发布的电子文件）为准，采购人（采购代理机构）的任何工作人员对供应商所作的任何口头解释、介绍、答复，对采购人和供应商无任何约束力。供应商应按照公告要求的时间请</w:t>
      </w:r>
      <w:r>
        <w:rPr>
          <w:rFonts w:hint="eastAsia" w:ascii="宋体" w:hAnsi="宋体" w:eastAsia="宋体" w:cs="宋体"/>
          <w:color w:val="auto"/>
          <w:sz w:val="22"/>
          <w:szCs w:val="24"/>
          <w:lang w:eastAsia="zh-CN" w:bidi="ar"/>
        </w:rPr>
        <w:t>登录</w:t>
      </w:r>
      <w:r>
        <w:rPr>
          <w:rFonts w:hint="eastAsia" w:ascii="宋体" w:hAnsi="宋体" w:eastAsia="宋体" w:cs="宋体"/>
          <w:color w:val="auto"/>
          <w:sz w:val="22"/>
          <w:szCs w:val="24"/>
          <w:lang w:bidi="ar"/>
        </w:rPr>
        <w:t>三门峡市公共资源交易中心下载磋商文件、采购答疑文件等资料。并仔细检查磋商文件的所有内容，如有残缺等问题应在收到磋商文件3日内向采购人提出，否则，由此引起的损失由供应商自己承担。供应商同时应认真审阅磋商文件中所有的事项、格式、条款和规范要求等，若供应商的磋商响应文件没有按磋商文件要求提交全部资料，或磋商响应文件没有对磋商文件做出实质性响应，其风险由供应商自行承担，并根据有关条款规定，该投标有可能被拒绝。</w:t>
      </w:r>
    </w:p>
    <w:p w14:paraId="7C0EF5E3">
      <w:pPr>
        <w:keepNext/>
        <w:keepLines/>
        <w:adjustRightInd w:val="0"/>
        <w:snapToGrid w:val="0"/>
        <w:spacing w:line="600" w:lineRule="exact"/>
        <w:jc w:val="left"/>
        <w:textAlignment w:val="baseline"/>
        <w:outlineLvl w:val="1"/>
        <w:rPr>
          <w:rFonts w:ascii="宋体" w:hAnsi="宋体" w:eastAsia="宋体" w:cs="宋体"/>
          <w:b/>
          <w:bCs/>
          <w:color w:val="auto"/>
          <w:sz w:val="28"/>
          <w:szCs w:val="32"/>
        </w:rPr>
      </w:pPr>
      <w:bookmarkStart w:id="26" w:name="_Toc109893849"/>
      <w:bookmarkStart w:id="27" w:name="_Toc18299"/>
      <w:bookmarkStart w:id="28" w:name="_Toc119489922"/>
      <w:bookmarkStart w:id="29" w:name="_Toc109893615"/>
      <w:bookmarkStart w:id="30" w:name="_Toc109892711"/>
      <w:bookmarkStart w:id="31" w:name="_Toc109893767"/>
      <w:bookmarkStart w:id="32" w:name="_Toc109893136"/>
      <w:r>
        <w:rPr>
          <w:rFonts w:hint="eastAsia" w:ascii="宋体" w:hAnsi="宋体" w:eastAsia="宋体" w:cs="宋体"/>
          <w:b/>
          <w:bCs/>
          <w:color w:val="auto"/>
          <w:sz w:val="28"/>
          <w:szCs w:val="32"/>
        </w:rPr>
        <w:t>三、竞争性磋商文件的编制</w:t>
      </w:r>
      <w:bookmarkEnd w:id="26"/>
      <w:bookmarkEnd w:id="27"/>
      <w:bookmarkEnd w:id="28"/>
      <w:bookmarkEnd w:id="29"/>
      <w:bookmarkEnd w:id="30"/>
      <w:bookmarkEnd w:id="31"/>
      <w:bookmarkEnd w:id="32"/>
    </w:p>
    <w:p w14:paraId="24E70E51">
      <w:pPr>
        <w:ind w:firstLine="387" w:firstLineChars="175"/>
        <w:jc w:val="left"/>
        <w:rPr>
          <w:rFonts w:ascii="宋体" w:hAnsi="宋体" w:eastAsia="宋体" w:cs="宋体"/>
          <w:b/>
          <w:color w:val="auto"/>
          <w:sz w:val="22"/>
          <w:szCs w:val="24"/>
        </w:rPr>
      </w:pPr>
      <w:r>
        <w:rPr>
          <w:rFonts w:hint="eastAsia" w:ascii="宋体" w:hAnsi="宋体" w:eastAsia="宋体" w:cs="宋体"/>
          <w:b/>
          <w:color w:val="auto"/>
          <w:sz w:val="22"/>
          <w:szCs w:val="24"/>
        </w:rPr>
        <w:t>9、特别说明</w:t>
      </w:r>
    </w:p>
    <w:p w14:paraId="6289488C">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color w:val="auto"/>
          <w:sz w:val="22"/>
          <w:szCs w:val="24"/>
        </w:rPr>
        <w:t>9.1</w:t>
      </w:r>
      <w:r>
        <w:rPr>
          <w:rFonts w:hint="eastAsia" w:ascii="宋体" w:hAnsi="宋体" w:eastAsia="宋体" w:cs="宋体"/>
          <w:color w:val="auto"/>
          <w:sz w:val="22"/>
          <w:szCs w:val="24"/>
        </w:rPr>
        <w:t>竞争性磋商文件的语言</w:t>
      </w:r>
    </w:p>
    <w:p w14:paraId="37569026">
      <w:pPr>
        <w:spacing w:line="460" w:lineRule="exact"/>
        <w:ind w:firstLine="385" w:firstLineChars="175"/>
        <w:jc w:val="left"/>
        <w:rPr>
          <w:rFonts w:ascii="宋体" w:hAnsi="宋体" w:eastAsia="宋体" w:cs="宋体"/>
          <w:color w:val="auto"/>
          <w:sz w:val="22"/>
          <w:szCs w:val="24"/>
        </w:rPr>
      </w:pPr>
      <w:r>
        <w:rPr>
          <w:rFonts w:hint="eastAsia" w:ascii="宋体" w:hAnsi="宋体" w:eastAsia="宋体" w:cs="宋体"/>
          <w:color w:val="auto"/>
          <w:sz w:val="22"/>
          <w:szCs w:val="24"/>
        </w:rPr>
        <w:t>竞争性磋商文件及与磋商有关的来往信函和文件均使用中文。</w:t>
      </w:r>
    </w:p>
    <w:p w14:paraId="1A08266A">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color w:val="auto"/>
          <w:sz w:val="22"/>
          <w:szCs w:val="24"/>
        </w:rPr>
        <w:t>9.2</w:t>
      </w:r>
      <w:r>
        <w:rPr>
          <w:rFonts w:hint="eastAsia" w:ascii="宋体" w:hAnsi="宋体" w:eastAsia="宋体" w:cs="宋体"/>
          <w:color w:val="auto"/>
          <w:sz w:val="22"/>
          <w:szCs w:val="24"/>
        </w:rPr>
        <w:t>竞争性磋商文件度量衡单位</w:t>
      </w:r>
    </w:p>
    <w:p w14:paraId="2EF275CB">
      <w:pPr>
        <w:spacing w:line="460" w:lineRule="exact"/>
        <w:ind w:firstLine="385" w:firstLineChars="175"/>
        <w:jc w:val="left"/>
        <w:rPr>
          <w:rFonts w:ascii="宋体" w:hAnsi="宋体" w:eastAsia="宋体" w:cs="宋体"/>
          <w:color w:val="auto"/>
          <w:sz w:val="22"/>
          <w:szCs w:val="24"/>
        </w:rPr>
      </w:pPr>
      <w:r>
        <w:rPr>
          <w:rFonts w:hint="eastAsia" w:ascii="宋体" w:hAnsi="宋体" w:eastAsia="宋体" w:cs="宋体"/>
          <w:color w:val="auto"/>
          <w:sz w:val="22"/>
          <w:szCs w:val="24"/>
        </w:rPr>
        <w:t>除技术规范另有规定外，竞争性磋商文件和响应文件格式使用的度量衡单位，均采用中华人民共和国法定计量单位。</w:t>
      </w:r>
    </w:p>
    <w:p w14:paraId="4A91C5E7">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bCs/>
          <w:color w:val="auto"/>
          <w:sz w:val="22"/>
          <w:szCs w:val="24"/>
        </w:rPr>
        <w:t>9.3</w:t>
      </w:r>
      <w:r>
        <w:rPr>
          <w:rFonts w:hint="eastAsia" w:ascii="宋体" w:hAnsi="宋体" w:eastAsia="宋体" w:cs="宋体"/>
          <w:color w:val="auto"/>
          <w:sz w:val="22"/>
          <w:szCs w:val="24"/>
        </w:rPr>
        <w:t>供应商在响应文件格式中所提交的所有资料和文件均应是真实的和有效的，如有作假，则将该供应商的投标作无效标处理，若成交后被发现有上述行为的，则采购人有权取消其成交资格，并且该供应商应承担由此而造成的一切损失（包括经济损失和法律责任）。</w:t>
      </w:r>
    </w:p>
    <w:p w14:paraId="13F05893">
      <w:pPr>
        <w:spacing w:line="460" w:lineRule="exact"/>
        <w:ind w:firstLine="387" w:firstLineChars="175"/>
        <w:jc w:val="left"/>
        <w:rPr>
          <w:rFonts w:ascii="宋体" w:hAnsi="宋体" w:eastAsia="宋体" w:cs="宋体"/>
          <w:b/>
          <w:color w:val="auto"/>
          <w:sz w:val="22"/>
          <w:szCs w:val="24"/>
        </w:rPr>
      </w:pPr>
      <w:r>
        <w:rPr>
          <w:rFonts w:hint="eastAsia" w:ascii="宋体" w:hAnsi="宋体" w:eastAsia="宋体" w:cs="宋体"/>
          <w:b/>
          <w:color w:val="auto"/>
          <w:sz w:val="22"/>
          <w:szCs w:val="24"/>
        </w:rPr>
        <w:t>10、</w:t>
      </w:r>
      <w:bookmarkStart w:id="33" w:name="_Toc254788464"/>
      <w:bookmarkStart w:id="34" w:name="_Toc256519636"/>
      <w:bookmarkStart w:id="35" w:name="_Toc345754926"/>
      <w:r>
        <w:rPr>
          <w:rFonts w:hint="eastAsia" w:ascii="宋体" w:hAnsi="宋体" w:eastAsia="宋体" w:cs="宋体"/>
          <w:b/>
          <w:color w:val="auto"/>
          <w:sz w:val="22"/>
          <w:szCs w:val="24"/>
        </w:rPr>
        <w:t>踏勘现场</w:t>
      </w:r>
      <w:bookmarkEnd w:id="33"/>
      <w:bookmarkEnd w:id="34"/>
      <w:bookmarkEnd w:id="35"/>
    </w:p>
    <w:p w14:paraId="6B0B684B">
      <w:pPr>
        <w:spacing w:line="460" w:lineRule="exact"/>
        <w:ind w:firstLine="385" w:firstLineChars="175"/>
        <w:jc w:val="left"/>
        <w:rPr>
          <w:rFonts w:ascii="宋体" w:hAnsi="宋体" w:eastAsia="宋体" w:cs="宋体"/>
          <w:color w:val="auto"/>
          <w:sz w:val="22"/>
          <w:szCs w:val="24"/>
        </w:rPr>
      </w:pPr>
      <w:bookmarkStart w:id="36" w:name="_Toc256519641"/>
      <w:bookmarkStart w:id="37" w:name="_Toc345754927"/>
      <w:bookmarkStart w:id="38" w:name="_Toc254788465"/>
      <w:r>
        <w:rPr>
          <w:rFonts w:hint="eastAsia" w:ascii="宋体" w:hAnsi="宋体" w:eastAsia="宋体" w:cs="宋体"/>
          <w:color w:val="auto"/>
          <w:sz w:val="22"/>
          <w:szCs w:val="24"/>
        </w:rPr>
        <w:t>不组织。</w:t>
      </w:r>
    </w:p>
    <w:p w14:paraId="4D71DC42">
      <w:pPr>
        <w:spacing w:line="460" w:lineRule="exact"/>
        <w:ind w:firstLine="387" w:firstLineChars="175"/>
        <w:jc w:val="left"/>
        <w:rPr>
          <w:rFonts w:ascii="宋体" w:hAnsi="宋体" w:eastAsia="宋体" w:cs="宋体"/>
          <w:b/>
          <w:color w:val="auto"/>
          <w:sz w:val="22"/>
          <w:szCs w:val="24"/>
        </w:rPr>
      </w:pPr>
      <w:r>
        <w:rPr>
          <w:rFonts w:hint="eastAsia" w:ascii="宋体" w:hAnsi="宋体" w:eastAsia="宋体" w:cs="宋体"/>
          <w:b/>
          <w:color w:val="auto"/>
          <w:sz w:val="22"/>
          <w:szCs w:val="24"/>
        </w:rPr>
        <w:t>11、投标预备会</w:t>
      </w:r>
      <w:bookmarkEnd w:id="36"/>
      <w:bookmarkEnd w:id="37"/>
      <w:bookmarkEnd w:id="38"/>
    </w:p>
    <w:p w14:paraId="3F9DDBA4">
      <w:pPr>
        <w:spacing w:line="460" w:lineRule="exact"/>
        <w:ind w:firstLine="385" w:firstLineChars="175"/>
        <w:jc w:val="left"/>
        <w:rPr>
          <w:rFonts w:ascii="宋体" w:hAnsi="宋体" w:eastAsia="宋体" w:cs="宋体"/>
          <w:color w:val="auto"/>
          <w:sz w:val="22"/>
          <w:szCs w:val="24"/>
        </w:rPr>
      </w:pPr>
      <w:bookmarkStart w:id="39" w:name="_Toc256519642"/>
      <w:r>
        <w:rPr>
          <w:rFonts w:hint="eastAsia" w:ascii="宋体" w:hAnsi="宋体" w:eastAsia="宋体" w:cs="宋体"/>
          <w:color w:val="auto"/>
          <w:sz w:val="22"/>
          <w:szCs w:val="24"/>
        </w:rPr>
        <w:t>不召开。</w:t>
      </w:r>
      <w:bookmarkEnd w:id="39"/>
    </w:p>
    <w:p w14:paraId="03B5AC32">
      <w:pPr>
        <w:spacing w:line="460" w:lineRule="exact"/>
        <w:ind w:firstLine="387" w:firstLineChars="175"/>
        <w:jc w:val="left"/>
        <w:rPr>
          <w:rFonts w:ascii="宋体" w:hAnsi="宋体" w:eastAsia="宋体" w:cs="宋体"/>
          <w:b/>
          <w:color w:val="auto"/>
          <w:sz w:val="22"/>
          <w:szCs w:val="24"/>
        </w:rPr>
      </w:pPr>
      <w:bookmarkStart w:id="40" w:name="_Toc254788466"/>
      <w:bookmarkStart w:id="41" w:name="_Toc256519645"/>
      <w:bookmarkStart w:id="42" w:name="_Toc345754928"/>
      <w:r>
        <w:rPr>
          <w:rFonts w:hint="eastAsia" w:ascii="宋体" w:hAnsi="宋体" w:eastAsia="宋体" w:cs="宋体"/>
          <w:b/>
          <w:color w:val="auto"/>
          <w:sz w:val="22"/>
          <w:szCs w:val="24"/>
        </w:rPr>
        <w:t>12、分包</w:t>
      </w:r>
      <w:bookmarkEnd w:id="40"/>
      <w:bookmarkEnd w:id="41"/>
      <w:bookmarkEnd w:id="42"/>
    </w:p>
    <w:p w14:paraId="034A2477">
      <w:pPr>
        <w:spacing w:line="460" w:lineRule="exact"/>
        <w:ind w:firstLine="385" w:firstLineChars="175"/>
        <w:jc w:val="left"/>
        <w:rPr>
          <w:rFonts w:ascii="宋体" w:hAnsi="宋体" w:eastAsia="宋体" w:cs="宋体"/>
          <w:color w:val="auto"/>
          <w:sz w:val="22"/>
          <w:szCs w:val="24"/>
        </w:rPr>
      </w:pPr>
      <w:r>
        <w:rPr>
          <w:rFonts w:hint="eastAsia" w:ascii="宋体" w:hAnsi="宋体" w:eastAsia="宋体" w:cs="宋体"/>
          <w:color w:val="auto"/>
          <w:sz w:val="22"/>
          <w:szCs w:val="24"/>
        </w:rPr>
        <w:t>不允许。</w:t>
      </w:r>
    </w:p>
    <w:p w14:paraId="5E417233">
      <w:pPr>
        <w:adjustRightInd w:val="0"/>
        <w:snapToGrid w:val="0"/>
        <w:spacing w:line="46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13、磋商报价</w:t>
      </w:r>
    </w:p>
    <w:p w14:paraId="6C4030BC">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bCs/>
          <w:color w:val="auto"/>
          <w:sz w:val="22"/>
          <w:szCs w:val="24"/>
        </w:rPr>
        <w:t>13.1</w:t>
      </w:r>
      <w:r>
        <w:rPr>
          <w:rFonts w:hint="eastAsia" w:ascii="宋体" w:hAnsi="宋体" w:eastAsia="宋体" w:cs="宋体"/>
          <w:bCs/>
          <w:color w:val="auto"/>
          <w:sz w:val="22"/>
          <w:szCs w:val="24"/>
        </w:rPr>
        <w:t>本次</w:t>
      </w:r>
      <w:r>
        <w:rPr>
          <w:rFonts w:hint="eastAsia" w:ascii="宋体" w:hAnsi="宋体" w:eastAsia="宋体" w:cs="宋体"/>
          <w:color w:val="auto"/>
          <w:sz w:val="22"/>
          <w:szCs w:val="24"/>
        </w:rPr>
        <w:t>磋商</w:t>
      </w:r>
      <w:r>
        <w:rPr>
          <w:rFonts w:hint="eastAsia" w:ascii="宋体" w:hAnsi="宋体" w:eastAsia="宋体" w:cs="宋体"/>
          <w:bCs/>
          <w:color w:val="auto"/>
          <w:sz w:val="22"/>
          <w:szCs w:val="24"/>
        </w:rPr>
        <w:t>报价采用总价报价</w:t>
      </w:r>
      <w:r>
        <w:rPr>
          <w:rFonts w:hint="eastAsia" w:ascii="宋体" w:hAnsi="宋体" w:eastAsia="宋体" w:cs="宋体"/>
          <w:color w:val="auto"/>
          <w:sz w:val="22"/>
          <w:szCs w:val="24"/>
        </w:rPr>
        <w:t>，应是竞争性磋商文件所确定的磋商范围内的全部工作内容的价格体现。</w:t>
      </w:r>
    </w:p>
    <w:p w14:paraId="7A99E858">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13.2</w:t>
      </w:r>
      <w:r>
        <w:rPr>
          <w:rFonts w:hint="eastAsia" w:ascii="宋体" w:hAnsi="宋体" w:eastAsia="宋体" w:cs="宋体"/>
          <w:color w:val="auto"/>
          <w:sz w:val="22"/>
          <w:szCs w:val="24"/>
        </w:rPr>
        <w:t>本次磋商的最终磋商报价不得高于预算金额，高于预算金额的报价将不再评审；</w:t>
      </w:r>
    </w:p>
    <w:p w14:paraId="3420127F">
      <w:pPr>
        <w:adjustRightInd w:val="0"/>
        <w:snapToGrid w:val="0"/>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13.3</w:t>
      </w:r>
      <w:r>
        <w:rPr>
          <w:rFonts w:hint="eastAsia" w:ascii="宋体" w:hAnsi="宋体" w:eastAsia="宋体" w:cs="宋体"/>
          <w:color w:val="auto"/>
          <w:sz w:val="22"/>
          <w:szCs w:val="24"/>
        </w:rPr>
        <w:t>本项目为竞争性磋商方式，允许二次报价。</w:t>
      </w:r>
    </w:p>
    <w:p w14:paraId="33BC9F33">
      <w:pPr>
        <w:adjustRightInd w:val="0"/>
        <w:snapToGrid w:val="0"/>
        <w:spacing w:line="46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14、磋商保证金</w:t>
      </w:r>
    </w:p>
    <w:p w14:paraId="087BB0DC">
      <w:pPr>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按照《河南省财政厅关于优化政府采购营商环境有关问题的通知》（豫财购[2019]4号文）的要求本项目不再收取磋商保证金。</w:t>
      </w:r>
    </w:p>
    <w:p w14:paraId="3ECC0656">
      <w:pPr>
        <w:spacing w:line="460" w:lineRule="exact"/>
        <w:ind w:firstLine="389" w:firstLineChars="176"/>
        <w:jc w:val="left"/>
        <w:rPr>
          <w:rFonts w:ascii="宋体" w:hAnsi="宋体" w:eastAsia="宋体" w:cs="宋体"/>
          <w:b/>
          <w:color w:val="auto"/>
          <w:sz w:val="22"/>
          <w:szCs w:val="24"/>
        </w:rPr>
      </w:pPr>
      <w:r>
        <w:rPr>
          <w:rFonts w:hint="eastAsia" w:ascii="宋体" w:hAnsi="宋体" w:eastAsia="宋体" w:cs="宋体"/>
          <w:b/>
          <w:color w:val="auto"/>
          <w:sz w:val="22"/>
          <w:szCs w:val="24"/>
        </w:rPr>
        <w:t>15、磋商有效期</w:t>
      </w:r>
    </w:p>
    <w:p w14:paraId="17104E3C">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15.1</w:t>
      </w:r>
      <w:r>
        <w:rPr>
          <w:rFonts w:hint="eastAsia" w:ascii="宋体" w:hAnsi="宋体" w:eastAsia="宋体" w:cs="宋体"/>
          <w:color w:val="auto"/>
          <w:sz w:val="22"/>
          <w:szCs w:val="24"/>
        </w:rPr>
        <w:t>本须知前附表规定磋商有效期为60日历天（响应截止之日起）。在此期限内，凡符合本竞争性磋商文件要求的响应文件均保持有效。</w:t>
      </w:r>
    </w:p>
    <w:p w14:paraId="42BB7914">
      <w:pPr>
        <w:spacing w:line="460" w:lineRule="exact"/>
        <w:ind w:firstLine="389" w:firstLineChars="176"/>
        <w:jc w:val="left"/>
        <w:rPr>
          <w:rFonts w:ascii="宋体" w:hAnsi="宋体" w:eastAsia="宋体" w:cs="宋体"/>
          <w:color w:val="auto"/>
          <w:sz w:val="22"/>
          <w:szCs w:val="24"/>
        </w:rPr>
      </w:pPr>
      <w:r>
        <w:rPr>
          <w:rFonts w:hint="eastAsia" w:ascii="宋体" w:hAnsi="宋体" w:eastAsia="宋体" w:cs="宋体"/>
          <w:b/>
          <w:color w:val="auto"/>
          <w:sz w:val="22"/>
          <w:szCs w:val="24"/>
        </w:rPr>
        <w:t>15.2</w:t>
      </w:r>
      <w:r>
        <w:rPr>
          <w:rFonts w:hint="eastAsia" w:ascii="宋体" w:hAnsi="宋体" w:eastAsia="宋体" w:cs="宋体"/>
          <w:color w:val="auto"/>
          <w:sz w:val="22"/>
          <w:szCs w:val="24"/>
        </w:rPr>
        <w:t>采购人在原定磋商有效期内，可以根据需要以书面形式向供应商提出延长磋商有效期的要求，供应商须以书面形式予以确认。</w:t>
      </w:r>
    </w:p>
    <w:p w14:paraId="1D516AE4">
      <w:pPr>
        <w:widowControl/>
        <w:snapToGrid w:val="0"/>
        <w:spacing w:line="460" w:lineRule="exact"/>
        <w:ind w:firstLine="389" w:firstLineChars="176"/>
        <w:jc w:val="left"/>
        <w:rPr>
          <w:rFonts w:ascii="宋体" w:hAnsi="宋体" w:eastAsia="宋体" w:cs="宋体"/>
          <w:b/>
          <w:color w:val="auto"/>
          <w:sz w:val="22"/>
          <w:szCs w:val="24"/>
        </w:rPr>
      </w:pPr>
      <w:r>
        <w:rPr>
          <w:rFonts w:hint="eastAsia" w:ascii="宋体" w:hAnsi="宋体" w:eastAsia="宋体" w:cs="宋体"/>
          <w:b/>
          <w:color w:val="auto"/>
          <w:sz w:val="22"/>
          <w:szCs w:val="24"/>
        </w:rPr>
        <w:t>16、响应文件的组成</w:t>
      </w:r>
    </w:p>
    <w:p w14:paraId="7F876A0A">
      <w:pPr>
        <w:widowControl/>
        <w:snapToGrid w:val="0"/>
        <w:spacing w:line="460" w:lineRule="exact"/>
        <w:ind w:firstLine="389" w:firstLineChars="177"/>
        <w:jc w:val="left"/>
        <w:rPr>
          <w:rFonts w:ascii="宋体" w:hAnsi="宋体" w:eastAsia="宋体" w:cs="宋体"/>
          <w:color w:val="auto"/>
          <w:sz w:val="22"/>
          <w:szCs w:val="24"/>
        </w:rPr>
      </w:pPr>
      <w:r>
        <w:rPr>
          <w:rFonts w:hint="eastAsia" w:ascii="宋体" w:hAnsi="宋体" w:eastAsia="宋体" w:cs="宋体"/>
          <w:color w:val="auto"/>
          <w:sz w:val="22"/>
          <w:szCs w:val="24"/>
        </w:rPr>
        <w:t>响应文件由以下内容组成：</w:t>
      </w:r>
    </w:p>
    <w:p w14:paraId="373E46CC">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16.1</w:t>
      </w:r>
      <w:r>
        <w:rPr>
          <w:rFonts w:hint="eastAsia" w:ascii="宋体" w:hAnsi="宋体" w:eastAsia="宋体" w:cs="宋体"/>
          <w:color w:val="auto"/>
          <w:sz w:val="22"/>
        </w:rPr>
        <w:t>响应函</w:t>
      </w:r>
    </w:p>
    <w:p w14:paraId="2B0E9B91">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16.2</w:t>
      </w:r>
      <w:r>
        <w:rPr>
          <w:rFonts w:hint="eastAsia" w:ascii="宋体" w:hAnsi="宋体" w:eastAsia="宋体" w:cs="宋体"/>
          <w:color w:val="auto"/>
          <w:sz w:val="22"/>
        </w:rPr>
        <w:t>首次报价一览表</w:t>
      </w:r>
    </w:p>
    <w:p w14:paraId="147238F0">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16.3</w:t>
      </w:r>
      <w:r>
        <w:rPr>
          <w:rFonts w:hint="eastAsia" w:ascii="宋体" w:hAnsi="宋体" w:eastAsia="宋体" w:cs="宋体"/>
          <w:color w:val="auto"/>
          <w:sz w:val="22"/>
        </w:rPr>
        <w:t>法定代表人身份证明</w:t>
      </w:r>
    </w:p>
    <w:p w14:paraId="792A98C5">
      <w:pPr>
        <w:spacing w:line="460" w:lineRule="exact"/>
        <w:ind w:right="-1136" w:rightChars="-541" w:firstLine="389" w:firstLineChars="176"/>
        <w:jc w:val="left"/>
        <w:rPr>
          <w:rFonts w:ascii="宋体" w:hAnsi="宋体" w:eastAsia="宋体" w:cs="宋体"/>
          <w:b/>
          <w:color w:val="auto"/>
          <w:sz w:val="22"/>
        </w:rPr>
      </w:pPr>
      <w:r>
        <w:rPr>
          <w:rFonts w:hint="eastAsia" w:ascii="宋体" w:hAnsi="宋体" w:eastAsia="宋体" w:cs="宋体"/>
          <w:b/>
          <w:color w:val="auto"/>
          <w:sz w:val="22"/>
        </w:rPr>
        <w:t>16.4</w:t>
      </w:r>
      <w:r>
        <w:rPr>
          <w:rFonts w:hint="eastAsia" w:ascii="宋体" w:hAnsi="宋体" w:eastAsia="宋体" w:cs="宋体"/>
          <w:color w:val="auto"/>
          <w:sz w:val="22"/>
          <w:szCs w:val="24"/>
        </w:rPr>
        <w:t>法定代表人授权委托书</w:t>
      </w:r>
    </w:p>
    <w:p w14:paraId="7732AF54">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16.5</w:t>
      </w:r>
      <w:r>
        <w:rPr>
          <w:rFonts w:hint="eastAsia" w:ascii="宋体" w:hAnsi="宋体" w:eastAsia="宋体" w:cs="宋体"/>
          <w:color w:val="auto"/>
          <w:sz w:val="22"/>
          <w:szCs w:val="24"/>
        </w:rPr>
        <w:t>磋商</w:t>
      </w:r>
      <w:r>
        <w:rPr>
          <w:rFonts w:hint="eastAsia" w:ascii="宋体" w:hAnsi="宋体" w:eastAsia="宋体" w:cs="宋体"/>
          <w:color w:val="auto"/>
          <w:sz w:val="22"/>
        </w:rPr>
        <w:t>承诺函</w:t>
      </w:r>
    </w:p>
    <w:p w14:paraId="3498FD9F">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16.6</w:t>
      </w:r>
      <w:r>
        <w:rPr>
          <w:rFonts w:hint="eastAsia" w:ascii="宋体" w:hAnsi="宋体" w:eastAsia="宋体" w:cs="宋体"/>
          <w:color w:val="auto"/>
          <w:sz w:val="22"/>
        </w:rPr>
        <w:t>资格审查资料</w:t>
      </w:r>
    </w:p>
    <w:p w14:paraId="1A19EA5A">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16.7</w:t>
      </w:r>
      <w:r>
        <w:rPr>
          <w:rFonts w:hint="eastAsia" w:ascii="宋体" w:hAnsi="宋体" w:eastAsia="宋体" w:cs="宋体"/>
          <w:color w:val="auto"/>
          <w:sz w:val="22"/>
        </w:rPr>
        <w:t>服务方案</w:t>
      </w:r>
    </w:p>
    <w:p w14:paraId="2B4CA21B">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16.8</w:t>
      </w:r>
      <w:r>
        <w:rPr>
          <w:rFonts w:hint="eastAsia" w:ascii="宋体" w:hAnsi="宋体" w:eastAsia="宋体" w:cs="宋体"/>
          <w:color w:val="auto"/>
          <w:sz w:val="22"/>
        </w:rPr>
        <w:t>本项目拟配备人员</w:t>
      </w:r>
    </w:p>
    <w:p w14:paraId="15DE297B">
      <w:pPr>
        <w:spacing w:line="460" w:lineRule="exact"/>
        <w:ind w:right="-1136" w:rightChars="-541" w:firstLine="389" w:firstLineChars="176"/>
        <w:jc w:val="left"/>
        <w:rPr>
          <w:rFonts w:ascii="宋体" w:hAnsi="宋体" w:eastAsia="宋体" w:cs="宋体"/>
          <w:color w:val="auto"/>
          <w:sz w:val="22"/>
        </w:rPr>
      </w:pPr>
      <w:r>
        <w:rPr>
          <w:rFonts w:hint="eastAsia" w:ascii="宋体" w:hAnsi="宋体" w:eastAsia="宋体" w:cs="宋体"/>
          <w:b/>
          <w:color w:val="auto"/>
          <w:sz w:val="22"/>
        </w:rPr>
        <w:t>16.9</w:t>
      </w:r>
      <w:r>
        <w:rPr>
          <w:rFonts w:hint="eastAsia" w:ascii="宋体" w:hAnsi="宋体" w:eastAsia="宋体" w:cs="宋体"/>
          <w:color w:val="auto"/>
          <w:sz w:val="22"/>
        </w:rPr>
        <w:t>供应商可提交的其他材料</w:t>
      </w:r>
    </w:p>
    <w:p w14:paraId="22ABF282">
      <w:pPr>
        <w:keepNext/>
        <w:keepLines/>
        <w:adjustRightInd w:val="0"/>
        <w:snapToGrid w:val="0"/>
        <w:spacing w:line="600" w:lineRule="exact"/>
        <w:jc w:val="left"/>
        <w:textAlignment w:val="baseline"/>
        <w:outlineLvl w:val="1"/>
        <w:rPr>
          <w:rFonts w:ascii="宋体" w:hAnsi="宋体" w:eastAsia="宋体" w:cs="宋体"/>
          <w:b/>
          <w:bCs/>
          <w:color w:val="auto"/>
          <w:sz w:val="28"/>
          <w:szCs w:val="32"/>
        </w:rPr>
      </w:pPr>
      <w:bookmarkStart w:id="43" w:name="_Toc119489923"/>
      <w:bookmarkStart w:id="44" w:name="_Toc109893850"/>
      <w:bookmarkStart w:id="45" w:name="_Toc109892712"/>
      <w:bookmarkStart w:id="46" w:name="_Toc8381"/>
      <w:bookmarkStart w:id="47" w:name="_Toc109893137"/>
      <w:bookmarkStart w:id="48" w:name="_Toc109893616"/>
      <w:bookmarkStart w:id="49" w:name="_Toc109893768"/>
      <w:r>
        <w:rPr>
          <w:rFonts w:hint="eastAsia" w:ascii="宋体" w:hAnsi="宋体" w:eastAsia="宋体" w:cs="宋体"/>
          <w:b/>
          <w:bCs/>
          <w:color w:val="auto"/>
          <w:sz w:val="28"/>
          <w:szCs w:val="32"/>
        </w:rPr>
        <w:t>四、磋商响应文件的递交</w:t>
      </w:r>
      <w:bookmarkEnd w:id="43"/>
      <w:bookmarkEnd w:id="44"/>
      <w:bookmarkEnd w:id="45"/>
      <w:bookmarkEnd w:id="46"/>
      <w:bookmarkEnd w:id="47"/>
      <w:bookmarkEnd w:id="48"/>
      <w:bookmarkEnd w:id="49"/>
    </w:p>
    <w:p w14:paraId="36BA1F07">
      <w:pPr>
        <w:spacing w:line="520" w:lineRule="exact"/>
        <w:ind w:firstLine="442" w:firstLineChars="200"/>
        <w:jc w:val="left"/>
        <w:rPr>
          <w:rFonts w:ascii="宋体" w:hAnsi="宋体" w:eastAsia="宋体" w:cs="宋体"/>
          <w:b/>
          <w:color w:val="auto"/>
          <w:sz w:val="22"/>
          <w:szCs w:val="24"/>
          <w:lang w:bidi="ar"/>
        </w:rPr>
      </w:pPr>
      <w:r>
        <w:rPr>
          <w:rFonts w:hint="eastAsia" w:ascii="宋体" w:hAnsi="宋体" w:eastAsia="宋体" w:cs="宋体"/>
          <w:b/>
          <w:color w:val="auto"/>
          <w:sz w:val="22"/>
          <w:szCs w:val="24"/>
          <w:lang w:bidi="ar"/>
        </w:rPr>
        <w:t>17、磋商响应文件的编制</w:t>
      </w:r>
    </w:p>
    <w:p w14:paraId="2D2A7EC0">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17.1磋商响应文件应按第六章“响应文件格式”进行编写，如有必要，可以增加附页，作为磋商响应文件的组成部分。其中，磋商承诺函在满足竞争性磋商文件实质性要求的基础上，可以提出比竞争性磋商文件要求更有利于采购人的承诺。</w:t>
      </w:r>
    </w:p>
    <w:p w14:paraId="415D5579">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17.2磋商响应文件应当对竞争性磋商文件有关服务期限、投标有效期、质量等实质性内容作出响应。</w:t>
      </w:r>
    </w:p>
    <w:p w14:paraId="58EFDB4D">
      <w:pPr>
        <w:spacing w:line="520" w:lineRule="exact"/>
        <w:ind w:firstLine="442" w:firstLineChars="200"/>
        <w:jc w:val="left"/>
        <w:rPr>
          <w:rFonts w:ascii="宋体" w:hAnsi="宋体" w:eastAsia="宋体" w:cs="宋体"/>
          <w:b/>
          <w:color w:val="auto"/>
          <w:sz w:val="22"/>
          <w:szCs w:val="24"/>
        </w:rPr>
      </w:pPr>
      <w:r>
        <w:rPr>
          <w:rFonts w:hint="eastAsia" w:ascii="宋体" w:hAnsi="宋体" w:eastAsia="宋体" w:cs="宋体"/>
          <w:b/>
          <w:color w:val="auto"/>
          <w:sz w:val="22"/>
          <w:szCs w:val="24"/>
          <w:lang w:bidi="ar"/>
        </w:rPr>
        <w:t>18磋商响应文件的签署</w:t>
      </w:r>
    </w:p>
    <w:p w14:paraId="594455D8">
      <w:pPr>
        <w:spacing w:line="52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lang w:bidi="ar"/>
        </w:rPr>
        <w:t>18.1 磋商响应文件的签署</w:t>
      </w:r>
    </w:p>
    <w:p w14:paraId="6B452749">
      <w:pPr>
        <w:spacing w:line="52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lang w:bidi="ar"/>
        </w:rPr>
        <w:t>（1）电子磋商响应文件必须上传电子评标系统。</w:t>
      </w:r>
    </w:p>
    <w:p w14:paraId="5B57E55A">
      <w:pPr>
        <w:spacing w:line="520" w:lineRule="exact"/>
        <w:ind w:firstLine="440" w:firstLineChars="200"/>
        <w:jc w:val="left"/>
        <w:rPr>
          <w:rFonts w:ascii="宋体" w:hAnsi="宋体" w:eastAsia="宋体" w:cs="宋体"/>
          <w:color w:val="auto"/>
          <w:sz w:val="20"/>
          <w:szCs w:val="21"/>
        </w:rPr>
      </w:pPr>
      <w:r>
        <w:rPr>
          <w:rFonts w:hint="eastAsia" w:ascii="宋体" w:hAnsi="宋体" w:eastAsia="宋体" w:cs="宋体"/>
          <w:color w:val="auto"/>
          <w:sz w:val="22"/>
          <w:szCs w:val="24"/>
          <w:lang w:bidi="ar"/>
        </w:rPr>
        <w:t>（2）电子磋商响应文件由供应商的法定代表人签章。</w:t>
      </w:r>
    </w:p>
    <w:p w14:paraId="33B2ABA2">
      <w:pPr>
        <w:widowControl/>
        <w:spacing w:line="520" w:lineRule="exact"/>
        <w:ind w:firstLine="442" w:firstLineChars="200"/>
        <w:jc w:val="left"/>
        <w:outlineLvl w:val="2"/>
        <w:rPr>
          <w:rFonts w:ascii="宋体" w:hAnsi="宋体" w:eastAsia="宋体" w:cs="宋体"/>
          <w:b/>
          <w:color w:val="auto"/>
          <w:sz w:val="22"/>
          <w:szCs w:val="32"/>
        </w:rPr>
      </w:pPr>
      <w:bookmarkStart w:id="50" w:name="_Toc14807"/>
      <w:bookmarkEnd w:id="50"/>
      <w:bookmarkStart w:id="51" w:name="_Toc11024"/>
      <w:bookmarkEnd w:id="51"/>
      <w:bookmarkStart w:id="52" w:name="_Toc184635074"/>
      <w:bookmarkEnd w:id="52"/>
      <w:bookmarkStart w:id="53" w:name="_Toc29312"/>
      <w:r>
        <w:rPr>
          <w:rFonts w:hint="eastAsia" w:ascii="宋体" w:hAnsi="宋体" w:eastAsia="宋体" w:cs="宋体"/>
          <w:b/>
          <w:color w:val="auto"/>
          <w:sz w:val="22"/>
          <w:szCs w:val="32"/>
        </w:rPr>
        <w:t>19投标</w:t>
      </w:r>
      <w:bookmarkEnd w:id="53"/>
      <w:r>
        <w:rPr>
          <w:rFonts w:hint="eastAsia" w:ascii="宋体" w:hAnsi="宋体" w:eastAsia="宋体" w:cs="宋体"/>
          <w:b/>
          <w:color w:val="auto"/>
          <w:sz w:val="22"/>
          <w:szCs w:val="32"/>
        </w:rPr>
        <w:t>（电子平台磋商响应文件上传）</w:t>
      </w:r>
    </w:p>
    <w:p w14:paraId="188F1472">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19.1供应商应当按照竞争性磋商文件和电子采购投标交易平台的要求加密磋商响应文件，具体要求见供应商须知前附表“电子化交易注意事项”。</w:t>
      </w:r>
    </w:p>
    <w:p w14:paraId="670F4374">
      <w:pPr>
        <w:widowControl/>
        <w:spacing w:line="520" w:lineRule="exact"/>
        <w:ind w:firstLine="442" w:firstLineChars="200"/>
        <w:jc w:val="left"/>
        <w:outlineLvl w:val="3"/>
        <w:rPr>
          <w:rFonts w:ascii="宋体" w:hAnsi="宋体" w:eastAsia="宋体" w:cs="宋体"/>
          <w:b/>
          <w:color w:val="auto"/>
          <w:sz w:val="22"/>
          <w:szCs w:val="24"/>
        </w:rPr>
      </w:pPr>
      <w:r>
        <w:rPr>
          <w:rFonts w:hint="eastAsia" w:ascii="宋体" w:hAnsi="宋体" w:eastAsia="宋体" w:cs="宋体"/>
          <w:b/>
          <w:color w:val="auto"/>
          <w:sz w:val="22"/>
          <w:szCs w:val="24"/>
        </w:rPr>
        <w:t>20电子磋商响应文件的递交</w:t>
      </w:r>
    </w:p>
    <w:p w14:paraId="6F9776D0">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20.1供应商应在供应商须知前附表规定的磋商截止时间前递交磋商响应文件。</w:t>
      </w:r>
    </w:p>
    <w:p w14:paraId="4B611657">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20.2供应商通过下载竞争性磋商文件的电子采购投标交易平台递交电子磋商响应文件。</w:t>
      </w:r>
    </w:p>
    <w:p w14:paraId="5C673A1B">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20.3除供应商须知前附表另有规定外，供应商所递交的磋商响应文件不予退还。</w:t>
      </w:r>
    </w:p>
    <w:p w14:paraId="2B1585C7">
      <w:pPr>
        <w:spacing w:line="520" w:lineRule="exact"/>
        <w:ind w:firstLine="440" w:firstLineChars="200"/>
        <w:jc w:val="left"/>
        <w:rPr>
          <w:rFonts w:ascii="宋体" w:hAnsi="宋体" w:eastAsia="宋体" w:cs="宋体"/>
          <w:color w:val="auto"/>
          <w:sz w:val="22"/>
          <w:szCs w:val="24"/>
          <w:lang w:bidi="ar"/>
        </w:rPr>
      </w:pPr>
      <w:r>
        <w:rPr>
          <w:rFonts w:hint="eastAsia" w:ascii="宋体" w:hAnsi="宋体" w:eastAsia="宋体" w:cs="宋体"/>
          <w:color w:val="auto"/>
          <w:sz w:val="22"/>
          <w:szCs w:val="24"/>
          <w:lang w:bidi="ar"/>
        </w:rPr>
        <w:t>20.4逾期送达的磋商响应文件，电子采购投标交易平台将予以拒收。</w:t>
      </w:r>
    </w:p>
    <w:p w14:paraId="31704464">
      <w:pPr>
        <w:widowControl/>
        <w:spacing w:line="520" w:lineRule="exact"/>
        <w:ind w:firstLine="442" w:firstLineChars="200"/>
        <w:jc w:val="left"/>
        <w:outlineLvl w:val="2"/>
        <w:rPr>
          <w:rFonts w:ascii="宋体" w:hAnsi="宋体" w:eastAsia="宋体" w:cs="宋体"/>
          <w:b/>
          <w:color w:val="auto"/>
          <w:sz w:val="22"/>
          <w:szCs w:val="32"/>
        </w:rPr>
      </w:pPr>
      <w:bookmarkStart w:id="54" w:name="_Toc12860"/>
      <w:bookmarkEnd w:id="54"/>
      <w:bookmarkStart w:id="55" w:name="_Toc184635075"/>
      <w:bookmarkEnd w:id="55"/>
      <w:bookmarkStart w:id="56" w:name="_Toc31268"/>
      <w:bookmarkEnd w:id="56"/>
      <w:bookmarkStart w:id="57" w:name="_Toc1848"/>
      <w:r>
        <w:rPr>
          <w:rFonts w:hint="eastAsia" w:ascii="宋体" w:hAnsi="宋体" w:eastAsia="宋体" w:cs="宋体"/>
          <w:b/>
          <w:color w:val="auto"/>
          <w:sz w:val="22"/>
          <w:szCs w:val="32"/>
        </w:rPr>
        <w:t>21</w:t>
      </w:r>
      <w:bookmarkEnd w:id="57"/>
      <w:r>
        <w:rPr>
          <w:rFonts w:hint="eastAsia" w:ascii="宋体" w:hAnsi="宋体" w:eastAsia="宋体" w:cs="宋体"/>
          <w:b/>
          <w:color w:val="auto"/>
          <w:sz w:val="22"/>
          <w:szCs w:val="32"/>
        </w:rPr>
        <w:t>磋商响应文件开启（解密）</w:t>
      </w:r>
    </w:p>
    <w:p w14:paraId="7A59FDEB">
      <w:pPr>
        <w:tabs>
          <w:tab w:val="left" w:pos="180"/>
        </w:tabs>
        <w:spacing w:line="500" w:lineRule="exact"/>
        <w:ind w:firstLine="442" w:firstLineChars="200"/>
        <w:jc w:val="left"/>
        <w:rPr>
          <w:rFonts w:ascii="宋体" w:hAnsi="宋体" w:eastAsia="宋体" w:cs="宋体"/>
          <w:b/>
          <w:color w:val="auto"/>
          <w:sz w:val="22"/>
          <w:szCs w:val="24"/>
        </w:rPr>
      </w:pPr>
      <w:bookmarkStart w:id="58" w:name="_Toc5603"/>
      <w:bookmarkStart w:id="59" w:name="_Toc7466"/>
      <w:bookmarkStart w:id="60" w:name="_Toc4072"/>
      <w:bookmarkStart w:id="61" w:name="_Toc9263"/>
      <w:r>
        <w:rPr>
          <w:rFonts w:hint="eastAsia" w:ascii="宋体" w:hAnsi="宋体" w:eastAsia="宋体" w:cs="宋体"/>
          <w:b/>
          <w:color w:val="auto"/>
          <w:sz w:val="22"/>
          <w:szCs w:val="24"/>
        </w:rPr>
        <w:t>21.1开启时间和地点</w:t>
      </w:r>
      <w:bookmarkEnd w:id="58"/>
      <w:bookmarkEnd w:id="59"/>
      <w:bookmarkEnd w:id="60"/>
      <w:bookmarkEnd w:id="61"/>
    </w:p>
    <w:p w14:paraId="7AD0C9C0">
      <w:pPr>
        <w:tabs>
          <w:tab w:val="left" w:pos="180"/>
        </w:tabs>
        <w:spacing w:line="500" w:lineRule="exact"/>
        <w:ind w:firstLine="660" w:firstLineChars="300"/>
        <w:jc w:val="left"/>
        <w:rPr>
          <w:rFonts w:ascii="宋体" w:hAnsi="宋体" w:eastAsia="宋体" w:cs="宋体"/>
          <w:b/>
          <w:color w:val="auto"/>
          <w:sz w:val="22"/>
          <w:szCs w:val="24"/>
        </w:rPr>
      </w:pPr>
      <w:r>
        <w:rPr>
          <w:rFonts w:hint="eastAsia" w:ascii="宋体" w:hAnsi="宋体" w:eastAsia="宋体" w:cs="宋体"/>
          <w:color w:val="auto"/>
          <w:sz w:val="22"/>
          <w:szCs w:val="24"/>
          <w:lang w:bidi="ar"/>
        </w:rPr>
        <w:t xml:space="preserve"> 采购人在供应商须知前附表规定的磋商截止时间（开标时间）和供应商须知前附表规定的地点,通过电子采购投标交易平台竞争性磋商。</w:t>
      </w:r>
    </w:p>
    <w:p w14:paraId="34391013">
      <w:pPr>
        <w:spacing w:line="520" w:lineRule="exact"/>
        <w:ind w:firstLine="442" w:firstLineChars="200"/>
        <w:jc w:val="left"/>
        <w:rPr>
          <w:rFonts w:ascii="宋体" w:hAnsi="宋体" w:eastAsia="宋体" w:cs="宋体"/>
          <w:b/>
          <w:color w:val="auto"/>
          <w:sz w:val="22"/>
          <w:szCs w:val="24"/>
          <w:lang w:bidi="ar"/>
        </w:rPr>
      </w:pPr>
      <w:r>
        <w:rPr>
          <w:rFonts w:hint="eastAsia" w:ascii="宋体" w:hAnsi="宋体" w:eastAsia="宋体" w:cs="宋体"/>
          <w:b/>
          <w:color w:val="auto"/>
          <w:sz w:val="22"/>
          <w:szCs w:val="24"/>
          <w:lang w:bidi="ar"/>
        </w:rPr>
        <w:t>21.2磋商</w:t>
      </w:r>
    </w:p>
    <w:p w14:paraId="25D632FE">
      <w:pPr>
        <w:wordWrap w:val="0"/>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21.2.1 本项目采用电子化、无纸化进行采购，开标当日，供应商无需到磋商现场参加磋商会议，供应商应当在磋商截止时间前，</w:t>
      </w:r>
      <w:r>
        <w:rPr>
          <w:rFonts w:hint="eastAsia" w:ascii="宋体" w:hAnsi="宋体" w:eastAsia="宋体" w:cs="宋体"/>
          <w:color w:val="auto"/>
          <w:sz w:val="22"/>
          <w:szCs w:val="24"/>
          <w:lang w:eastAsia="zh-CN"/>
        </w:rPr>
        <w:t>登录</w:t>
      </w:r>
      <w:r>
        <w:rPr>
          <w:rFonts w:hint="eastAsia" w:ascii="宋体" w:hAnsi="宋体" w:eastAsia="宋体" w:cs="宋体"/>
          <w:color w:val="auto"/>
          <w:sz w:val="22"/>
          <w:szCs w:val="24"/>
        </w:rPr>
        <w:t>不见面开标大厅选择</w:t>
      </w:r>
      <w:r>
        <w:rPr>
          <w:rFonts w:hint="eastAsia" w:ascii="宋体" w:hAnsi="宋体" w:eastAsia="宋体" w:cs="宋体"/>
          <w:color w:val="auto"/>
          <w:sz w:val="22"/>
          <w:szCs w:val="24"/>
          <w:lang w:eastAsia="zh-CN"/>
        </w:rPr>
        <w:t>登录</w:t>
      </w:r>
      <w:r>
        <w:rPr>
          <w:rFonts w:hint="eastAsia" w:ascii="宋体" w:hAnsi="宋体" w:eastAsia="宋体" w:cs="宋体"/>
          <w:color w:val="auto"/>
          <w:sz w:val="22"/>
          <w:szCs w:val="24"/>
        </w:rPr>
        <w:t>三门峡市公共资源电子招投标系统（</w:t>
      </w:r>
      <w:r>
        <w:rPr>
          <w:rFonts w:hint="eastAsia" w:ascii="宋体" w:hAnsi="宋体" w:eastAsia="宋体"/>
          <w:color w:val="auto"/>
          <w:sz w:val="22"/>
          <w:szCs w:val="24"/>
        </w:rPr>
        <w:t>http://120.194.249.36:10094/BidOpening/bidopeninghallaction/hall/login</w:t>
      </w:r>
      <w:r>
        <w:rPr>
          <w:rFonts w:hint="eastAsia" w:ascii="宋体" w:hAnsi="宋体" w:eastAsia="宋体" w:cs="宋体"/>
          <w:color w:val="auto"/>
          <w:sz w:val="22"/>
          <w:szCs w:val="24"/>
        </w:rPr>
        <w:t>）进行</w:t>
      </w:r>
      <w:r>
        <w:rPr>
          <w:rFonts w:hint="eastAsia" w:ascii="宋体" w:hAnsi="宋体" w:eastAsia="宋体" w:cs="宋体"/>
          <w:color w:val="auto"/>
          <w:sz w:val="22"/>
          <w:szCs w:val="24"/>
          <w:lang w:eastAsia="zh-CN"/>
        </w:rPr>
        <w:t>登录</w:t>
      </w:r>
      <w:r>
        <w:rPr>
          <w:rFonts w:hint="eastAsia" w:ascii="宋体" w:hAnsi="宋体" w:eastAsia="宋体" w:cs="宋体"/>
          <w:color w:val="auto"/>
          <w:sz w:val="22"/>
          <w:szCs w:val="24"/>
        </w:rPr>
        <w:t>，在线准时参加开标活动并进行磋商响应文件解密等。</w:t>
      </w:r>
    </w:p>
    <w:p w14:paraId="45901C9A">
      <w:pPr>
        <w:spacing w:line="500" w:lineRule="exact"/>
        <w:ind w:firstLine="440" w:firstLineChars="200"/>
        <w:jc w:val="left"/>
        <w:rPr>
          <w:rFonts w:ascii="宋体" w:hAnsi="宋体" w:eastAsia="宋体" w:cs="宋体"/>
          <w:color w:val="auto"/>
          <w:sz w:val="22"/>
          <w:szCs w:val="24"/>
        </w:rPr>
      </w:pPr>
      <w:bookmarkStart w:id="62" w:name="_Toc24220"/>
      <w:bookmarkEnd w:id="62"/>
      <w:bookmarkStart w:id="63" w:name="_Toc27649"/>
      <w:bookmarkEnd w:id="63"/>
      <w:bookmarkStart w:id="64" w:name="_Toc184635076"/>
      <w:bookmarkEnd w:id="64"/>
      <w:r>
        <w:rPr>
          <w:rFonts w:hint="eastAsia" w:ascii="宋体" w:hAnsi="宋体" w:eastAsia="宋体" w:cs="宋体"/>
          <w:color w:val="auto"/>
          <w:sz w:val="22"/>
          <w:szCs w:val="24"/>
        </w:rPr>
        <w:t>21.2.2 电子化磋商响应文件采用一次加密方式。开标时，由供应商使用CA 证书，在规定时间内对其电子化磋商响应文件进行解密。每位供应商的解密时间为开标时间起</w:t>
      </w:r>
      <w:r>
        <w:rPr>
          <w:rFonts w:ascii="宋体" w:hAnsi="宋体" w:eastAsia="宋体" w:cs="宋体"/>
          <w:color w:val="auto"/>
          <w:sz w:val="22"/>
          <w:szCs w:val="24"/>
        </w:rPr>
        <w:t>3</w:t>
      </w:r>
      <w:r>
        <w:rPr>
          <w:rFonts w:hint="eastAsia" w:ascii="宋体" w:hAnsi="宋体" w:eastAsia="宋体" w:cs="宋体"/>
          <w:color w:val="auto"/>
          <w:sz w:val="22"/>
          <w:szCs w:val="24"/>
        </w:rPr>
        <w:t>0 分钟内，如在规定时间内未完成解密的，其磋商响应文件不予开标。每位供应商的解密时间为开标时间起</w:t>
      </w:r>
      <w:r>
        <w:rPr>
          <w:rFonts w:ascii="宋体" w:hAnsi="宋体" w:eastAsia="宋体" w:cs="宋体"/>
          <w:color w:val="auto"/>
          <w:sz w:val="22"/>
          <w:szCs w:val="24"/>
        </w:rPr>
        <w:t>3</w:t>
      </w:r>
      <w:r>
        <w:rPr>
          <w:rFonts w:hint="eastAsia" w:ascii="宋体" w:hAnsi="宋体" w:eastAsia="宋体" w:cs="宋体"/>
          <w:color w:val="auto"/>
          <w:sz w:val="22"/>
          <w:szCs w:val="24"/>
        </w:rPr>
        <w:t>0分钟内完成。</w:t>
      </w:r>
    </w:p>
    <w:p w14:paraId="0D1B207E">
      <w:pPr>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21.2.3 电子化磋商响应文件解密异常的处理</w:t>
      </w:r>
    </w:p>
    <w:p w14:paraId="531CA30A">
      <w:pPr>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如出现供应商的电子磋商响应文件无法解密等异常情况，供应商应及时致电中介服务机构说明。磋商响应文件异常，按以下步骤进行处理：</w:t>
      </w:r>
    </w:p>
    <w:p w14:paraId="117C0A75">
      <w:pPr>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（1）首先由技术人员进行问题排查。</w:t>
      </w:r>
    </w:p>
    <w:p w14:paraId="4D9970C8">
      <w:pPr>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（2）经技术人员排查后，是供应商文件自身问题导致磋商响应文件无法解密的，该磋商响应文件将不予接收、解密和唱标。开标会议继续进行。</w:t>
      </w:r>
    </w:p>
    <w:p w14:paraId="184E54B0">
      <w:pPr>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30D93189">
      <w:pPr>
        <w:spacing w:line="5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供应商应保证在开标期间电话、电脑、网络能够正常工作，供应商因停电、电脑病毒、网络堵塞等原因，未在规定的解密时间内对磋商响应文件进行解密的，其磋商响应文件不予接收。</w:t>
      </w:r>
    </w:p>
    <w:p w14:paraId="186BA6D6">
      <w:pPr>
        <w:keepNext/>
        <w:keepLines/>
        <w:adjustRightInd w:val="0"/>
        <w:snapToGrid w:val="0"/>
        <w:spacing w:line="460" w:lineRule="exact"/>
        <w:jc w:val="left"/>
        <w:textAlignment w:val="baseline"/>
        <w:outlineLvl w:val="1"/>
        <w:rPr>
          <w:rFonts w:ascii="宋体" w:hAnsi="宋体" w:eastAsia="宋体" w:cs="宋体"/>
          <w:b/>
          <w:bCs/>
          <w:color w:val="auto"/>
          <w:sz w:val="28"/>
          <w:szCs w:val="32"/>
        </w:rPr>
      </w:pPr>
      <w:bookmarkStart w:id="65" w:name="_Toc27222"/>
      <w:bookmarkStart w:id="66" w:name="_Toc109893138"/>
      <w:bookmarkStart w:id="67" w:name="_Toc109893769"/>
      <w:bookmarkStart w:id="68" w:name="_Toc109893851"/>
      <w:bookmarkStart w:id="69" w:name="_Toc119489924"/>
      <w:bookmarkStart w:id="70" w:name="_Toc109892713"/>
      <w:bookmarkStart w:id="71" w:name="_Toc109893617"/>
      <w:r>
        <w:rPr>
          <w:rFonts w:hint="eastAsia" w:ascii="宋体" w:hAnsi="宋体" w:eastAsia="宋体" w:cs="宋体"/>
          <w:b/>
          <w:bCs/>
          <w:color w:val="auto"/>
          <w:sz w:val="28"/>
          <w:szCs w:val="32"/>
        </w:rPr>
        <w:t>五、磋商</w:t>
      </w:r>
      <w:bookmarkEnd w:id="65"/>
      <w:bookmarkEnd w:id="66"/>
      <w:bookmarkEnd w:id="67"/>
      <w:bookmarkEnd w:id="68"/>
      <w:bookmarkEnd w:id="69"/>
      <w:bookmarkEnd w:id="70"/>
      <w:bookmarkEnd w:id="71"/>
    </w:p>
    <w:p w14:paraId="72968E78">
      <w:pPr>
        <w:tabs>
          <w:tab w:val="left" w:pos="900"/>
        </w:tabs>
        <w:spacing w:line="460" w:lineRule="exact"/>
        <w:ind w:firstLine="389" w:firstLineChars="176"/>
        <w:jc w:val="left"/>
        <w:rPr>
          <w:rFonts w:ascii="宋体" w:hAnsi="宋体" w:eastAsia="宋体" w:cs="宋体"/>
          <w:b/>
          <w:color w:val="auto"/>
          <w:sz w:val="22"/>
        </w:rPr>
      </w:pPr>
      <w:r>
        <w:rPr>
          <w:rFonts w:hint="eastAsia" w:ascii="宋体" w:hAnsi="宋体" w:eastAsia="宋体" w:cs="宋体"/>
          <w:b/>
          <w:color w:val="auto"/>
          <w:sz w:val="22"/>
        </w:rPr>
        <w:t>22、磋商小组</w:t>
      </w:r>
    </w:p>
    <w:p w14:paraId="4B4743EF">
      <w:pPr>
        <w:spacing w:line="460" w:lineRule="exact"/>
        <w:ind w:firstLine="389" w:firstLineChars="176"/>
        <w:jc w:val="left"/>
        <w:rPr>
          <w:rFonts w:ascii="宋体" w:hAnsi="宋体" w:eastAsia="宋体" w:cs="宋体"/>
          <w:bCs/>
          <w:color w:val="auto"/>
          <w:sz w:val="22"/>
        </w:rPr>
      </w:pPr>
      <w:r>
        <w:rPr>
          <w:rFonts w:hint="eastAsia" w:ascii="宋体" w:hAnsi="宋体" w:eastAsia="宋体" w:cs="宋体"/>
          <w:b/>
          <w:color w:val="auto"/>
          <w:sz w:val="22"/>
        </w:rPr>
        <w:t>22.1</w:t>
      </w:r>
      <w:r>
        <w:rPr>
          <w:rFonts w:hint="eastAsia" w:ascii="宋体" w:hAnsi="宋体" w:eastAsia="宋体" w:cs="宋体"/>
          <w:bCs/>
          <w:color w:val="auto"/>
          <w:sz w:val="22"/>
        </w:rPr>
        <w:t>磋商小组由</w:t>
      </w:r>
      <w:r>
        <w:rPr>
          <w:rFonts w:hint="eastAsia" w:ascii="宋体" w:hAnsi="宋体" w:eastAsia="宋体" w:cs="宋体"/>
          <w:bCs/>
          <w:color w:val="auto"/>
          <w:sz w:val="22"/>
          <w:lang w:val="en-US" w:eastAsia="zh-CN"/>
        </w:rPr>
        <w:t>采购人代表1人，有关</w:t>
      </w:r>
      <w:r>
        <w:rPr>
          <w:rFonts w:hint="eastAsia" w:ascii="宋体" w:hAnsi="宋体" w:eastAsia="宋体" w:cs="宋体"/>
          <w:bCs/>
          <w:color w:val="auto"/>
          <w:sz w:val="22"/>
        </w:rPr>
        <w:t>经济、技术方面专家</w:t>
      </w:r>
      <w:r>
        <w:rPr>
          <w:rFonts w:hint="eastAsia" w:ascii="宋体" w:hAnsi="宋体" w:eastAsia="宋体" w:cs="宋体"/>
          <w:bCs/>
          <w:color w:val="auto"/>
          <w:sz w:val="22"/>
          <w:lang w:val="en-US" w:eastAsia="zh-CN"/>
        </w:rPr>
        <w:t>2</w:t>
      </w:r>
      <w:r>
        <w:rPr>
          <w:rFonts w:hint="eastAsia" w:ascii="宋体" w:hAnsi="宋体" w:eastAsia="宋体" w:cs="宋体"/>
          <w:bCs/>
          <w:color w:val="auto"/>
          <w:sz w:val="22"/>
        </w:rPr>
        <w:t>人</w:t>
      </w:r>
      <w:r>
        <w:rPr>
          <w:rFonts w:hint="eastAsia" w:ascii="宋体" w:hAnsi="宋体" w:eastAsia="宋体" w:cs="宋体"/>
          <w:bCs/>
          <w:color w:val="auto"/>
          <w:sz w:val="22"/>
          <w:lang w:eastAsia="zh-CN"/>
        </w:rPr>
        <w:t>，</w:t>
      </w:r>
      <w:r>
        <w:rPr>
          <w:rFonts w:hint="eastAsia" w:ascii="宋体" w:hAnsi="宋体" w:eastAsia="宋体" w:cs="宋体"/>
          <w:bCs/>
          <w:color w:val="auto"/>
          <w:sz w:val="22"/>
          <w:lang w:val="en-US" w:eastAsia="zh-CN"/>
        </w:rPr>
        <w:t>共3人组成</w:t>
      </w:r>
      <w:r>
        <w:rPr>
          <w:rFonts w:hint="eastAsia" w:ascii="宋体" w:hAnsi="宋体" w:eastAsia="宋体" w:cs="宋体"/>
          <w:bCs/>
          <w:color w:val="auto"/>
          <w:sz w:val="22"/>
        </w:rPr>
        <w:t>，通过三门峡市公共资源交易中心抽取终端从河南省政府采购评审专家库中随机抽取。</w:t>
      </w:r>
    </w:p>
    <w:p w14:paraId="44E36BDF">
      <w:pPr>
        <w:spacing w:line="460" w:lineRule="exact"/>
        <w:ind w:firstLine="389" w:firstLineChars="176"/>
        <w:jc w:val="left"/>
        <w:rPr>
          <w:rFonts w:ascii="宋体" w:hAnsi="宋体" w:eastAsia="宋体" w:cs="宋体"/>
          <w:bCs/>
          <w:color w:val="auto"/>
          <w:sz w:val="22"/>
        </w:rPr>
      </w:pPr>
      <w:r>
        <w:rPr>
          <w:rFonts w:hint="eastAsia" w:ascii="宋体" w:hAnsi="宋体" w:eastAsia="宋体" w:cs="宋体"/>
          <w:b/>
          <w:color w:val="auto"/>
          <w:sz w:val="22"/>
        </w:rPr>
        <w:t>22.2</w:t>
      </w:r>
      <w:r>
        <w:rPr>
          <w:rFonts w:hint="eastAsia" w:ascii="宋体" w:hAnsi="宋体" w:eastAsia="宋体" w:cs="宋体"/>
          <w:bCs/>
          <w:color w:val="auto"/>
          <w:sz w:val="22"/>
        </w:rPr>
        <w:t>磋商小组对所有供应商的磋商响应文件进行评审，按评审后得分由高到低顺序排列，递交给采购人。</w:t>
      </w:r>
    </w:p>
    <w:p w14:paraId="666902EE">
      <w:pPr>
        <w:spacing w:line="460" w:lineRule="exact"/>
        <w:ind w:firstLine="387" w:firstLineChars="175"/>
        <w:jc w:val="left"/>
        <w:rPr>
          <w:rFonts w:ascii="宋体" w:hAnsi="宋体" w:eastAsia="宋体" w:cs="宋体"/>
          <w:bCs/>
          <w:color w:val="auto"/>
          <w:sz w:val="22"/>
        </w:rPr>
      </w:pPr>
      <w:r>
        <w:rPr>
          <w:rFonts w:hint="eastAsia" w:ascii="宋体" w:hAnsi="宋体" w:eastAsia="宋体" w:cs="宋体"/>
          <w:b/>
          <w:color w:val="auto"/>
          <w:sz w:val="22"/>
        </w:rPr>
        <w:t>22.3</w:t>
      </w:r>
      <w:r>
        <w:rPr>
          <w:rFonts w:hint="eastAsia" w:ascii="宋体" w:hAnsi="宋体" w:eastAsia="宋体" w:cs="宋体"/>
          <w:bCs/>
          <w:color w:val="auto"/>
          <w:sz w:val="22"/>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5E04480">
      <w:pPr>
        <w:spacing w:line="460" w:lineRule="exact"/>
        <w:ind w:firstLine="387" w:firstLineChars="175"/>
        <w:jc w:val="left"/>
        <w:rPr>
          <w:rFonts w:ascii="宋体" w:hAnsi="宋体" w:eastAsia="宋体" w:cs="宋体"/>
          <w:bCs/>
          <w:color w:val="auto"/>
          <w:sz w:val="22"/>
        </w:rPr>
      </w:pPr>
      <w:r>
        <w:rPr>
          <w:rFonts w:hint="eastAsia" w:ascii="宋体" w:hAnsi="宋体" w:eastAsia="宋体" w:cs="宋体"/>
          <w:b/>
          <w:color w:val="auto"/>
          <w:sz w:val="22"/>
        </w:rPr>
        <w:t>22.4</w:t>
      </w:r>
      <w:r>
        <w:rPr>
          <w:rFonts w:hint="eastAsia" w:ascii="宋体" w:hAnsi="宋体" w:eastAsia="宋体" w:cs="宋体"/>
          <w:bCs/>
          <w:color w:val="auto"/>
          <w:sz w:val="22"/>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15FE9FFC">
      <w:pPr>
        <w:spacing w:line="460" w:lineRule="exact"/>
        <w:ind w:firstLine="387" w:firstLineChars="175"/>
        <w:jc w:val="left"/>
        <w:rPr>
          <w:rFonts w:ascii="宋体" w:hAnsi="宋体" w:eastAsia="宋体" w:cs="宋体"/>
          <w:bCs/>
          <w:color w:val="auto"/>
          <w:sz w:val="22"/>
        </w:rPr>
      </w:pPr>
      <w:r>
        <w:rPr>
          <w:rFonts w:hint="eastAsia" w:ascii="宋体" w:hAnsi="宋体" w:eastAsia="宋体" w:cs="宋体"/>
          <w:b/>
          <w:color w:val="auto"/>
          <w:sz w:val="22"/>
        </w:rPr>
        <w:t>22.5</w:t>
      </w:r>
      <w:r>
        <w:rPr>
          <w:rFonts w:hint="eastAsia" w:ascii="宋体" w:hAnsi="宋体" w:eastAsia="宋体" w:cs="宋体"/>
          <w:bCs/>
          <w:color w:val="auto"/>
          <w:sz w:val="22"/>
        </w:rPr>
        <w:t>磋商小组成员有下列情形之一的，应当回避：</w:t>
      </w:r>
    </w:p>
    <w:p w14:paraId="3979597A">
      <w:pPr>
        <w:spacing w:line="460" w:lineRule="exact"/>
        <w:ind w:firstLine="385" w:firstLineChars="175"/>
        <w:jc w:val="left"/>
        <w:rPr>
          <w:rFonts w:ascii="宋体" w:hAnsi="宋体" w:eastAsia="宋体" w:cs="宋体"/>
          <w:bCs/>
          <w:color w:val="auto"/>
          <w:sz w:val="22"/>
        </w:rPr>
      </w:pPr>
      <w:r>
        <w:rPr>
          <w:rFonts w:hint="eastAsia" w:ascii="宋体" w:hAnsi="宋体" w:eastAsia="宋体" w:cs="宋体"/>
          <w:bCs/>
          <w:color w:val="auto"/>
          <w:sz w:val="22"/>
        </w:rPr>
        <w:t>（1）供应商或供应商主要负责人的近亲属；</w:t>
      </w:r>
    </w:p>
    <w:p w14:paraId="23C92E7E">
      <w:pPr>
        <w:spacing w:line="460" w:lineRule="exact"/>
        <w:ind w:firstLine="385" w:firstLineChars="175"/>
        <w:jc w:val="left"/>
        <w:rPr>
          <w:rFonts w:ascii="宋体" w:hAnsi="宋体" w:eastAsia="宋体" w:cs="宋体"/>
          <w:bCs/>
          <w:color w:val="auto"/>
          <w:sz w:val="22"/>
        </w:rPr>
      </w:pPr>
      <w:r>
        <w:rPr>
          <w:rFonts w:hint="eastAsia" w:ascii="宋体" w:hAnsi="宋体" w:eastAsia="宋体" w:cs="宋体"/>
          <w:bCs/>
          <w:color w:val="auto"/>
          <w:sz w:val="22"/>
        </w:rPr>
        <w:t>（2）项目主管部门或者行政监督部门的人员；</w:t>
      </w:r>
    </w:p>
    <w:p w14:paraId="74026066">
      <w:pPr>
        <w:spacing w:line="460" w:lineRule="exact"/>
        <w:ind w:firstLine="385" w:firstLineChars="175"/>
        <w:jc w:val="left"/>
        <w:rPr>
          <w:rFonts w:ascii="宋体" w:hAnsi="宋体" w:eastAsia="宋体" w:cs="宋体"/>
          <w:bCs/>
          <w:color w:val="auto"/>
          <w:sz w:val="22"/>
        </w:rPr>
      </w:pPr>
      <w:r>
        <w:rPr>
          <w:rFonts w:hint="eastAsia" w:ascii="宋体" w:hAnsi="宋体" w:eastAsia="宋体" w:cs="宋体"/>
          <w:bCs/>
          <w:color w:val="auto"/>
          <w:sz w:val="22"/>
        </w:rPr>
        <w:t>（3）与供应商有经济利益关系；</w:t>
      </w:r>
    </w:p>
    <w:p w14:paraId="1BBA0BB8">
      <w:pPr>
        <w:spacing w:line="460" w:lineRule="exact"/>
        <w:ind w:firstLine="385" w:firstLineChars="175"/>
        <w:jc w:val="left"/>
        <w:rPr>
          <w:rFonts w:ascii="宋体" w:hAnsi="宋体" w:eastAsia="宋体" w:cs="宋体"/>
          <w:bCs/>
          <w:color w:val="auto"/>
          <w:sz w:val="22"/>
        </w:rPr>
      </w:pPr>
      <w:r>
        <w:rPr>
          <w:rFonts w:hint="eastAsia" w:ascii="宋体" w:hAnsi="宋体" w:eastAsia="宋体" w:cs="宋体"/>
          <w:bCs/>
          <w:color w:val="auto"/>
          <w:sz w:val="22"/>
        </w:rPr>
        <w:t>（4）曾因在采购、评标以及其他与采购投标有关活动中从事违法行为而受过行政处罚或刑事处罚的；</w:t>
      </w:r>
    </w:p>
    <w:p w14:paraId="528FBF63">
      <w:pPr>
        <w:spacing w:line="460" w:lineRule="exact"/>
        <w:ind w:firstLine="385" w:firstLineChars="175"/>
        <w:jc w:val="left"/>
        <w:rPr>
          <w:rFonts w:ascii="宋体" w:hAnsi="宋体" w:eastAsia="宋体" w:cs="宋体"/>
          <w:bCs/>
          <w:color w:val="auto"/>
          <w:sz w:val="22"/>
        </w:rPr>
      </w:pPr>
      <w:r>
        <w:rPr>
          <w:rFonts w:hint="eastAsia" w:ascii="宋体" w:hAnsi="宋体" w:eastAsia="宋体" w:cs="宋体"/>
          <w:bCs/>
          <w:color w:val="auto"/>
          <w:sz w:val="22"/>
        </w:rPr>
        <w:t>（5）与供应商有其他利害关系。</w:t>
      </w:r>
    </w:p>
    <w:p w14:paraId="51418F63">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color w:val="auto"/>
          <w:sz w:val="22"/>
          <w:szCs w:val="24"/>
        </w:rPr>
        <w:t>23、磋商原则及方法</w:t>
      </w:r>
    </w:p>
    <w:p w14:paraId="2EF66F05">
      <w:pPr>
        <w:spacing w:line="460" w:lineRule="exact"/>
        <w:ind w:firstLine="387" w:firstLineChars="175"/>
        <w:jc w:val="left"/>
        <w:rPr>
          <w:rFonts w:ascii="宋体" w:hAnsi="宋体" w:eastAsia="宋体" w:cs="宋体"/>
          <w:bCs/>
          <w:color w:val="auto"/>
          <w:sz w:val="22"/>
          <w:szCs w:val="24"/>
        </w:rPr>
      </w:pPr>
      <w:r>
        <w:rPr>
          <w:rFonts w:hint="eastAsia" w:ascii="宋体" w:hAnsi="宋体" w:eastAsia="宋体" w:cs="宋体"/>
          <w:b/>
          <w:color w:val="auto"/>
          <w:sz w:val="22"/>
          <w:szCs w:val="24"/>
        </w:rPr>
        <w:t>23.1</w:t>
      </w:r>
      <w:r>
        <w:rPr>
          <w:rFonts w:hint="eastAsia" w:ascii="宋体" w:hAnsi="宋体" w:eastAsia="宋体" w:cs="宋体"/>
          <w:bCs/>
          <w:color w:val="auto"/>
          <w:sz w:val="22"/>
          <w:szCs w:val="24"/>
        </w:rPr>
        <w:t>坚持公开、公平、公正的原则。</w:t>
      </w:r>
    </w:p>
    <w:p w14:paraId="2742F5A9">
      <w:pPr>
        <w:spacing w:line="460" w:lineRule="exact"/>
        <w:ind w:firstLine="387" w:firstLineChars="175"/>
        <w:jc w:val="left"/>
        <w:rPr>
          <w:rFonts w:ascii="宋体" w:hAnsi="宋体" w:eastAsia="宋体" w:cs="宋体"/>
          <w:bCs/>
          <w:color w:val="auto"/>
          <w:sz w:val="22"/>
          <w:szCs w:val="24"/>
        </w:rPr>
      </w:pPr>
      <w:r>
        <w:rPr>
          <w:rFonts w:hint="eastAsia" w:ascii="宋体" w:hAnsi="宋体" w:eastAsia="宋体" w:cs="宋体"/>
          <w:b/>
          <w:color w:val="auto"/>
          <w:sz w:val="22"/>
          <w:szCs w:val="24"/>
        </w:rPr>
        <w:t>23.2</w:t>
      </w:r>
      <w:r>
        <w:rPr>
          <w:rFonts w:hint="eastAsia" w:ascii="宋体" w:hAnsi="宋体" w:eastAsia="宋体" w:cs="宋体"/>
          <w:bCs/>
          <w:color w:val="auto"/>
          <w:sz w:val="22"/>
          <w:szCs w:val="24"/>
        </w:rPr>
        <w:t>磋商在磋商小组应当集中与单一供应商分别进行磋商，磋商小组将遵照磋商原则，公正、平等地对待所有供应商。</w:t>
      </w:r>
    </w:p>
    <w:p w14:paraId="758ABD4D">
      <w:pPr>
        <w:spacing w:line="460" w:lineRule="exact"/>
        <w:ind w:firstLine="387" w:firstLineChars="175"/>
        <w:jc w:val="left"/>
        <w:rPr>
          <w:rFonts w:ascii="宋体" w:hAnsi="宋体" w:eastAsia="宋体" w:cs="宋体"/>
          <w:bCs/>
          <w:color w:val="auto"/>
          <w:sz w:val="22"/>
          <w:szCs w:val="24"/>
        </w:rPr>
      </w:pPr>
      <w:r>
        <w:rPr>
          <w:rFonts w:hint="eastAsia" w:ascii="宋体" w:hAnsi="宋体" w:eastAsia="宋体" w:cs="宋体"/>
          <w:b/>
          <w:color w:val="auto"/>
          <w:sz w:val="22"/>
          <w:szCs w:val="24"/>
        </w:rPr>
        <w:t>23.3</w:t>
      </w:r>
      <w:r>
        <w:rPr>
          <w:rFonts w:hint="eastAsia" w:ascii="宋体" w:hAnsi="宋体" w:eastAsia="宋体" w:cs="宋体"/>
          <w:bCs/>
          <w:color w:val="auto"/>
          <w:sz w:val="22"/>
          <w:szCs w:val="24"/>
        </w:rPr>
        <w:t>评审方法</w:t>
      </w:r>
    </w:p>
    <w:p w14:paraId="14EA34A1">
      <w:pPr>
        <w:spacing w:line="460" w:lineRule="exact"/>
        <w:ind w:firstLine="387" w:firstLineChars="175"/>
        <w:jc w:val="left"/>
        <w:rPr>
          <w:rFonts w:ascii="宋体" w:hAnsi="宋体" w:eastAsia="宋体" w:cs="宋体"/>
          <w:bCs/>
          <w:color w:val="auto"/>
          <w:sz w:val="22"/>
          <w:szCs w:val="24"/>
        </w:rPr>
      </w:pPr>
      <w:r>
        <w:rPr>
          <w:rFonts w:hint="eastAsia" w:ascii="宋体" w:hAnsi="宋体" w:eastAsia="宋体" w:cs="宋体"/>
          <w:b/>
          <w:color w:val="auto"/>
          <w:sz w:val="22"/>
          <w:szCs w:val="24"/>
        </w:rPr>
        <w:t>23.3.1</w:t>
      </w:r>
      <w:r>
        <w:rPr>
          <w:rFonts w:hint="eastAsia" w:ascii="宋体" w:hAnsi="宋体" w:eastAsia="宋体" w:cs="宋体"/>
          <w:bCs/>
          <w:color w:val="auto"/>
          <w:sz w:val="22"/>
          <w:szCs w:val="24"/>
        </w:rPr>
        <w:t>初步评审（是否响应竞争性磋商文件的要求），确定合格的供应商。</w:t>
      </w:r>
    </w:p>
    <w:p w14:paraId="56BB25D3">
      <w:pPr>
        <w:spacing w:line="460" w:lineRule="exact"/>
        <w:ind w:firstLine="387" w:firstLineChars="175"/>
        <w:jc w:val="left"/>
        <w:rPr>
          <w:rFonts w:ascii="宋体" w:hAnsi="宋体" w:eastAsia="宋体" w:cs="宋体"/>
          <w:bCs/>
          <w:color w:val="auto"/>
          <w:sz w:val="22"/>
          <w:szCs w:val="24"/>
        </w:rPr>
      </w:pPr>
      <w:r>
        <w:rPr>
          <w:rFonts w:hint="eastAsia" w:ascii="宋体" w:hAnsi="宋体" w:eastAsia="宋体" w:cs="宋体"/>
          <w:b/>
          <w:color w:val="auto"/>
          <w:sz w:val="22"/>
          <w:szCs w:val="24"/>
        </w:rPr>
        <w:t>23.3.2</w:t>
      </w:r>
      <w:r>
        <w:rPr>
          <w:rFonts w:hint="eastAsia" w:ascii="宋体" w:hAnsi="宋体" w:eastAsia="宋体" w:cs="宋体"/>
          <w:bCs/>
          <w:color w:val="auto"/>
          <w:sz w:val="22"/>
          <w:szCs w:val="24"/>
        </w:rPr>
        <w:t>各供应商依据各自情况进行最后报价。</w:t>
      </w:r>
    </w:p>
    <w:p w14:paraId="2AA0EB84">
      <w:pPr>
        <w:spacing w:line="460" w:lineRule="exact"/>
        <w:ind w:firstLine="387" w:firstLineChars="175"/>
        <w:jc w:val="left"/>
        <w:rPr>
          <w:rFonts w:ascii="宋体" w:hAnsi="宋体" w:eastAsia="宋体" w:cs="宋体"/>
          <w:bCs/>
          <w:color w:val="auto"/>
          <w:sz w:val="22"/>
          <w:szCs w:val="24"/>
        </w:rPr>
      </w:pPr>
      <w:r>
        <w:rPr>
          <w:rFonts w:hint="eastAsia" w:ascii="宋体" w:hAnsi="宋体" w:eastAsia="宋体" w:cs="宋体"/>
          <w:b/>
          <w:color w:val="auto"/>
          <w:sz w:val="22"/>
          <w:szCs w:val="24"/>
        </w:rPr>
        <w:t>23.3.3</w:t>
      </w:r>
      <w:r>
        <w:rPr>
          <w:rFonts w:hint="eastAsia" w:ascii="宋体" w:hAnsi="宋体" w:eastAsia="宋体" w:cs="宋体"/>
          <w:bCs/>
          <w:color w:val="auto"/>
          <w:sz w:val="22"/>
          <w:szCs w:val="24"/>
        </w:rPr>
        <w:t>磋商小组采用综合评分法对提交最后报价的供应商的响应文件和最后报价进行综合评分。</w:t>
      </w:r>
    </w:p>
    <w:p w14:paraId="54D0187A">
      <w:pPr>
        <w:spacing w:line="460" w:lineRule="exact"/>
        <w:ind w:firstLine="387" w:firstLineChars="175"/>
        <w:jc w:val="left"/>
        <w:rPr>
          <w:rFonts w:ascii="宋体" w:hAnsi="宋体" w:eastAsia="宋体" w:cs="宋体"/>
          <w:b/>
          <w:color w:val="auto"/>
          <w:sz w:val="22"/>
          <w:szCs w:val="24"/>
        </w:rPr>
      </w:pPr>
      <w:r>
        <w:rPr>
          <w:rFonts w:hint="eastAsia" w:ascii="宋体" w:hAnsi="宋体" w:eastAsia="宋体" w:cs="宋体"/>
          <w:b/>
          <w:color w:val="auto"/>
          <w:sz w:val="22"/>
          <w:szCs w:val="24"/>
        </w:rPr>
        <w:t>24、磋商过程的保密</w:t>
      </w:r>
    </w:p>
    <w:p w14:paraId="7578CA8B">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color w:val="auto"/>
          <w:sz w:val="22"/>
          <w:szCs w:val="24"/>
        </w:rPr>
        <w:t>24.1</w:t>
      </w:r>
      <w:r>
        <w:rPr>
          <w:rFonts w:hint="eastAsia" w:ascii="宋体" w:hAnsi="宋体" w:eastAsia="宋体" w:cs="宋体"/>
          <w:color w:val="auto"/>
          <w:sz w:val="22"/>
          <w:szCs w:val="24"/>
        </w:rPr>
        <w:t>响应文件格式的审查、澄清、评价和比较的有关资料以及成交候选人的推荐情况，与评标有关的其他任何情况均应严格保密。</w:t>
      </w:r>
    </w:p>
    <w:p w14:paraId="3B1DF581">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color w:val="auto"/>
          <w:sz w:val="22"/>
          <w:szCs w:val="24"/>
        </w:rPr>
        <w:t>24.2</w:t>
      </w:r>
      <w:r>
        <w:rPr>
          <w:rFonts w:hint="eastAsia" w:ascii="宋体" w:hAnsi="宋体" w:eastAsia="宋体" w:cs="宋体"/>
          <w:color w:val="auto"/>
          <w:sz w:val="22"/>
          <w:szCs w:val="24"/>
        </w:rPr>
        <w:t>在响应文件格式的评审和比较、成交候选人推荐以及授予合同的过程中，供应商向采购人和磋商小组施加影响的任何行为，都将会导致其投标被拒绝。</w:t>
      </w:r>
    </w:p>
    <w:p w14:paraId="3D03FB46">
      <w:pPr>
        <w:spacing w:line="460" w:lineRule="exact"/>
        <w:ind w:firstLine="387" w:firstLineChars="175"/>
        <w:jc w:val="left"/>
        <w:rPr>
          <w:rFonts w:ascii="宋体" w:hAnsi="宋体" w:eastAsia="宋体" w:cs="宋体"/>
          <w:color w:val="auto"/>
          <w:sz w:val="22"/>
          <w:szCs w:val="24"/>
        </w:rPr>
      </w:pPr>
      <w:r>
        <w:rPr>
          <w:rFonts w:hint="eastAsia" w:ascii="宋体" w:hAnsi="宋体" w:eastAsia="宋体" w:cs="宋体"/>
          <w:b/>
          <w:color w:val="auto"/>
          <w:sz w:val="22"/>
          <w:szCs w:val="24"/>
        </w:rPr>
        <w:t>24.3</w:t>
      </w:r>
      <w:r>
        <w:rPr>
          <w:rFonts w:hint="eastAsia" w:ascii="宋体" w:hAnsi="宋体" w:eastAsia="宋体" w:cs="宋体"/>
          <w:color w:val="auto"/>
          <w:sz w:val="22"/>
          <w:szCs w:val="24"/>
        </w:rPr>
        <w:t>采购人不对未成交人就评标过程以及未能成交原因作出任何解释。未成交人不得向磋商小组成员和其他有关人员索问评标过程的情况和资料。</w:t>
      </w:r>
    </w:p>
    <w:p w14:paraId="65764288">
      <w:pPr>
        <w:snapToGrid w:val="0"/>
        <w:spacing w:line="460" w:lineRule="exact"/>
        <w:ind w:firstLine="442" w:firstLineChars="200"/>
        <w:jc w:val="left"/>
        <w:rPr>
          <w:rFonts w:ascii="宋体" w:hAnsi="宋体" w:eastAsia="宋体" w:cs="宋体"/>
          <w:b/>
          <w:bCs/>
          <w:color w:val="auto"/>
          <w:sz w:val="22"/>
          <w:szCs w:val="24"/>
        </w:rPr>
      </w:pPr>
      <w:bookmarkStart w:id="72" w:name="_Toc246996208"/>
      <w:bookmarkStart w:id="73" w:name="_Toc179632582"/>
      <w:bookmarkStart w:id="74" w:name="_Toc246996951"/>
      <w:bookmarkStart w:id="75" w:name="_Toc144974532"/>
      <w:bookmarkStart w:id="76" w:name="_Toc247085722"/>
      <w:bookmarkStart w:id="77" w:name="_Toc152045564"/>
      <w:bookmarkStart w:id="78" w:name="_Toc296602453"/>
      <w:bookmarkStart w:id="79" w:name="_Toc152042340"/>
      <w:r>
        <w:rPr>
          <w:rFonts w:hint="eastAsia" w:ascii="宋体" w:hAnsi="宋体" w:eastAsia="宋体" w:cs="宋体"/>
          <w:b/>
          <w:bCs/>
          <w:color w:val="auto"/>
          <w:sz w:val="22"/>
          <w:szCs w:val="24"/>
        </w:rPr>
        <w:t>25、对供应商的评价</w:t>
      </w:r>
    </w:p>
    <w:p w14:paraId="3697933C">
      <w:pPr>
        <w:snapToGrid w:val="0"/>
        <w:spacing w:line="460" w:lineRule="exact"/>
        <w:ind w:firstLine="442" w:firstLineChars="200"/>
        <w:jc w:val="left"/>
        <w:rPr>
          <w:rFonts w:ascii="宋体" w:hAnsi="宋体" w:eastAsia="宋体" w:cs="宋体"/>
          <w:color w:val="auto"/>
          <w:sz w:val="22"/>
          <w:szCs w:val="24"/>
        </w:rPr>
      </w:pPr>
      <w:r>
        <w:rPr>
          <w:rFonts w:hint="eastAsia" w:ascii="宋体" w:hAnsi="宋体" w:eastAsia="宋体" w:cs="宋体"/>
          <w:b/>
          <w:bCs/>
          <w:color w:val="auto"/>
          <w:sz w:val="22"/>
          <w:szCs w:val="24"/>
        </w:rPr>
        <w:t>25.1</w:t>
      </w:r>
      <w:r>
        <w:rPr>
          <w:rFonts w:hint="eastAsia" w:ascii="宋体" w:hAnsi="宋体" w:eastAsia="宋体" w:cs="宋体"/>
          <w:color w:val="auto"/>
          <w:sz w:val="22"/>
          <w:szCs w:val="24"/>
        </w:rPr>
        <w:t>磋商小组只对已判定为实质性响应且通过初步审查的磋商响应文件进行详细评价和比较。</w:t>
      </w:r>
    </w:p>
    <w:p w14:paraId="448DA87D">
      <w:pPr>
        <w:snapToGrid w:val="0"/>
        <w:spacing w:line="460" w:lineRule="exact"/>
        <w:ind w:firstLine="442" w:firstLineChars="200"/>
        <w:jc w:val="left"/>
        <w:rPr>
          <w:rFonts w:ascii="宋体" w:hAnsi="宋体" w:eastAsia="宋体" w:cs="宋体"/>
          <w:color w:val="auto"/>
          <w:sz w:val="22"/>
          <w:szCs w:val="24"/>
        </w:rPr>
      </w:pPr>
      <w:r>
        <w:rPr>
          <w:rFonts w:hint="eastAsia" w:ascii="宋体" w:hAnsi="宋体" w:eastAsia="宋体" w:cs="宋体"/>
          <w:b/>
          <w:bCs/>
          <w:color w:val="auto"/>
          <w:sz w:val="22"/>
          <w:szCs w:val="24"/>
        </w:rPr>
        <w:t>25.2</w:t>
      </w:r>
      <w:r>
        <w:rPr>
          <w:rFonts w:hint="eastAsia" w:ascii="宋体" w:hAnsi="宋体" w:eastAsia="宋体" w:cs="宋体"/>
          <w:color w:val="auto"/>
          <w:sz w:val="22"/>
          <w:szCs w:val="24"/>
        </w:rPr>
        <w:t xml:space="preserve"> 磋商小组采用综合评分法对提交最后报价的供应商的磋商响应文件和最后报价进行综合评分。</w:t>
      </w:r>
    </w:p>
    <w:p w14:paraId="1D6C0670">
      <w:pPr>
        <w:snapToGrid w:val="0"/>
        <w:spacing w:line="460" w:lineRule="exact"/>
        <w:ind w:firstLine="442" w:firstLineChars="200"/>
        <w:jc w:val="left"/>
        <w:rPr>
          <w:rFonts w:hint="eastAsia" w:ascii="宋体" w:hAnsi="宋体" w:eastAsia="宋体" w:cs="宋体"/>
          <w:color w:val="auto"/>
          <w:sz w:val="22"/>
          <w:szCs w:val="24"/>
        </w:rPr>
      </w:pPr>
      <w:r>
        <w:rPr>
          <w:rFonts w:hint="eastAsia" w:ascii="宋体" w:hAnsi="宋体" w:eastAsia="宋体" w:cs="宋体"/>
          <w:b/>
          <w:bCs/>
          <w:color w:val="auto"/>
          <w:sz w:val="22"/>
          <w:szCs w:val="24"/>
        </w:rPr>
        <w:t>25.3</w:t>
      </w:r>
      <w:r>
        <w:rPr>
          <w:rFonts w:hint="eastAsia" w:ascii="宋体" w:hAnsi="宋体" w:eastAsia="宋体" w:cs="宋体"/>
          <w:color w:val="auto"/>
          <w:sz w:val="22"/>
          <w:szCs w:val="24"/>
        </w:rPr>
        <w:t>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DF1B91D">
      <w:pPr>
        <w:snapToGrid w:val="0"/>
        <w:spacing w:line="460" w:lineRule="exact"/>
        <w:ind w:firstLine="442" w:firstLineChars="200"/>
        <w:jc w:val="left"/>
        <w:rPr>
          <w:rFonts w:ascii="宋体" w:hAnsi="宋体" w:eastAsia="宋体" w:cs="宋体"/>
          <w:color w:val="auto"/>
          <w:sz w:val="22"/>
          <w:szCs w:val="24"/>
        </w:rPr>
      </w:pPr>
      <w:r>
        <w:rPr>
          <w:rFonts w:hint="eastAsia" w:ascii="宋体" w:hAnsi="宋体" w:eastAsia="宋体" w:cs="宋体"/>
          <w:b/>
          <w:bCs/>
          <w:color w:val="auto"/>
          <w:sz w:val="22"/>
          <w:szCs w:val="24"/>
        </w:rPr>
        <w:t>25.4</w:t>
      </w:r>
      <w:r>
        <w:rPr>
          <w:rFonts w:hint="eastAsia" w:ascii="宋体" w:hAnsi="宋体" w:eastAsia="宋体" w:cs="宋体"/>
          <w:color w:val="auto"/>
          <w:sz w:val="22"/>
          <w:szCs w:val="24"/>
        </w:rPr>
        <w:t>如果第一名供应商放弃成交资格或因不可抗力提出不能履行合同、竞争性磋商文件规定应当提交履约担保而在规定的期限内未能提交的，采购人可以按照评标报告推荐的成交候选人名单，确定下一成交候选人为成交人，也可以重新开展政府采购活动。</w:t>
      </w:r>
    </w:p>
    <w:bookmarkEnd w:id="72"/>
    <w:bookmarkEnd w:id="73"/>
    <w:bookmarkEnd w:id="74"/>
    <w:bookmarkEnd w:id="75"/>
    <w:bookmarkEnd w:id="76"/>
    <w:bookmarkEnd w:id="77"/>
    <w:bookmarkEnd w:id="78"/>
    <w:bookmarkEnd w:id="79"/>
    <w:p w14:paraId="24E163FA">
      <w:pPr>
        <w:snapToGrid w:val="0"/>
        <w:spacing w:line="460" w:lineRule="exact"/>
        <w:ind w:firstLine="442" w:firstLineChars="200"/>
        <w:jc w:val="left"/>
        <w:rPr>
          <w:rFonts w:ascii="宋体" w:hAnsi="宋体" w:eastAsia="宋体" w:cs="宋体"/>
          <w:b/>
          <w:bCs/>
          <w:color w:val="auto"/>
          <w:sz w:val="22"/>
          <w:szCs w:val="24"/>
        </w:rPr>
      </w:pPr>
      <w:r>
        <w:rPr>
          <w:rFonts w:hint="eastAsia" w:ascii="宋体" w:hAnsi="宋体" w:eastAsia="宋体" w:cs="宋体"/>
          <w:b/>
          <w:bCs/>
          <w:color w:val="auto"/>
          <w:sz w:val="22"/>
          <w:szCs w:val="24"/>
        </w:rPr>
        <w:t>26、确定成交人</w:t>
      </w:r>
    </w:p>
    <w:p w14:paraId="611DE297">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磋商小组应当根据综合评分情况，按照评审由高到低的顺序推荐成交候选人，并编写评标报告。</w:t>
      </w:r>
    </w:p>
    <w:p w14:paraId="5B146BA8">
      <w:pPr>
        <w:keepNext/>
        <w:keepLines/>
        <w:adjustRightInd w:val="0"/>
        <w:snapToGrid w:val="0"/>
        <w:spacing w:line="460" w:lineRule="exact"/>
        <w:jc w:val="left"/>
        <w:textAlignment w:val="baseline"/>
        <w:outlineLvl w:val="1"/>
        <w:rPr>
          <w:rFonts w:ascii="宋体" w:hAnsi="宋体" w:eastAsia="宋体" w:cs="宋体"/>
          <w:b/>
          <w:bCs/>
          <w:color w:val="auto"/>
          <w:sz w:val="28"/>
          <w:szCs w:val="32"/>
        </w:rPr>
      </w:pPr>
      <w:bookmarkStart w:id="80" w:name="_Toc109893852"/>
      <w:bookmarkStart w:id="81" w:name="_Toc109892714"/>
      <w:bookmarkStart w:id="82" w:name="_Toc119489925"/>
      <w:bookmarkStart w:id="83" w:name="_Toc109893139"/>
      <w:bookmarkStart w:id="84" w:name="_Toc109893770"/>
      <w:bookmarkStart w:id="85" w:name="_Toc27487"/>
      <w:bookmarkStart w:id="86" w:name="_Toc109893618"/>
      <w:r>
        <w:rPr>
          <w:rFonts w:hint="eastAsia" w:ascii="宋体" w:hAnsi="宋体" w:eastAsia="宋体" w:cs="宋体"/>
          <w:b/>
          <w:bCs/>
          <w:color w:val="auto"/>
          <w:sz w:val="28"/>
          <w:szCs w:val="32"/>
        </w:rPr>
        <w:t>六、授予合同</w:t>
      </w:r>
      <w:bookmarkEnd w:id="80"/>
      <w:bookmarkEnd w:id="81"/>
      <w:bookmarkEnd w:id="82"/>
      <w:bookmarkEnd w:id="83"/>
      <w:bookmarkEnd w:id="84"/>
      <w:bookmarkEnd w:id="85"/>
      <w:bookmarkEnd w:id="86"/>
    </w:p>
    <w:p w14:paraId="6167A135">
      <w:pPr>
        <w:adjustRightInd w:val="0"/>
        <w:snapToGrid w:val="0"/>
        <w:spacing w:line="46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27、合同授予标准</w:t>
      </w:r>
    </w:p>
    <w:p w14:paraId="7B6769E3">
      <w:pPr>
        <w:adjustRightInd w:val="0"/>
        <w:snapToGrid w:val="0"/>
        <w:spacing w:line="460" w:lineRule="exact"/>
        <w:ind w:firstLine="387" w:firstLineChars="176"/>
        <w:jc w:val="left"/>
        <w:rPr>
          <w:rFonts w:ascii="宋体" w:hAnsi="宋体" w:eastAsia="宋体" w:cs="宋体"/>
          <w:color w:val="auto"/>
          <w:sz w:val="22"/>
          <w:szCs w:val="24"/>
        </w:rPr>
      </w:pPr>
      <w:r>
        <w:rPr>
          <w:rFonts w:hint="eastAsia" w:ascii="宋体" w:hAnsi="宋体" w:eastAsia="宋体" w:cs="宋体"/>
          <w:color w:val="auto"/>
          <w:sz w:val="22"/>
          <w:szCs w:val="24"/>
        </w:rPr>
        <w:t>采购人依据磋商小组推荐的成交候选人确定成交人。</w:t>
      </w:r>
    </w:p>
    <w:p w14:paraId="7EA42F46">
      <w:pPr>
        <w:adjustRightInd w:val="0"/>
        <w:snapToGrid w:val="0"/>
        <w:spacing w:line="46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28、成交通知</w:t>
      </w:r>
    </w:p>
    <w:p w14:paraId="32B6A8F2">
      <w:pPr>
        <w:adjustRightInd w:val="0"/>
        <w:snapToGrid w:val="0"/>
        <w:spacing w:line="46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28.1</w:t>
      </w:r>
      <w:r>
        <w:rPr>
          <w:rFonts w:hint="eastAsia" w:ascii="宋体" w:hAnsi="宋体" w:eastAsia="宋体" w:cs="宋体"/>
          <w:color w:val="auto"/>
          <w:kern w:val="0"/>
          <w:sz w:val="22"/>
          <w:szCs w:val="24"/>
        </w:rPr>
        <w:t>成交人确定后，采购人</w:t>
      </w:r>
      <w:r>
        <w:rPr>
          <w:rFonts w:hint="eastAsia" w:ascii="宋体" w:hAnsi="宋体" w:eastAsia="宋体" w:cs="Times New Roman"/>
          <w:color w:val="auto"/>
          <w:sz w:val="22"/>
          <w:szCs w:val="24"/>
        </w:rPr>
        <w:t>向成交人签发《成交通知书》</w:t>
      </w:r>
      <w:r>
        <w:rPr>
          <w:rFonts w:hint="eastAsia" w:ascii="宋体" w:hAnsi="宋体" w:eastAsia="宋体" w:cs="宋体"/>
          <w:color w:val="auto"/>
          <w:kern w:val="0"/>
          <w:sz w:val="22"/>
          <w:szCs w:val="24"/>
        </w:rPr>
        <w:t>。</w:t>
      </w:r>
    </w:p>
    <w:p w14:paraId="1EECC901">
      <w:pPr>
        <w:adjustRightInd w:val="0"/>
        <w:snapToGrid w:val="0"/>
        <w:spacing w:line="460" w:lineRule="exact"/>
        <w:ind w:firstLine="389" w:firstLineChars="176"/>
        <w:jc w:val="left"/>
        <w:rPr>
          <w:rFonts w:ascii="宋体" w:hAnsi="宋体" w:eastAsia="宋体" w:cs="宋体"/>
          <w:bCs/>
          <w:color w:val="auto"/>
          <w:sz w:val="22"/>
          <w:szCs w:val="24"/>
        </w:rPr>
      </w:pPr>
      <w:r>
        <w:rPr>
          <w:rFonts w:hint="eastAsia" w:ascii="宋体" w:hAnsi="宋体" w:eastAsia="宋体" w:cs="宋体"/>
          <w:b/>
          <w:bCs/>
          <w:color w:val="auto"/>
          <w:sz w:val="22"/>
          <w:szCs w:val="24"/>
        </w:rPr>
        <w:t>28.2</w:t>
      </w:r>
      <w:r>
        <w:rPr>
          <w:rFonts w:hint="eastAsia" w:ascii="宋体" w:hAnsi="宋体" w:eastAsia="宋体" w:cs="宋体"/>
          <w:bCs/>
          <w:color w:val="auto"/>
          <w:sz w:val="22"/>
          <w:szCs w:val="24"/>
        </w:rPr>
        <w:t>成交通知书是合同的组成部分。</w:t>
      </w:r>
    </w:p>
    <w:p w14:paraId="02C636B1">
      <w:pPr>
        <w:adjustRightInd w:val="0"/>
        <w:snapToGrid w:val="0"/>
        <w:spacing w:line="460" w:lineRule="exact"/>
        <w:ind w:firstLine="389" w:firstLineChars="176"/>
        <w:jc w:val="left"/>
        <w:rPr>
          <w:rFonts w:ascii="宋体" w:hAnsi="宋体" w:eastAsia="宋体" w:cs="宋体"/>
          <w:bCs/>
          <w:color w:val="auto"/>
          <w:sz w:val="22"/>
          <w:szCs w:val="24"/>
        </w:rPr>
      </w:pPr>
      <w:r>
        <w:rPr>
          <w:rFonts w:hint="eastAsia" w:ascii="宋体" w:hAnsi="宋体" w:eastAsia="宋体" w:cs="宋体"/>
          <w:b/>
          <w:bCs/>
          <w:color w:val="auto"/>
          <w:sz w:val="22"/>
          <w:szCs w:val="24"/>
        </w:rPr>
        <w:t>28.3</w:t>
      </w:r>
      <w:r>
        <w:rPr>
          <w:rFonts w:hint="eastAsia" w:ascii="宋体" w:hAnsi="宋体" w:eastAsia="宋体" w:cs="宋体"/>
          <w:bCs/>
          <w:color w:val="auto"/>
          <w:sz w:val="22"/>
          <w:szCs w:val="24"/>
        </w:rPr>
        <w:t>对未成交的供应商，不做任何未成交原因的解释。所有竞争性磋商文件不予退还。</w:t>
      </w:r>
    </w:p>
    <w:p w14:paraId="3CAFF175">
      <w:pPr>
        <w:adjustRightInd w:val="0"/>
        <w:snapToGrid w:val="0"/>
        <w:spacing w:line="460" w:lineRule="exact"/>
        <w:ind w:firstLine="389" w:firstLineChars="176"/>
        <w:jc w:val="left"/>
        <w:rPr>
          <w:rFonts w:ascii="宋体" w:hAnsi="宋体" w:eastAsia="宋体" w:cs="宋体"/>
          <w:b/>
          <w:bCs/>
          <w:color w:val="auto"/>
          <w:sz w:val="22"/>
          <w:szCs w:val="24"/>
        </w:rPr>
      </w:pPr>
      <w:bookmarkStart w:id="87" w:name="_Toc246996956"/>
      <w:bookmarkStart w:id="88" w:name="_Toc152042345"/>
      <w:bookmarkStart w:id="89" w:name="_Toc247085727"/>
      <w:bookmarkStart w:id="90" w:name="_Toc179632587"/>
      <w:bookmarkStart w:id="91" w:name="_Toc144974537"/>
      <w:bookmarkStart w:id="92" w:name="_Toc246996213"/>
      <w:bookmarkStart w:id="93" w:name="_Toc152045569"/>
      <w:bookmarkStart w:id="94" w:name="_Toc296602459"/>
      <w:r>
        <w:rPr>
          <w:rFonts w:hint="eastAsia" w:ascii="宋体" w:hAnsi="宋体" w:eastAsia="宋体" w:cs="宋体"/>
          <w:b/>
          <w:bCs/>
          <w:color w:val="auto"/>
          <w:sz w:val="22"/>
          <w:szCs w:val="24"/>
        </w:rPr>
        <w:t>29、履约</w:t>
      </w:r>
      <w:bookmarkEnd w:id="87"/>
      <w:bookmarkEnd w:id="88"/>
      <w:bookmarkEnd w:id="89"/>
      <w:bookmarkEnd w:id="90"/>
      <w:bookmarkEnd w:id="91"/>
      <w:bookmarkEnd w:id="92"/>
      <w:bookmarkEnd w:id="93"/>
      <w:bookmarkEnd w:id="94"/>
      <w:r>
        <w:rPr>
          <w:rFonts w:hint="eastAsia" w:ascii="宋体" w:hAnsi="宋体" w:eastAsia="宋体" w:cs="宋体"/>
          <w:b/>
          <w:bCs/>
          <w:color w:val="auto"/>
          <w:sz w:val="22"/>
          <w:szCs w:val="24"/>
        </w:rPr>
        <w:t>保证金</w:t>
      </w:r>
    </w:p>
    <w:p w14:paraId="19E320DF">
      <w:pPr>
        <w:adjustRightInd w:val="0"/>
        <w:snapToGrid w:val="0"/>
        <w:spacing w:line="460" w:lineRule="exact"/>
        <w:ind w:firstLine="387" w:firstLineChars="176"/>
        <w:jc w:val="left"/>
        <w:rPr>
          <w:rFonts w:ascii="宋体" w:hAnsi="宋体" w:eastAsia="宋体" w:cs="宋体"/>
          <w:bCs/>
          <w:color w:val="auto"/>
          <w:sz w:val="22"/>
          <w:szCs w:val="24"/>
        </w:rPr>
      </w:pPr>
      <w:r>
        <w:rPr>
          <w:rFonts w:ascii="宋体" w:hAnsi="宋体" w:eastAsia="宋体" w:cs="宋体"/>
          <w:bCs/>
          <w:color w:val="auto"/>
          <w:sz w:val="22"/>
          <w:szCs w:val="24"/>
        </w:rPr>
        <w:t>无</w:t>
      </w:r>
    </w:p>
    <w:p w14:paraId="104DC546">
      <w:pPr>
        <w:spacing w:line="360" w:lineRule="auto"/>
        <w:ind w:firstLine="442" w:firstLineChars="200"/>
        <w:jc w:val="left"/>
        <w:rPr>
          <w:rFonts w:ascii="宋体" w:hAnsi="宋体" w:eastAsia="宋体" w:cs="宋体"/>
          <w:b/>
          <w:color w:val="auto"/>
          <w:sz w:val="22"/>
        </w:rPr>
      </w:pPr>
      <w:r>
        <w:rPr>
          <w:rFonts w:hint="eastAsia" w:ascii="宋体" w:hAnsi="宋体" w:eastAsia="宋体" w:cs="宋体"/>
          <w:b/>
          <w:color w:val="auto"/>
          <w:sz w:val="22"/>
        </w:rPr>
        <w:t>30、签订合同</w:t>
      </w:r>
    </w:p>
    <w:p w14:paraId="0D95B629">
      <w:pPr>
        <w:adjustRightInd w:val="0"/>
        <w:snapToGrid w:val="0"/>
        <w:spacing w:line="460" w:lineRule="exact"/>
        <w:ind w:firstLine="389" w:firstLineChars="176"/>
        <w:jc w:val="left"/>
        <w:rPr>
          <w:rFonts w:ascii="宋体" w:hAnsi="宋体" w:eastAsia="宋体" w:cs="宋体"/>
          <w:color w:val="auto"/>
          <w:kern w:val="0"/>
          <w:sz w:val="22"/>
          <w:szCs w:val="24"/>
        </w:rPr>
      </w:pPr>
      <w:r>
        <w:rPr>
          <w:rFonts w:hint="eastAsia" w:ascii="宋体" w:hAnsi="宋体" w:eastAsia="宋体" w:cs="宋体"/>
          <w:b/>
          <w:color w:val="auto"/>
          <w:sz w:val="22"/>
        </w:rPr>
        <w:t>30</w:t>
      </w:r>
      <w:r>
        <w:rPr>
          <w:rFonts w:hint="eastAsia" w:ascii="宋体" w:hAnsi="宋体" w:eastAsia="宋体" w:cs="宋体"/>
          <w:b/>
          <w:bCs/>
          <w:color w:val="auto"/>
          <w:sz w:val="22"/>
          <w:szCs w:val="24"/>
        </w:rPr>
        <w:t>.1</w:t>
      </w:r>
      <w:r>
        <w:rPr>
          <w:rFonts w:hint="eastAsia" w:ascii="宋体" w:hAnsi="宋体" w:eastAsia="宋体" w:cs="宋体"/>
          <w:color w:val="auto"/>
          <w:kern w:val="0"/>
          <w:sz w:val="22"/>
          <w:szCs w:val="24"/>
        </w:rPr>
        <w:t>成交供应商自《成交通知书》发出之日起30天内</w:t>
      </w:r>
      <w:r>
        <w:rPr>
          <w:rFonts w:hint="eastAsia" w:ascii="宋体" w:hAnsi="宋体" w:eastAsia="宋体" w:cs="宋体"/>
          <w:bCs/>
          <w:color w:val="auto"/>
          <w:kern w:val="0"/>
          <w:sz w:val="22"/>
          <w:szCs w:val="24"/>
        </w:rPr>
        <w:t>及时</w:t>
      </w:r>
      <w:r>
        <w:rPr>
          <w:rFonts w:ascii="宋体" w:hAnsi="宋体" w:eastAsia="宋体" w:cs="宋体"/>
          <w:bCs/>
          <w:color w:val="auto"/>
          <w:kern w:val="0"/>
          <w:sz w:val="22"/>
          <w:szCs w:val="24"/>
        </w:rPr>
        <w:t>到采购人</w:t>
      </w:r>
      <w:r>
        <w:rPr>
          <w:rFonts w:hint="eastAsia" w:ascii="宋体" w:hAnsi="宋体" w:eastAsia="宋体" w:cs="宋体"/>
          <w:color w:val="auto"/>
          <w:kern w:val="0"/>
          <w:sz w:val="22"/>
          <w:szCs w:val="24"/>
        </w:rPr>
        <w:t>指定地点与采购人签订采购合同，</w:t>
      </w:r>
      <w:r>
        <w:rPr>
          <w:rFonts w:hint="eastAsia" w:ascii="宋体" w:hAnsi="宋体" w:eastAsia="宋体" w:cs="宋体"/>
          <w:b/>
          <w:bCs/>
          <w:color w:val="auto"/>
          <w:kern w:val="0"/>
          <w:sz w:val="22"/>
          <w:szCs w:val="24"/>
        </w:rPr>
        <w:t>合同签订</w:t>
      </w:r>
      <w:r>
        <w:rPr>
          <w:rFonts w:ascii="宋体" w:hAnsi="宋体" w:eastAsia="宋体" w:cs="宋体"/>
          <w:b/>
          <w:bCs/>
          <w:color w:val="auto"/>
          <w:kern w:val="0"/>
          <w:sz w:val="22"/>
          <w:szCs w:val="24"/>
        </w:rPr>
        <w:t>2</w:t>
      </w:r>
      <w:r>
        <w:rPr>
          <w:rFonts w:hint="eastAsia" w:ascii="宋体" w:hAnsi="宋体" w:eastAsia="宋体" w:cs="宋体"/>
          <w:b/>
          <w:bCs/>
          <w:color w:val="auto"/>
          <w:kern w:val="0"/>
          <w:sz w:val="22"/>
          <w:szCs w:val="24"/>
        </w:rPr>
        <w:t>日内</w:t>
      </w:r>
      <w:r>
        <w:rPr>
          <w:rFonts w:hint="eastAsia" w:ascii="宋体" w:hAnsi="宋体" w:eastAsia="宋体" w:cs="宋体"/>
          <w:color w:val="auto"/>
          <w:kern w:val="0"/>
          <w:sz w:val="22"/>
          <w:szCs w:val="24"/>
        </w:rPr>
        <w:t>，将采购合同扫描件发送至</w:t>
      </w:r>
      <w:r>
        <w:rPr>
          <w:rFonts w:hint="eastAsia" w:ascii="宋体" w:hAnsi="宋体" w:eastAsia="宋体" w:cs="宋体"/>
          <w:b/>
          <w:bCs/>
          <w:color w:val="auto"/>
          <w:kern w:val="0"/>
          <w:sz w:val="22"/>
          <w:szCs w:val="24"/>
        </w:rPr>
        <w:t>中鼎誉润工程咨询有限公司826067465@qq.com</w:t>
      </w:r>
      <w:r>
        <w:rPr>
          <w:rFonts w:hint="eastAsia" w:ascii="宋体" w:hAnsi="宋体" w:eastAsia="宋体" w:cs="宋体"/>
          <w:color w:val="auto"/>
          <w:kern w:val="0"/>
          <w:sz w:val="22"/>
          <w:szCs w:val="24"/>
        </w:rPr>
        <w:t>。</w:t>
      </w:r>
    </w:p>
    <w:p w14:paraId="053B79E8">
      <w:pPr>
        <w:adjustRightInd w:val="0"/>
        <w:snapToGrid w:val="0"/>
        <w:spacing w:line="460" w:lineRule="exact"/>
        <w:ind w:firstLine="389" w:firstLineChars="176"/>
        <w:jc w:val="left"/>
        <w:rPr>
          <w:rFonts w:ascii="宋体" w:hAnsi="宋体" w:eastAsia="宋体"/>
          <w:color w:val="auto"/>
          <w:sz w:val="22"/>
          <w:szCs w:val="24"/>
        </w:rPr>
      </w:pPr>
      <w:r>
        <w:rPr>
          <w:rFonts w:hint="eastAsia" w:ascii="宋体" w:hAnsi="宋体" w:eastAsia="宋体" w:cs="宋体"/>
          <w:b/>
          <w:color w:val="auto"/>
          <w:kern w:val="0"/>
          <w:sz w:val="22"/>
          <w:szCs w:val="24"/>
        </w:rPr>
        <w:t>30.2</w:t>
      </w:r>
      <w:r>
        <w:rPr>
          <w:rFonts w:hint="eastAsia" w:ascii="宋体" w:hAnsi="宋体" w:eastAsia="宋体"/>
          <w:color w:val="auto"/>
          <w:sz w:val="22"/>
          <w:szCs w:val="24"/>
        </w:rPr>
        <w:t>采购人签发的成交通知书、竞争性磋商文件、成交供应商的磋商响应文件及其澄清文件等，均为签订合同的依据。</w:t>
      </w:r>
    </w:p>
    <w:p w14:paraId="54AF1123">
      <w:pPr>
        <w:spacing w:line="420" w:lineRule="exact"/>
        <w:ind w:firstLine="389" w:firstLineChars="176"/>
        <w:jc w:val="left"/>
        <w:rPr>
          <w:rFonts w:ascii="宋体" w:hAnsi="宋体" w:eastAsia="宋体" w:cs="Times New Roman"/>
          <w:b/>
          <w:color w:val="auto"/>
          <w:sz w:val="22"/>
          <w:szCs w:val="24"/>
        </w:rPr>
      </w:pPr>
      <w:r>
        <w:rPr>
          <w:rFonts w:hint="eastAsia" w:ascii="宋体" w:hAnsi="宋体" w:eastAsia="宋体" w:cs="Times New Roman"/>
          <w:b/>
          <w:color w:val="auto"/>
          <w:sz w:val="22"/>
          <w:szCs w:val="24"/>
        </w:rPr>
        <w:t>31特别注意事项：</w:t>
      </w:r>
    </w:p>
    <w:p w14:paraId="1391F49C">
      <w:pPr>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 xml:space="preserve">.1 </w:t>
      </w:r>
      <w:r>
        <w:rPr>
          <w:rFonts w:hint="eastAsia" w:ascii="宋体" w:hAnsi="宋体" w:eastAsia="宋体" w:cs="Times New Roman"/>
          <w:color w:val="auto"/>
          <w:sz w:val="22"/>
          <w:szCs w:val="24"/>
        </w:rPr>
        <w:t>磋商供应商出现下列情形之一的，磋商小组可取消其磋商资格：</w:t>
      </w:r>
    </w:p>
    <w:p w14:paraId="6D71E840">
      <w:pPr>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.1.1</w:t>
      </w:r>
      <w:r>
        <w:rPr>
          <w:rFonts w:hint="eastAsia" w:ascii="宋体" w:hAnsi="宋体" w:eastAsia="宋体" w:cs="Times New Roman"/>
          <w:color w:val="auto"/>
          <w:sz w:val="22"/>
          <w:szCs w:val="24"/>
        </w:rPr>
        <w:t>未按磋商文件要求和规定提交实质性响应材料的；</w:t>
      </w:r>
    </w:p>
    <w:p w14:paraId="3DB088FD">
      <w:pPr>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.1.2</w:t>
      </w:r>
      <w:r>
        <w:rPr>
          <w:rFonts w:hint="eastAsia" w:ascii="宋体" w:hAnsi="宋体" w:eastAsia="宋体" w:cs="Times New Roman"/>
          <w:color w:val="auto"/>
          <w:sz w:val="22"/>
          <w:szCs w:val="24"/>
        </w:rPr>
        <w:t>相互串通磋商的（有下列情形之一的，视为磋商供应商相互串通磋商）；</w:t>
      </w:r>
    </w:p>
    <w:p w14:paraId="5A1FCEF9">
      <w:pPr>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.1.2.1</w:t>
      </w:r>
      <w:r>
        <w:rPr>
          <w:rFonts w:hint="eastAsia" w:ascii="宋体" w:hAnsi="宋体" w:eastAsia="宋体" w:cs="Times New Roman"/>
          <w:color w:val="auto"/>
          <w:sz w:val="22"/>
          <w:szCs w:val="24"/>
        </w:rPr>
        <w:t>不同磋商供应商的响应文件由同一单位或者个人编制</w:t>
      </w:r>
    </w:p>
    <w:p w14:paraId="38F54203">
      <w:pPr>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.1.2.2</w:t>
      </w:r>
      <w:r>
        <w:rPr>
          <w:rFonts w:hint="eastAsia" w:ascii="宋体" w:hAnsi="宋体" w:eastAsia="宋体" w:cs="Times New Roman"/>
          <w:color w:val="auto"/>
          <w:sz w:val="22"/>
          <w:szCs w:val="24"/>
        </w:rPr>
        <w:t>不同磋商供应商的响应文件载明的项目管理成员为同一人</w:t>
      </w:r>
    </w:p>
    <w:p w14:paraId="6CB8556C">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.1.2.3</w:t>
      </w:r>
      <w:r>
        <w:rPr>
          <w:rFonts w:hint="eastAsia" w:ascii="宋体" w:hAnsi="宋体" w:eastAsia="宋体" w:cs="Times New Roman"/>
          <w:color w:val="auto"/>
          <w:sz w:val="22"/>
          <w:szCs w:val="24"/>
        </w:rPr>
        <w:t>不同磋商供应商的响应文件异常一致或者磋商报价呈规律性差异</w:t>
      </w:r>
    </w:p>
    <w:p w14:paraId="1135131C">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.1.2.4</w:t>
      </w:r>
      <w:r>
        <w:rPr>
          <w:rFonts w:hint="eastAsia" w:ascii="宋体" w:hAnsi="宋体" w:eastAsia="宋体" w:cs="Times New Roman"/>
          <w:color w:val="auto"/>
          <w:sz w:val="22"/>
          <w:szCs w:val="24"/>
        </w:rPr>
        <w:t>不同磋商供应商的响应文件相互混放</w:t>
      </w:r>
    </w:p>
    <w:p w14:paraId="5CCDCDEB">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 xml:space="preserve">.2 </w:t>
      </w:r>
      <w:r>
        <w:rPr>
          <w:rFonts w:hint="eastAsia" w:ascii="宋体" w:hAnsi="宋体" w:eastAsia="宋体" w:cs="Times New Roman"/>
          <w:color w:val="auto"/>
          <w:sz w:val="22"/>
          <w:szCs w:val="24"/>
        </w:rPr>
        <w:t>磋商供应商出现下列情形之一的，将被视为非实质性响应磋商文件要求：</w:t>
      </w:r>
    </w:p>
    <w:p w14:paraId="796D0D61">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 xml:space="preserve">.2.1 </w:t>
      </w:r>
      <w:r>
        <w:rPr>
          <w:rFonts w:hint="eastAsia" w:ascii="宋体" w:hAnsi="宋体" w:eastAsia="宋体" w:cs="Times New Roman"/>
          <w:color w:val="auto"/>
          <w:sz w:val="22"/>
          <w:szCs w:val="24"/>
        </w:rPr>
        <w:t>交货（完成）期限不确切或不符合磋商文件要求的；</w:t>
      </w:r>
    </w:p>
    <w:p w14:paraId="43148F05">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.2.2</w:t>
      </w:r>
      <w:r>
        <w:rPr>
          <w:rFonts w:hint="eastAsia" w:ascii="宋体" w:hAnsi="宋体" w:eastAsia="宋体" w:cs="Times New Roman"/>
          <w:color w:val="auto"/>
          <w:sz w:val="22"/>
          <w:szCs w:val="24"/>
        </w:rPr>
        <w:t>最后报价有选择性的；</w:t>
      </w:r>
    </w:p>
    <w:p w14:paraId="2E75CCF7">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.2.3</w:t>
      </w:r>
      <w:r>
        <w:rPr>
          <w:rFonts w:hint="eastAsia" w:ascii="宋体" w:hAnsi="宋体" w:eastAsia="宋体" w:cs="Times New Roman"/>
          <w:color w:val="auto"/>
          <w:sz w:val="22"/>
          <w:szCs w:val="24"/>
        </w:rPr>
        <w:t>最后报价超过投标最高限价的；</w:t>
      </w:r>
    </w:p>
    <w:p w14:paraId="32F25EA5">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31</w:t>
      </w:r>
      <w:r>
        <w:rPr>
          <w:rFonts w:ascii="宋体" w:hAnsi="宋体" w:eastAsia="宋体" w:cs="宋体"/>
          <w:b/>
          <w:bCs/>
          <w:color w:val="auto"/>
          <w:sz w:val="22"/>
          <w:szCs w:val="24"/>
        </w:rPr>
        <w:t>.2.4</w:t>
      </w:r>
      <w:r>
        <w:rPr>
          <w:rFonts w:hint="eastAsia" w:ascii="宋体" w:hAnsi="宋体" w:eastAsia="宋体" w:cs="Times New Roman"/>
          <w:color w:val="auto"/>
          <w:sz w:val="22"/>
          <w:szCs w:val="24"/>
        </w:rPr>
        <w:t>被磋商小组认定存在重大负偏离的；</w:t>
      </w:r>
    </w:p>
    <w:p w14:paraId="19387BD4">
      <w:pPr>
        <w:autoSpaceDE w:val="0"/>
        <w:spacing w:line="420" w:lineRule="exact"/>
        <w:ind w:firstLine="387" w:firstLineChars="176"/>
        <w:jc w:val="left"/>
        <w:rPr>
          <w:rFonts w:ascii="宋体" w:hAnsi="宋体" w:eastAsia="宋体" w:cs="Times New Roman"/>
          <w:color w:val="auto"/>
          <w:sz w:val="22"/>
          <w:szCs w:val="24"/>
        </w:rPr>
      </w:pPr>
      <w:r>
        <w:rPr>
          <w:rFonts w:hint="eastAsia" w:ascii="宋体" w:hAnsi="宋体" w:eastAsia="宋体" w:cs="Times New Roman"/>
          <w:color w:val="auto"/>
          <w:sz w:val="22"/>
          <w:szCs w:val="24"/>
        </w:rPr>
        <w:t>注：所谓重大负偏离是指磋商供应商对磋商文件的响应在范围、质量、数量和交货（完成）期限、技术规格要求等方面明显不能满足服务内容及要求的。重大负偏离的认定须经磋商小组三分之二以上同意。</w:t>
      </w:r>
    </w:p>
    <w:p w14:paraId="68BF36FB">
      <w:pPr>
        <w:autoSpaceDE w:val="0"/>
        <w:spacing w:line="420" w:lineRule="exact"/>
        <w:ind w:firstLine="389" w:firstLineChars="176"/>
        <w:jc w:val="left"/>
        <w:rPr>
          <w:rFonts w:ascii="宋体" w:hAnsi="宋体" w:eastAsia="宋体" w:cs="Times New Roman"/>
          <w:b/>
          <w:bCs/>
          <w:color w:val="auto"/>
          <w:sz w:val="22"/>
          <w:szCs w:val="24"/>
        </w:rPr>
      </w:pPr>
      <w:r>
        <w:rPr>
          <w:rFonts w:hint="eastAsia" w:ascii="宋体" w:hAnsi="宋体" w:eastAsia="宋体" w:cs="Times New Roman"/>
          <w:b/>
          <w:bCs/>
          <w:color w:val="auto"/>
          <w:sz w:val="22"/>
          <w:szCs w:val="24"/>
        </w:rPr>
        <w:t>32．询问</w:t>
      </w:r>
    </w:p>
    <w:p w14:paraId="0C57E587">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32</w:t>
      </w:r>
      <w:r>
        <w:rPr>
          <w:rFonts w:ascii="宋体" w:hAnsi="宋体" w:eastAsia="宋体" w:cs="宋体"/>
          <w:b/>
          <w:bCs/>
          <w:color w:val="auto"/>
          <w:sz w:val="22"/>
          <w:szCs w:val="24"/>
        </w:rPr>
        <w:t xml:space="preserve">.1 </w:t>
      </w:r>
      <w:r>
        <w:rPr>
          <w:rFonts w:hint="eastAsia" w:ascii="宋体" w:hAnsi="宋体" w:eastAsia="宋体" w:cs="Times New Roman"/>
          <w:color w:val="auto"/>
          <w:sz w:val="22"/>
          <w:szCs w:val="24"/>
        </w:rPr>
        <w:t>磋商供应商对采购事项有疑问，可以按照《政府采购法》的相关规定向采购人或采购代理机构提出询问。</w:t>
      </w:r>
    </w:p>
    <w:p w14:paraId="43E986F7">
      <w:pPr>
        <w:autoSpaceDE w:val="0"/>
        <w:spacing w:line="420" w:lineRule="exact"/>
        <w:ind w:firstLine="389" w:firstLineChars="176"/>
        <w:jc w:val="left"/>
        <w:rPr>
          <w:rFonts w:ascii="宋体" w:hAnsi="宋体" w:eastAsia="宋体" w:cs="Times New Roman"/>
          <w:b/>
          <w:bCs/>
          <w:color w:val="auto"/>
          <w:sz w:val="22"/>
          <w:szCs w:val="24"/>
        </w:rPr>
      </w:pPr>
      <w:r>
        <w:rPr>
          <w:rFonts w:hint="eastAsia" w:ascii="宋体" w:hAnsi="宋体" w:eastAsia="宋体" w:cs="Times New Roman"/>
          <w:b/>
          <w:bCs/>
          <w:color w:val="auto"/>
          <w:sz w:val="22"/>
          <w:szCs w:val="24"/>
        </w:rPr>
        <w:t>33</w:t>
      </w:r>
      <w:r>
        <w:rPr>
          <w:rFonts w:ascii="宋体" w:hAnsi="宋体" w:eastAsia="宋体" w:cs="Times New Roman"/>
          <w:b/>
          <w:bCs/>
          <w:color w:val="auto"/>
          <w:sz w:val="22"/>
          <w:szCs w:val="24"/>
        </w:rPr>
        <w:t>.</w:t>
      </w:r>
      <w:r>
        <w:rPr>
          <w:rFonts w:hint="eastAsia" w:ascii="宋体" w:hAnsi="宋体" w:eastAsia="宋体" w:cs="Times New Roman"/>
          <w:b/>
          <w:bCs/>
          <w:color w:val="auto"/>
          <w:sz w:val="22"/>
          <w:szCs w:val="24"/>
        </w:rPr>
        <w:t>质疑程序及处理</w:t>
      </w:r>
    </w:p>
    <w:p w14:paraId="6EECA583">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 xml:space="preserve">.1 </w:t>
      </w:r>
      <w:r>
        <w:rPr>
          <w:rFonts w:hint="eastAsia" w:ascii="宋体" w:hAnsi="宋体" w:eastAsia="宋体" w:cs="Times New Roman"/>
          <w:color w:val="auto"/>
          <w:sz w:val="22"/>
          <w:szCs w:val="24"/>
        </w:rPr>
        <w:t>若竞争性磋商供应商认为其磋商未获公平评审或磋商文件、采购过程和成交结果使自己的合法权益受到损害，可以在知道或者应知其权益受到损害之日起</w:t>
      </w:r>
      <w:r>
        <w:rPr>
          <w:rFonts w:ascii="宋体" w:hAnsi="宋体" w:eastAsia="宋体" w:cs="Times New Roman"/>
          <w:color w:val="auto"/>
          <w:sz w:val="22"/>
          <w:szCs w:val="24"/>
        </w:rPr>
        <w:t xml:space="preserve"> 7 </w:t>
      </w:r>
      <w:r>
        <w:rPr>
          <w:rFonts w:hint="eastAsia" w:ascii="宋体" w:hAnsi="宋体" w:eastAsia="宋体" w:cs="Times New Roman"/>
          <w:color w:val="auto"/>
          <w:sz w:val="22"/>
          <w:szCs w:val="24"/>
        </w:rPr>
        <w:t>个工作日内，将质疑书原件送达采购人或采购代理机构。提出质疑期限的计算，依照下列规定办理：</w:t>
      </w:r>
    </w:p>
    <w:p w14:paraId="24707CDF">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.1.1</w:t>
      </w:r>
      <w:r>
        <w:rPr>
          <w:rFonts w:hint="eastAsia" w:ascii="宋体" w:hAnsi="宋体" w:eastAsia="宋体" w:cs="Times New Roman"/>
          <w:color w:val="auto"/>
          <w:sz w:val="22"/>
          <w:szCs w:val="24"/>
        </w:rPr>
        <w:t>对可以质疑的磋商文件提出质疑的，为收到磋商文件之日或者磋商文件公告期限届满之日；</w:t>
      </w:r>
    </w:p>
    <w:p w14:paraId="72FDBADE">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.1.2</w:t>
      </w:r>
      <w:r>
        <w:rPr>
          <w:rFonts w:hint="eastAsia" w:ascii="宋体" w:hAnsi="宋体" w:eastAsia="宋体" w:cs="Times New Roman"/>
          <w:color w:val="auto"/>
          <w:sz w:val="22"/>
          <w:szCs w:val="24"/>
        </w:rPr>
        <w:t>对采购过程提出质疑的，为各采购程序环节结束之日；</w:t>
      </w:r>
    </w:p>
    <w:p w14:paraId="06CF1735">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.1.3</w:t>
      </w:r>
      <w:r>
        <w:rPr>
          <w:rFonts w:hint="eastAsia" w:ascii="宋体" w:hAnsi="宋体" w:eastAsia="宋体" w:cs="Times New Roman"/>
          <w:color w:val="auto"/>
          <w:sz w:val="22"/>
          <w:szCs w:val="24"/>
        </w:rPr>
        <w:t>对成交结果提出质疑的，为成交结果公告期限届满之日。</w:t>
      </w:r>
    </w:p>
    <w:p w14:paraId="26DEE71F">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.2 </w:t>
      </w:r>
      <w:r>
        <w:rPr>
          <w:rFonts w:hint="eastAsia" w:ascii="宋体" w:hAnsi="宋体" w:eastAsia="宋体" w:cs="Times New Roman"/>
          <w:color w:val="auto"/>
          <w:sz w:val="22"/>
          <w:szCs w:val="24"/>
        </w:rPr>
        <w:t>质疑书应当包括下列主要内容，并按照“谁主张、谁举证”的原则，附上相关证明材料。否则，采购人不予受理：</w:t>
      </w:r>
    </w:p>
    <w:p w14:paraId="66C91715">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.2.1</w:t>
      </w:r>
      <w:r>
        <w:rPr>
          <w:rFonts w:hint="eastAsia" w:ascii="宋体" w:hAnsi="宋体" w:eastAsia="宋体" w:cs="Times New Roman"/>
          <w:color w:val="auto"/>
          <w:sz w:val="22"/>
          <w:szCs w:val="24"/>
        </w:rPr>
        <w:t>质疑磋商供应商全称、地址、法定代表人、联系人及联系电话、邮政编码等；</w:t>
      </w:r>
    </w:p>
    <w:p w14:paraId="60A61320">
      <w:pPr>
        <w:autoSpaceDE w:val="0"/>
        <w:spacing w:line="420" w:lineRule="exact"/>
        <w:ind w:firstLine="389" w:firstLineChars="176"/>
        <w:jc w:val="left"/>
        <w:rPr>
          <w:rFonts w:ascii="宋体" w:hAnsi="宋体" w:eastAsia="宋体" w:cs="宋体"/>
          <w:b/>
          <w:bCs/>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.2.2</w:t>
      </w:r>
      <w:r>
        <w:rPr>
          <w:rFonts w:hint="eastAsia" w:ascii="宋体" w:hAnsi="宋体" w:eastAsia="宋体" w:cs="宋体"/>
          <w:bCs/>
          <w:color w:val="auto"/>
          <w:sz w:val="22"/>
          <w:szCs w:val="24"/>
        </w:rPr>
        <w:t>被质疑采购项目的名称、编号；</w:t>
      </w:r>
    </w:p>
    <w:p w14:paraId="12AB62A8">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.2.3</w:t>
      </w:r>
      <w:r>
        <w:rPr>
          <w:rFonts w:hint="eastAsia" w:ascii="宋体" w:hAnsi="宋体" w:eastAsia="宋体" w:cs="Times New Roman"/>
          <w:color w:val="auto"/>
          <w:sz w:val="22"/>
          <w:szCs w:val="24"/>
        </w:rPr>
        <w:t>质疑的具体事项、明确的请求和主张；</w:t>
      </w:r>
    </w:p>
    <w:p w14:paraId="2FCCED9F">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.2.4</w:t>
      </w:r>
      <w:r>
        <w:rPr>
          <w:rFonts w:hint="eastAsia" w:ascii="宋体" w:hAnsi="宋体" w:eastAsia="宋体" w:cs="Times New Roman"/>
          <w:color w:val="auto"/>
          <w:sz w:val="22"/>
          <w:szCs w:val="24"/>
        </w:rPr>
        <w:t>质疑所依据的法律依据（具体条款）、具体事实和具体理由。质疑书依据理由部分只有主观陈述、推理、猜测等，而没有提供客观事实依据、法律依据的；</w:t>
      </w:r>
    </w:p>
    <w:p w14:paraId="5F75594E">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.2.5</w:t>
      </w:r>
      <w:r>
        <w:rPr>
          <w:rFonts w:hint="eastAsia" w:ascii="宋体" w:hAnsi="宋体" w:eastAsia="宋体" w:cs="Times New Roman"/>
          <w:color w:val="auto"/>
          <w:sz w:val="22"/>
          <w:szCs w:val="24"/>
        </w:rPr>
        <w:t>质疑事项按照有关法律、法规和规章规定及竞争性磋商文件要求属于保密或者处于保密阶段的事项，磋商供应商必须提供正常的信息来源或有效证据，磋商供应商不能提供或者拒绝提供合法的信息来源或有效证据的；</w:t>
      </w:r>
    </w:p>
    <w:p w14:paraId="1B8688AC">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.2.6</w:t>
      </w:r>
      <w:r>
        <w:rPr>
          <w:rFonts w:hint="eastAsia" w:ascii="宋体" w:hAnsi="宋体" w:eastAsia="宋体" w:cs="Times New Roman"/>
          <w:color w:val="auto"/>
          <w:sz w:val="22"/>
          <w:szCs w:val="24"/>
        </w:rPr>
        <w:t>充足有效的相关证明材料；如果涉及到产品功能或技术指标的，应出具相关制造商的证明文件；</w:t>
      </w:r>
    </w:p>
    <w:p w14:paraId="1473A604">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.2.7</w:t>
      </w:r>
      <w:r>
        <w:rPr>
          <w:rFonts w:hint="eastAsia" w:ascii="宋体" w:hAnsi="宋体" w:eastAsia="宋体" w:cs="Times New Roman"/>
          <w:color w:val="auto"/>
          <w:sz w:val="22"/>
          <w:szCs w:val="24"/>
        </w:rPr>
        <w:t>质疑材料中有外文资料的，应一并附上中文译本，并以中文译本为准。</w:t>
      </w:r>
    </w:p>
    <w:p w14:paraId="12839106">
      <w:pPr>
        <w:autoSpaceDE w:val="0"/>
        <w:spacing w:line="420" w:lineRule="exact"/>
        <w:ind w:firstLine="389" w:firstLineChars="176"/>
        <w:jc w:val="left"/>
        <w:rPr>
          <w:rFonts w:ascii="宋体" w:hAnsi="宋体" w:eastAsia="宋体" w:cs="Times New Roman"/>
          <w:color w:val="auto"/>
          <w:sz w:val="22"/>
          <w:szCs w:val="24"/>
        </w:rPr>
      </w:pPr>
      <w:r>
        <w:rPr>
          <w:rFonts w:hint="eastAsia" w:ascii="宋体" w:hAnsi="宋体" w:eastAsia="宋体" w:cs="宋体"/>
          <w:b/>
          <w:bCs/>
          <w:color w:val="auto"/>
          <w:sz w:val="22"/>
          <w:szCs w:val="24"/>
        </w:rPr>
        <w:t>33</w:t>
      </w:r>
      <w:r>
        <w:rPr>
          <w:rFonts w:ascii="宋体" w:hAnsi="宋体" w:eastAsia="宋体" w:cs="宋体"/>
          <w:b/>
          <w:bCs/>
          <w:color w:val="auto"/>
          <w:sz w:val="22"/>
          <w:szCs w:val="24"/>
        </w:rPr>
        <w:t>.2.8</w:t>
      </w:r>
      <w:r>
        <w:rPr>
          <w:rFonts w:hint="eastAsia" w:ascii="宋体" w:hAnsi="宋体" w:eastAsia="宋体" w:cs="Times New Roman"/>
          <w:color w:val="auto"/>
          <w:sz w:val="22"/>
          <w:szCs w:val="24"/>
        </w:rPr>
        <w:t>提起质疑的日期</w:t>
      </w:r>
    </w:p>
    <w:p w14:paraId="08C00E7E">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.3 </w:t>
      </w:r>
      <w:r>
        <w:rPr>
          <w:rFonts w:hint="eastAsia" w:ascii="宋体" w:hAnsi="宋体" w:eastAsia="宋体" w:cs="Times New Roman"/>
          <w:color w:val="auto"/>
          <w:sz w:val="22"/>
          <w:szCs w:val="24"/>
        </w:rPr>
        <w:t>磋商供应商质疑实行实名制并须在质疑书上署名。磋商供应商不得进行虚假、恶意质疑，不得以质疑为手段获取不当得利、实现非法目的。磋商供应商为自然人的，应当由本人签字；磋商供应商为法人的，应当由法定代表人签字或盖章并加盖公章；磋商供应商为其他组织的，应当由主要负责人签字或盖章并加盖公章。磋商供应商其他工作人员或代理人员在质疑书上的署名不具有法律效力。</w:t>
      </w:r>
    </w:p>
    <w:p w14:paraId="6982C927">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.4 </w:t>
      </w:r>
      <w:r>
        <w:rPr>
          <w:rFonts w:hint="eastAsia" w:ascii="宋体" w:hAnsi="宋体" w:eastAsia="宋体" w:cs="宋体"/>
          <w:bCs/>
          <w:color w:val="auto"/>
          <w:sz w:val="22"/>
          <w:szCs w:val="24"/>
        </w:rPr>
        <w:t>磋商供应商</w:t>
      </w:r>
      <w:r>
        <w:rPr>
          <w:rFonts w:hint="eastAsia" w:ascii="宋体" w:hAnsi="宋体" w:eastAsia="宋体" w:cs="Times New Roman"/>
          <w:color w:val="auto"/>
          <w:sz w:val="22"/>
          <w:szCs w:val="24"/>
        </w:rPr>
        <w:t>委托代理人办理质疑事宜，应当提交授权委托书，并载明委托代理的具体权限和事项。授权委托书应当由委托人签字并加盖单位公章。</w:t>
      </w:r>
    </w:p>
    <w:p w14:paraId="1C0E67BA">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.5 </w:t>
      </w:r>
      <w:r>
        <w:rPr>
          <w:rFonts w:hint="eastAsia" w:ascii="宋体" w:hAnsi="宋体" w:eastAsia="宋体" w:cs="Times New Roman"/>
          <w:color w:val="auto"/>
          <w:sz w:val="22"/>
          <w:szCs w:val="24"/>
        </w:rPr>
        <w:t>提交质疑书时，磋商供应商应同时提交本人身份证，委托他人代理质疑事宜的，还应提交被委托人的身份证。磋商供应商是法人的，应一并提交法人营业执照和法定代表人身份证；磋商供应商是其他组织的，应一并提交其他组织经营许可证和主要负责人身份证。磋商供应商应当提供上述证明材料的原件及复印件，原件经采购人核对无误后返还。</w:t>
      </w:r>
    </w:p>
    <w:p w14:paraId="6096161D">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.6 </w:t>
      </w:r>
      <w:r>
        <w:rPr>
          <w:rFonts w:hint="eastAsia" w:ascii="宋体" w:hAnsi="宋体" w:eastAsia="宋体" w:cs="Times New Roman"/>
          <w:color w:val="auto"/>
          <w:sz w:val="22"/>
          <w:szCs w:val="24"/>
        </w:rPr>
        <w:t>质疑书提交方式。磋商供应商或者其委托代理人应当当面提交质疑书及相关证明材料。磋商供应商以电子邮件、传真等其他方式提交质疑书及相关证明材料的，或者不是磋商供应商或者其委托代理人提交质疑书及相关证明材料的，采购人或采购机构可以拒收。</w:t>
      </w:r>
    </w:p>
    <w:p w14:paraId="345337CC">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.7 </w:t>
      </w:r>
      <w:r>
        <w:rPr>
          <w:rFonts w:hint="eastAsia" w:ascii="宋体" w:hAnsi="宋体" w:eastAsia="宋体" w:cs="Times New Roman"/>
          <w:color w:val="auto"/>
          <w:sz w:val="22"/>
          <w:szCs w:val="24"/>
        </w:rPr>
        <w:t>磋商供应商不得虚假质疑和恶意质疑，并对质疑内容的真实性承担责任。磋商供应商或者其他利害关系人通过捏造事实、伪造证明材料等方式提出异议或投诉，阻碍招磋商活动正常进行的，属于严重不良行为，采购人将提请财政部门将其列入不良行为记录名单，并依法予以处罚。</w:t>
      </w:r>
    </w:p>
    <w:p w14:paraId="291D0EA8">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.8 </w:t>
      </w:r>
      <w:r>
        <w:rPr>
          <w:rFonts w:hint="eastAsia" w:ascii="宋体" w:hAnsi="宋体" w:eastAsia="宋体" w:cs="Times New Roman"/>
          <w:color w:val="auto"/>
          <w:sz w:val="22"/>
          <w:szCs w:val="24"/>
        </w:rPr>
        <w:t>采购人将在收到符合上述条件的书面质疑后</w:t>
      </w:r>
      <w:r>
        <w:rPr>
          <w:rFonts w:ascii="宋体" w:hAnsi="宋体" w:eastAsia="宋体" w:cs="Times New Roman"/>
          <w:color w:val="auto"/>
          <w:sz w:val="22"/>
          <w:szCs w:val="24"/>
        </w:rPr>
        <w:t xml:space="preserve"> 7 </w:t>
      </w:r>
      <w:r>
        <w:rPr>
          <w:rFonts w:hint="eastAsia" w:ascii="宋体" w:hAnsi="宋体" w:eastAsia="宋体" w:cs="Times New Roman"/>
          <w:color w:val="auto"/>
          <w:sz w:val="22"/>
          <w:szCs w:val="24"/>
        </w:rPr>
        <w:t>个工作日内审查质疑事项，作出答复或相关处理决定，并以书面形式通知质疑磋商供应商和其他有关磋商供应商，但答复的内容不涉及商业秘密。若质疑涉及磋商制度或程序，将被转交政府采购的管理部门审查。采购人遵循“谁过错谁负担”的原则，有过错的一方承担调查论证费用。</w:t>
      </w:r>
    </w:p>
    <w:p w14:paraId="426AB7B2">
      <w:pPr>
        <w:autoSpaceDE w:val="0"/>
        <w:spacing w:line="420" w:lineRule="exact"/>
        <w:ind w:firstLine="389" w:firstLineChars="176"/>
        <w:jc w:val="left"/>
        <w:rPr>
          <w:rFonts w:ascii="宋体" w:hAnsi="宋体" w:eastAsia="宋体" w:cs="Times New Roman"/>
          <w:color w:val="auto"/>
          <w:sz w:val="22"/>
          <w:szCs w:val="24"/>
        </w:rPr>
      </w:pPr>
      <w:r>
        <w:rPr>
          <w:rFonts w:ascii="宋体" w:hAnsi="宋体" w:eastAsia="宋体" w:cs="宋体"/>
          <w:b/>
          <w:bCs/>
          <w:color w:val="auto"/>
          <w:sz w:val="22"/>
          <w:szCs w:val="24"/>
        </w:rPr>
        <w:t>3</w:t>
      </w:r>
      <w:r>
        <w:rPr>
          <w:rFonts w:hint="eastAsia" w:ascii="宋体" w:hAnsi="宋体" w:eastAsia="宋体" w:cs="宋体"/>
          <w:b/>
          <w:bCs/>
          <w:color w:val="auto"/>
          <w:sz w:val="22"/>
          <w:szCs w:val="24"/>
        </w:rPr>
        <w:t>3</w:t>
      </w:r>
      <w:r>
        <w:rPr>
          <w:rFonts w:ascii="宋体" w:hAnsi="宋体" w:eastAsia="宋体" w:cs="宋体"/>
          <w:b/>
          <w:bCs/>
          <w:color w:val="auto"/>
          <w:sz w:val="22"/>
          <w:szCs w:val="24"/>
        </w:rPr>
        <w:t xml:space="preserve">.9 </w:t>
      </w:r>
      <w:r>
        <w:rPr>
          <w:rFonts w:hint="eastAsia" w:ascii="宋体" w:hAnsi="宋体" w:eastAsia="宋体" w:cs="Times New Roman"/>
          <w:color w:val="auto"/>
          <w:sz w:val="22"/>
          <w:szCs w:val="24"/>
        </w:rPr>
        <w:t>质疑供应商对采购人的答复不满意以及采购人未在规定的时间内做出答复的，可以在答复期满后</w:t>
      </w:r>
      <w:r>
        <w:rPr>
          <w:rFonts w:ascii="宋体" w:hAnsi="宋体" w:eastAsia="宋体" w:cs="Times New Roman"/>
          <w:color w:val="auto"/>
          <w:sz w:val="22"/>
          <w:szCs w:val="24"/>
        </w:rPr>
        <w:t>15</w:t>
      </w:r>
      <w:r>
        <w:rPr>
          <w:rFonts w:hint="eastAsia" w:ascii="宋体" w:hAnsi="宋体" w:eastAsia="宋体" w:cs="Times New Roman"/>
          <w:color w:val="auto"/>
          <w:sz w:val="22"/>
          <w:szCs w:val="24"/>
        </w:rPr>
        <w:t>个工作日内向财政部门投诉。</w:t>
      </w:r>
    </w:p>
    <w:p w14:paraId="274358E5">
      <w:pPr>
        <w:keepNext/>
        <w:keepLines/>
        <w:adjustRightInd w:val="0"/>
        <w:snapToGrid w:val="0"/>
        <w:spacing w:line="460" w:lineRule="exact"/>
        <w:jc w:val="left"/>
        <w:textAlignment w:val="baseline"/>
        <w:outlineLvl w:val="1"/>
        <w:rPr>
          <w:rFonts w:ascii="宋体" w:hAnsi="宋体" w:eastAsia="宋体" w:cs="宋体"/>
          <w:b/>
          <w:bCs/>
          <w:color w:val="auto"/>
          <w:sz w:val="28"/>
          <w:szCs w:val="32"/>
        </w:rPr>
      </w:pPr>
      <w:bookmarkStart w:id="95" w:name="_Toc109893140"/>
      <w:bookmarkStart w:id="96" w:name="_Toc119489926"/>
      <w:bookmarkStart w:id="97" w:name="_Toc29944"/>
      <w:bookmarkStart w:id="98" w:name="_Toc109892715"/>
      <w:bookmarkStart w:id="99" w:name="_Toc109893619"/>
      <w:bookmarkStart w:id="100" w:name="_Toc109893853"/>
      <w:bookmarkStart w:id="101" w:name="_Toc109893771"/>
      <w:r>
        <w:rPr>
          <w:rFonts w:hint="eastAsia" w:ascii="宋体" w:hAnsi="宋体" w:eastAsia="宋体" w:cs="宋体"/>
          <w:b/>
          <w:bCs/>
          <w:color w:val="auto"/>
          <w:sz w:val="28"/>
          <w:szCs w:val="32"/>
        </w:rPr>
        <w:t>七、</w:t>
      </w:r>
      <w:bookmarkStart w:id="102" w:name="_Toc254788511"/>
      <w:bookmarkStart w:id="103" w:name="_Toc256519724"/>
      <w:bookmarkStart w:id="104" w:name="_Toc345754966"/>
      <w:r>
        <w:rPr>
          <w:rFonts w:hint="eastAsia" w:ascii="宋体" w:hAnsi="宋体" w:eastAsia="宋体" w:cs="宋体"/>
          <w:b/>
          <w:bCs/>
          <w:color w:val="auto"/>
          <w:sz w:val="28"/>
          <w:szCs w:val="32"/>
        </w:rPr>
        <w:t>需要补充的其他内容</w:t>
      </w:r>
      <w:bookmarkEnd w:id="95"/>
      <w:bookmarkEnd w:id="96"/>
      <w:bookmarkEnd w:id="97"/>
      <w:bookmarkEnd w:id="98"/>
      <w:bookmarkEnd w:id="99"/>
      <w:bookmarkEnd w:id="100"/>
      <w:bookmarkEnd w:id="101"/>
      <w:bookmarkEnd w:id="102"/>
      <w:bookmarkEnd w:id="103"/>
      <w:bookmarkEnd w:id="104"/>
    </w:p>
    <w:p w14:paraId="625579FB">
      <w:pPr>
        <w:tabs>
          <w:tab w:val="left" w:pos="525"/>
        </w:tabs>
        <w:spacing w:line="460" w:lineRule="exact"/>
        <w:ind w:left="425" w:right="-1031" w:rightChars="-491"/>
        <w:jc w:val="left"/>
        <w:outlineLvl w:val="0"/>
        <w:rPr>
          <w:rFonts w:ascii="宋体" w:hAnsi="宋体" w:eastAsia="宋体" w:cs="宋体"/>
          <w:b/>
          <w:bCs/>
          <w:color w:val="auto"/>
          <w:sz w:val="22"/>
          <w:szCs w:val="24"/>
        </w:rPr>
      </w:pPr>
      <w:bookmarkStart w:id="105" w:name="_Toc119489927"/>
      <w:bookmarkStart w:id="106" w:name="_Toc109893141"/>
      <w:bookmarkStart w:id="107" w:name="_Toc109893620"/>
      <w:bookmarkStart w:id="108" w:name="_Toc345754969"/>
      <w:bookmarkStart w:id="109" w:name="_Toc109893772"/>
      <w:bookmarkStart w:id="110" w:name="_Toc32638"/>
      <w:bookmarkStart w:id="111" w:name="_Toc109892716"/>
      <w:bookmarkStart w:id="112" w:name="_Toc109893532"/>
      <w:bookmarkStart w:id="113" w:name="_Toc266977476"/>
      <w:bookmarkStart w:id="114" w:name="_Toc268156048"/>
      <w:bookmarkStart w:id="115" w:name="_Toc109893854"/>
      <w:r>
        <w:rPr>
          <w:rFonts w:hint="eastAsia" w:ascii="宋体" w:hAnsi="宋体" w:eastAsia="宋体" w:cs="宋体"/>
          <w:b/>
          <w:bCs/>
          <w:color w:val="auto"/>
          <w:sz w:val="22"/>
          <w:szCs w:val="24"/>
        </w:rPr>
        <w:t>34、知识产权</w:t>
      </w:r>
      <w:bookmarkEnd w:id="105"/>
      <w:bookmarkEnd w:id="106"/>
      <w:bookmarkEnd w:id="107"/>
      <w:bookmarkEnd w:id="108"/>
      <w:bookmarkEnd w:id="109"/>
      <w:bookmarkEnd w:id="110"/>
      <w:bookmarkEnd w:id="111"/>
      <w:bookmarkEnd w:id="112"/>
      <w:bookmarkEnd w:id="113"/>
      <w:bookmarkEnd w:id="114"/>
      <w:bookmarkEnd w:id="115"/>
      <w:bookmarkStart w:id="116" w:name="_Toc266977477"/>
      <w:bookmarkStart w:id="117" w:name="_Toc268156049"/>
    </w:p>
    <w:bookmarkEnd w:id="116"/>
    <w:bookmarkEnd w:id="117"/>
    <w:p w14:paraId="4B4A4A21">
      <w:pPr>
        <w:tabs>
          <w:tab w:val="left" w:pos="0"/>
        </w:tabs>
        <w:spacing w:line="460" w:lineRule="exact"/>
        <w:ind w:right="-27" w:rightChars="-13" w:firstLine="389" w:firstLineChars="177"/>
        <w:jc w:val="left"/>
        <w:outlineLvl w:val="0"/>
        <w:rPr>
          <w:rFonts w:ascii="宋体" w:hAnsi="宋体" w:eastAsia="宋体" w:cs="宋体"/>
          <w:bCs/>
          <w:color w:val="auto"/>
          <w:sz w:val="22"/>
          <w:szCs w:val="24"/>
        </w:rPr>
      </w:pPr>
      <w:bookmarkStart w:id="118" w:name="_Toc109893533"/>
      <w:bookmarkStart w:id="119" w:name="_Toc109893855"/>
      <w:bookmarkStart w:id="120" w:name="_Toc16806"/>
      <w:bookmarkStart w:id="121" w:name="_Toc109893621"/>
      <w:bookmarkStart w:id="122" w:name="_Toc109893142"/>
      <w:bookmarkStart w:id="123" w:name="_Toc119489928"/>
      <w:bookmarkStart w:id="124" w:name="_Toc109893773"/>
      <w:bookmarkStart w:id="125" w:name="_Toc109892717"/>
      <w:bookmarkStart w:id="126" w:name="_Toc268156052"/>
      <w:bookmarkStart w:id="127" w:name="_Toc266977480"/>
      <w:bookmarkStart w:id="128" w:name="_Toc345754970"/>
      <w:r>
        <w:rPr>
          <w:rFonts w:hint="eastAsia" w:ascii="宋体" w:hAnsi="宋体" w:eastAsia="宋体" w:cs="宋体"/>
          <w:bCs/>
          <w:color w:val="auto"/>
          <w:sz w:val="22"/>
          <w:szCs w:val="24"/>
        </w:rPr>
        <w:t>构成本竞争性磋商文件各个组成部分的文件，未经采购人书面同意，供应商不得擅自复印和用于非本采购项目所需的其他目的。</w:t>
      </w:r>
      <w:bookmarkEnd w:id="118"/>
      <w:bookmarkEnd w:id="119"/>
      <w:bookmarkEnd w:id="120"/>
      <w:bookmarkEnd w:id="121"/>
      <w:bookmarkEnd w:id="122"/>
      <w:bookmarkEnd w:id="123"/>
      <w:bookmarkEnd w:id="124"/>
      <w:bookmarkEnd w:id="125"/>
    </w:p>
    <w:bookmarkEnd w:id="126"/>
    <w:bookmarkEnd w:id="127"/>
    <w:bookmarkEnd w:id="128"/>
    <w:p w14:paraId="5EF02128">
      <w:pPr>
        <w:tabs>
          <w:tab w:val="left" w:pos="525"/>
        </w:tabs>
        <w:spacing w:line="460" w:lineRule="exact"/>
        <w:ind w:left="425" w:right="-1031" w:rightChars="-491"/>
        <w:jc w:val="left"/>
        <w:outlineLvl w:val="0"/>
        <w:rPr>
          <w:rFonts w:ascii="宋体" w:hAnsi="宋体" w:eastAsia="宋体" w:cs="宋体"/>
          <w:b/>
          <w:bCs/>
          <w:color w:val="auto"/>
          <w:sz w:val="22"/>
          <w:szCs w:val="24"/>
        </w:rPr>
      </w:pPr>
      <w:bookmarkStart w:id="129" w:name="_Toc109893622"/>
      <w:bookmarkStart w:id="130" w:name="_Toc109893534"/>
      <w:bookmarkStart w:id="131" w:name="_Toc109893143"/>
      <w:bookmarkStart w:id="132" w:name="_Toc109892718"/>
      <w:bookmarkStart w:id="133" w:name="_Toc345754971"/>
      <w:bookmarkStart w:id="134" w:name="_Toc109893856"/>
      <w:bookmarkStart w:id="135" w:name="_Toc119489929"/>
      <w:bookmarkStart w:id="136" w:name="_Toc109893774"/>
      <w:bookmarkStart w:id="137" w:name="_Toc3825"/>
      <w:r>
        <w:rPr>
          <w:rFonts w:hint="eastAsia" w:ascii="宋体" w:hAnsi="宋体" w:eastAsia="宋体" w:cs="宋体"/>
          <w:b/>
          <w:bCs/>
          <w:color w:val="auto"/>
          <w:sz w:val="22"/>
          <w:szCs w:val="24"/>
        </w:rPr>
        <w:t>35、其他</w:t>
      </w:r>
      <w:bookmarkEnd w:id="129"/>
      <w:bookmarkEnd w:id="130"/>
      <w:bookmarkEnd w:id="131"/>
      <w:bookmarkEnd w:id="132"/>
      <w:bookmarkEnd w:id="133"/>
      <w:bookmarkEnd w:id="134"/>
      <w:bookmarkEnd w:id="135"/>
      <w:bookmarkEnd w:id="136"/>
      <w:bookmarkEnd w:id="137"/>
    </w:p>
    <w:p w14:paraId="63824D6E">
      <w:pPr>
        <w:autoSpaceDE w:val="0"/>
        <w:autoSpaceDN w:val="0"/>
        <w:adjustRightInd w:val="0"/>
        <w:spacing w:line="460" w:lineRule="exact"/>
        <w:ind w:firstLine="389" w:firstLineChars="176"/>
        <w:jc w:val="left"/>
        <w:rPr>
          <w:rFonts w:ascii="宋体" w:hAnsi="宋体" w:eastAsia="宋体" w:cs="宋体"/>
          <w:color w:val="auto"/>
          <w:kern w:val="0"/>
          <w:sz w:val="22"/>
        </w:rPr>
      </w:pPr>
      <w:r>
        <w:rPr>
          <w:rFonts w:hint="eastAsia" w:ascii="宋体" w:hAnsi="宋体" w:eastAsia="宋体" w:cs="宋体"/>
          <w:b/>
          <w:color w:val="auto"/>
          <w:kern w:val="0"/>
          <w:sz w:val="22"/>
        </w:rPr>
        <w:t>35.1、</w:t>
      </w:r>
      <w:r>
        <w:rPr>
          <w:rFonts w:hint="eastAsia" w:ascii="宋体" w:hAnsi="宋体" w:eastAsia="宋体" w:cs="宋体"/>
          <w:color w:val="auto"/>
          <w:kern w:val="0"/>
          <w:sz w:val="22"/>
        </w:rPr>
        <w:t>未尽事宜，按国家有关规定执行。</w:t>
      </w:r>
    </w:p>
    <w:p w14:paraId="60694BDB">
      <w:pPr>
        <w:autoSpaceDE w:val="0"/>
        <w:autoSpaceDN w:val="0"/>
        <w:adjustRightInd w:val="0"/>
        <w:spacing w:line="460" w:lineRule="exact"/>
        <w:ind w:firstLine="389" w:firstLineChars="176"/>
        <w:jc w:val="left"/>
        <w:rPr>
          <w:rFonts w:ascii="宋体" w:hAnsi="宋体" w:eastAsia="宋体" w:cs="宋体"/>
          <w:color w:val="auto"/>
          <w:kern w:val="0"/>
          <w:sz w:val="22"/>
        </w:rPr>
      </w:pPr>
      <w:r>
        <w:rPr>
          <w:rFonts w:hint="eastAsia" w:ascii="宋体" w:hAnsi="宋体" w:eastAsia="宋体" w:cs="宋体"/>
          <w:b/>
          <w:color w:val="auto"/>
          <w:kern w:val="0"/>
          <w:sz w:val="22"/>
        </w:rPr>
        <w:t>35.2、</w:t>
      </w:r>
      <w:r>
        <w:rPr>
          <w:rFonts w:hint="eastAsia" w:ascii="宋体" w:hAnsi="宋体" w:eastAsia="宋体" w:cs="宋体"/>
          <w:color w:val="auto"/>
          <w:kern w:val="0"/>
          <w:sz w:val="22"/>
        </w:rPr>
        <w:t>本竞争性磋商文件的解释权归采购人。</w:t>
      </w:r>
    </w:p>
    <w:p w14:paraId="4DD3F59B">
      <w:pPr>
        <w:jc w:val="left"/>
        <w:rPr>
          <w:rFonts w:ascii="宋体" w:hAnsi="宋体" w:eastAsia="宋体" w:cs="宋体"/>
          <w:color w:val="auto"/>
          <w:kern w:val="0"/>
          <w:sz w:val="22"/>
        </w:rPr>
      </w:pPr>
    </w:p>
    <w:p w14:paraId="475DA1E0">
      <w:pPr>
        <w:widowControl/>
        <w:jc w:val="left"/>
        <w:rPr>
          <w:rFonts w:ascii="宋体" w:hAnsi="宋体" w:eastAsia="宋体" w:cs="Times New Roman"/>
          <w:color w:val="auto"/>
          <w:sz w:val="20"/>
        </w:rPr>
      </w:pPr>
    </w:p>
    <w:p w14:paraId="237C8075">
      <w:pPr>
        <w:jc w:val="left"/>
        <w:rPr>
          <w:rFonts w:ascii="宋体" w:hAnsi="宋体" w:eastAsia="宋体" w:cs="宋体"/>
          <w:b/>
          <w:color w:val="auto"/>
          <w:sz w:val="32"/>
          <w:szCs w:val="36"/>
        </w:rPr>
      </w:pPr>
      <w:r>
        <w:rPr>
          <w:rFonts w:ascii="宋体" w:hAnsi="宋体" w:eastAsia="宋体" w:cs="宋体"/>
          <w:b/>
          <w:color w:val="auto"/>
          <w:sz w:val="32"/>
          <w:szCs w:val="36"/>
        </w:rPr>
        <w:br w:type="page"/>
      </w:r>
    </w:p>
    <w:p w14:paraId="3DC4408D">
      <w:pPr>
        <w:numPr>
          <w:ilvl w:val="0"/>
          <w:numId w:val="1"/>
        </w:numPr>
        <w:tabs>
          <w:tab w:val="left" w:pos="1456"/>
        </w:tabs>
        <w:autoSpaceDE w:val="0"/>
        <w:autoSpaceDN w:val="0"/>
        <w:spacing w:line="360" w:lineRule="auto"/>
        <w:ind w:right="30"/>
        <w:jc w:val="left"/>
        <w:outlineLvl w:val="0"/>
        <w:rPr>
          <w:rFonts w:ascii="宋体" w:hAnsi="宋体" w:eastAsia="宋体" w:cs="宋体"/>
          <w:b/>
          <w:bCs/>
          <w:color w:val="auto"/>
          <w:spacing w:val="2"/>
          <w:kern w:val="0"/>
          <w:sz w:val="36"/>
          <w:szCs w:val="36"/>
        </w:rPr>
      </w:pPr>
      <w:bookmarkStart w:id="138" w:name="_Toc245"/>
      <w:bookmarkStart w:id="139" w:name="_Toc109893775"/>
      <w:r>
        <w:rPr>
          <w:rFonts w:hint="eastAsia" w:ascii="宋体" w:hAnsi="宋体" w:eastAsia="宋体" w:cs="宋体"/>
          <w:b/>
          <w:bCs/>
          <w:color w:val="auto"/>
          <w:spacing w:val="2"/>
          <w:kern w:val="0"/>
          <w:sz w:val="36"/>
          <w:szCs w:val="36"/>
        </w:rPr>
        <w:t>评标办法（综合评分法）</w:t>
      </w:r>
      <w:bookmarkEnd w:id="138"/>
      <w:bookmarkEnd w:id="139"/>
    </w:p>
    <w:p w14:paraId="414DF310">
      <w:pPr>
        <w:spacing w:after="120" w:afterLines="50"/>
        <w:jc w:val="left"/>
        <w:rPr>
          <w:rFonts w:ascii="宋体" w:hAnsi="宋体" w:eastAsia="宋体" w:cs="宋体"/>
          <w:b/>
          <w:color w:val="auto"/>
          <w:sz w:val="22"/>
        </w:rPr>
      </w:pPr>
      <w:r>
        <w:rPr>
          <w:rFonts w:hint="eastAsia" w:ascii="宋体" w:hAnsi="宋体" w:eastAsia="宋体" w:cs="宋体"/>
          <w:b/>
          <w:color w:val="auto"/>
          <w:sz w:val="22"/>
        </w:rPr>
        <w:t>评标办法前附表</w:t>
      </w:r>
    </w:p>
    <w:tbl>
      <w:tblPr>
        <w:tblStyle w:val="12"/>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7"/>
        <w:gridCol w:w="1139"/>
        <w:gridCol w:w="1701"/>
        <w:gridCol w:w="6379"/>
        <w:gridCol w:w="46"/>
      </w:tblGrid>
      <w:tr w14:paraId="2904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01" w:hRule="atLeast"/>
          <w:jc w:val="center"/>
        </w:trPr>
        <w:tc>
          <w:tcPr>
            <w:tcW w:w="2045" w:type="dxa"/>
            <w:gridSpan w:val="3"/>
            <w:vAlign w:val="center"/>
          </w:tcPr>
          <w:p w14:paraId="025B5CD5">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条款号2.1</w:t>
            </w:r>
          </w:p>
        </w:tc>
        <w:tc>
          <w:tcPr>
            <w:tcW w:w="1701" w:type="dxa"/>
            <w:vAlign w:val="center"/>
          </w:tcPr>
          <w:p w14:paraId="1143D8FE">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评审因素</w:t>
            </w:r>
          </w:p>
        </w:tc>
        <w:tc>
          <w:tcPr>
            <w:tcW w:w="6379" w:type="dxa"/>
            <w:vAlign w:val="center"/>
          </w:tcPr>
          <w:p w14:paraId="751B95A6">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评审标准</w:t>
            </w:r>
          </w:p>
        </w:tc>
      </w:tr>
      <w:tr w14:paraId="22F1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743" w:hRule="atLeast"/>
          <w:jc w:val="center"/>
        </w:trPr>
        <w:tc>
          <w:tcPr>
            <w:tcW w:w="769" w:type="dxa"/>
            <w:vMerge w:val="restart"/>
            <w:vAlign w:val="center"/>
          </w:tcPr>
          <w:p w14:paraId="1EEB7118">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2.1.1</w:t>
            </w:r>
          </w:p>
        </w:tc>
        <w:tc>
          <w:tcPr>
            <w:tcW w:w="1276" w:type="dxa"/>
            <w:gridSpan w:val="2"/>
            <w:vMerge w:val="restart"/>
            <w:vAlign w:val="center"/>
          </w:tcPr>
          <w:p w14:paraId="46504FFD">
            <w:pPr>
              <w:spacing w:line="460" w:lineRule="exact"/>
              <w:jc w:val="center"/>
              <w:rPr>
                <w:rFonts w:ascii="宋体" w:hAnsi="宋体" w:eastAsia="宋体" w:cs="宋体"/>
                <w:color w:val="auto"/>
                <w:sz w:val="22"/>
                <w:szCs w:val="24"/>
              </w:rPr>
            </w:pPr>
            <w:r>
              <w:rPr>
                <w:rFonts w:hint="eastAsia" w:ascii="宋体" w:hAnsi="宋体" w:eastAsia="宋体" w:cs="宋体"/>
                <w:color w:val="auto"/>
                <w:sz w:val="22"/>
                <w:szCs w:val="24"/>
              </w:rPr>
              <w:t>资格评审标准</w:t>
            </w:r>
          </w:p>
        </w:tc>
        <w:tc>
          <w:tcPr>
            <w:tcW w:w="1701" w:type="dxa"/>
            <w:vAlign w:val="center"/>
          </w:tcPr>
          <w:p w14:paraId="76994D45">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营业执照</w:t>
            </w:r>
          </w:p>
        </w:tc>
        <w:tc>
          <w:tcPr>
            <w:tcW w:w="6379" w:type="dxa"/>
            <w:vAlign w:val="center"/>
          </w:tcPr>
          <w:p w14:paraId="416CA256">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供应商具有有效的营业执照或者事业单位法人证书</w:t>
            </w:r>
          </w:p>
        </w:tc>
      </w:tr>
      <w:tr w14:paraId="3744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3387397D">
            <w:pPr>
              <w:spacing w:line="460" w:lineRule="exact"/>
              <w:jc w:val="left"/>
              <w:rPr>
                <w:rFonts w:ascii="宋体" w:hAnsi="宋体" w:eastAsia="宋体" w:cs="宋体"/>
                <w:color w:val="auto"/>
                <w:sz w:val="22"/>
                <w:szCs w:val="24"/>
              </w:rPr>
            </w:pPr>
          </w:p>
        </w:tc>
        <w:tc>
          <w:tcPr>
            <w:tcW w:w="1276" w:type="dxa"/>
            <w:gridSpan w:val="2"/>
            <w:vMerge w:val="continue"/>
            <w:vAlign w:val="center"/>
          </w:tcPr>
          <w:p w14:paraId="33C9C31E">
            <w:pPr>
              <w:spacing w:line="460" w:lineRule="exact"/>
              <w:jc w:val="left"/>
              <w:rPr>
                <w:rFonts w:ascii="宋体" w:hAnsi="宋体" w:eastAsia="宋体" w:cs="宋体"/>
                <w:color w:val="auto"/>
                <w:sz w:val="22"/>
                <w:szCs w:val="24"/>
              </w:rPr>
            </w:pPr>
          </w:p>
        </w:tc>
        <w:tc>
          <w:tcPr>
            <w:tcW w:w="1701" w:type="dxa"/>
            <w:vAlign w:val="center"/>
          </w:tcPr>
          <w:p w14:paraId="5C0D3759">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设备和专业技术能力</w:t>
            </w:r>
          </w:p>
        </w:tc>
        <w:tc>
          <w:tcPr>
            <w:tcW w:w="6379" w:type="dxa"/>
            <w:vAlign w:val="center"/>
          </w:tcPr>
          <w:p w14:paraId="5AA8E473">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供应商具有履行合同所必需的设备和专业技术能力（自行承诺，格式自拟）</w:t>
            </w:r>
          </w:p>
        </w:tc>
      </w:tr>
      <w:tr w14:paraId="054E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3397FE25">
            <w:pPr>
              <w:spacing w:line="460" w:lineRule="exact"/>
              <w:jc w:val="left"/>
              <w:rPr>
                <w:rFonts w:ascii="宋体" w:hAnsi="宋体" w:eastAsia="宋体" w:cs="宋体"/>
                <w:color w:val="auto"/>
                <w:sz w:val="22"/>
                <w:szCs w:val="24"/>
              </w:rPr>
            </w:pPr>
          </w:p>
        </w:tc>
        <w:tc>
          <w:tcPr>
            <w:tcW w:w="1276" w:type="dxa"/>
            <w:gridSpan w:val="2"/>
            <w:vMerge w:val="continue"/>
            <w:vAlign w:val="center"/>
          </w:tcPr>
          <w:p w14:paraId="07FFABE2">
            <w:pPr>
              <w:spacing w:line="460" w:lineRule="exact"/>
              <w:jc w:val="left"/>
              <w:rPr>
                <w:rFonts w:ascii="宋体" w:hAnsi="宋体" w:eastAsia="宋体" w:cs="宋体"/>
                <w:color w:val="auto"/>
                <w:sz w:val="22"/>
                <w:szCs w:val="24"/>
              </w:rPr>
            </w:pPr>
          </w:p>
        </w:tc>
        <w:tc>
          <w:tcPr>
            <w:tcW w:w="1701" w:type="dxa"/>
            <w:vAlign w:val="center"/>
          </w:tcPr>
          <w:p w14:paraId="5935D4F4">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无商业贿赂及无不正当竞争行为</w:t>
            </w:r>
          </w:p>
        </w:tc>
        <w:tc>
          <w:tcPr>
            <w:tcW w:w="6379" w:type="dxa"/>
            <w:vAlign w:val="center"/>
          </w:tcPr>
          <w:p w14:paraId="38BEE6BC">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供应商须自行出具本单位无商业贿赂及无不正当竞争行为的承诺书</w:t>
            </w:r>
          </w:p>
        </w:tc>
      </w:tr>
      <w:tr w14:paraId="4068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4AD2BEC1">
            <w:pPr>
              <w:spacing w:line="460" w:lineRule="exact"/>
              <w:jc w:val="left"/>
              <w:rPr>
                <w:rFonts w:ascii="宋体" w:hAnsi="宋体" w:eastAsia="宋体" w:cs="宋体"/>
                <w:color w:val="auto"/>
                <w:sz w:val="22"/>
                <w:szCs w:val="24"/>
              </w:rPr>
            </w:pPr>
          </w:p>
        </w:tc>
        <w:tc>
          <w:tcPr>
            <w:tcW w:w="1276" w:type="dxa"/>
            <w:gridSpan w:val="2"/>
            <w:vMerge w:val="continue"/>
            <w:vAlign w:val="center"/>
          </w:tcPr>
          <w:p w14:paraId="2EBDBE6C">
            <w:pPr>
              <w:spacing w:line="460" w:lineRule="exact"/>
              <w:jc w:val="left"/>
              <w:rPr>
                <w:rFonts w:ascii="宋体" w:hAnsi="宋体" w:eastAsia="宋体" w:cs="宋体"/>
                <w:color w:val="auto"/>
                <w:sz w:val="22"/>
                <w:szCs w:val="24"/>
              </w:rPr>
            </w:pPr>
          </w:p>
        </w:tc>
        <w:tc>
          <w:tcPr>
            <w:tcW w:w="1701" w:type="dxa"/>
            <w:vAlign w:val="center"/>
          </w:tcPr>
          <w:p w14:paraId="771A94DE">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信用查询</w:t>
            </w:r>
          </w:p>
        </w:tc>
        <w:tc>
          <w:tcPr>
            <w:tcW w:w="6379" w:type="dxa"/>
            <w:vAlign w:val="center"/>
          </w:tcPr>
          <w:p w14:paraId="2ABA6ADA">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供应商未列入“中国执行信息公开网”的“失信被执行人”，“信用中国”www.creditchina.gov.cn网站的“重大税收违法失信主体”和“中国政府采购网”www.ccgp.gov.cn网站的“政府采购严重违法失信行为记录名单”（采购人、代理机构在开标后对所有响应人信用记录进行查询，并将查询结果网页打印存档，响应人不良信用记录以代理机构开标后查询结果为准）</w:t>
            </w:r>
          </w:p>
        </w:tc>
      </w:tr>
      <w:tr w14:paraId="4DA0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09D6138E">
            <w:pPr>
              <w:spacing w:line="460" w:lineRule="exact"/>
              <w:jc w:val="left"/>
              <w:rPr>
                <w:rFonts w:ascii="宋体" w:hAnsi="宋体" w:eastAsia="宋体" w:cs="宋体"/>
                <w:color w:val="auto"/>
                <w:sz w:val="22"/>
                <w:szCs w:val="24"/>
              </w:rPr>
            </w:pPr>
          </w:p>
        </w:tc>
        <w:tc>
          <w:tcPr>
            <w:tcW w:w="1276" w:type="dxa"/>
            <w:gridSpan w:val="2"/>
            <w:vMerge w:val="continue"/>
            <w:vAlign w:val="center"/>
          </w:tcPr>
          <w:p w14:paraId="0776B80F">
            <w:pPr>
              <w:spacing w:line="460" w:lineRule="exact"/>
              <w:jc w:val="left"/>
              <w:rPr>
                <w:rFonts w:ascii="宋体" w:hAnsi="宋体" w:eastAsia="宋体" w:cs="宋体"/>
                <w:color w:val="auto"/>
                <w:sz w:val="22"/>
                <w:szCs w:val="24"/>
              </w:rPr>
            </w:pPr>
          </w:p>
        </w:tc>
        <w:tc>
          <w:tcPr>
            <w:tcW w:w="1701" w:type="dxa"/>
            <w:vAlign w:val="center"/>
          </w:tcPr>
          <w:p w14:paraId="10EC226B">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国家企业信用信息公示系统</w:t>
            </w:r>
          </w:p>
        </w:tc>
        <w:tc>
          <w:tcPr>
            <w:tcW w:w="6379" w:type="dxa"/>
            <w:vAlign w:val="center"/>
          </w:tcPr>
          <w:p w14:paraId="104648EB">
            <w:pPr>
              <w:spacing w:line="460" w:lineRule="exact"/>
              <w:jc w:val="left"/>
              <w:rPr>
                <w:rFonts w:ascii="宋体" w:hAnsi="宋体" w:eastAsia="宋体" w:cs="宋体"/>
                <w:color w:val="auto"/>
                <w:sz w:val="22"/>
                <w:szCs w:val="24"/>
              </w:rPr>
            </w:pPr>
            <w:r>
              <w:rPr>
                <w:rFonts w:ascii="宋体" w:hAnsi="宋体" w:eastAsia="宋体" w:cs="宋体"/>
                <w:color w:val="auto"/>
                <w:sz w:val="22"/>
                <w:szCs w:val="24"/>
              </w:rPr>
              <w:t>单位负责人为同一人或者存在直接控股、管理关系的不同</w:t>
            </w:r>
            <w:r>
              <w:rPr>
                <w:rFonts w:hint="eastAsia" w:ascii="宋体" w:hAnsi="宋体" w:eastAsia="宋体" w:cs="宋体"/>
                <w:color w:val="auto"/>
                <w:sz w:val="22"/>
                <w:szCs w:val="24"/>
              </w:rPr>
              <w:t>供应商</w:t>
            </w:r>
            <w:r>
              <w:rPr>
                <w:rFonts w:ascii="宋体" w:hAnsi="宋体" w:eastAsia="宋体" w:cs="宋体"/>
                <w:color w:val="auto"/>
                <w:sz w:val="22"/>
                <w:szCs w:val="24"/>
              </w:rPr>
              <w:t>，不得参加同一合同项下的政府采购活动</w:t>
            </w:r>
            <w:r>
              <w:rPr>
                <w:rFonts w:hint="eastAsia" w:ascii="宋体" w:hAnsi="宋体" w:eastAsia="宋体" w:cs="宋体"/>
                <w:color w:val="auto"/>
                <w:sz w:val="22"/>
                <w:szCs w:val="24"/>
              </w:rPr>
              <w:t>（提供“国家企业信用信息公示系统”中查询打印的相关信息并加盖公章（需包含公司基本信息、股东信息及股权变更信息）或者自行承诺）</w:t>
            </w:r>
          </w:p>
        </w:tc>
      </w:tr>
      <w:tr w14:paraId="6312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5C9E68A7">
            <w:pPr>
              <w:spacing w:line="460" w:lineRule="exact"/>
              <w:jc w:val="left"/>
              <w:rPr>
                <w:rFonts w:ascii="宋体" w:hAnsi="宋体" w:eastAsia="宋体" w:cs="宋体"/>
                <w:color w:val="auto"/>
                <w:sz w:val="22"/>
                <w:szCs w:val="24"/>
              </w:rPr>
            </w:pPr>
          </w:p>
        </w:tc>
        <w:tc>
          <w:tcPr>
            <w:tcW w:w="1276" w:type="dxa"/>
            <w:gridSpan w:val="2"/>
            <w:vMerge w:val="continue"/>
            <w:vAlign w:val="center"/>
          </w:tcPr>
          <w:p w14:paraId="4A8E401E">
            <w:pPr>
              <w:spacing w:line="460" w:lineRule="exact"/>
              <w:jc w:val="left"/>
              <w:rPr>
                <w:rFonts w:ascii="宋体" w:hAnsi="宋体" w:eastAsia="宋体" w:cs="宋体"/>
                <w:color w:val="auto"/>
                <w:sz w:val="22"/>
                <w:szCs w:val="24"/>
              </w:rPr>
            </w:pPr>
          </w:p>
        </w:tc>
        <w:tc>
          <w:tcPr>
            <w:tcW w:w="1701" w:type="dxa"/>
            <w:vAlign w:val="center"/>
          </w:tcPr>
          <w:p w14:paraId="31D437D2">
            <w:pPr>
              <w:spacing w:line="460" w:lineRule="exact"/>
              <w:jc w:val="left"/>
              <w:rPr>
                <w:rFonts w:hint="eastAsia" w:ascii="宋体" w:hAnsi="宋体" w:eastAsia="宋体" w:cs="宋体"/>
                <w:color w:val="auto"/>
                <w:sz w:val="22"/>
                <w:szCs w:val="24"/>
              </w:rPr>
            </w:pPr>
            <w:r>
              <w:rPr>
                <w:rFonts w:hint="eastAsia" w:ascii="宋体" w:hAnsi="宋体" w:eastAsia="宋体" w:cs="宋体"/>
                <w:color w:val="auto"/>
                <w:sz w:val="22"/>
                <w:szCs w:val="24"/>
              </w:rPr>
              <w:t>联合体</w:t>
            </w:r>
          </w:p>
        </w:tc>
        <w:tc>
          <w:tcPr>
            <w:tcW w:w="6379" w:type="dxa"/>
            <w:vAlign w:val="center"/>
          </w:tcPr>
          <w:p w14:paraId="480B77F9">
            <w:pPr>
              <w:spacing w:line="460" w:lineRule="exact"/>
              <w:jc w:val="left"/>
              <w:rPr>
                <w:rFonts w:hint="eastAsia" w:ascii="宋体" w:hAnsi="宋体" w:eastAsia="宋体" w:cs="宋体"/>
                <w:color w:val="auto"/>
                <w:sz w:val="22"/>
                <w:szCs w:val="24"/>
                <w:lang w:eastAsia="zh-CN"/>
              </w:rPr>
            </w:pPr>
            <w:r>
              <w:rPr>
                <w:rFonts w:hint="eastAsia" w:ascii="宋体" w:hAnsi="宋体" w:eastAsia="宋体" w:cs="宋体"/>
                <w:color w:val="auto"/>
                <w:sz w:val="22"/>
                <w:szCs w:val="24"/>
                <w:lang w:eastAsia="zh-CN"/>
              </w:rPr>
              <w:t>本项目不允许联合体磋商（提供非联合体声明函）</w:t>
            </w:r>
          </w:p>
        </w:tc>
      </w:tr>
      <w:tr w14:paraId="4756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38B16C99">
            <w:pPr>
              <w:spacing w:line="460" w:lineRule="exact"/>
              <w:jc w:val="left"/>
              <w:rPr>
                <w:rFonts w:ascii="宋体" w:hAnsi="宋体" w:eastAsia="宋体" w:cs="宋体"/>
                <w:color w:val="auto"/>
                <w:sz w:val="22"/>
                <w:szCs w:val="24"/>
              </w:rPr>
            </w:pPr>
          </w:p>
        </w:tc>
        <w:tc>
          <w:tcPr>
            <w:tcW w:w="1276" w:type="dxa"/>
            <w:gridSpan w:val="2"/>
            <w:vMerge w:val="continue"/>
            <w:vAlign w:val="center"/>
          </w:tcPr>
          <w:p w14:paraId="0E1C35E8">
            <w:pPr>
              <w:spacing w:line="460" w:lineRule="exact"/>
              <w:jc w:val="left"/>
              <w:rPr>
                <w:rFonts w:ascii="宋体" w:hAnsi="宋体" w:eastAsia="宋体" w:cs="宋体"/>
                <w:color w:val="auto"/>
                <w:sz w:val="22"/>
                <w:szCs w:val="24"/>
              </w:rPr>
            </w:pPr>
          </w:p>
        </w:tc>
        <w:tc>
          <w:tcPr>
            <w:tcW w:w="1701" w:type="dxa"/>
            <w:vAlign w:val="center"/>
          </w:tcPr>
          <w:p w14:paraId="0ED61319">
            <w:pPr>
              <w:spacing w:line="460" w:lineRule="exact"/>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2"/>
                <w:szCs w:val="24"/>
              </w:rPr>
              <w:t>第二十二条规定</w:t>
            </w:r>
          </w:p>
        </w:tc>
        <w:tc>
          <w:tcPr>
            <w:tcW w:w="6379" w:type="dxa"/>
            <w:vAlign w:val="center"/>
          </w:tcPr>
          <w:p w14:paraId="40C190BC">
            <w:pPr>
              <w:spacing w:line="460" w:lineRule="exact"/>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2"/>
                <w:szCs w:val="24"/>
              </w:rPr>
              <w:t>满足《中华人民共和国政府采购法》第二十二条规定</w:t>
            </w:r>
          </w:p>
        </w:tc>
      </w:tr>
      <w:tr w14:paraId="39CD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696" w:hRule="atLeast"/>
          <w:jc w:val="center"/>
        </w:trPr>
        <w:tc>
          <w:tcPr>
            <w:tcW w:w="769" w:type="dxa"/>
            <w:vMerge w:val="continue"/>
            <w:vAlign w:val="center"/>
          </w:tcPr>
          <w:p w14:paraId="111A1F8F">
            <w:pPr>
              <w:spacing w:line="460" w:lineRule="exact"/>
              <w:jc w:val="left"/>
              <w:rPr>
                <w:rFonts w:ascii="宋体" w:hAnsi="宋体" w:eastAsia="宋体" w:cs="宋体"/>
                <w:color w:val="auto"/>
                <w:sz w:val="22"/>
                <w:szCs w:val="24"/>
              </w:rPr>
            </w:pPr>
          </w:p>
        </w:tc>
        <w:tc>
          <w:tcPr>
            <w:tcW w:w="1276" w:type="dxa"/>
            <w:gridSpan w:val="2"/>
            <w:vMerge w:val="continue"/>
            <w:vAlign w:val="center"/>
          </w:tcPr>
          <w:p w14:paraId="23C9EAEE">
            <w:pPr>
              <w:spacing w:line="460" w:lineRule="exact"/>
              <w:jc w:val="left"/>
              <w:rPr>
                <w:rFonts w:ascii="宋体" w:hAnsi="宋体" w:eastAsia="宋体" w:cs="宋体"/>
                <w:color w:val="auto"/>
                <w:sz w:val="22"/>
                <w:szCs w:val="24"/>
              </w:rPr>
            </w:pPr>
          </w:p>
        </w:tc>
        <w:tc>
          <w:tcPr>
            <w:tcW w:w="1701" w:type="dxa"/>
            <w:vAlign w:val="center"/>
          </w:tcPr>
          <w:p w14:paraId="4780B647">
            <w:pPr>
              <w:spacing w:line="460" w:lineRule="exact"/>
              <w:jc w:val="left"/>
              <w:rPr>
                <w:rFonts w:hint="eastAsia" w:ascii="宋体" w:hAnsi="宋体" w:eastAsia="宋体" w:cs="宋体"/>
                <w:color w:val="auto"/>
                <w:sz w:val="22"/>
                <w:szCs w:val="24"/>
                <w:lang w:val="en-US" w:eastAsia="zh-CN"/>
              </w:rPr>
            </w:pPr>
            <w:r>
              <w:rPr>
                <w:rFonts w:hint="eastAsia" w:ascii="宋体" w:hAnsi="宋体" w:eastAsia="宋体" w:cs="Times New Roman"/>
                <w:color w:val="auto"/>
                <w:sz w:val="24"/>
                <w:szCs w:val="20"/>
                <w:lang w:val="en-US" w:eastAsia="zh-CN"/>
              </w:rPr>
              <w:t>中小企业声明函</w:t>
            </w:r>
          </w:p>
        </w:tc>
        <w:tc>
          <w:tcPr>
            <w:tcW w:w="6379" w:type="dxa"/>
            <w:vAlign w:val="center"/>
          </w:tcPr>
          <w:p w14:paraId="2EDA0876">
            <w:pPr>
              <w:spacing w:line="460" w:lineRule="exact"/>
              <w:jc w:val="left"/>
              <w:rPr>
                <w:rFonts w:hint="eastAsia" w:ascii="宋体" w:hAnsi="宋体" w:eastAsia="宋体" w:cs="宋体"/>
                <w:color w:val="auto"/>
                <w:sz w:val="22"/>
                <w:szCs w:val="24"/>
                <w:lang w:eastAsia="zh-CN"/>
              </w:rPr>
            </w:pPr>
            <w:r>
              <w:rPr>
                <w:rFonts w:hint="eastAsia" w:ascii="宋体" w:hAnsi="宋体" w:eastAsia="宋体" w:cs="Times New Roman"/>
                <w:color w:val="auto"/>
                <w:sz w:val="24"/>
                <w:szCs w:val="20"/>
                <w:lang w:val="en-US" w:eastAsia="zh-CN"/>
              </w:rPr>
              <w:t>本项目专门面向中小企业采购，监狱企业、残疾人福利性单位视同小型、微型企业参与本次采购。供应商需按规定分别提供中小企业声明函、监狱企业证明文件或残疾人福利性单位声明函</w:t>
            </w:r>
          </w:p>
        </w:tc>
      </w:tr>
      <w:tr w14:paraId="7481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restart"/>
            <w:vAlign w:val="center"/>
          </w:tcPr>
          <w:p w14:paraId="0BCFA0B0">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2.1.2</w:t>
            </w:r>
          </w:p>
        </w:tc>
        <w:tc>
          <w:tcPr>
            <w:tcW w:w="1276" w:type="dxa"/>
            <w:gridSpan w:val="2"/>
            <w:vMerge w:val="restart"/>
            <w:vAlign w:val="center"/>
          </w:tcPr>
          <w:p w14:paraId="04A0BAFD">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符合性评审标准</w:t>
            </w:r>
          </w:p>
        </w:tc>
        <w:tc>
          <w:tcPr>
            <w:tcW w:w="1701" w:type="dxa"/>
            <w:vAlign w:val="center"/>
          </w:tcPr>
          <w:p w14:paraId="27705D42">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供应商名称</w:t>
            </w:r>
          </w:p>
        </w:tc>
        <w:tc>
          <w:tcPr>
            <w:tcW w:w="6379" w:type="dxa"/>
            <w:vAlign w:val="center"/>
          </w:tcPr>
          <w:p w14:paraId="465DB565">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与营业执照一致</w:t>
            </w:r>
          </w:p>
        </w:tc>
      </w:tr>
      <w:tr w14:paraId="1905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continue"/>
            <w:vAlign w:val="center"/>
          </w:tcPr>
          <w:p w14:paraId="2382C168">
            <w:pPr>
              <w:spacing w:line="460" w:lineRule="exact"/>
              <w:jc w:val="left"/>
              <w:rPr>
                <w:rFonts w:ascii="宋体" w:hAnsi="宋体" w:eastAsia="宋体" w:cs="宋体"/>
                <w:color w:val="auto"/>
                <w:sz w:val="22"/>
                <w:szCs w:val="24"/>
              </w:rPr>
            </w:pPr>
          </w:p>
        </w:tc>
        <w:tc>
          <w:tcPr>
            <w:tcW w:w="1276" w:type="dxa"/>
            <w:gridSpan w:val="2"/>
            <w:vMerge w:val="continue"/>
            <w:vAlign w:val="center"/>
          </w:tcPr>
          <w:p w14:paraId="403E46DA">
            <w:pPr>
              <w:spacing w:line="460" w:lineRule="exact"/>
              <w:jc w:val="left"/>
              <w:rPr>
                <w:rFonts w:ascii="宋体" w:hAnsi="宋体" w:eastAsia="宋体" w:cs="宋体"/>
                <w:color w:val="auto"/>
                <w:sz w:val="22"/>
                <w:szCs w:val="24"/>
              </w:rPr>
            </w:pPr>
          </w:p>
        </w:tc>
        <w:tc>
          <w:tcPr>
            <w:tcW w:w="1701" w:type="dxa"/>
            <w:vAlign w:val="center"/>
          </w:tcPr>
          <w:p w14:paraId="496AFEC5">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签字或盖章</w:t>
            </w:r>
          </w:p>
        </w:tc>
        <w:tc>
          <w:tcPr>
            <w:tcW w:w="6379" w:type="dxa"/>
            <w:vAlign w:val="center"/>
          </w:tcPr>
          <w:p w14:paraId="1EF97311">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按磋商文件要求签字或盖章</w:t>
            </w:r>
          </w:p>
        </w:tc>
      </w:tr>
      <w:tr w14:paraId="3F65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continue"/>
            <w:vAlign w:val="center"/>
          </w:tcPr>
          <w:p w14:paraId="66206B4B">
            <w:pPr>
              <w:spacing w:line="460" w:lineRule="exact"/>
              <w:jc w:val="left"/>
              <w:rPr>
                <w:rFonts w:ascii="宋体" w:hAnsi="宋体" w:eastAsia="宋体" w:cs="宋体"/>
                <w:color w:val="auto"/>
                <w:sz w:val="22"/>
                <w:szCs w:val="24"/>
              </w:rPr>
            </w:pPr>
          </w:p>
        </w:tc>
        <w:tc>
          <w:tcPr>
            <w:tcW w:w="1276" w:type="dxa"/>
            <w:gridSpan w:val="2"/>
            <w:vMerge w:val="continue"/>
            <w:vAlign w:val="center"/>
          </w:tcPr>
          <w:p w14:paraId="51EEDC68">
            <w:pPr>
              <w:spacing w:line="460" w:lineRule="exact"/>
              <w:jc w:val="left"/>
              <w:rPr>
                <w:rFonts w:ascii="宋体" w:hAnsi="宋体" w:eastAsia="宋体" w:cs="宋体"/>
                <w:color w:val="auto"/>
                <w:sz w:val="22"/>
                <w:szCs w:val="24"/>
              </w:rPr>
            </w:pPr>
          </w:p>
        </w:tc>
        <w:tc>
          <w:tcPr>
            <w:tcW w:w="1701" w:type="dxa"/>
            <w:vAlign w:val="center"/>
          </w:tcPr>
          <w:p w14:paraId="780C6D9C">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响应文件格式</w:t>
            </w:r>
          </w:p>
        </w:tc>
        <w:tc>
          <w:tcPr>
            <w:tcW w:w="6379" w:type="dxa"/>
            <w:vAlign w:val="center"/>
          </w:tcPr>
          <w:p w14:paraId="593B5858">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符合第六章响应文件格式要求</w:t>
            </w:r>
          </w:p>
        </w:tc>
      </w:tr>
      <w:tr w14:paraId="7A37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continue"/>
            <w:vAlign w:val="center"/>
          </w:tcPr>
          <w:p w14:paraId="6BCC0A78">
            <w:pPr>
              <w:spacing w:line="460" w:lineRule="exact"/>
              <w:jc w:val="left"/>
              <w:rPr>
                <w:rFonts w:ascii="宋体" w:hAnsi="宋体" w:eastAsia="宋体" w:cs="宋体"/>
                <w:color w:val="auto"/>
                <w:sz w:val="22"/>
                <w:szCs w:val="24"/>
              </w:rPr>
            </w:pPr>
          </w:p>
        </w:tc>
        <w:tc>
          <w:tcPr>
            <w:tcW w:w="1276" w:type="dxa"/>
            <w:gridSpan w:val="2"/>
            <w:vMerge w:val="continue"/>
            <w:vAlign w:val="center"/>
          </w:tcPr>
          <w:p w14:paraId="05EFA1C4">
            <w:pPr>
              <w:spacing w:line="460" w:lineRule="exact"/>
              <w:jc w:val="left"/>
              <w:rPr>
                <w:rFonts w:ascii="宋体" w:hAnsi="宋体" w:eastAsia="宋体" w:cs="宋体"/>
                <w:color w:val="auto"/>
                <w:sz w:val="22"/>
                <w:szCs w:val="24"/>
              </w:rPr>
            </w:pPr>
          </w:p>
        </w:tc>
        <w:tc>
          <w:tcPr>
            <w:tcW w:w="1701" w:type="dxa"/>
            <w:vAlign w:val="center"/>
          </w:tcPr>
          <w:p w14:paraId="58E5E04F">
            <w:pPr>
              <w:spacing w:line="460" w:lineRule="exact"/>
              <w:jc w:val="left"/>
              <w:rPr>
                <w:rFonts w:ascii="宋体" w:hAnsi="宋体" w:eastAsia="宋体" w:cs="宋体"/>
                <w:color w:val="auto"/>
                <w:sz w:val="22"/>
                <w:szCs w:val="24"/>
              </w:rPr>
            </w:pPr>
            <w:r>
              <w:rPr>
                <w:rFonts w:ascii="宋体" w:hAnsi="宋体" w:eastAsia="宋体" w:cs="宋体"/>
                <w:color w:val="auto"/>
                <w:sz w:val="22"/>
                <w:szCs w:val="24"/>
              </w:rPr>
              <w:t>磋商报价</w:t>
            </w:r>
          </w:p>
        </w:tc>
        <w:tc>
          <w:tcPr>
            <w:tcW w:w="6379" w:type="dxa"/>
            <w:vAlign w:val="center"/>
          </w:tcPr>
          <w:p w14:paraId="09BDC364">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报价唯一且不超过投标最高限价</w:t>
            </w:r>
          </w:p>
        </w:tc>
      </w:tr>
      <w:tr w14:paraId="02D5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continue"/>
            <w:vAlign w:val="center"/>
          </w:tcPr>
          <w:p w14:paraId="7A9E014C">
            <w:pPr>
              <w:spacing w:line="460" w:lineRule="exact"/>
              <w:jc w:val="left"/>
              <w:rPr>
                <w:rFonts w:ascii="宋体" w:hAnsi="宋体" w:eastAsia="宋体" w:cs="宋体"/>
                <w:color w:val="auto"/>
                <w:sz w:val="22"/>
                <w:szCs w:val="24"/>
              </w:rPr>
            </w:pPr>
          </w:p>
        </w:tc>
        <w:tc>
          <w:tcPr>
            <w:tcW w:w="1276" w:type="dxa"/>
            <w:gridSpan w:val="2"/>
            <w:vMerge w:val="continue"/>
            <w:vAlign w:val="center"/>
          </w:tcPr>
          <w:p w14:paraId="69C6F5B9">
            <w:pPr>
              <w:spacing w:line="460" w:lineRule="exact"/>
              <w:jc w:val="left"/>
              <w:rPr>
                <w:rFonts w:ascii="宋体" w:hAnsi="宋体" w:eastAsia="宋体" w:cs="宋体"/>
                <w:color w:val="auto"/>
                <w:sz w:val="22"/>
                <w:szCs w:val="24"/>
              </w:rPr>
            </w:pPr>
          </w:p>
        </w:tc>
        <w:tc>
          <w:tcPr>
            <w:tcW w:w="1701" w:type="dxa"/>
            <w:vAlign w:val="center"/>
          </w:tcPr>
          <w:p w14:paraId="7BAFCAC4">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服务期限</w:t>
            </w:r>
          </w:p>
        </w:tc>
        <w:tc>
          <w:tcPr>
            <w:tcW w:w="6379" w:type="dxa"/>
            <w:vAlign w:val="center"/>
          </w:tcPr>
          <w:p w14:paraId="5D88CA0E">
            <w:pPr>
              <w:spacing w:line="460" w:lineRule="exact"/>
              <w:jc w:val="left"/>
              <w:rPr>
                <w:rFonts w:hint="eastAsia" w:ascii="宋体" w:hAnsi="宋体" w:eastAsia="宋体" w:cs="宋体"/>
                <w:color w:val="auto"/>
                <w:sz w:val="22"/>
                <w:szCs w:val="24"/>
                <w:lang w:val="en-US" w:eastAsia="zh-CN"/>
              </w:rPr>
            </w:pPr>
            <w:r>
              <w:rPr>
                <w:rFonts w:hint="eastAsia" w:ascii="宋体" w:hAnsi="宋体" w:eastAsia="宋体" w:cs="宋体"/>
                <w:color w:val="auto"/>
                <w:sz w:val="22"/>
                <w:szCs w:val="24"/>
              </w:rPr>
              <w:t>符合第二章供应商须知前附表</w:t>
            </w:r>
            <w:r>
              <w:rPr>
                <w:rFonts w:hint="eastAsia" w:ascii="宋体" w:hAnsi="宋体" w:eastAsia="宋体" w:cs="宋体"/>
                <w:color w:val="auto"/>
                <w:sz w:val="22"/>
                <w:szCs w:val="24"/>
                <w:lang w:val="en-US" w:eastAsia="zh-CN"/>
              </w:rPr>
              <w:t>规定</w:t>
            </w:r>
          </w:p>
        </w:tc>
      </w:tr>
      <w:tr w14:paraId="12B7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continue"/>
            <w:vAlign w:val="center"/>
          </w:tcPr>
          <w:p w14:paraId="31181AA1">
            <w:pPr>
              <w:spacing w:line="460" w:lineRule="exact"/>
              <w:jc w:val="left"/>
              <w:rPr>
                <w:rFonts w:ascii="宋体" w:hAnsi="宋体" w:eastAsia="宋体" w:cs="宋体"/>
                <w:color w:val="auto"/>
                <w:sz w:val="22"/>
                <w:szCs w:val="24"/>
              </w:rPr>
            </w:pPr>
          </w:p>
        </w:tc>
        <w:tc>
          <w:tcPr>
            <w:tcW w:w="1276" w:type="dxa"/>
            <w:gridSpan w:val="2"/>
            <w:vMerge w:val="continue"/>
            <w:vAlign w:val="center"/>
          </w:tcPr>
          <w:p w14:paraId="6E258347">
            <w:pPr>
              <w:spacing w:line="460" w:lineRule="exact"/>
              <w:jc w:val="left"/>
              <w:rPr>
                <w:rFonts w:ascii="宋体" w:hAnsi="宋体" w:eastAsia="宋体" w:cs="宋体"/>
                <w:color w:val="auto"/>
                <w:sz w:val="22"/>
                <w:szCs w:val="24"/>
              </w:rPr>
            </w:pPr>
          </w:p>
        </w:tc>
        <w:tc>
          <w:tcPr>
            <w:tcW w:w="1701" w:type="dxa"/>
            <w:vAlign w:val="center"/>
          </w:tcPr>
          <w:p w14:paraId="44C559E8">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服务地点</w:t>
            </w:r>
          </w:p>
        </w:tc>
        <w:tc>
          <w:tcPr>
            <w:tcW w:w="6379" w:type="dxa"/>
            <w:vAlign w:val="center"/>
          </w:tcPr>
          <w:p w14:paraId="16089A27">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符合第二章供应商须知前附表</w:t>
            </w:r>
            <w:r>
              <w:rPr>
                <w:rFonts w:hint="eastAsia" w:ascii="宋体" w:hAnsi="宋体" w:eastAsia="宋体" w:cs="宋体"/>
                <w:color w:val="auto"/>
                <w:sz w:val="22"/>
                <w:szCs w:val="24"/>
                <w:lang w:val="en-US" w:eastAsia="zh-CN"/>
              </w:rPr>
              <w:t>规定</w:t>
            </w:r>
          </w:p>
        </w:tc>
      </w:tr>
      <w:tr w14:paraId="7AF5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continue"/>
            <w:vAlign w:val="center"/>
          </w:tcPr>
          <w:p w14:paraId="48904064">
            <w:pPr>
              <w:spacing w:line="460" w:lineRule="exact"/>
              <w:jc w:val="left"/>
              <w:rPr>
                <w:rFonts w:ascii="宋体" w:hAnsi="宋体" w:eastAsia="宋体" w:cs="宋体"/>
                <w:color w:val="auto"/>
                <w:sz w:val="22"/>
                <w:szCs w:val="24"/>
              </w:rPr>
            </w:pPr>
          </w:p>
        </w:tc>
        <w:tc>
          <w:tcPr>
            <w:tcW w:w="1276" w:type="dxa"/>
            <w:gridSpan w:val="2"/>
            <w:vMerge w:val="continue"/>
            <w:vAlign w:val="center"/>
          </w:tcPr>
          <w:p w14:paraId="49F33159">
            <w:pPr>
              <w:spacing w:line="460" w:lineRule="exact"/>
              <w:jc w:val="left"/>
              <w:rPr>
                <w:rFonts w:ascii="宋体" w:hAnsi="宋体" w:eastAsia="宋体" w:cs="宋体"/>
                <w:color w:val="auto"/>
                <w:sz w:val="22"/>
                <w:szCs w:val="24"/>
              </w:rPr>
            </w:pPr>
          </w:p>
        </w:tc>
        <w:tc>
          <w:tcPr>
            <w:tcW w:w="1701" w:type="dxa"/>
            <w:vAlign w:val="center"/>
          </w:tcPr>
          <w:p w14:paraId="7E060554">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质量标准</w:t>
            </w:r>
          </w:p>
        </w:tc>
        <w:tc>
          <w:tcPr>
            <w:tcW w:w="6379" w:type="dxa"/>
            <w:vAlign w:val="center"/>
          </w:tcPr>
          <w:p w14:paraId="0C309CF4">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符合第二章供应商须知前附表</w:t>
            </w:r>
            <w:r>
              <w:rPr>
                <w:rFonts w:hint="eastAsia" w:ascii="宋体" w:hAnsi="宋体" w:eastAsia="宋体" w:cs="宋体"/>
                <w:color w:val="auto"/>
                <w:sz w:val="22"/>
                <w:szCs w:val="24"/>
                <w:lang w:val="en-US" w:eastAsia="zh-CN"/>
              </w:rPr>
              <w:t>规定</w:t>
            </w:r>
          </w:p>
        </w:tc>
      </w:tr>
      <w:tr w14:paraId="4B60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 w:type="dxa"/>
          <w:trHeight w:val="567" w:hRule="atLeast"/>
          <w:jc w:val="center"/>
        </w:trPr>
        <w:tc>
          <w:tcPr>
            <w:tcW w:w="769" w:type="dxa"/>
            <w:vMerge w:val="continue"/>
            <w:vAlign w:val="center"/>
          </w:tcPr>
          <w:p w14:paraId="1F271C02">
            <w:pPr>
              <w:spacing w:line="460" w:lineRule="exact"/>
              <w:jc w:val="left"/>
              <w:rPr>
                <w:rFonts w:ascii="宋体" w:hAnsi="宋体" w:eastAsia="宋体" w:cs="宋体"/>
                <w:color w:val="auto"/>
                <w:sz w:val="22"/>
                <w:szCs w:val="24"/>
              </w:rPr>
            </w:pPr>
          </w:p>
        </w:tc>
        <w:tc>
          <w:tcPr>
            <w:tcW w:w="1276" w:type="dxa"/>
            <w:gridSpan w:val="2"/>
            <w:vMerge w:val="continue"/>
            <w:vAlign w:val="center"/>
          </w:tcPr>
          <w:p w14:paraId="55FC0188">
            <w:pPr>
              <w:spacing w:line="460" w:lineRule="exact"/>
              <w:jc w:val="left"/>
              <w:rPr>
                <w:rFonts w:ascii="宋体" w:hAnsi="宋体" w:eastAsia="宋体" w:cs="宋体"/>
                <w:color w:val="auto"/>
                <w:sz w:val="22"/>
                <w:szCs w:val="24"/>
              </w:rPr>
            </w:pPr>
          </w:p>
        </w:tc>
        <w:tc>
          <w:tcPr>
            <w:tcW w:w="1701" w:type="dxa"/>
            <w:vAlign w:val="center"/>
          </w:tcPr>
          <w:p w14:paraId="477B9582">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磋商有效期</w:t>
            </w:r>
          </w:p>
        </w:tc>
        <w:tc>
          <w:tcPr>
            <w:tcW w:w="6379" w:type="dxa"/>
            <w:vAlign w:val="center"/>
          </w:tcPr>
          <w:p w14:paraId="3275140F">
            <w:pPr>
              <w:spacing w:line="460" w:lineRule="exact"/>
              <w:jc w:val="left"/>
              <w:rPr>
                <w:rFonts w:ascii="宋体" w:hAnsi="宋体" w:eastAsia="宋体" w:cs="宋体"/>
                <w:color w:val="auto"/>
                <w:sz w:val="22"/>
                <w:szCs w:val="24"/>
              </w:rPr>
            </w:pPr>
            <w:r>
              <w:rPr>
                <w:rFonts w:hint="eastAsia" w:ascii="宋体" w:hAnsi="宋体" w:eastAsia="宋体" w:cs="宋体"/>
                <w:color w:val="auto"/>
                <w:sz w:val="22"/>
                <w:szCs w:val="24"/>
              </w:rPr>
              <w:t>符合第二章供应商须知前附表</w:t>
            </w:r>
            <w:r>
              <w:rPr>
                <w:rFonts w:hint="eastAsia" w:ascii="宋体" w:hAnsi="宋体" w:eastAsia="宋体" w:cs="宋体"/>
                <w:color w:val="auto"/>
                <w:sz w:val="22"/>
                <w:szCs w:val="24"/>
                <w:lang w:val="en-US" w:eastAsia="zh-CN"/>
              </w:rPr>
              <w:t>规定</w:t>
            </w:r>
          </w:p>
        </w:tc>
      </w:tr>
      <w:tr w14:paraId="68AE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045" w:type="dxa"/>
            <w:gridSpan w:val="3"/>
            <w:vAlign w:val="center"/>
          </w:tcPr>
          <w:p w14:paraId="576C2BA5">
            <w:pPr>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条款号2.2</w:t>
            </w:r>
          </w:p>
        </w:tc>
        <w:tc>
          <w:tcPr>
            <w:tcW w:w="1701" w:type="dxa"/>
            <w:vAlign w:val="center"/>
          </w:tcPr>
          <w:p w14:paraId="7F9E04F2">
            <w:pPr>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评分因素</w:t>
            </w:r>
          </w:p>
        </w:tc>
        <w:tc>
          <w:tcPr>
            <w:tcW w:w="6425" w:type="dxa"/>
            <w:gridSpan w:val="2"/>
            <w:vAlign w:val="center"/>
          </w:tcPr>
          <w:p w14:paraId="088E4C91">
            <w:pPr>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评分标准</w:t>
            </w:r>
          </w:p>
        </w:tc>
      </w:tr>
      <w:tr w14:paraId="2989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906" w:type="dxa"/>
            <w:gridSpan w:val="2"/>
            <w:vAlign w:val="center"/>
          </w:tcPr>
          <w:p w14:paraId="55B06605">
            <w:pPr>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2.2.1</w:t>
            </w:r>
          </w:p>
          <w:p w14:paraId="3B87F363">
            <w:pPr>
              <w:spacing w:line="440" w:lineRule="exact"/>
              <w:jc w:val="left"/>
              <w:rPr>
                <w:rFonts w:ascii="宋体" w:hAnsi="宋体" w:eastAsia="宋体" w:cs="宋体"/>
                <w:color w:val="auto"/>
                <w:sz w:val="22"/>
                <w:szCs w:val="24"/>
              </w:rPr>
            </w:pPr>
          </w:p>
        </w:tc>
        <w:tc>
          <w:tcPr>
            <w:tcW w:w="1139" w:type="dxa"/>
            <w:vAlign w:val="center"/>
          </w:tcPr>
          <w:p w14:paraId="41631DE5">
            <w:pPr>
              <w:snapToGrid w:val="0"/>
              <w:spacing w:line="460" w:lineRule="exact"/>
              <w:rPr>
                <w:rFonts w:ascii="宋体" w:hAnsi="宋体" w:eastAsia="宋体" w:cs="宋体"/>
                <w:color w:val="auto"/>
                <w:sz w:val="22"/>
              </w:rPr>
            </w:pPr>
            <w:r>
              <w:rPr>
                <w:rFonts w:hint="eastAsia" w:ascii="宋体" w:hAnsi="宋体" w:eastAsia="宋体" w:cs="宋体"/>
                <w:color w:val="auto"/>
                <w:sz w:val="22"/>
              </w:rPr>
              <w:t>商务部分（30分）</w:t>
            </w:r>
          </w:p>
        </w:tc>
        <w:tc>
          <w:tcPr>
            <w:tcW w:w="1701" w:type="dxa"/>
            <w:vAlign w:val="center"/>
          </w:tcPr>
          <w:p w14:paraId="428D55A9">
            <w:pPr>
              <w:snapToGrid w:val="0"/>
              <w:spacing w:line="460" w:lineRule="exact"/>
              <w:jc w:val="center"/>
              <w:rPr>
                <w:rFonts w:hint="eastAsia" w:ascii="宋体" w:hAnsi="宋体" w:eastAsia="宋体" w:cs="宋体"/>
                <w:color w:val="auto"/>
                <w:sz w:val="22"/>
              </w:rPr>
            </w:pPr>
            <w:r>
              <w:rPr>
                <w:rFonts w:hint="eastAsia" w:ascii="宋体" w:hAnsi="宋体" w:eastAsia="宋体" w:cs="宋体"/>
                <w:color w:val="auto"/>
                <w:sz w:val="22"/>
              </w:rPr>
              <w:t>磋商报价</w:t>
            </w:r>
          </w:p>
          <w:p w14:paraId="2CDD17FC">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（30分）</w:t>
            </w:r>
          </w:p>
        </w:tc>
        <w:tc>
          <w:tcPr>
            <w:tcW w:w="6425" w:type="dxa"/>
            <w:gridSpan w:val="2"/>
          </w:tcPr>
          <w:p w14:paraId="7D70C080">
            <w:pPr>
              <w:snapToGrid w:val="0"/>
              <w:spacing w:line="460" w:lineRule="exact"/>
              <w:rPr>
                <w:rFonts w:ascii="宋体" w:hAnsi="宋体" w:eastAsia="宋体" w:cs="宋体"/>
                <w:color w:val="auto"/>
                <w:sz w:val="22"/>
              </w:rPr>
            </w:pPr>
            <w:r>
              <w:rPr>
                <w:rFonts w:hint="eastAsia" w:ascii="宋体" w:hAnsi="宋体" w:eastAsia="宋体" w:cs="宋体"/>
                <w:color w:val="auto"/>
                <w:sz w:val="22"/>
              </w:rPr>
              <w:t>1.超出采购人预算价的磋商报价为无效报价，按废标处理。</w:t>
            </w:r>
          </w:p>
          <w:p w14:paraId="43B3FBC0">
            <w:pPr>
              <w:snapToGrid w:val="0"/>
              <w:spacing w:line="460" w:lineRule="exact"/>
              <w:rPr>
                <w:rFonts w:ascii="宋体" w:hAnsi="宋体" w:eastAsia="宋体" w:cs="宋体"/>
                <w:color w:val="auto"/>
                <w:sz w:val="22"/>
              </w:rPr>
            </w:pPr>
            <w:r>
              <w:rPr>
                <w:rFonts w:hint="eastAsia" w:ascii="宋体" w:hAnsi="宋体" w:eastAsia="宋体" w:cs="宋体"/>
                <w:color w:val="auto"/>
                <w:sz w:val="22"/>
              </w:rPr>
              <w:t>2.综合评分法中的价格分统一采用低价优先法计算，即满足响应文件要求且磋商价格最低的磋商报价为评标基准价，其价格分为满分。其他供应商的价格分统一按照下列公式计算：</w:t>
            </w:r>
          </w:p>
          <w:p w14:paraId="3915D009">
            <w:pPr>
              <w:snapToGrid w:val="0"/>
              <w:spacing w:line="460" w:lineRule="exact"/>
              <w:rPr>
                <w:rFonts w:ascii="宋体" w:hAnsi="宋体" w:eastAsia="宋体" w:cs="宋体"/>
                <w:color w:val="auto"/>
                <w:sz w:val="22"/>
              </w:rPr>
            </w:pPr>
            <w:r>
              <w:rPr>
                <w:rFonts w:hint="eastAsia" w:ascii="宋体" w:hAnsi="宋体" w:eastAsia="宋体" w:cs="宋体"/>
                <w:color w:val="auto"/>
                <w:sz w:val="22"/>
              </w:rPr>
              <w:t>报价得分=（评标基准价/有效磋商报价）×30×100%</w:t>
            </w:r>
          </w:p>
        </w:tc>
      </w:tr>
      <w:tr w14:paraId="0DBB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6" w:type="dxa"/>
            <w:gridSpan w:val="2"/>
            <w:vMerge w:val="restart"/>
            <w:vAlign w:val="center"/>
          </w:tcPr>
          <w:p w14:paraId="00C6FA6C">
            <w:pPr>
              <w:spacing w:line="440" w:lineRule="exact"/>
              <w:jc w:val="left"/>
              <w:rPr>
                <w:rFonts w:ascii="宋体" w:hAnsi="宋体" w:eastAsia="宋体" w:cs="宋体"/>
                <w:color w:val="auto"/>
                <w:sz w:val="22"/>
                <w:szCs w:val="24"/>
              </w:rPr>
            </w:pPr>
          </w:p>
          <w:p w14:paraId="19D1A620">
            <w:pPr>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2.2.2</w:t>
            </w:r>
          </w:p>
          <w:p w14:paraId="04949F55">
            <w:pPr>
              <w:spacing w:line="440" w:lineRule="exact"/>
              <w:jc w:val="left"/>
              <w:rPr>
                <w:rFonts w:ascii="宋体" w:hAnsi="宋体" w:eastAsia="宋体" w:cs="宋体"/>
                <w:color w:val="auto"/>
                <w:sz w:val="22"/>
                <w:szCs w:val="24"/>
              </w:rPr>
            </w:pPr>
          </w:p>
        </w:tc>
        <w:tc>
          <w:tcPr>
            <w:tcW w:w="1139" w:type="dxa"/>
            <w:vMerge w:val="restart"/>
            <w:vAlign w:val="center"/>
          </w:tcPr>
          <w:p w14:paraId="2CBC62EF">
            <w:pPr>
              <w:spacing w:line="440" w:lineRule="exact"/>
              <w:jc w:val="center"/>
              <w:rPr>
                <w:rFonts w:ascii="宋体" w:hAnsi="宋体" w:eastAsia="宋体" w:cs="宋体"/>
                <w:color w:val="auto"/>
                <w:sz w:val="22"/>
                <w:szCs w:val="24"/>
              </w:rPr>
            </w:pPr>
            <w:r>
              <w:rPr>
                <w:rFonts w:hint="eastAsia" w:ascii="宋体" w:hAnsi="宋体" w:eastAsia="宋体" w:cs="宋体"/>
                <w:color w:val="auto"/>
                <w:sz w:val="22"/>
                <w:szCs w:val="24"/>
              </w:rPr>
              <w:t>技术部分（</w:t>
            </w:r>
            <w:r>
              <w:rPr>
                <w:rFonts w:ascii="宋体" w:hAnsi="宋体" w:eastAsia="宋体" w:cs="宋体"/>
                <w:color w:val="auto"/>
                <w:sz w:val="22"/>
                <w:szCs w:val="24"/>
              </w:rPr>
              <w:t>5</w:t>
            </w:r>
            <w:r>
              <w:rPr>
                <w:rFonts w:hint="eastAsia" w:ascii="宋体" w:hAnsi="宋体" w:eastAsia="宋体" w:cs="宋体"/>
                <w:color w:val="auto"/>
                <w:sz w:val="22"/>
                <w:szCs w:val="24"/>
              </w:rPr>
              <w:t>0分）</w:t>
            </w:r>
          </w:p>
        </w:tc>
        <w:tc>
          <w:tcPr>
            <w:tcW w:w="1701" w:type="dxa"/>
            <w:vAlign w:val="center"/>
          </w:tcPr>
          <w:p w14:paraId="2D3DF275">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服务方案</w:t>
            </w:r>
          </w:p>
          <w:p w14:paraId="3E01253E">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w:t>
            </w:r>
            <w:r>
              <w:rPr>
                <w:rFonts w:hint="eastAsia" w:ascii="宋体" w:hAnsi="宋体" w:eastAsia="宋体" w:cs="宋体"/>
                <w:color w:val="auto"/>
                <w:sz w:val="22"/>
                <w:lang w:val="en-US" w:eastAsia="zh-CN"/>
              </w:rPr>
              <w:t>15</w:t>
            </w:r>
            <w:r>
              <w:rPr>
                <w:rFonts w:hint="eastAsia" w:ascii="宋体" w:hAnsi="宋体" w:eastAsia="宋体" w:cs="宋体"/>
                <w:color w:val="auto"/>
                <w:sz w:val="22"/>
              </w:rPr>
              <w:t>分）</w:t>
            </w:r>
          </w:p>
        </w:tc>
        <w:tc>
          <w:tcPr>
            <w:tcW w:w="6425" w:type="dxa"/>
            <w:gridSpan w:val="2"/>
            <w:vAlign w:val="center"/>
          </w:tcPr>
          <w:p w14:paraId="2C7D251A">
            <w:pPr>
              <w:snapToGrid w:val="0"/>
              <w:spacing w:line="460" w:lineRule="exact"/>
              <w:rPr>
                <w:rFonts w:ascii="宋体" w:hAnsi="宋体" w:eastAsia="宋体" w:cs="宋体"/>
                <w:color w:val="auto"/>
                <w:sz w:val="22"/>
              </w:rPr>
            </w:pPr>
            <w:r>
              <w:rPr>
                <w:rFonts w:hint="eastAsia" w:ascii="宋体" w:hAnsi="宋体" w:eastAsia="宋体" w:cs="宋体"/>
                <w:color w:val="auto"/>
                <w:sz w:val="22"/>
              </w:rPr>
              <w:t>供应商提供对本项目的服务方案，包括但不限于需求任务和实施背景的理解分析深度，对安全生产等相关政策的了解程度。</w:t>
            </w:r>
          </w:p>
          <w:p w14:paraId="2A874F59">
            <w:pPr>
              <w:numPr>
                <w:ilvl w:val="0"/>
                <w:numId w:val="6"/>
              </w:numPr>
              <w:snapToGrid w:val="0"/>
              <w:spacing w:line="460" w:lineRule="exact"/>
              <w:rPr>
                <w:rFonts w:ascii="宋体" w:hAnsi="宋体" w:eastAsia="宋体" w:cs="宋体"/>
                <w:color w:val="auto"/>
                <w:sz w:val="22"/>
              </w:rPr>
            </w:pPr>
            <w:r>
              <w:rPr>
                <w:rFonts w:hint="eastAsia" w:ascii="宋体" w:hAnsi="宋体" w:eastAsia="宋体" w:cs="宋体"/>
                <w:color w:val="auto"/>
                <w:sz w:val="22"/>
              </w:rPr>
              <w:t>充分熟悉了解本项目情况，对项目及实施背景有准确理解，对安全生产等相关政策的了解程度高得 1</w:t>
            </w:r>
            <w:r>
              <w:rPr>
                <w:rFonts w:hint="eastAsia" w:ascii="宋体" w:hAnsi="宋体" w:eastAsia="宋体" w:cs="宋体"/>
                <w:color w:val="auto"/>
                <w:sz w:val="22"/>
                <w:lang w:val="en-US" w:eastAsia="zh-CN"/>
              </w:rPr>
              <w:t>5</w:t>
            </w:r>
            <w:r>
              <w:rPr>
                <w:rFonts w:hint="eastAsia" w:ascii="宋体" w:hAnsi="宋体" w:eastAsia="宋体" w:cs="宋体"/>
                <w:color w:val="auto"/>
                <w:sz w:val="22"/>
              </w:rPr>
              <w:t>分；</w:t>
            </w:r>
          </w:p>
          <w:p w14:paraId="1CCA6722">
            <w:pPr>
              <w:snapToGrid w:val="0"/>
              <w:spacing w:line="460" w:lineRule="exact"/>
              <w:rPr>
                <w:rFonts w:ascii="宋体" w:hAnsi="宋体" w:eastAsia="宋体" w:cs="宋体"/>
                <w:color w:val="auto"/>
                <w:sz w:val="22"/>
              </w:rPr>
            </w:pPr>
            <w:r>
              <w:rPr>
                <w:rFonts w:hint="eastAsia" w:ascii="宋体" w:hAnsi="宋体" w:eastAsia="宋体" w:cs="宋体"/>
                <w:color w:val="auto"/>
                <w:sz w:val="22"/>
              </w:rPr>
              <w:t>2.基本了解项目情况，对项目及实施背景有一定的理解，对安全生产等相关政策的了解程度一般得</w:t>
            </w:r>
            <w:r>
              <w:rPr>
                <w:rFonts w:hint="eastAsia" w:ascii="宋体" w:hAnsi="宋体" w:eastAsia="宋体" w:cs="宋体"/>
                <w:color w:val="auto"/>
                <w:sz w:val="22"/>
                <w:lang w:val="en-US" w:eastAsia="zh-CN"/>
              </w:rPr>
              <w:t>10</w:t>
            </w:r>
            <w:r>
              <w:rPr>
                <w:rFonts w:hint="eastAsia" w:ascii="宋体" w:hAnsi="宋体" w:eastAsia="宋体" w:cs="宋体"/>
                <w:color w:val="auto"/>
                <w:sz w:val="22"/>
              </w:rPr>
              <w:t xml:space="preserve"> 分；</w:t>
            </w:r>
          </w:p>
          <w:p w14:paraId="60E0EA0E">
            <w:pPr>
              <w:snapToGrid w:val="0"/>
              <w:spacing w:line="460" w:lineRule="exact"/>
              <w:rPr>
                <w:rFonts w:ascii="宋体" w:hAnsi="宋体" w:eastAsia="宋体" w:cs="宋体"/>
                <w:color w:val="auto"/>
                <w:sz w:val="22"/>
              </w:rPr>
            </w:pPr>
            <w:r>
              <w:rPr>
                <w:rFonts w:hint="eastAsia" w:ascii="宋体" w:hAnsi="宋体" w:eastAsia="宋体" w:cs="宋体"/>
                <w:color w:val="auto"/>
                <w:sz w:val="22"/>
              </w:rPr>
              <w:t>3.对项目不够熟悉，对项目及实施背景理解较差，对安全生产等相关政策的了解程度较差得</w:t>
            </w:r>
            <w:r>
              <w:rPr>
                <w:rFonts w:hint="eastAsia" w:ascii="宋体" w:hAnsi="宋体" w:eastAsia="宋体" w:cs="宋体"/>
                <w:color w:val="auto"/>
                <w:sz w:val="22"/>
                <w:lang w:val="en-US" w:eastAsia="zh-CN"/>
              </w:rPr>
              <w:t>5</w:t>
            </w:r>
            <w:r>
              <w:rPr>
                <w:rFonts w:hint="eastAsia" w:ascii="宋体" w:hAnsi="宋体" w:eastAsia="宋体" w:cs="宋体"/>
                <w:color w:val="auto"/>
                <w:sz w:val="22"/>
              </w:rPr>
              <w:t xml:space="preserve"> 分；</w:t>
            </w:r>
          </w:p>
          <w:p w14:paraId="4ED31A6D">
            <w:pPr>
              <w:snapToGrid w:val="0"/>
              <w:spacing w:line="460" w:lineRule="exact"/>
              <w:rPr>
                <w:rFonts w:ascii="宋体" w:hAnsi="宋体" w:eastAsia="宋体" w:cs="宋体"/>
                <w:color w:val="auto"/>
                <w:sz w:val="22"/>
              </w:rPr>
            </w:pPr>
            <w:r>
              <w:rPr>
                <w:rFonts w:hint="eastAsia" w:ascii="宋体" w:hAnsi="宋体" w:eastAsia="宋体" w:cs="宋体"/>
                <w:color w:val="auto"/>
                <w:sz w:val="22"/>
              </w:rPr>
              <w:t>注：不提供不得分。</w:t>
            </w:r>
          </w:p>
        </w:tc>
      </w:tr>
      <w:tr w14:paraId="70E1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6" w:type="dxa"/>
            <w:gridSpan w:val="2"/>
            <w:vMerge w:val="continue"/>
            <w:vAlign w:val="center"/>
          </w:tcPr>
          <w:p w14:paraId="0A9DFDE0">
            <w:pPr>
              <w:spacing w:line="440" w:lineRule="exact"/>
              <w:jc w:val="left"/>
              <w:rPr>
                <w:rFonts w:ascii="宋体" w:hAnsi="宋体" w:eastAsia="宋体" w:cs="宋体"/>
                <w:color w:val="auto"/>
                <w:sz w:val="22"/>
                <w:szCs w:val="24"/>
              </w:rPr>
            </w:pPr>
          </w:p>
        </w:tc>
        <w:tc>
          <w:tcPr>
            <w:tcW w:w="1139" w:type="dxa"/>
            <w:vMerge w:val="continue"/>
            <w:vAlign w:val="center"/>
          </w:tcPr>
          <w:p w14:paraId="1F29797E">
            <w:pPr>
              <w:spacing w:line="440" w:lineRule="exact"/>
              <w:jc w:val="center"/>
              <w:rPr>
                <w:rFonts w:ascii="宋体" w:hAnsi="宋体" w:eastAsia="宋体" w:cs="宋体"/>
                <w:color w:val="auto"/>
                <w:spacing w:val="1"/>
                <w:kern w:val="0"/>
                <w:sz w:val="22"/>
                <w:szCs w:val="24"/>
              </w:rPr>
            </w:pPr>
          </w:p>
        </w:tc>
        <w:tc>
          <w:tcPr>
            <w:tcW w:w="1701" w:type="dxa"/>
            <w:vAlign w:val="center"/>
          </w:tcPr>
          <w:p w14:paraId="040B610A">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重难点分析及应对措施</w:t>
            </w:r>
          </w:p>
          <w:p w14:paraId="3D83192C">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（10分）</w:t>
            </w:r>
          </w:p>
        </w:tc>
        <w:tc>
          <w:tcPr>
            <w:tcW w:w="6425" w:type="dxa"/>
            <w:gridSpan w:val="2"/>
            <w:vAlign w:val="center"/>
          </w:tcPr>
          <w:p w14:paraId="16B9261E">
            <w:pPr>
              <w:snapToGrid w:val="0"/>
              <w:spacing w:line="460" w:lineRule="exact"/>
              <w:rPr>
                <w:rFonts w:ascii="宋体" w:hAnsi="宋体" w:eastAsia="宋体" w:cs="宋体"/>
                <w:color w:val="auto"/>
                <w:sz w:val="22"/>
              </w:rPr>
            </w:pPr>
            <w:r>
              <w:rPr>
                <w:rFonts w:hint="eastAsia" w:ascii="宋体" w:hAnsi="宋体" w:eastAsia="宋体" w:cs="宋体"/>
                <w:color w:val="auto"/>
                <w:sz w:val="22"/>
              </w:rPr>
              <w:t>供应商提供对本项目重难点分析及拟采取的应对措施，以及分项阶段工作应注意的事项理解把握程度。</w:t>
            </w:r>
          </w:p>
          <w:p w14:paraId="77668C67">
            <w:pPr>
              <w:snapToGrid w:val="0"/>
              <w:spacing w:line="460" w:lineRule="exact"/>
              <w:rPr>
                <w:rFonts w:ascii="宋体" w:hAnsi="宋体" w:eastAsia="宋体" w:cs="宋体"/>
                <w:color w:val="auto"/>
                <w:sz w:val="22"/>
              </w:rPr>
            </w:pPr>
            <w:r>
              <w:rPr>
                <w:rFonts w:hint="eastAsia" w:ascii="宋体" w:hAnsi="宋体" w:eastAsia="宋体" w:cs="宋体"/>
                <w:color w:val="auto"/>
                <w:sz w:val="22"/>
              </w:rPr>
              <w:t>1.对项目重点、难点排查分析合理透彻，应对措施全面可行，分项阶段工作应注意的事项理解把握程度高得 10 分；</w:t>
            </w:r>
          </w:p>
          <w:p w14:paraId="14593569">
            <w:pPr>
              <w:snapToGrid w:val="0"/>
              <w:spacing w:line="460" w:lineRule="exact"/>
              <w:rPr>
                <w:rFonts w:ascii="宋体" w:hAnsi="宋体" w:eastAsia="宋体" w:cs="宋体"/>
                <w:color w:val="auto"/>
                <w:sz w:val="22"/>
              </w:rPr>
            </w:pPr>
            <w:r>
              <w:rPr>
                <w:rFonts w:hint="eastAsia" w:ascii="宋体" w:hAnsi="宋体" w:eastAsia="宋体" w:cs="宋体"/>
                <w:color w:val="auto"/>
                <w:sz w:val="22"/>
              </w:rPr>
              <w:t xml:space="preserve">2.对项目重点、难点排查分析基本合理，应对措施基本全面，分项阶段工作应注意的事项理解把握程度一般得 </w:t>
            </w:r>
            <w:r>
              <w:rPr>
                <w:rFonts w:hint="eastAsia" w:ascii="宋体" w:hAnsi="宋体" w:eastAsia="宋体" w:cs="宋体"/>
                <w:color w:val="auto"/>
                <w:sz w:val="22"/>
                <w:lang w:val="en-US" w:eastAsia="zh-CN"/>
              </w:rPr>
              <w:t>6</w:t>
            </w:r>
            <w:r>
              <w:rPr>
                <w:rFonts w:hint="eastAsia" w:ascii="宋体" w:hAnsi="宋体" w:eastAsia="宋体" w:cs="宋体"/>
                <w:color w:val="auto"/>
                <w:sz w:val="22"/>
              </w:rPr>
              <w:t xml:space="preserve"> 分；</w:t>
            </w:r>
          </w:p>
          <w:p w14:paraId="7571988F">
            <w:pPr>
              <w:snapToGrid w:val="0"/>
              <w:spacing w:line="460" w:lineRule="exact"/>
              <w:rPr>
                <w:rFonts w:ascii="宋体" w:hAnsi="宋体" w:eastAsia="宋体" w:cs="宋体"/>
                <w:color w:val="auto"/>
                <w:sz w:val="22"/>
              </w:rPr>
            </w:pPr>
            <w:r>
              <w:rPr>
                <w:rFonts w:hint="eastAsia" w:ascii="宋体" w:hAnsi="宋体" w:eastAsia="宋体" w:cs="宋体"/>
                <w:color w:val="auto"/>
                <w:sz w:val="22"/>
              </w:rPr>
              <w:t xml:space="preserve">3.对项目重点、难点排查分析内容不合理，应多措施较差，分项阶段工作应注意的事项理解把握程度较差得 </w:t>
            </w:r>
            <w:r>
              <w:rPr>
                <w:rFonts w:hint="eastAsia" w:ascii="宋体" w:hAnsi="宋体" w:eastAsia="宋体" w:cs="宋体"/>
                <w:color w:val="auto"/>
                <w:sz w:val="22"/>
                <w:lang w:val="en-US" w:eastAsia="zh-CN"/>
              </w:rPr>
              <w:t>2</w:t>
            </w:r>
            <w:r>
              <w:rPr>
                <w:rFonts w:hint="eastAsia" w:ascii="宋体" w:hAnsi="宋体" w:eastAsia="宋体" w:cs="宋体"/>
                <w:color w:val="auto"/>
                <w:sz w:val="22"/>
              </w:rPr>
              <w:t xml:space="preserve"> 分；</w:t>
            </w:r>
          </w:p>
          <w:p w14:paraId="1C102BAB">
            <w:pPr>
              <w:snapToGrid w:val="0"/>
              <w:spacing w:line="460" w:lineRule="exact"/>
              <w:rPr>
                <w:rFonts w:ascii="宋体" w:hAnsi="宋体" w:eastAsia="宋体" w:cs="宋体"/>
                <w:color w:val="auto"/>
                <w:sz w:val="22"/>
              </w:rPr>
            </w:pPr>
            <w:r>
              <w:rPr>
                <w:rFonts w:hint="eastAsia" w:ascii="宋体" w:hAnsi="宋体" w:eastAsia="宋体" w:cs="宋体"/>
                <w:color w:val="auto"/>
                <w:sz w:val="22"/>
              </w:rPr>
              <w:t>注：不提供不得分。</w:t>
            </w:r>
          </w:p>
        </w:tc>
      </w:tr>
      <w:tr w14:paraId="2FC8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06" w:type="dxa"/>
            <w:gridSpan w:val="2"/>
            <w:vMerge w:val="continue"/>
            <w:vAlign w:val="center"/>
          </w:tcPr>
          <w:p w14:paraId="2E7B819B">
            <w:pPr>
              <w:spacing w:line="440" w:lineRule="exact"/>
              <w:jc w:val="left"/>
              <w:rPr>
                <w:rFonts w:ascii="宋体" w:hAnsi="宋体" w:eastAsia="宋体" w:cs="宋体"/>
                <w:color w:val="auto"/>
                <w:sz w:val="22"/>
                <w:szCs w:val="24"/>
              </w:rPr>
            </w:pPr>
          </w:p>
        </w:tc>
        <w:tc>
          <w:tcPr>
            <w:tcW w:w="1139" w:type="dxa"/>
            <w:vMerge w:val="continue"/>
            <w:vAlign w:val="center"/>
          </w:tcPr>
          <w:p w14:paraId="51172842">
            <w:pPr>
              <w:spacing w:line="440" w:lineRule="exact"/>
              <w:jc w:val="left"/>
              <w:rPr>
                <w:rFonts w:ascii="宋体" w:hAnsi="宋体" w:eastAsia="宋体" w:cs="宋体"/>
                <w:color w:val="auto"/>
                <w:sz w:val="22"/>
                <w:szCs w:val="24"/>
              </w:rPr>
            </w:pPr>
          </w:p>
        </w:tc>
        <w:tc>
          <w:tcPr>
            <w:tcW w:w="1701" w:type="dxa"/>
            <w:vAlign w:val="center"/>
          </w:tcPr>
          <w:p w14:paraId="50C86E11">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服务质量保障措施</w:t>
            </w:r>
          </w:p>
          <w:p w14:paraId="4847DA76">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（10分）</w:t>
            </w:r>
          </w:p>
        </w:tc>
        <w:tc>
          <w:tcPr>
            <w:tcW w:w="6425" w:type="dxa"/>
            <w:gridSpan w:val="2"/>
            <w:vAlign w:val="center"/>
          </w:tcPr>
          <w:p w14:paraId="0CD8E5AC">
            <w:pPr>
              <w:snapToGrid w:val="0"/>
              <w:spacing w:line="460" w:lineRule="exact"/>
              <w:rPr>
                <w:rFonts w:ascii="宋体" w:hAnsi="宋体" w:eastAsia="宋体" w:cs="宋体"/>
                <w:color w:val="auto"/>
                <w:sz w:val="22"/>
              </w:rPr>
            </w:pPr>
            <w:r>
              <w:rPr>
                <w:rFonts w:hint="eastAsia" w:ascii="宋体" w:hAnsi="宋体" w:eastAsia="宋体" w:cs="宋体"/>
                <w:color w:val="auto"/>
                <w:sz w:val="22"/>
              </w:rPr>
              <w:t>供应商提供对本项目的服务质量保障措施，包括但不限于采用的技术手段或规范标准、方案执行保障措施、进度保障措施等。</w:t>
            </w:r>
          </w:p>
          <w:p w14:paraId="34B3CDFB">
            <w:pPr>
              <w:snapToGrid w:val="0"/>
              <w:spacing w:line="460" w:lineRule="exact"/>
              <w:rPr>
                <w:rFonts w:ascii="宋体" w:hAnsi="宋体" w:eastAsia="宋体" w:cs="宋体"/>
                <w:color w:val="auto"/>
                <w:sz w:val="22"/>
              </w:rPr>
            </w:pPr>
            <w:r>
              <w:rPr>
                <w:rFonts w:hint="eastAsia" w:ascii="宋体" w:hAnsi="宋体" w:eastAsia="宋体" w:cs="宋体"/>
                <w:color w:val="auto"/>
                <w:sz w:val="22"/>
              </w:rPr>
              <w:t>1.保障措施内容全面详细，可行性、科学性、合理性较高，得10分；</w:t>
            </w:r>
          </w:p>
          <w:p w14:paraId="510E320F">
            <w:pPr>
              <w:snapToGrid w:val="0"/>
              <w:spacing w:line="460" w:lineRule="exact"/>
              <w:rPr>
                <w:rFonts w:ascii="宋体" w:hAnsi="宋体" w:eastAsia="宋体" w:cs="宋体"/>
                <w:color w:val="auto"/>
                <w:sz w:val="22"/>
              </w:rPr>
            </w:pPr>
            <w:r>
              <w:rPr>
                <w:rFonts w:hint="eastAsia" w:ascii="宋体" w:hAnsi="宋体" w:eastAsia="宋体" w:cs="宋体"/>
                <w:color w:val="auto"/>
                <w:sz w:val="22"/>
              </w:rPr>
              <w:t>2.保障措施内容基本全面，可行性、科学性、合理性一般，得</w:t>
            </w:r>
            <w:r>
              <w:rPr>
                <w:rFonts w:hint="eastAsia" w:ascii="宋体" w:hAnsi="宋体" w:eastAsia="宋体" w:cs="宋体"/>
                <w:color w:val="auto"/>
                <w:sz w:val="22"/>
                <w:lang w:val="en-US" w:eastAsia="zh-CN"/>
              </w:rPr>
              <w:t>6</w:t>
            </w:r>
            <w:r>
              <w:rPr>
                <w:rFonts w:hint="eastAsia" w:ascii="宋体" w:hAnsi="宋体" w:eastAsia="宋体" w:cs="宋体"/>
                <w:color w:val="auto"/>
                <w:sz w:val="22"/>
              </w:rPr>
              <w:t>分；</w:t>
            </w:r>
          </w:p>
          <w:p w14:paraId="114B10F8">
            <w:pPr>
              <w:snapToGrid w:val="0"/>
              <w:spacing w:line="460" w:lineRule="exact"/>
              <w:rPr>
                <w:rFonts w:ascii="宋体" w:hAnsi="宋体" w:eastAsia="宋体" w:cs="宋体"/>
                <w:color w:val="auto"/>
                <w:sz w:val="22"/>
              </w:rPr>
            </w:pPr>
            <w:r>
              <w:rPr>
                <w:rFonts w:hint="eastAsia" w:ascii="宋体" w:hAnsi="宋体" w:eastAsia="宋体" w:cs="宋体"/>
                <w:color w:val="auto"/>
                <w:sz w:val="22"/>
              </w:rPr>
              <w:t>3.保障措施内容简单粗略，可行性、科学性、合理性较差，得</w:t>
            </w:r>
            <w:r>
              <w:rPr>
                <w:rFonts w:hint="eastAsia" w:ascii="宋体" w:hAnsi="宋体" w:eastAsia="宋体" w:cs="宋体"/>
                <w:color w:val="auto"/>
                <w:sz w:val="22"/>
                <w:lang w:val="en-US" w:eastAsia="zh-CN"/>
              </w:rPr>
              <w:t>2</w:t>
            </w:r>
            <w:r>
              <w:rPr>
                <w:rFonts w:hint="eastAsia" w:ascii="宋体" w:hAnsi="宋体" w:eastAsia="宋体" w:cs="宋体"/>
                <w:color w:val="auto"/>
                <w:sz w:val="22"/>
              </w:rPr>
              <w:t>分；</w:t>
            </w:r>
          </w:p>
          <w:p w14:paraId="389C44BB">
            <w:pPr>
              <w:snapToGrid w:val="0"/>
              <w:spacing w:line="460" w:lineRule="exact"/>
              <w:rPr>
                <w:rFonts w:ascii="宋体" w:hAnsi="宋体" w:eastAsia="宋体" w:cs="宋体"/>
                <w:color w:val="auto"/>
                <w:sz w:val="22"/>
              </w:rPr>
            </w:pPr>
            <w:r>
              <w:rPr>
                <w:rFonts w:hint="eastAsia" w:ascii="宋体" w:hAnsi="宋体" w:eastAsia="宋体" w:cs="宋体"/>
                <w:color w:val="auto"/>
                <w:sz w:val="22"/>
              </w:rPr>
              <w:t>注：不提供不得分。</w:t>
            </w:r>
          </w:p>
        </w:tc>
      </w:tr>
      <w:tr w14:paraId="0CED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6" w:type="dxa"/>
            <w:gridSpan w:val="2"/>
            <w:vMerge w:val="continue"/>
            <w:vAlign w:val="center"/>
          </w:tcPr>
          <w:p w14:paraId="4A6B39E6">
            <w:pPr>
              <w:spacing w:line="440" w:lineRule="exact"/>
              <w:jc w:val="left"/>
              <w:rPr>
                <w:rFonts w:ascii="宋体" w:hAnsi="宋体" w:eastAsia="宋体" w:cs="宋体"/>
                <w:color w:val="auto"/>
                <w:sz w:val="22"/>
                <w:szCs w:val="24"/>
              </w:rPr>
            </w:pPr>
          </w:p>
        </w:tc>
        <w:tc>
          <w:tcPr>
            <w:tcW w:w="1139" w:type="dxa"/>
            <w:vMerge w:val="continue"/>
            <w:vAlign w:val="center"/>
          </w:tcPr>
          <w:p w14:paraId="05DC1343">
            <w:pPr>
              <w:spacing w:line="440" w:lineRule="exact"/>
              <w:jc w:val="left"/>
              <w:rPr>
                <w:rFonts w:ascii="宋体" w:hAnsi="宋体" w:eastAsia="宋体" w:cs="宋体"/>
                <w:color w:val="auto"/>
                <w:sz w:val="22"/>
                <w:szCs w:val="24"/>
              </w:rPr>
            </w:pPr>
          </w:p>
        </w:tc>
        <w:tc>
          <w:tcPr>
            <w:tcW w:w="1701" w:type="dxa"/>
            <w:vAlign w:val="center"/>
          </w:tcPr>
          <w:p w14:paraId="1FF88C85">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安全防控与应急措施</w:t>
            </w:r>
          </w:p>
          <w:p w14:paraId="78DB360A">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（10分）</w:t>
            </w:r>
          </w:p>
        </w:tc>
        <w:tc>
          <w:tcPr>
            <w:tcW w:w="6425" w:type="dxa"/>
            <w:gridSpan w:val="2"/>
            <w:vAlign w:val="center"/>
          </w:tcPr>
          <w:p w14:paraId="39BAF878">
            <w:pPr>
              <w:snapToGrid w:val="0"/>
              <w:spacing w:line="460" w:lineRule="exact"/>
              <w:rPr>
                <w:rFonts w:ascii="宋体" w:hAnsi="宋体" w:eastAsia="宋体" w:cs="宋体"/>
                <w:color w:val="auto"/>
                <w:sz w:val="22"/>
              </w:rPr>
            </w:pPr>
            <w:r>
              <w:rPr>
                <w:rFonts w:hint="eastAsia" w:ascii="宋体" w:hAnsi="宋体" w:eastAsia="宋体" w:cs="宋体"/>
                <w:color w:val="auto"/>
                <w:sz w:val="22"/>
              </w:rPr>
              <w:t>供应商提供对本项目服务过程中的安全防控与应急措施，包括但不限于实施过程中可能发生的应急检查任务、突发事件处理及预警机制。</w:t>
            </w:r>
          </w:p>
          <w:p w14:paraId="194211E5">
            <w:pPr>
              <w:snapToGrid w:val="0"/>
              <w:spacing w:line="460" w:lineRule="exact"/>
              <w:rPr>
                <w:rFonts w:ascii="宋体" w:hAnsi="宋体" w:eastAsia="宋体" w:cs="宋体"/>
                <w:color w:val="auto"/>
                <w:sz w:val="22"/>
              </w:rPr>
            </w:pPr>
            <w:r>
              <w:rPr>
                <w:rFonts w:hint="eastAsia" w:ascii="宋体" w:hAnsi="宋体" w:eastAsia="宋体" w:cs="宋体"/>
                <w:color w:val="auto"/>
                <w:sz w:val="22"/>
              </w:rPr>
              <w:t>1.安全防控与应急措施内容科学合理，能够建立专业的应急响应团队、完善的预警机制、科学的应对方案、快速高效的资源调度机制以及定期的培训演练，能够在突发情况下高效应对各类紧急事件的得 10 分；</w:t>
            </w:r>
          </w:p>
          <w:p w14:paraId="5E8BE24A">
            <w:pPr>
              <w:snapToGrid w:val="0"/>
              <w:spacing w:line="460" w:lineRule="exact"/>
              <w:rPr>
                <w:rFonts w:ascii="宋体" w:hAnsi="宋体" w:eastAsia="宋体" w:cs="宋体"/>
                <w:color w:val="auto"/>
                <w:sz w:val="22"/>
              </w:rPr>
            </w:pPr>
            <w:r>
              <w:rPr>
                <w:rFonts w:hint="eastAsia" w:ascii="宋体" w:hAnsi="宋体" w:eastAsia="宋体" w:cs="宋体"/>
                <w:color w:val="auto"/>
                <w:sz w:val="22"/>
              </w:rPr>
              <w:t>2.安全防控与应急措施内容较合理，有较健全的预警机制及应对方案，能够在突发情况下高效应对各类紧急事件的得</w:t>
            </w:r>
            <w:r>
              <w:rPr>
                <w:rFonts w:hint="eastAsia" w:ascii="宋体" w:hAnsi="宋体" w:eastAsia="宋体" w:cs="宋体"/>
                <w:color w:val="auto"/>
                <w:sz w:val="22"/>
                <w:lang w:val="en-US" w:eastAsia="zh-CN"/>
              </w:rPr>
              <w:t>6</w:t>
            </w:r>
            <w:r>
              <w:rPr>
                <w:rFonts w:hint="eastAsia" w:ascii="宋体" w:hAnsi="宋体" w:eastAsia="宋体" w:cs="宋体"/>
                <w:color w:val="auto"/>
                <w:sz w:val="22"/>
              </w:rPr>
              <w:t>分；</w:t>
            </w:r>
          </w:p>
          <w:p w14:paraId="3C20B032">
            <w:pPr>
              <w:snapToGrid w:val="0"/>
              <w:spacing w:line="460" w:lineRule="exact"/>
              <w:rPr>
                <w:rFonts w:ascii="宋体" w:hAnsi="宋体" w:eastAsia="宋体" w:cs="宋体"/>
                <w:color w:val="auto"/>
                <w:sz w:val="22"/>
              </w:rPr>
            </w:pPr>
            <w:r>
              <w:rPr>
                <w:rFonts w:hint="eastAsia" w:ascii="宋体" w:hAnsi="宋体" w:eastAsia="宋体" w:cs="宋体"/>
                <w:color w:val="auto"/>
                <w:sz w:val="22"/>
              </w:rPr>
              <w:t>3.安全防控与应急措施内容简单，没有专业的应急响应团队及应对方案，突发情况下应对各类紧急事件能力差的得</w:t>
            </w:r>
            <w:r>
              <w:rPr>
                <w:rFonts w:hint="eastAsia" w:ascii="宋体" w:hAnsi="宋体" w:eastAsia="宋体" w:cs="宋体"/>
                <w:color w:val="auto"/>
                <w:sz w:val="22"/>
                <w:lang w:val="en-US" w:eastAsia="zh-CN"/>
              </w:rPr>
              <w:t>2</w:t>
            </w:r>
            <w:r>
              <w:rPr>
                <w:rFonts w:hint="eastAsia" w:ascii="宋体" w:hAnsi="宋体" w:eastAsia="宋体" w:cs="宋体"/>
                <w:color w:val="auto"/>
                <w:sz w:val="22"/>
              </w:rPr>
              <w:t>分；</w:t>
            </w:r>
          </w:p>
          <w:p w14:paraId="6263BFCE">
            <w:pPr>
              <w:snapToGrid w:val="0"/>
              <w:spacing w:line="460" w:lineRule="exact"/>
              <w:rPr>
                <w:rFonts w:ascii="宋体" w:hAnsi="宋体" w:eastAsia="宋体" w:cs="宋体"/>
                <w:color w:val="auto"/>
                <w:sz w:val="22"/>
              </w:rPr>
            </w:pPr>
            <w:r>
              <w:rPr>
                <w:rFonts w:hint="eastAsia" w:ascii="宋体" w:hAnsi="宋体" w:eastAsia="宋体" w:cs="宋体"/>
                <w:color w:val="auto"/>
                <w:sz w:val="22"/>
              </w:rPr>
              <w:t>注：未提供的不得分。</w:t>
            </w:r>
          </w:p>
        </w:tc>
      </w:tr>
      <w:tr w14:paraId="537C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6" w:type="dxa"/>
            <w:gridSpan w:val="2"/>
            <w:vMerge w:val="continue"/>
            <w:vAlign w:val="center"/>
          </w:tcPr>
          <w:p w14:paraId="0B2CF07A">
            <w:pPr>
              <w:spacing w:line="440" w:lineRule="exact"/>
              <w:jc w:val="left"/>
              <w:rPr>
                <w:rFonts w:ascii="宋体" w:hAnsi="宋体" w:eastAsia="宋体" w:cs="宋体"/>
                <w:color w:val="auto"/>
                <w:sz w:val="22"/>
                <w:szCs w:val="24"/>
              </w:rPr>
            </w:pPr>
          </w:p>
        </w:tc>
        <w:tc>
          <w:tcPr>
            <w:tcW w:w="1139" w:type="dxa"/>
            <w:vMerge w:val="continue"/>
            <w:vAlign w:val="center"/>
          </w:tcPr>
          <w:p w14:paraId="1A3EDE19">
            <w:pPr>
              <w:spacing w:line="440" w:lineRule="exact"/>
              <w:jc w:val="left"/>
              <w:rPr>
                <w:rFonts w:ascii="宋体" w:hAnsi="宋体" w:eastAsia="宋体" w:cs="宋体"/>
                <w:color w:val="auto"/>
                <w:sz w:val="22"/>
                <w:szCs w:val="24"/>
              </w:rPr>
            </w:pPr>
          </w:p>
        </w:tc>
        <w:tc>
          <w:tcPr>
            <w:tcW w:w="1701" w:type="dxa"/>
            <w:vAlign w:val="center"/>
          </w:tcPr>
          <w:p w14:paraId="599F5ACC">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保密方案</w:t>
            </w:r>
          </w:p>
          <w:p w14:paraId="29C47E89">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w:t>
            </w:r>
            <w:r>
              <w:rPr>
                <w:rFonts w:hint="eastAsia" w:ascii="宋体" w:hAnsi="宋体" w:eastAsia="宋体" w:cs="宋体"/>
                <w:color w:val="auto"/>
                <w:sz w:val="22"/>
                <w:lang w:val="en-US" w:eastAsia="zh-CN"/>
              </w:rPr>
              <w:t>10</w:t>
            </w:r>
            <w:r>
              <w:rPr>
                <w:rFonts w:hint="eastAsia" w:ascii="宋体" w:hAnsi="宋体" w:eastAsia="宋体" w:cs="宋体"/>
                <w:color w:val="auto"/>
                <w:sz w:val="22"/>
              </w:rPr>
              <w:t>分）</w:t>
            </w:r>
          </w:p>
        </w:tc>
        <w:tc>
          <w:tcPr>
            <w:tcW w:w="6425" w:type="dxa"/>
            <w:gridSpan w:val="2"/>
            <w:vAlign w:val="center"/>
          </w:tcPr>
          <w:p w14:paraId="4958AE4E">
            <w:pPr>
              <w:snapToGrid w:val="0"/>
              <w:spacing w:line="460" w:lineRule="exact"/>
              <w:rPr>
                <w:rFonts w:ascii="宋体" w:hAnsi="宋体" w:eastAsia="宋体" w:cs="宋体"/>
                <w:color w:val="auto"/>
                <w:sz w:val="22"/>
              </w:rPr>
            </w:pPr>
            <w:r>
              <w:rPr>
                <w:rFonts w:hint="eastAsia" w:ascii="宋体" w:hAnsi="宋体" w:eastAsia="宋体" w:cs="宋体"/>
                <w:color w:val="auto"/>
                <w:sz w:val="22"/>
              </w:rPr>
              <w:t>供应商提供在服务过程中对于接触到的数据、资料等信息的保密方案。</w:t>
            </w:r>
          </w:p>
          <w:p w14:paraId="49CFFEEB">
            <w:pPr>
              <w:snapToGrid w:val="0"/>
              <w:spacing w:line="460" w:lineRule="exact"/>
              <w:rPr>
                <w:rFonts w:ascii="宋体" w:hAnsi="宋体" w:eastAsia="宋体" w:cs="宋体"/>
                <w:color w:val="auto"/>
                <w:sz w:val="22"/>
              </w:rPr>
            </w:pPr>
            <w:r>
              <w:rPr>
                <w:rFonts w:hint="eastAsia" w:ascii="宋体" w:hAnsi="宋体" w:eastAsia="宋体" w:cs="宋体"/>
                <w:color w:val="auto"/>
                <w:sz w:val="22"/>
              </w:rPr>
              <w:t>1.保密方案内容详细全面、合理、切实可行得</w:t>
            </w:r>
            <w:r>
              <w:rPr>
                <w:rFonts w:hint="eastAsia" w:ascii="宋体" w:hAnsi="宋体" w:eastAsia="宋体" w:cs="宋体"/>
                <w:color w:val="auto"/>
                <w:sz w:val="22"/>
                <w:lang w:val="en-US" w:eastAsia="zh-CN"/>
              </w:rPr>
              <w:t>10</w:t>
            </w:r>
            <w:r>
              <w:rPr>
                <w:rFonts w:hint="eastAsia" w:ascii="宋体" w:hAnsi="宋体" w:eastAsia="宋体" w:cs="宋体"/>
                <w:color w:val="auto"/>
                <w:sz w:val="22"/>
              </w:rPr>
              <w:t>分；</w:t>
            </w:r>
          </w:p>
          <w:p w14:paraId="26578D07">
            <w:pPr>
              <w:snapToGrid w:val="0"/>
              <w:spacing w:line="460" w:lineRule="exact"/>
              <w:rPr>
                <w:rFonts w:ascii="宋体" w:hAnsi="宋体" w:eastAsia="宋体" w:cs="宋体"/>
                <w:color w:val="auto"/>
                <w:sz w:val="22"/>
              </w:rPr>
            </w:pPr>
            <w:r>
              <w:rPr>
                <w:rFonts w:hint="eastAsia" w:ascii="宋体" w:hAnsi="宋体" w:eastAsia="宋体" w:cs="宋体"/>
                <w:color w:val="auto"/>
                <w:sz w:val="22"/>
              </w:rPr>
              <w:t>2.保密方案内容基本全面、较合理、可行的得</w:t>
            </w:r>
            <w:r>
              <w:rPr>
                <w:rFonts w:hint="eastAsia" w:ascii="宋体" w:hAnsi="宋体" w:eastAsia="宋体" w:cs="宋体"/>
                <w:color w:val="auto"/>
                <w:sz w:val="22"/>
                <w:lang w:val="en-US" w:eastAsia="zh-CN"/>
              </w:rPr>
              <w:t>6</w:t>
            </w:r>
            <w:r>
              <w:rPr>
                <w:rFonts w:hint="eastAsia" w:ascii="宋体" w:hAnsi="宋体" w:eastAsia="宋体" w:cs="宋体"/>
                <w:color w:val="auto"/>
                <w:sz w:val="22"/>
              </w:rPr>
              <w:t>分；</w:t>
            </w:r>
          </w:p>
          <w:p w14:paraId="014F7AB2">
            <w:pPr>
              <w:snapToGrid w:val="0"/>
              <w:spacing w:line="460" w:lineRule="exact"/>
              <w:rPr>
                <w:rFonts w:ascii="宋体" w:hAnsi="宋体" w:eastAsia="宋体" w:cs="宋体"/>
                <w:color w:val="auto"/>
                <w:sz w:val="22"/>
              </w:rPr>
            </w:pPr>
            <w:r>
              <w:rPr>
                <w:rFonts w:hint="eastAsia" w:ascii="宋体" w:hAnsi="宋体" w:eastAsia="宋体" w:cs="宋体"/>
                <w:color w:val="auto"/>
                <w:sz w:val="22"/>
              </w:rPr>
              <w:t>3.保密方案内容简单粗略、合理性较差得</w:t>
            </w:r>
            <w:r>
              <w:rPr>
                <w:rFonts w:hint="eastAsia" w:ascii="宋体" w:hAnsi="宋体" w:eastAsia="宋体" w:cs="宋体"/>
                <w:color w:val="auto"/>
                <w:sz w:val="22"/>
                <w:lang w:val="en-US" w:eastAsia="zh-CN"/>
              </w:rPr>
              <w:t>2</w:t>
            </w:r>
            <w:r>
              <w:rPr>
                <w:rFonts w:hint="eastAsia" w:ascii="宋体" w:hAnsi="宋体" w:eastAsia="宋体" w:cs="宋体"/>
                <w:color w:val="auto"/>
                <w:sz w:val="22"/>
              </w:rPr>
              <w:t>分；</w:t>
            </w:r>
          </w:p>
          <w:p w14:paraId="02ABE9D6">
            <w:pPr>
              <w:snapToGrid w:val="0"/>
              <w:spacing w:line="460" w:lineRule="exact"/>
              <w:rPr>
                <w:rFonts w:ascii="宋体" w:hAnsi="宋体" w:eastAsia="宋体" w:cs="宋体"/>
                <w:color w:val="auto"/>
                <w:sz w:val="22"/>
              </w:rPr>
            </w:pPr>
            <w:r>
              <w:rPr>
                <w:rFonts w:hint="eastAsia" w:ascii="宋体" w:hAnsi="宋体" w:eastAsia="宋体" w:cs="宋体"/>
                <w:color w:val="auto"/>
                <w:sz w:val="22"/>
              </w:rPr>
              <w:t>注：不提供不得分。</w:t>
            </w:r>
          </w:p>
        </w:tc>
      </w:tr>
      <w:tr w14:paraId="5D14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06" w:type="dxa"/>
            <w:gridSpan w:val="2"/>
            <w:vMerge w:val="continue"/>
            <w:vAlign w:val="center"/>
          </w:tcPr>
          <w:p w14:paraId="36CBE31F">
            <w:pPr>
              <w:spacing w:line="440" w:lineRule="exact"/>
              <w:jc w:val="left"/>
              <w:rPr>
                <w:rFonts w:ascii="宋体" w:hAnsi="宋体" w:eastAsia="宋体" w:cs="宋体"/>
                <w:color w:val="auto"/>
                <w:sz w:val="22"/>
                <w:szCs w:val="24"/>
              </w:rPr>
            </w:pPr>
          </w:p>
        </w:tc>
        <w:tc>
          <w:tcPr>
            <w:tcW w:w="1139" w:type="dxa"/>
            <w:vMerge w:val="continue"/>
            <w:vAlign w:val="center"/>
          </w:tcPr>
          <w:p w14:paraId="74FD3477">
            <w:pPr>
              <w:spacing w:line="440" w:lineRule="exact"/>
              <w:jc w:val="left"/>
              <w:rPr>
                <w:rFonts w:ascii="宋体" w:hAnsi="宋体" w:eastAsia="宋体" w:cs="宋体"/>
                <w:color w:val="auto"/>
                <w:sz w:val="22"/>
                <w:szCs w:val="24"/>
              </w:rPr>
            </w:pPr>
          </w:p>
        </w:tc>
        <w:tc>
          <w:tcPr>
            <w:tcW w:w="8126" w:type="dxa"/>
            <w:gridSpan w:val="3"/>
            <w:vAlign w:val="center"/>
          </w:tcPr>
          <w:p w14:paraId="434BD051">
            <w:pPr>
              <w:snapToGrid w:val="0"/>
              <w:spacing w:line="460" w:lineRule="exact"/>
              <w:rPr>
                <w:rFonts w:ascii="宋体" w:hAnsi="宋体" w:eastAsia="宋体" w:cs="宋体"/>
                <w:color w:val="auto"/>
                <w:sz w:val="22"/>
              </w:rPr>
            </w:pPr>
            <w:r>
              <w:rPr>
                <w:rFonts w:hint="eastAsia" w:ascii="宋体" w:hAnsi="宋体" w:eastAsia="宋体" w:cs="宋体"/>
                <w:color w:val="auto"/>
                <w:sz w:val="22"/>
              </w:rPr>
              <w:t>以上项目若有缺项的，该项为0分；不缺项的，不低于最低分。</w:t>
            </w:r>
          </w:p>
        </w:tc>
      </w:tr>
      <w:tr w14:paraId="517B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 w:type="dxa"/>
            <w:gridSpan w:val="2"/>
            <w:vMerge w:val="restart"/>
            <w:vAlign w:val="center"/>
          </w:tcPr>
          <w:p w14:paraId="1CC77B7D">
            <w:pPr>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2.2.3</w:t>
            </w:r>
          </w:p>
          <w:p w14:paraId="7B407053">
            <w:pPr>
              <w:spacing w:line="440" w:lineRule="exact"/>
              <w:jc w:val="left"/>
              <w:rPr>
                <w:rFonts w:ascii="宋体" w:hAnsi="宋体" w:eastAsia="宋体" w:cs="宋体"/>
                <w:color w:val="auto"/>
                <w:sz w:val="22"/>
                <w:szCs w:val="24"/>
              </w:rPr>
            </w:pPr>
          </w:p>
        </w:tc>
        <w:tc>
          <w:tcPr>
            <w:tcW w:w="1139" w:type="dxa"/>
            <w:vMerge w:val="restart"/>
            <w:vAlign w:val="center"/>
          </w:tcPr>
          <w:p w14:paraId="5078796C">
            <w:pPr>
              <w:spacing w:line="440" w:lineRule="exact"/>
              <w:jc w:val="center"/>
              <w:rPr>
                <w:rFonts w:ascii="宋体" w:hAnsi="宋体" w:eastAsia="宋体" w:cs="宋体"/>
                <w:color w:val="auto"/>
                <w:sz w:val="22"/>
                <w:szCs w:val="24"/>
              </w:rPr>
            </w:pPr>
            <w:r>
              <w:rPr>
                <w:rFonts w:hint="eastAsia" w:ascii="宋体" w:hAnsi="宋体" w:eastAsia="宋体" w:cs="宋体"/>
                <w:color w:val="auto"/>
                <w:sz w:val="22"/>
                <w:szCs w:val="24"/>
              </w:rPr>
              <w:t>综合部分</w:t>
            </w:r>
          </w:p>
          <w:p w14:paraId="0EC95C0E">
            <w:pPr>
              <w:spacing w:line="440" w:lineRule="exact"/>
              <w:jc w:val="center"/>
              <w:rPr>
                <w:rFonts w:ascii="宋体" w:hAnsi="宋体" w:eastAsia="宋体" w:cs="宋体"/>
                <w:color w:val="auto"/>
                <w:sz w:val="22"/>
                <w:szCs w:val="24"/>
              </w:rPr>
            </w:pPr>
            <w:r>
              <w:rPr>
                <w:rFonts w:hint="eastAsia" w:ascii="宋体" w:hAnsi="宋体" w:eastAsia="宋体" w:cs="宋体"/>
                <w:color w:val="auto"/>
                <w:sz w:val="22"/>
                <w:szCs w:val="24"/>
              </w:rPr>
              <w:t>（</w:t>
            </w:r>
            <w:r>
              <w:rPr>
                <w:rFonts w:hint="eastAsia" w:ascii="宋体" w:hAnsi="宋体" w:eastAsia="宋体" w:cs="宋体"/>
                <w:color w:val="auto"/>
                <w:sz w:val="22"/>
                <w:szCs w:val="24"/>
                <w:lang w:val="en-US" w:eastAsia="zh-CN"/>
              </w:rPr>
              <w:t>15</w:t>
            </w:r>
            <w:r>
              <w:rPr>
                <w:rFonts w:hint="eastAsia" w:ascii="宋体" w:hAnsi="宋体" w:eastAsia="宋体" w:cs="宋体"/>
                <w:color w:val="auto"/>
                <w:sz w:val="22"/>
                <w:szCs w:val="24"/>
              </w:rPr>
              <w:t>分）</w:t>
            </w:r>
          </w:p>
        </w:tc>
        <w:tc>
          <w:tcPr>
            <w:tcW w:w="1701" w:type="dxa"/>
            <w:vAlign w:val="center"/>
          </w:tcPr>
          <w:p w14:paraId="626CCB5D">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企业业绩</w:t>
            </w:r>
          </w:p>
          <w:p w14:paraId="6FC94FA5">
            <w:pPr>
              <w:snapToGrid w:val="0"/>
              <w:spacing w:line="460" w:lineRule="exact"/>
              <w:jc w:val="center"/>
              <w:rPr>
                <w:rFonts w:ascii="宋体" w:hAnsi="宋体" w:eastAsia="宋体" w:cs="宋体"/>
                <w:color w:val="auto"/>
                <w:sz w:val="22"/>
              </w:rPr>
            </w:pPr>
            <w:r>
              <w:rPr>
                <w:rFonts w:hint="eastAsia" w:ascii="宋体" w:hAnsi="宋体" w:eastAsia="宋体" w:cs="宋体"/>
                <w:color w:val="auto"/>
                <w:sz w:val="22"/>
              </w:rPr>
              <w:t>（</w:t>
            </w:r>
            <w:r>
              <w:rPr>
                <w:rFonts w:hint="eastAsia" w:ascii="宋体" w:hAnsi="宋体" w:eastAsia="宋体" w:cs="宋体"/>
                <w:color w:val="auto"/>
                <w:sz w:val="22"/>
                <w:lang w:val="en-US" w:eastAsia="zh-CN"/>
              </w:rPr>
              <w:t>9</w:t>
            </w:r>
            <w:r>
              <w:rPr>
                <w:rFonts w:hint="eastAsia" w:ascii="宋体" w:hAnsi="宋体" w:eastAsia="宋体" w:cs="宋体"/>
                <w:color w:val="auto"/>
                <w:sz w:val="22"/>
              </w:rPr>
              <w:t>分）</w:t>
            </w:r>
          </w:p>
        </w:tc>
        <w:tc>
          <w:tcPr>
            <w:tcW w:w="6425" w:type="dxa"/>
            <w:gridSpan w:val="2"/>
            <w:vAlign w:val="center"/>
          </w:tcPr>
          <w:p w14:paraId="75861FF7">
            <w:pPr>
              <w:snapToGrid w:val="0"/>
              <w:spacing w:line="460" w:lineRule="exact"/>
              <w:rPr>
                <w:rFonts w:ascii="宋体" w:hAnsi="宋体" w:eastAsia="宋体" w:cs="宋体"/>
                <w:color w:val="auto"/>
                <w:sz w:val="22"/>
              </w:rPr>
            </w:pPr>
            <w:r>
              <w:rPr>
                <w:rFonts w:hint="eastAsia" w:ascii="宋体" w:hAnsi="宋体" w:eastAsia="宋体" w:cs="宋体"/>
                <w:color w:val="auto"/>
                <w:sz w:val="22"/>
              </w:rPr>
              <w:t>供应商提供来20</w:t>
            </w:r>
            <w:r>
              <w:rPr>
                <w:rFonts w:ascii="宋体" w:hAnsi="宋体" w:eastAsia="宋体" w:cs="宋体"/>
                <w:color w:val="auto"/>
                <w:sz w:val="22"/>
              </w:rPr>
              <w:t>2</w:t>
            </w:r>
            <w:r>
              <w:rPr>
                <w:rFonts w:hint="eastAsia" w:ascii="宋体" w:hAnsi="宋体" w:eastAsia="宋体" w:cs="宋体"/>
                <w:color w:val="auto"/>
                <w:sz w:val="22"/>
              </w:rPr>
              <w:t>3年1月1日（以合同签订时间为准）签订有类似业绩，每份得</w:t>
            </w:r>
            <w:r>
              <w:rPr>
                <w:rFonts w:hint="eastAsia" w:ascii="宋体" w:hAnsi="宋体" w:eastAsia="宋体" w:cs="宋体"/>
                <w:color w:val="auto"/>
                <w:sz w:val="22"/>
                <w:lang w:val="en-US" w:eastAsia="zh-CN"/>
              </w:rPr>
              <w:t>3</w:t>
            </w:r>
            <w:r>
              <w:rPr>
                <w:rFonts w:hint="eastAsia" w:ascii="宋体" w:hAnsi="宋体" w:eastAsia="宋体" w:cs="宋体"/>
                <w:color w:val="auto"/>
                <w:sz w:val="22"/>
              </w:rPr>
              <w:t>分，最多得</w:t>
            </w:r>
            <w:r>
              <w:rPr>
                <w:rFonts w:hint="eastAsia" w:ascii="宋体" w:hAnsi="宋体" w:eastAsia="宋体" w:cs="宋体"/>
                <w:color w:val="auto"/>
                <w:sz w:val="22"/>
                <w:lang w:val="en-US" w:eastAsia="zh-CN"/>
              </w:rPr>
              <w:t>9</w:t>
            </w:r>
            <w:r>
              <w:rPr>
                <w:rFonts w:hint="eastAsia" w:ascii="宋体" w:hAnsi="宋体" w:eastAsia="宋体" w:cs="宋体"/>
                <w:color w:val="auto"/>
                <w:sz w:val="22"/>
              </w:rPr>
              <w:t>分。（提供合同复印件并加盖公章，否则不得分）</w:t>
            </w:r>
          </w:p>
        </w:tc>
      </w:tr>
      <w:tr w14:paraId="7433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 w:type="dxa"/>
            <w:gridSpan w:val="2"/>
            <w:vMerge w:val="continue"/>
            <w:vAlign w:val="center"/>
          </w:tcPr>
          <w:p w14:paraId="4473681D">
            <w:pPr>
              <w:spacing w:line="440" w:lineRule="exact"/>
              <w:jc w:val="left"/>
              <w:rPr>
                <w:rFonts w:ascii="宋体" w:hAnsi="宋体" w:eastAsia="宋体" w:cs="宋体"/>
                <w:color w:val="auto"/>
                <w:sz w:val="22"/>
                <w:szCs w:val="24"/>
              </w:rPr>
            </w:pPr>
          </w:p>
        </w:tc>
        <w:tc>
          <w:tcPr>
            <w:tcW w:w="1139" w:type="dxa"/>
            <w:vMerge w:val="continue"/>
            <w:vAlign w:val="center"/>
          </w:tcPr>
          <w:p w14:paraId="61E2EB92">
            <w:pPr>
              <w:spacing w:line="440" w:lineRule="exact"/>
              <w:jc w:val="left"/>
              <w:rPr>
                <w:rFonts w:ascii="宋体" w:hAnsi="宋体" w:eastAsia="宋体" w:cs="宋体"/>
                <w:color w:val="auto"/>
                <w:sz w:val="22"/>
                <w:szCs w:val="24"/>
              </w:rPr>
            </w:pPr>
          </w:p>
        </w:tc>
        <w:tc>
          <w:tcPr>
            <w:tcW w:w="1701" w:type="dxa"/>
            <w:vAlign w:val="center"/>
          </w:tcPr>
          <w:p w14:paraId="0EDBFCFC">
            <w:pPr>
              <w:spacing w:line="400" w:lineRule="exact"/>
              <w:jc w:val="center"/>
              <w:rPr>
                <w:rFonts w:ascii="宋体" w:hAnsi="宋体" w:eastAsia="宋体" w:cs="宋体"/>
                <w:color w:val="auto"/>
                <w:kern w:val="0"/>
                <w:sz w:val="22"/>
              </w:rPr>
            </w:pPr>
            <w:r>
              <w:rPr>
                <w:rFonts w:hint="eastAsia" w:ascii="宋体" w:hAnsi="宋体" w:eastAsia="宋体" w:cs="宋体"/>
                <w:color w:val="auto"/>
                <w:kern w:val="0"/>
                <w:sz w:val="22"/>
              </w:rPr>
              <w:t>服务承诺</w:t>
            </w:r>
          </w:p>
          <w:p w14:paraId="2E832656">
            <w:pPr>
              <w:widowControl/>
              <w:kinsoku w:val="0"/>
              <w:autoSpaceDE w:val="0"/>
              <w:autoSpaceDN w:val="0"/>
              <w:adjustRightInd w:val="0"/>
              <w:snapToGrid w:val="0"/>
              <w:spacing w:line="440" w:lineRule="exact"/>
              <w:jc w:val="center"/>
              <w:textAlignment w:val="baseline"/>
              <w:rPr>
                <w:rFonts w:ascii="宋体" w:hAnsi="宋体" w:eastAsia="宋体" w:cs="宋体"/>
                <w:color w:val="auto"/>
                <w:sz w:val="22"/>
              </w:rPr>
            </w:pPr>
            <w:r>
              <w:rPr>
                <w:rFonts w:hint="eastAsia" w:ascii="宋体" w:hAnsi="宋体" w:eastAsia="宋体" w:cs="仿宋_GB2312"/>
                <w:bCs/>
                <w:color w:val="auto"/>
                <w:sz w:val="22"/>
              </w:rPr>
              <w:t>(</w:t>
            </w:r>
            <w:r>
              <w:rPr>
                <w:rFonts w:hint="eastAsia" w:ascii="宋体" w:hAnsi="宋体" w:eastAsia="宋体" w:cs="仿宋_GB2312"/>
                <w:bCs/>
                <w:color w:val="auto"/>
                <w:sz w:val="22"/>
                <w:lang w:val="en-US" w:eastAsia="zh-CN"/>
              </w:rPr>
              <w:t>6</w:t>
            </w:r>
            <w:r>
              <w:rPr>
                <w:rFonts w:hint="eastAsia" w:ascii="宋体" w:hAnsi="宋体" w:eastAsia="宋体" w:cs="仿宋_GB2312"/>
                <w:bCs/>
                <w:color w:val="auto"/>
                <w:sz w:val="22"/>
              </w:rPr>
              <w:t>分)</w:t>
            </w:r>
          </w:p>
        </w:tc>
        <w:tc>
          <w:tcPr>
            <w:tcW w:w="6425" w:type="dxa"/>
            <w:gridSpan w:val="2"/>
            <w:vAlign w:val="center"/>
          </w:tcPr>
          <w:p w14:paraId="37FEC7D3">
            <w:pPr>
              <w:widowControl/>
              <w:kinsoku w:val="0"/>
              <w:autoSpaceDE w:val="0"/>
              <w:autoSpaceDN w:val="0"/>
              <w:adjustRightInd w:val="0"/>
              <w:snapToGrid w:val="0"/>
              <w:spacing w:line="440" w:lineRule="exact"/>
              <w:textAlignment w:val="baseline"/>
              <w:rPr>
                <w:rFonts w:ascii="宋体" w:hAnsi="宋体" w:eastAsia="宋体" w:cs="仿宋_GB2312"/>
                <w:bCs/>
                <w:color w:val="auto"/>
                <w:sz w:val="22"/>
              </w:rPr>
            </w:pPr>
            <w:r>
              <w:rPr>
                <w:rFonts w:hint="eastAsia" w:ascii="宋体" w:hAnsi="宋体" w:eastAsia="宋体" w:cs="仿宋_GB2312"/>
                <w:bCs/>
                <w:color w:val="auto"/>
                <w:sz w:val="22"/>
              </w:rPr>
              <w:t>对供应商提供的服务承诺进行综合评定，提供的此项内容描述能最大限度的满足项目需求，有详尽的后续服务内容、提供的服务承诺等内容。</w:t>
            </w:r>
          </w:p>
          <w:p w14:paraId="3F0D38B8">
            <w:pPr>
              <w:widowControl/>
              <w:kinsoku w:val="0"/>
              <w:autoSpaceDE w:val="0"/>
              <w:autoSpaceDN w:val="0"/>
              <w:adjustRightInd w:val="0"/>
              <w:snapToGrid w:val="0"/>
              <w:spacing w:line="440" w:lineRule="exact"/>
              <w:textAlignment w:val="baseline"/>
              <w:rPr>
                <w:rFonts w:ascii="宋体" w:hAnsi="宋体" w:eastAsia="宋体" w:cs="仿宋_GB2312"/>
                <w:bCs/>
                <w:color w:val="auto"/>
                <w:sz w:val="22"/>
              </w:rPr>
            </w:pPr>
            <w:r>
              <w:rPr>
                <w:rFonts w:hint="eastAsia" w:ascii="宋体" w:hAnsi="宋体" w:eastAsia="宋体" w:cs="仿宋_GB2312"/>
                <w:bCs/>
                <w:color w:val="auto"/>
                <w:sz w:val="22"/>
              </w:rPr>
              <w:t>服务承诺内容全面、具体、可行，得</w:t>
            </w:r>
            <w:r>
              <w:rPr>
                <w:rFonts w:hint="eastAsia" w:ascii="宋体" w:hAnsi="宋体" w:eastAsia="宋体" w:cs="仿宋_GB2312"/>
                <w:bCs/>
                <w:color w:val="auto"/>
                <w:sz w:val="22"/>
                <w:lang w:val="en-US" w:eastAsia="zh-CN"/>
              </w:rPr>
              <w:t>6</w:t>
            </w:r>
            <w:r>
              <w:rPr>
                <w:rFonts w:hint="eastAsia" w:ascii="宋体" w:hAnsi="宋体" w:eastAsia="宋体" w:cs="仿宋_GB2312"/>
                <w:bCs/>
                <w:color w:val="auto"/>
                <w:sz w:val="22"/>
              </w:rPr>
              <w:t>分；</w:t>
            </w:r>
          </w:p>
          <w:p w14:paraId="3F0CF8F9">
            <w:pPr>
              <w:widowControl/>
              <w:kinsoku w:val="0"/>
              <w:autoSpaceDE w:val="0"/>
              <w:autoSpaceDN w:val="0"/>
              <w:adjustRightInd w:val="0"/>
              <w:snapToGrid w:val="0"/>
              <w:spacing w:line="440" w:lineRule="exact"/>
              <w:textAlignment w:val="baseline"/>
              <w:rPr>
                <w:rFonts w:ascii="宋体" w:hAnsi="宋体" w:eastAsia="宋体" w:cs="仿宋_GB2312"/>
                <w:bCs/>
                <w:color w:val="auto"/>
                <w:sz w:val="22"/>
              </w:rPr>
            </w:pPr>
            <w:r>
              <w:rPr>
                <w:rFonts w:hint="eastAsia" w:ascii="宋体" w:hAnsi="宋体" w:eastAsia="宋体" w:cs="仿宋_GB2312"/>
                <w:bCs/>
                <w:color w:val="auto"/>
                <w:sz w:val="22"/>
              </w:rPr>
              <w:t>服务承诺内容片面、稍有欠缺、基本可行，得3分；</w:t>
            </w:r>
          </w:p>
          <w:p w14:paraId="2B538238">
            <w:pPr>
              <w:widowControl/>
              <w:kinsoku w:val="0"/>
              <w:autoSpaceDE w:val="0"/>
              <w:autoSpaceDN w:val="0"/>
              <w:adjustRightInd w:val="0"/>
              <w:snapToGrid w:val="0"/>
              <w:spacing w:line="440" w:lineRule="exact"/>
              <w:textAlignment w:val="baseline"/>
              <w:rPr>
                <w:rFonts w:ascii="宋体" w:hAnsi="宋体" w:eastAsia="宋体" w:cs="仿宋_GB2312"/>
                <w:bCs/>
                <w:color w:val="auto"/>
                <w:sz w:val="22"/>
              </w:rPr>
            </w:pPr>
            <w:r>
              <w:rPr>
                <w:rFonts w:hint="eastAsia" w:ascii="宋体" w:hAnsi="宋体" w:eastAsia="宋体" w:cs="仿宋_GB2312"/>
                <w:bCs/>
                <w:color w:val="auto"/>
                <w:sz w:val="22"/>
              </w:rPr>
              <w:t>服务承诺内容简单、欠缺较多、承诺较差，得1分；</w:t>
            </w:r>
          </w:p>
          <w:p w14:paraId="6F0F36A2">
            <w:pPr>
              <w:widowControl/>
              <w:kinsoku w:val="0"/>
              <w:autoSpaceDE w:val="0"/>
              <w:autoSpaceDN w:val="0"/>
              <w:adjustRightInd w:val="0"/>
              <w:snapToGrid w:val="0"/>
              <w:spacing w:line="440" w:lineRule="exact"/>
              <w:textAlignment w:val="baseline"/>
              <w:rPr>
                <w:rFonts w:ascii="宋体" w:hAnsi="宋体" w:eastAsia="宋体" w:cs="宋体"/>
                <w:color w:val="auto"/>
                <w:sz w:val="22"/>
              </w:rPr>
            </w:pPr>
            <w:r>
              <w:rPr>
                <w:rFonts w:hint="eastAsia" w:ascii="宋体" w:hAnsi="宋体" w:eastAsia="宋体" w:cs="仿宋_GB2312"/>
                <w:bCs/>
                <w:color w:val="auto"/>
                <w:sz w:val="22"/>
              </w:rPr>
              <w:t>注：未提供的不得分。</w:t>
            </w:r>
          </w:p>
        </w:tc>
      </w:tr>
      <w:tr w14:paraId="40E6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06" w:type="dxa"/>
            <w:gridSpan w:val="2"/>
            <w:vMerge w:val="continue"/>
            <w:vAlign w:val="center"/>
          </w:tcPr>
          <w:p w14:paraId="657888AE">
            <w:pPr>
              <w:spacing w:line="440" w:lineRule="exact"/>
              <w:jc w:val="left"/>
              <w:rPr>
                <w:rFonts w:ascii="宋体" w:hAnsi="宋体" w:eastAsia="宋体" w:cs="宋体"/>
                <w:color w:val="auto"/>
                <w:sz w:val="22"/>
                <w:szCs w:val="24"/>
              </w:rPr>
            </w:pPr>
          </w:p>
        </w:tc>
        <w:tc>
          <w:tcPr>
            <w:tcW w:w="1139" w:type="dxa"/>
            <w:vMerge w:val="continue"/>
            <w:vAlign w:val="center"/>
          </w:tcPr>
          <w:p w14:paraId="4CCC61AA">
            <w:pPr>
              <w:spacing w:line="440" w:lineRule="exact"/>
              <w:jc w:val="left"/>
              <w:rPr>
                <w:rFonts w:ascii="宋体" w:hAnsi="宋体" w:eastAsia="宋体" w:cs="宋体"/>
                <w:color w:val="auto"/>
                <w:sz w:val="22"/>
                <w:szCs w:val="24"/>
              </w:rPr>
            </w:pPr>
          </w:p>
        </w:tc>
        <w:tc>
          <w:tcPr>
            <w:tcW w:w="8126" w:type="dxa"/>
            <w:gridSpan w:val="3"/>
            <w:vAlign w:val="center"/>
          </w:tcPr>
          <w:p w14:paraId="227A056F">
            <w:pPr>
              <w:tabs>
                <w:tab w:val="left" w:pos="1661"/>
              </w:tabs>
              <w:spacing w:line="440" w:lineRule="exact"/>
              <w:jc w:val="left"/>
              <w:rPr>
                <w:rFonts w:ascii="宋体" w:hAnsi="宋体" w:eastAsia="宋体" w:cs="宋体"/>
                <w:color w:val="auto"/>
                <w:sz w:val="22"/>
                <w:szCs w:val="24"/>
              </w:rPr>
            </w:pPr>
            <w:r>
              <w:rPr>
                <w:rFonts w:hint="eastAsia" w:ascii="宋体" w:hAnsi="宋体" w:eastAsia="宋体" w:cs="宋体"/>
                <w:color w:val="auto"/>
                <w:sz w:val="22"/>
                <w:szCs w:val="24"/>
              </w:rPr>
              <w:t>以上项目若有缺项的，该项为0分；不缺项的，不低于最低分。</w:t>
            </w:r>
          </w:p>
        </w:tc>
      </w:tr>
    </w:tbl>
    <w:p w14:paraId="54423D22">
      <w:pPr>
        <w:snapToGrid w:val="0"/>
        <w:spacing w:line="360" w:lineRule="auto"/>
        <w:ind w:firstLine="442" w:firstLineChars="200"/>
        <w:jc w:val="left"/>
        <w:rPr>
          <w:rFonts w:ascii="宋体" w:hAnsi="宋体" w:eastAsia="宋体" w:cs="宋体"/>
          <w:b/>
          <w:bCs/>
          <w:color w:val="auto"/>
          <w:szCs w:val="24"/>
        </w:rPr>
      </w:pPr>
      <w:r>
        <w:rPr>
          <w:rFonts w:hint="eastAsia" w:ascii="宋体" w:hAnsi="宋体" w:eastAsia="宋体" w:cs="宋体"/>
          <w:b/>
          <w:bCs/>
          <w:color w:val="auto"/>
          <w:sz w:val="22"/>
          <w:szCs w:val="28"/>
        </w:rPr>
        <w:t>注</w:t>
      </w:r>
      <w:r>
        <w:rPr>
          <w:rFonts w:ascii="宋体" w:hAnsi="宋体" w:eastAsia="宋体" w:cs="宋体"/>
          <w:b/>
          <w:bCs/>
          <w:color w:val="auto"/>
          <w:sz w:val="22"/>
          <w:szCs w:val="28"/>
        </w:rPr>
        <w:t>:</w:t>
      </w:r>
      <w:r>
        <w:rPr>
          <w:rFonts w:hint="eastAsia" w:ascii="宋体" w:hAnsi="宋体" w:eastAsia="宋体" w:cs="宋体"/>
          <w:b/>
          <w:bCs/>
          <w:color w:val="auto"/>
          <w:sz w:val="22"/>
          <w:szCs w:val="28"/>
        </w:rPr>
        <w:t>评标打分部分仍按照100分制原则进行，涉及到资格审查、企业实力、企业业绩等计分部分时，以供应商自行上传到响应文件中的相应内容为准。</w:t>
      </w:r>
    </w:p>
    <w:p w14:paraId="0F580D33">
      <w:pPr>
        <w:snapToGrid w:val="0"/>
        <w:spacing w:line="360" w:lineRule="auto"/>
        <w:ind w:firstLine="442" w:firstLineChars="200"/>
        <w:jc w:val="left"/>
        <w:rPr>
          <w:rFonts w:ascii="宋体" w:hAnsi="宋体" w:eastAsia="宋体" w:cs="宋体"/>
          <w:b/>
          <w:bCs/>
          <w:color w:val="auto"/>
          <w:sz w:val="22"/>
          <w:szCs w:val="24"/>
        </w:rPr>
      </w:pPr>
      <w:r>
        <w:rPr>
          <w:rFonts w:hint="eastAsia" w:ascii="宋体" w:hAnsi="宋体" w:eastAsia="宋体" w:cs="宋体"/>
          <w:b/>
          <w:bCs/>
          <w:color w:val="auto"/>
          <w:sz w:val="22"/>
          <w:szCs w:val="24"/>
        </w:rPr>
        <w:t>1、评标方法</w:t>
      </w:r>
    </w:p>
    <w:p w14:paraId="2222FB58">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本次评审采用综合评分法。磋商小组对满足竞争性磋商文件实质性要求的磋商响应文件，按照本章第2.2款规定的评分标准进行打分，并按得分由高到低顺序推荐成交候选人，但磋商报价低于其成本的除外。综合评分相等时，以磋商报价低的优先；磋商报价也相等的，</w:t>
      </w:r>
      <w:bookmarkStart w:id="140" w:name="_Toc179632619"/>
      <w:bookmarkStart w:id="141" w:name="_Toc152045601"/>
      <w:bookmarkStart w:id="142" w:name="_Toc246996987"/>
      <w:bookmarkStart w:id="143" w:name="_Toc246996244"/>
      <w:bookmarkStart w:id="144" w:name="_Toc152042378"/>
      <w:bookmarkStart w:id="145" w:name="_Toc296602489"/>
      <w:bookmarkStart w:id="146" w:name="_Toc144974568"/>
      <w:bookmarkStart w:id="147" w:name="_Toc247085759"/>
      <w:r>
        <w:rPr>
          <w:rFonts w:hint="eastAsia" w:ascii="宋体" w:hAnsi="宋体" w:eastAsia="宋体" w:cs="宋体"/>
          <w:color w:val="auto"/>
          <w:sz w:val="22"/>
          <w:szCs w:val="24"/>
        </w:rPr>
        <w:t>以技术得分高的优先；如果技术得分也相等，以先提交响应文件的优先。</w:t>
      </w:r>
    </w:p>
    <w:p w14:paraId="1076BC46">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评审中出现下列情形之一的，评审委员会应当启动异常低价投标（响应）审查程序：</w:t>
      </w:r>
    </w:p>
    <w:p w14:paraId="6240862C">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1.投标（响应）报价低于全部通过符合性审查供应商投标（响应）报价平均值50%的，即投标（响应）报价&lt;全部通过符合性审查供应商投标（响应）报价平均值×50%；</w:t>
      </w:r>
    </w:p>
    <w:p w14:paraId="0F568176">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2.投标（响应）报价低于通过符合性审查的次低报价供应商投标（响应）报价50%的，即投标（响应）报价&lt;通过符合性审查的次低报价供应商投标（响应）报价×50%；</w:t>
      </w:r>
    </w:p>
    <w:p w14:paraId="0830C08D">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3.投标（响应）报价低于采购项目最高限价45%的，即投标（响应）报价&lt;采购项目最高限价×45%；</w:t>
      </w:r>
    </w:p>
    <w:p w14:paraId="5184738D">
      <w:pPr>
        <w:snapToGrid w:val="0"/>
        <w:spacing w:line="460" w:lineRule="exact"/>
        <w:ind w:firstLine="440" w:firstLineChars="200"/>
        <w:jc w:val="left"/>
        <w:rPr>
          <w:rFonts w:ascii="宋体" w:hAnsi="宋体" w:eastAsia="宋体" w:cs="宋体"/>
          <w:b/>
          <w:bCs/>
          <w:color w:val="auto"/>
          <w:sz w:val="22"/>
          <w:szCs w:val="24"/>
        </w:rPr>
      </w:pPr>
      <w:r>
        <w:rPr>
          <w:rFonts w:hint="eastAsia" w:ascii="宋体" w:hAnsi="宋体" w:eastAsia="宋体" w:cs="宋体"/>
          <w:color w:val="auto"/>
          <w:sz w:val="22"/>
          <w:szCs w:val="24"/>
        </w:rPr>
        <w:t>4.评审委员会基于专业判断，认为供应商报价过低，有可能影响产品质量或者不能诚信履约的其他情形。</w:t>
      </w:r>
    </w:p>
    <w:p w14:paraId="47A6C0D8">
      <w:pPr>
        <w:snapToGrid w:val="0"/>
        <w:spacing w:line="460" w:lineRule="exact"/>
        <w:ind w:firstLine="442" w:firstLineChars="200"/>
        <w:jc w:val="left"/>
        <w:rPr>
          <w:rFonts w:ascii="宋体" w:hAnsi="宋体" w:eastAsia="宋体" w:cs="宋体"/>
          <w:b/>
          <w:bCs/>
          <w:color w:val="auto"/>
          <w:sz w:val="22"/>
          <w:szCs w:val="24"/>
        </w:rPr>
      </w:pPr>
      <w:r>
        <w:rPr>
          <w:rFonts w:hint="eastAsia" w:ascii="宋体" w:hAnsi="宋体" w:eastAsia="宋体" w:cs="宋体"/>
          <w:b/>
          <w:bCs/>
          <w:color w:val="auto"/>
          <w:sz w:val="22"/>
          <w:szCs w:val="24"/>
        </w:rPr>
        <w:t>对于异常低价，异常低价供应商必须对其价格构成做出合理解释，同时在30分钟内提交必要的相关证据材料。投标（响应）供应商不能提供书面说明、证明材料，或者提供的书面说明、证明材料不能证明其报价合理性的，评审委员会应当将其作为无效投标（响应）处理。</w:t>
      </w:r>
    </w:p>
    <w:p w14:paraId="408AC3BB">
      <w:pPr>
        <w:snapToGrid w:val="0"/>
        <w:spacing w:line="460" w:lineRule="exact"/>
        <w:ind w:firstLine="440" w:firstLineChars="200"/>
        <w:jc w:val="left"/>
        <w:rPr>
          <w:rFonts w:ascii="宋体" w:hAnsi="宋体" w:eastAsia="宋体" w:cs="宋体"/>
          <w:b/>
          <w:bCs/>
          <w:color w:val="auto"/>
          <w:sz w:val="22"/>
          <w:szCs w:val="24"/>
        </w:rPr>
      </w:pPr>
      <w:r>
        <w:rPr>
          <w:rFonts w:hint="eastAsia" w:ascii="宋体" w:hAnsi="宋体" w:eastAsia="宋体" w:cs="宋体"/>
          <w:color w:val="auto"/>
          <w:sz w:val="22"/>
          <w:szCs w:val="24"/>
        </w:rPr>
        <w:t>异常低价投标（响应）审查的启动原因、审查意见和审查结果应当在评审报告中记录，并随供应商提供的相关书面说明及证明材料，以及评审委员会有关互联网浏览、查询历史一并归档。</w:t>
      </w:r>
    </w:p>
    <w:p w14:paraId="50FF96C1">
      <w:pPr>
        <w:snapToGrid w:val="0"/>
        <w:spacing w:line="460" w:lineRule="exact"/>
        <w:ind w:firstLine="442" w:firstLineChars="200"/>
        <w:jc w:val="left"/>
        <w:rPr>
          <w:rFonts w:ascii="宋体" w:hAnsi="宋体" w:eastAsia="宋体" w:cs="宋体"/>
          <w:b/>
          <w:bCs/>
          <w:color w:val="auto"/>
          <w:sz w:val="22"/>
          <w:szCs w:val="24"/>
        </w:rPr>
      </w:pPr>
      <w:r>
        <w:rPr>
          <w:rFonts w:hint="eastAsia" w:ascii="宋体" w:hAnsi="宋体" w:eastAsia="宋体" w:cs="宋体"/>
          <w:b/>
          <w:bCs/>
          <w:color w:val="auto"/>
          <w:sz w:val="22"/>
          <w:szCs w:val="24"/>
        </w:rPr>
        <w:t>2、评审标准</w:t>
      </w:r>
      <w:bookmarkEnd w:id="140"/>
      <w:bookmarkEnd w:id="141"/>
      <w:bookmarkEnd w:id="142"/>
      <w:bookmarkEnd w:id="143"/>
      <w:bookmarkEnd w:id="144"/>
      <w:bookmarkEnd w:id="145"/>
      <w:bookmarkEnd w:id="146"/>
      <w:bookmarkEnd w:id="147"/>
      <w:bookmarkStart w:id="148" w:name="_Toc296602490"/>
      <w:bookmarkStart w:id="149" w:name="_Toc246996988"/>
      <w:bookmarkStart w:id="150" w:name="_Toc179632620"/>
      <w:bookmarkStart w:id="151" w:name="_Toc152042379"/>
      <w:bookmarkStart w:id="152" w:name="_Toc144974569"/>
      <w:bookmarkStart w:id="153" w:name="_Toc247085760"/>
      <w:bookmarkStart w:id="154" w:name="_Toc152045602"/>
      <w:bookmarkStart w:id="155" w:name="_Toc246996245"/>
    </w:p>
    <w:p w14:paraId="2AA55121">
      <w:pPr>
        <w:snapToGrid w:val="0"/>
        <w:spacing w:line="460" w:lineRule="exact"/>
        <w:ind w:firstLine="442" w:firstLineChars="200"/>
        <w:jc w:val="left"/>
        <w:rPr>
          <w:rFonts w:ascii="宋体" w:hAnsi="宋体" w:eastAsia="宋体" w:cs="宋体"/>
          <w:b/>
          <w:bCs/>
          <w:color w:val="auto"/>
          <w:sz w:val="22"/>
          <w:szCs w:val="24"/>
        </w:rPr>
      </w:pPr>
      <w:r>
        <w:rPr>
          <w:rFonts w:hint="eastAsia" w:ascii="宋体" w:hAnsi="宋体" w:eastAsia="宋体" w:cs="宋体"/>
          <w:b/>
          <w:bCs/>
          <w:color w:val="auto"/>
          <w:sz w:val="22"/>
          <w:szCs w:val="24"/>
        </w:rPr>
        <w:t>2.1初步评审标准</w:t>
      </w:r>
      <w:bookmarkEnd w:id="148"/>
      <w:bookmarkEnd w:id="149"/>
      <w:bookmarkEnd w:id="150"/>
      <w:bookmarkEnd w:id="151"/>
      <w:bookmarkEnd w:id="152"/>
      <w:bookmarkEnd w:id="153"/>
      <w:bookmarkEnd w:id="154"/>
      <w:bookmarkEnd w:id="155"/>
    </w:p>
    <w:p w14:paraId="3A60CCEF">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2.1.1资格评审标准：见评标办法前附表。</w:t>
      </w:r>
    </w:p>
    <w:p w14:paraId="5AF55CA5">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2.1.2符合性评审标准：见评标办法前附表。</w:t>
      </w:r>
    </w:p>
    <w:p w14:paraId="7689EAA4">
      <w:pPr>
        <w:snapToGrid w:val="0"/>
        <w:spacing w:line="460" w:lineRule="exact"/>
        <w:ind w:firstLine="442" w:firstLineChars="200"/>
        <w:jc w:val="left"/>
        <w:rPr>
          <w:rFonts w:ascii="宋体" w:hAnsi="宋体" w:eastAsia="宋体" w:cs="宋体"/>
          <w:b/>
          <w:bCs/>
          <w:color w:val="auto"/>
          <w:sz w:val="22"/>
          <w:szCs w:val="24"/>
        </w:rPr>
      </w:pPr>
      <w:bookmarkStart w:id="156" w:name="_Toc296602491"/>
      <w:bookmarkStart w:id="157" w:name="_Toc152042380"/>
      <w:bookmarkStart w:id="158" w:name="_Toc246996989"/>
      <w:bookmarkStart w:id="159" w:name="_Toc247085761"/>
      <w:bookmarkStart w:id="160" w:name="_Toc152045603"/>
      <w:bookmarkStart w:id="161" w:name="_Toc144974570"/>
      <w:bookmarkStart w:id="162" w:name="_Toc179632621"/>
      <w:bookmarkStart w:id="163" w:name="_Toc246996246"/>
      <w:r>
        <w:rPr>
          <w:rFonts w:hint="eastAsia" w:ascii="宋体" w:hAnsi="宋体" w:eastAsia="宋体" w:cs="宋体"/>
          <w:b/>
          <w:bCs/>
          <w:color w:val="auto"/>
          <w:sz w:val="22"/>
          <w:szCs w:val="24"/>
        </w:rPr>
        <w:t>2.2分值构成与评分标准</w:t>
      </w:r>
      <w:bookmarkEnd w:id="156"/>
      <w:bookmarkEnd w:id="157"/>
      <w:bookmarkEnd w:id="158"/>
      <w:bookmarkEnd w:id="159"/>
      <w:bookmarkEnd w:id="160"/>
      <w:bookmarkEnd w:id="161"/>
      <w:bookmarkEnd w:id="162"/>
      <w:bookmarkEnd w:id="163"/>
    </w:p>
    <w:p w14:paraId="3EBA1EB1">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2.2.1分值构成</w:t>
      </w:r>
    </w:p>
    <w:p w14:paraId="2820EF64">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（1）技术标：见评标办法前附表；</w:t>
      </w:r>
    </w:p>
    <w:p w14:paraId="450C093E">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（2）商务标：见评标办法前附表；</w:t>
      </w:r>
    </w:p>
    <w:p w14:paraId="40BB6CA8">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（3）综合标：见评标办法前附表。</w:t>
      </w:r>
    </w:p>
    <w:p w14:paraId="70CB7C5C">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2.2.2评分标准</w:t>
      </w:r>
    </w:p>
    <w:p w14:paraId="3B58DE65">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（1）技术标评分标准：见评标办法前附表；</w:t>
      </w:r>
    </w:p>
    <w:p w14:paraId="75CDBA36">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（2）商务标评分标准：见评标办法前附表；</w:t>
      </w:r>
    </w:p>
    <w:p w14:paraId="46744A10">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（3）综合标评分标准：见评标办法前附表。</w:t>
      </w:r>
      <w:bookmarkStart w:id="164" w:name="_Toc152045604"/>
      <w:bookmarkStart w:id="165" w:name="_Toc144974571"/>
      <w:bookmarkStart w:id="166" w:name="_Toc179632622"/>
      <w:bookmarkStart w:id="167" w:name="_Toc246996990"/>
      <w:bookmarkStart w:id="168" w:name="_Toc246996247"/>
      <w:bookmarkStart w:id="169" w:name="_Toc296602492"/>
      <w:bookmarkStart w:id="170" w:name="_Toc247085762"/>
      <w:bookmarkStart w:id="171" w:name="_Toc152042381"/>
    </w:p>
    <w:p w14:paraId="011DDB2F">
      <w:pPr>
        <w:snapToGrid w:val="0"/>
        <w:spacing w:line="460" w:lineRule="exact"/>
        <w:ind w:firstLine="442" w:firstLineChars="200"/>
        <w:jc w:val="left"/>
        <w:rPr>
          <w:rFonts w:ascii="宋体" w:hAnsi="宋体" w:eastAsia="宋体" w:cs="宋体"/>
          <w:b/>
          <w:bCs/>
          <w:color w:val="auto"/>
          <w:sz w:val="22"/>
          <w:szCs w:val="24"/>
        </w:rPr>
      </w:pPr>
      <w:r>
        <w:rPr>
          <w:rFonts w:hint="eastAsia" w:ascii="宋体" w:hAnsi="宋体" w:eastAsia="宋体" w:cs="宋体"/>
          <w:b/>
          <w:bCs/>
          <w:color w:val="auto"/>
          <w:sz w:val="22"/>
          <w:szCs w:val="24"/>
        </w:rPr>
        <w:t>3.评标程序</w:t>
      </w:r>
      <w:bookmarkEnd w:id="164"/>
      <w:bookmarkEnd w:id="165"/>
      <w:bookmarkEnd w:id="166"/>
      <w:bookmarkEnd w:id="167"/>
      <w:bookmarkEnd w:id="168"/>
      <w:bookmarkEnd w:id="169"/>
      <w:bookmarkEnd w:id="170"/>
      <w:bookmarkEnd w:id="171"/>
    </w:p>
    <w:p w14:paraId="739C18EC">
      <w:pPr>
        <w:snapToGrid w:val="0"/>
        <w:spacing w:line="460" w:lineRule="exact"/>
        <w:ind w:firstLine="440" w:firstLineChars="200"/>
        <w:jc w:val="left"/>
        <w:rPr>
          <w:rFonts w:ascii="宋体" w:hAnsi="宋体" w:eastAsia="宋体" w:cs="宋体"/>
          <w:color w:val="auto"/>
          <w:sz w:val="22"/>
          <w:szCs w:val="24"/>
        </w:rPr>
      </w:pPr>
      <w:bookmarkStart w:id="172" w:name="_Toc247085763"/>
      <w:bookmarkStart w:id="173" w:name="_Toc179632623"/>
      <w:bookmarkStart w:id="174" w:name="_Toc144974572"/>
      <w:bookmarkStart w:id="175" w:name="_Toc296602493"/>
      <w:bookmarkStart w:id="176" w:name="_Toc246996991"/>
      <w:bookmarkStart w:id="177" w:name="_Toc152045605"/>
      <w:bookmarkStart w:id="178" w:name="_Toc152042382"/>
      <w:bookmarkStart w:id="179" w:name="_Toc246996248"/>
      <w:r>
        <w:rPr>
          <w:rFonts w:hint="eastAsia" w:ascii="宋体" w:hAnsi="宋体" w:eastAsia="宋体" w:cs="宋体"/>
          <w:color w:val="auto"/>
          <w:sz w:val="22"/>
          <w:szCs w:val="24"/>
        </w:rPr>
        <w:t>3.1初步评审</w:t>
      </w:r>
      <w:bookmarkEnd w:id="172"/>
      <w:bookmarkEnd w:id="173"/>
      <w:bookmarkEnd w:id="174"/>
      <w:bookmarkEnd w:id="175"/>
      <w:bookmarkEnd w:id="176"/>
      <w:bookmarkEnd w:id="177"/>
      <w:bookmarkEnd w:id="178"/>
      <w:bookmarkEnd w:id="179"/>
    </w:p>
    <w:p w14:paraId="3817C642">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3.1.1磋商小组依据本章第2.1款规定的标准对磋商响应文件进行初步评审。有一项不符合评审标准的，磋商小组应当否决其投标。</w:t>
      </w:r>
    </w:p>
    <w:p w14:paraId="60AD5A8C">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3.1.2供应商有以下情形之一的，磋商小组应当否决其投标：</w:t>
      </w:r>
    </w:p>
    <w:p w14:paraId="19E12F8F">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（1）串通投标或弄虚作假或有其他违法行为的；</w:t>
      </w:r>
    </w:p>
    <w:p w14:paraId="3C4DF222">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（2）不按磋商小组要求澄清、说明或补正的。</w:t>
      </w:r>
    </w:p>
    <w:p w14:paraId="48B37C44">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3.1.3磋商报价有算术错误的，磋商小组按以下原则对磋商报价进行修正，修正的价格经供应商书面确认后具有约束力。供应商不接受修正价格的，磋商小组应当否决其投标。</w:t>
      </w:r>
    </w:p>
    <w:p w14:paraId="07DB8F6A">
      <w:pPr>
        <w:snapToGrid w:val="0"/>
        <w:spacing w:line="460" w:lineRule="exact"/>
        <w:ind w:firstLine="440" w:firstLineChars="200"/>
        <w:jc w:val="left"/>
        <w:rPr>
          <w:rFonts w:ascii="宋体" w:hAnsi="宋体" w:eastAsia="宋体" w:cs="宋体"/>
          <w:color w:val="auto"/>
          <w:sz w:val="22"/>
          <w:szCs w:val="24"/>
        </w:rPr>
      </w:pPr>
      <w:bookmarkStart w:id="180" w:name="_Toc152042383"/>
      <w:r>
        <w:rPr>
          <w:rFonts w:hint="eastAsia" w:ascii="宋体" w:hAnsi="宋体" w:eastAsia="宋体" w:cs="宋体"/>
          <w:color w:val="auto"/>
          <w:sz w:val="22"/>
          <w:szCs w:val="24"/>
        </w:rPr>
        <w:t>（1）磋商响应文件中的大写金额与小写金额不一致的，以大写金额为准；</w:t>
      </w:r>
      <w:bookmarkEnd w:id="180"/>
    </w:p>
    <w:p w14:paraId="610327C0">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（2）总价金额与依据单价计算出的结果不一致的，以单价金额为准修正总价，但单价金额小数点有明显错误的除外。</w:t>
      </w:r>
    </w:p>
    <w:p w14:paraId="0061AA56">
      <w:pPr>
        <w:snapToGrid w:val="0"/>
        <w:spacing w:line="460" w:lineRule="exact"/>
        <w:ind w:firstLine="442" w:firstLineChars="200"/>
        <w:jc w:val="left"/>
        <w:rPr>
          <w:rFonts w:ascii="宋体" w:hAnsi="宋体" w:eastAsia="宋体" w:cs="宋体"/>
          <w:b/>
          <w:bCs/>
          <w:color w:val="auto"/>
          <w:sz w:val="22"/>
          <w:szCs w:val="24"/>
        </w:rPr>
      </w:pPr>
      <w:bookmarkStart w:id="181" w:name="_Toc144974573"/>
      <w:bookmarkStart w:id="182" w:name="_Toc246996992"/>
      <w:bookmarkStart w:id="183" w:name="_Toc152042384"/>
      <w:bookmarkStart w:id="184" w:name="_Toc296602494"/>
      <w:bookmarkStart w:id="185" w:name="_Toc247085764"/>
      <w:bookmarkStart w:id="186" w:name="_Toc246996249"/>
      <w:bookmarkStart w:id="187" w:name="_Toc152045606"/>
      <w:bookmarkStart w:id="188" w:name="_Toc179632624"/>
      <w:r>
        <w:rPr>
          <w:rFonts w:hint="eastAsia" w:ascii="宋体" w:hAnsi="宋体" w:eastAsia="宋体" w:cs="宋体"/>
          <w:b/>
          <w:bCs/>
          <w:color w:val="auto"/>
          <w:sz w:val="22"/>
          <w:szCs w:val="24"/>
        </w:rPr>
        <w:t>3.2详细评审</w:t>
      </w:r>
      <w:bookmarkEnd w:id="181"/>
      <w:bookmarkEnd w:id="182"/>
      <w:bookmarkEnd w:id="183"/>
      <w:bookmarkEnd w:id="184"/>
      <w:bookmarkEnd w:id="185"/>
      <w:bookmarkEnd w:id="186"/>
      <w:bookmarkEnd w:id="187"/>
      <w:bookmarkEnd w:id="188"/>
    </w:p>
    <w:p w14:paraId="25CFC6B1">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3.2.1磋商小组按本章第2.2款规定的量化因素和分值进行打分，并计算出综合评估得分。</w:t>
      </w:r>
    </w:p>
    <w:p w14:paraId="2964B781">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（1）按本章第2.2.1的评审因素和分值对商务标计算出得分；</w:t>
      </w:r>
    </w:p>
    <w:p w14:paraId="4D643D77">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（2）按本章第2.2.2定的评审因素和分值对技术标计算出得分；</w:t>
      </w:r>
    </w:p>
    <w:p w14:paraId="6AC6946D">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（3）按本章第2.2.3规定的评审因素和分值对综合标计算出得分；</w:t>
      </w:r>
    </w:p>
    <w:p w14:paraId="13EA3E09">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3.2.2评分分值计算过程中保留小数点后三位，最后供应商得分汇总时保留小数点后两位，小数点后第三位“四舍五入”。</w:t>
      </w:r>
    </w:p>
    <w:p w14:paraId="45ABA391">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3.2.3供应商得分=技术标+商务标+综合标。</w:t>
      </w:r>
    </w:p>
    <w:p w14:paraId="225599D6">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3.2.4在磋商小组完成对技术标、商务标和综合标的汇总后取平均值，作为该供应商的最终得分。</w:t>
      </w:r>
    </w:p>
    <w:p w14:paraId="5A68F51F">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3.2.5磋商小组发现供应商的报价明显低于其他磋商报价，使得其磋商报价可能低于其个别成本的，应当要求该供应商做出书面说明并提供相应的证明材料。供应商不能合理说明或者不能提供相应证明材料的，磋商小组应当认定该供应商以低于成本报价竞标，否决其投标。</w:t>
      </w:r>
    </w:p>
    <w:p w14:paraId="3C0A4262">
      <w:pPr>
        <w:snapToGrid w:val="0"/>
        <w:spacing w:line="460" w:lineRule="exact"/>
        <w:ind w:firstLine="442" w:firstLineChars="200"/>
        <w:jc w:val="left"/>
        <w:rPr>
          <w:rFonts w:ascii="宋体" w:hAnsi="宋体" w:eastAsia="宋体" w:cs="宋体"/>
          <w:b/>
          <w:bCs/>
          <w:color w:val="auto"/>
          <w:sz w:val="22"/>
          <w:szCs w:val="24"/>
        </w:rPr>
      </w:pPr>
      <w:bookmarkStart w:id="189" w:name="_Toc246996993"/>
      <w:bookmarkStart w:id="190" w:name="_Toc247085765"/>
      <w:bookmarkStart w:id="191" w:name="_Toc246996250"/>
      <w:bookmarkStart w:id="192" w:name="_Toc179632625"/>
      <w:bookmarkStart w:id="193" w:name="_Toc144974575"/>
      <w:bookmarkStart w:id="194" w:name="_Toc152042385"/>
      <w:bookmarkStart w:id="195" w:name="_Toc296602495"/>
      <w:bookmarkStart w:id="196" w:name="_Toc152045607"/>
      <w:r>
        <w:rPr>
          <w:rFonts w:hint="eastAsia" w:ascii="宋体" w:hAnsi="宋体" w:eastAsia="宋体" w:cs="宋体"/>
          <w:b/>
          <w:bCs/>
          <w:color w:val="auto"/>
          <w:sz w:val="22"/>
          <w:szCs w:val="24"/>
        </w:rPr>
        <w:t>3.3</w:t>
      </w:r>
      <w:bookmarkEnd w:id="189"/>
      <w:bookmarkEnd w:id="190"/>
      <w:bookmarkEnd w:id="191"/>
      <w:bookmarkEnd w:id="192"/>
      <w:bookmarkEnd w:id="193"/>
      <w:bookmarkEnd w:id="194"/>
      <w:bookmarkEnd w:id="195"/>
      <w:bookmarkEnd w:id="196"/>
      <w:bookmarkStart w:id="197" w:name="_Toc144974576"/>
      <w:bookmarkStart w:id="198" w:name="_Toc179632626"/>
      <w:bookmarkStart w:id="199" w:name="_Toc246996251"/>
      <w:bookmarkStart w:id="200" w:name="_Toc296602496"/>
      <w:bookmarkStart w:id="201" w:name="_Toc246996994"/>
      <w:bookmarkStart w:id="202" w:name="_Toc247085766"/>
      <w:bookmarkStart w:id="203" w:name="_Toc152045608"/>
      <w:bookmarkStart w:id="204" w:name="_Toc152042386"/>
      <w:r>
        <w:rPr>
          <w:rFonts w:hint="eastAsia" w:ascii="宋体" w:hAnsi="宋体" w:eastAsia="宋体" w:cs="宋体"/>
          <w:b/>
          <w:bCs/>
          <w:color w:val="auto"/>
          <w:sz w:val="22"/>
          <w:szCs w:val="24"/>
        </w:rPr>
        <w:t>评标结果</w:t>
      </w:r>
      <w:bookmarkEnd w:id="197"/>
      <w:bookmarkEnd w:id="198"/>
      <w:bookmarkEnd w:id="199"/>
      <w:bookmarkEnd w:id="200"/>
      <w:bookmarkEnd w:id="201"/>
      <w:bookmarkEnd w:id="202"/>
      <w:bookmarkEnd w:id="203"/>
      <w:bookmarkEnd w:id="204"/>
    </w:p>
    <w:p w14:paraId="56048A22">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3.3.1磋商小组按照得分由高到低的顺序推荐成交候选人。</w:t>
      </w:r>
    </w:p>
    <w:p w14:paraId="1FEAECBE">
      <w:pPr>
        <w:snapToGrid w:val="0"/>
        <w:spacing w:line="46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3.3.2磋商小组完成评审后，应当向采购人提交书面评审报告。</w:t>
      </w:r>
      <w:r>
        <w:rPr>
          <w:rFonts w:ascii="宋体" w:hAnsi="宋体" w:eastAsia="宋体" w:cs="Times New Roman"/>
          <w:b/>
          <w:bCs/>
          <w:color w:val="auto"/>
          <w:sz w:val="28"/>
          <w:szCs w:val="32"/>
        </w:rPr>
        <w:br w:type="page"/>
      </w:r>
    </w:p>
    <w:p w14:paraId="29951BA7">
      <w:pPr>
        <w:numPr>
          <w:ilvl w:val="0"/>
          <w:numId w:val="1"/>
        </w:numPr>
        <w:tabs>
          <w:tab w:val="left" w:pos="1456"/>
        </w:tabs>
        <w:autoSpaceDE w:val="0"/>
        <w:autoSpaceDN w:val="0"/>
        <w:spacing w:line="360" w:lineRule="auto"/>
        <w:ind w:right="30"/>
        <w:jc w:val="left"/>
        <w:outlineLvl w:val="0"/>
        <w:rPr>
          <w:rFonts w:ascii="宋体" w:hAnsi="宋体" w:eastAsia="宋体" w:cs="宋体"/>
          <w:b/>
          <w:bCs/>
          <w:color w:val="auto"/>
          <w:spacing w:val="2"/>
          <w:kern w:val="0"/>
          <w:sz w:val="36"/>
          <w:szCs w:val="36"/>
        </w:rPr>
      </w:pPr>
      <w:bookmarkStart w:id="205" w:name="_Toc109893776"/>
      <w:bookmarkStart w:id="206" w:name="_Toc7593"/>
      <w:r>
        <w:rPr>
          <w:rFonts w:hint="eastAsia" w:ascii="宋体" w:hAnsi="宋体" w:eastAsia="宋体" w:cs="宋体"/>
          <w:b/>
          <w:bCs/>
          <w:color w:val="auto"/>
          <w:spacing w:val="2"/>
          <w:kern w:val="0"/>
          <w:sz w:val="36"/>
          <w:szCs w:val="36"/>
        </w:rPr>
        <w:t>政府采购合同（主要条款）</w:t>
      </w:r>
      <w:bookmarkEnd w:id="205"/>
      <w:bookmarkEnd w:id="206"/>
      <w:bookmarkStart w:id="207" w:name="_Toc507816628"/>
      <w:bookmarkStart w:id="208" w:name="_Toc503602315"/>
      <w:bookmarkStart w:id="209" w:name="_Toc507578839"/>
      <w:bookmarkStart w:id="210" w:name="_Toc507572719"/>
      <w:bookmarkStart w:id="211" w:name="_Toc507563659"/>
      <w:bookmarkStart w:id="212" w:name="_Toc503603192"/>
      <w:bookmarkStart w:id="213" w:name="_Toc503602258"/>
      <w:bookmarkStart w:id="214" w:name="_Toc503233723"/>
      <w:bookmarkStart w:id="215" w:name="_Toc503170332"/>
      <w:bookmarkStart w:id="216" w:name="_Toc503603135"/>
      <w:bookmarkStart w:id="217" w:name="_Toc503170565"/>
      <w:bookmarkStart w:id="218" w:name="_Toc503170292"/>
      <w:bookmarkStart w:id="219" w:name="_Toc509994011"/>
      <w:bookmarkStart w:id="220" w:name="_Toc503233583"/>
      <w:bookmarkStart w:id="221" w:name="_Toc524952532"/>
    </w:p>
    <w:p w14:paraId="15F243B6">
      <w:pPr>
        <w:tabs>
          <w:tab w:val="left" w:pos="3959"/>
        </w:tabs>
        <w:autoSpaceDE w:val="0"/>
        <w:autoSpaceDN w:val="0"/>
        <w:spacing w:line="357" w:lineRule="auto"/>
        <w:ind w:right="1585"/>
        <w:jc w:val="center"/>
        <w:outlineLvl w:val="3"/>
        <w:rPr>
          <w:rFonts w:ascii="宋体" w:hAnsi="宋体" w:eastAsia="宋体" w:cs="宋体"/>
          <w:b/>
          <w:color w:val="auto"/>
          <w:kern w:val="0"/>
          <w:sz w:val="22"/>
          <w:szCs w:val="24"/>
        </w:rPr>
      </w:pPr>
      <w:r>
        <w:rPr>
          <w:rFonts w:ascii="宋体" w:hAnsi="宋体" w:eastAsia="宋体" w:cs="宋体"/>
          <w:b/>
          <w:color w:val="auto"/>
          <w:kern w:val="0"/>
          <w:sz w:val="22"/>
          <w:szCs w:val="24"/>
        </w:rPr>
        <w:t>（</w:t>
      </w:r>
      <w:r>
        <w:rPr>
          <w:rFonts w:hint="eastAsia" w:ascii="宋体" w:hAnsi="宋体" w:eastAsia="宋体" w:cs="宋体"/>
          <w:b/>
          <w:color w:val="auto"/>
          <w:kern w:val="0"/>
          <w:sz w:val="22"/>
          <w:szCs w:val="24"/>
        </w:rPr>
        <w:t>仅供参考，以双方实际签订为准</w:t>
      </w:r>
      <w:r>
        <w:rPr>
          <w:rFonts w:ascii="宋体" w:hAnsi="宋体" w:eastAsia="宋体" w:cs="宋体"/>
          <w:b/>
          <w:color w:val="auto"/>
          <w:kern w:val="0"/>
          <w:sz w:val="22"/>
          <w:szCs w:val="24"/>
        </w:rPr>
        <w:t>）</w:t>
      </w:r>
    </w:p>
    <w:p w14:paraId="4708AE6D">
      <w:pPr>
        <w:tabs>
          <w:tab w:val="left" w:pos="3959"/>
        </w:tabs>
        <w:autoSpaceDE w:val="0"/>
        <w:autoSpaceDN w:val="0"/>
        <w:spacing w:line="357" w:lineRule="auto"/>
        <w:ind w:right="1585" w:firstLine="565" w:firstLineChars="257"/>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项目名称：</w:t>
      </w:r>
      <w:r>
        <w:rPr>
          <w:rFonts w:ascii="宋体" w:hAnsi="宋体" w:eastAsia="宋体" w:cs="宋体"/>
          <w:color w:val="auto"/>
          <w:kern w:val="0"/>
          <w:sz w:val="22"/>
          <w:szCs w:val="24"/>
        </w:rPr>
        <w:tab/>
      </w:r>
      <w:r>
        <w:rPr>
          <w:rFonts w:ascii="宋体" w:hAnsi="宋体" w:eastAsia="宋体" w:cs="宋体"/>
          <w:color w:val="auto"/>
          <w:kern w:val="0"/>
          <w:sz w:val="22"/>
          <w:szCs w:val="24"/>
        </w:rPr>
        <w:t>项目编号：</w:t>
      </w:r>
    </w:p>
    <w:p w14:paraId="5D0F93FF">
      <w:pPr>
        <w:tabs>
          <w:tab w:val="left" w:pos="3959"/>
        </w:tabs>
        <w:autoSpaceDE w:val="0"/>
        <w:autoSpaceDN w:val="0"/>
        <w:spacing w:before="36"/>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甲方：（采购人）</w:t>
      </w:r>
      <w:r>
        <w:rPr>
          <w:rFonts w:ascii="宋体" w:hAnsi="宋体" w:eastAsia="宋体" w:cs="宋体"/>
          <w:color w:val="auto"/>
          <w:kern w:val="0"/>
          <w:sz w:val="22"/>
          <w:szCs w:val="24"/>
        </w:rPr>
        <w:tab/>
      </w:r>
      <w:r>
        <w:rPr>
          <w:rFonts w:ascii="宋体" w:hAnsi="宋体" w:eastAsia="宋体" w:cs="宋体"/>
          <w:color w:val="auto"/>
          <w:kern w:val="0"/>
          <w:sz w:val="22"/>
          <w:szCs w:val="24"/>
        </w:rPr>
        <w:t>乙方：（成交</w:t>
      </w:r>
      <w:r>
        <w:rPr>
          <w:rFonts w:hint="eastAsia" w:ascii="宋体" w:hAnsi="宋体" w:eastAsia="宋体" w:cs="宋体"/>
          <w:color w:val="auto"/>
          <w:kern w:val="0"/>
          <w:sz w:val="22"/>
          <w:szCs w:val="24"/>
        </w:rPr>
        <w:t>供应商</w:t>
      </w:r>
      <w:r>
        <w:rPr>
          <w:rFonts w:ascii="宋体" w:hAnsi="宋体" w:eastAsia="宋体" w:cs="宋体"/>
          <w:color w:val="auto"/>
          <w:kern w:val="0"/>
          <w:sz w:val="22"/>
          <w:szCs w:val="24"/>
        </w:rPr>
        <w:t>）</w:t>
      </w:r>
    </w:p>
    <w:p w14:paraId="30F0B11A">
      <w:pPr>
        <w:tabs>
          <w:tab w:val="left" w:pos="3359"/>
        </w:tabs>
        <w:autoSpaceDE w:val="0"/>
        <w:autoSpaceDN w:val="0"/>
        <w:spacing w:before="154" w:line="357" w:lineRule="auto"/>
        <w:ind w:left="120" w:right="11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甲</w:t>
      </w:r>
      <w:r>
        <w:rPr>
          <w:rFonts w:ascii="宋体" w:hAnsi="宋体" w:eastAsia="宋体" w:cs="宋体"/>
          <w:color w:val="auto"/>
          <w:spacing w:val="-44"/>
          <w:kern w:val="0"/>
          <w:sz w:val="22"/>
          <w:szCs w:val="24"/>
        </w:rPr>
        <w:t>、</w:t>
      </w:r>
      <w:r>
        <w:rPr>
          <w:rFonts w:ascii="宋体" w:hAnsi="宋体" w:eastAsia="宋体" w:cs="宋体"/>
          <w:color w:val="auto"/>
          <w:kern w:val="0"/>
          <w:sz w:val="22"/>
          <w:szCs w:val="24"/>
        </w:rPr>
        <w:t>乙双方根</w:t>
      </w:r>
      <w:r>
        <w:rPr>
          <w:rFonts w:ascii="宋体" w:hAnsi="宋体" w:eastAsia="宋体" w:cs="宋体"/>
          <w:color w:val="auto"/>
          <w:spacing w:val="-41"/>
          <w:kern w:val="0"/>
          <w:sz w:val="22"/>
          <w:szCs w:val="24"/>
        </w:rPr>
        <w:t>据</w:t>
      </w:r>
      <w:r>
        <w:rPr>
          <w:rFonts w:ascii="宋体" w:hAnsi="宋体" w:eastAsia="宋体" w:cs="宋体"/>
          <w:color w:val="auto"/>
          <w:spacing w:val="-3"/>
          <w:kern w:val="0"/>
          <w:sz w:val="22"/>
          <w:szCs w:val="24"/>
        </w:rPr>
        <w:t>《</w:t>
      </w:r>
      <w:r>
        <w:rPr>
          <w:rFonts w:ascii="宋体" w:hAnsi="宋体" w:eastAsia="宋体" w:cs="宋体"/>
          <w:color w:val="auto"/>
          <w:kern w:val="0"/>
          <w:sz w:val="22"/>
          <w:szCs w:val="24"/>
        </w:rPr>
        <w:t>中华人民共和国政府采购法</w:t>
      </w:r>
      <w:r>
        <w:rPr>
          <w:rFonts w:ascii="宋体" w:hAnsi="宋体" w:eastAsia="宋体" w:cs="宋体"/>
          <w:color w:val="auto"/>
          <w:spacing w:val="-44"/>
          <w:kern w:val="0"/>
          <w:sz w:val="22"/>
          <w:szCs w:val="24"/>
        </w:rPr>
        <w:t>》</w:t>
      </w:r>
      <w:r>
        <w:rPr>
          <w:rFonts w:ascii="宋体" w:hAnsi="宋体" w:eastAsia="宋体" w:cs="宋体"/>
          <w:color w:val="auto"/>
          <w:spacing w:val="-84"/>
          <w:kern w:val="0"/>
          <w:sz w:val="22"/>
          <w:szCs w:val="24"/>
        </w:rPr>
        <w:t>、</w:t>
      </w:r>
      <w:r>
        <w:rPr>
          <w:rFonts w:ascii="宋体" w:hAnsi="宋体" w:eastAsia="宋体" w:cs="宋体"/>
          <w:color w:val="auto"/>
          <w:kern w:val="0"/>
          <w:sz w:val="22"/>
          <w:szCs w:val="24"/>
        </w:rPr>
        <w:t>《中华人民共和国民法</w:t>
      </w:r>
      <w:r>
        <w:rPr>
          <w:rFonts w:ascii="宋体" w:hAnsi="宋体" w:eastAsia="宋体" w:cs="宋体"/>
          <w:color w:val="auto"/>
          <w:spacing w:val="-1"/>
          <w:kern w:val="0"/>
          <w:sz w:val="22"/>
          <w:szCs w:val="24"/>
        </w:rPr>
        <w:t>典</w:t>
      </w:r>
      <w:r>
        <w:rPr>
          <w:rFonts w:ascii="宋体" w:hAnsi="宋体" w:eastAsia="宋体" w:cs="宋体"/>
          <w:color w:val="auto"/>
          <w:kern w:val="0"/>
          <w:sz w:val="22"/>
          <w:szCs w:val="24"/>
        </w:rPr>
        <w:t>》等法律法规的规定，按照</w:t>
      </w:r>
      <w:r>
        <w:rPr>
          <w:rFonts w:ascii="Times New Roman" w:hAnsi="宋体" w:eastAsia="Times New Roman" w:cs="宋体"/>
          <w:color w:val="auto"/>
          <w:kern w:val="0"/>
          <w:sz w:val="22"/>
          <w:szCs w:val="24"/>
          <w:u w:val="single"/>
        </w:rPr>
        <w:t xml:space="preserve"> </w:t>
      </w:r>
      <w:r>
        <w:rPr>
          <w:rFonts w:ascii="Times New Roman" w:hAnsi="宋体" w:eastAsia="Times New Roman" w:cs="宋体"/>
          <w:color w:val="auto"/>
          <w:kern w:val="0"/>
          <w:sz w:val="22"/>
          <w:szCs w:val="24"/>
          <w:u w:val="single"/>
        </w:rPr>
        <w:tab/>
      </w:r>
      <w:r>
        <w:rPr>
          <w:rFonts w:ascii="宋体" w:hAnsi="宋体" w:eastAsia="宋体" w:cs="宋体"/>
          <w:color w:val="auto"/>
          <w:kern w:val="0"/>
          <w:sz w:val="22"/>
          <w:szCs w:val="24"/>
        </w:rPr>
        <w:t>（项目名称）的</w:t>
      </w:r>
      <w:r>
        <w:rPr>
          <w:rFonts w:hint="eastAsia" w:ascii="宋体" w:hAnsi="宋体" w:eastAsia="宋体" w:cs="宋体"/>
          <w:color w:val="auto"/>
          <w:kern w:val="0"/>
          <w:sz w:val="22"/>
          <w:szCs w:val="24"/>
        </w:rPr>
        <w:t>磋商</w:t>
      </w:r>
      <w:r>
        <w:rPr>
          <w:rFonts w:ascii="宋体" w:hAnsi="宋体" w:eastAsia="宋体" w:cs="宋体"/>
          <w:color w:val="auto"/>
          <w:kern w:val="0"/>
          <w:sz w:val="22"/>
          <w:szCs w:val="24"/>
        </w:rPr>
        <w:t>结果签订本合同。</w:t>
      </w:r>
    </w:p>
    <w:p w14:paraId="0AAA784B">
      <w:pPr>
        <w:autoSpaceDE w:val="0"/>
        <w:autoSpaceDN w:val="0"/>
        <w:spacing w:before="36"/>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1.服务内容：</w:t>
      </w:r>
    </w:p>
    <w:p w14:paraId="477B9CD3">
      <w:pPr>
        <w:autoSpaceDE w:val="0"/>
        <w:autoSpaceDN w:val="0"/>
        <w:spacing w:before="154"/>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2.合同金额</w:t>
      </w:r>
    </w:p>
    <w:p w14:paraId="4F4372D2">
      <w:pPr>
        <w:tabs>
          <w:tab w:val="left" w:pos="4559"/>
          <w:tab w:val="left" w:pos="5999"/>
        </w:tabs>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本合同金额为人民币（大写）：</w:t>
      </w:r>
      <w:r>
        <w:rPr>
          <w:rFonts w:ascii="Times New Roman" w:hAnsi="宋体" w:eastAsia="Times New Roman" w:cs="宋体"/>
          <w:color w:val="auto"/>
          <w:kern w:val="0"/>
          <w:sz w:val="22"/>
          <w:szCs w:val="24"/>
          <w:u w:val="single"/>
        </w:rPr>
        <w:t xml:space="preserve"> </w:t>
      </w:r>
      <w:r>
        <w:rPr>
          <w:rFonts w:ascii="Times New Roman" w:hAnsi="宋体" w:eastAsia="Times New Roman" w:cs="宋体"/>
          <w:color w:val="auto"/>
          <w:kern w:val="0"/>
          <w:sz w:val="22"/>
          <w:szCs w:val="24"/>
          <w:u w:val="single"/>
        </w:rPr>
        <w:tab/>
      </w:r>
      <w:r>
        <w:rPr>
          <w:rFonts w:ascii="宋体" w:hAnsi="宋体" w:eastAsia="宋体" w:cs="宋体"/>
          <w:color w:val="auto"/>
          <w:kern w:val="0"/>
          <w:sz w:val="22"/>
          <w:szCs w:val="24"/>
        </w:rPr>
        <w:t>元（￥</w:t>
      </w:r>
      <w:r>
        <w:rPr>
          <w:rFonts w:ascii="Times New Roman" w:hAnsi="宋体" w:eastAsia="Times New Roman" w:cs="宋体"/>
          <w:color w:val="auto"/>
          <w:kern w:val="0"/>
          <w:sz w:val="22"/>
          <w:szCs w:val="24"/>
          <w:u w:val="single"/>
        </w:rPr>
        <w:t xml:space="preserve"> </w:t>
      </w:r>
      <w:r>
        <w:rPr>
          <w:rFonts w:ascii="Times New Roman" w:hAnsi="宋体" w:eastAsia="Times New Roman" w:cs="宋体"/>
          <w:color w:val="auto"/>
          <w:kern w:val="0"/>
          <w:sz w:val="22"/>
          <w:szCs w:val="24"/>
          <w:u w:val="single"/>
        </w:rPr>
        <w:tab/>
      </w:r>
      <w:r>
        <w:rPr>
          <w:rFonts w:ascii="宋体" w:hAnsi="宋体" w:eastAsia="宋体" w:cs="宋体"/>
          <w:color w:val="auto"/>
          <w:kern w:val="0"/>
          <w:sz w:val="22"/>
          <w:szCs w:val="24"/>
        </w:rPr>
        <w:t>元）。</w:t>
      </w:r>
    </w:p>
    <w:p w14:paraId="6BDCFD83">
      <w:pPr>
        <w:autoSpaceDE w:val="0"/>
        <w:autoSpaceDN w:val="0"/>
        <w:spacing w:before="154"/>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3.服务期限和服务地点</w:t>
      </w:r>
    </w:p>
    <w:p w14:paraId="7D472E05">
      <w:pPr>
        <w:numPr>
          <w:ilvl w:val="1"/>
          <w:numId w:val="7"/>
        </w:numPr>
        <w:tabs>
          <w:tab w:val="left" w:pos="1020"/>
        </w:tabs>
        <w:autoSpaceDE w:val="0"/>
        <w:autoSpaceDN w:val="0"/>
        <w:spacing w:before="154"/>
        <w:jc w:val="left"/>
        <w:outlineLvl w:val="3"/>
        <w:rPr>
          <w:rFonts w:ascii="宋体" w:hAnsi="宋体" w:eastAsia="宋体" w:cs="宋体"/>
          <w:color w:val="auto"/>
          <w:kern w:val="0"/>
          <w:sz w:val="22"/>
          <w:szCs w:val="24"/>
          <w:lang w:eastAsia="en-US"/>
        </w:rPr>
      </w:pPr>
      <w:r>
        <w:rPr>
          <w:rFonts w:ascii="宋体" w:hAnsi="宋体" w:eastAsia="宋体" w:cs="宋体"/>
          <w:color w:val="auto"/>
          <w:kern w:val="0"/>
          <w:sz w:val="22"/>
          <w:szCs w:val="24"/>
          <w:lang w:eastAsia="en-US"/>
        </w:rPr>
        <w:t>服务期限：</w:t>
      </w:r>
    </w:p>
    <w:p w14:paraId="7928011E">
      <w:pPr>
        <w:numPr>
          <w:ilvl w:val="1"/>
          <w:numId w:val="7"/>
        </w:numPr>
        <w:tabs>
          <w:tab w:val="left" w:pos="1020"/>
        </w:tabs>
        <w:autoSpaceDE w:val="0"/>
        <w:autoSpaceDN w:val="0"/>
        <w:spacing w:before="154"/>
        <w:jc w:val="left"/>
        <w:outlineLvl w:val="3"/>
        <w:rPr>
          <w:rFonts w:ascii="宋体" w:hAnsi="宋体" w:eastAsia="宋体" w:cs="宋体"/>
          <w:color w:val="auto"/>
          <w:kern w:val="0"/>
          <w:sz w:val="22"/>
          <w:szCs w:val="24"/>
          <w:lang w:eastAsia="en-US"/>
        </w:rPr>
      </w:pPr>
      <w:r>
        <w:rPr>
          <w:rFonts w:ascii="宋体" w:hAnsi="宋体" w:eastAsia="宋体" w:cs="宋体"/>
          <w:color w:val="auto"/>
          <w:kern w:val="0"/>
          <w:sz w:val="22"/>
          <w:szCs w:val="24"/>
          <w:lang w:eastAsia="en-US"/>
        </w:rPr>
        <w:t>服务地点：</w:t>
      </w:r>
    </w:p>
    <w:p w14:paraId="63794FBF">
      <w:pPr>
        <w:autoSpaceDE w:val="0"/>
        <w:autoSpaceDN w:val="0"/>
        <w:spacing w:before="154"/>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4.付款方式</w:t>
      </w:r>
    </w:p>
    <w:p w14:paraId="5802ACAC">
      <w:pPr>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付款方式：签订合同时双方协商。</w:t>
      </w:r>
    </w:p>
    <w:p w14:paraId="48221DA7">
      <w:pPr>
        <w:autoSpaceDE w:val="0"/>
        <w:autoSpaceDN w:val="0"/>
        <w:spacing w:before="154"/>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5.税费</w:t>
      </w:r>
    </w:p>
    <w:p w14:paraId="634CF015">
      <w:pPr>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本合同执行中相关的一切税费均由乙方负担。</w:t>
      </w:r>
    </w:p>
    <w:p w14:paraId="3FF6B6C6">
      <w:pPr>
        <w:autoSpaceDE w:val="0"/>
        <w:autoSpaceDN w:val="0"/>
        <w:spacing w:before="154"/>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6.技术资料</w:t>
      </w:r>
    </w:p>
    <w:p w14:paraId="4B9260B4">
      <w:pPr>
        <w:autoSpaceDE w:val="0"/>
        <w:autoSpaceDN w:val="0"/>
        <w:spacing w:before="202" w:line="350" w:lineRule="auto"/>
        <w:ind w:left="120" w:right="23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没有甲方事先书面同意，乙方不得将由甲方提供的有关合同或任何合同条文</w:t>
      </w:r>
      <w:r>
        <w:rPr>
          <w:rFonts w:ascii="宋体" w:hAnsi="宋体" w:eastAsia="宋体" w:cs="宋体"/>
          <w:color w:val="auto"/>
          <w:spacing w:val="-32"/>
          <w:kern w:val="0"/>
          <w:sz w:val="22"/>
          <w:szCs w:val="24"/>
        </w:rPr>
        <w:t>、</w:t>
      </w:r>
      <w:r>
        <w:rPr>
          <w:rFonts w:ascii="宋体" w:hAnsi="宋体" w:eastAsia="宋体" w:cs="宋体"/>
          <w:color w:val="auto"/>
          <w:kern w:val="0"/>
          <w:sz w:val="22"/>
          <w:szCs w:val="24"/>
        </w:rPr>
        <w:t>等资料提供给与履行本合同无关的任何其他人</w:t>
      </w:r>
      <w:r>
        <w:rPr>
          <w:rFonts w:ascii="宋体" w:hAnsi="宋体" w:eastAsia="宋体" w:cs="宋体"/>
          <w:color w:val="auto"/>
          <w:spacing w:val="-32"/>
          <w:kern w:val="0"/>
          <w:sz w:val="22"/>
          <w:szCs w:val="24"/>
        </w:rPr>
        <w:t>。</w:t>
      </w:r>
      <w:r>
        <w:rPr>
          <w:rFonts w:ascii="宋体" w:hAnsi="宋体" w:eastAsia="宋体" w:cs="宋体"/>
          <w:color w:val="auto"/>
          <w:kern w:val="0"/>
          <w:sz w:val="22"/>
          <w:szCs w:val="24"/>
        </w:rPr>
        <w:t>须提供承诺书</w:t>
      </w:r>
      <w:r>
        <w:rPr>
          <w:rFonts w:ascii="宋体" w:hAnsi="宋体" w:eastAsia="宋体" w:cs="宋体"/>
          <w:color w:val="auto"/>
          <w:spacing w:val="-32"/>
          <w:kern w:val="0"/>
          <w:sz w:val="22"/>
          <w:szCs w:val="24"/>
        </w:rPr>
        <w:t>，</w:t>
      </w:r>
      <w:r>
        <w:rPr>
          <w:rFonts w:ascii="宋体" w:hAnsi="宋体" w:eastAsia="宋体" w:cs="宋体"/>
          <w:color w:val="auto"/>
          <w:kern w:val="0"/>
          <w:sz w:val="22"/>
          <w:szCs w:val="24"/>
        </w:rPr>
        <w:t>承诺书作为响应文件的一部分。</w:t>
      </w:r>
    </w:p>
    <w:p w14:paraId="2210EE80">
      <w:pPr>
        <w:autoSpaceDE w:val="0"/>
        <w:autoSpaceDN w:val="0"/>
        <w:spacing w:line="302" w:lineRule="exact"/>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7.知识产权</w:t>
      </w:r>
    </w:p>
    <w:p w14:paraId="321A0C23">
      <w:pPr>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乙方保证所提供的货物或其任何一部分均不会侵犯任何第三方的知识产权。</w:t>
      </w:r>
    </w:p>
    <w:p w14:paraId="13A442F8">
      <w:pPr>
        <w:autoSpaceDE w:val="0"/>
        <w:autoSpaceDN w:val="0"/>
        <w:spacing w:before="154"/>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8.无产权瑕疵条款</w:t>
      </w:r>
    </w:p>
    <w:p w14:paraId="587A7C42">
      <w:pPr>
        <w:autoSpaceDE w:val="0"/>
        <w:autoSpaceDN w:val="0"/>
        <w:spacing w:before="154" w:line="357" w:lineRule="auto"/>
        <w:ind w:left="120" w:right="23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乙方保证所提供的服务的所有权完全属于乙方且无任何抵押</w:t>
      </w:r>
      <w:r>
        <w:rPr>
          <w:rFonts w:ascii="宋体" w:hAnsi="宋体" w:eastAsia="宋体" w:cs="宋体"/>
          <w:color w:val="auto"/>
          <w:spacing w:val="-94"/>
          <w:kern w:val="0"/>
          <w:sz w:val="22"/>
          <w:szCs w:val="24"/>
        </w:rPr>
        <w:t>、</w:t>
      </w:r>
      <w:r>
        <w:rPr>
          <w:rFonts w:ascii="宋体" w:hAnsi="宋体" w:eastAsia="宋体" w:cs="宋体"/>
          <w:color w:val="auto"/>
          <w:kern w:val="0"/>
          <w:sz w:val="22"/>
          <w:szCs w:val="24"/>
        </w:rPr>
        <w:t>查封等产权瑕疵。如有产权瑕疵的，视为乙方违约。乙方应负担由此而产生的一切损失。</w:t>
      </w:r>
    </w:p>
    <w:p w14:paraId="7732D31A">
      <w:pPr>
        <w:autoSpaceDE w:val="0"/>
        <w:autoSpaceDN w:val="0"/>
        <w:spacing w:before="36"/>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9.履约保证金的收取及退还</w:t>
      </w:r>
    </w:p>
    <w:p w14:paraId="4914037F">
      <w:pPr>
        <w:autoSpaceDE w:val="0"/>
        <w:autoSpaceDN w:val="0"/>
        <w:spacing w:before="36"/>
        <w:ind w:left="600"/>
        <w:jc w:val="left"/>
        <w:outlineLvl w:val="2"/>
        <w:rPr>
          <w:rFonts w:ascii="宋体" w:hAnsi="宋体" w:eastAsia="宋体" w:cs="宋体"/>
          <w:color w:val="auto"/>
          <w:spacing w:val="2"/>
          <w:kern w:val="0"/>
          <w:sz w:val="22"/>
          <w:szCs w:val="24"/>
        </w:rPr>
      </w:pPr>
      <w:r>
        <w:rPr>
          <w:rFonts w:hint="eastAsia" w:ascii="宋体" w:hAnsi="宋体" w:eastAsia="宋体" w:cs="宋体"/>
          <w:color w:val="auto"/>
          <w:spacing w:val="2"/>
          <w:kern w:val="0"/>
          <w:sz w:val="22"/>
          <w:szCs w:val="24"/>
        </w:rPr>
        <w:t>无</w:t>
      </w:r>
    </w:p>
    <w:p w14:paraId="5DB77671">
      <w:pPr>
        <w:autoSpaceDE w:val="0"/>
        <w:autoSpaceDN w:val="0"/>
        <w:spacing w:before="36"/>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10.转包或分包</w:t>
      </w:r>
    </w:p>
    <w:p w14:paraId="36B23C8D">
      <w:pPr>
        <w:numPr>
          <w:ilvl w:val="1"/>
          <w:numId w:val="8"/>
        </w:numPr>
        <w:tabs>
          <w:tab w:val="left" w:pos="114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本合同范围的服务乙方不得以任何方式和形式进行转包和分包。</w:t>
      </w:r>
    </w:p>
    <w:p w14:paraId="0DCC44DD">
      <w:pPr>
        <w:numPr>
          <w:ilvl w:val="1"/>
          <w:numId w:val="8"/>
        </w:numPr>
        <w:tabs>
          <w:tab w:val="left" w:pos="114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乙方如有转包和分包的行为，甲方有权给予终止合同。</w:t>
      </w:r>
    </w:p>
    <w:p w14:paraId="760F0082">
      <w:pPr>
        <w:autoSpaceDE w:val="0"/>
        <w:autoSpaceDN w:val="0"/>
        <w:spacing w:before="154"/>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11.质量保证</w:t>
      </w:r>
    </w:p>
    <w:p w14:paraId="55C85D81">
      <w:pPr>
        <w:autoSpaceDE w:val="0"/>
        <w:autoSpaceDN w:val="0"/>
        <w:spacing w:before="202" w:line="352" w:lineRule="auto"/>
        <w:ind w:left="120" w:right="11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乙方应提供优质服务</w:t>
      </w:r>
      <w:r>
        <w:rPr>
          <w:rFonts w:ascii="宋体" w:hAnsi="宋体" w:eastAsia="宋体" w:cs="宋体"/>
          <w:color w:val="auto"/>
          <w:spacing w:val="-32"/>
          <w:kern w:val="0"/>
          <w:sz w:val="22"/>
          <w:szCs w:val="24"/>
        </w:rPr>
        <w:t>，</w:t>
      </w:r>
      <w:r>
        <w:rPr>
          <w:rFonts w:ascii="宋体" w:hAnsi="宋体" w:eastAsia="宋体" w:cs="宋体"/>
          <w:color w:val="auto"/>
          <w:kern w:val="0"/>
          <w:sz w:val="22"/>
          <w:szCs w:val="24"/>
        </w:rPr>
        <w:t>保证服务质量</w:t>
      </w:r>
      <w:r>
        <w:rPr>
          <w:rFonts w:ascii="宋体" w:hAnsi="宋体" w:eastAsia="宋体" w:cs="宋体"/>
          <w:color w:val="auto"/>
          <w:spacing w:val="-32"/>
          <w:kern w:val="0"/>
          <w:sz w:val="22"/>
          <w:szCs w:val="24"/>
        </w:rPr>
        <w:t>，</w:t>
      </w:r>
      <w:r>
        <w:rPr>
          <w:rFonts w:ascii="宋体" w:hAnsi="宋体" w:eastAsia="宋体" w:cs="宋体"/>
          <w:color w:val="auto"/>
          <w:kern w:val="0"/>
          <w:sz w:val="22"/>
          <w:szCs w:val="24"/>
        </w:rPr>
        <w:t>且不能低于合同规定要求</w:t>
      </w:r>
      <w:r>
        <w:rPr>
          <w:rFonts w:ascii="宋体" w:hAnsi="宋体" w:eastAsia="宋体" w:cs="宋体"/>
          <w:color w:val="auto"/>
          <w:spacing w:val="-32"/>
          <w:kern w:val="0"/>
          <w:sz w:val="22"/>
          <w:szCs w:val="24"/>
        </w:rPr>
        <w:t>。</w:t>
      </w:r>
      <w:r>
        <w:rPr>
          <w:rFonts w:ascii="宋体" w:hAnsi="宋体" w:eastAsia="宋体" w:cs="宋体"/>
          <w:color w:val="auto"/>
          <w:kern w:val="0"/>
          <w:sz w:val="22"/>
          <w:szCs w:val="24"/>
        </w:rPr>
        <w:t>须提供承诺书，承诺书作为响应文件的一部分。</w:t>
      </w:r>
    </w:p>
    <w:p w14:paraId="3C77014C">
      <w:pPr>
        <w:autoSpaceDE w:val="0"/>
        <w:autoSpaceDN w:val="0"/>
        <w:spacing w:line="300" w:lineRule="exact"/>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12.</w:t>
      </w:r>
      <w:r>
        <w:rPr>
          <w:rFonts w:hint="eastAsia" w:ascii="宋体" w:hAnsi="宋体" w:eastAsia="宋体" w:cs="宋体"/>
          <w:b/>
          <w:bCs/>
          <w:color w:val="auto"/>
          <w:kern w:val="0"/>
          <w:sz w:val="22"/>
          <w:szCs w:val="24"/>
        </w:rPr>
        <w:t>验收</w:t>
      </w:r>
    </w:p>
    <w:p w14:paraId="3333F146">
      <w:pPr>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验收严格按照招标文件和</w:t>
      </w:r>
      <w:r>
        <w:rPr>
          <w:rFonts w:hint="eastAsia" w:ascii="宋体" w:hAnsi="宋体" w:eastAsia="宋体" w:cs="宋体"/>
          <w:color w:val="auto"/>
          <w:kern w:val="0"/>
          <w:sz w:val="22"/>
          <w:szCs w:val="24"/>
        </w:rPr>
        <w:t>响应</w:t>
      </w:r>
      <w:r>
        <w:rPr>
          <w:rFonts w:ascii="宋体" w:hAnsi="宋体" w:eastAsia="宋体" w:cs="宋体"/>
          <w:color w:val="auto"/>
          <w:kern w:val="0"/>
          <w:sz w:val="22"/>
          <w:szCs w:val="24"/>
        </w:rPr>
        <w:t>文件规定的标准进行验收。</w:t>
      </w:r>
    </w:p>
    <w:p w14:paraId="6D2033E1">
      <w:pPr>
        <w:autoSpaceDE w:val="0"/>
        <w:autoSpaceDN w:val="0"/>
        <w:spacing w:before="154"/>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13.甲方的权利和义务</w:t>
      </w:r>
    </w:p>
    <w:p w14:paraId="7F4E9195">
      <w:pPr>
        <w:numPr>
          <w:ilvl w:val="1"/>
          <w:numId w:val="9"/>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2"/>
          <w:szCs w:val="24"/>
        </w:rPr>
      </w:pPr>
      <w:r>
        <w:rPr>
          <w:rFonts w:ascii="宋体" w:hAnsi="宋体" w:eastAsia="宋体" w:cs="宋体"/>
          <w:color w:val="auto"/>
          <w:spacing w:val="2"/>
          <w:kern w:val="0"/>
          <w:sz w:val="22"/>
          <w:szCs w:val="24"/>
        </w:rPr>
        <w:t>甲方</w:t>
      </w:r>
      <w:r>
        <w:rPr>
          <w:rFonts w:ascii="宋体" w:hAnsi="宋体" w:eastAsia="宋体" w:cs="宋体"/>
          <w:color w:val="auto"/>
          <w:spacing w:val="4"/>
          <w:kern w:val="0"/>
          <w:sz w:val="22"/>
          <w:szCs w:val="24"/>
        </w:rPr>
        <w:t>有</w:t>
      </w:r>
      <w:r>
        <w:rPr>
          <w:rFonts w:ascii="宋体" w:hAnsi="宋体" w:eastAsia="宋体" w:cs="宋体"/>
          <w:color w:val="auto"/>
          <w:spacing w:val="2"/>
          <w:kern w:val="0"/>
          <w:sz w:val="22"/>
          <w:szCs w:val="24"/>
        </w:rPr>
        <w:t>权对合同</w:t>
      </w:r>
      <w:r>
        <w:rPr>
          <w:rFonts w:ascii="宋体" w:hAnsi="宋体" w:eastAsia="宋体" w:cs="宋体"/>
          <w:color w:val="auto"/>
          <w:spacing w:val="4"/>
          <w:kern w:val="0"/>
          <w:sz w:val="22"/>
          <w:szCs w:val="24"/>
        </w:rPr>
        <w:t>规</w:t>
      </w:r>
      <w:r>
        <w:rPr>
          <w:rFonts w:ascii="宋体" w:hAnsi="宋体" w:eastAsia="宋体" w:cs="宋体"/>
          <w:color w:val="auto"/>
          <w:spacing w:val="2"/>
          <w:kern w:val="0"/>
          <w:sz w:val="22"/>
          <w:szCs w:val="24"/>
        </w:rPr>
        <w:t>定范围内</w:t>
      </w:r>
      <w:r>
        <w:rPr>
          <w:rFonts w:ascii="宋体" w:hAnsi="宋体" w:eastAsia="宋体" w:cs="宋体"/>
          <w:color w:val="auto"/>
          <w:spacing w:val="4"/>
          <w:kern w:val="0"/>
          <w:sz w:val="22"/>
          <w:szCs w:val="24"/>
        </w:rPr>
        <w:t>乙</w:t>
      </w:r>
      <w:r>
        <w:rPr>
          <w:rFonts w:ascii="宋体" w:hAnsi="宋体" w:eastAsia="宋体" w:cs="宋体"/>
          <w:color w:val="auto"/>
          <w:spacing w:val="2"/>
          <w:kern w:val="0"/>
          <w:sz w:val="22"/>
          <w:szCs w:val="24"/>
        </w:rPr>
        <w:t>方的服务行</w:t>
      </w:r>
      <w:r>
        <w:rPr>
          <w:rFonts w:ascii="宋体" w:hAnsi="宋体" w:eastAsia="宋体" w:cs="宋体"/>
          <w:color w:val="auto"/>
          <w:spacing w:val="4"/>
          <w:kern w:val="0"/>
          <w:sz w:val="22"/>
          <w:szCs w:val="24"/>
        </w:rPr>
        <w:t>为</w:t>
      </w:r>
      <w:r>
        <w:rPr>
          <w:rFonts w:ascii="宋体" w:hAnsi="宋体" w:eastAsia="宋体" w:cs="宋体"/>
          <w:color w:val="auto"/>
          <w:spacing w:val="2"/>
          <w:kern w:val="0"/>
          <w:sz w:val="22"/>
          <w:szCs w:val="24"/>
        </w:rPr>
        <w:t>进行监督</w:t>
      </w:r>
      <w:r>
        <w:rPr>
          <w:rFonts w:ascii="宋体" w:hAnsi="宋体" w:eastAsia="宋体" w:cs="宋体"/>
          <w:color w:val="auto"/>
          <w:spacing w:val="4"/>
          <w:kern w:val="0"/>
          <w:sz w:val="22"/>
          <w:szCs w:val="24"/>
        </w:rPr>
        <w:t>和</w:t>
      </w:r>
      <w:r>
        <w:rPr>
          <w:rFonts w:ascii="宋体" w:hAnsi="宋体" w:eastAsia="宋体" w:cs="宋体"/>
          <w:color w:val="auto"/>
          <w:spacing w:val="2"/>
          <w:kern w:val="0"/>
          <w:sz w:val="22"/>
          <w:szCs w:val="24"/>
        </w:rPr>
        <w:t>检查，拥</w:t>
      </w:r>
      <w:r>
        <w:rPr>
          <w:rFonts w:ascii="宋体" w:hAnsi="宋体" w:eastAsia="宋体" w:cs="宋体"/>
          <w:color w:val="auto"/>
          <w:spacing w:val="4"/>
          <w:kern w:val="0"/>
          <w:sz w:val="22"/>
          <w:szCs w:val="24"/>
        </w:rPr>
        <w:t>有</w:t>
      </w:r>
      <w:r>
        <w:rPr>
          <w:rFonts w:ascii="宋体" w:hAnsi="宋体" w:eastAsia="宋体" w:cs="宋体"/>
          <w:color w:val="auto"/>
          <w:kern w:val="0"/>
          <w:sz w:val="22"/>
          <w:szCs w:val="24"/>
        </w:rPr>
        <w:t>监管权</w:t>
      </w:r>
      <w:r>
        <w:rPr>
          <w:rFonts w:ascii="宋体" w:hAnsi="宋体" w:eastAsia="宋体" w:cs="宋体"/>
          <w:color w:val="auto"/>
          <w:spacing w:val="-48"/>
          <w:kern w:val="0"/>
          <w:sz w:val="22"/>
          <w:szCs w:val="24"/>
        </w:rPr>
        <w:t>。</w:t>
      </w:r>
      <w:r>
        <w:rPr>
          <w:rFonts w:ascii="宋体" w:hAnsi="宋体" w:eastAsia="宋体" w:cs="宋体"/>
          <w:color w:val="auto"/>
          <w:kern w:val="0"/>
          <w:sz w:val="22"/>
          <w:szCs w:val="24"/>
        </w:rPr>
        <w:t>有权定期核对乙方提供服务所配备的人员数量等</w:t>
      </w:r>
      <w:r>
        <w:rPr>
          <w:rFonts w:ascii="宋体" w:hAnsi="宋体" w:eastAsia="宋体" w:cs="宋体"/>
          <w:color w:val="auto"/>
          <w:spacing w:val="-46"/>
          <w:kern w:val="0"/>
          <w:sz w:val="22"/>
          <w:szCs w:val="24"/>
        </w:rPr>
        <w:t>。</w:t>
      </w:r>
      <w:r>
        <w:rPr>
          <w:rFonts w:ascii="宋体" w:hAnsi="宋体" w:eastAsia="宋体" w:cs="宋体"/>
          <w:color w:val="auto"/>
          <w:kern w:val="0"/>
          <w:sz w:val="22"/>
          <w:szCs w:val="24"/>
        </w:rPr>
        <w:t>对乙方未按照合同履行的部分有权下达整改通知书，并要求乙方限期整改。</w:t>
      </w:r>
    </w:p>
    <w:p w14:paraId="190ABB0C">
      <w:pPr>
        <w:numPr>
          <w:ilvl w:val="1"/>
          <w:numId w:val="9"/>
        </w:numPr>
        <w:tabs>
          <w:tab w:val="left" w:pos="1143"/>
        </w:tabs>
        <w:autoSpaceDE w:val="0"/>
        <w:autoSpaceDN w:val="0"/>
        <w:spacing w:before="36" w:line="357" w:lineRule="auto"/>
        <w:ind w:right="117" w:firstLine="480"/>
        <w:jc w:val="left"/>
        <w:outlineLvl w:val="3"/>
        <w:rPr>
          <w:rFonts w:ascii="宋体" w:hAnsi="宋体" w:eastAsia="宋体" w:cs="宋体"/>
          <w:color w:val="auto"/>
          <w:kern w:val="0"/>
          <w:sz w:val="22"/>
          <w:szCs w:val="24"/>
        </w:rPr>
      </w:pPr>
      <w:r>
        <w:rPr>
          <w:rFonts w:ascii="宋体" w:hAnsi="宋体" w:eastAsia="宋体" w:cs="宋体"/>
          <w:color w:val="auto"/>
          <w:spacing w:val="2"/>
          <w:kern w:val="0"/>
          <w:sz w:val="22"/>
          <w:szCs w:val="24"/>
        </w:rPr>
        <w:t>甲方</w:t>
      </w:r>
      <w:r>
        <w:rPr>
          <w:rFonts w:ascii="宋体" w:hAnsi="宋体" w:eastAsia="宋体" w:cs="宋体"/>
          <w:color w:val="auto"/>
          <w:spacing w:val="4"/>
          <w:kern w:val="0"/>
          <w:sz w:val="22"/>
          <w:szCs w:val="24"/>
        </w:rPr>
        <w:t>有</w:t>
      </w:r>
      <w:r>
        <w:rPr>
          <w:rFonts w:ascii="宋体" w:hAnsi="宋体" w:eastAsia="宋体" w:cs="宋体"/>
          <w:color w:val="auto"/>
          <w:spacing w:val="2"/>
          <w:kern w:val="0"/>
          <w:sz w:val="22"/>
          <w:szCs w:val="24"/>
        </w:rPr>
        <w:t>权依据双</w:t>
      </w:r>
      <w:r>
        <w:rPr>
          <w:rFonts w:ascii="宋体" w:hAnsi="宋体" w:eastAsia="宋体" w:cs="宋体"/>
          <w:color w:val="auto"/>
          <w:spacing w:val="4"/>
          <w:kern w:val="0"/>
          <w:sz w:val="22"/>
          <w:szCs w:val="24"/>
        </w:rPr>
        <w:t>方</w:t>
      </w:r>
      <w:r>
        <w:rPr>
          <w:rFonts w:ascii="宋体" w:hAnsi="宋体" w:eastAsia="宋体" w:cs="宋体"/>
          <w:color w:val="auto"/>
          <w:spacing w:val="2"/>
          <w:kern w:val="0"/>
          <w:sz w:val="22"/>
          <w:szCs w:val="24"/>
        </w:rPr>
        <w:t>签订的考</w:t>
      </w:r>
      <w:r>
        <w:rPr>
          <w:rFonts w:ascii="宋体" w:hAnsi="宋体" w:eastAsia="宋体" w:cs="宋体"/>
          <w:color w:val="auto"/>
          <w:spacing w:val="4"/>
          <w:kern w:val="0"/>
          <w:sz w:val="22"/>
          <w:szCs w:val="24"/>
        </w:rPr>
        <w:t>评</w:t>
      </w:r>
      <w:r>
        <w:rPr>
          <w:rFonts w:ascii="宋体" w:hAnsi="宋体" w:eastAsia="宋体" w:cs="宋体"/>
          <w:color w:val="auto"/>
          <w:spacing w:val="2"/>
          <w:kern w:val="0"/>
          <w:sz w:val="22"/>
          <w:szCs w:val="24"/>
        </w:rPr>
        <w:t>办法对乙方</w:t>
      </w:r>
      <w:r>
        <w:rPr>
          <w:rFonts w:ascii="宋体" w:hAnsi="宋体" w:eastAsia="宋体" w:cs="宋体"/>
          <w:color w:val="auto"/>
          <w:spacing w:val="4"/>
          <w:kern w:val="0"/>
          <w:sz w:val="22"/>
          <w:szCs w:val="24"/>
        </w:rPr>
        <w:t>提</w:t>
      </w:r>
      <w:r>
        <w:rPr>
          <w:rFonts w:ascii="宋体" w:hAnsi="宋体" w:eastAsia="宋体" w:cs="宋体"/>
          <w:color w:val="auto"/>
          <w:spacing w:val="2"/>
          <w:kern w:val="0"/>
          <w:sz w:val="22"/>
          <w:szCs w:val="24"/>
        </w:rPr>
        <w:t>供的服务</w:t>
      </w:r>
      <w:r>
        <w:rPr>
          <w:rFonts w:ascii="宋体" w:hAnsi="宋体" w:eastAsia="宋体" w:cs="宋体"/>
          <w:color w:val="auto"/>
          <w:spacing w:val="4"/>
          <w:kern w:val="0"/>
          <w:sz w:val="22"/>
          <w:szCs w:val="24"/>
        </w:rPr>
        <w:t>进</w:t>
      </w:r>
      <w:r>
        <w:rPr>
          <w:rFonts w:ascii="宋体" w:hAnsi="宋体" w:eastAsia="宋体" w:cs="宋体"/>
          <w:color w:val="auto"/>
          <w:spacing w:val="2"/>
          <w:kern w:val="0"/>
          <w:sz w:val="22"/>
          <w:szCs w:val="24"/>
        </w:rPr>
        <w:t>行定期考</w:t>
      </w:r>
      <w:r>
        <w:rPr>
          <w:rFonts w:ascii="宋体" w:hAnsi="宋体" w:eastAsia="宋体" w:cs="宋体"/>
          <w:color w:val="auto"/>
          <w:spacing w:val="4"/>
          <w:kern w:val="0"/>
          <w:sz w:val="22"/>
          <w:szCs w:val="24"/>
        </w:rPr>
        <w:t>评</w:t>
      </w:r>
      <w:r>
        <w:rPr>
          <w:rFonts w:ascii="宋体" w:hAnsi="宋体" w:eastAsia="宋体" w:cs="宋体"/>
          <w:color w:val="auto"/>
          <w:kern w:val="0"/>
          <w:sz w:val="22"/>
          <w:szCs w:val="24"/>
        </w:rPr>
        <w:t>。当考评结果未达到标准时，有权依据考评办法约定的数额扣除履约保证金。</w:t>
      </w:r>
    </w:p>
    <w:p w14:paraId="0765DD0E">
      <w:pPr>
        <w:numPr>
          <w:ilvl w:val="1"/>
          <w:numId w:val="9"/>
        </w:numPr>
        <w:tabs>
          <w:tab w:val="left" w:pos="1140"/>
        </w:tabs>
        <w:autoSpaceDE w:val="0"/>
        <w:autoSpaceDN w:val="0"/>
        <w:spacing w:before="36"/>
        <w:ind w:left="1140" w:hanging="54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负责检查监督乙方管理工作的实施及制度的执行情况。</w:t>
      </w:r>
    </w:p>
    <w:p w14:paraId="59F1FA36">
      <w:pPr>
        <w:numPr>
          <w:ilvl w:val="1"/>
          <w:numId w:val="9"/>
        </w:numPr>
        <w:tabs>
          <w:tab w:val="left" w:pos="1140"/>
        </w:tabs>
        <w:autoSpaceDE w:val="0"/>
        <w:autoSpaceDN w:val="0"/>
        <w:spacing w:before="154"/>
        <w:ind w:left="1140" w:hanging="54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国家法律、法规所规定由甲方承担的其它责任。</w:t>
      </w:r>
    </w:p>
    <w:p w14:paraId="349C00A5">
      <w:pPr>
        <w:autoSpaceDE w:val="0"/>
        <w:autoSpaceDN w:val="0"/>
        <w:spacing w:before="154"/>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14.乙方的权利和义务</w:t>
      </w:r>
    </w:p>
    <w:p w14:paraId="713CD7D5">
      <w:pPr>
        <w:numPr>
          <w:ilvl w:val="1"/>
          <w:numId w:val="10"/>
        </w:numPr>
        <w:tabs>
          <w:tab w:val="left" w:pos="114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对本合同规定的委托服务范围内的项目享有管理权及服务义务。</w:t>
      </w:r>
    </w:p>
    <w:p w14:paraId="459C8E60">
      <w:pPr>
        <w:numPr>
          <w:ilvl w:val="1"/>
          <w:numId w:val="10"/>
        </w:numPr>
        <w:tabs>
          <w:tab w:val="left" w:pos="114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对甲方下达整改通知书及时配合处理。</w:t>
      </w:r>
    </w:p>
    <w:p w14:paraId="712695FD">
      <w:pPr>
        <w:numPr>
          <w:ilvl w:val="1"/>
          <w:numId w:val="10"/>
        </w:numPr>
        <w:tabs>
          <w:tab w:val="left" w:pos="114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接受项目行业管理部门及政府有关部门的指导，接受甲方的监督。</w:t>
      </w:r>
    </w:p>
    <w:p w14:paraId="05C1014E">
      <w:pPr>
        <w:numPr>
          <w:ilvl w:val="1"/>
          <w:numId w:val="10"/>
        </w:numPr>
        <w:tabs>
          <w:tab w:val="left" w:pos="114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国家法律、法规所规定由乙方承担的其它责任。</w:t>
      </w:r>
    </w:p>
    <w:p w14:paraId="11A308C1">
      <w:pPr>
        <w:numPr>
          <w:ilvl w:val="0"/>
          <w:numId w:val="11"/>
        </w:numPr>
        <w:tabs>
          <w:tab w:val="left" w:pos="1083"/>
        </w:tabs>
        <w:autoSpaceDE w:val="0"/>
        <w:autoSpaceDN w:val="0"/>
        <w:spacing w:before="154"/>
        <w:ind w:hanging="482"/>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违约责任</w:t>
      </w:r>
    </w:p>
    <w:p w14:paraId="1371213B">
      <w:pPr>
        <w:numPr>
          <w:ilvl w:val="1"/>
          <w:numId w:val="11"/>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2"/>
          <w:szCs w:val="24"/>
        </w:rPr>
      </w:pPr>
      <w:r>
        <w:rPr>
          <w:rFonts w:ascii="宋体" w:hAnsi="宋体" w:eastAsia="宋体" w:cs="宋体"/>
          <w:color w:val="auto"/>
          <w:spacing w:val="2"/>
          <w:kern w:val="0"/>
          <w:sz w:val="22"/>
          <w:szCs w:val="24"/>
        </w:rPr>
        <w:t>甲乙</w:t>
      </w:r>
      <w:r>
        <w:rPr>
          <w:rFonts w:ascii="宋体" w:hAnsi="宋体" w:eastAsia="宋体" w:cs="宋体"/>
          <w:color w:val="auto"/>
          <w:spacing w:val="4"/>
          <w:kern w:val="0"/>
          <w:sz w:val="22"/>
          <w:szCs w:val="24"/>
        </w:rPr>
        <w:t>双</w:t>
      </w:r>
      <w:r>
        <w:rPr>
          <w:rFonts w:ascii="宋体" w:hAnsi="宋体" w:eastAsia="宋体" w:cs="宋体"/>
          <w:color w:val="auto"/>
          <w:spacing w:val="2"/>
          <w:kern w:val="0"/>
          <w:sz w:val="22"/>
          <w:szCs w:val="24"/>
        </w:rPr>
        <w:t>方必须遵</w:t>
      </w:r>
      <w:r>
        <w:rPr>
          <w:rFonts w:ascii="宋体" w:hAnsi="宋体" w:eastAsia="宋体" w:cs="宋体"/>
          <w:color w:val="auto"/>
          <w:spacing w:val="4"/>
          <w:kern w:val="0"/>
          <w:sz w:val="22"/>
          <w:szCs w:val="24"/>
        </w:rPr>
        <w:t>守</w:t>
      </w:r>
      <w:r>
        <w:rPr>
          <w:rFonts w:ascii="宋体" w:hAnsi="宋体" w:eastAsia="宋体" w:cs="宋体"/>
          <w:color w:val="auto"/>
          <w:spacing w:val="2"/>
          <w:kern w:val="0"/>
          <w:sz w:val="22"/>
          <w:szCs w:val="24"/>
        </w:rPr>
        <w:t>本合同并</w:t>
      </w:r>
      <w:r>
        <w:rPr>
          <w:rFonts w:ascii="宋体" w:hAnsi="宋体" w:eastAsia="宋体" w:cs="宋体"/>
          <w:color w:val="auto"/>
          <w:spacing w:val="4"/>
          <w:kern w:val="0"/>
          <w:sz w:val="22"/>
          <w:szCs w:val="24"/>
        </w:rPr>
        <w:t>执</w:t>
      </w:r>
      <w:r>
        <w:rPr>
          <w:rFonts w:ascii="宋体" w:hAnsi="宋体" w:eastAsia="宋体" w:cs="宋体"/>
          <w:color w:val="auto"/>
          <w:spacing w:val="2"/>
          <w:kern w:val="0"/>
          <w:sz w:val="22"/>
          <w:szCs w:val="24"/>
        </w:rPr>
        <w:t>行合同中的</w:t>
      </w:r>
      <w:r>
        <w:rPr>
          <w:rFonts w:ascii="宋体" w:hAnsi="宋体" w:eastAsia="宋体" w:cs="宋体"/>
          <w:color w:val="auto"/>
          <w:spacing w:val="4"/>
          <w:kern w:val="0"/>
          <w:sz w:val="22"/>
          <w:szCs w:val="24"/>
        </w:rPr>
        <w:t>各</w:t>
      </w:r>
      <w:r>
        <w:rPr>
          <w:rFonts w:ascii="宋体" w:hAnsi="宋体" w:eastAsia="宋体" w:cs="宋体"/>
          <w:color w:val="auto"/>
          <w:spacing w:val="2"/>
          <w:kern w:val="0"/>
          <w:sz w:val="22"/>
          <w:szCs w:val="24"/>
        </w:rPr>
        <w:t>项规定，</w:t>
      </w:r>
      <w:r>
        <w:rPr>
          <w:rFonts w:ascii="宋体" w:hAnsi="宋体" w:eastAsia="宋体" w:cs="宋体"/>
          <w:color w:val="auto"/>
          <w:spacing w:val="4"/>
          <w:kern w:val="0"/>
          <w:sz w:val="22"/>
          <w:szCs w:val="24"/>
        </w:rPr>
        <w:t>保</w:t>
      </w:r>
      <w:r>
        <w:rPr>
          <w:rFonts w:ascii="宋体" w:hAnsi="宋体" w:eastAsia="宋体" w:cs="宋体"/>
          <w:color w:val="auto"/>
          <w:spacing w:val="2"/>
          <w:kern w:val="0"/>
          <w:sz w:val="22"/>
          <w:szCs w:val="24"/>
        </w:rPr>
        <w:t>证本合同</w:t>
      </w:r>
      <w:r>
        <w:rPr>
          <w:rFonts w:ascii="宋体" w:hAnsi="宋体" w:eastAsia="宋体" w:cs="宋体"/>
          <w:color w:val="auto"/>
          <w:spacing w:val="4"/>
          <w:kern w:val="0"/>
          <w:sz w:val="22"/>
          <w:szCs w:val="24"/>
        </w:rPr>
        <w:t>的</w:t>
      </w:r>
      <w:r>
        <w:rPr>
          <w:rFonts w:ascii="宋体" w:hAnsi="宋体" w:eastAsia="宋体" w:cs="宋体"/>
          <w:color w:val="auto"/>
          <w:kern w:val="0"/>
          <w:sz w:val="22"/>
          <w:szCs w:val="24"/>
        </w:rPr>
        <w:t>正常履行。</w:t>
      </w:r>
    </w:p>
    <w:p w14:paraId="67C3CE01">
      <w:pPr>
        <w:numPr>
          <w:ilvl w:val="1"/>
          <w:numId w:val="11"/>
        </w:numPr>
        <w:tabs>
          <w:tab w:val="left" w:pos="1143"/>
        </w:tabs>
        <w:autoSpaceDE w:val="0"/>
        <w:autoSpaceDN w:val="0"/>
        <w:spacing w:before="2" w:line="357" w:lineRule="auto"/>
        <w:ind w:right="197" w:firstLine="480"/>
        <w:jc w:val="left"/>
        <w:outlineLvl w:val="3"/>
        <w:rPr>
          <w:rFonts w:ascii="宋体" w:hAnsi="宋体" w:eastAsia="宋体" w:cs="宋体"/>
          <w:color w:val="auto"/>
          <w:kern w:val="0"/>
          <w:sz w:val="22"/>
          <w:szCs w:val="24"/>
        </w:rPr>
      </w:pPr>
      <w:r>
        <w:rPr>
          <w:rFonts w:ascii="宋体" w:hAnsi="宋体" w:eastAsia="宋体" w:cs="宋体"/>
          <w:color w:val="auto"/>
          <w:spacing w:val="2"/>
          <w:kern w:val="0"/>
          <w:sz w:val="22"/>
          <w:szCs w:val="24"/>
        </w:rPr>
        <w:t>如因</w:t>
      </w:r>
      <w:r>
        <w:rPr>
          <w:rFonts w:ascii="宋体" w:hAnsi="宋体" w:eastAsia="宋体" w:cs="宋体"/>
          <w:color w:val="auto"/>
          <w:spacing w:val="4"/>
          <w:kern w:val="0"/>
          <w:sz w:val="22"/>
          <w:szCs w:val="24"/>
        </w:rPr>
        <w:t>乙</w:t>
      </w:r>
      <w:r>
        <w:rPr>
          <w:rFonts w:ascii="宋体" w:hAnsi="宋体" w:eastAsia="宋体" w:cs="宋体"/>
          <w:color w:val="auto"/>
          <w:spacing w:val="2"/>
          <w:kern w:val="0"/>
          <w:sz w:val="22"/>
          <w:szCs w:val="24"/>
        </w:rPr>
        <w:t>方工作人</w:t>
      </w:r>
      <w:r>
        <w:rPr>
          <w:rFonts w:ascii="宋体" w:hAnsi="宋体" w:eastAsia="宋体" w:cs="宋体"/>
          <w:color w:val="auto"/>
          <w:spacing w:val="4"/>
          <w:kern w:val="0"/>
          <w:sz w:val="22"/>
          <w:szCs w:val="24"/>
        </w:rPr>
        <w:t>员</w:t>
      </w:r>
      <w:r>
        <w:rPr>
          <w:rFonts w:ascii="宋体" w:hAnsi="宋体" w:eastAsia="宋体" w:cs="宋体"/>
          <w:color w:val="auto"/>
          <w:spacing w:val="2"/>
          <w:kern w:val="0"/>
          <w:sz w:val="22"/>
          <w:szCs w:val="24"/>
        </w:rPr>
        <w:t>在履行职</w:t>
      </w:r>
      <w:r>
        <w:rPr>
          <w:rFonts w:ascii="宋体" w:hAnsi="宋体" w:eastAsia="宋体" w:cs="宋体"/>
          <w:color w:val="auto"/>
          <w:spacing w:val="4"/>
          <w:kern w:val="0"/>
          <w:sz w:val="22"/>
          <w:szCs w:val="24"/>
        </w:rPr>
        <w:t>务</w:t>
      </w:r>
      <w:r>
        <w:rPr>
          <w:rFonts w:ascii="宋体" w:hAnsi="宋体" w:eastAsia="宋体" w:cs="宋体"/>
          <w:color w:val="auto"/>
          <w:spacing w:val="2"/>
          <w:kern w:val="0"/>
          <w:sz w:val="22"/>
          <w:szCs w:val="24"/>
        </w:rPr>
        <w:t>过程中的疏</w:t>
      </w:r>
      <w:r>
        <w:rPr>
          <w:rFonts w:ascii="宋体" w:hAnsi="宋体" w:eastAsia="宋体" w:cs="宋体"/>
          <w:color w:val="auto"/>
          <w:spacing w:val="4"/>
          <w:kern w:val="0"/>
          <w:sz w:val="22"/>
          <w:szCs w:val="24"/>
        </w:rPr>
        <w:t>忽</w:t>
      </w:r>
      <w:r>
        <w:rPr>
          <w:rFonts w:ascii="宋体" w:hAnsi="宋体" w:eastAsia="宋体" w:cs="宋体"/>
          <w:color w:val="auto"/>
          <w:spacing w:val="2"/>
          <w:kern w:val="0"/>
          <w:sz w:val="22"/>
          <w:szCs w:val="24"/>
        </w:rPr>
        <w:t>、失职、</w:t>
      </w:r>
      <w:r>
        <w:rPr>
          <w:rFonts w:ascii="宋体" w:hAnsi="宋体" w:eastAsia="宋体" w:cs="宋体"/>
          <w:color w:val="auto"/>
          <w:spacing w:val="4"/>
          <w:kern w:val="0"/>
          <w:sz w:val="22"/>
          <w:szCs w:val="24"/>
        </w:rPr>
        <w:t>过</w:t>
      </w:r>
      <w:r>
        <w:rPr>
          <w:rFonts w:ascii="宋体" w:hAnsi="宋体" w:eastAsia="宋体" w:cs="宋体"/>
          <w:color w:val="auto"/>
          <w:spacing w:val="2"/>
          <w:kern w:val="0"/>
          <w:sz w:val="22"/>
          <w:szCs w:val="24"/>
        </w:rPr>
        <w:t>错等故意</w:t>
      </w:r>
      <w:r>
        <w:rPr>
          <w:rFonts w:ascii="宋体" w:hAnsi="宋体" w:eastAsia="宋体" w:cs="宋体"/>
          <w:color w:val="auto"/>
          <w:spacing w:val="4"/>
          <w:kern w:val="0"/>
          <w:sz w:val="22"/>
          <w:szCs w:val="24"/>
        </w:rPr>
        <w:t>或</w:t>
      </w:r>
      <w:r>
        <w:rPr>
          <w:rFonts w:ascii="宋体" w:hAnsi="宋体" w:eastAsia="宋体" w:cs="宋体"/>
          <w:color w:val="auto"/>
          <w:kern w:val="0"/>
          <w:sz w:val="22"/>
          <w:szCs w:val="24"/>
        </w:rPr>
        <w:t>者过失原因给甲方造成损失或侵害</w:t>
      </w:r>
      <w:r>
        <w:rPr>
          <w:rFonts w:ascii="宋体" w:hAnsi="宋体" w:eastAsia="宋体" w:cs="宋体"/>
          <w:color w:val="auto"/>
          <w:spacing w:val="-48"/>
          <w:kern w:val="0"/>
          <w:sz w:val="22"/>
          <w:szCs w:val="24"/>
        </w:rPr>
        <w:t>，</w:t>
      </w:r>
      <w:r>
        <w:rPr>
          <w:rFonts w:ascii="宋体" w:hAnsi="宋体" w:eastAsia="宋体" w:cs="宋体"/>
          <w:color w:val="auto"/>
          <w:kern w:val="0"/>
          <w:sz w:val="22"/>
          <w:szCs w:val="24"/>
        </w:rPr>
        <w:t>包括但不限于甲方本身的财产损失</w:t>
      </w:r>
      <w:r>
        <w:rPr>
          <w:rFonts w:ascii="宋体" w:hAnsi="宋体" w:eastAsia="宋体" w:cs="宋体"/>
          <w:color w:val="auto"/>
          <w:spacing w:val="-46"/>
          <w:kern w:val="0"/>
          <w:sz w:val="22"/>
          <w:szCs w:val="24"/>
        </w:rPr>
        <w:t>、</w:t>
      </w:r>
      <w:r>
        <w:rPr>
          <w:rFonts w:ascii="宋体" w:hAnsi="宋体" w:eastAsia="宋体" w:cs="宋体"/>
          <w:color w:val="auto"/>
          <w:kern w:val="0"/>
          <w:sz w:val="22"/>
          <w:szCs w:val="24"/>
        </w:rPr>
        <w:t>由此而导致的甲方对任何第三方的法律责任等，乙方对此均应承担全部的赔偿责任。</w:t>
      </w:r>
    </w:p>
    <w:p w14:paraId="4B628799">
      <w:pPr>
        <w:autoSpaceDE w:val="0"/>
        <w:autoSpaceDN w:val="0"/>
        <w:spacing w:before="36"/>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16.不可抗力事件处理</w:t>
      </w:r>
    </w:p>
    <w:p w14:paraId="0168FAF7">
      <w:pPr>
        <w:numPr>
          <w:ilvl w:val="1"/>
          <w:numId w:val="12"/>
        </w:numPr>
        <w:tabs>
          <w:tab w:val="left" w:pos="1143"/>
        </w:tabs>
        <w:autoSpaceDE w:val="0"/>
        <w:autoSpaceDN w:val="0"/>
        <w:spacing w:before="154" w:line="357" w:lineRule="auto"/>
        <w:ind w:right="197" w:firstLine="480"/>
        <w:jc w:val="left"/>
        <w:outlineLvl w:val="3"/>
        <w:rPr>
          <w:rFonts w:ascii="宋体" w:hAnsi="宋体" w:eastAsia="宋体" w:cs="宋体"/>
          <w:color w:val="auto"/>
          <w:kern w:val="0"/>
          <w:sz w:val="22"/>
          <w:szCs w:val="24"/>
        </w:rPr>
      </w:pPr>
      <w:r>
        <w:rPr>
          <w:rFonts w:ascii="宋体" w:hAnsi="宋体" w:eastAsia="宋体" w:cs="宋体"/>
          <w:color w:val="auto"/>
          <w:spacing w:val="2"/>
          <w:kern w:val="0"/>
          <w:sz w:val="22"/>
          <w:szCs w:val="24"/>
        </w:rPr>
        <w:t>因不</w:t>
      </w:r>
      <w:r>
        <w:rPr>
          <w:rFonts w:ascii="宋体" w:hAnsi="宋体" w:eastAsia="宋体" w:cs="宋体"/>
          <w:color w:val="auto"/>
          <w:spacing w:val="4"/>
          <w:kern w:val="0"/>
          <w:sz w:val="22"/>
          <w:szCs w:val="24"/>
        </w:rPr>
        <w:t>可</w:t>
      </w:r>
      <w:r>
        <w:rPr>
          <w:rFonts w:ascii="宋体" w:hAnsi="宋体" w:eastAsia="宋体" w:cs="宋体"/>
          <w:color w:val="auto"/>
          <w:spacing w:val="2"/>
          <w:kern w:val="0"/>
          <w:sz w:val="22"/>
          <w:szCs w:val="24"/>
        </w:rPr>
        <w:t>抗力造成</w:t>
      </w:r>
      <w:r>
        <w:rPr>
          <w:rFonts w:ascii="宋体" w:hAnsi="宋体" w:eastAsia="宋体" w:cs="宋体"/>
          <w:color w:val="auto"/>
          <w:spacing w:val="4"/>
          <w:kern w:val="0"/>
          <w:sz w:val="22"/>
          <w:szCs w:val="24"/>
        </w:rPr>
        <w:t>违</w:t>
      </w:r>
      <w:r>
        <w:rPr>
          <w:rFonts w:ascii="宋体" w:hAnsi="宋体" w:eastAsia="宋体" w:cs="宋体"/>
          <w:color w:val="auto"/>
          <w:spacing w:val="2"/>
          <w:kern w:val="0"/>
          <w:sz w:val="22"/>
          <w:szCs w:val="24"/>
        </w:rPr>
        <w:t>约的，遭</w:t>
      </w:r>
      <w:r>
        <w:rPr>
          <w:rFonts w:ascii="宋体" w:hAnsi="宋体" w:eastAsia="宋体" w:cs="宋体"/>
          <w:color w:val="auto"/>
          <w:spacing w:val="4"/>
          <w:kern w:val="0"/>
          <w:sz w:val="22"/>
          <w:szCs w:val="24"/>
        </w:rPr>
        <w:t>受</w:t>
      </w:r>
      <w:r>
        <w:rPr>
          <w:rFonts w:ascii="宋体" w:hAnsi="宋体" w:eastAsia="宋体" w:cs="宋体"/>
          <w:color w:val="auto"/>
          <w:spacing w:val="2"/>
          <w:kern w:val="0"/>
          <w:sz w:val="22"/>
          <w:szCs w:val="24"/>
        </w:rPr>
        <w:t>不可抗力一</w:t>
      </w:r>
      <w:r>
        <w:rPr>
          <w:rFonts w:ascii="宋体" w:hAnsi="宋体" w:eastAsia="宋体" w:cs="宋体"/>
          <w:color w:val="auto"/>
          <w:spacing w:val="4"/>
          <w:kern w:val="0"/>
          <w:sz w:val="22"/>
          <w:szCs w:val="24"/>
        </w:rPr>
        <w:t>方</w:t>
      </w:r>
      <w:r>
        <w:rPr>
          <w:rFonts w:ascii="宋体" w:hAnsi="宋体" w:eastAsia="宋体" w:cs="宋体"/>
          <w:color w:val="auto"/>
          <w:spacing w:val="2"/>
          <w:kern w:val="0"/>
          <w:sz w:val="22"/>
          <w:szCs w:val="24"/>
        </w:rPr>
        <w:t>应及时向</w:t>
      </w:r>
      <w:r>
        <w:rPr>
          <w:rFonts w:ascii="宋体" w:hAnsi="宋体" w:eastAsia="宋体" w:cs="宋体"/>
          <w:color w:val="auto"/>
          <w:spacing w:val="4"/>
          <w:kern w:val="0"/>
          <w:sz w:val="22"/>
          <w:szCs w:val="24"/>
        </w:rPr>
        <w:t>对</w:t>
      </w:r>
      <w:r>
        <w:rPr>
          <w:rFonts w:ascii="宋体" w:hAnsi="宋体" w:eastAsia="宋体" w:cs="宋体"/>
          <w:color w:val="auto"/>
          <w:spacing w:val="2"/>
          <w:kern w:val="0"/>
          <w:sz w:val="22"/>
          <w:szCs w:val="24"/>
        </w:rPr>
        <w:t>方通报不</w:t>
      </w:r>
      <w:r>
        <w:rPr>
          <w:rFonts w:ascii="宋体" w:hAnsi="宋体" w:eastAsia="宋体" w:cs="宋体"/>
          <w:color w:val="auto"/>
          <w:spacing w:val="4"/>
          <w:kern w:val="0"/>
          <w:sz w:val="22"/>
          <w:szCs w:val="24"/>
        </w:rPr>
        <w:t>能</w:t>
      </w:r>
      <w:r>
        <w:rPr>
          <w:rFonts w:ascii="宋体" w:hAnsi="宋体" w:eastAsia="宋体" w:cs="宋体"/>
          <w:color w:val="auto"/>
          <w:kern w:val="0"/>
          <w:sz w:val="22"/>
          <w:szCs w:val="24"/>
        </w:rPr>
        <w:t>履行</w:t>
      </w:r>
      <w:r>
        <w:rPr>
          <w:rFonts w:ascii="宋体" w:hAnsi="宋体" w:eastAsia="宋体" w:cs="宋体"/>
          <w:color w:val="auto"/>
          <w:spacing w:val="2"/>
          <w:kern w:val="0"/>
          <w:sz w:val="22"/>
          <w:szCs w:val="24"/>
        </w:rPr>
        <w:t>或</w:t>
      </w:r>
      <w:r>
        <w:rPr>
          <w:rFonts w:ascii="宋体" w:hAnsi="宋体" w:eastAsia="宋体" w:cs="宋体"/>
          <w:color w:val="auto"/>
          <w:kern w:val="0"/>
          <w:sz w:val="22"/>
          <w:szCs w:val="24"/>
        </w:rPr>
        <w:t>不能</w:t>
      </w:r>
      <w:r>
        <w:rPr>
          <w:rFonts w:ascii="宋体" w:hAnsi="宋体" w:eastAsia="宋体" w:cs="宋体"/>
          <w:color w:val="auto"/>
          <w:spacing w:val="2"/>
          <w:kern w:val="0"/>
          <w:sz w:val="22"/>
          <w:szCs w:val="24"/>
        </w:rPr>
        <w:t>完</w:t>
      </w:r>
      <w:r>
        <w:rPr>
          <w:rFonts w:ascii="宋体" w:hAnsi="宋体" w:eastAsia="宋体" w:cs="宋体"/>
          <w:color w:val="auto"/>
          <w:kern w:val="0"/>
          <w:sz w:val="22"/>
          <w:szCs w:val="24"/>
        </w:rPr>
        <w:t>全履</w:t>
      </w:r>
      <w:r>
        <w:rPr>
          <w:rFonts w:ascii="宋体" w:hAnsi="宋体" w:eastAsia="宋体" w:cs="宋体"/>
          <w:color w:val="auto"/>
          <w:spacing w:val="2"/>
          <w:kern w:val="0"/>
          <w:sz w:val="22"/>
          <w:szCs w:val="24"/>
        </w:rPr>
        <w:t>行</w:t>
      </w:r>
      <w:r>
        <w:rPr>
          <w:rFonts w:ascii="宋体" w:hAnsi="宋体" w:eastAsia="宋体" w:cs="宋体"/>
          <w:color w:val="auto"/>
          <w:kern w:val="0"/>
          <w:sz w:val="22"/>
          <w:szCs w:val="24"/>
        </w:rPr>
        <w:t>的理</w:t>
      </w:r>
      <w:r>
        <w:rPr>
          <w:rFonts w:ascii="宋体" w:hAnsi="宋体" w:eastAsia="宋体" w:cs="宋体"/>
          <w:color w:val="auto"/>
          <w:spacing w:val="2"/>
          <w:kern w:val="0"/>
          <w:sz w:val="22"/>
          <w:szCs w:val="24"/>
        </w:rPr>
        <w:t>由</w:t>
      </w:r>
      <w:r>
        <w:rPr>
          <w:rFonts w:ascii="宋体" w:hAnsi="宋体" w:eastAsia="宋体" w:cs="宋体"/>
          <w:color w:val="auto"/>
          <w:kern w:val="0"/>
          <w:sz w:val="22"/>
          <w:szCs w:val="24"/>
        </w:rPr>
        <w:t>，并</w:t>
      </w:r>
      <w:r>
        <w:rPr>
          <w:rFonts w:ascii="宋体" w:hAnsi="宋体" w:eastAsia="宋体" w:cs="宋体"/>
          <w:color w:val="auto"/>
          <w:spacing w:val="2"/>
          <w:kern w:val="0"/>
          <w:sz w:val="22"/>
          <w:szCs w:val="24"/>
        </w:rPr>
        <w:t>在</w:t>
      </w:r>
      <w:r>
        <w:rPr>
          <w:rFonts w:ascii="宋体" w:hAnsi="宋体" w:eastAsia="宋体" w:cs="宋体"/>
          <w:color w:val="auto"/>
          <w:kern w:val="0"/>
          <w:sz w:val="22"/>
          <w:szCs w:val="24"/>
        </w:rPr>
        <w:t>随后</w:t>
      </w:r>
      <w:r>
        <w:rPr>
          <w:rFonts w:ascii="宋体" w:hAnsi="宋体" w:eastAsia="宋体" w:cs="宋体"/>
          <w:color w:val="auto"/>
          <w:spacing w:val="2"/>
          <w:kern w:val="0"/>
          <w:sz w:val="22"/>
          <w:szCs w:val="24"/>
        </w:rPr>
        <w:t>取</w:t>
      </w:r>
      <w:r>
        <w:rPr>
          <w:rFonts w:ascii="宋体" w:hAnsi="宋体" w:eastAsia="宋体" w:cs="宋体"/>
          <w:color w:val="auto"/>
          <w:kern w:val="0"/>
          <w:sz w:val="22"/>
          <w:szCs w:val="24"/>
        </w:rPr>
        <w:t>得有</w:t>
      </w:r>
      <w:r>
        <w:rPr>
          <w:rFonts w:ascii="宋体" w:hAnsi="宋体" w:eastAsia="宋体" w:cs="宋体"/>
          <w:color w:val="auto"/>
          <w:spacing w:val="2"/>
          <w:kern w:val="0"/>
          <w:sz w:val="22"/>
          <w:szCs w:val="24"/>
        </w:rPr>
        <w:t>关</w:t>
      </w:r>
      <w:r>
        <w:rPr>
          <w:rFonts w:ascii="宋体" w:hAnsi="宋体" w:eastAsia="宋体" w:cs="宋体"/>
          <w:color w:val="auto"/>
          <w:kern w:val="0"/>
          <w:sz w:val="22"/>
          <w:szCs w:val="24"/>
        </w:rPr>
        <w:t>权威</w:t>
      </w:r>
      <w:r>
        <w:rPr>
          <w:rFonts w:ascii="宋体" w:hAnsi="宋体" w:eastAsia="宋体" w:cs="宋体"/>
          <w:color w:val="auto"/>
          <w:spacing w:val="2"/>
          <w:kern w:val="0"/>
          <w:sz w:val="22"/>
          <w:szCs w:val="24"/>
        </w:rPr>
        <w:t>机</w:t>
      </w:r>
      <w:r>
        <w:rPr>
          <w:rFonts w:ascii="宋体" w:hAnsi="宋体" w:eastAsia="宋体" w:cs="宋体"/>
          <w:color w:val="auto"/>
          <w:kern w:val="0"/>
          <w:sz w:val="22"/>
          <w:szCs w:val="24"/>
        </w:rPr>
        <w:t>构出</w:t>
      </w:r>
      <w:r>
        <w:rPr>
          <w:rFonts w:ascii="宋体" w:hAnsi="宋体" w:eastAsia="宋体" w:cs="宋体"/>
          <w:color w:val="auto"/>
          <w:spacing w:val="2"/>
          <w:kern w:val="0"/>
          <w:sz w:val="22"/>
          <w:szCs w:val="24"/>
        </w:rPr>
        <w:t>具</w:t>
      </w:r>
      <w:r>
        <w:rPr>
          <w:rFonts w:ascii="宋体" w:hAnsi="宋体" w:eastAsia="宋体" w:cs="宋体"/>
          <w:color w:val="auto"/>
          <w:kern w:val="0"/>
          <w:sz w:val="22"/>
          <w:szCs w:val="24"/>
        </w:rPr>
        <w:t>的证</w:t>
      </w:r>
      <w:r>
        <w:rPr>
          <w:rFonts w:ascii="宋体" w:hAnsi="宋体" w:eastAsia="宋体" w:cs="宋体"/>
          <w:color w:val="auto"/>
          <w:spacing w:val="2"/>
          <w:kern w:val="0"/>
          <w:sz w:val="22"/>
          <w:szCs w:val="24"/>
        </w:rPr>
        <w:t>明</w:t>
      </w:r>
      <w:r>
        <w:rPr>
          <w:rFonts w:ascii="宋体" w:hAnsi="宋体" w:eastAsia="宋体" w:cs="宋体"/>
          <w:color w:val="auto"/>
          <w:kern w:val="0"/>
          <w:sz w:val="22"/>
          <w:szCs w:val="24"/>
        </w:rPr>
        <w:t>后的</w:t>
      </w:r>
      <w:r>
        <w:rPr>
          <w:rFonts w:ascii="宋体" w:hAnsi="宋体" w:eastAsia="宋体" w:cs="宋体"/>
          <w:color w:val="auto"/>
          <w:spacing w:val="-60"/>
          <w:kern w:val="0"/>
          <w:sz w:val="22"/>
          <w:szCs w:val="24"/>
        </w:rPr>
        <w:t xml:space="preserve"> </w:t>
      </w:r>
      <w:r>
        <w:rPr>
          <w:rFonts w:ascii="宋体" w:hAnsi="宋体" w:eastAsia="宋体" w:cs="宋体"/>
          <w:color w:val="auto"/>
          <w:kern w:val="0"/>
          <w:sz w:val="22"/>
          <w:szCs w:val="24"/>
        </w:rPr>
        <w:t>15</w:t>
      </w:r>
      <w:r>
        <w:rPr>
          <w:rFonts w:ascii="宋体" w:hAnsi="宋体" w:eastAsia="宋体" w:cs="宋体"/>
          <w:color w:val="auto"/>
          <w:spacing w:val="-60"/>
          <w:kern w:val="0"/>
          <w:sz w:val="22"/>
          <w:szCs w:val="24"/>
        </w:rPr>
        <w:t xml:space="preserve"> </w:t>
      </w:r>
      <w:r>
        <w:rPr>
          <w:rFonts w:ascii="宋体" w:hAnsi="宋体" w:eastAsia="宋体" w:cs="宋体"/>
          <w:color w:val="auto"/>
          <w:kern w:val="0"/>
          <w:sz w:val="22"/>
          <w:szCs w:val="24"/>
        </w:rPr>
        <w:t>日内向另一方提供不可抗力发生以及持续期间的充分证据</w:t>
      </w:r>
      <w:r>
        <w:rPr>
          <w:rFonts w:ascii="宋体" w:hAnsi="宋体" w:eastAsia="宋体" w:cs="宋体"/>
          <w:color w:val="auto"/>
          <w:spacing w:val="-48"/>
          <w:kern w:val="0"/>
          <w:sz w:val="22"/>
          <w:szCs w:val="24"/>
        </w:rPr>
        <w:t>。</w:t>
      </w:r>
      <w:r>
        <w:rPr>
          <w:rFonts w:ascii="宋体" w:hAnsi="宋体" w:eastAsia="宋体" w:cs="宋体"/>
          <w:color w:val="auto"/>
          <w:kern w:val="0"/>
          <w:sz w:val="22"/>
          <w:szCs w:val="24"/>
        </w:rPr>
        <w:t>基本于以上行为</w:t>
      </w:r>
      <w:r>
        <w:rPr>
          <w:rFonts w:ascii="宋体" w:hAnsi="宋体" w:eastAsia="宋体" w:cs="宋体"/>
          <w:color w:val="auto"/>
          <w:spacing w:val="-46"/>
          <w:kern w:val="0"/>
          <w:sz w:val="22"/>
          <w:szCs w:val="24"/>
        </w:rPr>
        <w:t>，</w:t>
      </w:r>
      <w:r>
        <w:rPr>
          <w:rFonts w:ascii="宋体" w:hAnsi="宋体" w:eastAsia="宋体" w:cs="宋体"/>
          <w:color w:val="auto"/>
          <w:kern w:val="0"/>
          <w:sz w:val="22"/>
          <w:szCs w:val="24"/>
        </w:rPr>
        <w:t>允许遭受不可抗力一方延期履行</w:t>
      </w:r>
      <w:r>
        <w:rPr>
          <w:rFonts w:ascii="宋体" w:hAnsi="宋体" w:eastAsia="宋体" w:cs="宋体"/>
          <w:color w:val="auto"/>
          <w:spacing w:val="-48"/>
          <w:kern w:val="0"/>
          <w:sz w:val="22"/>
          <w:szCs w:val="24"/>
        </w:rPr>
        <w:t>、</w:t>
      </w:r>
      <w:r>
        <w:rPr>
          <w:rFonts w:ascii="宋体" w:hAnsi="宋体" w:eastAsia="宋体" w:cs="宋体"/>
          <w:color w:val="auto"/>
          <w:kern w:val="0"/>
          <w:sz w:val="22"/>
          <w:szCs w:val="24"/>
        </w:rPr>
        <w:t>部分履行或者不履行合同</w:t>
      </w:r>
      <w:r>
        <w:rPr>
          <w:rFonts w:ascii="宋体" w:hAnsi="宋体" w:eastAsia="宋体" w:cs="宋体"/>
          <w:color w:val="auto"/>
          <w:spacing w:val="-46"/>
          <w:kern w:val="0"/>
          <w:sz w:val="22"/>
          <w:szCs w:val="24"/>
        </w:rPr>
        <w:t>，</w:t>
      </w:r>
      <w:r>
        <w:rPr>
          <w:rFonts w:ascii="宋体" w:hAnsi="宋体" w:eastAsia="宋体" w:cs="宋体"/>
          <w:color w:val="auto"/>
          <w:kern w:val="0"/>
          <w:sz w:val="22"/>
          <w:szCs w:val="24"/>
        </w:rPr>
        <w:t>并根据情况可部分或全部免于承担违约责任。</w:t>
      </w:r>
    </w:p>
    <w:p w14:paraId="19540030">
      <w:pPr>
        <w:numPr>
          <w:ilvl w:val="1"/>
          <w:numId w:val="12"/>
        </w:numPr>
        <w:tabs>
          <w:tab w:val="left" w:pos="1200"/>
        </w:tabs>
        <w:autoSpaceDE w:val="0"/>
        <w:autoSpaceDN w:val="0"/>
        <w:spacing w:before="36" w:line="357" w:lineRule="auto"/>
        <w:ind w:right="19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本</w:t>
      </w:r>
      <w:r>
        <w:rPr>
          <w:rFonts w:ascii="宋体" w:hAnsi="宋体" w:eastAsia="宋体" w:cs="宋体"/>
          <w:color w:val="auto"/>
          <w:spacing w:val="2"/>
          <w:kern w:val="0"/>
          <w:sz w:val="22"/>
          <w:szCs w:val="24"/>
        </w:rPr>
        <w:t>合</w:t>
      </w:r>
      <w:r>
        <w:rPr>
          <w:rFonts w:ascii="宋体" w:hAnsi="宋体" w:eastAsia="宋体" w:cs="宋体"/>
          <w:color w:val="auto"/>
          <w:kern w:val="0"/>
          <w:sz w:val="22"/>
          <w:szCs w:val="24"/>
        </w:rPr>
        <w:t>同中</w:t>
      </w:r>
      <w:r>
        <w:rPr>
          <w:rFonts w:ascii="宋体" w:hAnsi="宋体" w:eastAsia="宋体" w:cs="宋体"/>
          <w:color w:val="auto"/>
          <w:spacing w:val="2"/>
          <w:kern w:val="0"/>
          <w:sz w:val="22"/>
          <w:szCs w:val="24"/>
        </w:rPr>
        <w:t>的</w:t>
      </w:r>
      <w:r>
        <w:rPr>
          <w:rFonts w:ascii="宋体" w:hAnsi="宋体" w:eastAsia="宋体" w:cs="宋体"/>
          <w:color w:val="auto"/>
          <w:kern w:val="0"/>
          <w:sz w:val="22"/>
          <w:szCs w:val="24"/>
        </w:rPr>
        <w:t>不</w:t>
      </w:r>
      <w:r>
        <w:rPr>
          <w:rFonts w:ascii="宋体" w:hAnsi="宋体" w:eastAsia="宋体" w:cs="宋体"/>
          <w:color w:val="auto"/>
          <w:spacing w:val="2"/>
          <w:kern w:val="0"/>
          <w:sz w:val="22"/>
          <w:szCs w:val="24"/>
        </w:rPr>
        <w:t>可</w:t>
      </w:r>
      <w:r>
        <w:rPr>
          <w:rFonts w:ascii="宋体" w:hAnsi="宋体" w:eastAsia="宋体" w:cs="宋体"/>
          <w:color w:val="auto"/>
          <w:kern w:val="0"/>
          <w:sz w:val="22"/>
          <w:szCs w:val="24"/>
        </w:rPr>
        <w:t>抗力</w:t>
      </w:r>
      <w:r>
        <w:rPr>
          <w:rFonts w:ascii="宋体" w:hAnsi="宋体" w:eastAsia="宋体" w:cs="宋体"/>
          <w:color w:val="auto"/>
          <w:spacing w:val="2"/>
          <w:kern w:val="0"/>
          <w:sz w:val="22"/>
          <w:szCs w:val="24"/>
        </w:rPr>
        <w:t>指</w:t>
      </w:r>
      <w:r>
        <w:rPr>
          <w:rFonts w:ascii="宋体" w:hAnsi="宋体" w:eastAsia="宋体" w:cs="宋体"/>
          <w:color w:val="auto"/>
          <w:kern w:val="0"/>
          <w:sz w:val="22"/>
          <w:szCs w:val="24"/>
        </w:rPr>
        <w:t>不能</w:t>
      </w:r>
      <w:r>
        <w:rPr>
          <w:rFonts w:ascii="宋体" w:hAnsi="宋体" w:eastAsia="宋体" w:cs="宋体"/>
          <w:color w:val="auto"/>
          <w:spacing w:val="2"/>
          <w:kern w:val="0"/>
          <w:sz w:val="22"/>
          <w:szCs w:val="24"/>
        </w:rPr>
        <w:t>预</w:t>
      </w:r>
      <w:r>
        <w:rPr>
          <w:rFonts w:ascii="宋体" w:hAnsi="宋体" w:eastAsia="宋体" w:cs="宋体"/>
          <w:color w:val="auto"/>
          <w:kern w:val="0"/>
          <w:sz w:val="22"/>
          <w:szCs w:val="24"/>
        </w:rPr>
        <w:t>见、</w:t>
      </w:r>
      <w:r>
        <w:rPr>
          <w:rFonts w:ascii="宋体" w:hAnsi="宋体" w:eastAsia="宋体" w:cs="宋体"/>
          <w:color w:val="auto"/>
          <w:spacing w:val="2"/>
          <w:kern w:val="0"/>
          <w:sz w:val="22"/>
          <w:szCs w:val="24"/>
        </w:rPr>
        <w:t>不</w:t>
      </w:r>
      <w:r>
        <w:rPr>
          <w:rFonts w:ascii="宋体" w:hAnsi="宋体" w:eastAsia="宋体" w:cs="宋体"/>
          <w:color w:val="auto"/>
          <w:kern w:val="0"/>
          <w:sz w:val="22"/>
          <w:szCs w:val="24"/>
        </w:rPr>
        <w:t>能避</w:t>
      </w:r>
      <w:r>
        <w:rPr>
          <w:rFonts w:ascii="宋体" w:hAnsi="宋体" w:eastAsia="宋体" w:cs="宋体"/>
          <w:color w:val="auto"/>
          <w:spacing w:val="2"/>
          <w:kern w:val="0"/>
          <w:sz w:val="22"/>
          <w:szCs w:val="24"/>
        </w:rPr>
        <w:t>免</w:t>
      </w:r>
      <w:r>
        <w:rPr>
          <w:rFonts w:ascii="宋体" w:hAnsi="宋体" w:eastAsia="宋体" w:cs="宋体"/>
          <w:color w:val="auto"/>
          <w:kern w:val="0"/>
          <w:sz w:val="22"/>
          <w:szCs w:val="24"/>
        </w:rPr>
        <w:t>并</w:t>
      </w:r>
      <w:r>
        <w:rPr>
          <w:rFonts w:ascii="宋体" w:hAnsi="宋体" w:eastAsia="宋体" w:cs="宋体"/>
          <w:color w:val="auto"/>
          <w:spacing w:val="2"/>
          <w:kern w:val="0"/>
          <w:sz w:val="22"/>
          <w:szCs w:val="24"/>
        </w:rPr>
        <w:t>不</w:t>
      </w:r>
      <w:r>
        <w:rPr>
          <w:rFonts w:ascii="宋体" w:hAnsi="宋体" w:eastAsia="宋体" w:cs="宋体"/>
          <w:color w:val="auto"/>
          <w:kern w:val="0"/>
          <w:sz w:val="22"/>
          <w:szCs w:val="24"/>
        </w:rPr>
        <w:t>能克</w:t>
      </w:r>
      <w:r>
        <w:rPr>
          <w:rFonts w:ascii="宋体" w:hAnsi="宋体" w:eastAsia="宋体" w:cs="宋体"/>
          <w:color w:val="auto"/>
          <w:spacing w:val="2"/>
          <w:kern w:val="0"/>
          <w:sz w:val="22"/>
          <w:szCs w:val="24"/>
        </w:rPr>
        <w:t>服</w:t>
      </w:r>
      <w:r>
        <w:rPr>
          <w:rFonts w:ascii="宋体" w:hAnsi="宋体" w:eastAsia="宋体" w:cs="宋体"/>
          <w:color w:val="auto"/>
          <w:kern w:val="0"/>
          <w:sz w:val="22"/>
          <w:szCs w:val="24"/>
        </w:rPr>
        <w:t>的客</w:t>
      </w:r>
      <w:r>
        <w:rPr>
          <w:rFonts w:ascii="宋体" w:hAnsi="宋体" w:eastAsia="宋体" w:cs="宋体"/>
          <w:color w:val="auto"/>
          <w:spacing w:val="2"/>
          <w:kern w:val="0"/>
          <w:sz w:val="22"/>
          <w:szCs w:val="24"/>
        </w:rPr>
        <w:t>观</w:t>
      </w:r>
      <w:r>
        <w:rPr>
          <w:rFonts w:ascii="宋体" w:hAnsi="宋体" w:eastAsia="宋体" w:cs="宋体"/>
          <w:color w:val="auto"/>
          <w:kern w:val="0"/>
          <w:sz w:val="22"/>
          <w:szCs w:val="24"/>
        </w:rPr>
        <w:t>情况。包括但不限于</w:t>
      </w:r>
      <w:r>
        <w:rPr>
          <w:rFonts w:ascii="宋体" w:hAnsi="宋体" w:eastAsia="宋体" w:cs="宋体"/>
          <w:color w:val="auto"/>
          <w:spacing w:val="-17"/>
          <w:kern w:val="0"/>
          <w:sz w:val="22"/>
          <w:szCs w:val="24"/>
        </w:rPr>
        <w:t>：</w:t>
      </w:r>
      <w:r>
        <w:rPr>
          <w:rFonts w:ascii="宋体" w:hAnsi="宋体" w:eastAsia="宋体" w:cs="宋体"/>
          <w:color w:val="auto"/>
          <w:kern w:val="0"/>
          <w:sz w:val="22"/>
          <w:szCs w:val="24"/>
        </w:rPr>
        <w:t>自然灾害如地震</w:t>
      </w:r>
      <w:r>
        <w:rPr>
          <w:rFonts w:ascii="宋体" w:hAnsi="宋体" w:eastAsia="宋体" w:cs="宋体"/>
          <w:color w:val="auto"/>
          <w:spacing w:val="-15"/>
          <w:kern w:val="0"/>
          <w:sz w:val="22"/>
          <w:szCs w:val="24"/>
        </w:rPr>
        <w:t>、</w:t>
      </w:r>
      <w:r>
        <w:rPr>
          <w:rFonts w:ascii="宋体" w:hAnsi="宋体" w:eastAsia="宋体" w:cs="宋体"/>
          <w:color w:val="auto"/>
          <w:kern w:val="0"/>
          <w:sz w:val="22"/>
          <w:szCs w:val="24"/>
        </w:rPr>
        <w:t>台风</w:t>
      </w:r>
      <w:r>
        <w:rPr>
          <w:rFonts w:ascii="宋体" w:hAnsi="宋体" w:eastAsia="宋体" w:cs="宋体"/>
          <w:color w:val="auto"/>
          <w:spacing w:val="-17"/>
          <w:kern w:val="0"/>
          <w:sz w:val="22"/>
          <w:szCs w:val="24"/>
        </w:rPr>
        <w:t>、</w:t>
      </w:r>
      <w:r>
        <w:rPr>
          <w:rFonts w:ascii="宋体" w:hAnsi="宋体" w:eastAsia="宋体" w:cs="宋体"/>
          <w:color w:val="auto"/>
          <w:kern w:val="0"/>
          <w:sz w:val="22"/>
          <w:szCs w:val="24"/>
        </w:rPr>
        <w:t>洪水</w:t>
      </w:r>
      <w:r>
        <w:rPr>
          <w:rFonts w:ascii="宋体" w:hAnsi="宋体" w:eastAsia="宋体" w:cs="宋体"/>
          <w:color w:val="auto"/>
          <w:spacing w:val="-15"/>
          <w:kern w:val="0"/>
          <w:sz w:val="22"/>
          <w:szCs w:val="24"/>
        </w:rPr>
        <w:t>、</w:t>
      </w:r>
      <w:r>
        <w:rPr>
          <w:rFonts w:ascii="宋体" w:hAnsi="宋体" w:eastAsia="宋体" w:cs="宋体"/>
          <w:color w:val="auto"/>
          <w:kern w:val="0"/>
          <w:sz w:val="22"/>
          <w:szCs w:val="24"/>
        </w:rPr>
        <w:t>火灾</w:t>
      </w:r>
      <w:r>
        <w:rPr>
          <w:rFonts w:ascii="宋体" w:hAnsi="宋体" w:eastAsia="宋体" w:cs="宋体"/>
          <w:color w:val="auto"/>
          <w:spacing w:val="-17"/>
          <w:kern w:val="0"/>
          <w:sz w:val="22"/>
          <w:szCs w:val="24"/>
        </w:rPr>
        <w:t>；</w:t>
      </w:r>
      <w:r>
        <w:rPr>
          <w:rFonts w:ascii="宋体" w:hAnsi="宋体" w:eastAsia="宋体" w:cs="宋体"/>
          <w:color w:val="auto"/>
          <w:kern w:val="0"/>
          <w:sz w:val="22"/>
          <w:szCs w:val="24"/>
        </w:rPr>
        <w:t>政府行为</w:t>
      </w:r>
      <w:r>
        <w:rPr>
          <w:rFonts w:ascii="宋体" w:hAnsi="宋体" w:eastAsia="宋体" w:cs="宋体"/>
          <w:color w:val="auto"/>
          <w:spacing w:val="-15"/>
          <w:kern w:val="0"/>
          <w:sz w:val="22"/>
          <w:szCs w:val="24"/>
        </w:rPr>
        <w:t>、</w:t>
      </w:r>
      <w:r>
        <w:rPr>
          <w:rFonts w:ascii="宋体" w:hAnsi="宋体" w:eastAsia="宋体" w:cs="宋体"/>
          <w:color w:val="auto"/>
          <w:kern w:val="0"/>
          <w:sz w:val="22"/>
          <w:szCs w:val="24"/>
        </w:rPr>
        <w:t>法律规定或其适用的变化或者其他任何无法预见、避免或者控制的事件。</w:t>
      </w:r>
    </w:p>
    <w:p w14:paraId="50EBDAF8">
      <w:pPr>
        <w:autoSpaceDE w:val="0"/>
        <w:autoSpaceDN w:val="0"/>
        <w:spacing w:before="36"/>
        <w:ind w:left="600"/>
        <w:jc w:val="left"/>
        <w:outlineLvl w:val="2"/>
        <w:rPr>
          <w:rFonts w:ascii="宋体" w:hAnsi="宋体" w:eastAsia="宋体" w:cs="宋体"/>
          <w:b/>
          <w:bCs/>
          <w:color w:val="auto"/>
          <w:kern w:val="0"/>
          <w:sz w:val="22"/>
          <w:szCs w:val="24"/>
        </w:rPr>
      </w:pPr>
      <w:r>
        <w:rPr>
          <w:rFonts w:ascii="宋体" w:hAnsi="宋体" w:eastAsia="宋体" w:cs="宋体"/>
          <w:b/>
          <w:bCs/>
          <w:color w:val="auto"/>
          <w:kern w:val="0"/>
          <w:sz w:val="22"/>
          <w:szCs w:val="24"/>
        </w:rPr>
        <w:t>17.合同纠纷处理</w:t>
      </w:r>
    </w:p>
    <w:p w14:paraId="067C75D0">
      <w:pPr>
        <w:autoSpaceDE w:val="0"/>
        <w:autoSpaceDN w:val="0"/>
        <w:spacing w:before="154" w:line="357" w:lineRule="auto"/>
        <w:ind w:left="120" w:right="19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因本合同或与本合同有关的一切事项发生争议</w:t>
      </w:r>
      <w:r>
        <w:rPr>
          <w:rFonts w:ascii="宋体" w:hAnsi="宋体" w:eastAsia="宋体" w:cs="宋体"/>
          <w:color w:val="auto"/>
          <w:spacing w:val="-48"/>
          <w:kern w:val="0"/>
          <w:sz w:val="22"/>
          <w:szCs w:val="24"/>
        </w:rPr>
        <w:t>，</w:t>
      </w:r>
      <w:r>
        <w:rPr>
          <w:rFonts w:ascii="宋体" w:hAnsi="宋体" w:eastAsia="宋体" w:cs="宋体"/>
          <w:color w:val="auto"/>
          <w:kern w:val="0"/>
          <w:sz w:val="22"/>
          <w:szCs w:val="24"/>
        </w:rPr>
        <w:t>由双方友好协商解决</w:t>
      </w:r>
      <w:r>
        <w:rPr>
          <w:rFonts w:ascii="宋体" w:hAnsi="宋体" w:eastAsia="宋体" w:cs="宋体"/>
          <w:color w:val="auto"/>
          <w:spacing w:val="-46"/>
          <w:kern w:val="0"/>
          <w:sz w:val="22"/>
          <w:szCs w:val="24"/>
        </w:rPr>
        <w:t>。</w:t>
      </w:r>
      <w:r>
        <w:rPr>
          <w:rFonts w:ascii="宋体" w:hAnsi="宋体" w:eastAsia="宋体" w:cs="宋体"/>
          <w:color w:val="auto"/>
          <w:kern w:val="0"/>
          <w:sz w:val="22"/>
          <w:szCs w:val="24"/>
        </w:rPr>
        <w:t>协商不成的，任何一方均可选择以下方式解决：</w:t>
      </w:r>
    </w:p>
    <w:p w14:paraId="7C86C54B">
      <w:pPr>
        <w:numPr>
          <w:ilvl w:val="1"/>
          <w:numId w:val="13"/>
        </w:numPr>
        <w:tabs>
          <w:tab w:val="left" w:pos="1200"/>
        </w:tabs>
        <w:autoSpaceDE w:val="0"/>
        <w:autoSpaceDN w:val="0"/>
        <w:spacing w:before="36"/>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向甲方所在地仲裁委员会申请仲裁。</w:t>
      </w:r>
    </w:p>
    <w:p w14:paraId="1AFB11C5">
      <w:pPr>
        <w:numPr>
          <w:ilvl w:val="1"/>
          <w:numId w:val="13"/>
        </w:numPr>
        <w:tabs>
          <w:tab w:val="left" w:pos="1200"/>
        </w:tabs>
        <w:autoSpaceDE w:val="0"/>
        <w:autoSpaceDN w:val="0"/>
        <w:spacing w:before="154"/>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向合同签订地人民法院提起诉讼。</w:t>
      </w:r>
    </w:p>
    <w:p w14:paraId="4123EFCF">
      <w:pPr>
        <w:autoSpaceDE w:val="0"/>
        <w:autoSpaceDN w:val="0"/>
        <w:spacing w:before="154"/>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18.违约解除合同</w:t>
      </w:r>
    </w:p>
    <w:p w14:paraId="2A5538EB">
      <w:pPr>
        <w:numPr>
          <w:ilvl w:val="1"/>
          <w:numId w:val="14"/>
        </w:numPr>
        <w:tabs>
          <w:tab w:val="left" w:pos="1140"/>
        </w:tabs>
        <w:autoSpaceDE w:val="0"/>
        <w:autoSpaceDN w:val="0"/>
        <w:spacing w:before="154"/>
        <w:ind w:left="1276" w:hanging="676"/>
        <w:jc w:val="left"/>
        <w:outlineLvl w:val="3"/>
        <w:rPr>
          <w:rFonts w:ascii="宋体" w:hAnsi="宋体" w:eastAsia="宋体" w:cs="宋体"/>
          <w:color w:val="auto"/>
          <w:kern w:val="0"/>
          <w:sz w:val="22"/>
          <w:szCs w:val="24"/>
        </w:rPr>
      </w:pPr>
      <w:r>
        <w:rPr>
          <w:rFonts w:hint="eastAsia" w:ascii="宋体" w:hAnsi="宋体" w:eastAsia="宋体" w:cs="宋体"/>
          <w:color w:val="auto"/>
          <w:kern w:val="0"/>
          <w:sz w:val="22"/>
          <w:szCs w:val="24"/>
        </w:rPr>
        <w:t xml:space="preserve"> </w:t>
      </w:r>
      <w:r>
        <w:rPr>
          <w:rFonts w:ascii="宋体" w:hAnsi="宋体" w:eastAsia="宋体" w:cs="宋体"/>
          <w:color w:val="auto"/>
          <w:kern w:val="0"/>
          <w:sz w:val="22"/>
          <w:szCs w:val="24"/>
        </w:rPr>
        <w:t>违反本合同第</w:t>
      </w:r>
      <w:r>
        <w:rPr>
          <w:rFonts w:ascii="宋体" w:hAnsi="宋体" w:eastAsia="宋体" w:cs="宋体"/>
          <w:color w:val="auto"/>
          <w:spacing w:val="-60"/>
          <w:kern w:val="0"/>
          <w:sz w:val="22"/>
          <w:szCs w:val="24"/>
        </w:rPr>
        <w:t xml:space="preserve"> </w:t>
      </w:r>
      <w:r>
        <w:rPr>
          <w:rFonts w:ascii="宋体" w:hAnsi="宋体" w:eastAsia="宋体" w:cs="宋体"/>
          <w:color w:val="auto"/>
          <w:kern w:val="0"/>
          <w:sz w:val="22"/>
          <w:szCs w:val="24"/>
        </w:rPr>
        <w:t>10</w:t>
      </w:r>
      <w:r>
        <w:rPr>
          <w:rFonts w:ascii="宋体" w:hAnsi="宋体" w:eastAsia="宋体" w:cs="宋体"/>
          <w:color w:val="auto"/>
          <w:spacing w:val="-60"/>
          <w:kern w:val="0"/>
          <w:sz w:val="22"/>
          <w:szCs w:val="24"/>
        </w:rPr>
        <w:t xml:space="preserve"> </w:t>
      </w:r>
      <w:r>
        <w:rPr>
          <w:rFonts w:ascii="宋体" w:hAnsi="宋体" w:eastAsia="宋体" w:cs="宋体"/>
          <w:color w:val="auto"/>
          <w:kern w:val="0"/>
          <w:sz w:val="22"/>
          <w:szCs w:val="24"/>
        </w:rPr>
        <w:t>条的规定的。</w:t>
      </w:r>
    </w:p>
    <w:p w14:paraId="57ECA8AD">
      <w:pPr>
        <w:numPr>
          <w:ilvl w:val="1"/>
          <w:numId w:val="14"/>
        </w:numPr>
        <w:tabs>
          <w:tab w:val="left" w:pos="1200"/>
        </w:tabs>
        <w:autoSpaceDE w:val="0"/>
        <w:autoSpaceDN w:val="0"/>
        <w:spacing w:before="154"/>
        <w:ind w:left="1200" w:hanging="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乙方未能履行合同规定的其它主要义务的。</w:t>
      </w:r>
    </w:p>
    <w:p w14:paraId="350A45A6">
      <w:pPr>
        <w:numPr>
          <w:ilvl w:val="1"/>
          <w:numId w:val="14"/>
        </w:numPr>
        <w:tabs>
          <w:tab w:val="left" w:pos="1200"/>
        </w:tabs>
        <w:autoSpaceDE w:val="0"/>
        <w:autoSpaceDN w:val="0"/>
        <w:spacing w:before="154"/>
        <w:ind w:left="1200" w:hanging="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在本合同履行过程中有腐败和欺诈行为的。</w:t>
      </w:r>
    </w:p>
    <w:p w14:paraId="64401ADB">
      <w:pPr>
        <w:autoSpaceDE w:val="0"/>
        <w:autoSpaceDN w:val="0"/>
        <w:spacing w:before="154"/>
        <w:ind w:left="600"/>
        <w:jc w:val="left"/>
        <w:outlineLvl w:val="2"/>
        <w:rPr>
          <w:rFonts w:ascii="宋体" w:hAnsi="宋体" w:eastAsia="宋体" w:cs="宋体"/>
          <w:b/>
          <w:bCs/>
          <w:color w:val="auto"/>
          <w:kern w:val="0"/>
          <w:sz w:val="22"/>
          <w:szCs w:val="24"/>
          <w:lang w:eastAsia="en-US"/>
        </w:rPr>
      </w:pPr>
      <w:r>
        <w:rPr>
          <w:rFonts w:ascii="宋体" w:hAnsi="宋体" w:eastAsia="宋体" w:cs="宋体"/>
          <w:b/>
          <w:bCs/>
          <w:color w:val="auto"/>
          <w:kern w:val="0"/>
          <w:sz w:val="22"/>
          <w:szCs w:val="24"/>
          <w:lang w:eastAsia="en-US"/>
        </w:rPr>
        <w:t>19.其他约定</w:t>
      </w:r>
    </w:p>
    <w:p w14:paraId="20753239">
      <w:pPr>
        <w:numPr>
          <w:ilvl w:val="1"/>
          <w:numId w:val="15"/>
        </w:numPr>
        <w:tabs>
          <w:tab w:val="left" w:pos="1200"/>
        </w:tabs>
        <w:autoSpaceDE w:val="0"/>
        <w:autoSpaceDN w:val="0"/>
        <w:spacing w:before="154" w:line="357" w:lineRule="auto"/>
        <w:ind w:right="105"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本</w:t>
      </w:r>
      <w:r>
        <w:rPr>
          <w:rFonts w:ascii="宋体" w:hAnsi="宋体" w:eastAsia="宋体" w:cs="宋体"/>
          <w:color w:val="auto"/>
          <w:spacing w:val="2"/>
          <w:kern w:val="0"/>
          <w:sz w:val="22"/>
          <w:szCs w:val="24"/>
        </w:rPr>
        <w:t>采</w:t>
      </w:r>
      <w:r>
        <w:rPr>
          <w:rFonts w:ascii="宋体" w:hAnsi="宋体" w:eastAsia="宋体" w:cs="宋体"/>
          <w:color w:val="auto"/>
          <w:kern w:val="0"/>
          <w:sz w:val="22"/>
          <w:szCs w:val="24"/>
        </w:rPr>
        <w:t>购项</w:t>
      </w:r>
      <w:r>
        <w:rPr>
          <w:rFonts w:ascii="宋体" w:hAnsi="宋体" w:eastAsia="宋体" w:cs="宋体"/>
          <w:color w:val="auto"/>
          <w:spacing w:val="2"/>
          <w:kern w:val="0"/>
          <w:sz w:val="22"/>
          <w:szCs w:val="24"/>
        </w:rPr>
        <w:t>目</w:t>
      </w:r>
      <w:r>
        <w:rPr>
          <w:rFonts w:ascii="宋体" w:hAnsi="宋体" w:eastAsia="宋体" w:cs="宋体"/>
          <w:color w:val="auto"/>
          <w:kern w:val="0"/>
          <w:sz w:val="22"/>
          <w:szCs w:val="24"/>
        </w:rPr>
        <w:t>的</w:t>
      </w:r>
      <w:r>
        <w:rPr>
          <w:rFonts w:ascii="宋体" w:hAnsi="宋体" w:eastAsia="宋体" w:cs="宋体"/>
          <w:color w:val="auto"/>
          <w:spacing w:val="2"/>
          <w:kern w:val="0"/>
          <w:sz w:val="22"/>
          <w:szCs w:val="24"/>
        </w:rPr>
        <w:t>招</w:t>
      </w:r>
      <w:r>
        <w:rPr>
          <w:rFonts w:ascii="宋体" w:hAnsi="宋体" w:eastAsia="宋体" w:cs="宋体"/>
          <w:color w:val="auto"/>
          <w:kern w:val="0"/>
          <w:sz w:val="22"/>
          <w:szCs w:val="24"/>
        </w:rPr>
        <w:t>标文</w:t>
      </w:r>
      <w:r>
        <w:rPr>
          <w:rFonts w:ascii="宋体" w:hAnsi="宋体" w:eastAsia="宋体" w:cs="宋体"/>
          <w:color w:val="auto"/>
          <w:spacing w:val="2"/>
          <w:kern w:val="0"/>
          <w:sz w:val="22"/>
          <w:szCs w:val="24"/>
        </w:rPr>
        <w:t>件</w:t>
      </w:r>
      <w:r>
        <w:rPr>
          <w:rFonts w:ascii="宋体" w:hAnsi="宋体" w:eastAsia="宋体" w:cs="宋体"/>
          <w:color w:val="auto"/>
          <w:kern w:val="0"/>
          <w:sz w:val="22"/>
          <w:szCs w:val="24"/>
        </w:rPr>
        <w:t>、中</w:t>
      </w:r>
      <w:r>
        <w:rPr>
          <w:rFonts w:ascii="宋体" w:hAnsi="宋体" w:eastAsia="宋体" w:cs="宋体"/>
          <w:color w:val="auto"/>
          <w:spacing w:val="2"/>
          <w:kern w:val="0"/>
          <w:sz w:val="22"/>
          <w:szCs w:val="24"/>
        </w:rPr>
        <w:t>标</w:t>
      </w:r>
      <w:r>
        <w:rPr>
          <w:rFonts w:hint="eastAsia" w:ascii="宋体" w:hAnsi="宋体" w:eastAsia="宋体" w:cs="宋体"/>
          <w:color w:val="auto"/>
          <w:kern w:val="0"/>
          <w:sz w:val="22"/>
          <w:szCs w:val="24"/>
        </w:rPr>
        <w:t>供应商</w:t>
      </w:r>
      <w:r>
        <w:rPr>
          <w:rFonts w:ascii="宋体" w:hAnsi="宋体" w:eastAsia="宋体" w:cs="宋体"/>
          <w:color w:val="auto"/>
          <w:kern w:val="0"/>
          <w:sz w:val="22"/>
          <w:szCs w:val="24"/>
        </w:rPr>
        <w:t>的</w:t>
      </w:r>
      <w:r>
        <w:rPr>
          <w:rFonts w:hint="eastAsia" w:ascii="宋体" w:hAnsi="宋体" w:eastAsia="宋体" w:cs="宋体"/>
          <w:color w:val="auto"/>
          <w:kern w:val="0"/>
          <w:sz w:val="22"/>
          <w:szCs w:val="24"/>
        </w:rPr>
        <w:t>响应</w:t>
      </w:r>
      <w:r>
        <w:rPr>
          <w:rFonts w:ascii="宋体" w:hAnsi="宋体" w:eastAsia="宋体" w:cs="宋体"/>
          <w:color w:val="auto"/>
          <w:kern w:val="0"/>
          <w:sz w:val="22"/>
          <w:szCs w:val="24"/>
        </w:rPr>
        <w:t>文</w:t>
      </w:r>
      <w:r>
        <w:rPr>
          <w:rFonts w:ascii="宋体" w:hAnsi="宋体" w:eastAsia="宋体" w:cs="宋体"/>
          <w:color w:val="auto"/>
          <w:spacing w:val="2"/>
          <w:kern w:val="0"/>
          <w:sz w:val="22"/>
          <w:szCs w:val="24"/>
        </w:rPr>
        <w:t>件</w:t>
      </w:r>
      <w:r>
        <w:rPr>
          <w:rFonts w:ascii="宋体" w:hAnsi="宋体" w:eastAsia="宋体" w:cs="宋体"/>
          <w:color w:val="auto"/>
          <w:kern w:val="0"/>
          <w:sz w:val="22"/>
          <w:szCs w:val="24"/>
        </w:rPr>
        <w:t>以及</w:t>
      </w:r>
      <w:r>
        <w:rPr>
          <w:rFonts w:ascii="宋体" w:hAnsi="宋体" w:eastAsia="宋体" w:cs="宋体"/>
          <w:color w:val="auto"/>
          <w:spacing w:val="2"/>
          <w:kern w:val="0"/>
          <w:sz w:val="22"/>
          <w:szCs w:val="24"/>
        </w:rPr>
        <w:t>相</w:t>
      </w:r>
      <w:r>
        <w:rPr>
          <w:rFonts w:ascii="宋体" w:hAnsi="宋体" w:eastAsia="宋体" w:cs="宋体"/>
          <w:color w:val="auto"/>
          <w:kern w:val="0"/>
          <w:sz w:val="22"/>
          <w:szCs w:val="24"/>
        </w:rPr>
        <w:t>关的</w:t>
      </w:r>
      <w:r>
        <w:rPr>
          <w:rFonts w:ascii="宋体" w:hAnsi="宋体" w:eastAsia="宋体" w:cs="宋体"/>
          <w:color w:val="auto"/>
          <w:spacing w:val="2"/>
          <w:kern w:val="0"/>
          <w:sz w:val="22"/>
          <w:szCs w:val="24"/>
        </w:rPr>
        <w:t>澄</w:t>
      </w:r>
      <w:r>
        <w:rPr>
          <w:rFonts w:ascii="宋体" w:hAnsi="宋体" w:eastAsia="宋体" w:cs="宋体"/>
          <w:color w:val="auto"/>
          <w:kern w:val="0"/>
          <w:sz w:val="22"/>
          <w:szCs w:val="24"/>
        </w:rPr>
        <w:t>清确认函（如果有的话）均为本合同不可分割的一部分，与本合同具有同等法律效力。</w:t>
      </w:r>
    </w:p>
    <w:p w14:paraId="0A7D75C7">
      <w:pPr>
        <w:numPr>
          <w:ilvl w:val="1"/>
          <w:numId w:val="15"/>
        </w:numPr>
        <w:tabs>
          <w:tab w:val="left" w:pos="1200"/>
        </w:tabs>
        <w:autoSpaceDE w:val="0"/>
        <w:autoSpaceDN w:val="0"/>
        <w:spacing w:before="36"/>
        <w:ind w:left="12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本合同未尽事宜，双方另行补充。</w:t>
      </w:r>
    </w:p>
    <w:p w14:paraId="2470393C">
      <w:pPr>
        <w:numPr>
          <w:ilvl w:val="1"/>
          <w:numId w:val="15"/>
        </w:numPr>
        <w:tabs>
          <w:tab w:val="left" w:pos="1140"/>
        </w:tabs>
        <w:autoSpaceDE w:val="0"/>
        <w:autoSpaceDN w:val="0"/>
        <w:spacing w:before="154" w:line="357" w:lineRule="auto"/>
        <w:ind w:right="197" w:firstLine="48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 xml:space="preserve">本合同正本一式 份，具有同等法律效力，甲、乙双方各执一份。自采购合同签订之日起 1 </w:t>
      </w:r>
      <w:r>
        <w:rPr>
          <w:rFonts w:ascii="宋体" w:hAnsi="宋体" w:eastAsia="宋体" w:cs="宋体"/>
          <w:color w:val="auto"/>
          <w:spacing w:val="-4"/>
          <w:kern w:val="0"/>
          <w:sz w:val="22"/>
          <w:szCs w:val="24"/>
        </w:rPr>
        <w:t>个工作日内，甲方按照有关规定将合同副本报同级财政部门备案。</w:t>
      </w:r>
    </w:p>
    <w:p w14:paraId="362F8280">
      <w:pPr>
        <w:tabs>
          <w:tab w:val="left" w:pos="1319"/>
          <w:tab w:val="left" w:pos="5159"/>
          <w:tab w:val="left" w:pos="5879"/>
        </w:tabs>
        <w:autoSpaceDE w:val="0"/>
        <w:autoSpaceDN w:val="0"/>
        <w:spacing w:before="36"/>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甲</w:t>
      </w:r>
      <w:r>
        <w:rPr>
          <w:rFonts w:ascii="宋体" w:hAnsi="宋体" w:eastAsia="宋体" w:cs="宋体"/>
          <w:color w:val="auto"/>
          <w:kern w:val="0"/>
          <w:sz w:val="22"/>
          <w:szCs w:val="24"/>
        </w:rPr>
        <w:tab/>
      </w:r>
      <w:r>
        <w:rPr>
          <w:rFonts w:ascii="宋体" w:hAnsi="宋体" w:eastAsia="宋体" w:cs="宋体"/>
          <w:color w:val="auto"/>
          <w:kern w:val="0"/>
          <w:sz w:val="22"/>
          <w:szCs w:val="24"/>
        </w:rPr>
        <w:t>方：</w:t>
      </w:r>
      <w:r>
        <w:rPr>
          <w:rFonts w:ascii="宋体" w:hAnsi="宋体" w:eastAsia="宋体" w:cs="宋体"/>
          <w:color w:val="auto"/>
          <w:kern w:val="0"/>
          <w:sz w:val="22"/>
          <w:szCs w:val="24"/>
        </w:rPr>
        <w:tab/>
      </w:r>
      <w:r>
        <w:rPr>
          <w:rFonts w:ascii="宋体" w:hAnsi="宋体" w:eastAsia="宋体" w:cs="宋体"/>
          <w:color w:val="auto"/>
          <w:kern w:val="0"/>
          <w:sz w:val="22"/>
          <w:szCs w:val="24"/>
        </w:rPr>
        <w:t>乙</w:t>
      </w:r>
      <w:r>
        <w:rPr>
          <w:rFonts w:ascii="宋体" w:hAnsi="宋体" w:eastAsia="宋体" w:cs="宋体"/>
          <w:color w:val="auto"/>
          <w:kern w:val="0"/>
          <w:sz w:val="22"/>
          <w:szCs w:val="24"/>
        </w:rPr>
        <w:tab/>
      </w:r>
      <w:r>
        <w:rPr>
          <w:rFonts w:ascii="宋体" w:hAnsi="宋体" w:eastAsia="宋体" w:cs="宋体"/>
          <w:color w:val="auto"/>
          <w:kern w:val="0"/>
          <w:sz w:val="22"/>
          <w:szCs w:val="24"/>
        </w:rPr>
        <w:t>方：</w:t>
      </w:r>
    </w:p>
    <w:p w14:paraId="5DFB6854">
      <w:pPr>
        <w:tabs>
          <w:tab w:val="left" w:pos="1319"/>
          <w:tab w:val="left" w:pos="5159"/>
          <w:tab w:val="left" w:pos="5879"/>
        </w:tabs>
        <w:autoSpaceDE w:val="0"/>
        <w:autoSpaceDN w:val="0"/>
        <w:spacing w:before="36"/>
        <w:ind w:left="600"/>
        <w:jc w:val="left"/>
        <w:outlineLvl w:val="3"/>
        <w:rPr>
          <w:rFonts w:ascii="宋体" w:hAnsi="宋体" w:eastAsia="宋体" w:cs="宋体"/>
          <w:color w:val="auto"/>
          <w:kern w:val="0"/>
          <w:sz w:val="22"/>
          <w:szCs w:val="24"/>
        </w:rPr>
      </w:pPr>
    </w:p>
    <w:p w14:paraId="4DBF98AF">
      <w:pPr>
        <w:tabs>
          <w:tab w:val="left" w:pos="5159"/>
        </w:tabs>
        <w:autoSpaceDE w:val="0"/>
        <w:autoSpaceDN w:val="0"/>
        <w:spacing w:before="2"/>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单位地址：</w:t>
      </w:r>
      <w:r>
        <w:rPr>
          <w:rFonts w:ascii="宋体" w:hAnsi="宋体" w:eastAsia="宋体" w:cs="宋体"/>
          <w:color w:val="auto"/>
          <w:kern w:val="0"/>
          <w:sz w:val="22"/>
          <w:szCs w:val="24"/>
        </w:rPr>
        <w:tab/>
      </w:r>
      <w:r>
        <w:rPr>
          <w:rFonts w:ascii="宋体" w:hAnsi="宋体" w:eastAsia="宋体" w:cs="宋体"/>
          <w:color w:val="auto"/>
          <w:kern w:val="0"/>
          <w:sz w:val="22"/>
          <w:szCs w:val="24"/>
        </w:rPr>
        <w:t>单位地址：</w:t>
      </w:r>
    </w:p>
    <w:p w14:paraId="44EDB391">
      <w:pPr>
        <w:tabs>
          <w:tab w:val="left" w:pos="5159"/>
        </w:tabs>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法定代表人：</w:t>
      </w:r>
      <w:r>
        <w:rPr>
          <w:rFonts w:ascii="宋体" w:hAnsi="宋体" w:eastAsia="宋体" w:cs="宋体"/>
          <w:color w:val="auto"/>
          <w:kern w:val="0"/>
          <w:sz w:val="22"/>
          <w:szCs w:val="24"/>
        </w:rPr>
        <w:tab/>
      </w:r>
      <w:r>
        <w:rPr>
          <w:rFonts w:ascii="宋体" w:hAnsi="宋体" w:eastAsia="宋体" w:cs="宋体"/>
          <w:color w:val="auto"/>
          <w:kern w:val="0"/>
          <w:sz w:val="22"/>
          <w:szCs w:val="24"/>
        </w:rPr>
        <w:t>法定代表人：</w:t>
      </w:r>
    </w:p>
    <w:p w14:paraId="2EBE71A4">
      <w:pPr>
        <w:tabs>
          <w:tab w:val="left" w:pos="5159"/>
        </w:tabs>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委托代理人：</w:t>
      </w:r>
      <w:r>
        <w:rPr>
          <w:rFonts w:ascii="宋体" w:hAnsi="宋体" w:eastAsia="宋体" w:cs="宋体"/>
          <w:color w:val="auto"/>
          <w:kern w:val="0"/>
          <w:sz w:val="22"/>
          <w:szCs w:val="24"/>
        </w:rPr>
        <w:tab/>
      </w:r>
      <w:r>
        <w:rPr>
          <w:rFonts w:ascii="宋体" w:hAnsi="宋体" w:eastAsia="宋体" w:cs="宋体"/>
          <w:color w:val="auto"/>
          <w:kern w:val="0"/>
          <w:sz w:val="22"/>
          <w:szCs w:val="24"/>
        </w:rPr>
        <w:t>委托代理人：</w:t>
      </w:r>
    </w:p>
    <w:p w14:paraId="52AF3D35">
      <w:pPr>
        <w:tabs>
          <w:tab w:val="left" w:pos="1319"/>
          <w:tab w:val="left" w:pos="5159"/>
          <w:tab w:val="left" w:pos="5879"/>
        </w:tabs>
        <w:autoSpaceDE w:val="0"/>
        <w:autoSpaceDN w:val="0"/>
        <w:spacing w:before="154"/>
        <w:ind w:left="600"/>
        <w:jc w:val="left"/>
        <w:outlineLvl w:val="3"/>
        <w:rPr>
          <w:rFonts w:ascii="宋体" w:hAnsi="宋体" w:eastAsia="宋体" w:cs="宋体"/>
          <w:color w:val="auto"/>
          <w:kern w:val="0"/>
          <w:sz w:val="22"/>
          <w:szCs w:val="24"/>
        </w:rPr>
      </w:pPr>
      <w:r>
        <w:rPr>
          <w:rFonts w:ascii="宋体" w:hAnsi="宋体" w:eastAsia="宋体" w:cs="宋体"/>
          <w:color w:val="auto"/>
          <w:kern w:val="0"/>
          <w:sz w:val="22"/>
          <w:szCs w:val="24"/>
        </w:rPr>
        <w:t>电</w:t>
      </w:r>
      <w:r>
        <w:rPr>
          <w:rFonts w:ascii="宋体" w:hAnsi="宋体" w:eastAsia="宋体" w:cs="宋体"/>
          <w:color w:val="auto"/>
          <w:kern w:val="0"/>
          <w:sz w:val="22"/>
          <w:szCs w:val="24"/>
        </w:rPr>
        <w:tab/>
      </w:r>
      <w:r>
        <w:rPr>
          <w:rFonts w:ascii="宋体" w:hAnsi="宋体" w:eastAsia="宋体" w:cs="宋体"/>
          <w:color w:val="auto"/>
          <w:kern w:val="0"/>
          <w:sz w:val="22"/>
          <w:szCs w:val="24"/>
        </w:rPr>
        <w:t>话：</w:t>
      </w:r>
      <w:r>
        <w:rPr>
          <w:rFonts w:ascii="宋体" w:hAnsi="宋体" w:eastAsia="宋体" w:cs="宋体"/>
          <w:color w:val="auto"/>
          <w:kern w:val="0"/>
          <w:sz w:val="22"/>
          <w:szCs w:val="24"/>
        </w:rPr>
        <w:tab/>
      </w:r>
      <w:r>
        <w:rPr>
          <w:rFonts w:ascii="宋体" w:hAnsi="宋体" w:eastAsia="宋体" w:cs="宋体"/>
          <w:color w:val="auto"/>
          <w:kern w:val="0"/>
          <w:sz w:val="22"/>
          <w:szCs w:val="24"/>
        </w:rPr>
        <w:t>电</w:t>
      </w:r>
      <w:r>
        <w:rPr>
          <w:rFonts w:ascii="宋体" w:hAnsi="宋体" w:eastAsia="宋体" w:cs="宋体"/>
          <w:color w:val="auto"/>
          <w:kern w:val="0"/>
          <w:sz w:val="22"/>
          <w:szCs w:val="24"/>
        </w:rPr>
        <w:tab/>
      </w:r>
      <w:r>
        <w:rPr>
          <w:rFonts w:ascii="宋体" w:hAnsi="宋体" w:eastAsia="宋体" w:cs="宋体"/>
          <w:color w:val="auto"/>
          <w:kern w:val="0"/>
          <w:sz w:val="22"/>
          <w:szCs w:val="24"/>
        </w:rPr>
        <w:t>话：</w:t>
      </w:r>
    </w:p>
    <w:p w14:paraId="4810E6FB">
      <w:pPr>
        <w:autoSpaceDE w:val="0"/>
        <w:autoSpaceDN w:val="0"/>
        <w:jc w:val="left"/>
        <w:rPr>
          <w:rFonts w:ascii="宋体" w:hAnsi="宋体" w:eastAsia="宋体" w:cs="宋体"/>
          <w:color w:val="auto"/>
          <w:kern w:val="0"/>
          <w:sz w:val="22"/>
          <w:szCs w:val="21"/>
        </w:rPr>
      </w:pPr>
    </w:p>
    <w:p w14:paraId="61EC7675">
      <w:pPr>
        <w:autoSpaceDE w:val="0"/>
        <w:autoSpaceDN w:val="0"/>
        <w:jc w:val="left"/>
        <w:rPr>
          <w:rFonts w:ascii="宋体" w:hAnsi="宋体" w:eastAsia="宋体" w:cs="宋体"/>
          <w:color w:val="auto"/>
          <w:kern w:val="0"/>
          <w:sz w:val="22"/>
          <w:szCs w:val="21"/>
        </w:rPr>
      </w:pPr>
    </w:p>
    <w:p w14:paraId="273B37A0">
      <w:pPr>
        <w:autoSpaceDE w:val="0"/>
        <w:autoSpaceDN w:val="0"/>
        <w:spacing w:before="3"/>
        <w:jc w:val="left"/>
        <w:rPr>
          <w:rFonts w:ascii="宋体" w:hAnsi="宋体" w:eastAsia="宋体" w:cs="宋体"/>
          <w:color w:val="auto"/>
          <w:kern w:val="0"/>
          <w:sz w:val="32"/>
          <w:szCs w:val="21"/>
        </w:rPr>
      </w:pPr>
    </w:p>
    <w:p w14:paraId="6207AF2A">
      <w:pPr>
        <w:tabs>
          <w:tab w:val="left" w:pos="1319"/>
          <w:tab w:val="left" w:pos="5159"/>
          <w:tab w:val="left" w:pos="5879"/>
        </w:tabs>
        <w:autoSpaceDE w:val="0"/>
        <w:autoSpaceDN w:val="0"/>
        <w:spacing w:before="36"/>
        <w:ind w:left="600"/>
        <w:jc w:val="left"/>
        <w:outlineLvl w:val="3"/>
        <w:rPr>
          <w:rFonts w:ascii="宋体" w:hAnsi="宋体" w:eastAsia="宋体" w:cs="宋体"/>
          <w:color w:val="auto"/>
          <w:kern w:val="0"/>
          <w:sz w:val="22"/>
          <w:szCs w:val="24"/>
        </w:rPr>
        <w:sectPr>
          <w:pgSz w:w="11910" w:h="16840"/>
          <w:pgMar w:top="1457" w:right="1599" w:bottom="1021" w:left="1678" w:header="0" w:footer="624" w:gutter="0"/>
          <w:cols w:space="720" w:num="1"/>
          <w:docGrid w:linePitch="286" w:charSpace="0"/>
        </w:sectPr>
      </w:pPr>
      <w:r>
        <w:rPr>
          <w:rFonts w:ascii="宋体" w:hAnsi="宋体" w:eastAsia="宋体" w:cs="宋体"/>
          <w:color w:val="auto"/>
          <w:kern w:val="0"/>
          <w:sz w:val="22"/>
          <w:szCs w:val="24"/>
        </w:rPr>
        <w:t>签订日期：</w:t>
      </w:r>
      <w:r>
        <w:rPr>
          <w:rFonts w:ascii="宋体" w:hAnsi="宋体" w:eastAsia="宋体" w:cs="宋体"/>
          <w:color w:val="auto"/>
          <w:kern w:val="0"/>
          <w:sz w:val="22"/>
          <w:szCs w:val="24"/>
        </w:rPr>
        <w:tab/>
      </w:r>
      <w:r>
        <w:rPr>
          <w:rFonts w:ascii="宋体" w:hAnsi="宋体" w:eastAsia="宋体" w:cs="宋体"/>
          <w:color w:val="auto"/>
          <w:kern w:val="0"/>
          <w:sz w:val="22"/>
          <w:szCs w:val="24"/>
        </w:rPr>
        <w:t>年</w:t>
      </w:r>
      <w:r>
        <w:rPr>
          <w:rFonts w:ascii="宋体" w:hAnsi="宋体" w:eastAsia="宋体" w:cs="宋体"/>
          <w:color w:val="auto"/>
          <w:kern w:val="0"/>
          <w:sz w:val="22"/>
          <w:szCs w:val="24"/>
        </w:rPr>
        <w:tab/>
      </w:r>
      <w:r>
        <w:rPr>
          <w:rFonts w:ascii="宋体" w:hAnsi="宋体" w:eastAsia="宋体" w:cs="宋体"/>
          <w:color w:val="auto"/>
          <w:kern w:val="0"/>
          <w:sz w:val="22"/>
          <w:szCs w:val="24"/>
        </w:rPr>
        <w:t>月</w:t>
      </w:r>
      <w:r>
        <w:rPr>
          <w:rFonts w:hint="eastAsia" w:ascii="宋体" w:hAnsi="宋体" w:eastAsia="宋体" w:cs="宋体"/>
          <w:color w:val="auto"/>
          <w:kern w:val="0"/>
          <w:sz w:val="22"/>
          <w:szCs w:val="24"/>
        </w:rPr>
        <w:t xml:space="preserve">    日</w:t>
      </w:r>
    </w:p>
    <w:p w14:paraId="70F89864">
      <w:pPr>
        <w:numPr>
          <w:ilvl w:val="0"/>
          <w:numId w:val="1"/>
        </w:numPr>
        <w:tabs>
          <w:tab w:val="left" w:pos="1456"/>
        </w:tabs>
        <w:autoSpaceDE w:val="0"/>
        <w:autoSpaceDN w:val="0"/>
        <w:spacing w:line="360" w:lineRule="auto"/>
        <w:ind w:right="30"/>
        <w:jc w:val="left"/>
        <w:outlineLvl w:val="0"/>
        <w:rPr>
          <w:rFonts w:ascii="宋体" w:hAnsi="宋体" w:eastAsia="宋体" w:cs="宋体"/>
          <w:b/>
          <w:bCs/>
          <w:color w:val="auto"/>
          <w:spacing w:val="2"/>
          <w:kern w:val="0"/>
          <w:sz w:val="36"/>
          <w:szCs w:val="36"/>
        </w:rPr>
      </w:pPr>
      <w:r>
        <w:rPr>
          <w:rFonts w:hint="eastAsia" w:ascii="宋体" w:hAnsi="宋体" w:eastAsia="宋体" w:cs="宋体"/>
          <w:b/>
          <w:bCs/>
          <w:color w:val="auto"/>
          <w:spacing w:val="2"/>
          <w:kern w:val="0"/>
          <w:sz w:val="36"/>
          <w:szCs w:val="36"/>
        </w:rPr>
        <w:t xml:space="preserve">  </w:t>
      </w:r>
      <w:bookmarkStart w:id="222" w:name="_Toc11774"/>
      <w:r>
        <w:rPr>
          <w:rFonts w:hint="eastAsia" w:ascii="宋体" w:hAnsi="宋体" w:eastAsia="宋体" w:cs="宋体"/>
          <w:b/>
          <w:bCs/>
          <w:color w:val="auto"/>
          <w:spacing w:val="2"/>
          <w:kern w:val="0"/>
          <w:sz w:val="36"/>
          <w:szCs w:val="36"/>
        </w:rPr>
        <w:t>服务内容及要求</w:t>
      </w:r>
      <w:bookmarkEnd w:id="222"/>
    </w:p>
    <w:p w14:paraId="1E050B05">
      <w:pPr>
        <w:spacing w:line="500" w:lineRule="exact"/>
        <w:ind w:firstLine="440" w:firstLineChars="200"/>
        <w:rPr>
          <w:rFonts w:ascii="宋体" w:hAnsi="宋体" w:eastAsia="宋体" w:cs="宋体"/>
          <w:color w:val="auto"/>
          <w:sz w:val="22"/>
        </w:rPr>
      </w:pPr>
      <w:r>
        <w:rPr>
          <w:rFonts w:hint="eastAsia" w:ascii="宋体" w:hAnsi="宋体" w:eastAsia="宋体" w:cs="宋体"/>
          <w:color w:val="auto"/>
          <w:sz w:val="22"/>
        </w:rPr>
        <w:t>一、服务内容</w:t>
      </w:r>
    </w:p>
    <w:p w14:paraId="604F7604">
      <w:pPr>
        <w:spacing w:line="500" w:lineRule="exact"/>
        <w:ind w:firstLine="440" w:firstLineChars="200"/>
        <w:rPr>
          <w:rFonts w:ascii="宋体" w:hAnsi="宋体" w:eastAsia="宋体" w:cs="宋体"/>
          <w:color w:val="auto"/>
          <w:sz w:val="22"/>
        </w:rPr>
      </w:pPr>
      <w:r>
        <w:rPr>
          <w:rFonts w:hint="eastAsia" w:ascii="宋体" w:hAnsi="宋体" w:eastAsia="宋体" w:cs="宋体"/>
          <w:color w:val="auto"/>
          <w:sz w:val="22"/>
        </w:rPr>
        <w:t>（一）聘请2名安全技术专家常驻甲方，为甲方解决日常的安全生产、应急管理法律法规的获取、指导以及安全技术服务事项；</w:t>
      </w:r>
    </w:p>
    <w:p w14:paraId="68E3E3C6">
      <w:pPr>
        <w:spacing w:line="500" w:lineRule="exact"/>
        <w:ind w:firstLine="440" w:firstLineChars="200"/>
        <w:rPr>
          <w:rFonts w:ascii="宋体" w:hAnsi="宋体" w:eastAsia="宋体" w:cs="宋体"/>
          <w:color w:val="auto"/>
          <w:sz w:val="22"/>
        </w:rPr>
      </w:pPr>
      <w:r>
        <w:rPr>
          <w:rFonts w:hint="eastAsia" w:ascii="宋体" w:hAnsi="宋体" w:eastAsia="宋体" w:cs="宋体"/>
          <w:color w:val="auto"/>
          <w:sz w:val="22"/>
        </w:rPr>
        <w:t>（二）安排5名工作人员常驻甲方，为甲方各科室提供安全生产、防汛防火等日常的统计报送、资料整理等工作。</w:t>
      </w:r>
    </w:p>
    <w:p w14:paraId="1A21C53D">
      <w:pPr>
        <w:spacing w:line="500" w:lineRule="exact"/>
        <w:ind w:firstLine="440" w:firstLineChars="200"/>
        <w:jc w:val="left"/>
        <w:rPr>
          <w:rFonts w:ascii="宋体" w:hAnsi="宋体" w:eastAsia="宋体" w:cs="宋体"/>
          <w:color w:val="auto"/>
          <w:sz w:val="22"/>
        </w:rPr>
      </w:pPr>
      <w:r>
        <w:rPr>
          <w:rFonts w:hint="eastAsia" w:ascii="宋体" w:hAnsi="宋体" w:eastAsia="宋体" w:cs="宋体"/>
          <w:color w:val="auto"/>
          <w:sz w:val="22"/>
        </w:rPr>
        <w:t>二、人员有关要求</w:t>
      </w:r>
    </w:p>
    <w:p w14:paraId="6A3E64DE">
      <w:pPr>
        <w:spacing w:line="500" w:lineRule="exact"/>
        <w:jc w:val="left"/>
        <w:rPr>
          <w:rFonts w:ascii="宋体" w:hAnsi="宋体" w:eastAsia="宋体" w:cs="宋体"/>
          <w:color w:val="auto"/>
          <w:sz w:val="22"/>
        </w:rPr>
      </w:pPr>
      <w:r>
        <w:rPr>
          <w:rFonts w:hint="eastAsia" w:ascii="宋体" w:hAnsi="宋体" w:eastAsia="宋体" w:cs="宋体"/>
          <w:color w:val="auto"/>
          <w:sz w:val="22"/>
        </w:rPr>
        <w:t xml:space="preserve">    （一）技术人员要求</w:t>
      </w:r>
    </w:p>
    <w:p w14:paraId="100F6961">
      <w:pPr>
        <w:spacing w:line="500" w:lineRule="exact"/>
        <w:ind w:firstLine="440" w:firstLineChars="200"/>
        <w:jc w:val="left"/>
        <w:rPr>
          <w:rFonts w:hint="default" w:ascii="宋体" w:hAnsi="宋体" w:eastAsia="宋体" w:cs="宋体"/>
          <w:color w:val="auto"/>
          <w:sz w:val="22"/>
          <w:lang w:val="en-US" w:eastAsia="zh-CN"/>
        </w:rPr>
      </w:pPr>
      <w:r>
        <w:rPr>
          <w:rFonts w:hint="eastAsia" w:ascii="宋体" w:hAnsi="宋体" w:eastAsia="宋体" w:cs="宋体"/>
          <w:color w:val="auto"/>
          <w:sz w:val="22"/>
        </w:rPr>
        <w:t>熟悉国家有关危化、工贸行业安全生产方面的法律、法规和标准、规范；熟练掌握危化、工贸行业安全专业知识；具有危化、工贸行业安全生产实践经验</w:t>
      </w: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满足以下任意一项即可：</w:t>
      </w:r>
    </w:p>
    <w:p w14:paraId="25806DCE">
      <w:pPr>
        <w:spacing w:line="500" w:lineRule="exact"/>
        <w:ind w:firstLine="440" w:firstLineChars="200"/>
        <w:jc w:val="left"/>
        <w:rPr>
          <w:rFonts w:ascii="宋体" w:hAnsi="宋体" w:eastAsia="宋体" w:cs="宋体"/>
          <w:color w:val="auto"/>
          <w:sz w:val="22"/>
        </w:rPr>
      </w:pPr>
      <w:r>
        <w:rPr>
          <w:rFonts w:hint="eastAsia" w:ascii="宋体" w:hAnsi="宋体" w:eastAsia="宋体" w:cs="宋体"/>
          <w:color w:val="auto"/>
          <w:sz w:val="22"/>
          <w:lang w:val="en-US" w:eastAsia="zh-CN"/>
        </w:rPr>
        <w:t>①</w:t>
      </w:r>
      <w:r>
        <w:rPr>
          <w:rFonts w:hint="eastAsia" w:ascii="宋体" w:hAnsi="宋体" w:eastAsia="宋体" w:cs="宋体"/>
          <w:color w:val="auto"/>
          <w:sz w:val="22"/>
        </w:rPr>
        <w:t>国家、省、市安全生产专家库中的危化、工贸行业安全生产专家；</w:t>
      </w:r>
    </w:p>
    <w:p w14:paraId="13F3C035">
      <w:pPr>
        <w:spacing w:line="500" w:lineRule="exact"/>
        <w:ind w:firstLine="440" w:firstLineChars="200"/>
        <w:jc w:val="left"/>
        <w:rPr>
          <w:rFonts w:ascii="宋体" w:hAnsi="宋体" w:eastAsia="宋体" w:cs="宋体"/>
          <w:color w:val="auto"/>
          <w:sz w:val="22"/>
        </w:rPr>
      </w:pPr>
      <w:r>
        <w:rPr>
          <w:rFonts w:hint="eastAsia" w:ascii="宋体" w:hAnsi="宋体" w:eastAsia="宋体" w:cs="宋体"/>
          <w:color w:val="auto"/>
          <w:sz w:val="22"/>
          <w:lang w:val="en-US" w:eastAsia="zh-CN"/>
        </w:rPr>
        <w:t>②</w:t>
      </w:r>
      <w:r>
        <w:rPr>
          <w:rFonts w:hint="eastAsia" w:ascii="宋体" w:hAnsi="宋体" w:eastAsia="宋体" w:cs="宋体"/>
          <w:color w:val="auto"/>
          <w:sz w:val="22"/>
        </w:rPr>
        <w:t>具有中级职称的专业技术人员；</w:t>
      </w:r>
    </w:p>
    <w:p w14:paraId="706F5E75">
      <w:pPr>
        <w:spacing w:line="500" w:lineRule="exact"/>
        <w:ind w:firstLine="440" w:firstLineChars="200"/>
        <w:jc w:val="left"/>
        <w:rPr>
          <w:rFonts w:ascii="宋体" w:hAnsi="宋体" w:eastAsia="宋体" w:cs="宋体"/>
          <w:color w:val="auto"/>
          <w:sz w:val="22"/>
        </w:rPr>
      </w:pPr>
      <w:r>
        <w:rPr>
          <w:rFonts w:hint="eastAsia" w:ascii="宋体" w:hAnsi="宋体" w:eastAsia="宋体" w:cs="宋体"/>
          <w:color w:val="auto"/>
          <w:sz w:val="22"/>
          <w:lang w:val="en-US" w:eastAsia="zh-CN"/>
        </w:rPr>
        <w:t>③</w:t>
      </w:r>
      <w:r>
        <w:rPr>
          <w:rFonts w:hint="eastAsia" w:ascii="宋体" w:hAnsi="宋体" w:eastAsia="宋体" w:cs="宋体"/>
          <w:color w:val="auto"/>
          <w:sz w:val="22"/>
        </w:rPr>
        <w:t>国家注册安全工程师或一级消防工程师。</w:t>
      </w:r>
    </w:p>
    <w:p w14:paraId="110663DD">
      <w:pPr>
        <w:spacing w:line="500" w:lineRule="exact"/>
        <w:ind w:firstLine="440" w:firstLineChars="200"/>
        <w:jc w:val="left"/>
        <w:rPr>
          <w:rFonts w:ascii="宋体" w:hAnsi="宋体" w:eastAsia="宋体" w:cs="宋体"/>
          <w:color w:val="auto"/>
          <w:sz w:val="22"/>
        </w:rPr>
      </w:pPr>
      <w:r>
        <w:rPr>
          <w:rFonts w:hint="eastAsia" w:ascii="宋体" w:hAnsi="宋体" w:eastAsia="宋体" w:cs="宋体"/>
          <w:color w:val="auto"/>
          <w:sz w:val="22"/>
        </w:rPr>
        <w:t>（二）一般人员要求</w:t>
      </w:r>
    </w:p>
    <w:p w14:paraId="395D5DB3">
      <w:pPr>
        <w:spacing w:line="500" w:lineRule="exact"/>
        <w:ind w:firstLine="440" w:firstLineChars="200"/>
        <w:jc w:val="left"/>
        <w:rPr>
          <w:rFonts w:hint="eastAsia" w:ascii="宋体" w:hAnsi="宋体" w:eastAsia="宋体" w:cs="宋体"/>
          <w:color w:val="auto"/>
          <w:sz w:val="22"/>
          <w:lang w:eastAsia="zh-CN"/>
        </w:rPr>
      </w:pPr>
      <w:r>
        <w:rPr>
          <w:rFonts w:hint="eastAsia" w:ascii="宋体" w:hAnsi="宋体" w:eastAsia="宋体" w:cs="宋体"/>
          <w:color w:val="auto"/>
          <w:sz w:val="22"/>
        </w:rPr>
        <w:t>具有专科或本科学历的应、往届毕业生</w:t>
      </w:r>
      <w:r>
        <w:rPr>
          <w:rFonts w:hint="eastAsia" w:ascii="宋体" w:hAnsi="宋体" w:eastAsia="宋体" w:cs="宋体"/>
          <w:color w:val="auto"/>
          <w:sz w:val="22"/>
          <w:lang w:eastAsia="zh-CN"/>
        </w:rPr>
        <w:t>。</w:t>
      </w:r>
    </w:p>
    <w:p w14:paraId="7CB2CB75">
      <w:pPr>
        <w:spacing w:line="500" w:lineRule="exact"/>
        <w:ind w:firstLine="440" w:firstLineChars="200"/>
        <w:jc w:val="left"/>
        <w:rPr>
          <w:rFonts w:hint="eastAsia" w:ascii="宋体" w:hAnsi="宋体" w:eastAsia="宋体" w:cs="宋体"/>
          <w:color w:val="auto"/>
          <w:sz w:val="22"/>
        </w:rPr>
      </w:pPr>
    </w:p>
    <w:p w14:paraId="7AA1B539">
      <w:pPr>
        <w:spacing w:line="500" w:lineRule="exact"/>
        <w:ind w:firstLine="440" w:firstLineChars="200"/>
        <w:jc w:val="left"/>
        <w:rPr>
          <w:rFonts w:ascii="Times New Roman" w:hAnsi="Times New Roman" w:eastAsia="仿宋" w:cs="Times New Roman"/>
          <w:b/>
          <w:bCs/>
          <w:color w:val="auto"/>
          <w:sz w:val="24"/>
          <w:szCs w:val="28"/>
        </w:rPr>
      </w:pPr>
      <w:r>
        <w:rPr>
          <w:rFonts w:hint="eastAsia" w:ascii="宋体" w:hAnsi="宋体" w:eastAsia="宋体" w:cs="宋体"/>
          <w:color w:val="auto"/>
          <w:sz w:val="22"/>
        </w:rPr>
        <w:t>注：人员需提供相关证明材料。</w:t>
      </w:r>
      <w:r>
        <w:rPr>
          <w:rFonts w:ascii="Times New Roman" w:hAnsi="Times New Roman" w:eastAsia="仿宋" w:cs="Times New Roman"/>
          <w:b/>
          <w:bCs/>
          <w:color w:val="auto"/>
          <w:sz w:val="24"/>
          <w:szCs w:val="28"/>
        </w:rPr>
        <w:br w:type="page"/>
      </w:r>
    </w:p>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14:paraId="53A9EFF1">
      <w:pPr>
        <w:numPr>
          <w:ilvl w:val="0"/>
          <w:numId w:val="1"/>
        </w:numPr>
        <w:tabs>
          <w:tab w:val="left" w:pos="1456"/>
        </w:tabs>
        <w:autoSpaceDE w:val="0"/>
        <w:autoSpaceDN w:val="0"/>
        <w:spacing w:line="360" w:lineRule="auto"/>
        <w:ind w:right="30"/>
        <w:jc w:val="left"/>
        <w:outlineLvl w:val="0"/>
        <w:rPr>
          <w:rFonts w:ascii="宋体" w:hAnsi="宋体" w:eastAsia="宋体" w:cs="宋体"/>
          <w:b/>
          <w:bCs/>
          <w:color w:val="auto"/>
          <w:spacing w:val="2"/>
          <w:kern w:val="0"/>
          <w:sz w:val="36"/>
          <w:szCs w:val="36"/>
        </w:rPr>
      </w:pPr>
      <w:r>
        <w:rPr>
          <w:rFonts w:hint="eastAsia" w:ascii="宋体" w:hAnsi="宋体" w:eastAsia="宋体" w:cs="宋体"/>
          <w:b/>
          <w:bCs/>
          <w:color w:val="auto"/>
          <w:spacing w:val="2"/>
          <w:kern w:val="0"/>
          <w:sz w:val="36"/>
          <w:szCs w:val="36"/>
        </w:rPr>
        <w:t xml:space="preserve">  </w:t>
      </w:r>
      <w:bookmarkStart w:id="223" w:name="_Toc19872"/>
      <w:r>
        <w:rPr>
          <w:rFonts w:hint="eastAsia" w:ascii="宋体" w:hAnsi="宋体" w:eastAsia="宋体" w:cs="宋体"/>
          <w:b/>
          <w:bCs/>
          <w:color w:val="auto"/>
          <w:spacing w:val="2"/>
          <w:kern w:val="0"/>
          <w:sz w:val="36"/>
          <w:szCs w:val="36"/>
        </w:rPr>
        <w:t>响应文件格式</w:t>
      </w:r>
      <w:bookmarkEnd w:id="223"/>
    </w:p>
    <w:p w14:paraId="0A963397">
      <w:pPr>
        <w:widowControl/>
        <w:snapToGrid w:val="0"/>
        <w:spacing w:line="360" w:lineRule="auto"/>
        <w:jc w:val="left"/>
        <w:rPr>
          <w:rFonts w:ascii="宋体" w:hAnsi="宋体" w:eastAsia="宋体" w:cs="宋体"/>
          <w:b/>
          <w:bCs/>
          <w:color w:val="auto"/>
          <w:kern w:val="0"/>
          <w:sz w:val="40"/>
          <w:szCs w:val="44"/>
        </w:rPr>
      </w:pPr>
    </w:p>
    <w:p w14:paraId="2850FD9B">
      <w:pPr>
        <w:spacing w:line="360" w:lineRule="auto"/>
        <w:jc w:val="center"/>
        <w:rPr>
          <w:rFonts w:hint="eastAsia" w:ascii="宋体" w:hAnsi="宋体" w:eastAsia="宋体" w:cs="宋体"/>
          <w:b/>
          <w:color w:val="auto"/>
          <w:sz w:val="72"/>
          <w:szCs w:val="80"/>
          <w:lang w:eastAsia="zh-CN"/>
        </w:rPr>
      </w:pPr>
      <w:r>
        <w:rPr>
          <w:rFonts w:hint="eastAsia" w:ascii="宋体" w:hAnsi="宋体" w:eastAsia="宋体" w:cs="宋体"/>
          <w:b/>
          <w:bCs/>
          <w:color w:val="auto"/>
          <w:sz w:val="44"/>
          <w:szCs w:val="48"/>
          <w:lang w:eastAsia="zh-CN"/>
        </w:rPr>
        <w:t>城乡一体化示范区安全生产技术服务项目</w:t>
      </w:r>
    </w:p>
    <w:p w14:paraId="06E05226">
      <w:pPr>
        <w:spacing w:line="660" w:lineRule="exact"/>
        <w:jc w:val="center"/>
        <w:rPr>
          <w:rFonts w:ascii="宋体" w:hAnsi="宋体" w:eastAsia="宋体" w:cs="宋体"/>
          <w:b/>
          <w:bCs/>
          <w:color w:val="auto"/>
          <w:sz w:val="48"/>
          <w:szCs w:val="52"/>
        </w:rPr>
      </w:pPr>
    </w:p>
    <w:p w14:paraId="27056585">
      <w:pPr>
        <w:widowControl/>
        <w:spacing w:line="360" w:lineRule="auto"/>
        <w:jc w:val="center"/>
        <w:rPr>
          <w:rFonts w:ascii="宋体" w:hAnsi="宋体" w:eastAsia="宋体" w:cs="宋体"/>
          <w:color w:val="auto"/>
          <w:kern w:val="0"/>
          <w:sz w:val="40"/>
          <w:szCs w:val="44"/>
        </w:rPr>
      </w:pPr>
    </w:p>
    <w:p w14:paraId="7DE5421B">
      <w:pPr>
        <w:tabs>
          <w:tab w:val="left" w:pos="420"/>
        </w:tabs>
        <w:adjustRightInd w:val="0"/>
        <w:snapToGrid w:val="0"/>
        <w:spacing w:line="360" w:lineRule="auto"/>
        <w:ind w:left="31680" w:hanging="36480" w:hangingChars="6489"/>
        <w:jc w:val="center"/>
        <w:rPr>
          <w:rFonts w:ascii="宋体" w:hAnsi="宋体" w:eastAsia="宋体" w:cs="宋体"/>
          <w:b/>
          <w:color w:val="auto"/>
          <w:sz w:val="56"/>
          <w:szCs w:val="72"/>
        </w:rPr>
      </w:pPr>
      <w:r>
        <w:rPr>
          <w:rFonts w:hint="eastAsia" w:ascii="宋体" w:hAnsi="宋体" w:eastAsia="宋体" w:cs="宋体"/>
          <w:b/>
          <w:bCs/>
          <w:color w:val="auto"/>
          <w:sz w:val="56"/>
          <w:szCs w:val="72"/>
        </w:rPr>
        <w:t>响应文件</w:t>
      </w:r>
    </w:p>
    <w:p w14:paraId="0F1F7552">
      <w:pPr>
        <w:adjustRightInd w:val="0"/>
        <w:snapToGrid w:val="0"/>
        <w:spacing w:line="500" w:lineRule="exact"/>
        <w:jc w:val="center"/>
        <w:textAlignment w:val="baseline"/>
        <w:rPr>
          <w:rFonts w:hint="eastAsia" w:ascii="宋体" w:hAnsi="宋体" w:eastAsia="宋体" w:cs="宋体"/>
          <w:b/>
          <w:bCs/>
          <w:color w:val="auto"/>
          <w:sz w:val="28"/>
          <w:szCs w:val="30"/>
          <w:lang w:eastAsia="zh-CN"/>
        </w:rPr>
      </w:pPr>
      <w:r>
        <w:rPr>
          <w:rFonts w:hint="eastAsia" w:ascii="宋体" w:hAnsi="宋体" w:eastAsia="宋体" w:cs="宋体"/>
          <w:b/>
          <w:bCs/>
          <w:color w:val="auto"/>
          <w:kern w:val="0"/>
          <w:sz w:val="28"/>
          <w:szCs w:val="30"/>
        </w:rPr>
        <w:t>项目编号：</w:t>
      </w:r>
      <w:r>
        <w:rPr>
          <w:rFonts w:hint="eastAsia" w:ascii="宋体" w:hAnsi="宋体" w:eastAsia="宋体" w:cs="宋体"/>
          <w:b/>
          <w:bCs/>
          <w:color w:val="auto"/>
          <w:kern w:val="0"/>
          <w:sz w:val="28"/>
          <w:szCs w:val="30"/>
          <w:lang w:eastAsia="zh-CN"/>
        </w:rPr>
        <w:t>示范竞磋采购-2026-5</w:t>
      </w:r>
    </w:p>
    <w:p w14:paraId="455C3C7B">
      <w:pPr>
        <w:adjustRightInd w:val="0"/>
        <w:snapToGrid w:val="0"/>
        <w:spacing w:line="500" w:lineRule="exact"/>
        <w:jc w:val="center"/>
        <w:textAlignment w:val="baseline"/>
        <w:rPr>
          <w:rFonts w:hint="eastAsia" w:ascii="宋体" w:hAnsi="宋体" w:eastAsia="宋体" w:cs="宋体"/>
          <w:b/>
          <w:bCs/>
          <w:color w:val="auto"/>
          <w:kern w:val="0"/>
          <w:sz w:val="28"/>
          <w:szCs w:val="30"/>
          <w:lang w:eastAsia="zh-CN"/>
        </w:rPr>
      </w:pPr>
      <w:r>
        <w:rPr>
          <w:rFonts w:hint="eastAsia" w:ascii="宋体" w:hAnsi="宋体" w:eastAsia="宋体" w:cs="宋体"/>
          <w:b/>
          <w:bCs/>
          <w:color w:val="auto"/>
          <w:kern w:val="0"/>
          <w:sz w:val="28"/>
          <w:szCs w:val="30"/>
        </w:rPr>
        <w:t xml:space="preserve">       </w:t>
      </w:r>
      <w:r>
        <w:rPr>
          <w:rFonts w:hint="eastAsia" w:ascii="宋体" w:hAnsi="宋体" w:eastAsia="宋体" w:cs="宋体"/>
          <w:b/>
          <w:bCs/>
          <w:color w:val="auto"/>
          <w:kern w:val="0"/>
          <w:sz w:val="28"/>
          <w:szCs w:val="30"/>
          <w:lang w:eastAsia="zh-CN"/>
        </w:rPr>
        <w:t>SGZ[2026]156-ZC101</w:t>
      </w:r>
    </w:p>
    <w:p w14:paraId="3533A1E7">
      <w:pPr>
        <w:widowControl/>
        <w:snapToGrid w:val="0"/>
        <w:spacing w:line="360" w:lineRule="auto"/>
        <w:jc w:val="center"/>
        <w:rPr>
          <w:rFonts w:ascii="宋体" w:hAnsi="宋体" w:eastAsia="宋体" w:cs="宋体"/>
          <w:b/>
          <w:color w:val="auto"/>
          <w:kern w:val="0"/>
          <w:sz w:val="32"/>
          <w:szCs w:val="36"/>
        </w:rPr>
      </w:pPr>
    </w:p>
    <w:p w14:paraId="1883D824">
      <w:pPr>
        <w:widowControl/>
        <w:snapToGrid w:val="0"/>
        <w:spacing w:line="360" w:lineRule="auto"/>
        <w:jc w:val="center"/>
        <w:rPr>
          <w:rFonts w:ascii="宋体" w:hAnsi="宋体" w:eastAsia="宋体" w:cs="宋体"/>
          <w:b/>
          <w:color w:val="auto"/>
          <w:kern w:val="0"/>
          <w:sz w:val="32"/>
          <w:szCs w:val="36"/>
        </w:rPr>
      </w:pPr>
    </w:p>
    <w:p w14:paraId="0C5EB98C">
      <w:pPr>
        <w:widowControl/>
        <w:snapToGrid w:val="0"/>
        <w:spacing w:line="360" w:lineRule="auto"/>
        <w:jc w:val="center"/>
        <w:rPr>
          <w:rFonts w:ascii="宋体" w:hAnsi="宋体" w:eastAsia="宋体" w:cs="宋体"/>
          <w:b/>
          <w:color w:val="auto"/>
          <w:kern w:val="0"/>
          <w:sz w:val="32"/>
          <w:szCs w:val="36"/>
        </w:rPr>
      </w:pPr>
    </w:p>
    <w:p w14:paraId="1ABADB00">
      <w:pPr>
        <w:widowControl/>
        <w:snapToGrid w:val="0"/>
        <w:spacing w:line="360" w:lineRule="auto"/>
        <w:jc w:val="left"/>
        <w:rPr>
          <w:rFonts w:ascii="宋体" w:hAnsi="宋体" w:eastAsia="宋体" w:cs="宋体"/>
          <w:b/>
          <w:color w:val="auto"/>
          <w:kern w:val="0"/>
          <w:sz w:val="32"/>
          <w:szCs w:val="36"/>
        </w:rPr>
      </w:pPr>
    </w:p>
    <w:p w14:paraId="2EEFBFBB">
      <w:pPr>
        <w:widowControl/>
        <w:snapToGrid w:val="0"/>
        <w:spacing w:line="360" w:lineRule="auto"/>
        <w:jc w:val="center"/>
        <w:rPr>
          <w:rFonts w:ascii="宋体" w:hAnsi="宋体" w:eastAsia="宋体" w:cs="宋体"/>
          <w:b/>
          <w:color w:val="auto"/>
          <w:kern w:val="0"/>
          <w:sz w:val="32"/>
          <w:szCs w:val="36"/>
        </w:rPr>
      </w:pPr>
    </w:p>
    <w:p w14:paraId="00F676C2">
      <w:pPr>
        <w:pStyle w:val="2"/>
        <w:rPr>
          <w:color w:val="auto"/>
        </w:rPr>
      </w:pPr>
    </w:p>
    <w:p w14:paraId="5993137B">
      <w:pPr>
        <w:tabs>
          <w:tab w:val="left" w:pos="993"/>
          <w:tab w:val="left" w:pos="2127"/>
          <w:tab w:val="left" w:pos="2268"/>
          <w:tab w:val="left" w:pos="7800"/>
        </w:tabs>
        <w:adjustRightInd w:val="0"/>
        <w:snapToGrid w:val="0"/>
        <w:spacing w:line="360" w:lineRule="auto"/>
        <w:ind w:firstLine="2125" w:firstLineChars="756"/>
        <w:jc w:val="left"/>
        <w:rPr>
          <w:rFonts w:ascii="宋体" w:hAnsi="宋体" w:eastAsia="宋体" w:cs="宋体"/>
          <w:b/>
          <w:color w:val="auto"/>
          <w:sz w:val="28"/>
          <w:szCs w:val="30"/>
        </w:rPr>
      </w:pPr>
      <w:r>
        <w:rPr>
          <w:rFonts w:hint="eastAsia" w:ascii="宋体" w:hAnsi="宋体" w:eastAsia="宋体" w:cs="宋体"/>
          <w:b/>
          <w:color w:val="auto"/>
          <w:sz w:val="28"/>
          <w:szCs w:val="30"/>
        </w:rPr>
        <w:t>供应商名称（盖章）：</w:t>
      </w:r>
    </w:p>
    <w:p w14:paraId="2D5DE04F">
      <w:pPr>
        <w:tabs>
          <w:tab w:val="left" w:pos="7800"/>
        </w:tabs>
        <w:adjustRightInd w:val="0"/>
        <w:snapToGrid w:val="0"/>
        <w:spacing w:line="360" w:lineRule="auto"/>
        <w:ind w:firstLine="2080" w:firstLineChars="740"/>
        <w:rPr>
          <w:rFonts w:ascii="宋体" w:hAnsi="宋体" w:eastAsia="宋体" w:cs="宋体"/>
          <w:b/>
          <w:color w:val="auto"/>
          <w:sz w:val="28"/>
          <w:szCs w:val="30"/>
        </w:rPr>
      </w:pPr>
      <w:r>
        <w:rPr>
          <w:rFonts w:hint="eastAsia" w:ascii="宋体" w:hAnsi="宋体" w:eastAsia="宋体" w:cs="宋体"/>
          <w:b/>
          <w:color w:val="auto"/>
          <w:sz w:val="28"/>
          <w:szCs w:val="30"/>
        </w:rPr>
        <w:t>法定代表人或授权委托人（签字或盖章）：</w:t>
      </w:r>
    </w:p>
    <w:p w14:paraId="20754263">
      <w:pPr>
        <w:tabs>
          <w:tab w:val="left" w:pos="2127"/>
          <w:tab w:val="left" w:pos="7800"/>
        </w:tabs>
        <w:adjustRightInd w:val="0"/>
        <w:snapToGrid w:val="0"/>
        <w:spacing w:line="360" w:lineRule="auto"/>
        <w:ind w:firstLine="2083" w:firstLineChars="741"/>
        <w:jc w:val="left"/>
        <w:rPr>
          <w:rFonts w:ascii="宋体" w:hAnsi="宋体" w:eastAsia="宋体" w:cs="宋体"/>
          <w:b/>
          <w:color w:val="auto"/>
          <w:sz w:val="28"/>
          <w:szCs w:val="30"/>
        </w:rPr>
      </w:pPr>
      <w:r>
        <w:rPr>
          <w:rFonts w:hint="eastAsia" w:ascii="宋体" w:hAnsi="宋体" w:eastAsia="宋体" w:cs="宋体"/>
          <w:b/>
          <w:color w:val="auto"/>
          <w:sz w:val="28"/>
          <w:szCs w:val="30"/>
        </w:rPr>
        <w:t>日期：   年   月   日</w:t>
      </w:r>
      <w:r>
        <w:rPr>
          <w:rFonts w:ascii="宋体" w:hAnsi="宋体" w:eastAsia="宋体" w:cs="宋体"/>
          <w:b/>
          <w:bCs/>
          <w:color w:val="auto"/>
          <w:sz w:val="32"/>
          <w:szCs w:val="36"/>
        </w:rPr>
        <w:br w:type="page"/>
      </w:r>
    </w:p>
    <w:p w14:paraId="17A04654">
      <w:pPr>
        <w:jc w:val="center"/>
        <w:rPr>
          <w:rFonts w:ascii="宋体" w:hAnsi="宋体" w:eastAsia="宋体" w:cs="宋体"/>
          <w:b/>
          <w:bCs/>
          <w:color w:val="auto"/>
          <w:sz w:val="32"/>
          <w:szCs w:val="36"/>
        </w:rPr>
      </w:pPr>
      <w:r>
        <w:rPr>
          <w:rFonts w:hint="eastAsia" w:ascii="宋体" w:hAnsi="宋体" w:eastAsia="宋体" w:cs="宋体"/>
          <w:b/>
          <w:bCs/>
          <w:color w:val="auto"/>
          <w:sz w:val="32"/>
          <w:szCs w:val="36"/>
        </w:rPr>
        <w:t>目录</w:t>
      </w:r>
    </w:p>
    <w:p w14:paraId="1F2276CF">
      <w:pPr>
        <w:jc w:val="left"/>
        <w:rPr>
          <w:rFonts w:ascii="宋体" w:hAnsi="宋体" w:eastAsia="宋体" w:cs="宋体"/>
          <w:b/>
          <w:bCs/>
          <w:color w:val="auto"/>
          <w:sz w:val="32"/>
          <w:szCs w:val="36"/>
        </w:rPr>
      </w:pPr>
    </w:p>
    <w:p w14:paraId="46517689">
      <w:pPr>
        <w:spacing w:before="240" w:beforeLines="100" w:line="510" w:lineRule="exact"/>
        <w:jc w:val="center"/>
        <w:rPr>
          <w:rFonts w:ascii="宋体" w:hAnsi="宋体" w:eastAsia="宋体" w:cs="宋体"/>
          <w:color w:val="auto"/>
          <w:sz w:val="20"/>
          <w:szCs w:val="21"/>
        </w:rPr>
      </w:pPr>
      <w:r>
        <w:rPr>
          <w:rFonts w:hint="eastAsia" w:ascii="宋体" w:hAnsi="宋体" w:eastAsia="宋体" w:cs="宋体"/>
          <w:color w:val="auto"/>
          <w:sz w:val="20"/>
          <w:szCs w:val="21"/>
        </w:rPr>
        <w:t>（格式自拟）</w:t>
      </w:r>
    </w:p>
    <w:p w14:paraId="40B24EAE">
      <w:pPr>
        <w:spacing w:before="240" w:beforeLines="100" w:line="510" w:lineRule="exact"/>
        <w:jc w:val="left"/>
        <w:rPr>
          <w:rFonts w:ascii="宋体" w:hAnsi="宋体" w:eastAsia="宋体" w:cs="宋体"/>
          <w:color w:val="auto"/>
          <w:sz w:val="20"/>
          <w:szCs w:val="21"/>
        </w:rPr>
      </w:pPr>
    </w:p>
    <w:p w14:paraId="5D1269AD">
      <w:pPr>
        <w:spacing w:before="240" w:beforeLines="100" w:line="510" w:lineRule="exact"/>
        <w:jc w:val="left"/>
        <w:rPr>
          <w:rFonts w:ascii="宋体" w:hAnsi="宋体" w:eastAsia="宋体" w:cs="宋体"/>
          <w:color w:val="auto"/>
          <w:sz w:val="20"/>
          <w:szCs w:val="21"/>
        </w:rPr>
      </w:pPr>
    </w:p>
    <w:p w14:paraId="1F2FA217">
      <w:pPr>
        <w:spacing w:before="240" w:beforeLines="100" w:line="510" w:lineRule="exact"/>
        <w:jc w:val="left"/>
        <w:rPr>
          <w:rFonts w:ascii="宋体" w:hAnsi="宋体" w:eastAsia="宋体" w:cs="宋体"/>
          <w:color w:val="auto"/>
          <w:sz w:val="20"/>
          <w:szCs w:val="21"/>
        </w:rPr>
      </w:pPr>
    </w:p>
    <w:p w14:paraId="6195778F">
      <w:pPr>
        <w:spacing w:line="460" w:lineRule="exact"/>
        <w:jc w:val="left"/>
        <w:rPr>
          <w:rFonts w:ascii="宋体" w:hAnsi="宋体" w:eastAsia="宋体" w:cs="Times New Roman"/>
          <w:b/>
          <w:bCs/>
          <w:color w:val="auto"/>
          <w:sz w:val="28"/>
          <w:szCs w:val="32"/>
        </w:rPr>
      </w:pPr>
    </w:p>
    <w:p w14:paraId="203F7CC5">
      <w:pPr>
        <w:spacing w:line="460" w:lineRule="exact"/>
        <w:jc w:val="left"/>
        <w:rPr>
          <w:rFonts w:ascii="宋体" w:hAnsi="宋体" w:eastAsia="宋体" w:cs="宋体"/>
          <w:b/>
          <w:color w:val="auto"/>
          <w:sz w:val="24"/>
          <w:szCs w:val="28"/>
        </w:rPr>
      </w:pPr>
    </w:p>
    <w:p w14:paraId="6777EB2B">
      <w:pPr>
        <w:spacing w:line="460" w:lineRule="exact"/>
        <w:jc w:val="left"/>
        <w:rPr>
          <w:rFonts w:ascii="宋体" w:hAnsi="宋体" w:eastAsia="宋体" w:cs="宋体"/>
          <w:b/>
          <w:color w:val="auto"/>
          <w:sz w:val="24"/>
          <w:szCs w:val="28"/>
        </w:rPr>
      </w:pPr>
      <w:r>
        <w:rPr>
          <w:rFonts w:ascii="宋体" w:hAnsi="宋体" w:eastAsia="宋体" w:cs="宋体"/>
          <w:b/>
          <w:color w:val="auto"/>
          <w:sz w:val="24"/>
          <w:szCs w:val="28"/>
        </w:rPr>
        <w:br w:type="page"/>
      </w:r>
    </w:p>
    <w:p w14:paraId="6F1292E9">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1、</w:t>
      </w:r>
      <w:r>
        <w:rPr>
          <w:rFonts w:hint="eastAsia" w:ascii="宋体" w:hAnsi="宋体" w:cs="宋体"/>
          <w:b/>
          <w:color w:val="auto"/>
          <w:sz w:val="24"/>
          <w:szCs w:val="28"/>
        </w:rPr>
        <w:t>响应函</w:t>
      </w:r>
    </w:p>
    <w:p w14:paraId="2944BDC1">
      <w:pPr>
        <w:pStyle w:val="25"/>
        <w:spacing w:line="460" w:lineRule="exact"/>
        <w:ind w:left="720" w:firstLine="0" w:firstLineChars="0"/>
        <w:rPr>
          <w:rFonts w:ascii="宋体" w:hAnsi="宋体" w:cs="宋体"/>
          <w:b/>
          <w:color w:val="auto"/>
          <w:sz w:val="24"/>
          <w:szCs w:val="28"/>
        </w:rPr>
      </w:pPr>
    </w:p>
    <w:p w14:paraId="50AC125D">
      <w:pPr>
        <w:tabs>
          <w:tab w:val="left" w:pos="6827"/>
        </w:tabs>
        <w:autoSpaceDE w:val="0"/>
        <w:autoSpaceDN w:val="0"/>
        <w:spacing w:before="43" w:line="360" w:lineRule="auto"/>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致：</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（采购人名称）</w:t>
      </w:r>
    </w:p>
    <w:p w14:paraId="7A615597">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 xml:space="preserve">    </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（供应商全称）授权</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（供应商代表姓名）</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（职务、职称）为我方代表，参加贵方组织的招标的有关活动，并对此项目进行投标。为此：</w:t>
      </w:r>
    </w:p>
    <w:p w14:paraId="0068ADF8">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1、我方同意在本项目竞争性磋商文件中规定的响应截止日期起</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日内（日历天）遵守本响应文件中的承诺且在此期限满之前均具有约束力。</w:t>
      </w:r>
    </w:p>
    <w:p w14:paraId="0185BF78">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2、我方承诺已经具备《中华人民共和国政府采购法》中规定的参加政府采购活动的供应商应当具备的条件。</w:t>
      </w:r>
    </w:p>
    <w:p w14:paraId="033F50BB">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3、我方已详细审核全部竞争性磋商文件，包括修改文件（如有时）及有关附件，已充分理解并掌握了本项目磋商的全部有关情况，同意接受竞争性磋商文件的全部内容和条件。</w:t>
      </w:r>
    </w:p>
    <w:p w14:paraId="6DD99C82">
      <w:pPr>
        <w:tabs>
          <w:tab w:val="left" w:pos="6827"/>
        </w:tabs>
        <w:wordWrap w:val="0"/>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4、我方按竞争性磋商文件要求，本项目磋商总报价为大写：</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，小写：</w:t>
      </w:r>
      <w:r>
        <w:rPr>
          <w:rFonts w:hint="eastAsia" w:ascii="宋体" w:hAnsi="宋体" w:eastAsia="宋体" w:cs="宋体"/>
          <w:color w:val="auto"/>
          <w:kern w:val="0"/>
          <w:sz w:val="22"/>
          <w:szCs w:val="24"/>
          <w:u w:val="single"/>
        </w:rPr>
        <w:t xml:space="preserve">         </w:t>
      </w:r>
      <w:r>
        <w:rPr>
          <w:rFonts w:hint="eastAsia" w:ascii="宋体" w:hAnsi="宋体" w:eastAsia="宋体" w:cs="宋体"/>
          <w:color w:val="auto"/>
          <w:kern w:val="0"/>
          <w:sz w:val="22"/>
          <w:szCs w:val="24"/>
        </w:rPr>
        <w:t>。</w:t>
      </w:r>
    </w:p>
    <w:p w14:paraId="095A8739">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5、 我方承诺严格遵守竞争性磋商文件中的各项要求及合同条款，在服务期限内承担合同规定的责任义务。</w:t>
      </w:r>
    </w:p>
    <w:p w14:paraId="1553BB5C">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6、我方已详细审核竞争性磋商文件，我方对竞争性磋商文件各项条款和评标办法无异议，知道必须放弃提出含糊不清或误解问题的权利。</w:t>
      </w:r>
    </w:p>
    <w:p w14:paraId="3EB2C15E">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7、我公司同意提供按照采购人可能要求的与其投标有关的一切数据或资料，完全理解采购人不一定接受最低价的投标或收到的任何投标。</w:t>
      </w:r>
    </w:p>
    <w:p w14:paraId="15DBEF49">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8、同意应贵方要求提供与本投标有关的任何数据和资料，并保证数据和资料的完整性和真实性，若有违反，我方愿意承担一切后果。</w:t>
      </w:r>
    </w:p>
    <w:p w14:paraId="492F7956">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9、我方一旦成交，承诺在结果公告发布5日内按照竞争性磋商文件规定向</w:t>
      </w:r>
      <w:r>
        <w:rPr>
          <w:rFonts w:hint="eastAsia" w:ascii="宋体" w:hAnsi="宋体" w:eastAsia="宋体" w:cs="宋体"/>
          <w:color w:val="auto"/>
          <w:kern w:val="0"/>
          <w:sz w:val="22"/>
          <w:szCs w:val="24"/>
          <w:lang w:eastAsia="zh-CN"/>
        </w:rPr>
        <w:t>采购代理机构</w:t>
      </w:r>
      <w:r>
        <w:rPr>
          <w:rFonts w:hint="eastAsia" w:ascii="宋体" w:hAnsi="宋体" w:eastAsia="宋体" w:cs="宋体"/>
          <w:color w:val="auto"/>
          <w:kern w:val="0"/>
          <w:sz w:val="22"/>
          <w:szCs w:val="24"/>
        </w:rPr>
        <w:t>缴纳代理服务费。</w:t>
      </w:r>
    </w:p>
    <w:p w14:paraId="4C28B06A">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与投标有关的一切往来通讯请寄：</w:t>
      </w:r>
    </w:p>
    <w:p w14:paraId="69E5BCD0">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p>
    <w:p w14:paraId="7B1C6F5A">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地 址：</w:t>
      </w:r>
      <w:r>
        <w:rPr>
          <w:rFonts w:hint="eastAsia" w:ascii="宋体" w:hAnsi="宋体" w:eastAsia="宋体" w:cs="宋体"/>
          <w:color w:val="auto"/>
          <w:kern w:val="0"/>
          <w:sz w:val="22"/>
          <w:szCs w:val="24"/>
          <w:u w:val="single"/>
        </w:rPr>
        <w:t xml:space="preserve">                                     </w:t>
      </w:r>
    </w:p>
    <w:p w14:paraId="7487EC52">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邮 编：</w:t>
      </w:r>
      <w:r>
        <w:rPr>
          <w:rFonts w:hint="eastAsia" w:ascii="宋体" w:hAnsi="宋体" w:eastAsia="宋体" w:cs="宋体"/>
          <w:color w:val="auto"/>
          <w:kern w:val="0"/>
          <w:sz w:val="22"/>
          <w:szCs w:val="24"/>
          <w:u w:val="single"/>
        </w:rPr>
        <w:t xml:space="preserve">                                     </w:t>
      </w:r>
    </w:p>
    <w:p w14:paraId="0FF67B07">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电 话：</w:t>
      </w:r>
      <w:r>
        <w:rPr>
          <w:rFonts w:hint="eastAsia" w:ascii="宋体" w:hAnsi="宋体" w:eastAsia="宋体" w:cs="宋体"/>
          <w:color w:val="auto"/>
          <w:kern w:val="0"/>
          <w:sz w:val="22"/>
          <w:szCs w:val="24"/>
          <w:u w:val="single"/>
        </w:rPr>
        <w:t xml:space="preserve">                                     </w:t>
      </w:r>
    </w:p>
    <w:p w14:paraId="36896F61">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传 真：</w:t>
      </w:r>
      <w:r>
        <w:rPr>
          <w:rFonts w:hint="eastAsia" w:ascii="宋体" w:hAnsi="宋体" w:eastAsia="宋体" w:cs="宋体"/>
          <w:color w:val="auto"/>
          <w:kern w:val="0"/>
          <w:sz w:val="22"/>
          <w:szCs w:val="24"/>
          <w:u w:val="single"/>
        </w:rPr>
        <w:t xml:space="preserve">                                     </w:t>
      </w:r>
    </w:p>
    <w:p w14:paraId="50BBA79A">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供应商（公章）：</w:t>
      </w:r>
      <w:r>
        <w:rPr>
          <w:rFonts w:hint="eastAsia" w:ascii="宋体" w:hAnsi="宋体" w:eastAsia="宋体" w:cs="宋体"/>
          <w:color w:val="auto"/>
          <w:kern w:val="0"/>
          <w:sz w:val="22"/>
          <w:szCs w:val="24"/>
          <w:u w:val="single"/>
        </w:rPr>
        <w:t xml:space="preserve">                          </w:t>
      </w:r>
    </w:p>
    <w:p w14:paraId="61D3EB08">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法定代表人（签字或盖章）：</w:t>
      </w:r>
      <w:r>
        <w:rPr>
          <w:rFonts w:hint="eastAsia" w:ascii="宋体" w:hAnsi="宋体" w:eastAsia="宋体" w:cs="宋体"/>
          <w:color w:val="auto"/>
          <w:kern w:val="0"/>
          <w:sz w:val="22"/>
          <w:szCs w:val="24"/>
          <w:u w:val="single"/>
        </w:rPr>
        <w:t xml:space="preserve">                     </w:t>
      </w:r>
    </w:p>
    <w:p w14:paraId="7BAA8151">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u w:val="single"/>
        </w:rPr>
      </w:pPr>
      <w:r>
        <w:rPr>
          <w:rFonts w:hint="eastAsia" w:ascii="宋体" w:hAnsi="宋体" w:eastAsia="宋体" w:cs="宋体"/>
          <w:color w:val="auto"/>
          <w:kern w:val="0"/>
          <w:sz w:val="22"/>
          <w:szCs w:val="24"/>
        </w:rPr>
        <w:t>日 期：</w:t>
      </w:r>
      <w:r>
        <w:rPr>
          <w:rFonts w:hint="eastAsia" w:ascii="宋体" w:hAnsi="宋体" w:eastAsia="宋体" w:cs="宋体"/>
          <w:color w:val="auto"/>
          <w:kern w:val="0"/>
          <w:sz w:val="22"/>
          <w:szCs w:val="24"/>
          <w:u w:val="single"/>
        </w:rPr>
        <w:t xml:space="preserve">                                        </w:t>
      </w:r>
    </w:p>
    <w:p w14:paraId="349629EE">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p>
    <w:p w14:paraId="0CE2D754">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注：对本响应书的任何修改将被视为非实质性响应投标，从而导致该投标被拒绝。</w:t>
      </w:r>
    </w:p>
    <w:p w14:paraId="7C0223D6">
      <w:pPr>
        <w:tabs>
          <w:tab w:val="left" w:pos="6827"/>
        </w:tabs>
        <w:autoSpaceDE w:val="0"/>
        <w:autoSpaceDN w:val="0"/>
        <w:spacing w:before="43" w:line="360" w:lineRule="auto"/>
        <w:ind w:firstLine="444" w:firstLineChars="202"/>
        <w:jc w:val="left"/>
        <w:rPr>
          <w:rFonts w:ascii="宋体" w:hAnsi="宋体" w:eastAsia="宋体" w:cs="宋体"/>
          <w:color w:val="auto"/>
          <w:kern w:val="0"/>
          <w:sz w:val="22"/>
          <w:szCs w:val="21"/>
        </w:rPr>
      </w:pPr>
    </w:p>
    <w:p w14:paraId="6B3EEB6F">
      <w:pPr>
        <w:widowControl/>
        <w:adjustRightInd w:val="0"/>
        <w:spacing w:line="460" w:lineRule="exact"/>
        <w:ind w:firstLine="576" w:firstLineChars="262"/>
        <w:jc w:val="left"/>
        <w:rPr>
          <w:rFonts w:ascii="宋体" w:hAnsi="宋体" w:eastAsia="宋体" w:cs="宋体"/>
          <w:color w:val="auto"/>
          <w:kern w:val="0"/>
          <w:sz w:val="22"/>
          <w:szCs w:val="24"/>
        </w:rPr>
      </w:pPr>
    </w:p>
    <w:p w14:paraId="0392124A">
      <w:pPr>
        <w:widowControl/>
        <w:adjustRightInd w:val="0"/>
        <w:spacing w:line="460" w:lineRule="exact"/>
        <w:jc w:val="left"/>
        <w:rPr>
          <w:rFonts w:ascii="宋体" w:hAnsi="宋体" w:eastAsia="宋体" w:cs="宋体"/>
          <w:color w:val="auto"/>
          <w:kern w:val="0"/>
          <w:sz w:val="22"/>
          <w:szCs w:val="24"/>
        </w:rPr>
      </w:pPr>
    </w:p>
    <w:p w14:paraId="14B682ED">
      <w:pPr>
        <w:rPr>
          <w:rFonts w:ascii="宋体" w:hAnsi="宋体" w:cs="宋体"/>
          <w:b/>
          <w:color w:val="auto"/>
          <w:sz w:val="24"/>
          <w:szCs w:val="28"/>
        </w:rPr>
      </w:pPr>
      <w:r>
        <w:rPr>
          <w:rFonts w:ascii="宋体" w:hAnsi="宋体" w:cs="宋体"/>
          <w:b/>
          <w:color w:val="auto"/>
          <w:sz w:val="24"/>
          <w:szCs w:val="28"/>
        </w:rPr>
        <w:br w:type="page"/>
      </w:r>
    </w:p>
    <w:p w14:paraId="59DC8AB6">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2、</w:t>
      </w:r>
      <w:r>
        <w:rPr>
          <w:rFonts w:hint="eastAsia" w:ascii="宋体" w:hAnsi="宋体" w:cs="宋体"/>
          <w:b/>
          <w:color w:val="auto"/>
          <w:sz w:val="24"/>
          <w:szCs w:val="28"/>
        </w:rPr>
        <w:t>首次报价一览表</w:t>
      </w:r>
    </w:p>
    <w:p w14:paraId="70793659">
      <w:pPr>
        <w:spacing w:line="460" w:lineRule="exact"/>
        <w:jc w:val="center"/>
        <w:rPr>
          <w:rFonts w:ascii="宋体" w:hAnsi="宋体" w:eastAsia="宋体" w:cs="宋体"/>
          <w:b/>
          <w:color w:val="auto"/>
          <w:sz w:val="24"/>
          <w:szCs w:val="28"/>
        </w:rPr>
      </w:pPr>
    </w:p>
    <w:tbl>
      <w:tblPr>
        <w:tblStyle w:val="12"/>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7262"/>
      </w:tblGrid>
      <w:tr w14:paraId="3358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264FA33">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项目名称</w:t>
            </w:r>
          </w:p>
        </w:tc>
        <w:tc>
          <w:tcPr>
            <w:tcW w:w="7262" w:type="dxa"/>
            <w:tcBorders>
              <w:top w:val="single" w:color="auto" w:sz="4" w:space="0"/>
              <w:left w:val="nil"/>
              <w:bottom w:val="single" w:color="auto" w:sz="4" w:space="0"/>
              <w:right w:val="single" w:color="auto" w:sz="4" w:space="0"/>
            </w:tcBorders>
            <w:vAlign w:val="center"/>
          </w:tcPr>
          <w:p w14:paraId="0DA96F09">
            <w:pPr>
              <w:snapToGrid w:val="0"/>
              <w:spacing w:before="50" w:after="50" w:line="360" w:lineRule="auto"/>
              <w:jc w:val="left"/>
              <w:rPr>
                <w:rFonts w:ascii="宋体" w:hAnsi="宋体" w:eastAsia="宋体" w:cs="宋体"/>
                <w:color w:val="auto"/>
                <w:sz w:val="22"/>
                <w:szCs w:val="24"/>
              </w:rPr>
            </w:pPr>
          </w:p>
        </w:tc>
      </w:tr>
      <w:tr w14:paraId="1EB2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14:paraId="185BFA51">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供应商</w:t>
            </w:r>
          </w:p>
        </w:tc>
        <w:tc>
          <w:tcPr>
            <w:tcW w:w="7262" w:type="dxa"/>
            <w:tcBorders>
              <w:top w:val="single" w:color="auto" w:sz="4" w:space="0"/>
              <w:left w:val="nil"/>
              <w:bottom w:val="single" w:color="auto" w:sz="4" w:space="0"/>
              <w:right w:val="single" w:color="auto" w:sz="4" w:space="0"/>
            </w:tcBorders>
            <w:vAlign w:val="center"/>
          </w:tcPr>
          <w:p w14:paraId="32A3B407">
            <w:pPr>
              <w:snapToGrid w:val="0"/>
              <w:spacing w:before="50" w:after="50" w:line="360" w:lineRule="auto"/>
              <w:jc w:val="left"/>
              <w:rPr>
                <w:rFonts w:ascii="宋体" w:hAnsi="宋体" w:eastAsia="宋体" w:cs="宋体"/>
                <w:color w:val="auto"/>
                <w:sz w:val="22"/>
                <w:szCs w:val="24"/>
              </w:rPr>
            </w:pPr>
          </w:p>
        </w:tc>
      </w:tr>
      <w:tr w14:paraId="107F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69B7BA0">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磋商报价</w:t>
            </w:r>
          </w:p>
        </w:tc>
        <w:tc>
          <w:tcPr>
            <w:tcW w:w="7262" w:type="dxa"/>
            <w:tcBorders>
              <w:top w:val="single" w:color="auto" w:sz="4" w:space="0"/>
              <w:left w:val="nil"/>
              <w:bottom w:val="single" w:color="auto" w:sz="4" w:space="0"/>
              <w:right w:val="single" w:color="auto" w:sz="4" w:space="0"/>
            </w:tcBorders>
            <w:vAlign w:val="center"/>
          </w:tcPr>
          <w:p w14:paraId="414343B9">
            <w:pPr>
              <w:snapToGrid w:val="0"/>
              <w:spacing w:before="50" w:after="50" w:line="360" w:lineRule="auto"/>
              <w:ind w:firstLine="440" w:firstLineChars="200"/>
              <w:jc w:val="left"/>
              <w:rPr>
                <w:rFonts w:ascii="宋体" w:hAnsi="宋体" w:eastAsia="宋体" w:cs="宋体"/>
                <w:color w:val="auto"/>
                <w:sz w:val="22"/>
                <w:szCs w:val="24"/>
                <w:u w:val="single"/>
              </w:rPr>
            </w:pPr>
            <w:r>
              <w:rPr>
                <w:rFonts w:hint="eastAsia" w:ascii="宋体" w:hAnsi="宋体" w:eastAsia="宋体" w:cs="宋体"/>
                <w:color w:val="auto"/>
                <w:sz w:val="22"/>
                <w:szCs w:val="24"/>
              </w:rPr>
              <w:t>（大写）：</w:t>
            </w:r>
          </w:p>
          <w:p w14:paraId="23412230">
            <w:pPr>
              <w:snapToGrid w:val="0"/>
              <w:spacing w:before="50" w:after="50" w:line="360" w:lineRule="auto"/>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（小写）：</w:t>
            </w:r>
          </w:p>
        </w:tc>
      </w:tr>
      <w:tr w14:paraId="3213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7162CF4">
            <w:pPr>
              <w:snapToGrid w:val="0"/>
              <w:spacing w:before="50" w:after="50" w:line="360" w:lineRule="auto"/>
              <w:jc w:val="center"/>
              <w:rPr>
                <w:rFonts w:hint="default" w:ascii="宋体" w:hAnsi="宋体" w:eastAsia="宋体" w:cs="宋体"/>
                <w:b/>
                <w:bCs/>
                <w:color w:val="auto"/>
                <w:sz w:val="22"/>
                <w:szCs w:val="24"/>
                <w:lang w:val="en-US" w:eastAsia="zh-CN"/>
              </w:rPr>
            </w:pPr>
            <w:r>
              <w:rPr>
                <w:rFonts w:hint="eastAsia" w:ascii="宋体" w:hAnsi="宋体" w:eastAsia="宋体" w:cs="宋体"/>
                <w:b/>
                <w:bCs/>
                <w:color w:val="auto"/>
                <w:sz w:val="22"/>
                <w:szCs w:val="24"/>
                <w:lang w:val="en-US" w:eastAsia="zh-CN"/>
              </w:rPr>
              <w:t>联系人及联系电话</w:t>
            </w:r>
          </w:p>
        </w:tc>
        <w:tc>
          <w:tcPr>
            <w:tcW w:w="7262" w:type="dxa"/>
            <w:tcBorders>
              <w:top w:val="single" w:color="auto" w:sz="4" w:space="0"/>
              <w:left w:val="nil"/>
              <w:bottom w:val="single" w:color="auto" w:sz="4" w:space="0"/>
              <w:right w:val="single" w:color="auto" w:sz="4" w:space="0"/>
            </w:tcBorders>
            <w:vAlign w:val="center"/>
          </w:tcPr>
          <w:p w14:paraId="49F63802">
            <w:pPr>
              <w:widowControl/>
              <w:snapToGrid w:val="0"/>
              <w:spacing w:before="50" w:after="50" w:line="360" w:lineRule="auto"/>
              <w:ind w:firstLine="440" w:firstLineChars="200"/>
              <w:jc w:val="left"/>
              <w:rPr>
                <w:rFonts w:ascii="宋体" w:hAnsi="宋体" w:eastAsia="宋体" w:cs="宋体"/>
                <w:color w:val="auto"/>
                <w:sz w:val="22"/>
                <w:szCs w:val="24"/>
              </w:rPr>
            </w:pPr>
          </w:p>
        </w:tc>
      </w:tr>
      <w:tr w14:paraId="33BB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1FDEAEA">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服务期限</w:t>
            </w:r>
          </w:p>
        </w:tc>
        <w:tc>
          <w:tcPr>
            <w:tcW w:w="7262" w:type="dxa"/>
            <w:tcBorders>
              <w:top w:val="single" w:color="auto" w:sz="4" w:space="0"/>
              <w:left w:val="nil"/>
              <w:bottom w:val="single" w:color="auto" w:sz="4" w:space="0"/>
              <w:right w:val="single" w:color="auto" w:sz="4" w:space="0"/>
            </w:tcBorders>
            <w:vAlign w:val="center"/>
          </w:tcPr>
          <w:p w14:paraId="4105361C">
            <w:pPr>
              <w:widowControl/>
              <w:snapToGrid w:val="0"/>
              <w:spacing w:before="50" w:after="50" w:line="360" w:lineRule="auto"/>
              <w:ind w:firstLine="440" w:firstLineChars="200"/>
              <w:jc w:val="left"/>
              <w:rPr>
                <w:rFonts w:ascii="宋体" w:hAnsi="宋体" w:eastAsia="宋体" w:cs="宋体"/>
                <w:color w:val="auto"/>
                <w:sz w:val="22"/>
                <w:szCs w:val="24"/>
              </w:rPr>
            </w:pPr>
          </w:p>
        </w:tc>
      </w:tr>
      <w:tr w14:paraId="17DB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122CA6E">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服务地点</w:t>
            </w:r>
          </w:p>
        </w:tc>
        <w:tc>
          <w:tcPr>
            <w:tcW w:w="7262" w:type="dxa"/>
            <w:tcBorders>
              <w:top w:val="single" w:color="auto" w:sz="4" w:space="0"/>
              <w:left w:val="nil"/>
              <w:bottom w:val="single" w:color="auto" w:sz="4" w:space="0"/>
              <w:right w:val="single" w:color="auto" w:sz="4" w:space="0"/>
            </w:tcBorders>
            <w:vAlign w:val="center"/>
          </w:tcPr>
          <w:p w14:paraId="17EADEF0">
            <w:pPr>
              <w:widowControl/>
              <w:snapToGrid w:val="0"/>
              <w:spacing w:before="50" w:after="50" w:line="360" w:lineRule="auto"/>
              <w:ind w:firstLine="440" w:firstLineChars="200"/>
              <w:jc w:val="left"/>
              <w:rPr>
                <w:rFonts w:ascii="宋体" w:hAnsi="宋体" w:eastAsia="宋体" w:cs="宋体"/>
                <w:color w:val="auto"/>
                <w:sz w:val="22"/>
                <w:szCs w:val="24"/>
              </w:rPr>
            </w:pPr>
          </w:p>
        </w:tc>
      </w:tr>
      <w:tr w14:paraId="44E2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2378A77">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质量标准</w:t>
            </w:r>
          </w:p>
        </w:tc>
        <w:tc>
          <w:tcPr>
            <w:tcW w:w="7262" w:type="dxa"/>
            <w:tcBorders>
              <w:top w:val="single" w:color="auto" w:sz="4" w:space="0"/>
              <w:left w:val="nil"/>
              <w:bottom w:val="single" w:color="auto" w:sz="4" w:space="0"/>
              <w:right w:val="single" w:color="auto" w:sz="4" w:space="0"/>
            </w:tcBorders>
            <w:vAlign w:val="center"/>
          </w:tcPr>
          <w:p w14:paraId="44A7F83C">
            <w:pPr>
              <w:widowControl/>
              <w:snapToGrid w:val="0"/>
              <w:spacing w:before="50" w:after="50" w:line="360" w:lineRule="auto"/>
              <w:ind w:firstLine="440" w:firstLineChars="200"/>
              <w:jc w:val="left"/>
              <w:rPr>
                <w:rFonts w:ascii="宋体" w:hAnsi="宋体" w:eastAsia="宋体" w:cs="宋体"/>
                <w:color w:val="auto"/>
                <w:sz w:val="22"/>
                <w:szCs w:val="24"/>
              </w:rPr>
            </w:pPr>
          </w:p>
        </w:tc>
      </w:tr>
      <w:tr w14:paraId="7A45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3F2A371">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磋商有效期</w:t>
            </w:r>
          </w:p>
        </w:tc>
        <w:tc>
          <w:tcPr>
            <w:tcW w:w="7262" w:type="dxa"/>
            <w:tcBorders>
              <w:top w:val="single" w:color="auto" w:sz="4" w:space="0"/>
              <w:left w:val="nil"/>
              <w:bottom w:val="single" w:color="auto" w:sz="4" w:space="0"/>
              <w:right w:val="single" w:color="auto" w:sz="4" w:space="0"/>
            </w:tcBorders>
            <w:vAlign w:val="center"/>
          </w:tcPr>
          <w:p w14:paraId="20DFB91F">
            <w:pPr>
              <w:spacing w:line="360" w:lineRule="auto"/>
              <w:ind w:firstLine="475" w:firstLineChars="216"/>
              <w:jc w:val="left"/>
              <w:rPr>
                <w:rFonts w:ascii="宋体" w:hAnsi="宋体" w:eastAsia="宋体" w:cs="宋体"/>
                <w:color w:val="auto"/>
                <w:sz w:val="22"/>
                <w:szCs w:val="24"/>
              </w:rPr>
            </w:pPr>
          </w:p>
        </w:tc>
      </w:tr>
      <w:tr w14:paraId="34BB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ED781BA">
            <w:pPr>
              <w:snapToGrid w:val="0"/>
              <w:spacing w:before="50" w:after="50" w:line="360" w:lineRule="auto"/>
              <w:jc w:val="center"/>
              <w:rPr>
                <w:rFonts w:ascii="宋体" w:hAnsi="宋体" w:eastAsia="宋体" w:cs="宋体"/>
                <w:b/>
                <w:bCs/>
                <w:color w:val="auto"/>
                <w:sz w:val="22"/>
                <w:szCs w:val="24"/>
              </w:rPr>
            </w:pPr>
            <w:r>
              <w:rPr>
                <w:rFonts w:hint="eastAsia" w:ascii="宋体" w:hAnsi="宋体" w:eastAsia="宋体" w:cs="宋体"/>
                <w:b/>
                <w:bCs/>
                <w:color w:val="auto"/>
                <w:sz w:val="22"/>
                <w:szCs w:val="24"/>
              </w:rPr>
              <w:t>其他</w:t>
            </w:r>
          </w:p>
        </w:tc>
        <w:tc>
          <w:tcPr>
            <w:tcW w:w="7262" w:type="dxa"/>
            <w:tcBorders>
              <w:top w:val="single" w:color="auto" w:sz="4" w:space="0"/>
              <w:left w:val="nil"/>
              <w:bottom w:val="single" w:color="auto" w:sz="4" w:space="0"/>
              <w:right w:val="single" w:color="auto" w:sz="4" w:space="0"/>
            </w:tcBorders>
            <w:vAlign w:val="center"/>
          </w:tcPr>
          <w:p w14:paraId="0E486B7C">
            <w:pPr>
              <w:spacing w:line="360" w:lineRule="auto"/>
              <w:ind w:firstLine="475" w:firstLineChars="216"/>
              <w:jc w:val="left"/>
              <w:rPr>
                <w:rFonts w:ascii="宋体" w:hAnsi="宋体" w:eastAsia="宋体" w:cs="宋体"/>
                <w:color w:val="auto"/>
                <w:sz w:val="22"/>
                <w:szCs w:val="24"/>
              </w:rPr>
            </w:pPr>
          </w:p>
        </w:tc>
      </w:tr>
    </w:tbl>
    <w:p w14:paraId="23D46DE4">
      <w:pPr>
        <w:widowControl/>
        <w:adjustRightInd w:val="0"/>
        <w:spacing w:line="600" w:lineRule="exact"/>
        <w:ind w:firstLine="3377" w:firstLineChars="1535"/>
        <w:jc w:val="left"/>
        <w:rPr>
          <w:rFonts w:ascii="宋体" w:hAnsi="宋体" w:eastAsia="宋体" w:cs="宋体"/>
          <w:color w:val="auto"/>
          <w:kern w:val="0"/>
          <w:sz w:val="22"/>
          <w:szCs w:val="24"/>
        </w:rPr>
      </w:pPr>
    </w:p>
    <w:p w14:paraId="452CDC08">
      <w:pPr>
        <w:ind w:firstLine="200" w:firstLineChars="100"/>
        <w:jc w:val="left"/>
        <w:rPr>
          <w:rFonts w:ascii="宋体" w:hAnsi="宋体" w:eastAsia="宋体" w:cs="Times New Roman"/>
          <w:color w:val="auto"/>
          <w:sz w:val="20"/>
          <w:szCs w:val="24"/>
        </w:rPr>
      </w:pPr>
    </w:p>
    <w:p w14:paraId="2D7841A5">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供应商：（盖单位公章）</w:t>
      </w:r>
    </w:p>
    <w:p w14:paraId="7FFB1A92">
      <w:pPr>
        <w:widowControl/>
        <w:adjustRightInd w:val="0"/>
        <w:spacing w:line="600" w:lineRule="exact"/>
        <w:ind w:firstLine="3377" w:firstLineChars="1535"/>
        <w:jc w:val="left"/>
        <w:rPr>
          <w:rFonts w:ascii="宋体" w:hAnsi="宋体" w:eastAsia="宋体" w:cs="宋体"/>
          <w:color w:val="auto"/>
          <w:kern w:val="0"/>
          <w:sz w:val="22"/>
          <w:szCs w:val="24"/>
          <w:u w:val="single"/>
        </w:rPr>
      </w:pPr>
      <w:r>
        <w:rPr>
          <w:rFonts w:hint="eastAsia" w:ascii="宋体" w:hAnsi="宋体" w:eastAsia="宋体" w:cs="宋体"/>
          <w:color w:val="auto"/>
          <w:sz w:val="22"/>
          <w:szCs w:val="24"/>
        </w:rPr>
        <w:t>法定代表人或授权委托人：（签字或盖章）</w:t>
      </w:r>
    </w:p>
    <w:p w14:paraId="65A9B2A7">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日期：年月日</w:t>
      </w:r>
    </w:p>
    <w:p w14:paraId="0BB02613">
      <w:pPr>
        <w:spacing w:line="460" w:lineRule="exact"/>
        <w:jc w:val="left"/>
        <w:rPr>
          <w:rFonts w:ascii="宋体" w:hAnsi="宋体" w:eastAsia="宋体" w:cs="宋体"/>
          <w:b/>
          <w:color w:val="auto"/>
          <w:sz w:val="24"/>
          <w:szCs w:val="28"/>
        </w:rPr>
      </w:pPr>
    </w:p>
    <w:p w14:paraId="7F461C14">
      <w:pPr>
        <w:widowControl/>
        <w:jc w:val="left"/>
        <w:rPr>
          <w:rFonts w:ascii="宋体" w:hAnsi="宋体" w:eastAsia="宋体" w:cs="宋体"/>
          <w:b/>
          <w:color w:val="auto"/>
          <w:sz w:val="24"/>
          <w:szCs w:val="28"/>
        </w:rPr>
      </w:pPr>
      <w:r>
        <w:rPr>
          <w:rFonts w:ascii="宋体" w:hAnsi="宋体" w:cs="宋体"/>
          <w:b/>
          <w:color w:val="auto"/>
          <w:sz w:val="24"/>
          <w:szCs w:val="28"/>
        </w:rPr>
        <w:br w:type="page"/>
      </w:r>
    </w:p>
    <w:p w14:paraId="69B57EBD">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3、</w:t>
      </w:r>
      <w:r>
        <w:rPr>
          <w:rFonts w:hint="eastAsia" w:ascii="宋体" w:hAnsi="宋体" w:cs="宋体"/>
          <w:b/>
          <w:color w:val="auto"/>
          <w:sz w:val="24"/>
          <w:szCs w:val="28"/>
        </w:rPr>
        <w:t>法定代表人身份证明</w:t>
      </w:r>
    </w:p>
    <w:p w14:paraId="39D45859">
      <w:pPr>
        <w:pStyle w:val="25"/>
        <w:spacing w:line="460" w:lineRule="exact"/>
        <w:ind w:left="720" w:firstLine="0" w:firstLineChars="0"/>
        <w:rPr>
          <w:rFonts w:ascii="宋体" w:hAnsi="宋体" w:cs="宋体"/>
          <w:b/>
          <w:color w:val="auto"/>
          <w:sz w:val="24"/>
          <w:szCs w:val="28"/>
        </w:rPr>
      </w:pPr>
    </w:p>
    <w:p w14:paraId="6914570E">
      <w:pPr>
        <w:spacing w:line="600" w:lineRule="exact"/>
        <w:ind w:firstLine="612"/>
        <w:jc w:val="left"/>
        <w:rPr>
          <w:rFonts w:ascii="宋体" w:hAnsi="宋体" w:eastAsia="宋体" w:cs="Times New Roman"/>
          <w:color w:val="auto"/>
          <w:sz w:val="22"/>
        </w:rPr>
      </w:pPr>
      <w:r>
        <w:rPr>
          <w:rFonts w:hint="eastAsia" w:ascii="宋体" w:hAnsi="宋体" w:eastAsia="宋体" w:cs="Times New Roman"/>
          <w:color w:val="auto"/>
          <w:sz w:val="22"/>
        </w:rPr>
        <w:t>单位名称：</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p>
    <w:p w14:paraId="67C11DE8">
      <w:pPr>
        <w:spacing w:line="600" w:lineRule="exact"/>
        <w:ind w:firstLine="610"/>
        <w:jc w:val="left"/>
        <w:rPr>
          <w:rFonts w:ascii="宋体" w:hAnsi="宋体" w:eastAsia="宋体" w:cs="Times New Roman"/>
          <w:color w:val="auto"/>
          <w:sz w:val="22"/>
          <w:u w:val="single"/>
        </w:rPr>
      </w:pPr>
      <w:r>
        <w:rPr>
          <w:rFonts w:hint="eastAsia" w:ascii="宋体" w:hAnsi="宋体" w:eastAsia="宋体" w:cs="Times New Roman"/>
          <w:color w:val="auto"/>
          <w:sz w:val="22"/>
        </w:rPr>
        <w:t>单位性质：</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p>
    <w:p w14:paraId="418DBC4B">
      <w:pPr>
        <w:spacing w:line="600" w:lineRule="exact"/>
        <w:ind w:firstLine="610"/>
        <w:jc w:val="left"/>
        <w:rPr>
          <w:rFonts w:ascii="宋体" w:hAnsi="宋体" w:eastAsia="宋体" w:cs="Times New Roman"/>
          <w:color w:val="auto"/>
          <w:sz w:val="22"/>
          <w:u w:val="single"/>
        </w:rPr>
      </w:pPr>
      <w:r>
        <w:rPr>
          <w:rFonts w:hint="eastAsia" w:ascii="宋体" w:hAnsi="宋体" w:eastAsia="宋体" w:cs="Times New Roman"/>
          <w:color w:val="auto"/>
          <w:sz w:val="22"/>
        </w:rPr>
        <w:t>地址：</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ascii="宋体" w:hAnsi="宋体" w:eastAsia="宋体" w:cs="Times New Roman"/>
          <w:color w:val="auto"/>
          <w:sz w:val="22"/>
          <w:u w:val="single"/>
        </w:rPr>
        <w:tab/>
      </w:r>
    </w:p>
    <w:p w14:paraId="7E6EE823">
      <w:pPr>
        <w:spacing w:line="600" w:lineRule="exact"/>
        <w:ind w:firstLine="610"/>
        <w:jc w:val="left"/>
        <w:rPr>
          <w:rFonts w:ascii="宋体" w:hAnsi="宋体" w:eastAsia="宋体" w:cs="Times New Roman"/>
          <w:color w:val="auto"/>
          <w:sz w:val="22"/>
        </w:rPr>
      </w:pPr>
      <w:r>
        <w:rPr>
          <w:rFonts w:hint="eastAsia" w:ascii="宋体" w:hAnsi="宋体" w:eastAsia="宋体" w:cs="Times New Roman"/>
          <w:color w:val="auto"/>
          <w:sz w:val="22"/>
        </w:rPr>
        <w:t>成立时间：</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年</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月</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日</w:t>
      </w:r>
    </w:p>
    <w:p w14:paraId="2AF68BDF">
      <w:pPr>
        <w:spacing w:line="600" w:lineRule="exact"/>
        <w:ind w:firstLine="610"/>
        <w:jc w:val="left"/>
        <w:rPr>
          <w:rFonts w:ascii="宋体" w:hAnsi="宋体" w:eastAsia="宋体" w:cs="Times New Roman"/>
          <w:color w:val="auto"/>
          <w:sz w:val="22"/>
          <w:u w:val="single"/>
        </w:rPr>
      </w:pPr>
      <w:r>
        <w:rPr>
          <w:rFonts w:hint="eastAsia" w:ascii="宋体" w:hAnsi="宋体" w:eastAsia="宋体" w:cs="Times New Roman"/>
          <w:color w:val="auto"/>
          <w:sz w:val="22"/>
        </w:rPr>
        <w:t>经营期限：</w:t>
      </w:r>
      <w:r>
        <w:rPr>
          <w:rFonts w:ascii="宋体" w:hAnsi="宋体" w:eastAsia="宋体" w:cs="Times New Roman"/>
          <w:color w:val="auto"/>
          <w:sz w:val="22"/>
          <w:u w:val="single"/>
        </w:rPr>
        <w:tab/>
      </w:r>
      <w:r>
        <w:rPr>
          <w:rFonts w:ascii="宋体" w:hAnsi="宋体" w:eastAsia="宋体" w:cs="Times New Roman"/>
          <w:color w:val="auto"/>
          <w:sz w:val="22"/>
          <w:u w:val="single"/>
        </w:rPr>
        <w:tab/>
      </w:r>
    </w:p>
    <w:p w14:paraId="596A17AF">
      <w:pPr>
        <w:spacing w:line="600" w:lineRule="exact"/>
        <w:ind w:firstLine="610"/>
        <w:jc w:val="left"/>
        <w:rPr>
          <w:rFonts w:ascii="宋体" w:hAnsi="宋体" w:eastAsia="宋体" w:cs="Times New Roman"/>
          <w:color w:val="auto"/>
          <w:sz w:val="22"/>
          <w:u w:val="single"/>
        </w:rPr>
      </w:pPr>
      <w:r>
        <w:rPr>
          <w:rFonts w:hint="eastAsia" w:ascii="宋体" w:hAnsi="宋体" w:eastAsia="宋体" w:cs="Times New Roman"/>
          <w:color w:val="auto"/>
          <w:sz w:val="22"/>
        </w:rPr>
        <w:t>姓名：</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性别：</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年龄：</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职务：</w:t>
      </w:r>
      <w:r>
        <w:rPr>
          <w:rFonts w:ascii="宋体" w:hAnsi="宋体" w:eastAsia="宋体" w:cs="Times New Roman"/>
          <w:color w:val="auto"/>
          <w:sz w:val="22"/>
          <w:u w:val="single"/>
        </w:rPr>
        <w:tab/>
      </w:r>
      <w:r>
        <w:rPr>
          <w:rFonts w:ascii="宋体" w:hAnsi="宋体" w:eastAsia="宋体" w:cs="Times New Roman"/>
          <w:color w:val="auto"/>
          <w:sz w:val="22"/>
          <w:u w:val="single"/>
        </w:rPr>
        <w:tab/>
      </w:r>
      <w:r>
        <w:rPr>
          <w:rFonts w:hint="eastAsia" w:ascii="宋体" w:hAnsi="宋体" w:eastAsia="宋体" w:cs="Times New Roman"/>
          <w:color w:val="auto"/>
          <w:sz w:val="22"/>
        </w:rPr>
        <w:t>系</w:t>
      </w:r>
      <w:r>
        <w:rPr>
          <w:rFonts w:hint="eastAsia" w:ascii="宋体" w:hAnsi="宋体" w:eastAsia="宋体" w:cs="Times New Roman"/>
          <w:color w:val="auto"/>
          <w:sz w:val="22"/>
          <w:u w:val="single"/>
        </w:rPr>
        <w:t>（供应商名称）</w:t>
      </w:r>
      <w:r>
        <w:rPr>
          <w:rFonts w:hint="eastAsia" w:ascii="宋体" w:hAnsi="宋体" w:eastAsia="宋体" w:cs="Times New Roman"/>
          <w:color w:val="auto"/>
          <w:sz w:val="22"/>
        </w:rPr>
        <w:t>的法定代表人。</w:t>
      </w:r>
    </w:p>
    <w:p w14:paraId="07BA922E">
      <w:pPr>
        <w:spacing w:line="600" w:lineRule="exact"/>
        <w:ind w:firstLine="610"/>
        <w:jc w:val="left"/>
        <w:rPr>
          <w:rFonts w:ascii="宋体" w:hAnsi="宋体" w:eastAsia="宋体" w:cs="Times New Roman"/>
          <w:color w:val="auto"/>
          <w:sz w:val="22"/>
        </w:rPr>
      </w:pPr>
    </w:p>
    <w:p w14:paraId="12EFFADA">
      <w:pPr>
        <w:spacing w:line="600" w:lineRule="exact"/>
        <w:ind w:firstLine="998" w:firstLineChars="454"/>
        <w:jc w:val="left"/>
        <w:rPr>
          <w:rFonts w:ascii="宋体" w:hAnsi="宋体" w:eastAsia="宋体" w:cs="Times New Roman"/>
          <w:color w:val="auto"/>
          <w:sz w:val="22"/>
        </w:rPr>
      </w:pPr>
      <w:r>
        <w:rPr>
          <w:rFonts w:hint="eastAsia" w:ascii="宋体" w:hAnsi="宋体" w:eastAsia="宋体" w:cs="Times New Roman"/>
          <w:color w:val="auto"/>
          <w:sz w:val="22"/>
        </w:rPr>
        <w:t>特此证明。</w:t>
      </w:r>
    </w:p>
    <w:p w14:paraId="085EFF82">
      <w:pPr>
        <w:spacing w:line="600" w:lineRule="exact"/>
        <w:jc w:val="left"/>
        <w:rPr>
          <w:rFonts w:ascii="宋体" w:hAnsi="宋体" w:eastAsia="宋体" w:cs="宋体"/>
          <w:color w:val="auto"/>
          <w:sz w:val="22"/>
          <w:szCs w:val="24"/>
        </w:rPr>
      </w:pPr>
    </w:p>
    <w:p w14:paraId="7655B23C">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供应商：（盖单位公章）</w:t>
      </w:r>
    </w:p>
    <w:p w14:paraId="77702540">
      <w:pPr>
        <w:widowControl/>
        <w:adjustRightInd w:val="0"/>
        <w:spacing w:line="600" w:lineRule="exact"/>
        <w:ind w:firstLine="3377" w:firstLineChars="1535"/>
        <w:jc w:val="left"/>
        <w:rPr>
          <w:rFonts w:ascii="宋体" w:hAnsi="宋体" w:eastAsia="宋体" w:cs="宋体"/>
          <w:color w:val="auto"/>
          <w:kern w:val="0"/>
          <w:sz w:val="22"/>
          <w:szCs w:val="24"/>
          <w:u w:val="single"/>
        </w:rPr>
      </w:pPr>
      <w:r>
        <w:rPr>
          <w:rFonts w:hint="eastAsia" w:ascii="宋体" w:hAnsi="宋体" w:eastAsia="宋体" w:cs="宋体"/>
          <w:color w:val="auto"/>
          <w:sz w:val="22"/>
          <w:szCs w:val="24"/>
        </w:rPr>
        <w:t>法定代表人：（签字或盖章）</w:t>
      </w:r>
    </w:p>
    <w:p w14:paraId="3BDB99B3">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日期：年月日</w:t>
      </w:r>
    </w:p>
    <w:p w14:paraId="7BD43AC9">
      <w:pPr>
        <w:adjustRightInd w:val="0"/>
        <w:snapToGrid w:val="0"/>
        <w:spacing w:line="500" w:lineRule="exact"/>
        <w:jc w:val="left"/>
        <w:rPr>
          <w:rFonts w:ascii="宋体" w:hAnsi="宋体" w:eastAsia="宋体" w:cs="宋体"/>
          <w:b/>
          <w:color w:val="auto"/>
          <w:sz w:val="24"/>
          <w:szCs w:val="28"/>
        </w:rPr>
      </w:pPr>
    </w:p>
    <w:p w14:paraId="3126F865">
      <w:pPr>
        <w:adjustRightInd w:val="0"/>
        <w:snapToGrid w:val="0"/>
        <w:spacing w:line="500" w:lineRule="exact"/>
        <w:jc w:val="left"/>
        <w:rPr>
          <w:rFonts w:ascii="宋体" w:hAnsi="宋体" w:eastAsia="宋体" w:cs="宋体"/>
          <w:b/>
          <w:color w:val="auto"/>
          <w:sz w:val="24"/>
          <w:szCs w:val="28"/>
        </w:rPr>
      </w:pPr>
    </w:p>
    <w:p w14:paraId="7E517977">
      <w:pPr>
        <w:adjustRightInd w:val="0"/>
        <w:snapToGrid w:val="0"/>
        <w:spacing w:line="500" w:lineRule="exact"/>
        <w:jc w:val="left"/>
        <w:rPr>
          <w:rFonts w:ascii="宋体" w:hAnsi="宋体" w:eastAsia="宋体" w:cs="宋体"/>
          <w:b/>
          <w:color w:val="auto"/>
          <w:sz w:val="24"/>
          <w:szCs w:val="28"/>
        </w:rPr>
      </w:pPr>
      <w:r>
        <w:rPr>
          <w:rFonts w:hint="eastAsia" w:ascii="宋体" w:hAnsi="宋体" w:eastAsia="宋体" w:cs="宋体"/>
          <w:b/>
          <w:color w:val="auto"/>
          <w:sz w:val="24"/>
          <w:szCs w:val="28"/>
        </w:rPr>
        <w:t>（后附法定代表人身份证正反面复印件）</w:t>
      </w:r>
    </w:p>
    <w:p w14:paraId="19A74254">
      <w:pPr>
        <w:spacing w:line="440" w:lineRule="exact"/>
        <w:jc w:val="left"/>
        <w:rPr>
          <w:rFonts w:ascii="宋体" w:hAnsi="宋体" w:eastAsia="宋体" w:cs="宋体"/>
          <w:color w:val="auto"/>
          <w:sz w:val="28"/>
          <w:szCs w:val="32"/>
        </w:rPr>
      </w:pPr>
    </w:p>
    <w:p w14:paraId="1C9EA234">
      <w:pPr>
        <w:spacing w:line="440" w:lineRule="exact"/>
        <w:jc w:val="left"/>
        <w:rPr>
          <w:rFonts w:ascii="宋体" w:hAnsi="宋体" w:eastAsia="宋体" w:cs="宋体"/>
          <w:color w:val="auto"/>
          <w:sz w:val="28"/>
          <w:szCs w:val="32"/>
        </w:rPr>
      </w:pPr>
    </w:p>
    <w:p w14:paraId="178B9966">
      <w:pPr>
        <w:spacing w:line="300" w:lineRule="exact"/>
        <w:jc w:val="left"/>
        <w:rPr>
          <w:rFonts w:ascii="宋体" w:hAnsi="宋体" w:eastAsia="宋体" w:cs="宋体"/>
          <w:b/>
          <w:color w:val="auto"/>
          <w:sz w:val="24"/>
          <w:szCs w:val="28"/>
        </w:rPr>
      </w:pPr>
    </w:p>
    <w:p w14:paraId="167D3EAB">
      <w:pPr>
        <w:spacing w:line="300" w:lineRule="exact"/>
        <w:jc w:val="left"/>
        <w:rPr>
          <w:rFonts w:ascii="宋体" w:hAnsi="宋体" w:eastAsia="宋体" w:cs="宋体"/>
          <w:b/>
          <w:color w:val="auto"/>
          <w:sz w:val="24"/>
          <w:szCs w:val="28"/>
        </w:rPr>
      </w:pPr>
    </w:p>
    <w:p w14:paraId="6A3987F9">
      <w:pPr>
        <w:spacing w:line="300" w:lineRule="exact"/>
        <w:jc w:val="left"/>
        <w:rPr>
          <w:rFonts w:ascii="宋体" w:hAnsi="宋体" w:eastAsia="宋体" w:cs="宋体"/>
          <w:b/>
          <w:color w:val="auto"/>
          <w:sz w:val="24"/>
          <w:szCs w:val="28"/>
        </w:rPr>
      </w:pPr>
    </w:p>
    <w:p w14:paraId="701CA9F1">
      <w:pPr>
        <w:spacing w:line="300" w:lineRule="exact"/>
        <w:jc w:val="left"/>
        <w:rPr>
          <w:rFonts w:ascii="宋体" w:hAnsi="宋体" w:eastAsia="宋体" w:cs="宋体"/>
          <w:b/>
          <w:color w:val="auto"/>
          <w:sz w:val="24"/>
          <w:szCs w:val="28"/>
        </w:rPr>
      </w:pPr>
    </w:p>
    <w:p w14:paraId="05242175">
      <w:pPr>
        <w:widowControl/>
        <w:jc w:val="left"/>
        <w:rPr>
          <w:rFonts w:ascii="宋体" w:hAnsi="宋体" w:eastAsia="宋体" w:cs="宋体"/>
          <w:b/>
          <w:color w:val="auto"/>
          <w:sz w:val="24"/>
          <w:szCs w:val="28"/>
        </w:rPr>
      </w:pPr>
      <w:r>
        <w:rPr>
          <w:rFonts w:ascii="宋体" w:hAnsi="宋体" w:cs="宋体"/>
          <w:b/>
          <w:color w:val="auto"/>
          <w:sz w:val="24"/>
          <w:szCs w:val="28"/>
        </w:rPr>
        <w:br w:type="page"/>
      </w:r>
    </w:p>
    <w:p w14:paraId="31967012">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4、</w:t>
      </w:r>
      <w:r>
        <w:rPr>
          <w:rFonts w:hint="eastAsia" w:ascii="宋体" w:hAnsi="宋体" w:cs="宋体"/>
          <w:b/>
          <w:color w:val="auto"/>
          <w:sz w:val="24"/>
          <w:szCs w:val="28"/>
        </w:rPr>
        <w:t>法定代表人授权委托书</w:t>
      </w:r>
    </w:p>
    <w:p w14:paraId="45649F47">
      <w:pPr>
        <w:spacing w:before="240" w:beforeLines="100" w:line="300" w:lineRule="exact"/>
        <w:jc w:val="left"/>
        <w:rPr>
          <w:rFonts w:ascii="宋体" w:hAnsi="宋体" w:eastAsia="宋体" w:cs="宋体"/>
          <w:b/>
          <w:color w:val="auto"/>
          <w:sz w:val="16"/>
          <w:szCs w:val="18"/>
        </w:rPr>
      </w:pPr>
    </w:p>
    <w:p w14:paraId="074A6F7C">
      <w:pPr>
        <w:tabs>
          <w:tab w:val="left" w:pos="3240"/>
        </w:tabs>
        <w:spacing w:line="600" w:lineRule="exact"/>
        <w:ind w:firstLine="612"/>
        <w:jc w:val="left"/>
        <w:rPr>
          <w:rFonts w:ascii="宋体" w:hAnsi="宋体" w:eastAsia="宋体" w:cs="宋体"/>
          <w:color w:val="auto"/>
          <w:sz w:val="22"/>
          <w:szCs w:val="24"/>
        </w:rPr>
      </w:pPr>
      <w:r>
        <w:rPr>
          <w:rFonts w:hint="eastAsia" w:ascii="宋体" w:hAnsi="宋体" w:eastAsia="宋体" w:cs="Times New Roman"/>
          <w:color w:val="auto"/>
          <w:sz w:val="22"/>
        </w:rPr>
        <w:t>本授权委托书声明：我</w:t>
      </w:r>
      <w:r>
        <w:rPr>
          <w:rFonts w:hint="eastAsia" w:ascii="宋体" w:hAnsi="宋体" w:eastAsia="宋体" w:cs="Times New Roman"/>
          <w:color w:val="auto"/>
          <w:sz w:val="22"/>
          <w:u w:val="single"/>
        </w:rPr>
        <w:t>（法定代表人）</w:t>
      </w:r>
      <w:r>
        <w:rPr>
          <w:rFonts w:hint="eastAsia" w:ascii="宋体" w:hAnsi="宋体" w:eastAsia="宋体" w:cs="Times New Roman"/>
          <w:color w:val="auto"/>
          <w:sz w:val="22"/>
        </w:rPr>
        <w:t>（姓名）系</w:t>
      </w:r>
      <w:r>
        <w:rPr>
          <w:rFonts w:hint="eastAsia" w:ascii="宋体" w:hAnsi="宋体" w:eastAsia="宋体" w:cs="Times New Roman"/>
          <w:color w:val="auto"/>
          <w:sz w:val="22"/>
          <w:u w:val="single"/>
        </w:rPr>
        <w:t>（单位名称）</w:t>
      </w:r>
      <w:r>
        <w:rPr>
          <w:rFonts w:hint="eastAsia" w:ascii="宋体" w:hAnsi="宋体" w:eastAsia="宋体" w:cs="Times New Roman"/>
          <w:color w:val="auto"/>
          <w:sz w:val="22"/>
        </w:rPr>
        <w:t>的法定代表人，现授权委托</w:t>
      </w:r>
      <w:r>
        <w:rPr>
          <w:rFonts w:hint="eastAsia" w:ascii="宋体" w:hAnsi="宋体" w:eastAsia="宋体" w:cs="Times New Roman"/>
          <w:color w:val="auto"/>
          <w:sz w:val="22"/>
          <w:u w:val="single"/>
        </w:rPr>
        <w:t>（单位名称）</w:t>
      </w:r>
      <w:r>
        <w:rPr>
          <w:rFonts w:hint="eastAsia" w:ascii="宋体" w:hAnsi="宋体" w:eastAsia="宋体" w:cs="Times New Roman"/>
          <w:color w:val="auto"/>
          <w:sz w:val="22"/>
        </w:rPr>
        <w:t>的</w:t>
      </w:r>
      <w:r>
        <w:rPr>
          <w:rFonts w:hint="eastAsia" w:ascii="宋体" w:hAnsi="宋体" w:eastAsia="宋体" w:cs="Times New Roman"/>
          <w:color w:val="auto"/>
          <w:sz w:val="22"/>
          <w:u w:val="single"/>
        </w:rPr>
        <w:t>（姓名）</w:t>
      </w:r>
      <w:r>
        <w:rPr>
          <w:rFonts w:hint="eastAsia" w:ascii="宋体" w:hAnsi="宋体" w:eastAsia="宋体" w:cs="Times New Roman"/>
          <w:color w:val="auto"/>
          <w:sz w:val="22"/>
        </w:rPr>
        <w:t>为我公司签署本项目的磋商响应文件的委托代理人，我承认代理人全权代表我所签署的项目的磋商响应文件的内容。同时授权委托该同志代表我公司参加本项目的投标、磋商、合同谈判、处理有关事务等并有权签署有关文件。</w:t>
      </w:r>
    </w:p>
    <w:p w14:paraId="6967153A">
      <w:pPr>
        <w:adjustRightInd w:val="0"/>
        <w:snapToGrid w:val="0"/>
        <w:spacing w:line="600" w:lineRule="exact"/>
        <w:ind w:firstLine="440" w:firstLineChars="200"/>
        <w:jc w:val="left"/>
        <w:rPr>
          <w:rFonts w:ascii="宋体" w:hAnsi="宋体" w:eastAsia="宋体" w:cs="宋体"/>
          <w:color w:val="auto"/>
          <w:sz w:val="22"/>
          <w:szCs w:val="24"/>
        </w:rPr>
      </w:pPr>
      <w:r>
        <w:rPr>
          <w:rFonts w:hint="eastAsia" w:ascii="宋体" w:hAnsi="宋体" w:eastAsia="宋体" w:cs="宋体"/>
          <w:color w:val="auto"/>
          <w:sz w:val="22"/>
          <w:szCs w:val="24"/>
        </w:rPr>
        <w:t>代理人无转委托权，特此委托。</w:t>
      </w:r>
    </w:p>
    <w:p w14:paraId="75DF56F0">
      <w:pPr>
        <w:adjustRightInd w:val="0"/>
        <w:snapToGrid w:val="0"/>
        <w:spacing w:line="600" w:lineRule="exact"/>
        <w:ind w:firstLine="440" w:firstLineChars="200"/>
        <w:jc w:val="left"/>
        <w:rPr>
          <w:rFonts w:ascii="宋体" w:hAnsi="宋体" w:eastAsia="宋体" w:cs="宋体"/>
          <w:color w:val="auto"/>
          <w:sz w:val="22"/>
          <w:szCs w:val="24"/>
          <w:u w:val="single"/>
        </w:rPr>
      </w:pPr>
      <w:r>
        <w:rPr>
          <w:rFonts w:hint="eastAsia" w:ascii="宋体" w:hAnsi="宋体" w:eastAsia="宋体" w:cs="宋体"/>
          <w:color w:val="auto"/>
          <w:sz w:val="22"/>
          <w:szCs w:val="24"/>
        </w:rPr>
        <w:t>委托期限：</w:t>
      </w:r>
      <w:r>
        <w:rPr>
          <w:rFonts w:hint="eastAsia" w:ascii="宋体" w:hAnsi="宋体" w:eastAsia="宋体" w:cs="宋体"/>
          <w:color w:val="auto"/>
          <w:sz w:val="22"/>
          <w:szCs w:val="24"/>
          <w:u w:val="single"/>
        </w:rPr>
        <w:t xml:space="preserve">                 </w:t>
      </w:r>
    </w:p>
    <w:p w14:paraId="76955AB6">
      <w:pPr>
        <w:adjustRightInd w:val="0"/>
        <w:snapToGrid w:val="0"/>
        <w:spacing w:line="600" w:lineRule="exact"/>
        <w:ind w:firstLine="3509" w:firstLineChars="1595"/>
        <w:jc w:val="left"/>
        <w:rPr>
          <w:rFonts w:ascii="宋体" w:hAnsi="宋体" w:eastAsia="宋体" w:cs="宋体"/>
          <w:color w:val="auto"/>
          <w:sz w:val="22"/>
          <w:szCs w:val="24"/>
        </w:rPr>
      </w:pPr>
    </w:p>
    <w:p w14:paraId="4606AC69">
      <w:pPr>
        <w:adjustRightInd w:val="0"/>
        <w:snapToGrid w:val="0"/>
        <w:spacing w:line="600" w:lineRule="exact"/>
        <w:ind w:firstLine="3509" w:firstLineChars="1595"/>
        <w:jc w:val="left"/>
        <w:rPr>
          <w:rFonts w:ascii="宋体" w:hAnsi="宋体" w:eastAsia="宋体" w:cs="宋体"/>
          <w:color w:val="auto"/>
          <w:sz w:val="22"/>
          <w:szCs w:val="24"/>
        </w:rPr>
      </w:pPr>
    </w:p>
    <w:p w14:paraId="14A40A83">
      <w:pPr>
        <w:adjustRightInd w:val="0"/>
        <w:snapToGrid w:val="0"/>
        <w:spacing w:line="600" w:lineRule="exact"/>
        <w:ind w:firstLine="3509" w:firstLineChars="1595"/>
        <w:jc w:val="left"/>
        <w:rPr>
          <w:rFonts w:ascii="宋体" w:hAnsi="宋体" w:eastAsia="宋体" w:cs="宋体"/>
          <w:color w:val="auto"/>
          <w:sz w:val="22"/>
          <w:szCs w:val="24"/>
        </w:rPr>
      </w:pPr>
      <w:r>
        <w:rPr>
          <w:rFonts w:hint="eastAsia" w:ascii="宋体" w:hAnsi="宋体" w:eastAsia="宋体" w:cs="宋体"/>
          <w:color w:val="auto"/>
          <w:sz w:val="22"/>
          <w:szCs w:val="24"/>
        </w:rPr>
        <w:t>供应商：（盖单位公章）</w:t>
      </w:r>
    </w:p>
    <w:p w14:paraId="60E9A8B9">
      <w:pPr>
        <w:adjustRightInd w:val="0"/>
        <w:snapToGrid w:val="0"/>
        <w:spacing w:line="600" w:lineRule="exact"/>
        <w:ind w:firstLine="3509" w:firstLineChars="1595"/>
        <w:jc w:val="left"/>
        <w:rPr>
          <w:rFonts w:ascii="宋体" w:hAnsi="宋体" w:eastAsia="宋体" w:cs="宋体"/>
          <w:color w:val="auto"/>
          <w:sz w:val="22"/>
          <w:szCs w:val="24"/>
        </w:rPr>
      </w:pPr>
      <w:r>
        <w:rPr>
          <w:rFonts w:hint="eastAsia" w:ascii="宋体" w:hAnsi="宋体" w:eastAsia="宋体" w:cs="宋体"/>
          <w:color w:val="auto"/>
          <w:sz w:val="22"/>
          <w:szCs w:val="24"/>
        </w:rPr>
        <w:t>法定代表人：（签字或盖章）</w:t>
      </w:r>
    </w:p>
    <w:p w14:paraId="796B0C0F">
      <w:pPr>
        <w:adjustRightInd w:val="0"/>
        <w:snapToGrid w:val="0"/>
        <w:spacing w:line="600" w:lineRule="exact"/>
        <w:ind w:right="480" w:firstLine="3509" w:firstLineChars="1595"/>
        <w:jc w:val="left"/>
        <w:rPr>
          <w:rFonts w:ascii="宋体" w:hAnsi="宋体" w:eastAsia="宋体" w:cs="宋体"/>
          <w:color w:val="auto"/>
          <w:sz w:val="22"/>
          <w:szCs w:val="24"/>
        </w:rPr>
      </w:pPr>
      <w:r>
        <w:rPr>
          <w:rFonts w:hint="eastAsia" w:ascii="宋体" w:hAnsi="宋体" w:eastAsia="宋体" w:cs="宋体"/>
          <w:color w:val="auto"/>
          <w:sz w:val="22"/>
          <w:szCs w:val="24"/>
        </w:rPr>
        <w:t>授权委托人：（签字或盖章）</w:t>
      </w:r>
    </w:p>
    <w:p w14:paraId="514F1E20">
      <w:pPr>
        <w:adjustRightInd w:val="0"/>
        <w:snapToGrid w:val="0"/>
        <w:spacing w:line="600" w:lineRule="exact"/>
        <w:ind w:right="480" w:firstLine="3509" w:firstLineChars="1595"/>
        <w:jc w:val="left"/>
        <w:rPr>
          <w:rFonts w:ascii="宋体" w:hAnsi="宋体" w:eastAsia="宋体" w:cs="宋体"/>
          <w:color w:val="auto"/>
          <w:sz w:val="22"/>
          <w:szCs w:val="24"/>
        </w:rPr>
      </w:pPr>
      <w:r>
        <w:rPr>
          <w:rFonts w:hint="eastAsia" w:ascii="宋体" w:hAnsi="宋体" w:eastAsia="宋体" w:cs="宋体"/>
          <w:color w:val="auto"/>
          <w:sz w:val="22"/>
          <w:szCs w:val="24"/>
        </w:rPr>
        <w:t>日期：年月日</w:t>
      </w:r>
    </w:p>
    <w:p w14:paraId="2815B341">
      <w:pPr>
        <w:adjustRightInd w:val="0"/>
        <w:snapToGrid w:val="0"/>
        <w:spacing w:line="600" w:lineRule="exact"/>
        <w:ind w:firstLine="400" w:firstLineChars="200"/>
        <w:jc w:val="left"/>
        <w:rPr>
          <w:rFonts w:ascii="宋体" w:hAnsi="宋体" w:eastAsia="宋体" w:cs="宋体"/>
          <w:color w:val="auto"/>
          <w:sz w:val="20"/>
          <w:szCs w:val="21"/>
        </w:rPr>
      </w:pPr>
    </w:p>
    <w:p w14:paraId="3DE5934E">
      <w:pPr>
        <w:adjustRightInd w:val="0"/>
        <w:snapToGrid w:val="0"/>
        <w:spacing w:line="500" w:lineRule="exact"/>
        <w:jc w:val="left"/>
        <w:rPr>
          <w:rFonts w:ascii="宋体" w:hAnsi="宋体" w:eastAsia="宋体" w:cs="宋体"/>
          <w:b/>
          <w:color w:val="auto"/>
          <w:sz w:val="24"/>
          <w:szCs w:val="28"/>
        </w:rPr>
      </w:pPr>
    </w:p>
    <w:p w14:paraId="7FFA0221">
      <w:pPr>
        <w:adjustRightInd w:val="0"/>
        <w:snapToGrid w:val="0"/>
        <w:spacing w:line="500" w:lineRule="exact"/>
        <w:jc w:val="left"/>
        <w:rPr>
          <w:rFonts w:ascii="宋体" w:hAnsi="宋体" w:eastAsia="宋体" w:cs="宋体"/>
          <w:b/>
          <w:color w:val="auto"/>
          <w:sz w:val="24"/>
          <w:szCs w:val="28"/>
        </w:rPr>
      </w:pPr>
      <w:r>
        <w:rPr>
          <w:rFonts w:hint="eastAsia" w:ascii="宋体" w:hAnsi="宋体" w:eastAsia="宋体" w:cs="宋体"/>
          <w:b/>
          <w:color w:val="auto"/>
          <w:sz w:val="24"/>
          <w:szCs w:val="28"/>
        </w:rPr>
        <w:t>（后附授权代理人身份证正反面复印件）</w:t>
      </w:r>
    </w:p>
    <w:p w14:paraId="00956842">
      <w:pPr>
        <w:keepNext/>
        <w:keepLines/>
        <w:spacing w:before="100" w:line="360" w:lineRule="auto"/>
        <w:jc w:val="left"/>
        <w:outlineLvl w:val="1"/>
        <w:rPr>
          <w:rFonts w:ascii="宋体" w:hAnsi="宋体" w:eastAsia="宋体" w:cs="宋体"/>
          <w:b/>
          <w:color w:val="auto"/>
          <w:kern w:val="0"/>
          <w:sz w:val="24"/>
          <w:szCs w:val="20"/>
        </w:rPr>
      </w:pPr>
    </w:p>
    <w:p w14:paraId="49BC277F">
      <w:pPr>
        <w:spacing w:before="240" w:beforeLines="100" w:after="120" w:afterLines="50"/>
        <w:jc w:val="left"/>
        <w:rPr>
          <w:rFonts w:ascii="宋体" w:hAnsi="宋体" w:eastAsia="宋体" w:cs="宋体"/>
          <w:color w:val="auto"/>
          <w:sz w:val="20"/>
          <w:szCs w:val="21"/>
        </w:rPr>
      </w:pPr>
    </w:p>
    <w:p w14:paraId="4B8D76F2">
      <w:pPr>
        <w:spacing w:before="240" w:beforeLines="100" w:after="120" w:afterLines="50"/>
        <w:jc w:val="left"/>
        <w:rPr>
          <w:rFonts w:ascii="宋体" w:hAnsi="宋体" w:eastAsia="宋体" w:cs="宋体"/>
          <w:color w:val="auto"/>
          <w:sz w:val="20"/>
          <w:szCs w:val="21"/>
        </w:rPr>
      </w:pPr>
    </w:p>
    <w:p w14:paraId="672A22BC">
      <w:pPr>
        <w:spacing w:before="240" w:beforeLines="100" w:after="120" w:afterLines="50"/>
        <w:jc w:val="left"/>
        <w:rPr>
          <w:rFonts w:ascii="宋体" w:hAnsi="宋体" w:eastAsia="宋体" w:cs="宋体"/>
          <w:color w:val="auto"/>
          <w:sz w:val="20"/>
          <w:szCs w:val="21"/>
        </w:rPr>
      </w:pPr>
    </w:p>
    <w:p w14:paraId="77D03749">
      <w:pPr>
        <w:spacing w:before="240" w:beforeLines="100" w:after="120" w:afterLines="50"/>
        <w:jc w:val="left"/>
        <w:rPr>
          <w:rFonts w:ascii="宋体" w:hAnsi="宋体" w:eastAsia="宋体" w:cs="宋体"/>
          <w:color w:val="auto"/>
          <w:sz w:val="20"/>
          <w:szCs w:val="21"/>
        </w:rPr>
      </w:pPr>
    </w:p>
    <w:p w14:paraId="7F0CA079">
      <w:pPr>
        <w:jc w:val="left"/>
        <w:rPr>
          <w:rFonts w:ascii="宋体" w:hAnsi="宋体" w:eastAsia="宋体" w:cs="宋体"/>
          <w:color w:val="auto"/>
          <w:sz w:val="20"/>
          <w:szCs w:val="21"/>
        </w:rPr>
      </w:pPr>
    </w:p>
    <w:p w14:paraId="6CBE0D54">
      <w:pPr>
        <w:spacing w:before="240" w:beforeLines="100" w:line="460" w:lineRule="exact"/>
        <w:jc w:val="left"/>
        <w:rPr>
          <w:rFonts w:ascii="宋体" w:hAnsi="宋体" w:eastAsia="宋体" w:cs="宋体"/>
          <w:b/>
          <w:color w:val="auto"/>
          <w:sz w:val="24"/>
          <w:szCs w:val="28"/>
        </w:rPr>
      </w:pPr>
      <w:r>
        <w:rPr>
          <w:rFonts w:ascii="宋体" w:hAnsi="宋体" w:eastAsia="宋体" w:cs="宋体"/>
          <w:b/>
          <w:color w:val="auto"/>
          <w:sz w:val="24"/>
          <w:szCs w:val="28"/>
        </w:rPr>
        <w:br w:type="page"/>
      </w:r>
    </w:p>
    <w:p w14:paraId="6F46EFEB">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5、</w:t>
      </w:r>
      <w:r>
        <w:rPr>
          <w:rFonts w:hint="eastAsia" w:ascii="宋体" w:hAnsi="宋体" w:cs="宋体"/>
          <w:b/>
          <w:color w:val="auto"/>
          <w:sz w:val="24"/>
          <w:szCs w:val="28"/>
        </w:rPr>
        <w:t>磋商承诺函</w:t>
      </w:r>
    </w:p>
    <w:p w14:paraId="7645A7D4">
      <w:pPr>
        <w:spacing w:before="240" w:beforeLines="100" w:line="460" w:lineRule="exact"/>
        <w:jc w:val="center"/>
        <w:rPr>
          <w:rFonts w:ascii="宋体" w:hAnsi="宋体" w:eastAsia="宋体" w:cs="宋体"/>
          <w:color w:val="auto"/>
          <w:sz w:val="24"/>
          <w:szCs w:val="28"/>
        </w:rPr>
      </w:pPr>
    </w:p>
    <w:p w14:paraId="717D22D7">
      <w:pPr>
        <w:spacing w:line="360" w:lineRule="auto"/>
        <w:jc w:val="left"/>
        <w:rPr>
          <w:rFonts w:ascii="宋体" w:hAnsi="宋体" w:eastAsia="宋体" w:cs="Times New Roman"/>
          <w:b/>
          <w:color w:val="auto"/>
          <w:sz w:val="24"/>
          <w:szCs w:val="28"/>
        </w:rPr>
      </w:pPr>
      <w:r>
        <w:rPr>
          <w:rFonts w:hint="eastAsia" w:ascii="宋体" w:hAnsi="宋体" w:eastAsia="宋体" w:cs="Times New Roman"/>
          <w:color w:val="auto"/>
          <w:sz w:val="22"/>
        </w:rPr>
        <w:t>致：</w:t>
      </w:r>
      <w:r>
        <w:rPr>
          <w:rFonts w:hint="eastAsia" w:ascii="宋体" w:hAnsi="宋体" w:eastAsia="宋体" w:cs="Times New Roman"/>
          <w:color w:val="auto"/>
          <w:sz w:val="22"/>
          <w:u w:val="single"/>
        </w:rPr>
        <w:t>（采购人名称/代理机构名称）</w:t>
      </w:r>
    </w:p>
    <w:p w14:paraId="3052288B">
      <w:pPr>
        <w:spacing w:line="360" w:lineRule="auto"/>
        <w:ind w:firstLine="440" w:firstLineChars="200"/>
        <w:jc w:val="left"/>
        <w:rPr>
          <w:rFonts w:ascii="宋体" w:hAnsi="宋体" w:eastAsia="宋体" w:cs="Times New Roman"/>
          <w:color w:val="auto"/>
          <w:sz w:val="22"/>
        </w:rPr>
      </w:pPr>
      <w:r>
        <w:rPr>
          <w:rFonts w:hint="eastAsia" w:ascii="宋体" w:hAnsi="宋体" w:eastAsia="宋体" w:cs="Times New Roman"/>
          <w:color w:val="auto"/>
          <w:sz w:val="22"/>
        </w:rPr>
        <w:t>我公司作为本次采购项目的供应商，根据磋商文件要求，现郑重承诺如下：</w:t>
      </w:r>
    </w:p>
    <w:p w14:paraId="66A69E5B">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1、我方完全接受和满足本项目</w:t>
      </w:r>
      <w:r>
        <w:rPr>
          <w:rFonts w:hint="eastAsia" w:ascii="宋体" w:hAnsi="宋体" w:eastAsia="宋体" w:cs="Times New Roman"/>
          <w:color w:val="auto"/>
          <w:sz w:val="22"/>
        </w:rPr>
        <w:t>磋商</w:t>
      </w:r>
      <w:r>
        <w:rPr>
          <w:rFonts w:hint="eastAsia" w:ascii="宋体" w:hAnsi="宋体" w:eastAsia="宋体" w:cs="Times New Roman"/>
          <w:color w:val="auto"/>
          <w:sz w:val="22"/>
          <w:szCs w:val="24"/>
        </w:rPr>
        <w:t>文件中规定的实质性要求，不存在对</w:t>
      </w:r>
      <w:r>
        <w:rPr>
          <w:rFonts w:hint="eastAsia" w:ascii="宋体" w:hAnsi="宋体" w:eastAsia="宋体" w:cs="Times New Roman"/>
          <w:color w:val="auto"/>
          <w:sz w:val="22"/>
        </w:rPr>
        <w:t>磋商</w:t>
      </w:r>
      <w:r>
        <w:rPr>
          <w:rFonts w:hint="eastAsia" w:ascii="宋体" w:hAnsi="宋体" w:eastAsia="宋体" w:cs="Times New Roman"/>
          <w:color w:val="auto"/>
          <w:sz w:val="22"/>
          <w:szCs w:val="24"/>
        </w:rPr>
        <w:t>文件有异议的同时参加本次采购活动。</w:t>
      </w:r>
    </w:p>
    <w:p w14:paraId="1E15B6F2">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2、参加本次采购活动，不存在与单位负责人为同一人或者存在直接控股、管理关系的其他供应商参与同一合同项下的政府采购活动的行为。</w:t>
      </w:r>
    </w:p>
    <w:p w14:paraId="399B4F89">
      <w:pPr>
        <w:spacing w:line="360" w:lineRule="auto"/>
        <w:ind w:firstLine="480"/>
        <w:jc w:val="left"/>
        <w:rPr>
          <w:rFonts w:ascii="宋体" w:hAnsi="宋体" w:eastAsia="宋体" w:cs="宋体"/>
          <w:color w:val="auto"/>
          <w:sz w:val="22"/>
          <w:szCs w:val="24"/>
        </w:rPr>
      </w:pPr>
      <w:r>
        <w:rPr>
          <w:rFonts w:hint="eastAsia" w:ascii="宋体" w:hAnsi="宋体" w:eastAsia="宋体" w:cs="Times New Roman"/>
          <w:color w:val="auto"/>
          <w:sz w:val="22"/>
          <w:szCs w:val="24"/>
        </w:rPr>
        <w:t>3、我方参加政府采购活动无商业贿赂和不正当竞争行为。</w:t>
      </w:r>
    </w:p>
    <w:p w14:paraId="2BD23685">
      <w:pPr>
        <w:spacing w:line="360" w:lineRule="auto"/>
        <w:ind w:firstLine="440" w:firstLineChars="200"/>
        <w:jc w:val="left"/>
        <w:rPr>
          <w:rFonts w:ascii="宋体" w:hAnsi="宋体" w:eastAsia="宋体" w:cs="Times New Roman"/>
          <w:color w:val="auto"/>
          <w:sz w:val="22"/>
          <w:szCs w:val="24"/>
        </w:rPr>
      </w:pPr>
      <w:r>
        <w:rPr>
          <w:rFonts w:hint="eastAsia" w:ascii="宋体" w:hAnsi="宋体" w:eastAsia="宋体" w:cs="Times New Roman"/>
          <w:color w:val="auto"/>
          <w:sz w:val="22"/>
          <w:szCs w:val="24"/>
        </w:rPr>
        <w:t>4、存在以下行为之一的愿意接受相关部门的处理：</w:t>
      </w:r>
    </w:p>
    <w:p w14:paraId="48E7B8EE">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（1）磋商有效期内撤回磋商响应文件的；</w:t>
      </w:r>
    </w:p>
    <w:p w14:paraId="6CD053A6">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（2）在采购人确定成交人以前放弃成交候选资格的；</w:t>
      </w:r>
    </w:p>
    <w:p w14:paraId="4EEFCA99">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（3）除不可抗力的因素外，由于成交人的原因未能按照竞争性磋商文件的规定与采购人签订合同；</w:t>
      </w:r>
    </w:p>
    <w:p w14:paraId="685434C5">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（4）在竞争性磋商文件中提供虚假材料谋取成交；</w:t>
      </w:r>
    </w:p>
    <w:p w14:paraId="61952164">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（5）与采购人、其他供应商或者采购代理机构恶意串通的；</w:t>
      </w:r>
    </w:p>
    <w:p w14:paraId="5662FD30">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（6）磋商有效期内，供应商在政府采购活动中有违法、违规、违纪行为。</w:t>
      </w:r>
    </w:p>
    <w:p w14:paraId="2AAE4E50">
      <w:pPr>
        <w:spacing w:line="360" w:lineRule="auto"/>
        <w:ind w:firstLine="480"/>
        <w:jc w:val="left"/>
        <w:rPr>
          <w:rFonts w:ascii="宋体" w:hAnsi="宋体" w:eastAsia="宋体" w:cs="Times New Roman"/>
          <w:color w:val="auto"/>
          <w:sz w:val="22"/>
          <w:szCs w:val="24"/>
        </w:rPr>
      </w:pPr>
      <w:r>
        <w:rPr>
          <w:rFonts w:hint="eastAsia" w:ascii="宋体" w:hAnsi="宋体" w:eastAsia="宋体" w:cs="Times New Roman"/>
          <w:color w:val="auto"/>
          <w:sz w:val="22"/>
          <w:szCs w:val="24"/>
        </w:rPr>
        <w:t>由此产生的一切法律后果和责任由我公司承担。我公司声明放弃对此提出任何异议和追索的权利。</w:t>
      </w:r>
    </w:p>
    <w:p w14:paraId="04E28726">
      <w:pPr>
        <w:spacing w:line="360" w:lineRule="auto"/>
        <w:ind w:firstLine="440" w:firstLineChars="200"/>
        <w:jc w:val="left"/>
        <w:rPr>
          <w:rFonts w:ascii="宋体" w:hAnsi="宋体" w:eastAsia="宋体" w:cs="Times New Roman"/>
          <w:b/>
          <w:bCs/>
          <w:color w:val="auto"/>
          <w:sz w:val="24"/>
          <w:szCs w:val="28"/>
        </w:rPr>
      </w:pPr>
      <w:r>
        <w:rPr>
          <w:rFonts w:hint="eastAsia" w:ascii="宋体" w:hAnsi="宋体" w:eastAsia="宋体" w:cs="Times New Roman"/>
          <w:color w:val="auto"/>
          <w:sz w:val="22"/>
          <w:szCs w:val="24"/>
        </w:rPr>
        <w:t>本公司对上述承诺的内容事项真实性负责。如经查实上述承诺的内容事项存在虚假，我公司愿意接受以提供虚假材料谋取成交追究法律责任。</w:t>
      </w:r>
    </w:p>
    <w:p w14:paraId="37E67F6B">
      <w:pPr>
        <w:widowControl/>
        <w:adjustRightInd w:val="0"/>
        <w:spacing w:line="360" w:lineRule="auto"/>
        <w:ind w:firstLine="3377" w:firstLineChars="1535"/>
        <w:jc w:val="left"/>
        <w:rPr>
          <w:rFonts w:ascii="宋体" w:hAnsi="宋体" w:eastAsia="宋体" w:cs="宋体"/>
          <w:color w:val="auto"/>
          <w:kern w:val="0"/>
          <w:sz w:val="22"/>
          <w:szCs w:val="24"/>
        </w:rPr>
      </w:pPr>
    </w:p>
    <w:p w14:paraId="7B92E395">
      <w:pPr>
        <w:widowControl/>
        <w:adjustRightInd w:val="0"/>
        <w:spacing w:line="480" w:lineRule="auto"/>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供应商：（盖单位公章）</w:t>
      </w:r>
    </w:p>
    <w:p w14:paraId="0CB41AF6">
      <w:pPr>
        <w:widowControl/>
        <w:adjustRightInd w:val="0"/>
        <w:spacing w:line="480" w:lineRule="auto"/>
        <w:ind w:firstLine="3377" w:firstLineChars="1535"/>
        <w:jc w:val="left"/>
        <w:rPr>
          <w:rFonts w:ascii="宋体" w:hAnsi="宋体" w:eastAsia="宋体" w:cs="宋体"/>
          <w:color w:val="auto"/>
          <w:kern w:val="0"/>
          <w:sz w:val="22"/>
          <w:szCs w:val="24"/>
          <w:u w:val="single"/>
        </w:rPr>
      </w:pPr>
      <w:r>
        <w:rPr>
          <w:rFonts w:hint="eastAsia" w:ascii="宋体" w:hAnsi="宋体" w:eastAsia="宋体" w:cs="宋体"/>
          <w:color w:val="auto"/>
          <w:sz w:val="22"/>
          <w:szCs w:val="24"/>
        </w:rPr>
        <w:t>法定代表人或授权委托人：（签字或盖章）</w:t>
      </w:r>
    </w:p>
    <w:p w14:paraId="41FA0546">
      <w:pPr>
        <w:widowControl/>
        <w:adjustRightInd w:val="0"/>
        <w:spacing w:line="480" w:lineRule="auto"/>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日期：年 月 日</w:t>
      </w:r>
      <w:r>
        <w:rPr>
          <w:rFonts w:ascii="宋体" w:hAnsi="宋体" w:eastAsia="宋体" w:cs="宋体"/>
          <w:b/>
          <w:color w:val="auto"/>
          <w:sz w:val="24"/>
          <w:szCs w:val="28"/>
        </w:rPr>
        <w:br w:type="page"/>
      </w:r>
    </w:p>
    <w:p w14:paraId="388CDBDA">
      <w:pPr>
        <w:pStyle w:val="25"/>
        <w:numPr>
          <w:ilvl w:val="0"/>
          <w:numId w:val="16"/>
        </w:numPr>
        <w:spacing w:line="460" w:lineRule="exact"/>
        <w:ind w:left="720" w:hanging="720" w:firstLineChars="0"/>
        <w:jc w:val="center"/>
        <w:rPr>
          <w:rFonts w:hint="eastAsia" w:ascii="宋体" w:hAnsi="宋体" w:cs="宋体"/>
          <w:b/>
          <w:color w:val="auto"/>
          <w:sz w:val="24"/>
          <w:szCs w:val="28"/>
        </w:rPr>
      </w:pPr>
      <w:r>
        <w:rPr>
          <w:rFonts w:hint="eastAsia" w:ascii="宋体" w:hAnsi="宋体" w:cs="宋体"/>
          <w:b/>
          <w:color w:val="auto"/>
          <w:sz w:val="24"/>
          <w:szCs w:val="28"/>
        </w:rPr>
        <w:t>资格审查资料</w:t>
      </w:r>
    </w:p>
    <w:p w14:paraId="3ED86F8F">
      <w:pPr>
        <w:pStyle w:val="25"/>
        <w:numPr>
          <w:ilvl w:val="0"/>
          <w:numId w:val="0"/>
        </w:numPr>
        <w:spacing w:line="460" w:lineRule="exact"/>
        <w:ind w:leftChars="0"/>
        <w:jc w:val="both"/>
        <w:rPr>
          <w:rFonts w:hint="eastAsia" w:ascii="宋体" w:hAnsi="宋体" w:cs="宋体"/>
          <w:b/>
          <w:color w:val="auto"/>
          <w:sz w:val="24"/>
          <w:szCs w:val="28"/>
        </w:rPr>
      </w:pPr>
    </w:p>
    <w:p w14:paraId="56E8C125">
      <w:pPr>
        <w:pStyle w:val="25"/>
        <w:numPr>
          <w:ilvl w:val="0"/>
          <w:numId w:val="0"/>
        </w:numPr>
        <w:spacing w:line="460" w:lineRule="exact"/>
        <w:ind w:leftChars="0"/>
        <w:jc w:val="center"/>
        <w:rPr>
          <w:rFonts w:hint="eastAsia" w:ascii="宋体" w:hAnsi="宋体" w:cs="宋体"/>
          <w:b/>
          <w:color w:val="auto"/>
          <w:sz w:val="22"/>
          <w:szCs w:val="24"/>
        </w:rPr>
      </w:pPr>
      <w:r>
        <w:rPr>
          <w:rFonts w:hint="eastAsia" w:ascii="宋体" w:hAnsi="宋体" w:cs="宋体"/>
          <w:b/>
          <w:color w:val="auto"/>
          <w:sz w:val="22"/>
          <w:szCs w:val="24"/>
          <w:lang w:val="zh-CN" w:eastAsia="zh-CN"/>
        </w:rPr>
        <w:t>供应商基本情况表</w:t>
      </w:r>
    </w:p>
    <w:tbl>
      <w:tblPr>
        <w:tblStyle w:val="12"/>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7D138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DD1C501">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lang w:eastAsia="zh-CN"/>
              </w:rPr>
              <w:t>供应商</w:t>
            </w:r>
            <w:r>
              <w:rPr>
                <w:rFonts w:hint="eastAsia" w:ascii="宋体" w:hAnsi="宋体" w:eastAsia="宋体" w:cs="宋体"/>
                <w:color w:val="auto"/>
                <w:sz w:val="22"/>
              </w:rPr>
              <w:t>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43846FD">
            <w:pPr>
              <w:topLinePunct/>
              <w:spacing w:line="440" w:lineRule="exact"/>
              <w:jc w:val="center"/>
              <w:rPr>
                <w:rFonts w:ascii="宋体" w:hAnsi="宋体" w:eastAsia="宋体" w:cs="宋体"/>
                <w:color w:val="auto"/>
                <w:sz w:val="22"/>
              </w:rPr>
            </w:pPr>
          </w:p>
        </w:tc>
      </w:tr>
      <w:tr w14:paraId="2FF28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7BB3A0C">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D001F7F">
            <w:pPr>
              <w:topLinePunct/>
              <w:spacing w:line="440" w:lineRule="exact"/>
              <w:jc w:val="center"/>
              <w:rPr>
                <w:rFonts w:ascii="宋体" w:hAnsi="宋体" w:eastAsia="宋体" w:cs="宋体"/>
                <w:color w:val="auto"/>
                <w:sz w:val="22"/>
              </w:rPr>
            </w:pPr>
          </w:p>
        </w:tc>
        <w:tc>
          <w:tcPr>
            <w:tcW w:w="1078" w:type="dxa"/>
            <w:tcBorders>
              <w:top w:val="single" w:color="auto" w:sz="4" w:space="0"/>
              <w:left w:val="single" w:color="auto" w:sz="4" w:space="0"/>
              <w:bottom w:val="single" w:color="auto" w:sz="4" w:space="0"/>
              <w:right w:val="single" w:color="auto" w:sz="4" w:space="0"/>
            </w:tcBorders>
            <w:vAlign w:val="center"/>
          </w:tcPr>
          <w:p w14:paraId="474A12EE">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B2D46D8">
            <w:pPr>
              <w:topLinePunct/>
              <w:spacing w:line="440" w:lineRule="exact"/>
              <w:jc w:val="center"/>
              <w:rPr>
                <w:rFonts w:ascii="宋体" w:hAnsi="宋体" w:eastAsia="宋体" w:cs="宋体"/>
                <w:color w:val="auto"/>
                <w:sz w:val="22"/>
              </w:rPr>
            </w:pPr>
          </w:p>
        </w:tc>
      </w:tr>
      <w:tr w14:paraId="68A67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1690BCAB">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77CCD15B">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CD4B1C4">
            <w:pPr>
              <w:topLinePunct/>
              <w:spacing w:line="440" w:lineRule="exact"/>
              <w:jc w:val="center"/>
              <w:rPr>
                <w:rFonts w:ascii="宋体" w:hAnsi="宋体" w:eastAsia="宋体" w:cs="宋体"/>
                <w:color w:val="auto"/>
                <w:sz w:val="22"/>
              </w:rPr>
            </w:pPr>
          </w:p>
        </w:tc>
        <w:tc>
          <w:tcPr>
            <w:tcW w:w="1078" w:type="dxa"/>
            <w:tcBorders>
              <w:top w:val="single" w:color="auto" w:sz="4" w:space="0"/>
              <w:left w:val="single" w:color="auto" w:sz="4" w:space="0"/>
              <w:bottom w:val="single" w:color="auto" w:sz="4" w:space="0"/>
              <w:right w:val="single" w:color="auto" w:sz="4" w:space="0"/>
            </w:tcBorders>
            <w:vAlign w:val="center"/>
          </w:tcPr>
          <w:p w14:paraId="729C6355">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3B6087D">
            <w:pPr>
              <w:topLinePunct/>
              <w:spacing w:line="440" w:lineRule="exact"/>
              <w:jc w:val="center"/>
              <w:rPr>
                <w:rFonts w:ascii="宋体" w:hAnsi="宋体" w:eastAsia="宋体" w:cs="宋体"/>
                <w:color w:val="auto"/>
                <w:sz w:val="22"/>
              </w:rPr>
            </w:pPr>
          </w:p>
        </w:tc>
      </w:tr>
      <w:tr w14:paraId="074FB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6419480B">
            <w:pPr>
              <w:topLinePunct/>
              <w:spacing w:line="440" w:lineRule="exact"/>
              <w:jc w:val="center"/>
              <w:rPr>
                <w:rFonts w:ascii="宋体" w:hAnsi="宋体" w:eastAsia="宋体" w:cs="宋体"/>
                <w:color w:val="auto"/>
                <w:sz w:val="22"/>
              </w:rPr>
            </w:pPr>
          </w:p>
        </w:tc>
        <w:tc>
          <w:tcPr>
            <w:tcW w:w="898" w:type="dxa"/>
            <w:tcBorders>
              <w:top w:val="single" w:color="auto" w:sz="4" w:space="0"/>
              <w:left w:val="single" w:color="auto" w:sz="4" w:space="0"/>
              <w:bottom w:val="single" w:color="auto" w:sz="4" w:space="0"/>
              <w:right w:val="single" w:color="auto" w:sz="4" w:space="0"/>
            </w:tcBorders>
            <w:vAlign w:val="center"/>
          </w:tcPr>
          <w:p w14:paraId="48AB1E81">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7B6DB1C2">
            <w:pPr>
              <w:topLinePunct/>
              <w:spacing w:line="440" w:lineRule="exact"/>
              <w:jc w:val="center"/>
              <w:rPr>
                <w:rFonts w:ascii="宋体" w:hAnsi="宋体" w:eastAsia="宋体" w:cs="宋体"/>
                <w:color w:val="auto"/>
                <w:sz w:val="22"/>
              </w:rPr>
            </w:pPr>
          </w:p>
        </w:tc>
        <w:tc>
          <w:tcPr>
            <w:tcW w:w="1078" w:type="dxa"/>
            <w:tcBorders>
              <w:top w:val="single" w:color="auto" w:sz="4" w:space="0"/>
              <w:left w:val="single" w:color="auto" w:sz="4" w:space="0"/>
              <w:bottom w:val="single" w:color="auto" w:sz="4" w:space="0"/>
              <w:right w:val="single" w:color="auto" w:sz="4" w:space="0"/>
            </w:tcBorders>
            <w:vAlign w:val="center"/>
          </w:tcPr>
          <w:p w14:paraId="1AE0275F">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73497F4">
            <w:pPr>
              <w:topLinePunct/>
              <w:spacing w:line="440" w:lineRule="exact"/>
              <w:jc w:val="center"/>
              <w:rPr>
                <w:rFonts w:ascii="宋体" w:hAnsi="宋体" w:eastAsia="宋体" w:cs="宋体"/>
                <w:color w:val="auto"/>
                <w:sz w:val="22"/>
              </w:rPr>
            </w:pPr>
          </w:p>
        </w:tc>
      </w:tr>
      <w:tr w14:paraId="05A54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F9C4192">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6D4EDB9B">
            <w:pPr>
              <w:topLinePunct/>
              <w:spacing w:line="440" w:lineRule="exact"/>
              <w:jc w:val="center"/>
              <w:rPr>
                <w:rFonts w:ascii="宋体" w:hAnsi="宋体" w:eastAsia="宋体" w:cs="宋体"/>
                <w:color w:val="auto"/>
                <w:sz w:val="22"/>
              </w:rPr>
            </w:pPr>
          </w:p>
        </w:tc>
      </w:tr>
      <w:tr w14:paraId="3C18A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18092C7">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5965C42">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413AE92A">
            <w:pPr>
              <w:topLinePunct/>
              <w:spacing w:line="440" w:lineRule="exact"/>
              <w:jc w:val="center"/>
              <w:rPr>
                <w:rFonts w:ascii="宋体" w:hAnsi="宋体" w:eastAsia="宋体" w:cs="宋体"/>
                <w:color w:val="auto"/>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77085DC">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57BA4D2">
            <w:pPr>
              <w:topLinePunct/>
              <w:spacing w:line="440" w:lineRule="exact"/>
              <w:jc w:val="center"/>
              <w:rPr>
                <w:rFonts w:ascii="宋体" w:hAnsi="宋体" w:eastAsia="宋体" w:cs="宋体"/>
                <w:color w:val="auto"/>
                <w:sz w:val="22"/>
              </w:rPr>
            </w:pPr>
          </w:p>
        </w:tc>
        <w:tc>
          <w:tcPr>
            <w:tcW w:w="860" w:type="dxa"/>
            <w:tcBorders>
              <w:top w:val="single" w:color="auto" w:sz="4" w:space="0"/>
              <w:left w:val="single" w:color="auto" w:sz="4" w:space="0"/>
              <w:bottom w:val="single" w:color="auto" w:sz="4" w:space="0"/>
              <w:right w:val="single" w:color="auto" w:sz="4" w:space="0"/>
            </w:tcBorders>
            <w:vAlign w:val="center"/>
          </w:tcPr>
          <w:p w14:paraId="0410C117">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565583A2">
            <w:pPr>
              <w:topLinePunct/>
              <w:spacing w:line="440" w:lineRule="exact"/>
              <w:jc w:val="center"/>
              <w:rPr>
                <w:rFonts w:ascii="宋体" w:hAnsi="宋体" w:eastAsia="宋体" w:cs="宋体"/>
                <w:color w:val="auto"/>
                <w:sz w:val="22"/>
              </w:rPr>
            </w:pPr>
          </w:p>
        </w:tc>
      </w:tr>
      <w:tr w14:paraId="7FC04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AA3C33A">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F37A16E">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08FE2D80">
            <w:pPr>
              <w:topLinePunct/>
              <w:spacing w:line="440" w:lineRule="exact"/>
              <w:jc w:val="center"/>
              <w:rPr>
                <w:rFonts w:ascii="宋体" w:hAnsi="宋体" w:eastAsia="宋体" w:cs="宋体"/>
                <w:color w:val="auto"/>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11CF65E">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037C9A28">
            <w:pPr>
              <w:topLinePunct/>
              <w:spacing w:line="440" w:lineRule="exact"/>
              <w:jc w:val="center"/>
              <w:rPr>
                <w:rFonts w:ascii="宋体" w:hAnsi="宋体" w:eastAsia="宋体" w:cs="宋体"/>
                <w:color w:val="auto"/>
                <w:sz w:val="22"/>
              </w:rPr>
            </w:pPr>
          </w:p>
        </w:tc>
        <w:tc>
          <w:tcPr>
            <w:tcW w:w="860" w:type="dxa"/>
            <w:tcBorders>
              <w:top w:val="single" w:color="auto" w:sz="4" w:space="0"/>
              <w:left w:val="single" w:color="auto" w:sz="4" w:space="0"/>
              <w:bottom w:val="single" w:color="auto" w:sz="4" w:space="0"/>
              <w:right w:val="single" w:color="auto" w:sz="4" w:space="0"/>
            </w:tcBorders>
            <w:vAlign w:val="center"/>
          </w:tcPr>
          <w:p w14:paraId="74C981CD">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35EB43E5">
            <w:pPr>
              <w:topLinePunct/>
              <w:spacing w:line="440" w:lineRule="exact"/>
              <w:jc w:val="center"/>
              <w:rPr>
                <w:rFonts w:ascii="宋体" w:hAnsi="宋体" w:eastAsia="宋体" w:cs="宋体"/>
                <w:color w:val="auto"/>
                <w:sz w:val="22"/>
              </w:rPr>
            </w:pPr>
          </w:p>
        </w:tc>
      </w:tr>
      <w:tr w14:paraId="5C2F4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84272FC">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FAAF1AD">
            <w:pPr>
              <w:topLinePunct/>
              <w:spacing w:line="440" w:lineRule="exact"/>
              <w:jc w:val="center"/>
              <w:rPr>
                <w:rFonts w:ascii="宋体" w:hAnsi="宋体" w:eastAsia="宋体" w:cs="宋体"/>
                <w:color w:val="auto"/>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45E1B3C7">
            <w:pPr>
              <w:topLinePunct/>
              <w:spacing w:line="440" w:lineRule="exact"/>
              <w:ind w:firstLine="110" w:firstLineChars="50"/>
              <w:jc w:val="center"/>
              <w:rPr>
                <w:rFonts w:ascii="宋体" w:hAnsi="宋体" w:eastAsia="宋体" w:cs="宋体"/>
                <w:color w:val="auto"/>
                <w:sz w:val="22"/>
              </w:rPr>
            </w:pPr>
            <w:r>
              <w:rPr>
                <w:rFonts w:hint="eastAsia" w:ascii="宋体" w:hAnsi="宋体" w:eastAsia="宋体" w:cs="宋体"/>
                <w:color w:val="auto"/>
                <w:sz w:val="22"/>
              </w:rPr>
              <w:t>员工总人数：</w:t>
            </w:r>
          </w:p>
        </w:tc>
      </w:tr>
      <w:tr w14:paraId="57F3F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543143B">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74A4233">
            <w:pPr>
              <w:topLinePunct/>
              <w:spacing w:line="440" w:lineRule="exact"/>
              <w:jc w:val="center"/>
              <w:rPr>
                <w:rFonts w:ascii="宋体" w:hAnsi="宋体" w:eastAsia="宋体" w:cs="宋体"/>
                <w:color w:val="auto"/>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4828DB23">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7EE120A">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C87FF33">
            <w:pPr>
              <w:topLinePunct/>
              <w:spacing w:line="440" w:lineRule="exact"/>
              <w:jc w:val="center"/>
              <w:rPr>
                <w:rFonts w:ascii="宋体" w:hAnsi="宋体" w:eastAsia="宋体" w:cs="宋体"/>
                <w:color w:val="auto"/>
                <w:sz w:val="22"/>
              </w:rPr>
            </w:pPr>
          </w:p>
        </w:tc>
      </w:tr>
      <w:tr w14:paraId="061B8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FB5C169">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1D56D6D">
            <w:pPr>
              <w:topLinePunct/>
              <w:spacing w:line="440" w:lineRule="exact"/>
              <w:jc w:val="center"/>
              <w:rPr>
                <w:rFonts w:ascii="宋体" w:hAnsi="宋体" w:eastAsia="宋体" w:cs="宋体"/>
                <w:color w:val="auto"/>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45C8164">
            <w:pPr>
              <w:topLinePunct/>
              <w:spacing w:line="440" w:lineRule="exact"/>
              <w:jc w:val="center"/>
              <w:rPr>
                <w:rFonts w:ascii="宋体" w:hAnsi="宋体" w:eastAsia="宋体" w:cs="宋体"/>
                <w:color w:val="auto"/>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6571CAC">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30EA5EE">
            <w:pPr>
              <w:topLinePunct/>
              <w:spacing w:line="440" w:lineRule="exact"/>
              <w:jc w:val="center"/>
              <w:rPr>
                <w:rFonts w:ascii="宋体" w:hAnsi="宋体" w:eastAsia="宋体" w:cs="宋体"/>
                <w:color w:val="auto"/>
                <w:sz w:val="22"/>
              </w:rPr>
            </w:pPr>
          </w:p>
        </w:tc>
      </w:tr>
      <w:tr w14:paraId="32F39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11C29B3">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5AAFC8A">
            <w:pPr>
              <w:topLinePunct/>
              <w:spacing w:line="440" w:lineRule="exact"/>
              <w:jc w:val="center"/>
              <w:rPr>
                <w:rFonts w:ascii="宋体" w:hAnsi="宋体" w:eastAsia="宋体" w:cs="宋体"/>
                <w:color w:val="auto"/>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1D60C7A">
            <w:pPr>
              <w:topLinePunct/>
              <w:spacing w:line="440" w:lineRule="exact"/>
              <w:jc w:val="center"/>
              <w:rPr>
                <w:rFonts w:ascii="宋体" w:hAnsi="宋体" w:eastAsia="宋体" w:cs="宋体"/>
                <w:color w:val="auto"/>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47DFE35">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CD40613">
            <w:pPr>
              <w:topLinePunct/>
              <w:spacing w:line="440" w:lineRule="exact"/>
              <w:jc w:val="center"/>
              <w:rPr>
                <w:rFonts w:ascii="宋体" w:hAnsi="宋体" w:eastAsia="宋体" w:cs="宋体"/>
                <w:color w:val="auto"/>
                <w:sz w:val="22"/>
              </w:rPr>
            </w:pPr>
          </w:p>
        </w:tc>
      </w:tr>
      <w:tr w14:paraId="13E73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90DEF8F">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028FD86">
            <w:pPr>
              <w:topLinePunct/>
              <w:spacing w:line="440" w:lineRule="exact"/>
              <w:jc w:val="center"/>
              <w:rPr>
                <w:rFonts w:ascii="宋体" w:hAnsi="宋体" w:eastAsia="宋体" w:cs="宋体"/>
                <w:color w:val="auto"/>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300661E">
            <w:pPr>
              <w:topLinePunct/>
              <w:spacing w:line="440" w:lineRule="exact"/>
              <w:jc w:val="center"/>
              <w:rPr>
                <w:rFonts w:ascii="宋体" w:hAnsi="宋体" w:eastAsia="宋体" w:cs="宋体"/>
                <w:color w:val="auto"/>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20A92ED">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73D255F">
            <w:pPr>
              <w:topLinePunct/>
              <w:spacing w:line="440" w:lineRule="exact"/>
              <w:jc w:val="center"/>
              <w:rPr>
                <w:rFonts w:ascii="宋体" w:hAnsi="宋体" w:eastAsia="宋体" w:cs="宋体"/>
                <w:color w:val="auto"/>
                <w:sz w:val="22"/>
              </w:rPr>
            </w:pPr>
          </w:p>
        </w:tc>
      </w:tr>
      <w:tr w14:paraId="1E618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vAlign w:val="center"/>
          </w:tcPr>
          <w:p w14:paraId="1A07A635">
            <w:pPr>
              <w:topLinePunct/>
              <w:spacing w:line="440" w:lineRule="exact"/>
              <w:ind w:firstLine="220" w:firstLineChars="100"/>
              <w:jc w:val="center"/>
              <w:rPr>
                <w:rFonts w:ascii="宋体" w:hAnsi="宋体" w:eastAsia="宋体" w:cs="宋体"/>
                <w:color w:val="auto"/>
                <w:sz w:val="22"/>
              </w:rPr>
            </w:pPr>
            <w:r>
              <w:rPr>
                <w:rFonts w:hint="eastAsia" w:ascii="宋体" w:hAnsi="宋体" w:eastAsia="宋体" w:cs="宋体"/>
                <w:color w:val="auto"/>
                <w:sz w:val="22"/>
              </w:rPr>
              <w:t>经营范围</w:t>
            </w:r>
          </w:p>
        </w:tc>
        <w:tc>
          <w:tcPr>
            <w:tcW w:w="6840" w:type="dxa"/>
            <w:gridSpan w:val="9"/>
            <w:tcBorders>
              <w:top w:val="single" w:color="auto" w:sz="4" w:space="0"/>
              <w:left w:val="single" w:color="auto" w:sz="4" w:space="0"/>
              <w:right w:val="single" w:color="auto" w:sz="4" w:space="0"/>
            </w:tcBorders>
            <w:vAlign w:val="center"/>
          </w:tcPr>
          <w:p w14:paraId="6BEBF4F9">
            <w:pPr>
              <w:topLinePunct/>
              <w:spacing w:line="440" w:lineRule="exact"/>
              <w:jc w:val="center"/>
              <w:rPr>
                <w:rFonts w:ascii="宋体" w:hAnsi="宋体" w:eastAsia="宋体" w:cs="宋体"/>
                <w:color w:val="auto"/>
                <w:sz w:val="22"/>
              </w:rPr>
            </w:pPr>
          </w:p>
          <w:p w14:paraId="1BA64217">
            <w:pPr>
              <w:topLinePunct/>
              <w:spacing w:line="440" w:lineRule="exact"/>
              <w:jc w:val="center"/>
              <w:rPr>
                <w:rFonts w:ascii="宋体" w:hAnsi="宋体" w:eastAsia="宋体" w:cs="宋体"/>
                <w:color w:val="auto"/>
                <w:sz w:val="22"/>
              </w:rPr>
            </w:pPr>
          </w:p>
          <w:p w14:paraId="08E64B58">
            <w:pPr>
              <w:topLinePunct/>
              <w:spacing w:line="440" w:lineRule="exact"/>
              <w:jc w:val="center"/>
              <w:rPr>
                <w:rFonts w:ascii="宋体" w:hAnsi="宋体" w:eastAsia="宋体" w:cs="宋体"/>
                <w:color w:val="auto"/>
                <w:sz w:val="22"/>
              </w:rPr>
            </w:pPr>
          </w:p>
          <w:p w14:paraId="5CB650BF">
            <w:pPr>
              <w:topLinePunct/>
              <w:spacing w:line="440" w:lineRule="exact"/>
              <w:jc w:val="center"/>
              <w:rPr>
                <w:rFonts w:ascii="宋体" w:hAnsi="宋体" w:eastAsia="宋体" w:cs="宋体"/>
                <w:color w:val="auto"/>
                <w:sz w:val="22"/>
              </w:rPr>
            </w:pPr>
          </w:p>
          <w:p w14:paraId="5A730AF6">
            <w:pPr>
              <w:topLinePunct/>
              <w:spacing w:line="440" w:lineRule="exact"/>
              <w:rPr>
                <w:rFonts w:ascii="宋体" w:hAnsi="宋体" w:eastAsia="宋体" w:cs="宋体"/>
                <w:color w:val="auto"/>
                <w:sz w:val="22"/>
              </w:rPr>
            </w:pPr>
          </w:p>
        </w:tc>
      </w:tr>
      <w:tr w14:paraId="2DB70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9B2BAA3">
            <w:pPr>
              <w:topLinePunct/>
              <w:spacing w:line="440" w:lineRule="exact"/>
              <w:jc w:val="center"/>
              <w:rPr>
                <w:rFonts w:ascii="宋体" w:hAnsi="宋体" w:eastAsia="宋体" w:cs="宋体"/>
                <w:color w:val="auto"/>
                <w:sz w:val="22"/>
              </w:rPr>
            </w:pPr>
            <w:r>
              <w:rPr>
                <w:rFonts w:hint="eastAsia" w:ascii="宋体" w:hAnsi="宋体" w:eastAsia="宋体" w:cs="宋体"/>
                <w:color w:val="auto"/>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6768EDBA">
            <w:pPr>
              <w:topLinePunct/>
              <w:spacing w:line="440" w:lineRule="exact"/>
              <w:rPr>
                <w:rFonts w:ascii="宋体" w:hAnsi="宋体" w:eastAsia="宋体" w:cs="宋体"/>
                <w:b/>
                <w:color w:val="auto"/>
                <w:sz w:val="22"/>
              </w:rPr>
            </w:pPr>
          </w:p>
        </w:tc>
      </w:tr>
    </w:tbl>
    <w:p w14:paraId="4AD3BAE4">
      <w:pPr>
        <w:spacing w:line="360" w:lineRule="auto"/>
        <w:ind w:left="-143" w:leftChars="-68" w:right="84" w:rightChars="40"/>
        <w:jc w:val="left"/>
        <w:rPr>
          <w:rFonts w:ascii="宋体" w:hAnsi="宋体" w:eastAsia="宋体" w:cs="宋体"/>
          <w:b/>
          <w:color w:val="auto"/>
          <w:sz w:val="20"/>
          <w:szCs w:val="21"/>
        </w:rPr>
      </w:pPr>
    </w:p>
    <w:p w14:paraId="44DB2473">
      <w:pPr>
        <w:rPr>
          <w:rFonts w:hint="eastAsia" w:ascii="宋体" w:hAnsi="宋体" w:eastAsia="宋体" w:cs="宋体"/>
          <w:color w:val="auto"/>
          <w:sz w:val="24"/>
          <w:szCs w:val="28"/>
          <w:lang w:val="en-US" w:eastAsia="zh-CN"/>
        </w:rPr>
      </w:pPr>
      <w:r>
        <w:rPr>
          <w:rFonts w:hint="eastAsia" w:ascii="宋体" w:hAnsi="宋体" w:eastAsia="宋体" w:cs="宋体"/>
          <w:b/>
          <w:bCs/>
          <w:color w:val="auto"/>
          <w:sz w:val="24"/>
          <w:szCs w:val="28"/>
          <w:lang w:val="en-US" w:eastAsia="zh-CN"/>
        </w:rPr>
        <w:t>后附营业执照等资格证明材料。</w:t>
      </w:r>
      <w:r>
        <w:rPr>
          <w:rFonts w:hint="eastAsia" w:ascii="宋体" w:hAnsi="宋体" w:eastAsia="宋体" w:cs="宋体"/>
          <w:color w:val="auto"/>
          <w:sz w:val="24"/>
          <w:szCs w:val="28"/>
          <w:lang w:val="en-US" w:eastAsia="zh-CN"/>
        </w:rPr>
        <w:br w:type="page"/>
      </w:r>
    </w:p>
    <w:p w14:paraId="46A1CA6E">
      <w:pPr>
        <w:spacing w:line="360" w:lineRule="auto"/>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附件1</w:t>
      </w:r>
    </w:p>
    <w:p w14:paraId="5834C53D">
      <w:pPr>
        <w:spacing w:line="440" w:lineRule="exact"/>
        <w:jc w:val="center"/>
        <w:rPr>
          <w:rFonts w:hint="eastAsia" w:ascii="宋体" w:hAnsi="宋体" w:eastAsia="宋体" w:cs="宋体"/>
          <w:b/>
          <w:color w:val="auto"/>
          <w:sz w:val="24"/>
          <w:szCs w:val="21"/>
          <w:highlight w:val="none"/>
          <w:lang w:eastAsia="zh-CN"/>
        </w:rPr>
      </w:pPr>
      <w:r>
        <w:rPr>
          <w:rFonts w:hint="eastAsia" w:ascii="宋体" w:hAnsi="宋体" w:eastAsia="宋体" w:cs="宋体"/>
          <w:b/>
          <w:color w:val="auto"/>
          <w:sz w:val="24"/>
          <w:szCs w:val="21"/>
          <w:highlight w:val="none"/>
          <w:lang w:eastAsia="zh-CN"/>
        </w:rPr>
        <w:t>满足《中华人民共和国政府采购法》第二十二条规定承诺函</w:t>
      </w:r>
    </w:p>
    <w:p w14:paraId="516D5464">
      <w:pPr>
        <w:pStyle w:val="9"/>
        <w:rPr>
          <w:rFonts w:hint="eastAsia"/>
          <w:color w:val="auto"/>
          <w:lang w:eastAsia="zh-CN"/>
        </w:rPr>
      </w:pPr>
    </w:p>
    <w:p w14:paraId="73AD1D40">
      <w:pPr>
        <w:pStyle w:val="30"/>
        <w:rPr>
          <w:rFonts w:ascii="宋体" w:hAnsi="宋体" w:cs="宋体"/>
          <w:color w:val="auto"/>
          <w:spacing w:val="0"/>
          <w:szCs w:val="24"/>
          <w:highlight w:val="none"/>
          <w:u w:val="single"/>
          <w:lang w:val="en-US" w:eastAsia="zh-CN"/>
        </w:rPr>
      </w:pPr>
      <w:r>
        <w:rPr>
          <w:rFonts w:hint="eastAsia" w:ascii="宋体" w:hAnsi="宋体" w:cs="宋体"/>
          <w:color w:val="auto"/>
          <w:spacing w:val="0"/>
          <w:szCs w:val="24"/>
          <w:highlight w:val="none"/>
          <w:lang w:val="en-US" w:eastAsia="zh-CN"/>
        </w:rPr>
        <w:t>致：</w:t>
      </w:r>
      <w:r>
        <w:rPr>
          <w:rFonts w:hint="eastAsia" w:ascii="宋体" w:hAnsi="宋体" w:cs="宋体"/>
          <w:color w:val="auto"/>
          <w:spacing w:val="0"/>
          <w:szCs w:val="24"/>
          <w:highlight w:val="none"/>
          <w:u w:val="single"/>
          <w:lang w:val="en-US" w:eastAsia="zh-CN"/>
        </w:rPr>
        <w:t>（采购人名称</w:t>
      </w:r>
      <w:r>
        <w:rPr>
          <w:rFonts w:ascii="宋体" w:hAnsi="宋体" w:cs="宋体"/>
          <w:color w:val="auto"/>
          <w:spacing w:val="0"/>
          <w:szCs w:val="24"/>
          <w:highlight w:val="none"/>
          <w:u w:val="single"/>
          <w:lang w:val="en-US" w:eastAsia="zh-CN"/>
        </w:rPr>
        <w:t>）</w:t>
      </w:r>
    </w:p>
    <w:p w14:paraId="7E1F9E6B">
      <w:pPr>
        <w:pStyle w:val="30"/>
        <w:rPr>
          <w:rFonts w:ascii="宋体" w:hAnsi="宋体" w:cs="宋体"/>
          <w:color w:val="auto"/>
          <w:spacing w:val="0"/>
          <w:szCs w:val="24"/>
          <w:highlight w:val="none"/>
          <w:u w:val="single"/>
          <w:lang w:val="en-US" w:eastAsia="zh-CN"/>
        </w:rPr>
      </w:pPr>
    </w:p>
    <w:p w14:paraId="44754BC6">
      <w:pPr>
        <w:pStyle w:val="30"/>
        <w:spacing w:line="360" w:lineRule="auto"/>
        <w:ind w:firstLine="424" w:firstLineChars="177"/>
        <w:rPr>
          <w:rFonts w:ascii="宋体" w:hAnsi="宋体" w:cs="宋体"/>
          <w:color w:val="auto"/>
          <w:spacing w:val="0"/>
          <w:szCs w:val="24"/>
          <w:highlight w:val="none"/>
          <w:lang w:val="en-US" w:eastAsia="zh-CN"/>
        </w:rPr>
      </w:pPr>
      <w:r>
        <w:rPr>
          <w:rFonts w:hint="eastAsia" w:ascii="宋体" w:hAnsi="宋体" w:cs="宋体"/>
          <w:color w:val="auto"/>
          <w:spacing w:val="0"/>
          <w:szCs w:val="24"/>
          <w:highlight w:val="none"/>
          <w:lang w:val="en-US" w:eastAsia="zh-CN"/>
        </w:rPr>
        <w:t>我方承诺，我方满足</w:t>
      </w:r>
      <w:r>
        <w:rPr>
          <w:rFonts w:ascii="宋体" w:hAnsi="宋体" w:cs="宋体"/>
          <w:color w:val="auto"/>
          <w:spacing w:val="0"/>
          <w:szCs w:val="24"/>
          <w:highlight w:val="none"/>
          <w:lang w:val="en-US" w:eastAsia="zh-CN"/>
        </w:rPr>
        <w:t xml:space="preserve"> 《中华人民共和国政府采购法》第二十二条的所有规定。</w:t>
      </w:r>
    </w:p>
    <w:p w14:paraId="46A45EEE">
      <w:pPr>
        <w:pStyle w:val="3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(一) 具有独立承担民事责任的能力；</w:t>
      </w:r>
    </w:p>
    <w:p w14:paraId="23C3E346">
      <w:pPr>
        <w:pStyle w:val="3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(二) 具有良好的商业信誉和健全的财务会计制度；</w:t>
      </w:r>
    </w:p>
    <w:p w14:paraId="190ADEAB">
      <w:pPr>
        <w:pStyle w:val="3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(三) 具有履行合同所必需的设备和专业技术能力；</w:t>
      </w:r>
    </w:p>
    <w:p w14:paraId="4B25B71B">
      <w:pPr>
        <w:pStyle w:val="3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(四) 有依法缴纳税收和社会保障资金的良好记录；</w:t>
      </w:r>
    </w:p>
    <w:p w14:paraId="2FD7D2E9">
      <w:pPr>
        <w:pStyle w:val="3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(五) 参加政府采购活动前三年内，在经营活动中没有重大违法记录；</w:t>
      </w:r>
    </w:p>
    <w:p w14:paraId="5A267F95">
      <w:pPr>
        <w:pStyle w:val="30"/>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(六) 法律、行政法规规定的其他条件。</w:t>
      </w:r>
    </w:p>
    <w:p w14:paraId="7F8A2160">
      <w:pPr>
        <w:pStyle w:val="30"/>
        <w:spacing w:line="360" w:lineRule="auto"/>
        <w:ind w:firstLine="424" w:firstLineChars="177"/>
        <w:rPr>
          <w:rFonts w:ascii="宋体" w:hAnsi="宋体" w:cs="宋体"/>
          <w:color w:val="auto"/>
          <w:spacing w:val="0"/>
          <w:szCs w:val="24"/>
          <w:highlight w:val="none"/>
          <w:lang w:val="en-US" w:eastAsia="zh-CN"/>
        </w:rPr>
      </w:pPr>
      <w:r>
        <w:rPr>
          <w:rFonts w:hint="eastAsia" w:ascii="宋体" w:hAnsi="宋体" w:cs="宋体"/>
          <w:color w:val="auto"/>
          <w:spacing w:val="0"/>
          <w:szCs w:val="24"/>
          <w:highlight w:val="none"/>
          <w:lang w:val="en-US" w:eastAsia="zh-CN"/>
        </w:rPr>
        <w:t>我方保证上述信息的真实和准确，并愿意承担因我方就此弄虚作假所引起的一切法律后果。</w:t>
      </w:r>
    </w:p>
    <w:p w14:paraId="3C906C9D">
      <w:pPr>
        <w:pStyle w:val="30"/>
        <w:spacing w:line="360" w:lineRule="auto"/>
        <w:ind w:firstLine="424" w:firstLineChars="177"/>
        <w:rPr>
          <w:rFonts w:hint="eastAsia" w:ascii="宋体" w:hAnsi="宋体" w:cs="宋体"/>
          <w:color w:val="auto"/>
          <w:spacing w:val="0"/>
          <w:szCs w:val="24"/>
          <w:highlight w:val="none"/>
          <w:lang w:val="en-US" w:eastAsia="zh-CN"/>
        </w:rPr>
      </w:pPr>
      <w:r>
        <w:rPr>
          <w:rFonts w:hint="eastAsia" w:ascii="宋体" w:hAnsi="宋体" w:cs="宋体"/>
          <w:color w:val="auto"/>
          <w:spacing w:val="0"/>
          <w:szCs w:val="24"/>
          <w:highlight w:val="none"/>
          <w:lang w:val="en-US" w:eastAsia="zh-CN"/>
        </w:rPr>
        <w:t>特此承诺。</w:t>
      </w:r>
    </w:p>
    <w:p w14:paraId="1F3906ED">
      <w:pPr>
        <w:jc w:val="center"/>
        <w:outlineLvl w:val="2"/>
        <w:rPr>
          <w:rFonts w:hint="eastAsia" w:ascii="宋体" w:hAnsi="宋体" w:cs="Times New Roman"/>
          <w:b/>
          <w:bCs/>
          <w:color w:val="auto"/>
          <w:sz w:val="24"/>
          <w:highlight w:val="none"/>
        </w:rPr>
      </w:pPr>
    </w:p>
    <w:p w14:paraId="7B92CA98">
      <w:pPr>
        <w:keepNext/>
        <w:widowControl/>
        <w:spacing w:line="440" w:lineRule="exact"/>
        <w:jc w:val="center"/>
        <w:outlineLvl w:val="3"/>
        <w:rPr>
          <w:rFonts w:hint="eastAsia" w:ascii="宋体" w:hAnsi="宋体"/>
          <w:b/>
          <w:bCs/>
          <w:color w:val="auto"/>
          <w:sz w:val="24"/>
          <w:highlight w:val="none"/>
        </w:rPr>
      </w:pPr>
    </w:p>
    <w:p w14:paraId="52473959">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供应商：（盖单位公章）</w:t>
      </w:r>
    </w:p>
    <w:p w14:paraId="642F52A3">
      <w:pPr>
        <w:widowControl/>
        <w:adjustRightInd w:val="0"/>
        <w:spacing w:line="600" w:lineRule="exact"/>
        <w:ind w:firstLine="3377" w:firstLineChars="1535"/>
        <w:jc w:val="left"/>
        <w:rPr>
          <w:rFonts w:ascii="宋体" w:hAnsi="宋体" w:eastAsia="宋体" w:cs="宋体"/>
          <w:color w:val="auto"/>
          <w:kern w:val="0"/>
          <w:sz w:val="22"/>
          <w:szCs w:val="24"/>
          <w:u w:val="single"/>
        </w:rPr>
      </w:pPr>
      <w:r>
        <w:rPr>
          <w:rFonts w:hint="eastAsia" w:ascii="宋体" w:hAnsi="宋体" w:eastAsia="宋体" w:cs="宋体"/>
          <w:color w:val="auto"/>
          <w:sz w:val="22"/>
          <w:szCs w:val="24"/>
        </w:rPr>
        <w:t>法定代表人：（签字或盖章）</w:t>
      </w:r>
    </w:p>
    <w:p w14:paraId="25CE77B4">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日期：年月日</w:t>
      </w:r>
    </w:p>
    <w:p w14:paraId="7CC3E390">
      <w:pPr>
        <w:spacing w:before="240" w:beforeLines="100" w:after="120" w:afterLines="50" w:line="440" w:lineRule="exact"/>
        <w:jc w:val="left"/>
        <w:rPr>
          <w:rFonts w:ascii="宋体" w:hAnsi="宋体" w:eastAsia="宋体" w:cs="宋体"/>
          <w:color w:val="auto"/>
          <w:sz w:val="24"/>
          <w:szCs w:val="28"/>
        </w:rPr>
      </w:pPr>
    </w:p>
    <w:p w14:paraId="4096EF5F">
      <w:pPr>
        <w:rPr>
          <w:rFonts w:hint="eastAsia"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lang w:val="en-US" w:eastAsia="zh-CN"/>
        </w:rPr>
        <w:br w:type="page"/>
      </w:r>
    </w:p>
    <w:p w14:paraId="6D3FADAD">
      <w:pPr>
        <w:jc w:val="left"/>
        <w:rPr>
          <w:rFonts w:hint="default"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lang w:val="en-US" w:eastAsia="zh-CN"/>
        </w:rPr>
        <w:t>附件2</w:t>
      </w:r>
    </w:p>
    <w:p w14:paraId="57102D82">
      <w:pPr>
        <w:widowControl/>
        <w:jc w:val="center"/>
        <w:rPr>
          <w:rFonts w:hint="eastAsia" w:ascii="宋体" w:hAnsi="宋体" w:eastAsia="宋体" w:cs="宋体"/>
          <w:b/>
          <w:bCs/>
          <w:color w:val="auto"/>
          <w:sz w:val="24"/>
          <w:szCs w:val="24"/>
          <w:highlight w:val="none"/>
        </w:rPr>
      </w:pPr>
    </w:p>
    <w:p w14:paraId="72F42626">
      <w:pPr>
        <w:widowControl/>
        <w:jc w:val="center"/>
        <w:rPr>
          <w:rFonts w:hint="eastAsia"/>
          <w:color w:val="auto"/>
          <w:sz w:val="24"/>
          <w:szCs w:val="24"/>
          <w:highlight w:val="none"/>
        </w:rPr>
      </w:pPr>
      <w:r>
        <w:rPr>
          <w:rFonts w:hint="eastAsia" w:ascii="宋体" w:hAnsi="宋体" w:eastAsia="宋体" w:cs="宋体"/>
          <w:b/>
          <w:bCs/>
          <w:color w:val="auto"/>
          <w:sz w:val="24"/>
          <w:szCs w:val="24"/>
          <w:highlight w:val="none"/>
        </w:rPr>
        <w:t>无商业贿赂和不正当竞争行为承诺书</w:t>
      </w:r>
    </w:p>
    <w:p w14:paraId="5436E963">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8"/>
          <w:highlight w:val="none"/>
        </w:rPr>
      </w:pPr>
    </w:p>
    <w:p w14:paraId="57786B1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致：</w:t>
      </w:r>
      <w:r>
        <w:rPr>
          <w:rFonts w:hint="eastAsia" w:asciiTheme="minorEastAsia" w:hAnsiTheme="minorEastAsia" w:eastAsiaTheme="minorEastAsia" w:cstheme="minorEastAsia"/>
          <w:color w:val="auto"/>
          <w:sz w:val="24"/>
          <w:szCs w:val="28"/>
          <w:highlight w:val="none"/>
          <w:u w:val="single"/>
        </w:rPr>
        <w:t>（采购人名称）</w:t>
      </w:r>
    </w:p>
    <w:p w14:paraId="47FDFF6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为进一步规范政府采购行为，营造公平竞争的政府采购市场环境，维护政府采购制度良好声誉，在参与贵单位组织的招标活动中，我方庄重承诺：</w:t>
      </w:r>
    </w:p>
    <w:p w14:paraId="11FFCD1E">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自公司成立以来无商业贿赂和不正当竞争行为。</w:t>
      </w:r>
    </w:p>
    <w:p w14:paraId="1D15B887">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依法参与招标活动，遵纪守法，诚信经营，公平竞争。</w:t>
      </w:r>
    </w:p>
    <w:p w14:paraId="750B61FD">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不向采购人、采购代理机构和评审专家提供任何形式的商业贿赂，对索取或接受商业贿赂的单位和个人，及时向财政部门和纪检监察机关举报。</w:t>
      </w:r>
    </w:p>
    <w:p w14:paraId="7B657F78">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不以提供虚假资质文件等形式参与招标活动，不以虚假材料谋取</w:t>
      </w:r>
      <w:r>
        <w:rPr>
          <w:rFonts w:hint="eastAsia" w:asciiTheme="minorEastAsia" w:hAnsiTheme="minorEastAsia" w:cstheme="minorEastAsia"/>
          <w:color w:val="auto"/>
          <w:sz w:val="24"/>
          <w:szCs w:val="28"/>
          <w:highlight w:val="none"/>
          <w:lang w:eastAsia="zh-CN"/>
        </w:rPr>
        <w:t>成交</w:t>
      </w:r>
      <w:r>
        <w:rPr>
          <w:rFonts w:hint="eastAsia" w:asciiTheme="minorEastAsia" w:hAnsiTheme="minorEastAsia" w:eastAsiaTheme="minorEastAsia" w:cstheme="minorEastAsia"/>
          <w:color w:val="auto"/>
          <w:sz w:val="24"/>
          <w:szCs w:val="28"/>
          <w:highlight w:val="none"/>
        </w:rPr>
        <w:t>。</w:t>
      </w:r>
    </w:p>
    <w:p w14:paraId="25DF7F91">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不采取不正当手段诋毁、排挤</w:t>
      </w:r>
      <w:r>
        <w:rPr>
          <w:rFonts w:hint="eastAsia" w:asciiTheme="minorEastAsia" w:hAnsiTheme="minorEastAsia" w:cstheme="minorEastAsia"/>
          <w:color w:val="auto"/>
          <w:sz w:val="24"/>
          <w:szCs w:val="28"/>
          <w:highlight w:val="none"/>
          <w:lang w:eastAsia="zh-CN"/>
        </w:rPr>
        <w:t>其他</w:t>
      </w: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rPr>
        <w:t>，与</w:t>
      </w:r>
      <w:r>
        <w:rPr>
          <w:rFonts w:hint="eastAsia" w:asciiTheme="minorEastAsia" w:hAnsiTheme="minorEastAsia" w:cstheme="minorEastAsia"/>
          <w:color w:val="auto"/>
          <w:sz w:val="24"/>
          <w:szCs w:val="28"/>
          <w:highlight w:val="none"/>
          <w:lang w:eastAsia="zh-CN"/>
        </w:rPr>
        <w:t>其他参与</w:t>
      </w:r>
      <w:r>
        <w:rPr>
          <w:rFonts w:hint="eastAsia" w:asciiTheme="minorEastAsia" w:hAnsiTheme="minorEastAsia" w:eastAsiaTheme="minorEastAsia" w:cstheme="minorEastAsia"/>
          <w:color w:val="auto"/>
          <w:sz w:val="24"/>
          <w:szCs w:val="28"/>
          <w:highlight w:val="none"/>
        </w:rPr>
        <w:t>招标活动的</w:t>
      </w: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rPr>
        <w:t>保持良性的竞争关系。</w:t>
      </w:r>
    </w:p>
    <w:p w14:paraId="1B86EF0D">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不与采购人、采购代理机构和评审专家恶意串通，自觉维护政府采购公平竞争的市场秩序。</w:t>
      </w:r>
    </w:p>
    <w:p w14:paraId="723708A5">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不与</w:t>
      </w:r>
      <w:r>
        <w:rPr>
          <w:rFonts w:hint="eastAsia" w:asciiTheme="minorEastAsia" w:hAnsiTheme="minorEastAsia" w:cstheme="minorEastAsia"/>
          <w:color w:val="auto"/>
          <w:sz w:val="24"/>
          <w:szCs w:val="28"/>
          <w:highlight w:val="none"/>
          <w:lang w:eastAsia="zh-CN"/>
        </w:rPr>
        <w:t>其他</w:t>
      </w: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rPr>
        <w:t>串通采取围标、陪标等商业欺诈手段谋取</w:t>
      </w:r>
      <w:r>
        <w:rPr>
          <w:rFonts w:hint="eastAsia" w:asciiTheme="minorEastAsia" w:hAnsiTheme="minorEastAsia" w:cstheme="minorEastAsia"/>
          <w:color w:val="auto"/>
          <w:sz w:val="24"/>
          <w:szCs w:val="28"/>
          <w:highlight w:val="none"/>
          <w:lang w:eastAsia="zh-CN"/>
        </w:rPr>
        <w:t>成交</w:t>
      </w:r>
      <w:r>
        <w:rPr>
          <w:rFonts w:hint="eastAsia" w:asciiTheme="minorEastAsia" w:hAnsiTheme="minorEastAsia" w:eastAsiaTheme="minorEastAsia" w:cstheme="minorEastAsia"/>
          <w:color w:val="auto"/>
          <w:sz w:val="24"/>
          <w:szCs w:val="28"/>
          <w:highlight w:val="none"/>
        </w:rPr>
        <w:t>，积极维护国家利益、社会公共利益和采购人的合法权益。</w:t>
      </w:r>
    </w:p>
    <w:p w14:paraId="6A0C4A57">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严格履行政府采购合同约定义务，不在政府采购合同执行过程中采取降低质量或标准、减少数量、拖延交付时间等方式损害采购人的利益，并自觉承担违约责任。</w:t>
      </w:r>
    </w:p>
    <w:p w14:paraId="1A295AA2">
      <w:pPr>
        <w:keepNext w:val="0"/>
        <w:keepLines w:val="0"/>
        <w:pageBreakBefore w:val="0"/>
        <w:widowControl/>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自觉接受并积极配合相关监督部门实施的监督检查，如实反映情况，及时提供有关证明材料。</w:t>
      </w:r>
    </w:p>
    <w:p w14:paraId="2225A6DE">
      <w:pPr>
        <w:spacing w:line="360" w:lineRule="auto"/>
        <w:ind w:firstLine="200"/>
        <w:jc w:val="center"/>
        <w:outlineLvl w:val="1"/>
        <w:rPr>
          <w:rFonts w:hint="eastAsia" w:ascii="宋体" w:hAnsi="宋体" w:cs="宋体"/>
          <w:bCs/>
          <w:color w:val="auto"/>
          <w:kern w:val="1"/>
          <w:sz w:val="22"/>
        </w:rPr>
      </w:pPr>
    </w:p>
    <w:p w14:paraId="63C1ECB8">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供应商：（盖单位公章）</w:t>
      </w:r>
    </w:p>
    <w:p w14:paraId="53CB22B5">
      <w:pPr>
        <w:widowControl/>
        <w:adjustRightInd w:val="0"/>
        <w:spacing w:line="600" w:lineRule="exact"/>
        <w:ind w:firstLine="3377" w:firstLineChars="1535"/>
        <w:jc w:val="left"/>
        <w:rPr>
          <w:rFonts w:ascii="宋体" w:hAnsi="宋体" w:eastAsia="宋体" w:cs="宋体"/>
          <w:color w:val="auto"/>
          <w:kern w:val="0"/>
          <w:sz w:val="22"/>
          <w:szCs w:val="24"/>
          <w:u w:val="single"/>
        </w:rPr>
      </w:pPr>
      <w:r>
        <w:rPr>
          <w:rFonts w:hint="eastAsia" w:ascii="宋体" w:hAnsi="宋体" w:eastAsia="宋体" w:cs="宋体"/>
          <w:color w:val="auto"/>
          <w:sz w:val="22"/>
          <w:szCs w:val="24"/>
        </w:rPr>
        <w:t>法定代表人：（签字或盖章）</w:t>
      </w:r>
    </w:p>
    <w:p w14:paraId="4050D02F">
      <w:pPr>
        <w:widowControl/>
        <w:adjustRightInd w:val="0"/>
        <w:spacing w:line="600" w:lineRule="exact"/>
        <w:ind w:firstLine="3377" w:firstLineChars="1535"/>
        <w:jc w:val="left"/>
        <w:rPr>
          <w:rFonts w:ascii="宋体" w:hAnsi="宋体" w:eastAsia="宋体" w:cs="宋体"/>
          <w:color w:val="auto"/>
          <w:kern w:val="0"/>
          <w:sz w:val="22"/>
          <w:szCs w:val="24"/>
        </w:rPr>
      </w:pPr>
      <w:r>
        <w:rPr>
          <w:rFonts w:hint="eastAsia" w:ascii="宋体" w:hAnsi="宋体" w:eastAsia="宋体" w:cs="宋体"/>
          <w:color w:val="auto"/>
          <w:kern w:val="0"/>
          <w:sz w:val="22"/>
          <w:szCs w:val="24"/>
        </w:rPr>
        <w:t>日期：年月日</w:t>
      </w:r>
    </w:p>
    <w:p w14:paraId="37B9869E">
      <w:pPr>
        <w:widowControl/>
        <w:adjustRightInd w:val="0"/>
        <w:snapToGrid w:val="0"/>
        <w:spacing w:line="360" w:lineRule="auto"/>
        <w:jc w:val="center"/>
        <w:rPr>
          <w:rFonts w:ascii="宋体" w:hAnsi="宋体" w:cs="宋体"/>
          <w:bCs/>
          <w:color w:val="auto"/>
          <w:kern w:val="1"/>
          <w:sz w:val="24"/>
        </w:rPr>
      </w:pPr>
    </w:p>
    <w:p w14:paraId="3B573066">
      <w:pPr>
        <w:widowControl/>
        <w:adjustRightInd w:val="0"/>
        <w:snapToGrid w:val="0"/>
        <w:spacing w:line="360" w:lineRule="auto"/>
        <w:jc w:val="center"/>
        <w:rPr>
          <w:rFonts w:ascii="宋体" w:hAnsi="宋体" w:cs="宋体"/>
          <w:bCs/>
          <w:color w:val="auto"/>
          <w:kern w:val="1"/>
          <w:sz w:val="24"/>
        </w:rPr>
      </w:pPr>
    </w:p>
    <w:p w14:paraId="34A0CAA1">
      <w:pPr>
        <w:widowControl/>
        <w:adjustRightInd w:val="0"/>
        <w:snapToGrid w:val="0"/>
        <w:spacing w:line="360" w:lineRule="auto"/>
        <w:jc w:val="left"/>
        <w:rPr>
          <w:rFonts w:hint="default" w:ascii="宋体" w:hAnsi="宋体" w:cs="宋体" w:eastAsiaTheme="minorEastAsia"/>
          <w:b/>
          <w:bCs w:val="0"/>
          <w:color w:val="auto"/>
          <w:kern w:val="1"/>
          <w:sz w:val="24"/>
          <w:lang w:val="en-US" w:eastAsia="zh-CN"/>
        </w:rPr>
      </w:pPr>
      <w:r>
        <w:rPr>
          <w:rFonts w:hint="eastAsia" w:ascii="宋体" w:hAnsi="宋体" w:cs="宋体"/>
          <w:b/>
          <w:bCs w:val="0"/>
          <w:color w:val="auto"/>
          <w:kern w:val="1"/>
          <w:sz w:val="24"/>
          <w:lang w:val="en-US" w:eastAsia="zh-CN"/>
        </w:rPr>
        <w:t>附件3</w:t>
      </w:r>
    </w:p>
    <w:p w14:paraId="0AF3A2CA">
      <w:pPr>
        <w:spacing w:line="440" w:lineRule="exact"/>
        <w:jc w:val="center"/>
        <w:rPr>
          <w:rFonts w:hint="eastAsia" w:ascii="宋体" w:hAnsi="宋体" w:eastAsia="宋体" w:cs="宋体"/>
          <w:b/>
          <w:color w:val="auto"/>
          <w:sz w:val="24"/>
          <w:szCs w:val="21"/>
          <w:highlight w:val="none"/>
          <w:lang w:eastAsia="zh-CN"/>
        </w:rPr>
      </w:pPr>
      <w:r>
        <w:rPr>
          <w:rFonts w:hint="eastAsia" w:ascii="宋体" w:hAnsi="宋体" w:eastAsia="宋体" w:cs="宋体"/>
          <w:b/>
          <w:color w:val="auto"/>
          <w:sz w:val="24"/>
          <w:szCs w:val="21"/>
          <w:highlight w:val="none"/>
          <w:lang w:eastAsia="zh-CN"/>
        </w:rPr>
        <w:t>中小企业声明函</w:t>
      </w:r>
    </w:p>
    <w:p w14:paraId="1075C2D4">
      <w:pPr>
        <w:spacing w:line="360" w:lineRule="auto"/>
        <w:ind w:firstLine="463" w:firstLineChars="193"/>
        <w:rPr>
          <w:rFonts w:ascii="宋体" w:hAnsi="宋体"/>
          <w:color w:val="auto"/>
          <w:sz w:val="24"/>
        </w:rPr>
      </w:pPr>
    </w:p>
    <w:p w14:paraId="7712A942">
      <w:pPr>
        <w:spacing w:line="360" w:lineRule="auto"/>
        <w:ind w:firstLine="463" w:firstLineChars="193"/>
        <w:rPr>
          <w:rFonts w:ascii="宋体" w:hAnsi="宋体"/>
          <w:color w:val="auto"/>
          <w:sz w:val="24"/>
        </w:rPr>
      </w:pPr>
      <w:r>
        <w:rPr>
          <w:rFonts w:ascii="宋体" w:hAnsi="宋体"/>
          <w:color w:val="auto"/>
          <w:sz w:val="24"/>
        </w:rPr>
        <w:t>本公司（联合体） 郑重声明， 根据《政府采购促进中小企业发展管理办法》（财库﹝ 2020﹞ 46 号） 的规定， 本公司（联合体） 参加</w:t>
      </w:r>
      <w:r>
        <w:rPr>
          <w:rFonts w:ascii="宋体" w:hAnsi="宋体"/>
          <w:color w:val="auto"/>
          <w:sz w:val="24"/>
          <w:u w:val="single"/>
        </w:rPr>
        <w:t xml:space="preserve">（单位名称） </w:t>
      </w:r>
      <w:r>
        <w:rPr>
          <w:rFonts w:ascii="宋体" w:hAnsi="宋体"/>
          <w:color w:val="auto"/>
          <w:sz w:val="24"/>
        </w:rPr>
        <w:t>的</w:t>
      </w:r>
      <w:r>
        <w:rPr>
          <w:rFonts w:ascii="宋体" w:hAnsi="宋体"/>
          <w:color w:val="auto"/>
          <w:sz w:val="24"/>
          <w:u w:val="single"/>
        </w:rPr>
        <w:t>（项目名称）</w:t>
      </w:r>
      <w:r>
        <w:rPr>
          <w:rFonts w:ascii="宋体" w:hAnsi="宋体"/>
          <w:color w:val="auto"/>
          <w:sz w:val="24"/>
        </w:rPr>
        <w:t xml:space="preserve"> 采购活动，</w:t>
      </w:r>
      <w:r>
        <w:rPr>
          <w:rFonts w:hint="eastAsia" w:ascii="宋体" w:hAnsi="宋体"/>
          <w:color w:val="auto"/>
          <w:sz w:val="24"/>
        </w:rPr>
        <w:t>服务全部由符合政策要求的中小企业承接。相关企业（含联合体中的中小企业、签订分包意向协议的中小企业）的具体情况如下：</w:t>
      </w:r>
    </w:p>
    <w:p w14:paraId="202E372B">
      <w:pPr>
        <w:spacing w:line="360" w:lineRule="auto"/>
        <w:ind w:firstLine="463" w:firstLineChars="193"/>
        <w:rPr>
          <w:rFonts w:ascii="宋体" w:hAnsi="宋体"/>
          <w:color w:val="auto"/>
          <w:sz w:val="24"/>
        </w:rPr>
      </w:pPr>
      <w:r>
        <w:rPr>
          <w:rFonts w:ascii="宋体" w:hAnsi="宋体"/>
          <w:color w:val="auto"/>
          <w:sz w:val="24"/>
        </w:rPr>
        <w:t>1.</w:t>
      </w:r>
      <w:r>
        <w:rPr>
          <w:rFonts w:ascii="宋体" w:hAnsi="宋体"/>
          <w:color w:val="auto"/>
          <w:sz w:val="24"/>
          <w:u w:val="single"/>
        </w:rPr>
        <w:t xml:space="preserve"> （标的名称）</w:t>
      </w:r>
      <w:r>
        <w:rPr>
          <w:rFonts w:ascii="宋体" w:hAnsi="宋体"/>
          <w:color w:val="auto"/>
          <w:sz w:val="24"/>
        </w:rPr>
        <w:t xml:space="preserve"> ， 属于</w:t>
      </w:r>
      <w:r>
        <w:rPr>
          <w:rFonts w:hint="eastAsia" w:ascii="宋体" w:hAnsi="宋体"/>
          <w:color w:val="auto"/>
          <w:sz w:val="24"/>
          <w:u w:val="single"/>
        </w:rPr>
        <w:t xml:space="preserve"> </w:t>
      </w:r>
      <w:r>
        <w:rPr>
          <w:rFonts w:hint="eastAsia" w:asciiTheme="minorEastAsia" w:hAnsiTheme="minorEastAsia" w:cstheme="minorEastAsia"/>
          <w:color w:val="auto"/>
          <w:sz w:val="24"/>
          <w:szCs w:val="24"/>
          <w:u w:val="single"/>
        </w:rPr>
        <w:t>（采购文件中明确的所属行业）</w:t>
      </w:r>
      <w:r>
        <w:rPr>
          <w:rFonts w:hint="eastAsia" w:ascii="宋体" w:hAnsi="宋体"/>
          <w:color w:val="auto"/>
          <w:sz w:val="24"/>
          <w:u w:val="single"/>
        </w:rPr>
        <w:t xml:space="preserve"> </w:t>
      </w:r>
      <w:r>
        <w:rPr>
          <w:rFonts w:ascii="宋体" w:hAnsi="宋体"/>
          <w:color w:val="auto"/>
          <w:sz w:val="24"/>
        </w:rPr>
        <w:t>行业；</w:t>
      </w:r>
      <w:r>
        <w:rPr>
          <w:rFonts w:hint="eastAsia" w:ascii="宋体" w:hAnsi="宋体"/>
          <w:color w:val="auto"/>
          <w:sz w:val="24"/>
        </w:rPr>
        <w:t>承建（承接）企业为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万元，属于</w:t>
      </w:r>
      <w:r>
        <w:rPr>
          <w:rFonts w:hint="eastAsia" w:ascii="宋体" w:hAnsi="宋体"/>
          <w:color w:val="auto"/>
          <w:sz w:val="24"/>
          <w:u w:val="single"/>
        </w:rPr>
        <w:t>（中型企业、小型企业、微型企业）</w:t>
      </w:r>
      <w:r>
        <w:rPr>
          <w:rFonts w:hint="eastAsia" w:ascii="宋体" w:hAnsi="宋体"/>
          <w:color w:val="auto"/>
          <w:sz w:val="24"/>
        </w:rPr>
        <w:t>；</w:t>
      </w:r>
      <w:r>
        <w:rPr>
          <w:rFonts w:ascii="宋体" w:hAnsi="宋体"/>
          <w:color w:val="auto"/>
          <w:sz w:val="24"/>
        </w:rPr>
        <w:t xml:space="preserve"> </w:t>
      </w:r>
    </w:p>
    <w:p w14:paraId="00A8E947">
      <w:pPr>
        <w:spacing w:line="360" w:lineRule="auto"/>
        <w:ind w:firstLine="463" w:firstLineChars="193"/>
        <w:rPr>
          <w:rFonts w:ascii="宋体" w:hAnsi="宋体"/>
          <w:color w:val="auto"/>
          <w:sz w:val="24"/>
        </w:rPr>
      </w:pPr>
      <w:r>
        <w:rPr>
          <w:rFonts w:ascii="宋体" w:hAnsi="宋体"/>
          <w:color w:val="auto"/>
          <w:sz w:val="24"/>
        </w:rPr>
        <w:t>2.</w:t>
      </w:r>
      <w:r>
        <w:rPr>
          <w:rFonts w:ascii="宋体" w:hAnsi="宋体"/>
          <w:color w:val="auto"/>
          <w:sz w:val="24"/>
          <w:u w:val="single"/>
        </w:rPr>
        <w:t xml:space="preserve"> （标的名称）</w:t>
      </w:r>
      <w:r>
        <w:rPr>
          <w:rFonts w:ascii="宋体" w:hAnsi="宋体"/>
          <w:color w:val="auto"/>
          <w:sz w:val="24"/>
        </w:rPr>
        <w:t xml:space="preserve"> ， 属于</w:t>
      </w:r>
      <w:r>
        <w:rPr>
          <w:rFonts w:hint="eastAsia" w:ascii="宋体" w:hAnsi="宋体"/>
          <w:color w:val="auto"/>
          <w:sz w:val="24"/>
          <w:u w:val="single"/>
        </w:rPr>
        <w:t xml:space="preserve"> </w:t>
      </w:r>
      <w:r>
        <w:rPr>
          <w:rFonts w:hint="eastAsia" w:asciiTheme="minorEastAsia" w:hAnsiTheme="minorEastAsia" w:cstheme="minorEastAsia"/>
          <w:color w:val="auto"/>
          <w:sz w:val="24"/>
          <w:szCs w:val="24"/>
          <w:u w:val="single"/>
        </w:rPr>
        <w:t>（采购文件中明确的所属行业）</w:t>
      </w:r>
      <w:r>
        <w:rPr>
          <w:rFonts w:ascii="宋体" w:hAnsi="宋体"/>
          <w:color w:val="auto"/>
          <w:sz w:val="24"/>
        </w:rPr>
        <w:t>行业；</w:t>
      </w:r>
      <w:r>
        <w:rPr>
          <w:rFonts w:hint="eastAsia" w:ascii="宋体" w:hAnsi="宋体"/>
          <w:color w:val="auto"/>
          <w:sz w:val="24"/>
        </w:rPr>
        <w:t>承建（承接）企业为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万元，属于</w:t>
      </w:r>
      <w:r>
        <w:rPr>
          <w:rFonts w:hint="eastAsia" w:ascii="宋体" w:hAnsi="宋体"/>
          <w:color w:val="auto"/>
          <w:sz w:val="24"/>
          <w:u w:val="single"/>
        </w:rPr>
        <w:t>（中型企业、小型企业、微型企业）</w:t>
      </w:r>
      <w:r>
        <w:rPr>
          <w:rFonts w:hint="eastAsia" w:ascii="宋体" w:hAnsi="宋体"/>
          <w:color w:val="auto"/>
          <w:sz w:val="24"/>
        </w:rPr>
        <w:t>；</w:t>
      </w:r>
    </w:p>
    <w:p w14:paraId="4B26E37C">
      <w:pPr>
        <w:spacing w:line="360" w:lineRule="auto"/>
        <w:ind w:firstLine="463" w:firstLineChars="193"/>
        <w:rPr>
          <w:rFonts w:ascii="宋体" w:hAnsi="宋体"/>
          <w:color w:val="auto"/>
          <w:sz w:val="24"/>
        </w:rPr>
      </w:pPr>
      <w:r>
        <w:rPr>
          <w:rFonts w:ascii="宋体" w:hAnsi="宋体"/>
          <w:color w:val="auto"/>
          <w:sz w:val="24"/>
        </w:rPr>
        <w:t>……</w:t>
      </w:r>
    </w:p>
    <w:p w14:paraId="5C77500E">
      <w:pPr>
        <w:spacing w:line="360" w:lineRule="auto"/>
        <w:ind w:firstLine="463" w:firstLineChars="193"/>
        <w:rPr>
          <w:rFonts w:ascii="宋体" w:hAnsi="宋体"/>
          <w:color w:val="auto"/>
          <w:sz w:val="24"/>
        </w:rPr>
      </w:pPr>
      <w:r>
        <w:rPr>
          <w:rFonts w:ascii="宋体" w:hAnsi="宋体"/>
          <w:color w:val="auto"/>
          <w:sz w:val="24"/>
        </w:rPr>
        <w:t>以上企业， 不属于大企业的分支机构， 不存在控股股东为大企业的情形， 也不存在与大企业的负责人为同一人的情形。</w:t>
      </w:r>
    </w:p>
    <w:p w14:paraId="79749052">
      <w:pPr>
        <w:spacing w:line="360" w:lineRule="auto"/>
        <w:ind w:left="5288" w:leftChars="228" w:hanging="4809" w:hangingChars="2004"/>
        <w:rPr>
          <w:rFonts w:ascii="宋体" w:hAnsi="宋体"/>
          <w:color w:val="auto"/>
          <w:sz w:val="24"/>
        </w:rPr>
      </w:pPr>
      <w:r>
        <w:rPr>
          <w:rFonts w:ascii="宋体" w:hAnsi="宋体"/>
          <w:color w:val="auto"/>
          <w:sz w:val="24"/>
        </w:rPr>
        <w:t>本企业对上述声明内容的真实性负责。 如有虚假， 将依法承担相应责任。</w:t>
      </w:r>
    </w:p>
    <w:p w14:paraId="05F13DE4">
      <w:pPr>
        <w:spacing w:line="360" w:lineRule="auto"/>
        <w:ind w:left="5275" w:leftChars="1710" w:hanging="1684" w:hangingChars="702"/>
        <w:rPr>
          <w:rFonts w:ascii="宋体" w:hAnsi="宋体"/>
          <w:color w:val="auto"/>
          <w:sz w:val="24"/>
        </w:rPr>
      </w:pPr>
    </w:p>
    <w:p w14:paraId="62B9296B">
      <w:pPr>
        <w:spacing w:line="360" w:lineRule="auto"/>
        <w:ind w:left="5275" w:leftChars="1710" w:hanging="1684" w:hangingChars="702"/>
        <w:rPr>
          <w:rFonts w:ascii="宋体" w:hAnsi="宋体"/>
          <w:color w:val="auto"/>
          <w:sz w:val="24"/>
        </w:rPr>
      </w:pPr>
      <w:r>
        <w:rPr>
          <w:rFonts w:ascii="宋体" w:hAnsi="宋体"/>
          <w:color w:val="auto"/>
          <w:sz w:val="24"/>
        </w:rPr>
        <w:t>企业名称（盖章）：</w:t>
      </w:r>
    </w:p>
    <w:p w14:paraId="5AC0AC34">
      <w:pPr>
        <w:spacing w:line="360" w:lineRule="auto"/>
        <w:ind w:firstLine="3600" w:firstLineChars="1500"/>
        <w:rPr>
          <w:rFonts w:ascii="宋体" w:hAnsi="宋体"/>
          <w:color w:val="auto"/>
          <w:sz w:val="24"/>
        </w:rPr>
      </w:pPr>
      <w:r>
        <w:rPr>
          <w:rFonts w:ascii="宋体" w:hAnsi="宋体"/>
          <w:color w:val="auto"/>
          <w:sz w:val="24"/>
        </w:rPr>
        <w:t>日 期：</w:t>
      </w:r>
    </w:p>
    <w:p w14:paraId="1D632B13">
      <w:pPr>
        <w:spacing w:line="360" w:lineRule="auto"/>
        <w:ind w:firstLine="3600" w:firstLineChars="1500"/>
        <w:rPr>
          <w:rFonts w:ascii="宋体" w:hAnsi="宋体"/>
          <w:color w:val="auto"/>
          <w:sz w:val="24"/>
        </w:rPr>
      </w:pPr>
    </w:p>
    <w:p w14:paraId="48F801DE">
      <w:pPr>
        <w:spacing w:line="360" w:lineRule="auto"/>
        <w:ind w:firstLine="3600" w:firstLineChars="1500"/>
        <w:rPr>
          <w:rFonts w:ascii="宋体" w:hAnsi="宋体"/>
          <w:color w:val="auto"/>
          <w:sz w:val="24"/>
        </w:rPr>
      </w:pPr>
    </w:p>
    <w:p w14:paraId="4E96AA5B">
      <w:pPr>
        <w:spacing w:line="360" w:lineRule="auto"/>
        <w:ind w:firstLine="3600" w:firstLineChars="1500"/>
        <w:rPr>
          <w:rFonts w:ascii="宋体" w:hAnsi="宋体"/>
          <w:color w:val="auto"/>
          <w:sz w:val="24"/>
        </w:rPr>
      </w:pPr>
    </w:p>
    <w:p w14:paraId="074EFB48">
      <w:pPr>
        <w:spacing w:before="240" w:beforeLines="100" w:after="120" w:afterLines="50" w:line="440" w:lineRule="exact"/>
        <w:jc w:val="left"/>
        <w:rPr>
          <w:rFonts w:ascii="宋体" w:hAnsi="宋体" w:eastAsia="宋体" w:cs="宋体"/>
          <w:color w:val="auto"/>
          <w:sz w:val="24"/>
          <w:szCs w:val="28"/>
        </w:rPr>
      </w:pPr>
      <w:r>
        <w:rPr>
          <w:rFonts w:ascii="宋体" w:hAnsi="宋体"/>
          <w:color w:val="auto"/>
          <w:sz w:val="24"/>
        </w:rPr>
        <w:t>1从业人员、营业收入、资产总额填报上一年度数据，无上一年度数据的新成立企业可不填报。</w:t>
      </w:r>
    </w:p>
    <w:p w14:paraId="0930FB2F">
      <w:pPr>
        <w:ind w:firstLine="400" w:firstLineChars="200"/>
        <w:jc w:val="left"/>
        <w:rPr>
          <w:rFonts w:ascii="宋体" w:hAnsi="宋体" w:eastAsia="宋体" w:cs="Times New Roman"/>
          <w:color w:val="auto"/>
          <w:sz w:val="20"/>
        </w:rPr>
      </w:pPr>
    </w:p>
    <w:p w14:paraId="3F61BB9A">
      <w:pPr>
        <w:rPr>
          <w:rFonts w:ascii="宋体" w:hAnsi="宋体" w:cs="宋体"/>
          <w:b/>
          <w:color w:val="auto"/>
          <w:sz w:val="24"/>
          <w:szCs w:val="28"/>
        </w:rPr>
      </w:pPr>
      <w:r>
        <w:rPr>
          <w:rFonts w:ascii="宋体" w:hAnsi="宋体" w:cs="宋体"/>
          <w:b/>
          <w:color w:val="auto"/>
          <w:sz w:val="24"/>
          <w:szCs w:val="28"/>
        </w:rPr>
        <w:br w:type="page"/>
      </w:r>
    </w:p>
    <w:p w14:paraId="1B8B2C43">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7、</w:t>
      </w:r>
      <w:r>
        <w:rPr>
          <w:rFonts w:hint="eastAsia" w:ascii="宋体" w:hAnsi="宋体" w:cs="宋体"/>
          <w:b/>
          <w:color w:val="auto"/>
          <w:sz w:val="24"/>
          <w:szCs w:val="28"/>
        </w:rPr>
        <w:t>服务方案</w:t>
      </w:r>
    </w:p>
    <w:p w14:paraId="553377BA">
      <w:pPr>
        <w:spacing w:line="460" w:lineRule="exact"/>
        <w:ind w:firstLine="880" w:firstLineChars="400"/>
        <w:jc w:val="left"/>
        <w:rPr>
          <w:rFonts w:ascii="宋体" w:hAnsi="宋体" w:eastAsia="宋体" w:cs="宋体"/>
          <w:color w:val="auto"/>
          <w:sz w:val="22"/>
          <w:szCs w:val="24"/>
        </w:rPr>
      </w:pPr>
    </w:p>
    <w:p w14:paraId="31AD2D25">
      <w:pPr>
        <w:spacing w:line="420" w:lineRule="exact"/>
        <w:ind w:firstLine="440" w:firstLineChars="200"/>
        <w:jc w:val="center"/>
        <w:rPr>
          <w:rFonts w:ascii="宋体" w:hAnsi="宋体" w:eastAsia="宋体" w:cs="宋体"/>
          <w:color w:val="auto"/>
          <w:sz w:val="22"/>
          <w:szCs w:val="24"/>
        </w:rPr>
      </w:pPr>
      <w:r>
        <w:rPr>
          <w:rFonts w:hint="eastAsia" w:ascii="宋体" w:hAnsi="宋体" w:eastAsia="宋体" w:cs="宋体"/>
          <w:color w:val="auto"/>
          <w:sz w:val="22"/>
          <w:szCs w:val="24"/>
        </w:rPr>
        <w:t>（根据项目特点自行编写，格式自拟。）</w:t>
      </w:r>
    </w:p>
    <w:p w14:paraId="3AF68004">
      <w:pPr>
        <w:spacing w:line="460" w:lineRule="exact"/>
        <w:jc w:val="left"/>
        <w:rPr>
          <w:rFonts w:ascii="宋体" w:hAnsi="宋体" w:eastAsia="宋体" w:cs="宋体"/>
          <w:color w:val="auto"/>
          <w:sz w:val="20"/>
          <w:szCs w:val="21"/>
        </w:rPr>
      </w:pPr>
      <w:r>
        <w:rPr>
          <w:rFonts w:hint="eastAsia" w:ascii="宋体" w:hAnsi="宋体" w:eastAsia="宋体" w:cs="宋体"/>
          <w:color w:val="auto"/>
          <w:sz w:val="20"/>
          <w:szCs w:val="21"/>
        </w:rPr>
        <w:br w:type="page"/>
      </w:r>
    </w:p>
    <w:p w14:paraId="5AA2B25D">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8、本项目拟配备人员（格式自拟）</w:t>
      </w:r>
    </w:p>
    <w:p w14:paraId="60FDC756">
      <w:pPr>
        <w:keepNext/>
        <w:keepLines/>
        <w:spacing w:before="260" w:after="260" w:line="416" w:lineRule="auto"/>
        <w:jc w:val="left"/>
        <w:outlineLvl w:val="1"/>
        <w:rPr>
          <w:rFonts w:ascii="宋体" w:hAnsi="宋体" w:eastAsia="宋体" w:cs="Times New Roman"/>
          <w:color w:val="auto"/>
          <w:sz w:val="22"/>
        </w:rPr>
      </w:pPr>
    </w:p>
    <w:p w14:paraId="2CCF3315">
      <w:pPr>
        <w:spacing w:before="120" w:beforeLines="50" w:after="240" w:afterLines="100" w:line="440" w:lineRule="exact"/>
        <w:jc w:val="left"/>
        <w:rPr>
          <w:rFonts w:ascii="宋体" w:hAnsi="宋体" w:eastAsia="宋体" w:cs="Times New Roman"/>
          <w:color w:val="auto"/>
          <w:sz w:val="22"/>
        </w:rPr>
      </w:pPr>
      <w:r>
        <w:rPr>
          <w:rFonts w:ascii="宋体" w:hAnsi="宋体" w:eastAsia="宋体" w:cs="Times New Roman"/>
          <w:color w:val="auto"/>
          <w:sz w:val="22"/>
        </w:rPr>
        <w:br w:type="page"/>
      </w:r>
    </w:p>
    <w:p w14:paraId="26DDE19A">
      <w:pPr>
        <w:pStyle w:val="25"/>
        <w:spacing w:line="460" w:lineRule="exact"/>
        <w:ind w:left="720" w:hanging="720" w:firstLineChars="0"/>
        <w:jc w:val="center"/>
        <w:rPr>
          <w:rFonts w:ascii="宋体" w:hAnsi="宋体" w:cs="宋体"/>
          <w:b/>
          <w:color w:val="auto"/>
          <w:sz w:val="24"/>
          <w:szCs w:val="28"/>
        </w:rPr>
      </w:pPr>
      <w:r>
        <w:rPr>
          <w:rFonts w:ascii="宋体" w:hAnsi="宋体" w:cs="宋体"/>
          <w:b/>
          <w:color w:val="auto"/>
          <w:sz w:val="24"/>
          <w:szCs w:val="28"/>
        </w:rPr>
        <w:t>9、</w:t>
      </w:r>
      <w:r>
        <w:rPr>
          <w:rFonts w:hint="eastAsia" w:ascii="宋体" w:hAnsi="宋体" w:cs="宋体"/>
          <w:b/>
          <w:color w:val="auto"/>
          <w:sz w:val="24"/>
          <w:szCs w:val="28"/>
        </w:rPr>
        <w:t>供应商可提交的其他材料</w:t>
      </w:r>
    </w:p>
    <w:p w14:paraId="64FB7E2D">
      <w:pPr>
        <w:spacing w:line="460" w:lineRule="exact"/>
        <w:ind w:left="420"/>
        <w:rPr>
          <w:rFonts w:ascii="宋体" w:hAnsi="宋体" w:eastAsia="宋体" w:cs="宋体"/>
          <w:b/>
          <w:color w:val="auto"/>
          <w:sz w:val="24"/>
          <w:szCs w:val="28"/>
        </w:rPr>
      </w:pPr>
    </w:p>
    <w:p w14:paraId="00826B97">
      <w:pPr>
        <w:tabs>
          <w:tab w:val="left" w:pos="608"/>
        </w:tabs>
        <w:autoSpaceDE w:val="0"/>
        <w:autoSpaceDN w:val="0"/>
        <w:ind w:left="142"/>
        <w:jc w:val="left"/>
        <w:rPr>
          <w:rFonts w:ascii="宋体" w:hAnsi="宋体" w:eastAsia="宋体" w:cs="宋体"/>
          <w:color w:val="auto"/>
          <w:kern w:val="0"/>
          <w:sz w:val="24"/>
        </w:rPr>
      </w:pPr>
      <w:r>
        <w:rPr>
          <w:rFonts w:hint="eastAsia" w:ascii="宋体" w:hAnsi="宋体" w:eastAsia="宋体" w:cs="宋体"/>
          <w:color w:val="auto"/>
          <w:spacing w:val="2"/>
          <w:kern w:val="0"/>
          <w:sz w:val="24"/>
        </w:rPr>
        <w:t>9.1</w:t>
      </w:r>
      <w:r>
        <w:rPr>
          <w:rFonts w:ascii="宋体" w:hAnsi="宋体" w:eastAsia="宋体" w:cs="宋体"/>
          <w:color w:val="auto"/>
          <w:spacing w:val="2"/>
          <w:kern w:val="0"/>
          <w:sz w:val="24"/>
        </w:rPr>
        <w:t>虚假应标承担责任声明</w:t>
      </w:r>
    </w:p>
    <w:p w14:paraId="62ACD5EA">
      <w:pPr>
        <w:autoSpaceDE w:val="0"/>
        <w:autoSpaceDN w:val="0"/>
        <w:spacing w:before="2"/>
        <w:jc w:val="left"/>
        <w:rPr>
          <w:rFonts w:ascii="宋体" w:hAnsi="宋体" w:eastAsia="宋体" w:cs="宋体"/>
          <w:color w:val="auto"/>
          <w:kern w:val="0"/>
          <w:sz w:val="12"/>
          <w:szCs w:val="21"/>
        </w:rPr>
      </w:pPr>
    </w:p>
    <w:p w14:paraId="39B8CC71">
      <w:pPr>
        <w:autoSpaceDE w:val="0"/>
        <w:autoSpaceDN w:val="0"/>
        <w:jc w:val="left"/>
        <w:rPr>
          <w:rFonts w:ascii="宋体" w:hAnsi="宋体" w:eastAsia="宋体" w:cs="宋体"/>
          <w:color w:val="auto"/>
          <w:kern w:val="0"/>
          <w:sz w:val="12"/>
        </w:rPr>
        <w:sectPr>
          <w:pgSz w:w="11910" w:h="16840"/>
          <w:pgMar w:top="1460" w:right="1680" w:bottom="1400" w:left="1680" w:header="0" w:footer="1201" w:gutter="0"/>
          <w:cols w:space="720" w:num="1"/>
        </w:sectPr>
      </w:pPr>
    </w:p>
    <w:p w14:paraId="390E8766">
      <w:pPr>
        <w:autoSpaceDE w:val="0"/>
        <w:autoSpaceDN w:val="0"/>
        <w:jc w:val="left"/>
        <w:rPr>
          <w:rFonts w:ascii="宋体" w:hAnsi="宋体" w:eastAsia="宋体" w:cs="宋体"/>
          <w:color w:val="auto"/>
          <w:kern w:val="0"/>
          <w:sz w:val="22"/>
          <w:szCs w:val="21"/>
        </w:rPr>
      </w:pPr>
    </w:p>
    <w:p w14:paraId="61E9B834">
      <w:pPr>
        <w:tabs>
          <w:tab w:val="left" w:pos="1502"/>
        </w:tabs>
        <w:autoSpaceDE w:val="0"/>
        <w:autoSpaceDN w:val="0"/>
        <w:spacing w:before="155"/>
        <w:jc w:val="left"/>
        <w:rPr>
          <w:rFonts w:ascii="宋体" w:hAnsi="宋体" w:eastAsia="宋体" w:cs="宋体"/>
          <w:color w:val="auto"/>
          <w:kern w:val="0"/>
          <w:szCs w:val="21"/>
        </w:rPr>
      </w:pPr>
      <w:r>
        <w:rPr>
          <w:rFonts w:ascii="宋体" w:hAnsi="宋体" w:eastAsia="宋体" w:cs="宋体"/>
          <w:color w:val="auto"/>
          <w:kern w:val="0"/>
          <w:szCs w:val="21"/>
        </w:rPr>
        <w:t>致</w:t>
      </w:r>
      <w:r>
        <w:rPr>
          <w:rFonts w:ascii="Times New Roman" w:hAnsi="宋体" w:eastAsia="Times New Roman" w:cs="宋体"/>
          <w:color w:val="auto"/>
          <w:kern w:val="0"/>
          <w:szCs w:val="21"/>
          <w:u w:val="single"/>
        </w:rPr>
        <w:t xml:space="preserve"> </w:t>
      </w:r>
      <w:r>
        <w:rPr>
          <w:rFonts w:ascii="Times New Roman" w:hAnsi="宋体" w:eastAsia="Times New Roman" w:cs="宋体"/>
          <w:color w:val="auto"/>
          <w:kern w:val="0"/>
          <w:szCs w:val="21"/>
          <w:u w:val="single"/>
        </w:rPr>
        <w:tab/>
      </w:r>
      <w:r>
        <w:rPr>
          <w:rFonts w:ascii="宋体" w:hAnsi="宋体" w:eastAsia="宋体" w:cs="宋体"/>
          <w:color w:val="auto"/>
          <w:kern w:val="0"/>
          <w:szCs w:val="21"/>
        </w:rPr>
        <w:t>（采购人）:</w:t>
      </w:r>
    </w:p>
    <w:p w14:paraId="70F2011C">
      <w:pPr>
        <w:autoSpaceDE w:val="0"/>
        <w:autoSpaceDN w:val="0"/>
        <w:spacing w:before="37"/>
        <w:jc w:val="left"/>
        <w:outlineLvl w:val="4"/>
        <w:rPr>
          <w:rFonts w:ascii="宋体" w:hAnsi="宋体" w:eastAsia="宋体" w:cs="宋体"/>
          <w:bCs/>
          <w:color w:val="auto"/>
          <w:kern w:val="0"/>
          <w:szCs w:val="21"/>
        </w:rPr>
      </w:pPr>
      <w:r>
        <w:rPr>
          <w:rFonts w:ascii="宋体" w:hAnsi="宋体" w:eastAsia="宋体" w:cs="宋体"/>
          <w:bCs/>
          <w:color w:val="auto"/>
          <w:kern w:val="0"/>
          <w:szCs w:val="21"/>
        </w:rPr>
        <w:br w:type="column"/>
      </w:r>
      <w:r>
        <w:rPr>
          <w:rFonts w:ascii="宋体" w:hAnsi="宋体" w:eastAsia="宋体" w:cs="宋体"/>
          <w:bCs/>
          <w:color w:val="auto"/>
          <w:kern w:val="0"/>
          <w:szCs w:val="21"/>
        </w:rPr>
        <w:t>虚假应标承担责任声明</w:t>
      </w:r>
    </w:p>
    <w:p w14:paraId="7FA84B53">
      <w:pPr>
        <w:autoSpaceDE w:val="0"/>
        <w:autoSpaceDN w:val="0"/>
        <w:jc w:val="left"/>
        <w:rPr>
          <w:rFonts w:ascii="宋体" w:hAnsi="宋体" w:eastAsia="宋体" w:cs="宋体"/>
          <w:color w:val="auto"/>
          <w:kern w:val="0"/>
          <w:sz w:val="22"/>
        </w:rPr>
        <w:sectPr>
          <w:type w:val="continuous"/>
          <w:pgSz w:w="11910" w:h="16840"/>
          <w:pgMar w:top="1560" w:right="1680" w:bottom="280" w:left="1680" w:header="720" w:footer="720" w:gutter="0"/>
          <w:cols w:equalWidth="0" w:num="2">
            <w:col w:w="2675" w:space="409"/>
            <w:col w:w="5466"/>
          </w:cols>
        </w:sectPr>
      </w:pPr>
    </w:p>
    <w:p w14:paraId="349C5BBC">
      <w:pPr>
        <w:autoSpaceDE w:val="0"/>
        <w:autoSpaceDN w:val="0"/>
        <w:spacing w:before="130" w:line="424" w:lineRule="auto"/>
        <w:ind w:right="129" w:firstLine="425" w:firstLineChars="199"/>
        <w:rPr>
          <w:rFonts w:ascii="宋体" w:hAnsi="宋体" w:eastAsia="宋体" w:cs="宋体"/>
          <w:color w:val="auto"/>
          <w:kern w:val="0"/>
          <w:szCs w:val="21"/>
        </w:rPr>
      </w:pPr>
      <w:r>
        <w:rPr>
          <w:rFonts w:ascii="宋体" w:hAnsi="宋体" w:eastAsia="宋体" w:cs="宋体"/>
          <w:color w:val="auto"/>
          <w:spacing w:val="2"/>
          <w:kern w:val="0"/>
          <w:szCs w:val="21"/>
        </w:rPr>
        <w:t>我</w:t>
      </w:r>
      <w:r>
        <w:rPr>
          <w:rFonts w:ascii="宋体" w:hAnsi="宋体" w:eastAsia="宋体" w:cs="宋体"/>
          <w:color w:val="auto"/>
          <w:kern w:val="0"/>
          <w:szCs w:val="21"/>
        </w:rPr>
        <w:t>公</w:t>
      </w:r>
      <w:r>
        <w:rPr>
          <w:rFonts w:ascii="宋体" w:hAnsi="宋体" w:eastAsia="宋体" w:cs="宋体"/>
          <w:color w:val="auto"/>
          <w:spacing w:val="2"/>
          <w:kern w:val="0"/>
          <w:szCs w:val="21"/>
        </w:rPr>
        <w:t>司承诺</w:t>
      </w:r>
      <w:r>
        <w:rPr>
          <w:rFonts w:ascii="宋体" w:hAnsi="宋体" w:eastAsia="宋体" w:cs="宋体"/>
          <w:color w:val="auto"/>
          <w:kern w:val="0"/>
          <w:szCs w:val="21"/>
        </w:rPr>
        <w:t>所</w:t>
      </w:r>
      <w:r>
        <w:rPr>
          <w:rFonts w:ascii="宋体" w:hAnsi="宋体" w:eastAsia="宋体" w:cs="宋体"/>
          <w:color w:val="auto"/>
          <w:spacing w:val="2"/>
          <w:kern w:val="0"/>
          <w:szCs w:val="21"/>
        </w:rPr>
        <w:t>提供的</w:t>
      </w:r>
      <w:r>
        <w:rPr>
          <w:rFonts w:ascii="宋体" w:hAnsi="宋体" w:eastAsia="宋体" w:cs="宋体"/>
          <w:color w:val="auto"/>
          <w:kern w:val="0"/>
          <w:szCs w:val="21"/>
        </w:rPr>
        <w:t>响</w:t>
      </w:r>
      <w:r>
        <w:rPr>
          <w:rFonts w:ascii="宋体" w:hAnsi="宋体" w:eastAsia="宋体" w:cs="宋体"/>
          <w:color w:val="auto"/>
          <w:spacing w:val="2"/>
          <w:kern w:val="0"/>
          <w:szCs w:val="21"/>
        </w:rPr>
        <w:t>应文</w:t>
      </w:r>
      <w:r>
        <w:rPr>
          <w:rFonts w:ascii="宋体" w:hAnsi="宋体" w:eastAsia="宋体" w:cs="宋体"/>
          <w:color w:val="auto"/>
          <w:kern w:val="0"/>
          <w:szCs w:val="21"/>
        </w:rPr>
        <w:t>件</w:t>
      </w:r>
      <w:r>
        <w:rPr>
          <w:rFonts w:ascii="宋体" w:hAnsi="宋体" w:eastAsia="宋体" w:cs="宋体"/>
          <w:color w:val="auto"/>
          <w:spacing w:val="2"/>
          <w:kern w:val="0"/>
          <w:szCs w:val="21"/>
        </w:rPr>
        <w:t>（包括</w:t>
      </w:r>
      <w:r>
        <w:rPr>
          <w:rFonts w:ascii="宋体" w:hAnsi="宋体" w:eastAsia="宋体" w:cs="宋体"/>
          <w:color w:val="auto"/>
          <w:kern w:val="0"/>
          <w:szCs w:val="21"/>
        </w:rPr>
        <w:t>一</w:t>
      </w:r>
      <w:r>
        <w:rPr>
          <w:rFonts w:ascii="宋体" w:hAnsi="宋体" w:eastAsia="宋体" w:cs="宋体"/>
          <w:color w:val="auto"/>
          <w:spacing w:val="2"/>
          <w:kern w:val="0"/>
          <w:szCs w:val="21"/>
        </w:rPr>
        <w:t>切技术</w:t>
      </w:r>
      <w:r>
        <w:rPr>
          <w:rFonts w:ascii="宋体" w:hAnsi="宋体" w:eastAsia="宋体" w:cs="宋体"/>
          <w:color w:val="auto"/>
          <w:kern w:val="0"/>
          <w:szCs w:val="21"/>
        </w:rPr>
        <w:t>资</w:t>
      </w:r>
      <w:r>
        <w:rPr>
          <w:rFonts w:ascii="宋体" w:hAnsi="宋体" w:eastAsia="宋体" w:cs="宋体"/>
          <w:color w:val="auto"/>
          <w:spacing w:val="2"/>
          <w:kern w:val="0"/>
          <w:szCs w:val="21"/>
        </w:rPr>
        <w:t>料、</w:t>
      </w:r>
      <w:r>
        <w:rPr>
          <w:rFonts w:ascii="宋体" w:hAnsi="宋体" w:eastAsia="宋体" w:cs="宋体"/>
          <w:color w:val="auto"/>
          <w:kern w:val="0"/>
          <w:szCs w:val="21"/>
        </w:rPr>
        <w:t>技</w:t>
      </w:r>
      <w:r>
        <w:rPr>
          <w:rFonts w:ascii="宋体" w:hAnsi="宋体" w:eastAsia="宋体" w:cs="宋体"/>
          <w:color w:val="auto"/>
          <w:spacing w:val="2"/>
          <w:kern w:val="0"/>
          <w:szCs w:val="21"/>
        </w:rPr>
        <w:t>术承诺</w:t>
      </w:r>
      <w:r>
        <w:rPr>
          <w:rFonts w:ascii="宋体" w:hAnsi="宋体" w:eastAsia="宋体" w:cs="宋体"/>
          <w:color w:val="auto"/>
          <w:kern w:val="0"/>
          <w:szCs w:val="21"/>
        </w:rPr>
        <w:t>、</w:t>
      </w:r>
      <w:r>
        <w:rPr>
          <w:rFonts w:ascii="宋体" w:hAnsi="宋体" w:eastAsia="宋体" w:cs="宋体"/>
          <w:color w:val="auto"/>
          <w:spacing w:val="2"/>
          <w:kern w:val="0"/>
          <w:szCs w:val="21"/>
        </w:rPr>
        <w:t>商务承</w:t>
      </w:r>
      <w:r>
        <w:rPr>
          <w:rFonts w:ascii="宋体" w:hAnsi="宋体" w:eastAsia="宋体" w:cs="宋体"/>
          <w:color w:val="auto"/>
          <w:kern w:val="0"/>
          <w:szCs w:val="21"/>
        </w:rPr>
        <w:t>诺</w:t>
      </w:r>
      <w:r>
        <w:rPr>
          <w:rFonts w:ascii="宋体" w:hAnsi="宋体" w:eastAsia="宋体" w:cs="宋体"/>
          <w:color w:val="auto"/>
          <w:spacing w:val="2"/>
          <w:kern w:val="0"/>
          <w:szCs w:val="21"/>
        </w:rPr>
        <w:t>等）</w:t>
      </w:r>
      <w:r>
        <w:rPr>
          <w:rFonts w:ascii="宋体" w:hAnsi="宋体" w:eastAsia="宋体" w:cs="宋体"/>
          <w:color w:val="auto"/>
          <w:kern w:val="0"/>
          <w:szCs w:val="21"/>
        </w:rPr>
        <w:t>均</w:t>
      </w:r>
      <w:r>
        <w:rPr>
          <w:rFonts w:ascii="宋体" w:hAnsi="宋体" w:eastAsia="宋体" w:cs="宋体"/>
          <w:color w:val="auto"/>
          <w:spacing w:val="2"/>
          <w:kern w:val="0"/>
          <w:szCs w:val="21"/>
        </w:rPr>
        <w:t>真</w:t>
      </w:r>
      <w:r>
        <w:rPr>
          <w:rFonts w:ascii="宋体" w:hAnsi="宋体" w:eastAsia="宋体" w:cs="宋体"/>
          <w:color w:val="auto"/>
          <w:kern w:val="0"/>
          <w:szCs w:val="21"/>
        </w:rPr>
        <w:t>实</w:t>
      </w:r>
      <w:r>
        <w:rPr>
          <w:rFonts w:ascii="宋体" w:hAnsi="宋体" w:eastAsia="宋体" w:cs="宋体"/>
          <w:color w:val="auto"/>
          <w:spacing w:val="2"/>
          <w:kern w:val="0"/>
          <w:szCs w:val="21"/>
        </w:rPr>
        <w:t>有</w:t>
      </w:r>
      <w:r>
        <w:rPr>
          <w:rFonts w:ascii="宋体" w:hAnsi="宋体" w:eastAsia="宋体" w:cs="宋体"/>
          <w:color w:val="auto"/>
          <w:kern w:val="0"/>
          <w:szCs w:val="21"/>
        </w:rPr>
        <w:t>效</w:t>
      </w:r>
      <w:r>
        <w:rPr>
          <w:rFonts w:ascii="宋体" w:hAnsi="宋体" w:eastAsia="宋体" w:cs="宋体"/>
          <w:color w:val="auto"/>
          <w:spacing w:val="2"/>
          <w:kern w:val="0"/>
          <w:szCs w:val="21"/>
        </w:rPr>
        <w:t>，若在</w:t>
      </w:r>
      <w:r>
        <w:rPr>
          <w:rFonts w:ascii="宋体" w:hAnsi="宋体" w:eastAsia="宋体" w:cs="宋体"/>
          <w:color w:val="auto"/>
          <w:kern w:val="0"/>
          <w:szCs w:val="21"/>
        </w:rPr>
        <w:t>项</w:t>
      </w:r>
      <w:r>
        <w:rPr>
          <w:rFonts w:ascii="宋体" w:hAnsi="宋体" w:eastAsia="宋体" w:cs="宋体"/>
          <w:color w:val="auto"/>
          <w:spacing w:val="2"/>
          <w:kern w:val="0"/>
          <w:szCs w:val="21"/>
        </w:rPr>
        <w:t>目招标</w:t>
      </w:r>
      <w:r>
        <w:rPr>
          <w:rFonts w:ascii="宋体" w:hAnsi="宋体" w:eastAsia="宋体" w:cs="宋体"/>
          <w:color w:val="auto"/>
          <w:kern w:val="0"/>
          <w:szCs w:val="21"/>
        </w:rPr>
        <w:t>过</w:t>
      </w:r>
      <w:r>
        <w:rPr>
          <w:rFonts w:ascii="宋体" w:hAnsi="宋体" w:eastAsia="宋体" w:cs="宋体"/>
          <w:color w:val="auto"/>
          <w:spacing w:val="2"/>
          <w:kern w:val="0"/>
          <w:szCs w:val="21"/>
        </w:rPr>
        <w:t>程中</w:t>
      </w:r>
      <w:r>
        <w:rPr>
          <w:rFonts w:ascii="宋体" w:hAnsi="宋体" w:eastAsia="宋体" w:cs="宋体"/>
          <w:color w:val="auto"/>
          <w:kern w:val="0"/>
          <w:szCs w:val="21"/>
        </w:rPr>
        <w:t>（</w:t>
      </w:r>
      <w:r>
        <w:rPr>
          <w:rFonts w:ascii="宋体" w:hAnsi="宋体" w:eastAsia="宋体" w:cs="宋体"/>
          <w:color w:val="auto"/>
          <w:spacing w:val="2"/>
          <w:kern w:val="0"/>
          <w:szCs w:val="21"/>
        </w:rPr>
        <w:t>包括开</w:t>
      </w:r>
      <w:r>
        <w:rPr>
          <w:rFonts w:ascii="宋体" w:hAnsi="宋体" w:eastAsia="宋体" w:cs="宋体"/>
          <w:color w:val="auto"/>
          <w:kern w:val="0"/>
          <w:szCs w:val="21"/>
        </w:rPr>
        <w:t>评</w:t>
      </w:r>
      <w:r>
        <w:rPr>
          <w:rFonts w:ascii="宋体" w:hAnsi="宋体" w:eastAsia="宋体" w:cs="宋体"/>
          <w:color w:val="auto"/>
          <w:spacing w:val="2"/>
          <w:kern w:val="0"/>
          <w:szCs w:val="21"/>
        </w:rPr>
        <w:t>标、中</w:t>
      </w:r>
      <w:r>
        <w:rPr>
          <w:rFonts w:ascii="宋体" w:hAnsi="宋体" w:eastAsia="宋体" w:cs="宋体"/>
          <w:color w:val="auto"/>
          <w:kern w:val="0"/>
          <w:szCs w:val="21"/>
        </w:rPr>
        <w:t>标</w:t>
      </w:r>
      <w:r>
        <w:rPr>
          <w:rFonts w:ascii="宋体" w:hAnsi="宋体" w:eastAsia="宋体" w:cs="宋体"/>
          <w:color w:val="auto"/>
          <w:spacing w:val="2"/>
          <w:kern w:val="0"/>
          <w:szCs w:val="21"/>
        </w:rPr>
        <w:t>公示</w:t>
      </w:r>
      <w:r>
        <w:rPr>
          <w:rFonts w:ascii="宋体" w:hAnsi="宋体" w:eastAsia="宋体" w:cs="宋体"/>
          <w:color w:val="auto"/>
          <w:kern w:val="0"/>
          <w:szCs w:val="21"/>
        </w:rPr>
        <w:t>过</w:t>
      </w:r>
      <w:r>
        <w:rPr>
          <w:rFonts w:ascii="宋体" w:hAnsi="宋体" w:eastAsia="宋体" w:cs="宋体"/>
          <w:color w:val="auto"/>
          <w:spacing w:val="2"/>
          <w:kern w:val="0"/>
          <w:szCs w:val="21"/>
        </w:rPr>
        <w:t>程）及</w:t>
      </w:r>
      <w:r>
        <w:rPr>
          <w:rFonts w:ascii="宋体" w:hAnsi="宋体" w:eastAsia="宋体" w:cs="宋体"/>
          <w:color w:val="auto"/>
          <w:kern w:val="0"/>
          <w:szCs w:val="21"/>
        </w:rPr>
        <w:t>履</w:t>
      </w:r>
      <w:r>
        <w:rPr>
          <w:rFonts w:ascii="宋体" w:hAnsi="宋体" w:eastAsia="宋体" w:cs="宋体"/>
          <w:color w:val="auto"/>
          <w:spacing w:val="2"/>
          <w:kern w:val="0"/>
          <w:szCs w:val="21"/>
        </w:rPr>
        <w:t>行合同</w:t>
      </w:r>
      <w:r>
        <w:rPr>
          <w:rFonts w:ascii="宋体" w:hAnsi="宋体" w:eastAsia="宋体" w:cs="宋体"/>
          <w:color w:val="auto"/>
          <w:kern w:val="0"/>
          <w:szCs w:val="21"/>
        </w:rPr>
        <w:t>期</w:t>
      </w:r>
      <w:r>
        <w:rPr>
          <w:rFonts w:ascii="宋体" w:hAnsi="宋体" w:eastAsia="宋体" w:cs="宋体"/>
          <w:color w:val="auto"/>
          <w:spacing w:val="2"/>
          <w:kern w:val="0"/>
          <w:szCs w:val="21"/>
        </w:rPr>
        <w:t>间发现我</w:t>
      </w:r>
      <w:r>
        <w:rPr>
          <w:rFonts w:ascii="宋体" w:hAnsi="宋体" w:eastAsia="宋体" w:cs="宋体"/>
          <w:color w:val="auto"/>
          <w:kern w:val="0"/>
          <w:szCs w:val="21"/>
        </w:rPr>
        <w:t>公</w:t>
      </w:r>
      <w:r>
        <w:rPr>
          <w:rFonts w:ascii="宋体" w:hAnsi="宋体" w:eastAsia="宋体" w:cs="宋体"/>
          <w:color w:val="auto"/>
          <w:spacing w:val="2"/>
          <w:kern w:val="0"/>
          <w:szCs w:val="21"/>
        </w:rPr>
        <w:t>司服务</w:t>
      </w:r>
      <w:r>
        <w:rPr>
          <w:rFonts w:ascii="宋体" w:hAnsi="宋体" w:eastAsia="宋体" w:cs="宋体"/>
          <w:color w:val="auto"/>
          <w:kern w:val="0"/>
          <w:szCs w:val="21"/>
        </w:rPr>
        <w:t>与</w:t>
      </w:r>
      <w:r>
        <w:rPr>
          <w:rFonts w:ascii="宋体" w:hAnsi="宋体" w:eastAsia="宋体" w:cs="宋体"/>
          <w:color w:val="auto"/>
          <w:spacing w:val="2"/>
          <w:kern w:val="0"/>
          <w:szCs w:val="21"/>
        </w:rPr>
        <w:t>投标</w:t>
      </w:r>
      <w:r>
        <w:rPr>
          <w:rFonts w:ascii="宋体" w:hAnsi="宋体" w:eastAsia="宋体" w:cs="宋体"/>
          <w:color w:val="auto"/>
          <w:kern w:val="0"/>
          <w:szCs w:val="21"/>
        </w:rPr>
        <w:t>响</w:t>
      </w:r>
      <w:r>
        <w:rPr>
          <w:rFonts w:ascii="宋体" w:hAnsi="宋体" w:eastAsia="宋体" w:cs="宋体"/>
          <w:color w:val="auto"/>
          <w:spacing w:val="2"/>
          <w:kern w:val="0"/>
          <w:szCs w:val="21"/>
        </w:rPr>
        <w:t>应（文</w:t>
      </w:r>
      <w:r>
        <w:rPr>
          <w:rFonts w:ascii="宋体" w:hAnsi="宋体" w:eastAsia="宋体" w:cs="宋体"/>
          <w:color w:val="auto"/>
          <w:kern w:val="0"/>
          <w:szCs w:val="21"/>
        </w:rPr>
        <w:t>件</w:t>
      </w:r>
      <w:r>
        <w:rPr>
          <w:rFonts w:ascii="宋体" w:hAnsi="宋体" w:eastAsia="宋体" w:cs="宋体"/>
          <w:color w:val="auto"/>
          <w:spacing w:val="2"/>
          <w:kern w:val="0"/>
          <w:szCs w:val="21"/>
        </w:rPr>
        <w:t>）不一</w:t>
      </w:r>
      <w:r>
        <w:rPr>
          <w:rFonts w:ascii="宋体" w:hAnsi="宋体" w:eastAsia="宋体" w:cs="宋体"/>
          <w:color w:val="auto"/>
          <w:kern w:val="0"/>
          <w:szCs w:val="21"/>
        </w:rPr>
        <w:t>致</w:t>
      </w:r>
      <w:r>
        <w:rPr>
          <w:rFonts w:ascii="宋体" w:hAnsi="宋体" w:eastAsia="宋体" w:cs="宋体"/>
          <w:color w:val="auto"/>
          <w:spacing w:val="2"/>
          <w:kern w:val="0"/>
          <w:szCs w:val="21"/>
        </w:rPr>
        <w:t>，或</w:t>
      </w:r>
      <w:r>
        <w:rPr>
          <w:rFonts w:ascii="宋体" w:hAnsi="宋体" w:eastAsia="宋体" w:cs="宋体"/>
          <w:color w:val="auto"/>
          <w:kern w:val="0"/>
          <w:szCs w:val="21"/>
        </w:rPr>
        <w:t>发</w:t>
      </w:r>
      <w:r>
        <w:rPr>
          <w:rFonts w:ascii="宋体" w:hAnsi="宋体" w:eastAsia="宋体" w:cs="宋体"/>
          <w:color w:val="auto"/>
          <w:spacing w:val="2"/>
          <w:kern w:val="0"/>
          <w:szCs w:val="21"/>
        </w:rPr>
        <w:t>现我公</w:t>
      </w:r>
      <w:r>
        <w:rPr>
          <w:rFonts w:ascii="宋体" w:hAnsi="宋体" w:eastAsia="宋体" w:cs="宋体"/>
          <w:color w:val="auto"/>
          <w:kern w:val="0"/>
          <w:szCs w:val="21"/>
        </w:rPr>
        <w:t>司</w:t>
      </w:r>
      <w:r>
        <w:rPr>
          <w:rFonts w:ascii="宋体" w:hAnsi="宋体" w:eastAsia="宋体" w:cs="宋体"/>
          <w:color w:val="auto"/>
          <w:spacing w:val="2"/>
          <w:kern w:val="0"/>
          <w:szCs w:val="21"/>
        </w:rPr>
        <w:t>提供了</w:t>
      </w:r>
      <w:r>
        <w:rPr>
          <w:rFonts w:ascii="宋体" w:hAnsi="宋体" w:eastAsia="宋体" w:cs="宋体"/>
          <w:color w:val="auto"/>
          <w:kern w:val="0"/>
          <w:szCs w:val="21"/>
        </w:rPr>
        <w:t>不</w:t>
      </w:r>
      <w:r>
        <w:rPr>
          <w:rFonts w:ascii="宋体" w:hAnsi="宋体" w:eastAsia="宋体" w:cs="宋体"/>
          <w:color w:val="auto"/>
          <w:spacing w:val="2"/>
          <w:kern w:val="0"/>
          <w:szCs w:val="21"/>
        </w:rPr>
        <w:t>真实</w:t>
      </w:r>
      <w:r>
        <w:rPr>
          <w:rFonts w:ascii="宋体" w:hAnsi="宋体" w:eastAsia="宋体" w:cs="宋体"/>
          <w:color w:val="auto"/>
          <w:kern w:val="0"/>
          <w:szCs w:val="21"/>
        </w:rPr>
        <w:t>的</w:t>
      </w:r>
      <w:r>
        <w:rPr>
          <w:rFonts w:ascii="宋体" w:hAnsi="宋体" w:eastAsia="宋体" w:cs="宋体"/>
          <w:color w:val="auto"/>
          <w:spacing w:val="2"/>
          <w:kern w:val="0"/>
          <w:szCs w:val="21"/>
        </w:rPr>
        <w:t>响应文</w:t>
      </w:r>
      <w:r>
        <w:rPr>
          <w:rFonts w:ascii="宋体" w:hAnsi="宋体" w:eastAsia="宋体" w:cs="宋体"/>
          <w:color w:val="auto"/>
          <w:kern w:val="0"/>
          <w:szCs w:val="21"/>
        </w:rPr>
        <w:t>件</w:t>
      </w:r>
      <w:r>
        <w:rPr>
          <w:rFonts w:ascii="宋体" w:hAnsi="宋体" w:eastAsia="宋体" w:cs="宋体"/>
          <w:color w:val="auto"/>
          <w:spacing w:val="2"/>
          <w:kern w:val="0"/>
          <w:szCs w:val="21"/>
        </w:rPr>
        <w:t>（</w:t>
      </w:r>
      <w:r>
        <w:rPr>
          <w:rFonts w:ascii="宋体" w:hAnsi="宋体" w:eastAsia="宋体" w:cs="宋体"/>
          <w:color w:val="auto"/>
          <w:kern w:val="0"/>
          <w:szCs w:val="21"/>
        </w:rPr>
        <w:t>虚</w:t>
      </w:r>
      <w:r>
        <w:rPr>
          <w:rFonts w:ascii="宋体" w:hAnsi="宋体" w:eastAsia="宋体" w:cs="宋体"/>
          <w:color w:val="auto"/>
          <w:spacing w:val="2"/>
          <w:kern w:val="0"/>
          <w:szCs w:val="21"/>
        </w:rPr>
        <w:t>假材料</w:t>
      </w:r>
      <w:r>
        <w:rPr>
          <w:rFonts w:ascii="宋体" w:hAnsi="宋体" w:eastAsia="宋体" w:cs="宋体"/>
          <w:color w:val="auto"/>
          <w:kern w:val="0"/>
          <w:szCs w:val="21"/>
        </w:rPr>
        <w:t>）</w:t>
      </w:r>
      <w:r>
        <w:rPr>
          <w:rFonts w:ascii="宋体" w:hAnsi="宋体" w:eastAsia="宋体" w:cs="宋体"/>
          <w:color w:val="auto"/>
          <w:spacing w:val="2"/>
          <w:kern w:val="0"/>
          <w:szCs w:val="21"/>
        </w:rPr>
        <w:t>，我公</w:t>
      </w:r>
      <w:r>
        <w:rPr>
          <w:rFonts w:ascii="宋体" w:hAnsi="宋体" w:eastAsia="宋体" w:cs="宋体"/>
          <w:color w:val="auto"/>
          <w:kern w:val="0"/>
          <w:szCs w:val="21"/>
        </w:rPr>
        <w:t>司</w:t>
      </w:r>
      <w:r>
        <w:rPr>
          <w:rFonts w:ascii="宋体" w:hAnsi="宋体" w:eastAsia="宋体" w:cs="宋体"/>
          <w:color w:val="auto"/>
          <w:spacing w:val="2"/>
          <w:kern w:val="0"/>
          <w:szCs w:val="21"/>
        </w:rPr>
        <w:t>愿意</w:t>
      </w:r>
      <w:r>
        <w:rPr>
          <w:rFonts w:ascii="宋体" w:hAnsi="宋体" w:eastAsia="宋体" w:cs="宋体"/>
          <w:color w:val="auto"/>
          <w:kern w:val="0"/>
          <w:szCs w:val="21"/>
        </w:rPr>
        <w:t>承</w:t>
      </w:r>
      <w:r>
        <w:rPr>
          <w:rFonts w:ascii="宋体" w:hAnsi="宋体" w:eastAsia="宋体" w:cs="宋体"/>
          <w:color w:val="auto"/>
          <w:spacing w:val="2"/>
          <w:kern w:val="0"/>
          <w:szCs w:val="21"/>
        </w:rPr>
        <w:t>担一切</w:t>
      </w:r>
      <w:r>
        <w:rPr>
          <w:rFonts w:ascii="宋体" w:hAnsi="宋体" w:eastAsia="宋体" w:cs="宋体"/>
          <w:color w:val="auto"/>
          <w:kern w:val="0"/>
          <w:szCs w:val="21"/>
        </w:rPr>
        <w:t>法</w:t>
      </w:r>
      <w:r>
        <w:rPr>
          <w:rFonts w:ascii="宋体" w:hAnsi="宋体" w:eastAsia="宋体" w:cs="宋体"/>
          <w:color w:val="auto"/>
          <w:spacing w:val="2"/>
          <w:kern w:val="0"/>
          <w:szCs w:val="21"/>
        </w:rPr>
        <w:t>律责任</w:t>
      </w:r>
      <w:r>
        <w:rPr>
          <w:rFonts w:ascii="宋体" w:hAnsi="宋体" w:eastAsia="宋体" w:cs="宋体"/>
          <w:color w:val="auto"/>
          <w:kern w:val="0"/>
          <w:szCs w:val="21"/>
        </w:rPr>
        <w:t>并</w:t>
      </w:r>
      <w:r>
        <w:rPr>
          <w:rFonts w:ascii="宋体" w:hAnsi="宋体" w:eastAsia="宋体" w:cs="宋体"/>
          <w:color w:val="auto"/>
          <w:spacing w:val="2"/>
          <w:kern w:val="0"/>
          <w:szCs w:val="21"/>
        </w:rPr>
        <w:t>认可</w:t>
      </w:r>
      <w:r>
        <w:rPr>
          <w:rFonts w:ascii="宋体" w:hAnsi="宋体" w:eastAsia="宋体" w:cs="宋体"/>
          <w:color w:val="auto"/>
          <w:kern w:val="0"/>
          <w:szCs w:val="21"/>
        </w:rPr>
        <w:t>采</w:t>
      </w:r>
      <w:r>
        <w:rPr>
          <w:rFonts w:ascii="宋体" w:hAnsi="宋体" w:eastAsia="宋体" w:cs="宋体"/>
          <w:color w:val="auto"/>
          <w:spacing w:val="2"/>
          <w:kern w:val="0"/>
          <w:szCs w:val="21"/>
        </w:rPr>
        <w:t>购人或</w:t>
      </w:r>
      <w:r>
        <w:rPr>
          <w:rFonts w:ascii="宋体" w:hAnsi="宋体" w:eastAsia="宋体" w:cs="宋体"/>
          <w:color w:val="auto"/>
          <w:kern w:val="0"/>
          <w:szCs w:val="21"/>
        </w:rPr>
        <w:t>采</w:t>
      </w:r>
      <w:r>
        <w:rPr>
          <w:rFonts w:ascii="宋体" w:hAnsi="宋体" w:eastAsia="宋体" w:cs="宋体"/>
          <w:color w:val="auto"/>
          <w:spacing w:val="2"/>
          <w:kern w:val="0"/>
          <w:szCs w:val="21"/>
        </w:rPr>
        <w:t>购代理</w:t>
      </w:r>
      <w:r>
        <w:rPr>
          <w:rFonts w:ascii="宋体" w:hAnsi="宋体" w:eastAsia="宋体" w:cs="宋体"/>
          <w:color w:val="auto"/>
          <w:kern w:val="0"/>
          <w:szCs w:val="21"/>
        </w:rPr>
        <w:t>机</w:t>
      </w:r>
      <w:r>
        <w:rPr>
          <w:rFonts w:ascii="宋体" w:hAnsi="宋体" w:eastAsia="宋体" w:cs="宋体"/>
          <w:color w:val="auto"/>
          <w:spacing w:val="2"/>
          <w:kern w:val="0"/>
          <w:szCs w:val="21"/>
        </w:rPr>
        <w:t>构作</w:t>
      </w:r>
      <w:r>
        <w:rPr>
          <w:rFonts w:ascii="宋体" w:hAnsi="宋体" w:eastAsia="宋体" w:cs="宋体"/>
          <w:color w:val="auto"/>
          <w:kern w:val="0"/>
          <w:szCs w:val="21"/>
        </w:rPr>
        <w:t>出</w:t>
      </w:r>
      <w:r>
        <w:rPr>
          <w:rFonts w:ascii="宋体" w:hAnsi="宋体" w:eastAsia="宋体" w:cs="宋体"/>
          <w:color w:val="auto"/>
          <w:spacing w:val="2"/>
          <w:kern w:val="0"/>
          <w:szCs w:val="21"/>
        </w:rPr>
        <w:t>的取消</w:t>
      </w:r>
      <w:r>
        <w:rPr>
          <w:rFonts w:ascii="宋体" w:hAnsi="宋体" w:eastAsia="宋体" w:cs="宋体"/>
          <w:color w:val="auto"/>
          <w:kern w:val="0"/>
          <w:szCs w:val="21"/>
        </w:rPr>
        <w:t>中</w:t>
      </w:r>
      <w:r>
        <w:rPr>
          <w:rFonts w:ascii="宋体" w:hAnsi="宋体" w:eastAsia="宋体" w:cs="宋体"/>
          <w:color w:val="auto"/>
          <w:spacing w:val="2"/>
          <w:kern w:val="0"/>
          <w:szCs w:val="21"/>
        </w:rPr>
        <w:t>标</w:t>
      </w:r>
      <w:r>
        <w:rPr>
          <w:rFonts w:ascii="宋体" w:hAnsi="宋体" w:eastAsia="宋体" w:cs="宋体"/>
          <w:color w:val="auto"/>
          <w:kern w:val="0"/>
          <w:szCs w:val="21"/>
        </w:rPr>
        <w:t>资</w:t>
      </w:r>
      <w:r>
        <w:rPr>
          <w:rFonts w:ascii="宋体" w:hAnsi="宋体" w:eastAsia="宋体" w:cs="宋体"/>
          <w:color w:val="auto"/>
          <w:spacing w:val="2"/>
          <w:kern w:val="0"/>
          <w:szCs w:val="21"/>
        </w:rPr>
        <w:t>格等决</w:t>
      </w:r>
      <w:r>
        <w:rPr>
          <w:rFonts w:ascii="宋体" w:hAnsi="宋体" w:eastAsia="宋体" w:cs="宋体"/>
          <w:color w:val="auto"/>
          <w:kern w:val="0"/>
          <w:szCs w:val="21"/>
        </w:rPr>
        <w:t>定。</w:t>
      </w:r>
    </w:p>
    <w:p w14:paraId="2DA81604">
      <w:pPr>
        <w:autoSpaceDE w:val="0"/>
        <w:autoSpaceDN w:val="0"/>
        <w:spacing w:before="46"/>
        <w:jc w:val="left"/>
        <w:rPr>
          <w:rFonts w:ascii="宋体" w:hAnsi="宋体" w:eastAsia="宋体" w:cs="宋体"/>
          <w:color w:val="auto"/>
          <w:kern w:val="0"/>
          <w:szCs w:val="21"/>
        </w:rPr>
      </w:pPr>
      <w:r>
        <w:rPr>
          <w:rFonts w:ascii="宋体" w:hAnsi="宋体" w:eastAsia="宋体" w:cs="宋体"/>
          <w:color w:val="auto"/>
          <w:kern w:val="0"/>
          <w:szCs w:val="21"/>
        </w:rPr>
        <w:t>特此声明。</w:t>
      </w:r>
    </w:p>
    <w:p w14:paraId="5A56266F">
      <w:pPr>
        <w:autoSpaceDE w:val="0"/>
        <w:autoSpaceDN w:val="0"/>
        <w:jc w:val="left"/>
        <w:rPr>
          <w:rFonts w:ascii="宋体" w:hAnsi="宋体" w:eastAsia="宋体" w:cs="宋体"/>
          <w:color w:val="auto"/>
          <w:kern w:val="0"/>
          <w:sz w:val="20"/>
          <w:szCs w:val="21"/>
        </w:rPr>
      </w:pPr>
    </w:p>
    <w:p w14:paraId="41DC62C6">
      <w:pPr>
        <w:autoSpaceDE w:val="0"/>
        <w:autoSpaceDN w:val="0"/>
        <w:jc w:val="left"/>
        <w:rPr>
          <w:rFonts w:ascii="宋体" w:hAnsi="宋体" w:eastAsia="宋体" w:cs="宋体"/>
          <w:color w:val="auto"/>
          <w:kern w:val="0"/>
          <w:sz w:val="20"/>
          <w:szCs w:val="21"/>
        </w:rPr>
      </w:pPr>
    </w:p>
    <w:p w14:paraId="559D02B8">
      <w:pPr>
        <w:autoSpaceDE w:val="0"/>
        <w:autoSpaceDN w:val="0"/>
        <w:jc w:val="left"/>
        <w:rPr>
          <w:rFonts w:ascii="宋体" w:hAnsi="宋体" w:eastAsia="宋体" w:cs="宋体"/>
          <w:color w:val="auto"/>
          <w:kern w:val="0"/>
          <w:sz w:val="20"/>
          <w:szCs w:val="21"/>
        </w:rPr>
      </w:pPr>
    </w:p>
    <w:p w14:paraId="29F8EA19">
      <w:pPr>
        <w:autoSpaceDE w:val="0"/>
        <w:autoSpaceDN w:val="0"/>
        <w:jc w:val="left"/>
        <w:rPr>
          <w:rFonts w:ascii="宋体" w:hAnsi="宋体" w:eastAsia="宋体" w:cs="宋体"/>
          <w:color w:val="auto"/>
          <w:kern w:val="0"/>
          <w:sz w:val="20"/>
          <w:szCs w:val="21"/>
        </w:rPr>
      </w:pPr>
    </w:p>
    <w:p w14:paraId="1A224C94">
      <w:pPr>
        <w:autoSpaceDE w:val="0"/>
        <w:autoSpaceDN w:val="0"/>
        <w:spacing w:before="137" w:line="422" w:lineRule="auto"/>
        <w:ind w:right="6088"/>
        <w:jc w:val="left"/>
        <w:rPr>
          <w:rFonts w:ascii="宋体" w:hAnsi="宋体" w:eastAsia="宋体" w:cs="宋体"/>
          <w:color w:val="auto"/>
          <w:kern w:val="0"/>
          <w:szCs w:val="21"/>
        </w:rPr>
      </w:pPr>
      <w:r>
        <w:rPr>
          <w:rFonts w:hint="eastAsia" w:ascii="宋体" w:hAnsi="宋体" w:eastAsia="宋体" w:cs="宋体"/>
          <w:color w:val="auto"/>
          <w:spacing w:val="2"/>
          <w:kern w:val="0"/>
          <w:szCs w:val="21"/>
        </w:rPr>
        <w:t>供应商</w:t>
      </w:r>
      <w:r>
        <w:rPr>
          <w:rFonts w:ascii="宋体" w:hAnsi="宋体" w:eastAsia="宋体" w:cs="宋体"/>
          <w:color w:val="auto"/>
          <w:spacing w:val="2"/>
          <w:kern w:val="0"/>
          <w:szCs w:val="21"/>
        </w:rPr>
        <w:t>（盖</w:t>
      </w:r>
      <w:r>
        <w:rPr>
          <w:rFonts w:ascii="宋体" w:hAnsi="宋体" w:eastAsia="宋体" w:cs="宋体"/>
          <w:color w:val="auto"/>
          <w:kern w:val="0"/>
          <w:szCs w:val="21"/>
        </w:rPr>
        <w:t>单</w:t>
      </w:r>
      <w:r>
        <w:rPr>
          <w:rFonts w:ascii="宋体" w:hAnsi="宋体" w:eastAsia="宋体" w:cs="宋体"/>
          <w:color w:val="auto"/>
          <w:spacing w:val="2"/>
          <w:kern w:val="0"/>
          <w:szCs w:val="21"/>
        </w:rPr>
        <w:t>位公章</w:t>
      </w:r>
      <w:r>
        <w:rPr>
          <w:rFonts w:ascii="宋体" w:hAnsi="宋体" w:eastAsia="宋体" w:cs="宋体"/>
          <w:color w:val="auto"/>
          <w:kern w:val="0"/>
          <w:szCs w:val="21"/>
        </w:rPr>
        <w:t>）：</w:t>
      </w:r>
    </w:p>
    <w:p w14:paraId="0F506024">
      <w:pPr>
        <w:autoSpaceDE w:val="0"/>
        <w:autoSpaceDN w:val="0"/>
        <w:spacing w:before="137" w:line="422" w:lineRule="auto"/>
        <w:ind w:right="6088"/>
        <w:jc w:val="left"/>
        <w:rPr>
          <w:rFonts w:ascii="宋体" w:hAnsi="宋体" w:eastAsia="宋体" w:cs="宋体"/>
          <w:color w:val="auto"/>
          <w:kern w:val="0"/>
          <w:szCs w:val="21"/>
        </w:rPr>
      </w:pPr>
      <w:r>
        <w:rPr>
          <w:rFonts w:ascii="宋体" w:hAnsi="宋体" w:eastAsia="宋体" w:cs="宋体"/>
          <w:color w:val="auto"/>
          <w:spacing w:val="2"/>
          <w:kern w:val="0"/>
          <w:szCs w:val="21"/>
        </w:rPr>
        <w:t>法</w:t>
      </w:r>
      <w:r>
        <w:rPr>
          <w:rFonts w:ascii="宋体" w:hAnsi="宋体" w:eastAsia="宋体" w:cs="宋体"/>
          <w:color w:val="auto"/>
          <w:kern w:val="0"/>
          <w:szCs w:val="21"/>
        </w:rPr>
        <w:t>定</w:t>
      </w:r>
      <w:r>
        <w:rPr>
          <w:rFonts w:ascii="宋体" w:hAnsi="宋体" w:eastAsia="宋体" w:cs="宋体"/>
          <w:color w:val="auto"/>
          <w:spacing w:val="2"/>
          <w:kern w:val="0"/>
          <w:szCs w:val="21"/>
        </w:rPr>
        <w:t>地址</w:t>
      </w:r>
      <w:r>
        <w:rPr>
          <w:rFonts w:ascii="宋体" w:hAnsi="宋体" w:eastAsia="宋体" w:cs="宋体"/>
          <w:color w:val="auto"/>
          <w:kern w:val="0"/>
          <w:szCs w:val="21"/>
        </w:rPr>
        <w:t>：</w:t>
      </w:r>
    </w:p>
    <w:p w14:paraId="42D1C90C">
      <w:pPr>
        <w:autoSpaceDE w:val="0"/>
        <w:autoSpaceDN w:val="0"/>
        <w:spacing w:before="52"/>
        <w:jc w:val="left"/>
        <w:rPr>
          <w:rFonts w:ascii="宋体" w:hAnsi="宋体" w:eastAsia="宋体" w:cs="宋体"/>
          <w:color w:val="auto"/>
          <w:kern w:val="0"/>
          <w:szCs w:val="21"/>
        </w:rPr>
      </w:pPr>
      <w:r>
        <w:rPr>
          <w:rFonts w:ascii="宋体" w:hAnsi="宋体" w:eastAsia="宋体" w:cs="宋体"/>
          <w:color w:val="auto"/>
          <w:kern w:val="0"/>
          <w:szCs w:val="21"/>
        </w:rPr>
        <w:t>邮 编：</w:t>
      </w:r>
    </w:p>
    <w:p w14:paraId="40B88C4C">
      <w:pPr>
        <w:autoSpaceDE w:val="0"/>
        <w:autoSpaceDN w:val="0"/>
        <w:spacing w:before="1"/>
        <w:jc w:val="left"/>
        <w:rPr>
          <w:rFonts w:ascii="宋体" w:hAnsi="宋体" w:eastAsia="宋体" w:cs="宋体"/>
          <w:color w:val="auto"/>
          <w:kern w:val="0"/>
          <w:sz w:val="16"/>
          <w:szCs w:val="21"/>
        </w:rPr>
      </w:pPr>
    </w:p>
    <w:p w14:paraId="183FEB67">
      <w:pPr>
        <w:autoSpaceDE w:val="0"/>
        <w:autoSpaceDN w:val="0"/>
        <w:spacing w:line="425" w:lineRule="auto"/>
        <w:ind w:right="5103"/>
        <w:jc w:val="left"/>
        <w:rPr>
          <w:rFonts w:ascii="宋体" w:hAnsi="宋体" w:eastAsia="宋体" w:cs="宋体"/>
          <w:color w:val="auto"/>
          <w:kern w:val="0"/>
          <w:szCs w:val="21"/>
        </w:rPr>
      </w:pPr>
      <w:r>
        <w:rPr>
          <w:rFonts w:ascii="宋体" w:hAnsi="宋体" w:eastAsia="宋体" w:cs="宋体"/>
          <w:color w:val="auto"/>
          <w:spacing w:val="2"/>
          <w:kern w:val="0"/>
          <w:szCs w:val="21"/>
        </w:rPr>
        <w:t>法</w:t>
      </w:r>
      <w:r>
        <w:rPr>
          <w:rFonts w:ascii="宋体" w:hAnsi="宋体" w:eastAsia="宋体" w:cs="宋体"/>
          <w:color w:val="auto"/>
          <w:kern w:val="0"/>
          <w:szCs w:val="21"/>
        </w:rPr>
        <w:t>定</w:t>
      </w:r>
      <w:r>
        <w:rPr>
          <w:rFonts w:ascii="宋体" w:hAnsi="宋体" w:eastAsia="宋体" w:cs="宋体"/>
          <w:color w:val="auto"/>
          <w:spacing w:val="2"/>
          <w:kern w:val="0"/>
          <w:szCs w:val="21"/>
        </w:rPr>
        <w:t>代表人</w:t>
      </w:r>
      <w:r>
        <w:rPr>
          <w:rFonts w:ascii="宋体" w:hAnsi="宋体" w:eastAsia="宋体" w:cs="宋体"/>
          <w:color w:val="auto"/>
          <w:kern w:val="0"/>
          <w:szCs w:val="21"/>
        </w:rPr>
        <w:t>（</w:t>
      </w:r>
      <w:r>
        <w:rPr>
          <w:rFonts w:hint="eastAsia" w:ascii="宋体" w:hAnsi="宋体" w:eastAsia="宋体" w:cs="宋体"/>
          <w:color w:val="auto"/>
          <w:spacing w:val="2"/>
          <w:kern w:val="0"/>
          <w:szCs w:val="21"/>
        </w:rPr>
        <w:t>签字或盖章</w:t>
      </w:r>
      <w:r>
        <w:rPr>
          <w:rFonts w:ascii="宋体" w:hAnsi="宋体" w:eastAsia="宋体" w:cs="宋体"/>
          <w:color w:val="auto"/>
          <w:spacing w:val="2"/>
          <w:kern w:val="0"/>
          <w:szCs w:val="21"/>
        </w:rPr>
        <w:t>）</w:t>
      </w:r>
      <w:r>
        <w:rPr>
          <w:rFonts w:ascii="宋体" w:hAnsi="宋体" w:eastAsia="宋体" w:cs="宋体"/>
          <w:color w:val="auto"/>
          <w:kern w:val="0"/>
          <w:szCs w:val="21"/>
        </w:rPr>
        <w:t>：</w:t>
      </w:r>
    </w:p>
    <w:p w14:paraId="51CA2E42">
      <w:pPr>
        <w:autoSpaceDE w:val="0"/>
        <w:autoSpaceDN w:val="0"/>
        <w:spacing w:line="424" w:lineRule="auto"/>
        <w:ind w:right="6299"/>
        <w:jc w:val="left"/>
        <w:rPr>
          <w:rFonts w:ascii="宋体" w:hAnsi="宋体" w:eastAsia="宋体" w:cs="宋体"/>
          <w:color w:val="auto"/>
          <w:kern w:val="0"/>
          <w:szCs w:val="21"/>
        </w:rPr>
      </w:pPr>
      <w:r>
        <w:rPr>
          <w:rFonts w:ascii="宋体" w:hAnsi="宋体" w:eastAsia="宋体" w:cs="宋体"/>
          <w:color w:val="auto"/>
          <w:kern w:val="0"/>
          <w:szCs w:val="21"/>
        </w:rPr>
        <w:t>电</w:t>
      </w:r>
      <w:r>
        <w:rPr>
          <w:rFonts w:ascii="宋体" w:hAnsi="宋体" w:eastAsia="宋体" w:cs="宋体"/>
          <w:color w:val="auto"/>
          <w:spacing w:val="2"/>
          <w:kern w:val="0"/>
          <w:szCs w:val="21"/>
        </w:rPr>
        <w:t xml:space="preserve"> 话：</w:t>
      </w:r>
    </w:p>
    <w:p w14:paraId="2967BB6B">
      <w:pPr>
        <w:tabs>
          <w:tab w:val="left" w:pos="4035"/>
          <w:tab w:val="left" w:pos="6145"/>
        </w:tabs>
        <w:autoSpaceDE w:val="0"/>
        <w:autoSpaceDN w:val="0"/>
        <w:spacing w:before="48"/>
        <w:jc w:val="left"/>
        <w:rPr>
          <w:rFonts w:ascii="宋体" w:hAnsi="宋体" w:eastAsia="宋体" w:cs="宋体"/>
          <w:color w:val="auto"/>
          <w:kern w:val="0"/>
          <w:szCs w:val="21"/>
        </w:rPr>
      </w:pPr>
      <w:r>
        <w:rPr>
          <w:rFonts w:ascii="宋体" w:hAnsi="宋体" w:eastAsia="宋体" w:cs="宋体"/>
          <w:color w:val="auto"/>
          <w:kern w:val="0"/>
          <w:szCs w:val="21"/>
        </w:rPr>
        <w:t>年</w:t>
      </w:r>
      <w:r>
        <w:rPr>
          <w:rFonts w:hint="eastAsia" w:ascii="宋体" w:hAnsi="宋体" w:eastAsia="宋体" w:cs="宋体"/>
          <w:color w:val="auto"/>
          <w:kern w:val="0"/>
          <w:szCs w:val="21"/>
        </w:rPr>
        <w:t xml:space="preserve">  月  </w:t>
      </w:r>
      <w:r>
        <w:rPr>
          <w:rFonts w:ascii="宋体" w:hAnsi="宋体" w:eastAsia="宋体" w:cs="宋体"/>
          <w:color w:val="auto"/>
          <w:kern w:val="0"/>
          <w:szCs w:val="21"/>
        </w:rPr>
        <w:t>日</w:t>
      </w:r>
    </w:p>
    <w:p w14:paraId="5E55AE54">
      <w:pPr>
        <w:autoSpaceDE w:val="0"/>
        <w:autoSpaceDN w:val="0"/>
        <w:jc w:val="left"/>
        <w:rPr>
          <w:rFonts w:ascii="宋体" w:hAnsi="宋体" w:eastAsia="宋体" w:cs="宋体"/>
          <w:color w:val="auto"/>
          <w:kern w:val="0"/>
          <w:sz w:val="22"/>
        </w:rPr>
        <w:sectPr>
          <w:type w:val="continuous"/>
          <w:pgSz w:w="11910" w:h="16840"/>
          <w:pgMar w:top="1560" w:right="1680" w:bottom="280" w:left="1680" w:header="720" w:footer="720" w:gutter="0"/>
          <w:cols w:space="720" w:num="1"/>
        </w:sectPr>
      </w:pPr>
    </w:p>
    <w:p w14:paraId="562C53E5">
      <w:pPr>
        <w:tabs>
          <w:tab w:val="left" w:pos="546"/>
        </w:tabs>
        <w:autoSpaceDE w:val="0"/>
        <w:autoSpaceDN w:val="0"/>
        <w:spacing w:before="10"/>
        <w:ind w:left="142"/>
        <w:jc w:val="left"/>
        <w:outlineLvl w:val="3"/>
        <w:rPr>
          <w:rFonts w:ascii="宋体" w:hAnsi="宋体" w:eastAsia="宋体" w:cs="宋体"/>
          <w:bCs/>
          <w:color w:val="auto"/>
          <w:kern w:val="0"/>
          <w:sz w:val="24"/>
          <w:szCs w:val="24"/>
        </w:rPr>
      </w:pPr>
      <w:r>
        <w:rPr>
          <w:rFonts w:hint="eastAsia" w:ascii="宋体" w:hAnsi="宋体" w:eastAsia="宋体" w:cs="宋体"/>
          <w:bCs/>
          <w:color w:val="auto"/>
          <w:spacing w:val="3"/>
          <w:kern w:val="0"/>
          <w:sz w:val="24"/>
          <w:szCs w:val="24"/>
        </w:rPr>
        <w:t>9.2</w:t>
      </w:r>
      <w:r>
        <w:rPr>
          <w:rFonts w:ascii="宋体" w:hAnsi="宋体" w:eastAsia="宋体" w:cs="宋体"/>
          <w:bCs/>
          <w:color w:val="auto"/>
          <w:spacing w:val="3"/>
          <w:kern w:val="0"/>
          <w:sz w:val="24"/>
          <w:szCs w:val="24"/>
        </w:rPr>
        <w:t>其他</w:t>
      </w:r>
      <w:r>
        <w:rPr>
          <w:rFonts w:hint="eastAsia" w:ascii="宋体" w:hAnsi="宋体" w:eastAsia="宋体" w:cs="宋体"/>
          <w:bCs/>
          <w:color w:val="auto"/>
          <w:spacing w:val="3"/>
          <w:kern w:val="0"/>
          <w:sz w:val="24"/>
          <w:szCs w:val="24"/>
        </w:rPr>
        <w:t>供应商</w:t>
      </w:r>
      <w:r>
        <w:rPr>
          <w:rFonts w:ascii="宋体" w:hAnsi="宋体" w:eastAsia="宋体" w:cs="宋体"/>
          <w:bCs/>
          <w:color w:val="auto"/>
          <w:spacing w:val="3"/>
          <w:kern w:val="0"/>
          <w:sz w:val="24"/>
          <w:szCs w:val="24"/>
        </w:rPr>
        <w:t>认为有必要的资料</w:t>
      </w:r>
    </w:p>
    <w:p w14:paraId="18B8195F">
      <w:pPr>
        <w:autoSpaceDE w:val="0"/>
        <w:autoSpaceDN w:val="0"/>
        <w:jc w:val="left"/>
        <w:rPr>
          <w:rFonts w:ascii="宋体" w:hAnsi="宋体" w:eastAsia="宋体" w:cs="宋体"/>
          <w:color w:val="auto"/>
          <w:kern w:val="0"/>
          <w:sz w:val="24"/>
          <w:szCs w:val="21"/>
        </w:rPr>
      </w:pPr>
    </w:p>
    <w:p w14:paraId="22557729">
      <w:pPr>
        <w:autoSpaceDE w:val="0"/>
        <w:autoSpaceDN w:val="0"/>
        <w:spacing w:before="2"/>
        <w:jc w:val="left"/>
        <w:rPr>
          <w:rFonts w:ascii="宋体" w:hAnsi="宋体" w:eastAsia="宋体" w:cs="宋体"/>
          <w:color w:val="auto"/>
          <w:kern w:val="0"/>
          <w:sz w:val="28"/>
          <w:szCs w:val="21"/>
        </w:rPr>
      </w:pPr>
    </w:p>
    <w:p w14:paraId="02E55F2D">
      <w:pPr>
        <w:rPr>
          <w:color w:val="auto"/>
        </w:rPr>
      </w:pP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618027"/>
    </w:sdtPr>
    <w:sdtContent>
      <w:p w14:paraId="1E896F10">
        <w:pPr>
          <w:pStyle w:val="6"/>
          <w:jc w:val="center"/>
        </w:pPr>
        <w:r>
          <w:fldChar w:fldCharType="begin"/>
        </w:r>
        <w:r>
          <w:instrText xml:space="preserve"> PAGE   \* MERGEFORMAT </w:instrText>
        </w:r>
        <w:r>
          <w:fldChar w:fldCharType="separate"/>
        </w:r>
        <w:r>
          <w:rPr>
            <w:lang w:val="zh-CN"/>
          </w:rPr>
          <w:t>6</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2E60E"/>
    <w:multiLevelType w:val="singleLevel"/>
    <w:tmpl w:val="C322E60E"/>
    <w:lvl w:ilvl="0" w:tentative="0">
      <w:start w:val="1"/>
      <w:numFmt w:val="decimal"/>
      <w:lvlText w:val="%1."/>
      <w:lvlJc w:val="left"/>
      <w:pPr>
        <w:tabs>
          <w:tab w:val="left" w:pos="312"/>
        </w:tabs>
      </w:pPr>
    </w:lvl>
  </w:abstractNum>
  <w:abstractNum w:abstractNumId="1">
    <w:nsid w:val="C50A662C"/>
    <w:multiLevelType w:val="singleLevel"/>
    <w:tmpl w:val="C50A662C"/>
    <w:lvl w:ilvl="0" w:tentative="0">
      <w:start w:val="1"/>
      <w:numFmt w:val="chineseCounting"/>
      <w:suff w:val="nothing"/>
      <w:lvlText w:val="%1、"/>
      <w:lvlJc w:val="left"/>
      <w:rPr>
        <w:rFonts w:hint="eastAsia"/>
      </w:rPr>
    </w:lvl>
  </w:abstractNum>
  <w:abstractNum w:abstractNumId="2">
    <w:nsid w:val="CA07E6E8"/>
    <w:multiLevelType w:val="multilevel"/>
    <w:tmpl w:val="CA07E6E8"/>
    <w:lvl w:ilvl="0" w:tentative="0">
      <w:start w:val="1"/>
      <w:numFmt w:val="decimal"/>
      <w:suff w:val="nothing"/>
      <w:lvlText w:val="5.%1."/>
      <w:lvlJc w:val="left"/>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0D657B6"/>
    <w:multiLevelType w:val="singleLevel"/>
    <w:tmpl w:val="F0D657B6"/>
    <w:lvl w:ilvl="0" w:tentative="0">
      <w:start w:val="6"/>
      <w:numFmt w:val="decimal"/>
      <w:suff w:val="nothing"/>
      <w:lvlText w:val="%1、"/>
      <w:lvlJc w:val="left"/>
    </w:lvl>
  </w:abstractNum>
  <w:abstractNum w:abstractNumId="4">
    <w:nsid w:val="00C36499"/>
    <w:multiLevelType w:val="multilevel"/>
    <w:tmpl w:val="00C36499"/>
    <w:lvl w:ilvl="0" w:tentative="0">
      <w:start w:val="3"/>
      <w:numFmt w:val="decimal"/>
      <w:lvlText w:val="%1"/>
      <w:lvlJc w:val="left"/>
      <w:pPr>
        <w:ind w:left="1020" w:hanging="420"/>
      </w:pPr>
      <w:rPr>
        <w:rFonts w:hint="default"/>
      </w:rPr>
    </w:lvl>
    <w:lvl w:ilvl="1" w:tentative="0">
      <w:start w:val="1"/>
      <w:numFmt w:val="decimal"/>
      <w:lvlText w:val="%1.%2"/>
      <w:lvlJc w:val="left"/>
      <w:pPr>
        <w:ind w:left="1020" w:hanging="420"/>
      </w:pPr>
      <w:rPr>
        <w:rFonts w:hint="default" w:ascii="宋体" w:hAnsi="宋体" w:eastAsia="宋体" w:cs="宋体"/>
        <w:w w:val="100"/>
        <w:sz w:val="24"/>
        <w:szCs w:val="24"/>
      </w:rPr>
    </w:lvl>
    <w:lvl w:ilvl="2" w:tentative="0">
      <w:start w:val="0"/>
      <w:numFmt w:val="bullet"/>
      <w:lvlText w:val="•"/>
      <w:lvlJc w:val="left"/>
      <w:pPr>
        <w:ind w:left="2549" w:hanging="420"/>
      </w:pPr>
      <w:rPr>
        <w:rFonts w:hint="default"/>
      </w:rPr>
    </w:lvl>
    <w:lvl w:ilvl="3" w:tentative="0">
      <w:start w:val="0"/>
      <w:numFmt w:val="bullet"/>
      <w:lvlText w:val="•"/>
      <w:lvlJc w:val="left"/>
      <w:pPr>
        <w:ind w:left="3313" w:hanging="420"/>
      </w:pPr>
      <w:rPr>
        <w:rFonts w:hint="default"/>
      </w:rPr>
    </w:lvl>
    <w:lvl w:ilvl="4" w:tentative="0">
      <w:start w:val="0"/>
      <w:numFmt w:val="bullet"/>
      <w:lvlText w:val="•"/>
      <w:lvlJc w:val="left"/>
      <w:pPr>
        <w:ind w:left="4078" w:hanging="420"/>
      </w:pPr>
      <w:rPr>
        <w:rFonts w:hint="default"/>
      </w:rPr>
    </w:lvl>
    <w:lvl w:ilvl="5" w:tentative="0">
      <w:start w:val="0"/>
      <w:numFmt w:val="bullet"/>
      <w:lvlText w:val="•"/>
      <w:lvlJc w:val="left"/>
      <w:pPr>
        <w:ind w:left="4843" w:hanging="420"/>
      </w:pPr>
      <w:rPr>
        <w:rFonts w:hint="default"/>
      </w:rPr>
    </w:lvl>
    <w:lvl w:ilvl="6" w:tentative="0">
      <w:start w:val="0"/>
      <w:numFmt w:val="bullet"/>
      <w:lvlText w:val="•"/>
      <w:lvlJc w:val="left"/>
      <w:pPr>
        <w:ind w:left="5607" w:hanging="420"/>
      </w:pPr>
      <w:rPr>
        <w:rFonts w:hint="default"/>
      </w:rPr>
    </w:lvl>
    <w:lvl w:ilvl="7" w:tentative="0">
      <w:start w:val="0"/>
      <w:numFmt w:val="bullet"/>
      <w:lvlText w:val="•"/>
      <w:lvlJc w:val="left"/>
      <w:pPr>
        <w:ind w:left="6372" w:hanging="420"/>
      </w:pPr>
      <w:rPr>
        <w:rFonts w:hint="default"/>
      </w:rPr>
    </w:lvl>
    <w:lvl w:ilvl="8" w:tentative="0">
      <w:start w:val="0"/>
      <w:numFmt w:val="bullet"/>
      <w:lvlText w:val="•"/>
      <w:lvlJc w:val="left"/>
      <w:pPr>
        <w:ind w:left="7136" w:hanging="420"/>
      </w:pPr>
      <w:rPr>
        <w:rFonts w:hint="default"/>
      </w:rPr>
    </w:lvl>
  </w:abstractNum>
  <w:abstractNum w:abstractNumId="5">
    <w:nsid w:val="0DD60806"/>
    <w:multiLevelType w:val="multilevel"/>
    <w:tmpl w:val="0DD60806"/>
    <w:lvl w:ilvl="0" w:tentative="0">
      <w:start w:val="17"/>
      <w:numFmt w:val="decimal"/>
      <w:lvlText w:val="%1"/>
      <w:lvlJc w:val="left"/>
      <w:pPr>
        <w:ind w:left="1200" w:hanging="600"/>
      </w:pPr>
      <w:rPr>
        <w:rFonts w:hint="default"/>
      </w:rPr>
    </w:lvl>
    <w:lvl w:ilvl="1" w:tentative="0">
      <w:start w:val="1"/>
      <w:numFmt w:val="decimal"/>
      <w:lvlText w:val="%1.%2"/>
      <w:lvlJc w:val="left"/>
      <w:pPr>
        <w:ind w:left="1200" w:hanging="600"/>
      </w:pPr>
      <w:rPr>
        <w:rFonts w:hint="default" w:ascii="宋体" w:hAnsi="宋体" w:eastAsia="宋体" w:cs="宋体"/>
        <w:w w:val="100"/>
        <w:sz w:val="24"/>
        <w:szCs w:val="24"/>
      </w:rPr>
    </w:lvl>
    <w:lvl w:ilvl="2" w:tentative="0">
      <w:start w:val="0"/>
      <w:numFmt w:val="bullet"/>
      <w:lvlText w:val="•"/>
      <w:lvlJc w:val="left"/>
      <w:pPr>
        <w:ind w:left="2685" w:hanging="600"/>
      </w:pPr>
      <w:rPr>
        <w:rFonts w:hint="default"/>
      </w:rPr>
    </w:lvl>
    <w:lvl w:ilvl="3" w:tentative="0">
      <w:start w:val="0"/>
      <w:numFmt w:val="bullet"/>
      <w:lvlText w:val="•"/>
      <w:lvlJc w:val="left"/>
      <w:pPr>
        <w:ind w:left="3427" w:hanging="600"/>
      </w:pPr>
      <w:rPr>
        <w:rFonts w:hint="default"/>
      </w:rPr>
    </w:lvl>
    <w:lvl w:ilvl="4" w:tentative="0">
      <w:start w:val="0"/>
      <w:numFmt w:val="bullet"/>
      <w:lvlText w:val="•"/>
      <w:lvlJc w:val="left"/>
      <w:pPr>
        <w:ind w:left="4170" w:hanging="600"/>
      </w:pPr>
      <w:rPr>
        <w:rFonts w:hint="default"/>
      </w:rPr>
    </w:lvl>
    <w:lvl w:ilvl="5" w:tentative="0">
      <w:start w:val="0"/>
      <w:numFmt w:val="bullet"/>
      <w:lvlText w:val="•"/>
      <w:lvlJc w:val="left"/>
      <w:pPr>
        <w:ind w:left="4913" w:hanging="600"/>
      </w:pPr>
      <w:rPr>
        <w:rFonts w:hint="default"/>
      </w:rPr>
    </w:lvl>
    <w:lvl w:ilvl="6" w:tentative="0">
      <w:start w:val="0"/>
      <w:numFmt w:val="bullet"/>
      <w:lvlText w:val="•"/>
      <w:lvlJc w:val="left"/>
      <w:pPr>
        <w:ind w:left="5655" w:hanging="600"/>
      </w:pPr>
      <w:rPr>
        <w:rFonts w:hint="default"/>
      </w:rPr>
    </w:lvl>
    <w:lvl w:ilvl="7" w:tentative="0">
      <w:start w:val="0"/>
      <w:numFmt w:val="bullet"/>
      <w:lvlText w:val="•"/>
      <w:lvlJc w:val="left"/>
      <w:pPr>
        <w:ind w:left="6398" w:hanging="600"/>
      </w:pPr>
      <w:rPr>
        <w:rFonts w:hint="default"/>
      </w:rPr>
    </w:lvl>
    <w:lvl w:ilvl="8" w:tentative="0">
      <w:start w:val="0"/>
      <w:numFmt w:val="bullet"/>
      <w:lvlText w:val="•"/>
      <w:lvlJc w:val="left"/>
      <w:pPr>
        <w:ind w:left="7140" w:hanging="600"/>
      </w:pPr>
      <w:rPr>
        <w:rFonts w:hint="default"/>
      </w:rPr>
    </w:lvl>
  </w:abstractNum>
  <w:abstractNum w:abstractNumId="6">
    <w:nsid w:val="102BCC82"/>
    <w:multiLevelType w:val="singleLevel"/>
    <w:tmpl w:val="102BCC82"/>
    <w:lvl w:ilvl="0" w:tentative="0">
      <w:start w:val="1"/>
      <w:numFmt w:val="decimal"/>
      <w:lvlText w:val="(%1)"/>
      <w:lvlJc w:val="left"/>
      <w:pPr>
        <w:ind w:left="425" w:hanging="425"/>
      </w:pPr>
      <w:rPr>
        <w:rFonts w:hint="default"/>
      </w:rPr>
    </w:lvl>
  </w:abstractNum>
  <w:abstractNum w:abstractNumId="7">
    <w:nsid w:val="1EF131FB"/>
    <w:multiLevelType w:val="multilevel"/>
    <w:tmpl w:val="1EF131FB"/>
    <w:lvl w:ilvl="0" w:tentative="0">
      <w:start w:val="10"/>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8">
    <w:nsid w:val="24C71193"/>
    <w:multiLevelType w:val="multilevel"/>
    <w:tmpl w:val="24C71193"/>
    <w:lvl w:ilvl="0" w:tentative="0">
      <w:start w:val="16"/>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21" w:hanging="543"/>
      </w:pPr>
      <w:rPr>
        <w:rFonts w:hint="default"/>
      </w:rPr>
    </w:lvl>
    <w:lvl w:ilvl="3" w:tentative="0">
      <w:start w:val="0"/>
      <w:numFmt w:val="bullet"/>
      <w:lvlText w:val="•"/>
      <w:lvlJc w:val="left"/>
      <w:pPr>
        <w:ind w:left="2671" w:hanging="543"/>
      </w:pPr>
      <w:rPr>
        <w:rFonts w:hint="default"/>
      </w:rPr>
    </w:lvl>
    <w:lvl w:ilvl="4" w:tentative="0">
      <w:start w:val="0"/>
      <w:numFmt w:val="bullet"/>
      <w:lvlText w:val="•"/>
      <w:lvlJc w:val="left"/>
      <w:pPr>
        <w:ind w:left="3522" w:hanging="543"/>
      </w:pPr>
      <w:rPr>
        <w:rFonts w:hint="default"/>
      </w:rPr>
    </w:lvl>
    <w:lvl w:ilvl="5" w:tentative="0">
      <w:start w:val="0"/>
      <w:numFmt w:val="bullet"/>
      <w:lvlText w:val="•"/>
      <w:lvlJc w:val="left"/>
      <w:pPr>
        <w:ind w:left="4373" w:hanging="543"/>
      </w:pPr>
      <w:rPr>
        <w:rFonts w:hint="default"/>
      </w:rPr>
    </w:lvl>
    <w:lvl w:ilvl="6" w:tentative="0">
      <w:start w:val="0"/>
      <w:numFmt w:val="bullet"/>
      <w:lvlText w:val="•"/>
      <w:lvlJc w:val="left"/>
      <w:pPr>
        <w:ind w:left="5223" w:hanging="543"/>
      </w:pPr>
      <w:rPr>
        <w:rFonts w:hint="default"/>
      </w:rPr>
    </w:lvl>
    <w:lvl w:ilvl="7" w:tentative="0">
      <w:start w:val="0"/>
      <w:numFmt w:val="bullet"/>
      <w:lvlText w:val="•"/>
      <w:lvlJc w:val="left"/>
      <w:pPr>
        <w:ind w:left="6074" w:hanging="543"/>
      </w:pPr>
      <w:rPr>
        <w:rFonts w:hint="default"/>
      </w:rPr>
    </w:lvl>
    <w:lvl w:ilvl="8" w:tentative="0">
      <w:start w:val="0"/>
      <w:numFmt w:val="bullet"/>
      <w:lvlText w:val="•"/>
      <w:lvlJc w:val="left"/>
      <w:pPr>
        <w:ind w:left="6924" w:hanging="543"/>
      </w:pPr>
      <w:rPr>
        <w:rFonts w:hint="default"/>
      </w:rPr>
    </w:lvl>
  </w:abstractNum>
  <w:abstractNum w:abstractNumId="9">
    <w:nsid w:val="3DCB6177"/>
    <w:multiLevelType w:val="multilevel"/>
    <w:tmpl w:val="3DCB6177"/>
    <w:lvl w:ilvl="0" w:tentative="0">
      <w:start w:val="19"/>
      <w:numFmt w:val="decimal"/>
      <w:lvlText w:val="%1"/>
      <w:lvlJc w:val="left"/>
      <w:pPr>
        <w:ind w:left="120" w:hanging="600"/>
      </w:pPr>
      <w:rPr>
        <w:rFonts w:hint="default"/>
      </w:rPr>
    </w:lvl>
    <w:lvl w:ilvl="1" w:tentative="0">
      <w:start w:val="1"/>
      <w:numFmt w:val="decimal"/>
      <w:lvlText w:val="%1.%2"/>
      <w:lvlJc w:val="left"/>
      <w:pPr>
        <w:ind w:left="120" w:hanging="600"/>
      </w:pPr>
      <w:rPr>
        <w:rFonts w:hint="default" w:ascii="宋体" w:hAnsi="宋体" w:eastAsia="宋体" w:cs="宋体"/>
        <w:w w:val="100"/>
        <w:sz w:val="24"/>
        <w:szCs w:val="24"/>
      </w:rPr>
    </w:lvl>
    <w:lvl w:ilvl="2" w:tentative="0">
      <w:start w:val="0"/>
      <w:numFmt w:val="bullet"/>
      <w:lvlText w:val="•"/>
      <w:lvlJc w:val="left"/>
      <w:pPr>
        <w:ind w:left="1821" w:hanging="600"/>
      </w:pPr>
      <w:rPr>
        <w:rFonts w:hint="default"/>
      </w:rPr>
    </w:lvl>
    <w:lvl w:ilvl="3" w:tentative="0">
      <w:start w:val="0"/>
      <w:numFmt w:val="bullet"/>
      <w:lvlText w:val="•"/>
      <w:lvlJc w:val="left"/>
      <w:pPr>
        <w:ind w:left="2671" w:hanging="600"/>
      </w:pPr>
      <w:rPr>
        <w:rFonts w:hint="default"/>
      </w:rPr>
    </w:lvl>
    <w:lvl w:ilvl="4" w:tentative="0">
      <w:start w:val="0"/>
      <w:numFmt w:val="bullet"/>
      <w:lvlText w:val="•"/>
      <w:lvlJc w:val="left"/>
      <w:pPr>
        <w:ind w:left="3522" w:hanging="600"/>
      </w:pPr>
      <w:rPr>
        <w:rFonts w:hint="default"/>
      </w:rPr>
    </w:lvl>
    <w:lvl w:ilvl="5" w:tentative="0">
      <w:start w:val="0"/>
      <w:numFmt w:val="bullet"/>
      <w:lvlText w:val="•"/>
      <w:lvlJc w:val="left"/>
      <w:pPr>
        <w:ind w:left="4373" w:hanging="600"/>
      </w:pPr>
      <w:rPr>
        <w:rFonts w:hint="default"/>
      </w:rPr>
    </w:lvl>
    <w:lvl w:ilvl="6" w:tentative="0">
      <w:start w:val="0"/>
      <w:numFmt w:val="bullet"/>
      <w:lvlText w:val="•"/>
      <w:lvlJc w:val="left"/>
      <w:pPr>
        <w:ind w:left="5223" w:hanging="600"/>
      </w:pPr>
      <w:rPr>
        <w:rFonts w:hint="default"/>
      </w:rPr>
    </w:lvl>
    <w:lvl w:ilvl="7" w:tentative="0">
      <w:start w:val="0"/>
      <w:numFmt w:val="bullet"/>
      <w:lvlText w:val="•"/>
      <w:lvlJc w:val="left"/>
      <w:pPr>
        <w:ind w:left="6074" w:hanging="600"/>
      </w:pPr>
      <w:rPr>
        <w:rFonts w:hint="default"/>
      </w:rPr>
    </w:lvl>
    <w:lvl w:ilvl="8" w:tentative="0">
      <w:start w:val="0"/>
      <w:numFmt w:val="bullet"/>
      <w:lvlText w:val="•"/>
      <w:lvlJc w:val="left"/>
      <w:pPr>
        <w:ind w:left="6924" w:hanging="600"/>
      </w:pPr>
      <w:rPr>
        <w:rFonts w:hint="default"/>
      </w:rPr>
    </w:lvl>
  </w:abstractNum>
  <w:abstractNum w:abstractNumId="10">
    <w:nsid w:val="3E6C77B7"/>
    <w:multiLevelType w:val="multilevel"/>
    <w:tmpl w:val="3E6C77B7"/>
    <w:lvl w:ilvl="0" w:tentative="0">
      <w:start w:val="13"/>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05" w:hanging="543"/>
      </w:pPr>
      <w:rPr>
        <w:rFonts w:hint="default"/>
      </w:rPr>
    </w:lvl>
    <w:lvl w:ilvl="3" w:tentative="0">
      <w:start w:val="0"/>
      <w:numFmt w:val="bullet"/>
      <w:lvlText w:val="•"/>
      <w:lvlJc w:val="left"/>
      <w:pPr>
        <w:ind w:left="2647" w:hanging="543"/>
      </w:pPr>
      <w:rPr>
        <w:rFonts w:hint="default"/>
      </w:rPr>
    </w:lvl>
    <w:lvl w:ilvl="4" w:tentative="0">
      <w:start w:val="0"/>
      <w:numFmt w:val="bullet"/>
      <w:lvlText w:val="•"/>
      <w:lvlJc w:val="left"/>
      <w:pPr>
        <w:ind w:left="3490" w:hanging="543"/>
      </w:pPr>
      <w:rPr>
        <w:rFonts w:hint="default"/>
      </w:rPr>
    </w:lvl>
    <w:lvl w:ilvl="5" w:tentative="0">
      <w:start w:val="0"/>
      <w:numFmt w:val="bullet"/>
      <w:lvlText w:val="•"/>
      <w:lvlJc w:val="left"/>
      <w:pPr>
        <w:ind w:left="4333" w:hanging="543"/>
      </w:pPr>
      <w:rPr>
        <w:rFonts w:hint="default"/>
      </w:rPr>
    </w:lvl>
    <w:lvl w:ilvl="6" w:tentative="0">
      <w:start w:val="0"/>
      <w:numFmt w:val="bullet"/>
      <w:lvlText w:val="•"/>
      <w:lvlJc w:val="left"/>
      <w:pPr>
        <w:ind w:left="5175" w:hanging="543"/>
      </w:pPr>
      <w:rPr>
        <w:rFonts w:hint="default"/>
      </w:rPr>
    </w:lvl>
    <w:lvl w:ilvl="7" w:tentative="0">
      <w:start w:val="0"/>
      <w:numFmt w:val="bullet"/>
      <w:lvlText w:val="•"/>
      <w:lvlJc w:val="left"/>
      <w:pPr>
        <w:ind w:left="6018" w:hanging="543"/>
      </w:pPr>
      <w:rPr>
        <w:rFonts w:hint="default"/>
      </w:rPr>
    </w:lvl>
    <w:lvl w:ilvl="8" w:tentative="0">
      <w:start w:val="0"/>
      <w:numFmt w:val="bullet"/>
      <w:lvlText w:val="•"/>
      <w:lvlJc w:val="left"/>
      <w:pPr>
        <w:ind w:left="6860" w:hanging="543"/>
      </w:pPr>
      <w:rPr>
        <w:rFonts w:hint="default"/>
      </w:rPr>
    </w:lvl>
  </w:abstractNum>
  <w:abstractNum w:abstractNumId="11">
    <w:nsid w:val="60AC692F"/>
    <w:multiLevelType w:val="multilevel"/>
    <w:tmpl w:val="60AC692F"/>
    <w:lvl w:ilvl="0" w:tentative="0">
      <w:start w:val="1"/>
      <w:numFmt w:val="chineseCounting"/>
      <w:lvlText w:val="第%1章"/>
      <w:lvlJc w:val="left"/>
      <w:pPr>
        <w:ind w:left="2547" w:hanging="420"/>
      </w:pPr>
      <w:rPr>
        <w:rFonts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C5D6A20"/>
    <w:multiLevelType w:val="multilevel"/>
    <w:tmpl w:val="6C5D6A20"/>
    <w:lvl w:ilvl="0" w:tentative="0">
      <w:start w:val="15"/>
      <w:numFmt w:val="decimal"/>
      <w:lvlText w:val="%1."/>
      <w:lvlJc w:val="left"/>
      <w:pPr>
        <w:ind w:left="1082" w:hanging="483"/>
      </w:pPr>
      <w:rPr>
        <w:rFonts w:hint="default" w:ascii="宋体" w:hAnsi="宋体" w:eastAsia="宋体" w:cs="宋体"/>
        <w:b/>
        <w:bCs/>
        <w:spacing w:val="0"/>
        <w:w w:val="99"/>
        <w:sz w:val="24"/>
        <w:szCs w:val="24"/>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909" w:hanging="543"/>
      </w:pPr>
      <w:rPr>
        <w:rFonts w:hint="default"/>
      </w:rPr>
    </w:lvl>
    <w:lvl w:ilvl="3" w:tentative="0">
      <w:start w:val="0"/>
      <w:numFmt w:val="bullet"/>
      <w:lvlText w:val="•"/>
      <w:lvlJc w:val="left"/>
      <w:pPr>
        <w:ind w:left="2739" w:hanging="543"/>
      </w:pPr>
      <w:rPr>
        <w:rFonts w:hint="default"/>
      </w:rPr>
    </w:lvl>
    <w:lvl w:ilvl="4" w:tentative="0">
      <w:start w:val="0"/>
      <w:numFmt w:val="bullet"/>
      <w:lvlText w:val="•"/>
      <w:lvlJc w:val="left"/>
      <w:pPr>
        <w:ind w:left="3568" w:hanging="543"/>
      </w:pPr>
      <w:rPr>
        <w:rFonts w:hint="default"/>
      </w:rPr>
    </w:lvl>
    <w:lvl w:ilvl="5" w:tentative="0">
      <w:start w:val="0"/>
      <w:numFmt w:val="bullet"/>
      <w:lvlText w:val="•"/>
      <w:lvlJc w:val="left"/>
      <w:pPr>
        <w:ind w:left="4398" w:hanging="543"/>
      </w:pPr>
      <w:rPr>
        <w:rFonts w:hint="default"/>
      </w:rPr>
    </w:lvl>
    <w:lvl w:ilvl="6" w:tentative="0">
      <w:start w:val="0"/>
      <w:numFmt w:val="bullet"/>
      <w:lvlText w:val="•"/>
      <w:lvlJc w:val="left"/>
      <w:pPr>
        <w:ind w:left="5227" w:hanging="543"/>
      </w:pPr>
      <w:rPr>
        <w:rFonts w:hint="default"/>
      </w:rPr>
    </w:lvl>
    <w:lvl w:ilvl="7" w:tentative="0">
      <w:start w:val="0"/>
      <w:numFmt w:val="bullet"/>
      <w:lvlText w:val="•"/>
      <w:lvlJc w:val="left"/>
      <w:pPr>
        <w:ind w:left="6057" w:hanging="543"/>
      </w:pPr>
      <w:rPr>
        <w:rFonts w:hint="default"/>
      </w:rPr>
    </w:lvl>
    <w:lvl w:ilvl="8" w:tentative="0">
      <w:start w:val="0"/>
      <w:numFmt w:val="bullet"/>
      <w:lvlText w:val="•"/>
      <w:lvlJc w:val="left"/>
      <w:pPr>
        <w:ind w:left="6886" w:hanging="543"/>
      </w:pPr>
      <w:rPr>
        <w:rFonts w:hint="default"/>
      </w:rPr>
    </w:lvl>
  </w:abstractNum>
  <w:abstractNum w:abstractNumId="13">
    <w:nsid w:val="70D55AAB"/>
    <w:multiLevelType w:val="singleLevel"/>
    <w:tmpl w:val="70D55AAB"/>
    <w:lvl w:ilvl="0" w:tentative="0">
      <w:start w:val="8"/>
      <w:numFmt w:val="decimal"/>
      <w:suff w:val="nothing"/>
      <w:lvlText w:val="%1、"/>
      <w:lvlJc w:val="left"/>
    </w:lvl>
  </w:abstractNum>
  <w:abstractNum w:abstractNumId="14">
    <w:nsid w:val="710C1955"/>
    <w:multiLevelType w:val="multilevel"/>
    <w:tmpl w:val="710C1955"/>
    <w:lvl w:ilvl="0" w:tentative="0">
      <w:start w:val="1"/>
      <w:numFmt w:val="decimal"/>
      <w:lvlText w:val="4.3.%1."/>
      <w:lvlJc w:val="left"/>
      <w:pPr>
        <w:ind w:left="846" w:hanging="420"/>
      </w:pPr>
      <w:rPr>
        <w:rFonts w:hint="eastAsia"/>
        <w:b/>
      </w:rPr>
    </w:lvl>
    <w:lvl w:ilvl="1" w:tentative="0">
      <w:start w:val="1"/>
      <w:numFmt w:val="lowerLetter"/>
      <w:lvlText w:val="%2)"/>
      <w:lvlJc w:val="left"/>
      <w:pPr>
        <w:ind w:left="877" w:hanging="420"/>
      </w:pPr>
    </w:lvl>
    <w:lvl w:ilvl="2" w:tentative="0">
      <w:start w:val="1"/>
      <w:numFmt w:val="lowerRoman"/>
      <w:lvlText w:val="%3."/>
      <w:lvlJc w:val="right"/>
      <w:pPr>
        <w:ind w:left="1297" w:hanging="420"/>
      </w:pPr>
    </w:lvl>
    <w:lvl w:ilvl="3" w:tentative="0">
      <w:start w:val="1"/>
      <w:numFmt w:val="decimal"/>
      <w:lvlText w:val="%4."/>
      <w:lvlJc w:val="left"/>
      <w:pPr>
        <w:ind w:left="1717" w:hanging="420"/>
      </w:pPr>
    </w:lvl>
    <w:lvl w:ilvl="4" w:tentative="0">
      <w:start w:val="1"/>
      <w:numFmt w:val="lowerLetter"/>
      <w:lvlText w:val="%5)"/>
      <w:lvlJc w:val="left"/>
      <w:pPr>
        <w:ind w:left="2137" w:hanging="420"/>
      </w:pPr>
    </w:lvl>
    <w:lvl w:ilvl="5" w:tentative="0">
      <w:start w:val="1"/>
      <w:numFmt w:val="lowerRoman"/>
      <w:lvlText w:val="%6."/>
      <w:lvlJc w:val="right"/>
      <w:pPr>
        <w:ind w:left="2557" w:hanging="420"/>
      </w:pPr>
    </w:lvl>
    <w:lvl w:ilvl="6" w:tentative="0">
      <w:start w:val="1"/>
      <w:numFmt w:val="decimal"/>
      <w:lvlText w:val="%7."/>
      <w:lvlJc w:val="left"/>
      <w:pPr>
        <w:ind w:left="2977" w:hanging="420"/>
      </w:pPr>
    </w:lvl>
    <w:lvl w:ilvl="7" w:tentative="0">
      <w:start w:val="1"/>
      <w:numFmt w:val="lowerLetter"/>
      <w:lvlText w:val="%8)"/>
      <w:lvlJc w:val="left"/>
      <w:pPr>
        <w:ind w:left="3397" w:hanging="420"/>
      </w:pPr>
    </w:lvl>
    <w:lvl w:ilvl="8" w:tentative="0">
      <w:start w:val="1"/>
      <w:numFmt w:val="lowerRoman"/>
      <w:lvlText w:val="%9."/>
      <w:lvlJc w:val="right"/>
      <w:pPr>
        <w:ind w:left="3817" w:hanging="420"/>
      </w:pPr>
    </w:lvl>
  </w:abstractNum>
  <w:abstractNum w:abstractNumId="15">
    <w:nsid w:val="77C10B47"/>
    <w:multiLevelType w:val="multilevel"/>
    <w:tmpl w:val="77C10B47"/>
    <w:lvl w:ilvl="0" w:tentative="0">
      <w:start w:val="14"/>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16">
    <w:nsid w:val="794C1AA9"/>
    <w:multiLevelType w:val="multilevel"/>
    <w:tmpl w:val="794C1AA9"/>
    <w:lvl w:ilvl="0" w:tentative="0">
      <w:start w:val="18"/>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37" w:hanging="540"/>
      </w:pPr>
      <w:rPr>
        <w:rFonts w:hint="default"/>
      </w:rPr>
    </w:lvl>
    <w:lvl w:ilvl="3" w:tentative="0">
      <w:start w:val="0"/>
      <w:numFmt w:val="bullet"/>
      <w:lvlText w:val="•"/>
      <w:lvlJc w:val="left"/>
      <w:pPr>
        <w:ind w:left="3385" w:hanging="540"/>
      </w:pPr>
      <w:rPr>
        <w:rFonts w:hint="default"/>
      </w:rPr>
    </w:lvl>
    <w:lvl w:ilvl="4" w:tentative="0">
      <w:start w:val="0"/>
      <w:numFmt w:val="bullet"/>
      <w:lvlText w:val="•"/>
      <w:lvlJc w:val="left"/>
      <w:pPr>
        <w:ind w:left="4134" w:hanging="540"/>
      </w:pPr>
      <w:rPr>
        <w:rFonts w:hint="default"/>
      </w:rPr>
    </w:lvl>
    <w:lvl w:ilvl="5" w:tentative="0">
      <w:start w:val="0"/>
      <w:numFmt w:val="bullet"/>
      <w:lvlText w:val="•"/>
      <w:lvlJc w:val="left"/>
      <w:pPr>
        <w:ind w:left="4883" w:hanging="540"/>
      </w:pPr>
      <w:rPr>
        <w:rFonts w:hint="default"/>
      </w:rPr>
    </w:lvl>
    <w:lvl w:ilvl="6" w:tentative="0">
      <w:start w:val="0"/>
      <w:numFmt w:val="bullet"/>
      <w:lvlText w:val="•"/>
      <w:lvlJc w:val="left"/>
      <w:pPr>
        <w:ind w:left="5631" w:hanging="540"/>
      </w:pPr>
      <w:rPr>
        <w:rFonts w:hint="default"/>
      </w:rPr>
    </w:lvl>
    <w:lvl w:ilvl="7" w:tentative="0">
      <w:start w:val="0"/>
      <w:numFmt w:val="bullet"/>
      <w:lvlText w:val="•"/>
      <w:lvlJc w:val="left"/>
      <w:pPr>
        <w:ind w:left="6380" w:hanging="540"/>
      </w:pPr>
      <w:rPr>
        <w:rFonts w:hint="default"/>
      </w:rPr>
    </w:lvl>
    <w:lvl w:ilvl="8" w:tentative="0">
      <w:start w:val="0"/>
      <w:numFmt w:val="bullet"/>
      <w:lvlText w:val="•"/>
      <w:lvlJc w:val="left"/>
      <w:pPr>
        <w:ind w:left="7128" w:hanging="540"/>
      </w:pPr>
      <w:rPr>
        <w:rFonts w:hint="default"/>
      </w:rPr>
    </w:lvl>
  </w:abstractNum>
  <w:num w:numId="1">
    <w:abstractNumId w:val="11"/>
  </w:num>
  <w:num w:numId="2">
    <w:abstractNumId w:val="2"/>
  </w:num>
  <w:num w:numId="3">
    <w:abstractNumId w:val="6"/>
  </w:num>
  <w:num w:numId="4">
    <w:abstractNumId w:val="14"/>
  </w:num>
  <w:num w:numId="5">
    <w:abstractNumId w:val="13"/>
  </w:num>
  <w:num w:numId="6">
    <w:abstractNumId w:val="0"/>
  </w:num>
  <w:num w:numId="7">
    <w:abstractNumId w:val="4"/>
  </w:num>
  <w:num w:numId="8">
    <w:abstractNumId w:val="7"/>
  </w:num>
  <w:num w:numId="9">
    <w:abstractNumId w:val="10"/>
  </w:num>
  <w:num w:numId="10">
    <w:abstractNumId w:val="15"/>
  </w:num>
  <w:num w:numId="11">
    <w:abstractNumId w:val="12"/>
  </w:num>
  <w:num w:numId="12">
    <w:abstractNumId w:val="8"/>
  </w:num>
  <w:num w:numId="13">
    <w:abstractNumId w:val="5"/>
  </w:num>
  <w:num w:numId="14">
    <w:abstractNumId w:val="16"/>
  </w:num>
  <w:num w:numId="15">
    <w:abstractNumId w:val="9"/>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24ECD"/>
    <w:rsid w:val="00351550"/>
    <w:rsid w:val="004758BD"/>
    <w:rsid w:val="005574FC"/>
    <w:rsid w:val="005C3EF2"/>
    <w:rsid w:val="00661386"/>
    <w:rsid w:val="00956FDE"/>
    <w:rsid w:val="00AE30B0"/>
    <w:rsid w:val="00B57899"/>
    <w:rsid w:val="00D42C1C"/>
    <w:rsid w:val="00DE1939"/>
    <w:rsid w:val="00E25214"/>
    <w:rsid w:val="00F50CDF"/>
    <w:rsid w:val="0123584C"/>
    <w:rsid w:val="012D4425"/>
    <w:rsid w:val="01487061"/>
    <w:rsid w:val="016519C1"/>
    <w:rsid w:val="017E6F26"/>
    <w:rsid w:val="01804A4C"/>
    <w:rsid w:val="01AC3A93"/>
    <w:rsid w:val="022510C3"/>
    <w:rsid w:val="023B0973"/>
    <w:rsid w:val="029F0F02"/>
    <w:rsid w:val="030D40BE"/>
    <w:rsid w:val="03247659"/>
    <w:rsid w:val="0328539C"/>
    <w:rsid w:val="032C4E8C"/>
    <w:rsid w:val="03546191"/>
    <w:rsid w:val="0374238F"/>
    <w:rsid w:val="03C50E3C"/>
    <w:rsid w:val="03D60954"/>
    <w:rsid w:val="03F62DA4"/>
    <w:rsid w:val="04115E30"/>
    <w:rsid w:val="042E0790"/>
    <w:rsid w:val="04425FE9"/>
    <w:rsid w:val="04785EAF"/>
    <w:rsid w:val="04A10F62"/>
    <w:rsid w:val="050140F6"/>
    <w:rsid w:val="05047743"/>
    <w:rsid w:val="05222520"/>
    <w:rsid w:val="058368B9"/>
    <w:rsid w:val="05BE5B43"/>
    <w:rsid w:val="05F61781"/>
    <w:rsid w:val="05FD2B10"/>
    <w:rsid w:val="06071298"/>
    <w:rsid w:val="06585F98"/>
    <w:rsid w:val="065F10D4"/>
    <w:rsid w:val="06716331"/>
    <w:rsid w:val="06744454"/>
    <w:rsid w:val="06782196"/>
    <w:rsid w:val="06A116ED"/>
    <w:rsid w:val="07097292"/>
    <w:rsid w:val="07133C6D"/>
    <w:rsid w:val="0731034F"/>
    <w:rsid w:val="07610E7C"/>
    <w:rsid w:val="07F97307"/>
    <w:rsid w:val="086F75C9"/>
    <w:rsid w:val="094D16B8"/>
    <w:rsid w:val="095E1B17"/>
    <w:rsid w:val="09880942"/>
    <w:rsid w:val="09B24ECD"/>
    <w:rsid w:val="09D26061"/>
    <w:rsid w:val="09F558AC"/>
    <w:rsid w:val="0A3B7763"/>
    <w:rsid w:val="0A5627EE"/>
    <w:rsid w:val="0A60541B"/>
    <w:rsid w:val="0A8C4462"/>
    <w:rsid w:val="0B046645"/>
    <w:rsid w:val="0B521208"/>
    <w:rsid w:val="0B6373B4"/>
    <w:rsid w:val="0C0D3381"/>
    <w:rsid w:val="0C104C1F"/>
    <w:rsid w:val="0C1A784C"/>
    <w:rsid w:val="0C264442"/>
    <w:rsid w:val="0C5422B6"/>
    <w:rsid w:val="0CF133A0"/>
    <w:rsid w:val="0D1B387B"/>
    <w:rsid w:val="0D71793F"/>
    <w:rsid w:val="0D865199"/>
    <w:rsid w:val="0D8E04F1"/>
    <w:rsid w:val="0DC91529"/>
    <w:rsid w:val="0DDA54E4"/>
    <w:rsid w:val="0DF447F8"/>
    <w:rsid w:val="0E15476E"/>
    <w:rsid w:val="0E1C3D4F"/>
    <w:rsid w:val="0E6F0323"/>
    <w:rsid w:val="0EA55AF2"/>
    <w:rsid w:val="0EC35F79"/>
    <w:rsid w:val="0ECA37AB"/>
    <w:rsid w:val="0EEC3721"/>
    <w:rsid w:val="0F9D4A1B"/>
    <w:rsid w:val="101E5B5C"/>
    <w:rsid w:val="10234F21"/>
    <w:rsid w:val="106F63B8"/>
    <w:rsid w:val="10EA5A3E"/>
    <w:rsid w:val="10ED0AE4"/>
    <w:rsid w:val="112A22DF"/>
    <w:rsid w:val="11352B31"/>
    <w:rsid w:val="113B273E"/>
    <w:rsid w:val="114C1D58"/>
    <w:rsid w:val="119D6F55"/>
    <w:rsid w:val="11A71B81"/>
    <w:rsid w:val="12107727"/>
    <w:rsid w:val="122367D0"/>
    <w:rsid w:val="12771554"/>
    <w:rsid w:val="12957C2C"/>
    <w:rsid w:val="13201BEB"/>
    <w:rsid w:val="13207E3D"/>
    <w:rsid w:val="13EC7D20"/>
    <w:rsid w:val="13FA068E"/>
    <w:rsid w:val="146A5BEE"/>
    <w:rsid w:val="14EC447B"/>
    <w:rsid w:val="150C0679"/>
    <w:rsid w:val="153100E0"/>
    <w:rsid w:val="1546345F"/>
    <w:rsid w:val="15E92769"/>
    <w:rsid w:val="16753FFC"/>
    <w:rsid w:val="16CB6312"/>
    <w:rsid w:val="16FC471D"/>
    <w:rsid w:val="174A7237"/>
    <w:rsid w:val="17832749"/>
    <w:rsid w:val="178F10EE"/>
    <w:rsid w:val="17EE22B8"/>
    <w:rsid w:val="18AE7C99"/>
    <w:rsid w:val="18BA663E"/>
    <w:rsid w:val="18CC17EB"/>
    <w:rsid w:val="19094ED0"/>
    <w:rsid w:val="19157D18"/>
    <w:rsid w:val="19267830"/>
    <w:rsid w:val="197D7D98"/>
    <w:rsid w:val="19B17A41"/>
    <w:rsid w:val="1A604FC3"/>
    <w:rsid w:val="1AB84FAE"/>
    <w:rsid w:val="1AC63078"/>
    <w:rsid w:val="1B027E29"/>
    <w:rsid w:val="1B375D24"/>
    <w:rsid w:val="1B634D6B"/>
    <w:rsid w:val="1B6F6431"/>
    <w:rsid w:val="1B79458F"/>
    <w:rsid w:val="1B9C027D"/>
    <w:rsid w:val="1BA223F0"/>
    <w:rsid w:val="1BCB46BE"/>
    <w:rsid w:val="1C1E6EE4"/>
    <w:rsid w:val="1C381D54"/>
    <w:rsid w:val="1C3D736A"/>
    <w:rsid w:val="1CA55340"/>
    <w:rsid w:val="1D921938"/>
    <w:rsid w:val="1D9236E6"/>
    <w:rsid w:val="1D951428"/>
    <w:rsid w:val="1DC00253"/>
    <w:rsid w:val="1E18008F"/>
    <w:rsid w:val="1E200CF1"/>
    <w:rsid w:val="1EE44415"/>
    <w:rsid w:val="1EF503D0"/>
    <w:rsid w:val="1EFA59E6"/>
    <w:rsid w:val="1F040613"/>
    <w:rsid w:val="1F06438B"/>
    <w:rsid w:val="1F120F82"/>
    <w:rsid w:val="1F617814"/>
    <w:rsid w:val="1F9279CD"/>
    <w:rsid w:val="1F9E2816"/>
    <w:rsid w:val="201C198C"/>
    <w:rsid w:val="20427645"/>
    <w:rsid w:val="20743577"/>
    <w:rsid w:val="211D776A"/>
    <w:rsid w:val="21D97B35"/>
    <w:rsid w:val="21EF7359"/>
    <w:rsid w:val="220F17A9"/>
    <w:rsid w:val="22230DB0"/>
    <w:rsid w:val="22721D38"/>
    <w:rsid w:val="22A16179"/>
    <w:rsid w:val="22AA14D2"/>
    <w:rsid w:val="22C854A6"/>
    <w:rsid w:val="22CA56D0"/>
    <w:rsid w:val="22F80A3B"/>
    <w:rsid w:val="231A0405"/>
    <w:rsid w:val="2378512C"/>
    <w:rsid w:val="237F295E"/>
    <w:rsid w:val="23DA1943"/>
    <w:rsid w:val="23E6478B"/>
    <w:rsid w:val="23FC5D5D"/>
    <w:rsid w:val="24013223"/>
    <w:rsid w:val="2409047A"/>
    <w:rsid w:val="24D11F84"/>
    <w:rsid w:val="24E24F53"/>
    <w:rsid w:val="258B55EA"/>
    <w:rsid w:val="26192BF6"/>
    <w:rsid w:val="26390135"/>
    <w:rsid w:val="269F0C21"/>
    <w:rsid w:val="26DE174A"/>
    <w:rsid w:val="26FD166C"/>
    <w:rsid w:val="277B51EB"/>
    <w:rsid w:val="27BB7CDD"/>
    <w:rsid w:val="28585B06"/>
    <w:rsid w:val="288602EB"/>
    <w:rsid w:val="291458F7"/>
    <w:rsid w:val="29AC5B2F"/>
    <w:rsid w:val="29B87CEA"/>
    <w:rsid w:val="29F508DF"/>
    <w:rsid w:val="29FD638B"/>
    <w:rsid w:val="2A2878AC"/>
    <w:rsid w:val="2A5F0DF4"/>
    <w:rsid w:val="2A7917BC"/>
    <w:rsid w:val="2AF459E0"/>
    <w:rsid w:val="2B51698E"/>
    <w:rsid w:val="2B6F5066"/>
    <w:rsid w:val="2BBB64FD"/>
    <w:rsid w:val="2BBE1B4A"/>
    <w:rsid w:val="2BCC4C2D"/>
    <w:rsid w:val="2BE05F64"/>
    <w:rsid w:val="2C7212B2"/>
    <w:rsid w:val="2CE13D42"/>
    <w:rsid w:val="2CFC6DCE"/>
    <w:rsid w:val="2D12039F"/>
    <w:rsid w:val="2D23794D"/>
    <w:rsid w:val="2D297497"/>
    <w:rsid w:val="2D962D7E"/>
    <w:rsid w:val="2E073C7C"/>
    <w:rsid w:val="2E497DF1"/>
    <w:rsid w:val="2EA9088F"/>
    <w:rsid w:val="2EE87609"/>
    <w:rsid w:val="2EFE507F"/>
    <w:rsid w:val="305A4537"/>
    <w:rsid w:val="30801AC4"/>
    <w:rsid w:val="308E5F8F"/>
    <w:rsid w:val="30CB71E3"/>
    <w:rsid w:val="313C3C3D"/>
    <w:rsid w:val="314F750B"/>
    <w:rsid w:val="31701B38"/>
    <w:rsid w:val="31D200FD"/>
    <w:rsid w:val="31FA3C94"/>
    <w:rsid w:val="322F37A1"/>
    <w:rsid w:val="324F50E1"/>
    <w:rsid w:val="329D4BAF"/>
    <w:rsid w:val="32D560F7"/>
    <w:rsid w:val="3364747B"/>
    <w:rsid w:val="34362BC5"/>
    <w:rsid w:val="344277BC"/>
    <w:rsid w:val="347D07F4"/>
    <w:rsid w:val="3491429F"/>
    <w:rsid w:val="351F18AB"/>
    <w:rsid w:val="35661288"/>
    <w:rsid w:val="35B30245"/>
    <w:rsid w:val="365B4B65"/>
    <w:rsid w:val="36736767"/>
    <w:rsid w:val="368340BC"/>
    <w:rsid w:val="369E4A52"/>
    <w:rsid w:val="36BE6EA2"/>
    <w:rsid w:val="36C90395"/>
    <w:rsid w:val="37270EEB"/>
    <w:rsid w:val="37305FF2"/>
    <w:rsid w:val="375A4E1C"/>
    <w:rsid w:val="37A0073E"/>
    <w:rsid w:val="37CB7AC8"/>
    <w:rsid w:val="3810372D"/>
    <w:rsid w:val="38163439"/>
    <w:rsid w:val="386D6DD1"/>
    <w:rsid w:val="389E342F"/>
    <w:rsid w:val="395104A1"/>
    <w:rsid w:val="398443D3"/>
    <w:rsid w:val="3991089E"/>
    <w:rsid w:val="39A03D29"/>
    <w:rsid w:val="39BA6046"/>
    <w:rsid w:val="39F257E0"/>
    <w:rsid w:val="3A5D24A2"/>
    <w:rsid w:val="3A9B7C26"/>
    <w:rsid w:val="3AE80991"/>
    <w:rsid w:val="3AFD443D"/>
    <w:rsid w:val="3BEB698B"/>
    <w:rsid w:val="3CF8135F"/>
    <w:rsid w:val="3D324146"/>
    <w:rsid w:val="3D332398"/>
    <w:rsid w:val="3D6C7658"/>
    <w:rsid w:val="3D9848F1"/>
    <w:rsid w:val="3DDA0435"/>
    <w:rsid w:val="3E0C2BE9"/>
    <w:rsid w:val="3E90381A"/>
    <w:rsid w:val="3EA42E21"/>
    <w:rsid w:val="3EBB515F"/>
    <w:rsid w:val="3F591E5E"/>
    <w:rsid w:val="3F79605C"/>
    <w:rsid w:val="3F974DDA"/>
    <w:rsid w:val="3FE23C01"/>
    <w:rsid w:val="40414DCB"/>
    <w:rsid w:val="40464190"/>
    <w:rsid w:val="40BA4B7E"/>
    <w:rsid w:val="40E045E4"/>
    <w:rsid w:val="40FE2CBD"/>
    <w:rsid w:val="419B050B"/>
    <w:rsid w:val="419E1DAA"/>
    <w:rsid w:val="41BE244C"/>
    <w:rsid w:val="42B15B0D"/>
    <w:rsid w:val="432A7D99"/>
    <w:rsid w:val="43475E7A"/>
    <w:rsid w:val="43B458B4"/>
    <w:rsid w:val="43B6162D"/>
    <w:rsid w:val="44056110"/>
    <w:rsid w:val="440F51E1"/>
    <w:rsid w:val="441E71D2"/>
    <w:rsid w:val="44620F3E"/>
    <w:rsid w:val="44986F84"/>
    <w:rsid w:val="44D15D88"/>
    <w:rsid w:val="44F20D8A"/>
    <w:rsid w:val="451E56DB"/>
    <w:rsid w:val="453C0257"/>
    <w:rsid w:val="456F4189"/>
    <w:rsid w:val="45B30F11"/>
    <w:rsid w:val="461E6C96"/>
    <w:rsid w:val="46380A1F"/>
    <w:rsid w:val="463E3B5B"/>
    <w:rsid w:val="46955E71"/>
    <w:rsid w:val="46B129DB"/>
    <w:rsid w:val="47356D0C"/>
    <w:rsid w:val="47617B01"/>
    <w:rsid w:val="478B4B7E"/>
    <w:rsid w:val="47947ED7"/>
    <w:rsid w:val="483E7E42"/>
    <w:rsid w:val="48482A6F"/>
    <w:rsid w:val="48684EBF"/>
    <w:rsid w:val="488E2B78"/>
    <w:rsid w:val="48BB1493"/>
    <w:rsid w:val="48C42A3E"/>
    <w:rsid w:val="48F14EB5"/>
    <w:rsid w:val="48FA645F"/>
    <w:rsid w:val="4900334A"/>
    <w:rsid w:val="494D37B6"/>
    <w:rsid w:val="494D7E4B"/>
    <w:rsid w:val="497C50C6"/>
    <w:rsid w:val="4A1470AD"/>
    <w:rsid w:val="4A161077"/>
    <w:rsid w:val="4A4A0D21"/>
    <w:rsid w:val="4ACE3700"/>
    <w:rsid w:val="4AF1414D"/>
    <w:rsid w:val="4B09298A"/>
    <w:rsid w:val="4B6D2F19"/>
    <w:rsid w:val="4BF058F8"/>
    <w:rsid w:val="4C303F46"/>
    <w:rsid w:val="4C59524B"/>
    <w:rsid w:val="4C6065D9"/>
    <w:rsid w:val="4C667968"/>
    <w:rsid w:val="4CA54934"/>
    <w:rsid w:val="4CF65FFB"/>
    <w:rsid w:val="4D0372E0"/>
    <w:rsid w:val="4DAB5F7A"/>
    <w:rsid w:val="4DC31516"/>
    <w:rsid w:val="4DCD5EF0"/>
    <w:rsid w:val="4DDC25D7"/>
    <w:rsid w:val="4E217FEA"/>
    <w:rsid w:val="4E802F63"/>
    <w:rsid w:val="4E9544A2"/>
    <w:rsid w:val="4ECA68D4"/>
    <w:rsid w:val="4EF23735"/>
    <w:rsid w:val="4F09388D"/>
    <w:rsid w:val="4FB37368"/>
    <w:rsid w:val="4FBF5D0D"/>
    <w:rsid w:val="50680152"/>
    <w:rsid w:val="50B45146"/>
    <w:rsid w:val="50C64E79"/>
    <w:rsid w:val="50C730CB"/>
    <w:rsid w:val="50D47596"/>
    <w:rsid w:val="511F3DA3"/>
    <w:rsid w:val="513B5867"/>
    <w:rsid w:val="51B318A1"/>
    <w:rsid w:val="51CB6BEB"/>
    <w:rsid w:val="51E25CE3"/>
    <w:rsid w:val="52067C23"/>
    <w:rsid w:val="520C2D5F"/>
    <w:rsid w:val="52854FEC"/>
    <w:rsid w:val="532D11DF"/>
    <w:rsid w:val="533E33EC"/>
    <w:rsid w:val="535B764C"/>
    <w:rsid w:val="536230D3"/>
    <w:rsid w:val="53990623"/>
    <w:rsid w:val="53AE2320"/>
    <w:rsid w:val="53FF0DCE"/>
    <w:rsid w:val="54063F0A"/>
    <w:rsid w:val="541859EC"/>
    <w:rsid w:val="541F6D7A"/>
    <w:rsid w:val="546D21DB"/>
    <w:rsid w:val="5495703C"/>
    <w:rsid w:val="54B75204"/>
    <w:rsid w:val="55216B22"/>
    <w:rsid w:val="556E7FB9"/>
    <w:rsid w:val="558318CB"/>
    <w:rsid w:val="55853555"/>
    <w:rsid w:val="55EC5382"/>
    <w:rsid w:val="55F06C20"/>
    <w:rsid w:val="56095F34"/>
    <w:rsid w:val="56352885"/>
    <w:rsid w:val="568B2287"/>
    <w:rsid w:val="56A813FA"/>
    <w:rsid w:val="576F1DC6"/>
    <w:rsid w:val="57713D91"/>
    <w:rsid w:val="5794182D"/>
    <w:rsid w:val="57AE6D93"/>
    <w:rsid w:val="58207565"/>
    <w:rsid w:val="5821512A"/>
    <w:rsid w:val="5829466B"/>
    <w:rsid w:val="5889510A"/>
    <w:rsid w:val="588A732A"/>
    <w:rsid w:val="588E2720"/>
    <w:rsid w:val="58ED4416"/>
    <w:rsid w:val="5910361B"/>
    <w:rsid w:val="59611BE3"/>
    <w:rsid w:val="59741916"/>
    <w:rsid w:val="5979517E"/>
    <w:rsid w:val="59901154"/>
    <w:rsid w:val="59A26483"/>
    <w:rsid w:val="59C77C98"/>
    <w:rsid w:val="59CF1D5B"/>
    <w:rsid w:val="5A6C6A91"/>
    <w:rsid w:val="5B294982"/>
    <w:rsid w:val="5B4248CC"/>
    <w:rsid w:val="5B5C4D58"/>
    <w:rsid w:val="5B9242D5"/>
    <w:rsid w:val="5C0F5926"/>
    <w:rsid w:val="5C163158"/>
    <w:rsid w:val="5C164F06"/>
    <w:rsid w:val="5C3435DF"/>
    <w:rsid w:val="5C844566"/>
    <w:rsid w:val="5C9D73D6"/>
    <w:rsid w:val="5CA2679A"/>
    <w:rsid w:val="5CC6692D"/>
    <w:rsid w:val="5CC76201"/>
    <w:rsid w:val="5D2F3896"/>
    <w:rsid w:val="5D4635C9"/>
    <w:rsid w:val="5D8365CC"/>
    <w:rsid w:val="5D8A795A"/>
    <w:rsid w:val="5D8F6D1E"/>
    <w:rsid w:val="5DA402F0"/>
    <w:rsid w:val="5DC777C9"/>
    <w:rsid w:val="5DF3155F"/>
    <w:rsid w:val="5E287173"/>
    <w:rsid w:val="5E5B4E53"/>
    <w:rsid w:val="5E90377B"/>
    <w:rsid w:val="5EA507C4"/>
    <w:rsid w:val="5F5F4D56"/>
    <w:rsid w:val="5FC15189"/>
    <w:rsid w:val="601C4AB5"/>
    <w:rsid w:val="60343BAD"/>
    <w:rsid w:val="603E2C7E"/>
    <w:rsid w:val="60A54AAB"/>
    <w:rsid w:val="60A7201B"/>
    <w:rsid w:val="60BB7E2A"/>
    <w:rsid w:val="60BE0C8B"/>
    <w:rsid w:val="60BF3DBF"/>
    <w:rsid w:val="61273712"/>
    <w:rsid w:val="61453B98"/>
    <w:rsid w:val="614B5652"/>
    <w:rsid w:val="62083543"/>
    <w:rsid w:val="62092E18"/>
    <w:rsid w:val="62157A0E"/>
    <w:rsid w:val="62546789"/>
    <w:rsid w:val="62F85366"/>
    <w:rsid w:val="636429FB"/>
    <w:rsid w:val="63716EC6"/>
    <w:rsid w:val="63764156"/>
    <w:rsid w:val="63D336DD"/>
    <w:rsid w:val="63FE69AC"/>
    <w:rsid w:val="641F6922"/>
    <w:rsid w:val="646A2293"/>
    <w:rsid w:val="64DB0A9B"/>
    <w:rsid w:val="64FE4A6B"/>
    <w:rsid w:val="65206DF6"/>
    <w:rsid w:val="65AB5DF8"/>
    <w:rsid w:val="65C9123C"/>
    <w:rsid w:val="66094751"/>
    <w:rsid w:val="6660394E"/>
    <w:rsid w:val="667967BE"/>
    <w:rsid w:val="667E3A41"/>
    <w:rsid w:val="66C043ED"/>
    <w:rsid w:val="66CD08B8"/>
    <w:rsid w:val="66FD73EF"/>
    <w:rsid w:val="6759214B"/>
    <w:rsid w:val="67656D42"/>
    <w:rsid w:val="679118E5"/>
    <w:rsid w:val="67F325A0"/>
    <w:rsid w:val="68190258"/>
    <w:rsid w:val="684B418A"/>
    <w:rsid w:val="684F3C7A"/>
    <w:rsid w:val="68C47A98"/>
    <w:rsid w:val="68DE0B5A"/>
    <w:rsid w:val="68F465CF"/>
    <w:rsid w:val="69206F0F"/>
    <w:rsid w:val="69270753"/>
    <w:rsid w:val="696F5C56"/>
    <w:rsid w:val="69894F6A"/>
    <w:rsid w:val="698A6F34"/>
    <w:rsid w:val="69AE49D0"/>
    <w:rsid w:val="69F04FE9"/>
    <w:rsid w:val="6A0E36C1"/>
    <w:rsid w:val="6A324051"/>
    <w:rsid w:val="6A3D5F3E"/>
    <w:rsid w:val="6A955B90"/>
    <w:rsid w:val="6ABF49BB"/>
    <w:rsid w:val="6B2111D2"/>
    <w:rsid w:val="6B4F3F91"/>
    <w:rsid w:val="6BB65DBE"/>
    <w:rsid w:val="6BDB3A77"/>
    <w:rsid w:val="6C13170D"/>
    <w:rsid w:val="6C270A6A"/>
    <w:rsid w:val="6C5D448C"/>
    <w:rsid w:val="6C7812C6"/>
    <w:rsid w:val="6C937EAD"/>
    <w:rsid w:val="6CE81FA7"/>
    <w:rsid w:val="6CEE3336"/>
    <w:rsid w:val="6D1E3C1B"/>
    <w:rsid w:val="6D5816E0"/>
    <w:rsid w:val="6D5842BF"/>
    <w:rsid w:val="6D855A48"/>
    <w:rsid w:val="6E1868BC"/>
    <w:rsid w:val="6E3631E6"/>
    <w:rsid w:val="6EBA5BC5"/>
    <w:rsid w:val="6EF235B1"/>
    <w:rsid w:val="6F15681B"/>
    <w:rsid w:val="6FC047A8"/>
    <w:rsid w:val="70090BB2"/>
    <w:rsid w:val="705636CC"/>
    <w:rsid w:val="707A385E"/>
    <w:rsid w:val="70974410"/>
    <w:rsid w:val="711A0B9D"/>
    <w:rsid w:val="71347EB1"/>
    <w:rsid w:val="71681909"/>
    <w:rsid w:val="7189187F"/>
    <w:rsid w:val="71C823A7"/>
    <w:rsid w:val="71F4319C"/>
    <w:rsid w:val="723F736B"/>
    <w:rsid w:val="72A252EE"/>
    <w:rsid w:val="72A2709C"/>
    <w:rsid w:val="72FA4241"/>
    <w:rsid w:val="737722D7"/>
    <w:rsid w:val="73886292"/>
    <w:rsid w:val="739A5FC5"/>
    <w:rsid w:val="73D239B1"/>
    <w:rsid w:val="740F42BD"/>
    <w:rsid w:val="7428537F"/>
    <w:rsid w:val="74387CB8"/>
    <w:rsid w:val="7443040B"/>
    <w:rsid w:val="7496178A"/>
    <w:rsid w:val="74C96B62"/>
    <w:rsid w:val="74D3353D"/>
    <w:rsid w:val="74DA2B1D"/>
    <w:rsid w:val="74F11C15"/>
    <w:rsid w:val="74F60E4B"/>
    <w:rsid w:val="750A45BB"/>
    <w:rsid w:val="7559570E"/>
    <w:rsid w:val="758F1B5A"/>
    <w:rsid w:val="75C4732A"/>
    <w:rsid w:val="762F50EB"/>
    <w:rsid w:val="76524935"/>
    <w:rsid w:val="76982C90"/>
    <w:rsid w:val="77274014"/>
    <w:rsid w:val="77707769"/>
    <w:rsid w:val="777234E1"/>
    <w:rsid w:val="77754D7F"/>
    <w:rsid w:val="778C3E77"/>
    <w:rsid w:val="77A45665"/>
    <w:rsid w:val="77E141C3"/>
    <w:rsid w:val="77E37F3B"/>
    <w:rsid w:val="7860333A"/>
    <w:rsid w:val="78A3591C"/>
    <w:rsid w:val="78C31B1A"/>
    <w:rsid w:val="78D855C6"/>
    <w:rsid w:val="79294073"/>
    <w:rsid w:val="795D3D1D"/>
    <w:rsid w:val="799D05BD"/>
    <w:rsid w:val="79BA116F"/>
    <w:rsid w:val="79EB30D7"/>
    <w:rsid w:val="7A5A025C"/>
    <w:rsid w:val="7A9419C0"/>
    <w:rsid w:val="7ACD6C80"/>
    <w:rsid w:val="7AE71AF0"/>
    <w:rsid w:val="7AF406B1"/>
    <w:rsid w:val="7B0C77A9"/>
    <w:rsid w:val="7B3D7962"/>
    <w:rsid w:val="7B4038F6"/>
    <w:rsid w:val="7B494559"/>
    <w:rsid w:val="7B5F1FCE"/>
    <w:rsid w:val="7BE22296"/>
    <w:rsid w:val="7C3A4D9D"/>
    <w:rsid w:val="7C490589"/>
    <w:rsid w:val="7CA51C63"/>
    <w:rsid w:val="7CD04806"/>
    <w:rsid w:val="7CE64029"/>
    <w:rsid w:val="7D586CD5"/>
    <w:rsid w:val="7DA869AF"/>
    <w:rsid w:val="7DD30A52"/>
    <w:rsid w:val="7DDA357B"/>
    <w:rsid w:val="7DF05160"/>
    <w:rsid w:val="7E227E81"/>
    <w:rsid w:val="7E372D8F"/>
    <w:rsid w:val="7E4234E1"/>
    <w:rsid w:val="7E5576B9"/>
    <w:rsid w:val="7E747B3F"/>
    <w:rsid w:val="7E885398"/>
    <w:rsid w:val="7EB919F5"/>
    <w:rsid w:val="7EBF4B32"/>
    <w:rsid w:val="7EFB043A"/>
    <w:rsid w:val="7F85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rPr>
      <w:rFonts w:ascii="Calibri" w:hAnsi="Calibri" w:eastAsia="宋体" w:cs="Times New Roman"/>
    </w:rPr>
  </w:style>
  <w:style w:type="paragraph" w:styleId="4">
    <w:name w:val="Plain Text"/>
    <w:basedOn w:val="1"/>
    <w:unhideWhenUsed/>
    <w:qFormat/>
    <w:uiPriority w:val="0"/>
    <w:rPr>
      <w:rFonts w:hint="eastAsia" w:ascii="宋体" w:hAnsi="Courier New"/>
      <w:sz w:val="21"/>
      <w:szCs w:val="21"/>
    </w:rPr>
  </w:style>
  <w:style w:type="paragraph" w:styleId="5">
    <w:name w:val="Balloon Text"/>
    <w:basedOn w:val="1"/>
    <w:link w:val="28"/>
    <w:qFormat/>
    <w:uiPriority w:val="0"/>
    <w:rPr>
      <w:sz w:val="18"/>
      <w:szCs w:val="18"/>
    </w:rPr>
  </w:style>
  <w:style w:type="paragraph" w:styleId="6">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after="120"/>
      <w:jc w:val="left"/>
    </w:pPr>
    <w:rPr>
      <w:rFonts w:cstheme="minorHAnsi"/>
      <w:b/>
      <w:bCs/>
      <w:caps/>
      <w:sz w:val="20"/>
      <w:szCs w:val="20"/>
    </w:rPr>
  </w:style>
  <w:style w:type="paragraph" w:styleId="9">
    <w:name w:val="Body Text 2"/>
    <w:basedOn w:val="1"/>
    <w:next w:val="4"/>
    <w:qFormat/>
    <w:uiPriority w:val="0"/>
    <w:pPr>
      <w:spacing w:after="120" w:line="480" w:lineRule="auto"/>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3"/>
    <w:qFormat/>
    <w:uiPriority w:val="99"/>
    <w:pPr>
      <w:ind w:firstLine="420" w:firstLineChars="100"/>
    </w:pPr>
    <w:rPr>
      <w:rFonts w:ascii="Times New Roman" w:hAnsi="Times New Roman"/>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qFormat/>
    <w:uiPriority w:val="0"/>
    <w:rPr>
      <w:color w:val="800080"/>
      <w:u w:val="none"/>
    </w:rPr>
  </w:style>
  <w:style w:type="character" w:styleId="16">
    <w:name w:val="HTML Definition"/>
    <w:basedOn w:val="14"/>
    <w:qFormat/>
    <w:uiPriority w:val="0"/>
  </w:style>
  <w:style w:type="character" w:styleId="17">
    <w:name w:val="HTML Typewriter"/>
    <w:basedOn w:val="14"/>
    <w:qFormat/>
    <w:uiPriority w:val="0"/>
    <w:rPr>
      <w:rFonts w:hint="default" w:ascii="monospace" w:hAnsi="monospace" w:eastAsia="monospace" w:cs="monospace"/>
      <w:sz w:val="20"/>
    </w:rPr>
  </w:style>
  <w:style w:type="character" w:styleId="18">
    <w:name w:val="HTML Acronym"/>
    <w:basedOn w:val="14"/>
    <w:qFormat/>
    <w:uiPriority w:val="0"/>
  </w:style>
  <w:style w:type="character" w:styleId="19">
    <w:name w:val="HTML Variable"/>
    <w:basedOn w:val="14"/>
    <w:qFormat/>
    <w:uiPriority w:val="0"/>
  </w:style>
  <w:style w:type="character" w:styleId="20">
    <w:name w:val="Hyperlink"/>
    <w:basedOn w:val="14"/>
    <w:qFormat/>
    <w:uiPriority w:val="0"/>
    <w:rPr>
      <w:color w:val="0000FF"/>
      <w:u w:val="single"/>
    </w:rPr>
  </w:style>
  <w:style w:type="character" w:styleId="21">
    <w:name w:val="HTML Code"/>
    <w:basedOn w:val="14"/>
    <w:qFormat/>
    <w:uiPriority w:val="0"/>
    <w:rPr>
      <w:rFonts w:ascii="monospace" w:hAnsi="monospace" w:eastAsia="monospace" w:cs="monospace"/>
      <w:sz w:val="20"/>
    </w:rPr>
  </w:style>
  <w:style w:type="character" w:styleId="22">
    <w:name w:val="HTML Cite"/>
    <w:basedOn w:val="14"/>
    <w:qFormat/>
    <w:uiPriority w:val="0"/>
  </w:style>
  <w:style w:type="character" w:styleId="23">
    <w:name w:val="HTML Keyboard"/>
    <w:basedOn w:val="14"/>
    <w:qFormat/>
    <w:uiPriority w:val="0"/>
    <w:rPr>
      <w:rFonts w:hint="default" w:ascii="monospace" w:hAnsi="monospace" w:eastAsia="monospace" w:cs="monospace"/>
      <w:sz w:val="20"/>
    </w:rPr>
  </w:style>
  <w:style w:type="character" w:styleId="24">
    <w:name w:val="HTML Sample"/>
    <w:basedOn w:val="14"/>
    <w:qFormat/>
    <w:uiPriority w:val="0"/>
    <w:rPr>
      <w:rFonts w:hint="default" w:ascii="monospace" w:hAnsi="monospace" w:eastAsia="monospace" w:cs="monospace"/>
    </w:rPr>
  </w:style>
  <w:style w:type="paragraph" w:styleId="25">
    <w:name w:val="List Paragraph"/>
    <w:basedOn w:val="1"/>
    <w:unhideWhenUsed/>
    <w:qFormat/>
    <w:uiPriority w:val="99"/>
    <w:pPr>
      <w:ind w:firstLine="420" w:firstLineChars="200"/>
    </w:pPr>
    <w:rPr>
      <w:rFonts w:ascii="Calibri" w:hAnsi="Calibri" w:eastAsia="宋体" w:cs="Times New Roman"/>
    </w:rPr>
  </w:style>
  <w:style w:type="character" w:customStyle="1" w:styleId="26">
    <w:name w:val="layui-layer-tabnow"/>
    <w:basedOn w:val="14"/>
    <w:qFormat/>
    <w:uiPriority w:val="0"/>
    <w:rPr>
      <w:bdr w:val="single" w:color="CCCCCC" w:sz="6" w:space="0"/>
      <w:shd w:val="clear" w:color="auto" w:fill="FFFFFF"/>
    </w:rPr>
  </w:style>
  <w:style w:type="character" w:customStyle="1" w:styleId="27">
    <w:name w:val="first-child"/>
    <w:basedOn w:val="14"/>
    <w:qFormat/>
    <w:uiPriority w:val="0"/>
  </w:style>
  <w:style w:type="character" w:customStyle="1" w:styleId="28">
    <w:name w:val="批注框文本 Char"/>
    <w:basedOn w:val="14"/>
    <w:link w:val="5"/>
    <w:qFormat/>
    <w:uiPriority w:val="0"/>
    <w:rPr>
      <w:rFonts w:asciiTheme="minorHAnsi" w:hAnsiTheme="minorHAnsi" w:eastAsiaTheme="minorEastAsia" w:cstheme="minorBidi"/>
      <w:kern w:val="2"/>
      <w:sz w:val="18"/>
      <w:szCs w:val="18"/>
    </w:rPr>
  </w:style>
  <w:style w:type="character" w:customStyle="1" w:styleId="29">
    <w:name w:val="页眉 Char"/>
    <w:basedOn w:val="14"/>
    <w:link w:val="7"/>
    <w:qFormat/>
    <w:uiPriority w:val="0"/>
    <w:rPr>
      <w:rFonts w:asciiTheme="minorHAnsi" w:hAnsiTheme="minorHAnsi" w:eastAsiaTheme="minorEastAsia" w:cstheme="minorBidi"/>
      <w:kern w:val="2"/>
      <w:sz w:val="18"/>
      <w:szCs w:val="18"/>
    </w:rPr>
  </w:style>
  <w:style w:type="paragraph" w:customStyle="1" w:styleId="30">
    <w:name w:val="Style1"/>
    <w:basedOn w:val="1"/>
    <w:qFormat/>
    <w:uiPriority w:val="99"/>
    <w:pPr>
      <w:tabs>
        <w:tab w:val="left" w:pos="-720"/>
      </w:tabs>
      <w:spacing w:after="120"/>
    </w:pPr>
    <w:rPr>
      <w:rFonts w:ascii="Times New Roman" w:hAnsi="Times New Roman" w:eastAsia="宋体" w:cs="Times New Roman"/>
      <w:spacing w:val="-3"/>
      <w:sz w:val="24"/>
      <w:szCs w:val="20"/>
      <w:lang w:val="en-AU"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52</Pages>
  <Words>11842</Words>
  <Characters>13258</Characters>
  <Lines>198</Lines>
  <Paragraphs>56</Paragraphs>
  <TotalTime>2</TotalTime>
  <ScaleCrop>false</ScaleCrop>
  <LinksUpToDate>false</LinksUpToDate>
  <CharactersWithSpaces>13344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2026-04-07T01:21:00Z</dcterms:created>
  <dc:creator>Administrator</dc:creator>
  <cp:lastModifiedBy>Administrator</cp:lastModifiedBy>
  <dcterms:modified xsi:type="dcterms:W3CDTF">2026-05-29T02:24:53Z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ADED63AEFD9C4227BFC23A083271F858_13</vt:lpwstr>
  </property>
  <property fmtid="{D5CDD505-2E9C-101B-9397-08002B2CF9AE}" pid="4" name="KSOTemplateDocerSaveRecord">
    <vt:lpwstr>eyJoZGlkIjoiMzBhMmFiOTVlM2JmYjZlOGVhYTI3OGU1Y2Y2YzlkZWQiLCJ1c2VySWQiOiIyMDkwODkxOTcifQ==</vt:lpwstr>
  </property>
</Properties>
</file>