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D482B">
      <w:pPr>
        <w:jc w:val="center"/>
        <w:rPr>
          <w:rFonts w:hint="eastAsia"/>
          <w:b/>
          <w:bCs/>
          <w:sz w:val="40"/>
          <w:szCs w:val="48"/>
          <w:lang w:val="en-US" w:eastAsia="zh-CN"/>
        </w:rPr>
      </w:pPr>
    </w:p>
    <w:p w14:paraId="703724B7">
      <w:pPr>
        <w:jc w:val="center"/>
        <w:rPr>
          <w:rFonts w:hint="eastAsia"/>
          <w:b/>
          <w:bCs/>
          <w:sz w:val="40"/>
          <w:szCs w:val="48"/>
          <w:lang w:val="en-US" w:eastAsia="zh-CN"/>
        </w:rPr>
      </w:pPr>
      <w:r>
        <w:rPr>
          <w:rFonts w:hint="eastAsia"/>
          <w:b/>
          <w:bCs/>
          <w:sz w:val="40"/>
          <w:szCs w:val="48"/>
          <w:lang w:val="en-US" w:eastAsia="zh-CN"/>
        </w:rPr>
        <w:t>三门峡市陕州区消防救援大队食堂主副食</w:t>
      </w:r>
      <w:r>
        <w:rPr>
          <w:rFonts w:hint="eastAsia"/>
          <w:b/>
          <w:bCs/>
          <w:sz w:val="40"/>
          <w:szCs w:val="48"/>
          <w:highlight w:val="none"/>
          <w:lang w:val="en-US" w:eastAsia="zh-CN"/>
        </w:rPr>
        <w:t>品</w:t>
      </w:r>
      <w:r>
        <w:rPr>
          <w:rFonts w:hint="eastAsia"/>
          <w:b/>
          <w:bCs/>
          <w:sz w:val="40"/>
          <w:szCs w:val="48"/>
          <w:lang w:val="en-US" w:eastAsia="zh-CN"/>
        </w:rPr>
        <w:t>采购项目</w:t>
      </w:r>
    </w:p>
    <w:p w14:paraId="4E01EFE5">
      <w:pPr>
        <w:jc w:val="center"/>
        <w:rPr>
          <w:rFonts w:hint="eastAsia"/>
          <w:b/>
          <w:bCs/>
          <w:sz w:val="40"/>
          <w:szCs w:val="48"/>
          <w:lang w:val="en-US" w:eastAsia="zh-CN"/>
        </w:rPr>
      </w:pPr>
    </w:p>
    <w:p w14:paraId="52353467">
      <w:pPr>
        <w:jc w:val="center"/>
        <w:rPr>
          <w:rFonts w:hint="eastAsia"/>
          <w:b/>
          <w:bCs/>
          <w:sz w:val="40"/>
          <w:szCs w:val="48"/>
          <w:lang w:val="en-US" w:eastAsia="zh-CN"/>
        </w:rPr>
      </w:pPr>
    </w:p>
    <w:p w14:paraId="2BC6B919">
      <w:pPr>
        <w:jc w:val="center"/>
        <w:rPr>
          <w:rFonts w:hint="eastAsia"/>
          <w:b/>
          <w:bCs/>
          <w:sz w:val="52"/>
          <w:szCs w:val="60"/>
          <w:lang w:val="en-US" w:eastAsia="zh-CN"/>
        </w:rPr>
      </w:pPr>
      <w:r>
        <w:rPr>
          <w:rFonts w:hint="eastAsia"/>
          <w:b/>
          <w:bCs/>
          <w:sz w:val="52"/>
          <w:szCs w:val="60"/>
          <w:lang w:val="en-US" w:eastAsia="zh-CN"/>
        </w:rPr>
        <w:t>竞争性磋商文件</w:t>
      </w:r>
    </w:p>
    <w:p w14:paraId="3CA0B5D0">
      <w:pPr>
        <w:jc w:val="center"/>
        <w:rPr>
          <w:rFonts w:hint="eastAsia"/>
          <w:b/>
          <w:bCs/>
          <w:sz w:val="40"/>
          <w:szCs w:val="48"/>
          <w:lang w:val="en-US" w:eastAsia="zh-CN"/>
        </w:rPr>
      </w:pPr>
    </w:p>
    <w:p w14:paraId="40AD2C02">
      <w:pPr>
        <w:jc w:val="center"/>
        <w:rPr>
          <w:rFonts w:hint="eastAsia"/>
          <w:b/>
          <w:bCs/>
          <w:sz w:val="40"/>
          <w:szCs w:val="48"/>
          <w:highlight w:val="yellow"/>
          <w:lang w:val="en-US" w:eastAsia="zh-CN"/>
        </w:rPr>
      </w:pPr>
    </w:p>
    <w:p w14:paraId="4C57A5E1">
      <w:pPr>
        <w:jc w:val="center"/>
        <w:rPr>
          <w:rFonts w:hint="eastAsia"/>
          <w:b/>
          <w:bCs/>
          <w:sz w:val="40"/>
          <w:szCs w:val="48"/>
          <w:highlight w:val="none"/>
          <w:lang w:val="en-US" w:eastAsia="zh-CN"/>
        </w:rPr>
      </w:pPr>
      <w:r>
        <w:rPr>
          <w:rFonts w:hint="eastAsia"/>
          <w:b/>
          <w:bCs/>
          <w:sz w:val="40"/>
          <w:szCs w:val="48"/>
          <w:highlight w:val="none"/>
          <w:lang w:val="en-US" w:eastAsia="zh-CN"/>
        </w:rPr>
        <w:t>项目编号：陕州竞磋采购-2026-40、SZGZ[2026]077-ZC064</w:t>
      </w:r>
    </w:p>
    <w:p w14:paraId="37DF5586">
      <w:pPr>
        <w:jc w:val="center"/>
        <w:rPr>
          <w:rFonts w:hint="default"/>
          <w:b/>
          <w:bCs/>
          <w:sz w:val="40"/>
          <w:szCs w:val="48"/>
          <w:highlight w:val="yellow"/>
          <w:lang w:val="en-US" w:eastAsia="zh-CN"/>
        </w:rPr>
      </w:pPr>
    </w:p>
    <w:p w14:paraId="1864D503">
      <w:pPr>
        <w:jc w:val="center"/>
        <w:rPr>
          <w:rFonts w:hint="default"/>
          <w:b/>
          <w:bCs/>
          <w:sz w:val="40"/>
          <w:szCs w:val="48"/>
          <w:lang w:val="en-US" w:eastAsia="zh-CN"/>
        </w:rPr>
      </w:pPr>
      <w:r>
        <w:rPr>
          <w:rFonts w:hint="eastAsia"/>
          <w:sz w:val="20"/>
          <w:szCs w:val="21"/>
          <w:lang w:val="en-US" w:eastAsia="zh-CN"/>
        </w:rPr>
        <w:drawing>
          <wp:inline distT="0" distB="0" distL="114300" distR="114300">
            <wp:extent cx="2252980" cy="1779905"/>
            <wp:effectExtent l="0" t="0" r="13970" b="10795"/>
            <wp:docPr id="3" name="图片 1" descr="b9258ce261616c3329521c01eb22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b9258ce261616c3329521c01eb222264"/>
                    <pic:cNvPicPr>
                      <a:picLocks noChangeAspect="1"/>
                    </pic:cNvPicPr>
                  </pic:nvPicPr>
                  <pic:blipFill>
                    <a:blip r:embed="rId4"/>
                    <a:stretch>
                      <a:fillRect/>
                    </a:stretch>
                  </pic:blipFill>
                  <pic:spPr>
                    <a:xfrm>
                      <a:off x="0" y="0"/>
                      <a:ext cx="2252980" cy="1779905"/>
                    </a:xfrm>
                    <a:prstGeom prst="rect">
                      <a:avLst/>
                    </a:prstGeom>
                    <a:noFill/>
                    <a:ln>
                      <a:noFill/>
                    </a:ln>
                  </pic:spPr>
                </pic:pic>
              </a:graphicData>
            </a:graphic>
          </wp:inline>
        </w:drawing>
      </w:r>
    </w:p>
    <w:p w14:paraId="43F3F469">
      <w:pPr>
        <w:rPr>
          <w:rFonts w:hint="eastAsia"/>
          <w:lang w:val="en-US" w:eastAsia="zh-CN"/>
        </w:rPr>
      </w:pPr>
    </w:p>
    <w:p w14:paraId="7AD5F716">
      <w:pPr>
        <w:rPr>
          <w:rFonts w:hint="eastAsia"/>
          <w:lang w:val="en-US" w:eastAsia="zh-CN"/>
        </w:rPr>
      </w:pPr>
    </w:p>
    <w:p w14:paraId="5F22EB6E">
      <w:pPr>
        <w:jc w:val="center"/>
      </w:pPr>
    </w:p>
    <w:p w14:paraId="06062990">
      <w:pPr>
        <w:ind w:firstLine="1680" w:firstLineChars="800"/>
        <w:jc w:val="both"/>
        <w:rPr>
          <w:rFonts w:hint="default"/>
          <w:b/>
          <w:bCs/>
          <w:sz w:val="32"/>
          <w:szCs w:val="40"/>
          <w:lang w:val="en-US" w:eastAsia="zh-CN"/>
        </w:rPr>
      </w:pPr>
      <w:r>
        <w:drawing>
          <wp:anchor distT="0" distB="0" distL="114300" distR="114300" simplePos="0" relativeHeight="251659264" behindDoc="1" locked="0" layoutInCell="1" allowOverlap="1">
            <wp:simplePos x="0" y="0"/>
            <wp:positionH relativeFrom="column">
              <wp:posOffset>3404870</wp:posOffset>
            </wp:positionH>
            <wp:positionV relativeFrom="paragraph">
              <wp:posOffset>71755</wp:posOffset>
            </wp:positionV>
            <wp:extent cx="1583690" cy="1407795"/>
            <wp:effectExtent l="0" t="0" r="0" b="279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11400000">
                      <a:off x="0" y="0"/>
                      <a:ext cx="1583690" cy="1407795"/>
                    </a:xfrm>
                    <a:prstGeom prst="rect">
                      <a:avLst/>
                    </a:prstGeom>
                    <a:noFill/>
                    <a:ln>
                      <a:noFill/>
                    </a:ln>
                  </pic:spPr>
                </pic:pic>
              </a:graphicData>
            </a:graphic>
          </wp:anchor>
        </w:drawing>
      </w:r>
      <w:r>
        <w:rPr>
          <w:rFonts w:hint="eastAsia"/>
          <w:b/>
          <w:bCs/>
          <w:sz w:val="32"/>
          <w:szCs w:val="40"/>
          <w:lang w:val="en-US" w:eastAsia="zh-CN"/>
        </w:rPr>
        <w:t>采购人：三门峡市陕州区消防救援大队</w:t>
      </w:r>
    </w:p>
    <w:p w14:paraId="7541270D">
      <w:pPr>
        <w:ind w:firstLine="1606" w:firstLineChars="500"/>
        <w:jc w:val="both"/>
        <w:rPr>
          <w:rFonts w:hint="eastAsia"/>
          <w:b/>
          <w:bCs/>
          <w:sz w:val="32"/>
          <w:szCs w:val="40"/>
          <w:lang w:val="en-US" w:eastAsia="zh-CN"/>
        </w:rPr>
      </w:pPr>
      <w:r>
        <w:rPr>
          <w:rFonts w:hint="eastAsia"/>
          <w:b/>
          <w:bCs/>
          <w:sz w:val="32"/>
          <w:szCs w:val="40"/>
          <w:lang w:val="en-US" w:eastAsia="zh-CN"/>
        </w:rPr>
        <w:t>代理机构：河南邦兴工程服务有限公司</w:t>
      </w:r>
    </w:p>
    <w:p w14:paraId="4FAAB196">
      <w:pPr>
        <w:ind w:firstLine="1606" w:firstLineChars="500"/>
        <w:jc w:val="both"/>
        <w:rPr>
          <w:rFonts w:hint="eastAsia"/>
          <w:b/>
          <w:bCs/>
          <w:color w:val="auto"/>
          <w:sz w:val="32"/>
          <w:szCs w:val="40"/>
          <w:highlight w:val="none"/>
          <w:lang w:val="en-US" w:eastAsia="zh-CN"/>
        </w:rPr>
      </w:pPr>
      <w:r>
        <w:rPr>
          <w:rFonts w:hint="eastAsia"/>
          <w:b/>
          <w:bCs/>
          <w:sz w:val="32"/>
          <w:szCs w:val="40"/>
          <w:lang w:val="en-US" w:eastAsia="zh-CN"/>
        </w:rPr>
        <w:t>日期：</w:t>
      </w:r>
      <w:r>
        <w:rPr>
          <w:rFonts w:hint="eastAsia"/>
          <w:b/>
          <w:bCs/>
          <w:sz w:val="32"/>
          <w:szCs w:val="40"/>
          <w:highlight w:val="none"/>
          <w:lang w:val="en-US" w:eastAsia="zh-CN"/>
        </w:rPr>
        <w:t>二〇二六年</w:t>
      </w:r>
      <w:r>
        <w:rPr>
          <w:rFonts w:hint="eastAsia"/>
          <w:b/>
          <w:bCs/>
          <w:color w:val="auto"/>
          <w:sz w:val="32"/>
          <w:szCs w:val="40"/>
          <w:highlight w:val="none"/>
          <w:lang w:val="en-US" w:eastAsia="zh-CN"/>
        </w:rPr>
        <w:t>六月</w:t>
      </w:r>
    </w:p>
    <w:p w14:paraId="7B695D5F">
      <w:pPr>
        <w:ind w:firstLine="1606" w:firstLineChars="500"/>
        <w:jc w:val="both"/>
        <w:rPr>
          <w:rFonts w:hint="eastAsia"/>
          <w:b/>
          <w:bCs/>
          <w:color w:val="auto"/>
          <w:sz w:val="32"/>
          <w:szCs w:val="40"/>
          <w:highlight w:val="none"/>
          <w:lang w:val="en-US" w:eastAsia="zh-CN"/>
        </w:rPr>
      </w:pPr>
    </w:p>
    <w:p w14:paraId="54EA1E31">
      <w:pPr>
        <w:jc w:val="center"/>
        <w:rPr>
          <w:rFonts w:hint="eastAsia"/>
          <w:b/>
          <w:bCs/>
          <w:sz w:val="36"/>
          <w:szCs w:val="44"/>
          <w:lang w:val="en-US" w:eastAsia="zh-CN"/>
        </w:rPr>
      </w:pPr>
      <w:r>
        <w:rPr>
          <w:rFonts w:hint="eastAsia"/>
          <w:b/>
          <w:bCs/>
          <w:sz w:val="36"/>
          <w:szCs w:val="44"/>
          <w:lang w:val="en-US" w:eastAsia="zh-CN"/>
        </w:rPr>
        <w:t>目录</w:t>
      </w:r>
    </w:p>
    <w:sdt>
      <w:sdtPr>
        <w:rPr>
          <w:rFonts w:ascii="宋体" w:hAnsi="宋体" w:eastAsia="宋体" w:cstheme="minorBidi"/>
          <w:kern w:val="2"/>
          <w:sz w:val="21"/>
          <w:szCs w:val="24"/>
          <w:lang w:val="en-US" w:eastAsia="zh-CN" w:bidi="ar-SA"/>
        </w:rPr>
        <w:id w:val="147465789"/>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5235E72F">
          <w:pPr>
            <w:spacing w:before="0" w:beforeLines="0" w:after="0" w:afterLines="0" w:line="240" w:lineRule="auto"/>
            <w:ind w:left="0" w:leftChars="0" w:right="0" w:rightChars="0" w:firstLine="0" w:firstLineChars="0"/>
            <w:jc w:val="center"/>
          </w:pPr>
        </w:p>
        <w:p w14:paraId="054D4C5D">
          <w:pPr>
            <w:pStyle w:val="16"/>
            <w:tabs>
              <w:tab w:val="right" w:leader="dot" w:pos="9072"/>
            </w:tabs>
            <w:rPr>
              <w:sz w:val="28"/>
              <w:szCs w:val="36"/>
            </w:rPr>
          </w:pP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r>
            <w:rPr>
              <w:rFonts w:hint="eastAsia"/>
              <w:sz w:val="28"/>
              <w:szCs w:val="36"/>
              <w:lang w:val="en-US" w:eastAsia="zh-CN"/>
            </w:rPr>
            <w:fldChar w:fldCharType="begin"/>
          </w:r>
          <w:r>
            <w:rPr>
              <w:rFonts w:hint="eastAsia"/>
              <w:sz w:val="28"/>
              <w:szCs w:val="36"/>
              <w:lang w:val="en-US" w:eastAsia="zh-CN"/>
            </w:rPr>
            <w:instrText xml:space="preserve"> HYPERLINK \l _Toc21226 </w:instrText>
          </w:r>
          <w:r>
            <w:rPr>
              <w:rFonts w:hint="eastAsia"/>
              <w:sz w:val="28"/>
              <w:szCs w:val="36"/>
              <w:lang w:val="en-US" w:eastAsia="zh-CN"/>
            </w:rPr>
            <w:fldChar w:fldCharType="separate"/>
          </w:r>
          <w:r>
            <w:rPr>
              <w:rFonts w:hint="eastAsia"/>
              <w:sz w:val="28"/>
              <w:szCs w:val="36"/>
            </w:rPr>
            <w:t>第一章  竞争性磋商公告</w:t>
          </w:r>
          <w:r>
            <w:rPr>
              <w:sz w:val="28"/>
              <w:szCs w:val="36"/>
            </w:rPr>
            <w:tab/>
          </w:r>
          <w:r>
            <w:rPr>
              <w:sz w:val="28"/>
              <w:szCs w:val="36"/>
            </w:rPr>
            <w:fldChar w:fldCharType="begin"/>
          </w:r>
          <w:r>
            <w:rPr>
              <w:sz w:val="28"/>
              <w:szCs w:val="36"/>
            </w:rPr>
            <w:instrText xml:space="preserve"> PAGEREF _Toc21226 \h </w:instrText>
          </w:r>
          <w:r>
            <w:rPr>
              <w:sz w:val="28"/>
              <w:szCs w:val="36"/>
            </w:rPr>
            <w:fldChar w:fldCharType="separate"/>
          </w:r>
          <w:r>
            <w:rPr>
              <w:sz w:val="28"/>
              <w:szCs w:val="36"/>
            </w:rPr>
            <w:t>3</w:t>
          </w:r>
          <w:r>
            <w:rPr>
              <w:sz w:val="28"/>
              <w:szCs w:val="36"/>
            </w:rPr>
            <w:fldChar w:fldCharType="end"/>
          </w:r>
          <w:r>
            <w:rPr>
              <w:rFonts w:hint="eastAsia"/>
              <w:sz w:val="28"/>
              <w:szCs w:val="36"/>
              <w:lang w:val="en-US" w:eastAsia="zh-CN"/>
            </w:rPr>
            <w:fldChar w:fldCharType="end"/>
          </w:r>
        </w:p>
        <w:p w14:paraId="142193A2">
          <w:pPr>
            <w:pStyle w:val="16"/>
            <w:tabs>
              <w:tab w:val="right" w:leader="dot" w:pos="9072"/>
            </w:tabs>
            <w:rPr>
              <w:sz w:val="28"/>
              <w:szCs w:val="36"/>
            </w:rPr>
          </w:pPr>
          <w:r>
            <w:rPr>
              <w:rFonts w:hint="eastAsia"/>
              <w:sz w:val="28"/>
              <w:szCs w:val="36"/>
              <w:lang w:val="en-US" w:eastAsia="zh-CN"/>
            </w:rPr>
            <w:fldChar w:fldCharType="begin"/>
          </w:r>
          <w:r>
            <w:rPr>
              <w:rFonts w:hint="eastAsia"/>
              <w:sz w:val="28"/>
              <w:szCs w:val="36"/>
              <w:lang w:val="en-US" w:eastAsia="zh-CN"/>
            </w:rPr>
            <w:instrText xml:space="preserve"> HYPERLINK \l _Toc27599 </w:instrText>
          </w:r>
          <w:r>
            <w:rPr>
              <w:rFonts w:hint="eastAsia"/>
              <w:sz w:val="28"/>
              <w:szCs w:val="36"/>
              <w:lang w:val="en-US" w:eastAsia="zh-CN"/>
            </w:rPr>
            <w:fldChar w:fldCharType="separate"/>
          </w:r>
          <w:r>
            <w:rPr>
              <w:rFonts w:hint="eastAsia"/>
              <w:sz w:val="28"/>
              <w:szCs w:val="36"/>
            </w:rPr>
            <w:t>第二章  供应商须知</w:t>
          </w:r>
          <w:r>
            <w:rPr>
              <w:sz w:val="28"/>
              <w:szCs w:val="36"/>
            </w:rPr>
            <w:tab/>
          </w:r>
          <w:r>
            <w:rPr>
              <w:sz w:val="28"/>
              <w:szCs w:val="36"/>
            </w:rPr>
            <w:fldChar w:fldCharType="begin"/>
          </w:r>
          <w:r>
            <w:rPr>
              <w:sz w:val="28"/>
              <w:szCs w:val="36"/>
            </w:rPr>
            <w:instrText xml:space="preserve"> PAGEREF _Toc27599 \h </w:instrText>
          </w:r>
          <w:r>
            <w:rPr>
              <w:sz w:val="28"/>
              <w:szCs w:val="36"/>
            </w:rPr>
            <w:fldChar w:fldCharType="separate"/>
          </w:r>
          <w:r>
            <w:rPr>
              <w:sz w:val="28"/>
              <w:szCs w:val="36"/>
            </w:rPr>
            <w:t>7</w:t>
          </w:r>
          <w:r>
            <w:rPr>
              <w:sz w:val="28"/>
              <w:szCs w:val="36"/>
            </w:rPr>
            <w:fldChar w:fldCharType="end"/>
          </w:r>
          <w:r>
            <w:rPr>
              <w:rFonts w:hint="eastAsia"/>
              <w:sz w:val="28"/>
              <w:szCs w:val="36"/>
              <w:lang w:val="en-US" w:eastAsia="zh-CN"/>
            </w:rPr>
            <w:fldChar w:fldCharType="end"/>
          </w:r>
        </w:p>
        <w:p w14:paraId="6C2E034E">
          <w:pPr>
            <w:pStyle w:val="16"/>
            <w:tabs>
              <w:tab w:val="right" w:leader="dot" w:pos="9072"/>
            </w:tabs>
            <w:rPr>
              <w:sz w:val="28"/>
              <w:szCs w:val="36"/>
            </w:rPr>
          </w:pPr>
          <w:r>
            <w:rPr>
              <w:rFonts w:hint="eastAsia"/>
              <w:sz w:val="28"/>
              <w:szCs w:val="36"/>
              <w:lang w:val="en-US" w:eastAsia="zh-CN"/>
            </w:rPr>
            <w:fldChar w:fldCharType="begin"/>
          </w:r>
          <w:r>
            <w:rPr>
              <w:rFonts w:hint="eastAsia"/>
              <w:sz w:val="28"/>
              <w:szCs w:val="36"/>
              <w:lang w:val="en-US" w:eastAsia="zh-CN"/>
            </w:rPr>
            <w:instrText xml:space="preserve"> HYPERLINK \l _Toc17311 </w:instrText>
          </w:r>
          <w:r>
            <w:rPr>
              <w:rFonts w:hint="eastAsia"/>
              <w:sz w:val="28"/>
              <w:szCs w:val="36"/>
              <w:lang w:val="en-US" w:eastAsia="zh-CN"/>
            </w:rPr>
            <w:fldChar w:fldCharType="separate"/>
          </w:r>
          <w:r>
            <w:rPr>
              <w:rFonts w:hint="eastAsia"/>
              <w:sz w:val="28"/>
              <w:szCs w:val="36"/>
              <w:lang w:val="en-US" w:eastAsia="zh-CN"/>
            </w:rPr>
            <w:t>第三章 评审办法</w:t>
          </w:r>
          <w:r>
            <w:rPr>
              <w:sz w:val="28"/>
              <w:szCs w:val="36"/>
            </w:rPr>
            <w:tab/>
          </w:r>
          <w:r>
            <w:rPr>
              <w:sz w:val="28"/>
              <w:szCs w:val="36"/>
            </w:rPr>
            <w:fldChar w:fldCharType="begin"/>
          </w:r>
          <w:r>
            <w:rPr>
              <w:sz w:val="28"/>
              <w:szCs w:val="36"/>
            </w:rPr>
            <w:instrText xml:space="preserve"> PAGEREF _Toc17311 \h </w:instrText>
          </w:r>
          <w:r>
            <w:rPr>
              <w:sz w:val="28"/>
              <w:szCs w:val="36"/>
            </w:rPr>
            <w:fldChar w:fldCharType="separate"/>
          </w:r>
          <w:r>
            <w:rPr>
              <w:sz w:val="28"/>
              <w:szCs w:val="36"/>
            </w:rPr>
            <w:t>30</w:t>
          </w:r>
          <w:r>
            <w:rPr>
              <w:sz w:val="28"/>
              <w:szCs w:val="36"/>
            </w:rPr>
            <w:fldChar w:fldCharType="end"/>
          </w:r>
          <w:r>
            <w:rPr>
              <w:rFonts w:hint="eastAsia"/>
              <w:sz w:val="28"/>
              <w:szCs w:val="36"/>
              <w:lang w:val="en-US" w:eastAsia="zh-CN"/>
            </w:rPr>
            <w:fldChar w:fldCharType="end"/>
          </w:r>
        </w:p>
        <w:p w14:paraId="7D353CE1">
          <w:pPr>
            <w:pStyle w:val="16"/>
            <w:tabs>
              <w:tab w:val="right" w:leader="dot" w:pos="9072"/>
            </w:tabs>
            <w:rPr>
              <w:sz w:val="28"/>
              <w:szCs w:val="36"/>
            </w:rPr>
          </w:pPr>
          <w:r>
            <w:rPr>
              <w:rFonts w:hint="eastAsia"/>
              <w:sz w:val="28"/>
              <w:szCs w:val="36"/>
              <w:lang w:val="en-US" w:eastAsia="zh-CN"/>
            </w:rPr>
            <w:fldChar w:fldCharType="begin"/>
          </w:r>
          <w:r>
            <w:rPr>
              <w:rFonts w:hint="eastAsia"/>
              <w:sz w:val="28"/>
              <w:szCs w:val="36"/>
              <w:lang w:val="en-US" w:eastAsia="zh-CN"/>
            </w:rPr>
            <w:instrText xml:space="preserve"> HYPERLINK \l _Toc20379 </w:instrText>
          </w:r>
          <w:r>
            <w:rPr>
              <w:rFonts w:hint="eastAsia"/>
              <w:sz w:val="28"/>
              <w:szCs w:val="36"/>
              <w:lang w:val="en-US" w:eastAsia="zh-CN"/>
            </w:rPr>
            <w:fldChar w:fldCharType="separate"/>
          </w:r>
          <w:r>
            <w:rPr>
              <w:rFonts w:hint="eastAsia"/>
              <w:sz w:val="28"/>
              <w:szCs w:val="36"/>
              <w:lang w:val="en-US" w:eastAsia="zh-CN"/>
            </w:rPr>
            <w:t>第四章 采购需求</w:t>
          </w:r>
          <w:r>
            <w:rPr>
              <w:sz w:val="28"/>
              <w:szCs w:val="36"/>
            </w:rPr>
            <w:tab/>
          </w:r>
          <w:r>
            <w:rPr>
              <w:sz w:val="28"/>
              <w:szCs w:val="36"/>
            </w:rPr>
            <w:fldChar w:fldCharType="begin"/>
          </w:r>
          <w:r>
            <w:rPr>
              <w:sz w:val="28"/>
              <w:szCs w:val="36"/>
            </w:rPr>
            <w:instrText xml:space="preserve"> PAGEREF _Toc20379 \h </w:instrText>
          </w:r>
          <w:r>
            <w:rPr>
              <w:sz w:val="28"/>
              <w:szCs w:val="36"/>
            </w:rPr>
            <w:fldChar w:fldCharType="separate"/>
          </w:r>
          <w:r>
            <w:rPr>
              <w:sz w:val="28"/>
              <w:szCs w:val="36"/>
            </w:rPr>
            <w:t>39</w:t>
          </w:r>
          <w:r>
            <w:rPr>
              <w:sz w:val="28"/>
              <w:szCs w:val="36"/>
            </w:rPr>
            <w:fldChar w:fldCharType="end"/>
          </w:r>
          <w:r>
            <w:rPr>
              <w:rFonts w:hint="eastAsia"/>
              <w:sz w:val="28"/>
              <w:szCs w:val="36"/>
              <w:lang w:val="en-US" w:eastAsia="zh-CN"/>
            </w:rPr>
            <w:fldChar w:fldCharType="end"/>
          </w:r>
        </w:p>
        <w:p w14:paraId="099C81EB">
          <w:pPr>
            <w:pStyle w:val="16"/>
            <w:tabs>
              <w:tab w:val="right" w:leader="dot" w:pos="9072"/>
            </w:tabs>
            <w:rPr>
              <w:sz w:val="28"/>
              <w:szCs w:val="36"/>
            </w:rPr>
          </w:pPr>
          <w:r>
            <w:rPr>
              <w:rFonts w:hint="eastAsia"/>
              <w:sz w:val="28"/>
              <w:szCs w:val="36"/>
              <w:lang w:val="en-US" w:eastAsia="zh-CN"/>
            </w:rPr>
            <w:fldChar w:fldCharType="begin"/>
          </w:r>
          <w:r>
            <w:rPr>
              <w:rFonts w:hint="eastAsia"/>
              <w:sz w:val="28"/>
              <w:szCs w:val="36"/>
              <w:lang w:val="en-US" w:eastAsia="zh-CN"/>
            </w:rPr>
            <w:instrText xml:space="preserve"> HYPERLINK \l _Toc14963 </w:instrText>
          </w:r>
          <w:r>
            <w:rPr>
              <w:rFonts w:hint="eastAsia"/>
              <w:sz w:val="28"/>
              <w:szCs w:val="36"/>
              <w:lang w:val="en-US" w:eastAsia="zh-CN"/>
            </w:rPr>
            <w:fldChar w:fldCharType="separate"/>
          </w:r>
          <w:r>
            <w:rPr>
              <w:rFonts w:hint="eastAsia"/>
              <w:sz w:val="28"/>
              <w:szCs w:val="36"/>
              <w:lang w:val="en-US" w:eastAsia="zh-CN"/>
            </w:rPr>
            <w:t>第五章 合同条款及格式（范本）</w:t>
          </w:r>
          <w:r>
            <w:rPr>
              <w:sz w:val="28"/>
              <w:szCs w:val="36"/>
            </w:rPr>
            <w:tab/>
          </w:r>
          <w:r>
            <w:rPr>
              <w:sz w:val="28"/>
              <w:szCs w:val="36"/>
            </w:rPr>
            <w:fldChar w:fldCharType="begin"/>
          </w:r>
          <w:r>
            <w:rPr>
              <w:sz w:val="28"/>
              <w:szCs w:val="36"/>
            </w:rPr>
            <w:instrText xml:space="preserve"> PAGEREF _Toc14963 \h </w:instrText>
          </w:r>
          <w:r>
            <w:rPr>
              <w:sz w:val="28"/>
              <w:szCs w:val="36"/>
            </w:rPr>
            <w:fldChar w:fldCharType="separate"/>
          </w:r>
          <w:r>
            <w:rPr>
              <w:sz w:val="28"/>
              <w:szCs w:val="36"/>
            </w:rPr>
            <w:t>48</w:t>
          </w:r>
          <w:r>
            <w:rPr>
              <w:sz w:val="28"/>
              <w:szCs w:val="36"/>
            </w:rPr>
            <w:fldChar w:fldCharType="end"/>
          </w:r>
          <w:r>
            <w:rPr>
              <w:rFonts w:hint="eastAsia"/>
              <w:sz w:val="28"/>
              <w:szCs w:val="36"/>
              <w:lang w:val="en-US" w:eastAsia="zh-CN"/>
            </w:rPr>
            <w:fldChar w:fldCharType="end"/>
          </w:r>
        </w:p>
        <w:p w14:paraId="30584A35">
          <w:pPr>
            <w:pStyle w:val="16"/>
            <w:tabs>
              <w:tab w:val="right" w:leader="dot" w:pos="9072"/>
            </w:tabs>
          </w:pPr>
          <w:r>
            <w:rPr>
              <w:rFonts w:hint="eastAsia"/>
              <w:sz w:val="28"/>
              <w:szCs w:val="36"/>
              <w:lang w:val="en-US" w:eastAsia="zh-CN"/>
            </w:rPr>
            <w:fldChar w:fldCharType="begin"/>
          </w:r>
          <w:r>
            <w:rPr>
              <w:rFonts w:hint="eastAsia"/>
              <w:sz w:val="28"/>
              <w:szCs w:val="36"/>
              <w:lang w:val="en-US" w:eastAsia="zh-CN"/>
            </w:rPr>
            <w:instrText xml:space="preserve"> HYPERLINK \l _Toc28980 </w:instrText>
          </w:r>
          <w:r>
            <w:rPr>
              <w:rFonts w:hint="eastAsia"/>
              <w:sz w:val="28"/>
              <w:szCs w:val="36"/>
              <w:lang w:val="en-US" w:eastAsia="zh-CN"/>
            </w:rPr>
            <w:fldChar w:fldCharType="separate"/>
          </w:r>
          <w:r>
            <w:rPr>
              <w:rFonts w:hint="eastAsia"/>
              <w:sz w:val="28"/>
              <w:szCs w:val="36"/>
            </w:rPr>
            <w:t>第六章 响应文件格式</w:t>
          </w:r>
          <w:r>
            <w:rPr>
              <w:sz w:val="28"/>
              <w:szCs w:val="36"/>
            </w:rPr>
            <w:tab/>
          </w:r>
          <w:r>
            <w:rPr>
              <w:sz w:val="28"/>
              <w:szCs w:val="36"/>
            </w:rPr>
            <w:fldChar w:fldCharType="begin"/>
          </w:r>
          <w:r>
            <w:rPr>
              <w:sz w:val="28"/>
              <w:szCs w:val="36"/>
            </w:rPr>
            <w:instrText xml:space="preserve"> PAGEREF _Toc28980 \h </w:instrText>
          </w:r>
          <w:r>
            <w:rPr>
              <w:sz w:val="28"/>
              <w:szCs w:val="36"/>
            </w:rPr>
            <w:fldChar w:fldCharType="separate"/>
          </w:r>
          <w:r>
            <w:rPr>
              <w:sz w:val="28"/>
              <w:szCs w:val="36"/>
            </w:rPr>
            <w:t>55</w:t>
          </w:r>
          <w:r>
            <w:rPr>
              <w:sz w:val="28"/>
              <w:szCs w:val="36"/>
            </w:rPr>
            <w:fldChar w:fldCharType="end"/>
          </w:r>
          <w:r>
            <w:rPr>
              <w:rFonts w:hint="eastAsia"/>
              <w:sz w:val="28"/>
              <w:szCs w:val="36"/>
              <w:lang w:val="en-US" w:eastAsia="zh-CN"/>
            </w:rPr>
            <w:fldChar w:fldCharType="end"/>
          </w:r>
        </w:p>
        <w:p w14:paraId="59FA9457">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fldChar w:fldCharType="end"/>
          </w:r>
        </w:p>
      </w:sdtContent>
    </w:sdt>
    <w:p w14:paraId="765D1051">
      <w:pPr>
        <w:jc w:val="center"/>
        <w:rPr>
          <w:rFonts w:hint="eastAsia" w:asciiTheme="minorHAnsi" w:hAnsiTheme="minorHAnsi" w:eastAsiaTheme="minorEastAsia" w:cstheme="minorBidi"/>
          <w:kern w:val="2"/>
          <w:sz w:val="21"/>
          <w:szCs w:val="24"/>
          <w:lang w:val="en-US" w:eastAsia="zh-CN" w:bidi="ar-SA"/>
        </w:rPr>
      </w:pPr>
    </w:p>
    <w:p w14:paraId="5EB970AB">
      <w:pPr>
        <w:jc w:val="center"/>
        <w:rPr>
          <w:rFonts w:hint="eastAsia"/>
          <w:lang w:val="en-US" w:eastAsia="zh-CN"/>
        </w:rPr>
      </w:pPr>
    </w:p>
    <w:p w14:paraId="216D1EC5">
      <w:pPr>
        <w:jc w:val="center"/>
        <w:rPr>
          <w:rFonts w:hint="eastAsia"/>
          <w:lang w:val="en-US" w:eastAsia="zh-CN"/>
        </w:rPr>
      </w:pPr>
    </w:p>
    <w:p w14:paraId="59E1C788">
      <w:pPr>
        <w:jc w:val="center"/>
        <w:rPr>
          <w:rFonts w:hint="eastAsia"/>
          <w:lang w:val="en-US" w:eastAsia="zh-CN"/>
        </w:rPr>
      </w:pPr>
    </w:p>
    <w:p w14:paraId="60C555EB">
      <w:pPr>
        <w:jc w:val="center"/>
        <w:rPr>
          <w:rFonts w:hint="eastAsia"/>
          <w:lang w:val="en-US" w:eastAsia="zh-CN"/>
        </w:rPr>
      </w:pPr>
    </w:p>
    <w:p w14:paraId="08A81419">
      <w:pPr>
        <w:jc w:val="center"/>
        <w:rPr>
          <w:rFonts w:hint="eastAsia"/>
          <w:lang w:val="en-US" w:eastAsia="zh-CN"/>
        </w:rPr>
      </w:pPr>
    </w:p>
    <w:p w14:paraId="038B3B71">
      <w:pPr>
        <w:jc w:val="center"/>
        <w:rPr>
          <w:rFonts w:hint="eastAsia"/>
          <w:lang w:val="en-US" w:eastAsia="zh-CN"/>
        </w:rPr>
      </w:pPr>
    </w:p>
    <w:p w14:paraId="334F80E9">
      <w:pPr>
        <w:jc w:val="center"/>
        <w:rPr>
          <w:rFonts w:hint="eastAsia"/>
          <w:lang w:val="en-US" w:eastAsia="zh-CN"/>
        </w:rPr>
      </w:pPr>
    </w:p>
    <w:p w14:paraId="722B967C">
      <w:pPr>
        <w:jc w:val="center"/>
        <w:rPr>
          <w:rFonts w:hint="eastAsia"/>
          <w:lang w:val="en-US" w:eastAsia="zh-CN"/>
        </w:rPr>
      </w:pPr>
    </w:p>
    <w:p w14:paraId="5E515B0D">
      <w:pPr>
        <w:jc w:val="center"/>
        <w:rPr>
          <w:rFonts w:hint="eastAsia"/>
          <w:lang w:val="en-US" w:eastAsia="zh-CN"/>
        </w:rPr>
      </w:pPr>
    </w:p>
    <w:p w14:paraId="2DDEFC4D">
      <w:pPr>
        <w:jc w:val="center"/>
        <w:rPr>
          <w:rFonts w:hint="eastAsia"/>
          <w:lang w:val="en-US" w:eastAsia="zh-CN"/>
        </w:rPr>
      </w:pPr>
    </w:p>
    <w:p w14:paraId="4F9DCD16">
      <w:pPr>
        <w:jc w:val="center"/>
        <w:rPr>
          <w:rFonts w:hint="eastAsia"/>
          <w:lang w:val="en-US" w:eastAsia="zh-CN"/>
        </w:rPr>
      </w:pPr>
    </w:p>
    <w:p w14:paraId="5FCCB54D">
      <w:pPr>
        <w:jc w:val="center"/>
        <w:rPr>
          <w:rFonts w:hint="eastAsia"/>
          <w:lang w:val="en-US" w:eastAsia="zh-CN"/>
        </w:rPr>
      </w:pPr>
    </w:p>
    <w:p w14:paraId="6C211A88">
      <w:pPr>
        <w:jc w:val="center"/>
        <w:rPr>
          <w:rFonts w:hint="eastAsia"/>
          <w:lang w:val="en-US" w:eastAsia="zh-CN"/>
        </w:rPr>
      </w:pPr>
    </w:p>
    <w:p w14:paraId="5BC74AEB">
      <w:pPr>
        <w:jc w:val="center"/>
        <w:rPr>
          <w:rFonts w:hint="eastAsia"/>
          <w:lang w:val="en-US" w:eastAsia="zh-CN"/>
        </w:rPr>
      </w:pPr>
    </w:p>
    <w:p w14:paraId="20DF36F0">
      <w:pPr>
        <w:jc w:val="center"/>
        <w:rPr>
          <w:rFonts w:hint="eastAsia"/>
          <w:lang w:val="en-US" w:eastAsia="zh-CN"/>
        </w:rPr>
      </w:pPr>
    </w:p>
    <w:p w14:paraId="09BBBA87">
      <w:pPr>
        <w:jc w:val="center"/>
        <w:rPr>
          <w:rFonts w:hint="eastAsia"/>
          <w:lang w:val="en-US" w:eastAsia="zh-CN"/>
        </w:rPr>
      </w:pPr>
    </w:p>
    <w:p w14:paraId="44471094">
      <w:pPr>
        <w:jc w:val="center"/>
        <w:rPr>
          <w:rFonts w:hint="eastAsia"/>
          <w:lang w:val="en-US" w:eastAsia="zh-CN"/>
        </w:rPr>
      </w:pPr>
    </w:p>
    <w:p w14:paraId="4BFDDA53">
      <w:pPr>
        <w:jc w:val="center"/>
        <w:rPr>
          <w:rFonts w:hint="eastAsia"/>
          <w:lang w:val="en-US" w:eastAsia="zh-CN"/>
        </w:rPr>
      </w:pPr>
    </w:p>
    <w:p w14:paraId="0ACAD015">
      <w:pPr>
        <w:jc w:val="center"/>
        <w:rPr>
          <w:rFonts w:hint="eastAsia"/>
          <w:lang w:val="en-US" w:eastAsia="zh-CN"/>
        </w:rPr>
      </w:pPr>
    </w:p>
    <w:p w14:paraId="72B4B65C">
      <w:pPr>
        <w:jc w:val="center"/>
        <w:rPr>
          <w:rFonts w:hint="eastAsia"/>
          <w:lang w:val="en-US" w:eastAsia="zh-CN"/>
        </w:rPr>
      </w:pPr>
    </w:p>
    <w:p w14:paraId="3C27B178">
      <w:pPr>
        <w:jc w:val="center"/>
        <w:rPr>
          <w:rFonts w:hint="eastAsia"/>
          <w:lang w:val="en-US" w:eastAsia="zh-CN"/>
        </w:rPr>
      </w:pPr>
    </w:p>
    <w:p w14:paraId="11A22454">
      <w:pPr>
        <w:jc w:val="center"/>
        <w:rPr>
          <w:rFonts w:hint="eastAsia"/>
          <w:lang w:val="en-US" w:eastAsia="zh-CN"/>
        </w:rPr>
      </w:pPr>
    </w:p>
    <w:p w14:paraId="590B105D">
      <w:pPr>
        <w:jc w:val="center"/>
        <w:rPr>
          <w:rFonts w:hint="eastAsia"/>
          <w:lang w:val="en-US" w:eastAsia="zh-CN"/>
        </w:rPr>
      </w:pPr>
    </w:p>
    <w:p w14:paraId="35B31FC7">
      <w:pPr>
        <w:jc w:val="center"/>
        <w:rPr>
          <w:rFonts w:hint="eastAsia"/>
          <w:lang w:val="en-US" w:eastAsia="zh-CN"/>
        </w:rPr>
      </w:pPr>
    </w:p>
    <w:p w14:paraId="154B4A6A">
      <w:pPr>
        <w:jc w:val="center"/>
        <w:rPr>
          <w:rFonts w:hint="eastAsia"/>
          <w:lang w:val="en-US" w:eastAsia="zh-CN"/>
        </w:rPr>
      </w:pPr>
    </w:p>
    <w:p w14:paraId="7A2540F3">
      <w:pPr>
        <w:jc w:val="center"/>
        <w:rPr>
          <w:rFonts w:hint="eastAsia"/>
          <w:lang w:val="en-US" w:eastAsia="zh-CN"/>
        </w:rPr>
      </w:pPr>
    </w:p>
    <w:p w14:paraId="22CCE8D3">
      <w:pPr>
        <w:jc w:val="center"/>
        <w:rPr>
          <w:rFonts w:hint="eastAsia"/>
          <w:lang w:val="en-US" w:eastAsia="zh-CN"/>
        </w:rPr>
      </w:pPr>
    </w:p>
    <w:p w14:paraId="04C21AA9">
      <w:pPr>
        <w:pStyle w:val="2"/>
        <w:bidi w:val="0"/>
        <w:jc w:val="center"/>
      </w:pPr>
      <w:bookmarkStart w:id="0" w:name="_Toc21226"/>
      <w:r>
        <w:rPr>
          <w:rFonts w:hint="eastAsia"/>
        </w:rPr>
        <w:t>第一章  竞争性磋商公告</w:t>
      </w:r>
      <w:bookmarkEnd w:id="0"/>
    </w:p>
    <w:p w14:paraId="3D778591">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项目概况</w:t>
      </w:r>
    </w:p>
    <w:p w14:paraId="19A1B0C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三门峡市陕州区消防救援大队食堂主副食品采购项目</w:t>
      </w:r>
      <w:r>
        <w:rPr>
          <w:rFonts w:hint="eastAsia" w:asciiTheme="minorEastAsia" w:hAnsiTheme="minorEastAsia" w:eastAsiaTheme="minorEastAsia" w:cstheme="minorEastAsia"/>
          <w:sz w:val="24"/>
          <w:szCs w:val="24"/>
        </w:rPr>
        <w:t>的潜在供应商应在三门峡市公共资源交易中心（http://gzjy.smx.gov.cn/）获取竞争性磋商文件，</w:t>
      </w:r>
      <w:r>
        <w:rPr>
          <w:rFonts w:hint="eastAsia" w:asciiTheme="minorEastAsia" w:hAnsiTheme="minorEastAsia" w:eastAsiaTheme="minorEastAsia" w:cstheme="minorEastAsia"/>
          <w:sz w:val="24"/>
          <w:szCs w:val="24"/>
          <w:highlight w:val="none"/>
        </w:rPr>
        <w:t>并于2026年</w:t>
      </w:r>
      <w:r>
        <w:rPr>
          <w:rFonts w:hint="eastAsia" w:asciiTheme="minorEastAsia" w:hAnsiTheme="minorEastAsia" w:cstheme="minorEastAsia"/>
          <w:sz w:val="24"/>
          <w:szCs w:val="24"/>
          <w:highlight w:val="none"/>
          <w:lang w:val="en-US" w:eastAsia="zh-CN"/>
        </w:rPr>
        <w:t>06</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26</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0分（</w:t>
      </w:r>
      <w:r>
        <w:rPr>
          <w:rFonts w:hint="eastAsia" w:asciiTheme="minorEastAsia" w:hAnsiTheme="minorEastAsia" w:eastAsiaTheme="minorEastAsia" w:cstheme="minorEastAsia"/>
          <w:sz w:val="24"/>
          <w:szCs w:val="24"/>
        </w:rPr>
        <w:t>北京时间）前递交响应文件。</w:t>
      </w:r>
    </w:p>
    <w:p w14:paraId="4327209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
          <w:sz w:val="24"/>
          <w:szCs w:val="24"/>
        </w:rPr>
        <w:t>项目基本情况</w:t>
      </w:r>
    </w:p>
    <w:p w14:paraId="5120239D">
      <w:pPr>
        <w:tabs>
          <w:tab w:val="left" w:pos="142"/>
        </w:tabs>
        <w:spacing w:line="360" w:lineRule="auto"/>
        <w:ind w:firstLine="463" w:firstLineChars="193"/>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bCs/>
          <w:sz w:val="24"/>
          <w:szCs w:val="24"/>
          <w:highlight w:val="none"/>
          <w:lang w:val="en-US" w:eastAsia="zh-CN"/>
        </w:rPr>
        <w:t>陕州竞磋采购-2026-40</w:t>
      </w:r>
      <w:r>
        <w:rPr>
          <w:rFonts w:hint="eastAsia" w:asciiTheme="minorEastAsia" w:hAnsiTheme="minorEastAsia" w:cstheme="minorEastAsia"/>
          <w:bCs/>
          <w:sz w:val="24"/>
          <w:szCs w:val="24"/>
          <w:highlight w:val="none"/>
          <w:lang w:val="en-US" w:eastAsia="zh-CN"/>
        </w:rPr>
        <w:t>、SZGZ[2026]077-ZC064</w:t>
      </w:r>
    </w:p>
    <w:p w14:paraId="45D60A31">
      <w:pPr>
        <w:tabs>
          <w:tab w:val="left" w:pos="142"/>
        </w:tabs>
        <w:spacing w:line="360" w:lineRule="auto"/>
        <w:ind w:firstLine="463" w:firstLineChars="193"/>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2、项目名称：</w:t>
      </w:r>
      <w:r>
        <w:rPr>
          <w:rFonts w:hint="eastAsia" w:asciiTheme="minorEastAsia" w:hAnsiTheme="minorEastAsia" w:eastAsiaTheme="minorEastAsia" w:cstheme="minorEastAsia"/>
          <w:sz w:val="24"/>
          <w:szCs w:val="24"/>
          <w:lang w:val="en-US" w:eastAsia="zh-CN"/>
        </w:rPr>
        <w:t>三门峡市陕州区消防救援大队食堂主副食品采购项目</w:t>
      </w:r>
    </w:p>
    <w:p w14:paraId="799FEBDE">
      <w:pPr>
        <w:tabs>
          <w:tab w:val="left" w:pos="142"/>
        </w:tabs>
        <w:spacing w:line="360" w:lineRule="auto"/>
        <w:ind w:firstLine="463" w:firstLineChars="1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3、采购方式：竞争性磋商</w:t>
      </w:r>
    </w:p>
    <w:p w14:paraId="5EE82618">
      <w:pPr>
        <w:tabs>
          <w:tab w:val="left" w:pos="142"/>
        </w:tabs>
        <w:spacing w:line="360" w:lineRule="auto"/>
        <w:ind w:firstLine="463" w:firstLineChars="193"/>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rPr>
        <w:t>4、预算金额：</w:t>
      </w:r>
      <w:r>
        <w:rPr>
          <w:rFonts w:hint="eastAsia" w:asciiTheme="minorEastAsia" w:hAnsiTheme="minorEastAsia" w:cstheme="minorEastAsia"/>
          <w:sz w:val="24"/>
          <w:szCs w:val="24"/>
          <w:highlight w:val="none"/>
          <w:lang w:val="en-US" w:eastAsia="zh-CN"/>
        </w:rPr>
        <w:t>约</w:t>
      </w:r>
      <w:r>
        <w:rPr>
          <w:rFonts w:hint="eastAsia" w:asciiTheme="minorEastAsia" w:hAnsiTheme="minorEastAsia" w:eastAsiaTheme="minorEastAsia" w:cstheme="minorEastAsia"/>
          <w:sz w:val="24"/>
          <w:szCs w:val="24"/>
          <w:highlight w:val="none"/>
          <w:lang w:val="en-US" w:eastAsia="zh-CN"/>
        </w:rPr>
        <w:t>1100000.00</w:t>
      </w:r>
      <w:r>
        <w:rPr>
          <w:rFonts w:hint="eastAsia" w:asciiTheme="minorEastAsia" w:hAnsiTheme="minorEastAsia" w:eastAsiaTheme="minorEastAsia" w:cstheme="minorEastAsia"/>
          <w:sz w:val="24"/>
          <w:szCs w:val="24"/>
          <w:highlight w:val="none"/>
        </w:rPr>
        <w:t xml:space="preserve">元 </w:t>
      </w:r>
      <w:r>
        <w:rPr>
          <w:rFonts w:hint="eastAsia" w:asciiTheme="minorEastAsia" w:hAnsiTheme="minorEastAsia" w:eastAsiaTheme="minorEastAsia" w:cstheme="minorEastAsia"/>
          <w:spacing w:val="6"/>
          <w:kern w:val="2"/>
          <w:sz w:val="24"/>
          <w:szCs w:val="24"/>
          <w:highlight w:val="none"/>
          <w:lang w:val="en-US" w:eastAsia="zh-CN"/>
        </w:rPr>
        <w:t>（</w:t>
      </w:r>
      <w:r>
        <w:rPr>
          <w:rFonts w:hint="eastAsia" w:asciiTheme="minorEastAsia" w:hAnsiTheme="minorEastAsia" w:eastAsiaTheme="minorEastAsia" w:cstheme="minorEastAsia"/>
          <w:spacing w:val="6"/>
          <w:kern w:val="2"/>
          <w:sz w:val="24"/>
          <w:szCs w:val="24"/>
          <w:lang w:val="en-US" w:eastAsia="zh-CN"/>
        </w:rPr>
        <w:t>本预算为暂定金额，以实际采购数量为准，按照实际</w:t>
      </w:r>
      <w:r>
        <w:rPr>
          <w:rFonts w:hint="eastAsia" w:asciiTheme="minorEastAsia" w:hAnsiTheme="minorEastAsia" w:eastAsiaTheme="minorEastAsia" w:cstheme="minorEastAsia"/>
          <w:sz w:val="24"/>
          <w:szCs w:val="24"/>
          <w:lang w:val="en-US" w:eastAsia="zh-CN"/>
        </w:rPr>
        <w:t>供货数量据实结算。）</w:t>
      </w:r>
    </w:p>
    <w:p w14:paraId="445E2D5A">
      <w:pPr>
        <w:tabs>
          <w:tab w:val="left" w:pos="142"/>
        </w:tabs>
        <w:spacing w:line="360" w:lineRule="auto"/>
        <w:ind w:firstLine="463" w:firstLineChars="193"/>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包最高限价：</w:t>
      </w:r>
      <w:r>
        <w:rPr>
          <w:rFonts w:hint="eastAsia" w:asciiTheme="minorEastAsia" w:hAnsiTheme="minorEastAsia" w:cstheme="minorEastAsia"/>
          <w:color w:val="auto"/>
          <w:sz w:val="24"/>
          <w:szCs w:val="24"/>
          <w:highlight w:val="none"/>
          <w:lang w:val="en-US" w:eastAsia="zh-CN"/>
        </w:rPr>
        <w:t>1100000.00元</w:t>
      </w:r>
    </w:p>
    <w:p w14:paraId="14FA27D5">
      <w:pPr>
        <w:tabs>
          <w:tab w:val="left" w:pos="142"/>
        </w:tabs>
        <w:spacing w:line="360" w:lineRule="auto"/>
        <w:ind w:firstLine="463" w:firstLineChars="193"/>
        <w:rPr>
          <w:rFonts w:hint="eastAsia" w:asciiTheme="minorEastAsia" w:hAnsiTheme="minorEastAsia" w:eastAsiaTheme="minorEastAsia" w:cstheme="minorEastAsia"/>
          <w:spacing w:val="6"/>
          <w:kern w:val="2"/>
          <w:sz w:val="24"/>
          <w:szCs w:val="24"/>
          <w:lang w:val="en-US" w:eastAsia="zh-CN" w:bidi="ar-SA"/>
        </w:rPr>
      </w:pPr>
      <w:r>
        <w:rPr>
          <w:rFonts w:hint="eastAsia" w:asciiTheme="minorEastAsia" w:hAnsiTheme="minorEastAsia" w:eastAsiaTheme="minorEastAsia" w:cstheme="minorEastAsia"/>
          <w:sz w:val="24"/>
          <w:szCs w:val="24"/>
          <w:lang w:val="en-US" w:eastAsia="zh-CN"/>
        </w:rPr>
        <w:t>5、采购需求（包括但</w:t>
      </w:r>
      <w:r>
        <w:rPr>
          <w:rFonts w:hint="eastAsia" w:asciiTheme="minorEastAsia" w:hAnsiTheme="minorEastAsia" w:eastAsiaTheme="minorEastAsia" w:cstheme="minorEastAsia"/>
          <w:spacing w:val="6"/>
          <w:kern w:val="2"/>
          <w:sz w:val="24"/>
          <w:szCs w:val="24"/>
          <w:lang w:val="en-US" w:eastAsia="zh-CN" w:bidi="ar-SA"/>
        </w:rPr>
        <w:t>不限于标的的名称、数量、简要技术需求或服务要求等）</w:t>
      </w:r>
    </w:p>
    <w:p w14:paraId="15C718A9">
      <w:pPr>
        <w:tabs>
          <w:tab w:val="left" w:pos="142"/>
          <w:tab w:val="left" w:pos="993"/>
          <w:tab w:val="left" w:pos="1276"/>
          <w:tab w:val="left" w:pos="1701"/>
          <w:tab w:val="left" w:pos="1843"/>
        </w:tabs>
        <w:spacing w:line="360" w:lineRule="auto"/>
        <w:ind w:firstLine="486" w:firstLineChars="19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kern w:val="2"/>
          <w:sz w:val="24"/>
          <w:szCs w:val="24"/>
          <w:lang w:val="en-US" w:eastAsia="zh-CN" w:bidi="ar-SA"/>
        </w:rPr>
        <w:t>5.1采购内容：对采购人提供</w:t>
      </w:r>
      <w:r>
        <w:rPr>
          <w:rFonts w:hint="eastAsia" w:asciiTheme="minorEastAsia" w:hAnsiTheme="minorEastAsia" w:cstheme="minorEastAsia"/>
          <w:spacing w:val="6"/>
          <w:kern w:val="2"/>
          <w:sz w:val="24"/>
          <w:szCs w:val="24"/>
          <w:lang w:val="en-US" w:eastAsia="zh-CN" w:bidi="ar-SA"/>
        </w:rPr>
        <w:t>（包括但不限于）</w:t>
      </w:r>
      <w:r>
        <w:rPr>
          <w:rFonts w:hint="eastAsia" w:asciiTheme="minorEastAsia" w:hAnsiTheme="minorEastAsia" w:eastAsiaTheme="minorEastAsia" w:cstheme="minorEastAsia"/>
          <w:spacing w:val="6"/>
          <w:kern w:val="2"/>
          <w:sz w:val="24"/>
          <w:szCs w:val="24"/>
          <w:lang w:val="en-US" w:eastAsia="zh-CN" w:bidi="ar-SA"/>
        </w:rPr>
        <w:t>蔬果、禽蛋、禽畜肉、水产品、饮品、米面粮油、调料干杂等食材供应，供应商要严格遵守相关法律法规及行业标准，确保相关服务达到验收标准。（详见竞争性磋商文件）</w:t>
      </w:r>
      <w:r>
        <w:rPr>
          <w:rFonts w:hint="eastAsia" w:asciiTheme="minorEastAsia" w:hAnsiTheme="minorEastAsia" w:eastAsiaTheme="minorEastAsia" w:cstheme="minorEastAsia"/>
          <w:sz w:val="24"/>
          <w:szCs w:val="24"/>
        </w:rPr>
        <w:t xml:space="preserve">                              </w:t>
      </w:r>
    </w:p>
    <w:p w14:paraId="298F5D26">
      <w:pPr>
        <w:tabs>
          <w:tab w:val="left" w:pos="142"/>
          <w:tab w:val="left" w:pos="993"/>
          <w:tab w:val="left" w:pos="1276"/>
          <w:tab w:val="left" w:pos="1701"/>
          <w:tab w:val="left" w:pos="1843"/>
        </w:tabs>
        <w:spacing w:line="360" w:lineRule="auto"/>
        <w:ind w:firstLine="463" w:firstLineChars="19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地点：采购人指定地点</w:t>
      </w:r>
    </w:p>
    <w:p w14:paraId="50D7D719">
      <w:pPr>
        <w:tabs>
          <w:tab w:val="left" w:pos="142"/>
          <w:tab w:val="left" w:pos="993"/>
          <w:tab w:val="left" w:pos="1276"/>
          <w:tab w:val="left" w:pos="1701"/>
          <w:tab w:val="left" w:pos="1843"/>
        </w:tabs>
        <w:spacing w:line="360" w:lineRule="auto"/>
        <w:ind w:firstLine="463" w:firstLineChars="19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w:t>
      </w:r>
      <w:r>
        <w:rPr>
          <w:rFonts w:hint="eastAsia" w:asciiTheme="minorEastAsia" w:hAnsiTheme="minorEastAsia" w:cstheme="minorEastAsia"/>
          <w:sz w:val="24"/>
          <w:szCs w:val="24"/>
          <w:lang w:val="en-US" w:eastAsia="zh-CN"/>
        </w:rPr>
        <w:t>服务期限</w:t>
      </w:r>
      <w:r>
        <w:rPr>
          <w:rFonts w:hint="eastAsia" w:asciiTheme="minorEastAsia" w:hAnsiTheme="minorEastAsia" w:eastAsiaTheme="minorEastAsia" w:cstheme="minorEastAsia"/>
          <w:sz w:val="24"/>
          <w:szCs w:val="24"/>
        </w:rPr>
        <w:t>：一年</w:t>
      </w:r>
    </w:p>
    <w:p w14:paraId="45543349">
      <w:pPr>
        <w:tabs>
          <w:tab w:val="left" w:pos="142"/>
          <w:tab w:val="left" w:pos="993"/>
          <w:tab w:val="left" w:pos="1276"/>
          <w:tab w:val="left" w:pos="1701"/>
          <w:tab w:val="left" w:pos="1843"/>
        </w:tabs>
        <w:spacing w:line="360" w:lineRule="auto"/>
        <w:ind w:firstLine="463" w:firstLineChars="193"/>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5.4资金来源及落实情况：</w:t>
      </w:r>
      <w:r>
        <w:rPr>
          <w:rFonts w:hint="eastAsia" w:asciiTheme="minorEastAsia" w:hAnsiTheme="minorEastAsia" w:eastAsiaTheme="minorEastAsia" w:cstheme="minorEastAsia"/>
          <w:kern w:val="0"/>
          <w:sz w:val="24"/>
          <w:szCs w:val="24"/>
          <w:lang w:val="en-US" w:eastAsia="zh-CN"/>
        </w:rPr>
        <w:t>财政</w:t>
      </w:r>
      <w:r>
        <w:rPr>
          <w:rFonts w:hint="eastAsia" w:asciiTheme="minorEastAsia" w:hAnsiTheme="minorEastAsia" w:eastAsiaTheme="minorEastAsia" w:cstheme="minorEastAsia"/>
          <w:kern w:val="0"/>
          <w:sz w:val="24"/>
          <w:szCs w:val="24"/>
        </w:rPr>
        <w:t>资金，已落实</w:t>
      </w:r>
    </w:p>
    <w:p w14:paraId="47751183">
      <w:pPr>
        <w:tabs>
          <w:tab w:val="left" w:pos="142"/>
          <w:tab w:val="left" w:pos="993"/>
          <w:tab w:val="left" w:pos="1276"/>
          <w:tab w:val="left" w:pos="1701"/>
          <w:tab w:val="left" w:pos="1843"/>
        </w:tabs>
        <w:spacing w:line="360" w:lineRule="auto"/>
        <w:ind w:firstLine="463" w:firstLineChars="19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5.5质量标准：合格，满足采购人要求</w:t>
      </w:r>
    </w:p>
    <w:p w14:paraId="30887B26">
      <w:pPr>
        <w:tabs>
          <w:tab w:val="left" w:pos="142"/>
          <w:tab w:val="left" w:pos="993"/>
          <w:tab w:val="left" w:pos="1276"/>
          <w:tab w:val="left" w:pos="1701"/>
          <w:tab w:val="left" w:pos="1843"/>
        </w:tabs>
        <w:spacing w:line="360" w:lineRule="auto"/>
        <w:ind w:firstLine="463" w:firstLineChars="19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磋商范围：本项目竞争性磋商文件、补充文件及答疑纪要等列明的所有内容</w:t>
      </w:r>
    </w:p>
    <w:p w14:paraId="76E3293F">
      <w:pPr>
        <w:tabs>
          <w:tab w:val="left" w:pos="142"/>
          <w:tab w:val="left" w:pos="993"/>
        </w:tabs>
        <w:spacing w:line="360" w:lineRule="auto"/>
        <w:ind w:firstLine="463" w:firstLineChars="1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6、合同履行期限：同供货期</w:t>
      </w:r>
    </w:p>
    <w:p w14:paraId="1F64CA27">
      <w:pPr>
        <w:tabs>
          <w:tab w:val="left" w:pos="142"/>
          <w:tab w:val="left" w:pos="993"/>
        </w:tabs>
        <w:spacing w:line="360" w:lineRule="auto"/>
        <w:ind w:firstLine="463" w:firstLineChars="1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7、本项目是否接受联合体</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：否</w:t>
      </w:r>
    </w:p>
    <w:p w14:paraId="1890C053">
      <w:pPr>
        <w:tabs>
          <w:tab w:val="left" w:pos="142"/>
          <w:tab w:val="left" w:pos="993"/>
        </w:tabs>
        <w:spacing w:line="360" w:lineRule="auto"/>
        <w:ind w:firstLine="463" w:firstLineChars="1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8、是否接受进口产品：否</w:t>
      </w:r>
    </w:p>
    <w:p w14:paraId="1B22FBFD">
      <w:pPr>
        <w:tabs>
          <w:tab w:val="left" w:pos="142"/>
          <w:tab w:val="left" w:pos="993"/>
        </w:tabs>
        <w:spacing w:line="360" w:lineRule="auto"/>
        <w:ind w:firstLine="463" w:firstLineChars="19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9、是否专门面向中小企业：</w:t>
      </w:r>
      <w:r>
        <w:rPr>
          <w:rFonts w:hint="eastAsia" w:asciiTheme="minorEastAsia" w:hAnsiTheme="minorEastAsia" w:eastAsiaTheme="minorEastAsia" w:cstheme="minorEastAsia"/>
          <w:sz w:val="24"/>
          <w:szCs w:val="24"/>
          <w:lang w:val="en-US" w:eastAsia="zh-CN"/>
        </w:rPr>
        <w:t>是</w:t>
      </w:r>
    </w:p>
    <w:p w14:paraId="7612F631">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二、供应商资格要求</w:t>
      </w:r>
    </w:p>
    <w:p w14:paraId="36978F94">
      <w:pPr>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提供承诺书，格式自拟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4916835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2、落实政府采购政策满足的资格要求：根据《政府采购促进中小企业发展管理办法》（财库〔2020〕46号）规定，本项目专门面向中小企业采购,同时供应商须提供《中小企业声明函》；</w:t>
      </w:r>
    </w:p>
    <w:p w14:paraId="4EB7FF0B">
      <w:pPr>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3、本项目的特定资格要求 </w:t>
      </w:r>
    </w:p>
    <w:p w14:paraId="6F56BC2C">
      <w:pPr>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3.1供应商具有有效的营业执照；</w:t>
      </w:r>
    </w:p>
    <w:p w14:paraId="01D7A2A2">
      <w:pPr>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3.2供应商如为生产企业须同时具有食品生产许可证和食品经营许可证；如为经销商须具有</w:t>
      </w:r>
      <w:bookmarkStart w:id="1" w:name="OLE_LINK10"/>
      <w:bookmarkStart w:id="2" w:name="OLE_LINK11"/>
      <w:r>
        <w:rPr>
          <w:rFonts w:hint="eastAsia" w:asciiTheme="minorEastAsia" w:hAnsiTheme="minorEastAsia" w:eastAsiaTheme="minorEastAsia" w:cstheme="minorEastAsia"/>
          <w:sz w:val="24"/>
          <w:szCs w:val="24"/>
        </w:rPr>
        <w:t>食品经营许可证</w:t>
      </w:r>
      <w:bookmarkEnd w:id="1"/>
      <w:bookmarkEnd w:id="2"/>
      <w:r>
        <w:rPr>
          <w:rFonts w:hint="eastAsia" w:asciiTheme="minorEastAsia" w:hAnsiTheme="minorEastAsia" w:eastAsiaTheme="minorEastAsia" w:cstheme="minorEastAsia"/>
          <w:sz w:val="24"/>
          <w:szCs w:val="24"/>
        </w:rPr>
        <w:t>；</w:t>
      </w:r>
    </w:p>
    <w:p w14:paraId="0884C791">
      <w:pPr>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3.3供应商应保证所提供的产品必须是安全合格产品，因产品问题而发生的食物中毒等群体事故，由供应商承担经济赔偿责任及其他法律责任（自行承诺，格式自拟）； </w:t>
      </w:r>
    </w:p>
    <w:p w14:paraId="2626495D">
      <w:pPr>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3.4供应商须承诺本企业无商业贿赂和不正当竞争行为（自行承诺，格式自拟）； </w:t>
      </w:r>
    </w:p>
    <w:p w14:paraId="7EE0D15C">
      <w:pPr>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 xml:space="preserve">代理机构将在开标后通过以上网站进行查询，信用信息查询记录和证据将同采购文件等资料一同归档保存（相关网站有最新规定的，按最新规定执行）； </w:t>
      </w:r>
    </w:p>
    <w:p w14:paraId="246F8000">
      <w:pPr>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单位负责人为同一人或者存在直接控股、管理关系的不同供应商，不得参加同一合同项下的采购活动（提供供应商在“国家企业信用信息公示系统”中公示的公司信息、股东或投资人信息”）； </w:t>
      </w:r>
    </w:p>
    <w:p w14:paraId="726E0112">
      <w:pPr>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本项目不允许联合体磋商，实行资格后审（提供非联合体声明函）。</w:t>
      </w:r>
    </w:p>
    <w:p w14:paraId="2BB13F5B">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三、磋商文件的获取方式： </w:t>
      </w:r>
    </w:p>
    <w:p w14:paraId="252138CD">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1、磋商文件获取方式：本项目没有报名环节，供应商凭CA数字证书通过三门峡市公共资源交易中心网（网 址：</w:t>
      </w:r>
      <w:bookmarkStart w:id="3" w:name="OLE_LINK1"/>
      <w:bookmarkStart w:id="4" w:name="OLE_LINK2"/>
      <w:r>
        <w:rPr>
          <w:rFonts w:hint="eastAsia" w:asciiTheme="minorEastAsia" w:hAnsiTheme="minorEastAsia" w:eastAsiaTheme="minorEastAsia" w:cstheme="minorEastAsia"/>
          <w:kern w:val="0"/>
          <w:sz w:val="24"/>
          <w:szCs w:val="24"/>
          <w:lang w:bidi="ar"/>
        </w:rPr>
        <w:t>http://gzjy.smx.gov.cn/</w:t>
      </w:r>
      <w:bookmarkEnd w:id="3"/>
      <w:bookmarkEnd w:id="4"/>
      <w:r>
        <w:rPr>
          <w:rFonts w:hint="eastAsia" w:asciiTheme="minorEastAsia" w:hAnsiTheme="minorEastAsia" w:eastAsiaTheme="minorEastAsia" w:cstheme="minorEastAsia"/>
          <w:kern w:val="0"/>
          <w:sz w:val="24"/>
          <w:szCs w:val="24"/>
          <w:lang w:bidi="ar"/>
        </w:rPr>
        <w:t>），点击交易平台选择“交易主体登录”，在所参与项目右侧点击参与投标，即可直接下载本项目磋商文件。</w:t>
      </w:r>
    </w:p>
    <w:p w14:paraId="159EB338">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办理CA证书：</w:t>
      </w:r>
    </w:p>
    <w:p w14:paraId="793D52F9">
      <w:pPr>
        <w:widowControl/>
        <w:spacing w:line="360" w:lineRule="auto"/>
        <w:ind w:firstLine="480" w:firstLineChars="200"/>
        <w:jc w:val="left"/>
        <w:rPr>
          <w:rFonts w:hint="eastAsia" w:asciiTheme="minorEastAsia" w:hAnsiTheme="minorEastAsia" w:eastAsiaTheme="minorEastAsia" w:cstheme="minorEastAsia"/>
          <w:kern w:val="0"/>
          <w:sz w:val="24"/>
          <w:szCs w:val="24"/>
          <w:lang w:bidi="ar"/>
        </w:rPr>
      </w:pPr>
      <w:bookmarkStart w:id="5" w:name="OLE_LINK4"/>
      <w:bookmarkStart w:id="6" w:name="OLE_LINK3"/>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"http://gzjy.smx.gov.cn/bzzx/008001/20211105/57b16af9-ab87-4395-a723-7758c628a3f8.html"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kern w:val="0"/>
          <w:sz w:val="24"/>
          <w:szCs w:val="24"/>
          <w:lang w:bidi="ar"/>
        </w:rPr>
        <w:t>http://gzjy.smx.gov.cn/bzzx/008001/20231102/4defc9b5-408e-47f2-9e9f-1f376a06ee1f.html</w:t>
      </w:r>
      <w:r>
        <w:rPr>
          <w:rFonts w:hint="eastAsia" w:asciiTheme="minorEastAsia" w:hAnsiTheme="minorEastAsia" w:eastAsiaTheme="minorEastAsia" w:cstheme="minorEastAsia"/>
          <w:kern w:val="0"/>
          <w:sz w:val="24"/>
          <w:szCs w:val="24"/>
          <w:lang w:bidi="ar"/>
        </w:rPr>
        <w:fldChar w:fldCharType="end"/>
      </w:r>
      <w:bookmarkEnd w:id="5"/>
      <w:bookmarkEnd w:id="6"/>
    </w:p>
    <w:p w14:paraId="3409F7C4">
      <w:pPr>
        <w:widowControl/>
        <w:spacing w:line="360" w:lineRule="auto"/>
        <w:ind w:firstLine="480" w:firstLineChars="200"/>
        <w:jc w:val="left"/>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2、磋商文件下载时间：</w:t>
      </w:r>
      <w:r>
        <w:rPr>
          <w:rFonts w:hint="eastAsia" w:asciiTheme="minorEastAsia" w:hAnsiTheme="minorEastAsia" w:eastAsiaTheme="minorEastAsia" w:cstheme="minorEastAsia"/>
          <w:kern w:val="0"/>
          <w:sz w:val="24"/>
          <w:szCs w:val="24"/>
          <w:highlight w:val="none"/>
          <w:lang w:bidi="ar"/>
        </w:rPr>
        <w:t>2026年</w:t>
      </w:r>
      <w:r>
        <w:rPr>
          <w:rFonts w:hint="eastAsia" w:asciiTheme="minorEastAsia" w:hAnsiTheme="minorEastAsia" w:cstheme="minorEastAsia"/>
          <w:kern w:val="0"/>
          <w:sz w:val="24"/>
          <w:szCs w:val="24"/>
          <w:highlight w:val="none"/>
          <w:lang w:val="en-US" w:eastAsia="zh-CN" w:bidi="ar"/>
        </w:rPr>
        <w:t>06</w:t>
      </w:r>
      <w:r>
        <w:rPr>
          <w:rFonts w:hint="eastAsia" w:asciiTheme="minorEastAsia" w:hAnsiTheme="minorEastAsia" w:eastAsiaTheme="minorEastAsia" w:cstheme="minorEastAsia"/>
          <w:kern w:val="0"/>
          <w:sz w:val="24"/>
          <w:szCs w:val="24"/>
          <w:highlight w:val="none"/>
          <w:lang w:bidi="ar"/>
        </w:rPr>
        <w:t>月</w:t>
      </w:r>
      <w:r>
        <w:rPr>
          <w:rFonts w:hint="eastAsia" w:asciiTheme="minorEastAsia" w:hAnsiTheme="minorEastAsia" w:cstheme="minorEastAsia"/>
          <w:kern w:val="0"/>
          <w:sz w:val="24"/>
          <w:szCs w:val="24"/>
          <w:highlight w:val="none"/>
          <w:lang w:val="en-US" w:eastAsia="zh-CN" w:bidi="ar"/>
        </w:rPr>
        <w:t>16</w:t>
      </w:r>
      <w:r>
        <w:rPr>
          <w:rFonts w:hint="eastAsia" w:asciiTheme="minorEastAsia" w:hAnsiTheme="minorEastAsia" w:eastAsiaTheme="minorEastAsia" w:cstheme="minorEastAsia"/>
          <w:kern w:val="0"/>
          <w:sz w:val="24"/>
          <w:szCs w:val="24"/>
          <w:highlight w:val="none"/>
          <w:lang w:bidi="ar"/>
        </w:rPr>
        <w:t>日至2026年</w:t>
      </w:r>
      <w:r>
        <w:rPr>
          <w:rFonts w:hint="eastAsia" w:asciiTheme="minorEastAsia" w:hAnsiTheme="minorEastAsia" w:cstheme="minorEastAsia"/>
          <w:kern w:val="0"/>
          <w:sz w:val="24"/>
          <w:szCs w:val="24"/>
          <w:highlight w:val="none"/>
          <w:lang w:val="en-US" w:eastAsia="zh-CN" w:bidi="ar"/>
        </w:rPr>
        <w:t>06</w:t>
      </w:r>
      <w:r>
        <w:rPr>
          <w:rFonts w:hint="eastAsia" w:asciiTheme="minorEastAsia" w:hAnsiTheme="minorEastAsia" w:eastAsiaTheme="minorEastAsia" w:cstheme="minorEastAsia"/>
          <w:kern w:val="0"/>
          <w:sz w:val="24"/>
          <w:szCs w:val="24"/>
          <w:highlight w:val="none"/>
          <w:lang w:bidi="ar"/>
        </w:rPr>
        <w:t>月</w:t>
      </w:r>
      <w:r>
        <w:rPr>
          <w:rFonts w:hint="eastAsia" w:asciiTheme="minorEastAsia" w:hAnsiTheme="minorEastAsia" w:cstheme="minorEastAsia"/>
          <w:kern w:val="0"/>
          <w:sz w:val="24"/>
          <w:szCs w:val="24"/>
          <w:highlight w:val="none"/>
          <w:lang w:val="en-US" w:eastAsia="zh-CN" w:bidi="ar"/>
        </w:rPr>
        <w:t>25</w:t>
      </w:r>
      <w:r>
        <w:rPr>
          <w:rFonts w:hint="eastAsia" w:asciiTheme="minorEastAsia" w:hAnsiTheme="minorEastAsia" w:eastAsiaTheme="minorEastAsia" w:cstheme="minorEastAsia"/>
          <w:kern w:val="0"/>
          <w:sz w:val="24"/>
          <w:szCs w:val="24"/>
          <w:highlight w:val="none"/>
          <w:lang w:bidi="ar"/>
        </w:rPr>
        <w:t>日，</w:t>
      </w:r>
      <w:r>
        <w:rPr>
          <w:rFonts w:hint="eastAsia" w:asciiTheme="minorEastAsia" w:hAnsiTheme="minorEastAsia" w:eastAsiaTheme="minorEastAsia" w:cstheme="minorEastAsia"/>
          <w:kern w:val="0"/>
          <w:sz w:val="24"/>
          <w:szCs w:val="24"/>
          <w:lang w:bidi="ar"/>
        </w:rPr>
        <w:t>每天上午00:00至1</w:t>
      </w:r>
      <w:r>
        <w:rPr>
          <w:rFonts w:hint="eastAsia" w:asciiTheme="minorEastAsia" w:hAnsiTheme="minorEastAsia" w:cstheme="minorEastAsia"/>
          <w:kern w:val="0"/>
          <w:sz w:val="24"/>
          <w:szCs w:val="24"/>
          <w:lang w:val="en-US" w:eastAsia="zh-CN" w:bidi="ar"/>
        </w:rPr>
        <w:t>1</w:t>
      </w:r>
      <w:r>
        <w:rPr>
          <w:rFonts w:hint="eastAsia" w:asciiTheme="minorEastAsia" w:hAnsiTheme="minorEastAsia" w:eastAsiaTheme="minorEastAsia" w:cstheme="minorEastAsia"/>
          <w:kern w:val="0"/>
          <w:sz w:val="24"/>
          <w:szCs w:val="24"/>
          <w:lang w:bidi="ar"/>
        </w:rPr>
        <w:t>:</w:t>
      </w:r>
      <w:r>
        <w:rPr>
          <w:rFonts w:hint="eastAsia" w:asciiTheme="minorEastAsia" w:hAnsiTheme="minorEastAsia" w:cstheme="minorEastAsia"/>
          <w:kern w:val="0"/>
          <w:sz w:val="24"/>
          <w:szCs w:val="24"/>
          <w:lang w:val="en-US" w:eastAsia="zh-CN" w:bidi="ar"/>
        </w:rPr>
        <w:t>59</w:t>
      </w:r>
      <w:r>
        <w:rPr>
          <w:rFonts w:hint="eastAsia" w:asciiTheme="minorEastAsia" w:hAnsiTheme="minorEastAsia" w:eastAsiaTheme="minorEastAsia" w:cstheme="minorEastAsia"/>
          <w:kern w:val="0"/>
          <w:sz w:val="24"/>
          <w:szCs w:val="24"/>
          <w:lang w:bidi="ar"/>
        </w:rPr>
        <w:t>，下午12:00至23:59（北京时间，法定节假日除外。）</w:t>
      </w:r>
    </w:p>
    <w:p w14:paraId="2A1AED2B">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3、本项目为不见面开标项目，开标当日，供应商无需到开标现场参加开标会议，供应商应当在磋商截止时间前，登陆不见面开标大厅选择登陆三门峡市公共资源电子招投标系统进行登陆（网址为</w:t>
      </w:r>
      <w:bookmarkStart w:id="7" w:name="OLE_LINK5"/>
      <w:r>
        <w:rPr>
          <w:rFonts w:hint="eastAsia" w:asciiTheme="minorEastAsia" w:hAnsiTheme="minorEastAsia" w:eastAsiaTheme="minorEastAsia" w:cstheme="minorEastAsia"/>
          <w:kern w:val="0"/>
          <w:sz w:val="24"/>
          <w:szCs w:val="24"/>
          <w:lang w:bidi="ar"/>
        </w:rPr>
        <w:t>http://120.194.249.36:10094/BidOpening/bidopeninghallaction/hall/login</w:t>
      </w:r>
      <w:bookmarkEnd w:id="7"/>
      <w:r>
        <w:rPr>
          <w:rFonts w:hint="eastAsia" w:asciiTheme="minorEastAsia" w:hAnsiTheme="minorEastAsia" w:eastAsiaTheme="minorEastAsia" w:cstheme="minorEastAsia"/>
          <w:kern w:val="0"/>
          <w:sz w:val="24"/>
          <w:szCs w:val="24"/>
          <w:lang w:bidi="ar"/>
        </w:rPr>
        <w:t>）,在线准时参加开标活动并进行响应文件解密等。每位供应商的解密时间为开标时间起30分钟内完成。因供应商原因未能解密、解密失败或解密超时的将被拒绝。</w:t>
      </w:r>
    </w:p>
    <w:p w14:paraId="77BE8FA0">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四、供应商资料的提交：</w:t>
      </w:r>
    </w:p>
    <w:p w14:paraId="1A6DEA3B">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1、本项目实行资格后审，资格审查内容以响应文件为准，其资料真实性由供应商自行承担，同时供应商要完善主体库。</w:t>
      </w:r>
    </w:p>
    <w:p w14:paraId="5AEBB23D">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具体操作详见《三门峡市公共资源交易服务平台市场主体信息库操作手册》。链接地址：</w:t>
      </w:r>
    </w:p>
    <w:p w14:paraId="4A47C5CB">
      <w:pPr>
        <w:widowControl/>
        <w:spacing w:line="360" w:lineRule="auto"/>
        <w:ind w:firstLine="480" w:firstLineChars="200"/>
        <w:jc w:val="left"/>
        <w:rPr>
          <w:rFonts w:hint="eastAsia" w:asciiTheme="minorEastAsia" w:hAnsiTheme="minorEastAsia" w:eastAsiaTheme="minorEastAsia" w:cstheme="minorEastAsia"/>
          <w:sz w:val="24"/>
          <w:szCs w:val="24"/>
        </w:rPr>
      </w:pPr>
      <w:bookmarkStart w:id="8" w:name="OLE_LINK6"/>
      <w:bookmarkStart w:id="9" w:name="OLE_LINK12"/>
      <w:bookmarkStart w:id="10" w:name="OLE_LINK7"/>
      <w:r>
        <w:rPr>
          <w:rFonts w:hint="eastAsia" w:asciiTheme="minorEastAsia" w:hAnsiTheme="minorEastAsia" w:eastAsiaTheme="minorEastAsia" w:cstheme="minorEastAsia"/>
          <w:sz w:val="24"/>
          <w:szCs w:val="24"/>
        </w:rPr>
        <w:t>http://gzjy.smx.gov.cn/fwzn/004003/20200325/b13aa3fa-a543-403f-b537-82cb417132bd.html</w:t>
      </w:r>
      <w:bookmarkEnd w:id="8"/>
      <w:bookmarkEnd w:id="9"/>
      <w:bookmarkEnd w:id="10"/>
      <w:r>
        <w:rPr>
          <w:rFonts w:hint="eastAsia" w:asciiTheme="minorEastAsia" w:hAnsiTheme="minorEastAsia" w:eastAsiaTheme="minorEastAsia" w:cstheme="minorEastAsia"/>
          <w:sz w:val="24"/>
          <w:szCs w:val="24"/>
        </w:rPr>
        <w:t>。</w:t>
      </w:r>
    </w:p>
    <w:p w14:paraId="2D9AA1A2">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2、评审部分：涉及到资格审查、企业荣誉、人员业绩、企业业绩等评审部分时，以供应商自行上传到响应文件中的相应内容为准。</w:t>
      </w:r>
    </w:p>
    <w:p w14:paraId="3EECFF68">
      <w:pPr>
        <w:widowControl/>
        <w:spacing w:line="360" w:lineRule="auto"/>
        <w:ind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提示：本项目为电子化、无纸化交易项目，为保证您能</w:t>
      </w:r>
      <w:r>
        <w:rPr>
          <w:rFonts w:hint="eastAsia" w:asciiTheme="minorEastAsia" w:hAnsiTheme="minorEastAsia" w:cstheme="minorEastAsia"/>
          <w:b/>
          <w:sz w:val="24"/>
          <w:szCs w:val="24"/>
          <w:lang w:val="en-US" w:eastAsia="zh-CN"/>
        </w:rPr>
        <w:t>磋商</w:t>
      </w:r>
      <w:r>
        <w:rPr>
          <w:rFonts w:hint="eastAsia" w:asciiTheme="minorEastAsia" w:hAnsiTheme="minorEastAsia" w:eastAsiaTheme="minorEastAsia" w:cstheme="minorEastAsia"/>
          <w:b/>
          <w:sz w:val="24"/>
          <w:szCs w:val="24"/>
        </w:rPr>
        <w:t>成功，请需仔细阅读以上条款。</w:t>
      </w:r>
    </w:p>
    <w:p w14:paraId="79834313">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五、磋商保证金：</w:t>
      </w:r>
    </w:p>
    <w:p w14:paraId="676997A0">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按照《河南省财政厅关于优化政府采购营商环境有关问题的通知》（豫财购[2019]4号文）的要求本项目不再收取磋商保证金。</w:t>
      </w:r>
    </w:p>
    <w:p w14:paraId="53993F59">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六、磋商时间和地点：</w:t>
      </w:r>
    </w:p>
    <w:p w14:paraId="4BD4B97D">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1、响应文件递交截止时间及磋商时间：</w:t>
      </w:r>
      <w:r>
        <w:rPr>
          <w:rFonts w:hint="eastAsia" w:asciiTheme="minorEastAsia" w:hAnsiTheme="minorEastAsia" w:eastAsiaTheme="minorEastAsia" w:cstheme="minorEastAsia"/>
          <w:sz w:val="24"/>
          <w:szCs w:val="24"/>
          <w:highlight w:val="none"/>
        </w:rPr>
        <w:t>2026年</w:t>
      </w:r>
      <w:r>
        <w:rPr>
          <w:rFonts w:hint="eastAsia" w:asciiTheme="minorEastAsia" w:hAnsiTheme="minorEastAsia" w:cstheme="minorEastAsia"/>
          <w:sz w:val="24"/>
          <w:szCs w:val="24"/>
          <w:highlight w:val="none"/>
          <w:lang w:val="en-US" w:eastAsia="zh-CN"/>
        </w:rPr>
        <w:t>06</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26</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0分（北京时间）</w:t>
      </w:r>
    </w:p>
    <w:p w14:paraId="50A5EEAB">
      <w:pPr>
        <w:widowControl/>
        <w:spacing w:line="36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2、磋商地点：三门峡市</w:t>
      </w:r>
      <w:r>
        <w:rPr>
          <w:rFonts w:hint="eastAsia" w:asciiTheme="minorEastAsia" w:hAnsiTheme="minorEastAsia" w:eastAsiaTheme="minorEastAsia" w:cstheme="minorEastAsia"/>
          <w:sz w:val="24"/>
          <w:szCs w:val="24"/>
          <w:highlight w:val="none"/>
          <w:lang w:val="en-US" w:eastAsia="zh-CN"/>
        </w:rPr>
        <w:t>陕州区</w:t>
      </w:r>
      <w:r>
        <w:rPr>
          <w:rFonts w:hint="eastAsia" w:asciiTheme="minorEastAsia" w:hAnsiTheme="minorEastAsia" w:eastAsiaTheme="minorEastAsia" w:cstheme="minorEastAsia"/>
          <w:sz w:val="24"/>
          <w:szCs w:val="24"/>
          <w:highlight w:val="none"/>
        </w:rPr>
        <w:t>公共资源交易中心</w:t>
      </w:r>
      <w:r>
        <w:rPr>
          <w:rFonts w:hint="eastAsia" w:asciiTheme="minorEastAsia" w:hAnsiTheme="minorEastAsia" w:cstheme="minorEastAsia"/>
          <w:sz w:val="24"/>
          <w:szCs w:val="24"/>
          <w:highlight w:val="none"/>
          <w:lang w:val="en-US" w:eastAsia="zh-CN"/>
        </w:rPr>
        <w:t>开标一室</w:t>
      </w:r>
    </w:p>
    <w:p w14:paraId="03EC3D28">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七、其他事项</w:t>
      </w:r>
    </w:p>
    <w:p w14:paraId="415268C2">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本项目实行资格后审，根据优化营商环境的要求，评标时审查内容以响应文件为准：</w:t>
      </w:r>
    </w:p>
    <w:p w14:paraId="7F78DCDD">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1、资格评（预）审部分：资格评（预）审以响应文件为准，其上传资料真实性由供应商自行承担，同时，供应商请完善主体库。</w:t>
      </w:r>
    </w:p>
    <w:p w14:paraId="3E41C456">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2、评标打分部分：评标打分部分仍按照100分制原则进行，涉及到资格审查、企业荣誉、企业业绩等计分部分时，以供应商自行上传到响应文件中的相应内容为准。</w:t>
      </w:r>
    </w:p>
    <w:p w14:paraId="0568396D">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响应文件编制部分：在竞争性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w:t>
      </w:r>
    </w:p>
    <w:p w14:paraId="66367172">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4、供应商应仔细阅读操作手册，在本公告中要求的截止时间前完成磋商文件下载等工作。因供应商操作不当等问题造成的无法下载竞争性磋商文件、无法磋商等一切后果，由供应商自行承担。</w:t>
      </w:r>
    </w:p>
    <w:p w14:paraId="74B54F88">
      <w:pPr>
        <w:widowControl/>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5、供应商递交的响应文件不论成交与否均不予退还。</w:t>
      </w:r>
    </w:p>
    <w:p w14:paraId="247C8918">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八、发布磋商公告的媒介：</w:t>
      </w:r>
    </w:p>
    <w:p w14:paraId="5EA8A959">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公告在《河南省政府采购网》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《中国招标投标公共服务平台》、</w:t>
      </w:r>
      <w:r>
        <w:rPr>
          <w:rFonts w:hint="eastAsia" w:asciiTheme="minorEastAsia" w:hAnsiTheme="minorEastAsia" w:eastAsiaTheme="minorEastAsia" w:cstheme="minorEastAsia"/>
          <w:sz w:val="24"/>
          <w:szCs w:val="24"/>
          <w:lang w:eastAsia="zh-CN"/>
        </w:rPr>
        <w:t>《三门峡市公共资源交易中心网》</w:t>
      </w:r>
      <w:r>
        <w:rPr>
          <w:rFonts w:hint="eastAsia" w:asciiTheme="minorEastAsia" w:hAnsiTheme="minorEastAsia" w:eastAsiaTheme="minorEastAsia" w:cstheme="minorEastAsia"/>
          <w:sz w:val="24"/>
          <w:szCs w:val="24"/>
        </w:rPr>
        <w:t>上发布。</w:t>
      </w:r>
    </w:p>
    <w:p w14:paraId="34B4C0DA">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九、联系方式：</w:t>
      </w:r>
    </w:p>
    <w:p w14:paraId="5023DA3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1.监督单位：三门峡市陕州区财政局政府采购监督管理科</w:t>
      </w:r>
    </w:p>
    <w:p w14:paraId="370E8E1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联系方式：0398-3839210</w:t>
      </w:r>
    </w:p>
    <w:p w14:paraId="4804E146">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三门峡市消防救援支队队伍督查科</w:t>
      </w:r>
    </w:p>
    <w:p w14:paraId="41B7D68C">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sz w:val="24"/>
          <w:szCs w:val="24"/>
          <w:highlight w:val="none"/>
          <w:lang w:val="en-US" w:eastAsia="zh-CN"/>
        </w:rPr>
        <w:t xml:space="preserve">0398-3119061 </w:t>
      </w:r>
    </w:p>
    <w:p w14:paraId="5F462BC0">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2.采购人：</w:t>
      </w:r>
      <w:r>
        <w:rPr>
          <w:rFonts w:hint="eastAsia" w:asciiTheme="minorEastAsia" w:hAnsiTheme="minorEastAsia" w:eastAsiaTheme="minorEastAsia" w:cstheme="minorEastAsia"/>
          <w:sz w:val="24"/>
          <w:szCs w:val="24"/>
          <w:highlight w:val="none"/>
          <w:lang w:val="en-US" w:eastAsia="zh-CN"/>
        </w:rPr>
        <w:t>三门峡市陕州区消防救援大队</w:t>
      </w:r>
    </w:p>
    <w:p w14:paraId="1A20702B">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 系 人：</w:t>
      </w:r>
      <w:r>
        <w:rPr>
          <w:rFonts w:hint="eastAsia" w:asciiTheme="minorEastAsia" w:hAnsiTheme="minorEastAsia" w:eastAsiaTheme="minorEastAsia" w:cstheme="minorEastAsia"/>
          <w:sz w:val="24"/>
          <w:szCs w:val="24"/>
          <w:highlight w:val="none"/>
          <w:lang w:val="en-US" w:eastAsia="zh-CN"/>
        </w:rPr>
        <w:t>姚先生</w:t>
      </w:r>
    </w:p>
    <w:p w14:paraId="5A1CD74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联系方式</w:t>
      </w:r>
      <w:r>
        <w:rPr>
          <w:rFonts w:hint="eastAsia" w:asciiTheme="minorEastAsia" w:hAnsiTheme="minorEastAsia" w:eastAsiaTheme="minorEastAsia" w:cstheme="minorEastAsia"/>
          <w:sz w:val="24"/>
          <w:szCs w:val="24"/>
          <w:highlight w:val="none"/>
        </w:rPr>
        <w:t>：</w:t>
      </w:r>
      <w:bookmarkStart w:id="11" w:name="_Toc28359086"/>
      <w:bookmarkStart w:id="12" w:name="_Toc28359009"/>
      <w:r>
        <w:rPr>
          <w:rFonts w:hint="eastAsia" w:asciiTheme="minorEastAsia" w:hAnsiTheme="minorEastAsia" w:eastAsiaTheme="minorEastAsia" w:cstheme="minorEastAsia"/>
          <w:sz w:val="24"/>
          <w:szCs w:val="24"/>
          <w:highlight w:val="none"/>
          <w:lang w:val="en-US" w:eastAsia="zh-CN"/>
        </w:rPr>
        <w:t>15939862512</w:t>
      </w:r>
    </w:p>
    <w:p w14:paraId="10C23184">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地址：三门峡市陕州区高阳路与通秦路交叉口西侧</w:t>
      </w:r>
    </w:p>
    <w:bookmarkEnd w:id="11"/>
    <w:bookmarkEnd w:id="12"/>
    <w:p w14:paraId="2F09C9B4">
      <w:pPr>
        <w:widowControl/>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代理机构：</w:t>
      </w:r>
      <w:r>
        <w:rPr>
          <w:rFonts w:hint="eastAsia" w:asciiTheme="minorEastAsia" w:hAnsiTheme="minorEastAsia" w:eastAsiaTheme="minorEastAsia" w:cstheme="minorEastAsia"/>
          <w:sz w:val="24"/>
          <w:szCs w:val="24"/>
          <w:lang w:eastAsia="zh-CN"/>
        </w:rPr>
        <w:t>河南邦兴工程服务有限公司</w:t>
      </w:r>
    </w:p>
    <w:p w14:paraId="64AC9B1F">
      <w:pPr>
        <w:widowControl/>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李女士</w:t>
      </w:r>
    </w:p>
    <w:p w14:paraId="47FED161">
      <w:pPr>
        <w:widowControl/>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eastAsia="zh-CN"/>
        </w:rPr>
        <w:t>18530360709</w:t>
      </w:r>
    </w:p>
    <w:p w14:paraId="4A6F70F4">
      <w:pPr>
        <w:widowControl/>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eastAsia="zh-CN"/>
        </w:rPr>
        <w:t>河南省郑州市高新技术产业开发区翠竹街1号23幢3层01号</w:t>
      </w:r>
    </w:p>
    <w:p w14:paraId="4EC362F7">
      <w:pPr>
        <w:widowControl/>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4、项目联系人</w:t>
      </w:r>
    </w:p>
    <w:p w14:paraId="0A2A41C7">
      <w:pPr>
        <w:widowControl/>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联系人：李女士</w:t>
      </w:r>
    </w:p>
    <w:p w14:paraId="277CA451">
      <w:pPr>
        <w:widowControl/>
        <w:spacing w:line="360" w:lineRule="auto"/>
        <w:ind w:firstLine="480" w:firstLineChars="200"/>
        <w:jc w:val="left"/>
        <w:rPr>
          <w:rFonts w:hint="default" w:ascii="宋体" w:hAnsi="宋体" w:eastAsia="宋体" w:cs="宋体"/>
          <w:sz w:val="22"/>
          <w:lang w:val="en-US" w:eastAsia="zh-CN"/>
        </w:rPr>
      </w:pPr>
      <w:r>
        <w:rPr>
          <w:rFonts w:hint="eastAsia" w:asciiTheme="minorEastAsia" w:hAnsiTheme="minorEastAsia" w:eastAsiaTheme="minorEastAsia" w:cstheme="minorEastAsia"/>
          <w:sz w:val="24"/>
          <w:szCs w:val="24"/>
          <w:lang w:val="en-US" w:eastAsia="zh-CN"/>
        </w:rPr>
        <w:t>联系方式：18530360709</w:t>
      </w:r>
    </w:p>
    <w:p w14:paraId="6E33F968">
      <w:pPr>
        <w:widowControl/>
        <w:spacing w:line="360" w:lineRule="auto"/>
        <w:ind w:firstLine="440" w:firstLineChars="200"/>
        <w:jc w:val="left"/>
        <w:rPr>
          <w:rFonts w:ascii="宋体" w:hAnsi="宋体" w:eastAsia="宋体" w:cs="宋体"/>
          <w:sz w:val="22"/>
        </w:rPr>
      </w:pPr>
    </w:p>
    <w:p w14:paraId="733710DC">
      <w:pPr>
        <w:pStyle w:val="2"/>
        <w:bidi w:val="0"/>
        <w:spacing w:line="240" w:lineRule="auto"/>
        <w:jc w:val="center"/>
      </w:pPr>
      <w:bookmarkStart w:id="13" w:name="_Toc27599"/>
      <w:bookmarkStart w:id="14" w:name="_Toc17993"/>
      <w:r>
        <w:rPr>
          <w:rFonts w:hint="eastAsia"/>
        </w:rPr>
        <w:t>第二章  供应商须知</w:t>
      </w:r>
      <w:bookmarkEnd w:id="13"/>
      <w:bookmarkEnd w:id="14"/>
    </w:p>
    <w:p w14:paraId="23E3946F">
      <w:pPr>
        <w:keepNext/>
        <w:keepLines/>
        <w:widowControl w:val="0"/>
        <w:spacing w:before="20" w:beforeLines="0" w:after="20" w:afterLines="0" w:line="240" w:lineRule="auto"/>
        <w:jc w:val="center"/>
        <w:outlineLvl w:val="1"/>
        <w:rPr>
          <w:rFonts w:ascii="宋体" w:hAnsi="宋体"/>
          <w:b/>
          <w:sz w:val="32"/>
          <w:szCs w:val="32"/>
        </w:rPr>
      </w:pPr>
      <w:r>
        <w:rPr>
          <w:rFonts w:hint="eastAsia" w:ascii="宋体" w:hAnsi="宋体" w:cs="宋体"/>
          <w:b/>
          <w:kern w:val="2"/>
          <w:sz w:val="28"/>
          <w:szCs w:val="28"/>
        </w:rPr>
        <w:t>供应商须知前附表</w:t>
      </w:r>
    </w:p>
    <w:tbl>
      <w:tblPr>
        <w:tblStyle w:val="19"/>
        <w:tblpPr w:leftFromText="180" w:rightFromText="180" w:vertAnchor="text" w:horzAnchor="page" w:tblpX="1539" w:tblpY="461"/>
        <w:tblOverlap w:val="never"/>
        <w:tblW w:w="90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1"/>
        <w:gridCol w:w="1292"/>
        <w:gridCol w:w="6991"/>
      </w:tblGrid>
      <w:tr w14:paraId="3308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1" w:hRule="atLeast"/>
        </w:trPr>
        <w:tc>
          <w:tcPr>
            <w:tcW w:w="721" w:type="dxa"/>
            <w:tcBorders>
              <w:top w:val="single" w:color="auto" w:sz="12" w:space="0"/>
              <w:left w:val="single" w:color="auto" w:sz="12" w:space="0"/>
              <w:bottom w:val="single" w:color="auto" w:sz="6" w:space="0"/>
              <w:right w:val="single" w:color="auto" w:sz="6" w:space="0"/>
            </w:tcBorders>
            <w:noWrap w:val="0"/>
            <w:vAlign w:val="center"/>
          </w:tcPr>
          <w:p w14:paraId="76DD524B">
            <w:pPr>
              <w:adjustRightInd w:val="0"/>
              <w:spacing w:line="360" w:lineRule="auto"/>
              <w:ind w:left="3" w:hanging="2" w:hangingChars="1"/>
              <w:jc w:val="center"/>
              <w:rPr>
                <w:rFonts w:ascii="宋体" w:hAnsi="宋体" w:cs="宋体"/>
                <w:spacing w:val="6"/>
                <w:kern w:val="2"/>
                <w:sz w:val="22"/>
                <w:szCs w:val="22"/>
              </w:rPr>
            </w:pPr>
            <w:r>
              <w:rPr>
                <w:rFonts w:ascii="宋体" w:hAnsi="宋体" w:cs="宋体"/>
                <w:spacing w:val="6"/>
                <w:kern w:val="2"/>
                <w:sz w:val="22"/>
                <w:szCs w:val="22"/>
              </w:rPr>
              <w:t>条款</w:t>
            </w:r>
          </w:p>
        </w:tc>
        <w:tc>
          <w:tcPr>
            <w:tcW w:w="1292" w:type="dxa"/>
            <w:tcBorders>
              <w:top w:val="single" w:color="auto" w:sz="12" w:space="0"/>
              <w:left w:val="single" w:color="auto" w:sz="6" w:space="0"/>
              <w:bottom w:val="single" w:color="auto" w:sz="6" w:space="0"/>
              <w:right w:val="single" w:color="auto" w:sz="6" w:space="0"/>
            </w:tcBorders>
            <w:noWrap w:val="0"/>
            <w:vAlign w:val="center"/>
          </w:tcPr>
          <w:p w14:paraId="74581A33">
            <w:pPr>
              <w:adjustRightInd w:val="0"/>
              <w:spacing w:line="360" w:lineRule="auto"/>
              <w:ind w:left="3" w:hanging="2" w:hangingChars="1"/>
              <w:jc w:val="center"/>
              <w:rPr>
                <w:rFonts w:ascii="宋体" w:hAnsi="宋体" w:cs="宋体"/>
                <w:spacing w:val="6"/>
                <w:kern w:val="2"/>
                <w:sz w:val="22"/>
                <w:szCs w:val="22"/>
              </w:rPr>
            </w:pPr>
            <w:r>
              <w:rPr>
                <w:rFonts w:ascii="宋体" w:hAnsi="宋体" w:cs="宋体"/>
                <w:spacing w:val="6"/>
                <w:kern w:val="2"/>
                <w:sz w:val="22"/>
                <w:szCs w:val="22"/>
              </w:rPr>
              <w:t>条款号</w:t>
            </w:r>
          </w:p>
        </w:tc>
        <w:tc>
          <w:tcPr>
            <w:tcW w:w="6991" w:type="dxa"/>
            <w:tcBorders>
              <w:top w:val="single" w:color="auto" w:sz="12" w:space="0"/>
              <w:left w:val="single" w:color="auto" w:sz="6" w:space="0"/>
              <w:bottom w:val="single" w:color="auto" w:sz="6" w:space="0"/>
              <w:right w:val="single" w:color="auto" w:sz="12" w:space="0"/>
            </w:tcBorders>
            <w:noWrap w:val="0"/>
            <w:vAlign w:val="center"/>
          </w:tcPr>
          <w:p w14:paraId="683A4B18">
            <w:pPr>
              <w:adjustRightInd w:val="0"/>
              <w:spacing w:line="360" w:lineRule="auto"/>
              <w:ind w:left="3" w:hanging="2" w:hangingChars="1"/>
              <w:jc w:val="center"/>
              <w:rPr>
                <w:rFonts w:ascii="宋体" w:hAnsi="宋体" w:cs="宋体"/>
                <w:spacing w:val="6"/>
                <w:kern w:val="2"/>
                <w:sz w:val="22"/>
                <w:szCs w:val="22"/>
              </w:rPr>
            </w:pPr>
            <w:r>
              <w:rPr>
                <w:rFonts w:ascii="宋体" w:hAnsi="宋体" w:cs="宋体"/>
                <w:spacing w:val="6"/>
                <w:kern w:val="2"/>
                <w:sz w:val="22"/>
                <w:szCs w:val="22"/>
              </w:rPr>
              <w:t>编列内容</w:t>
            </w:r>
          </w:p>
        </w:tc>
      </w:tr>
      <w:tr w14:paraId="32D0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144569F8">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1</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3138ACB7">
            <w:pPr>
              <w:adjustRightInd w:val="0"/>
              <w:spacing w:line="360" w:lineRule="auto"/>
              <w:ind w:left="3" w:hanging="2" w:hangingChars="1"/>
              <w:jc w:val="center"/>
              <w:rPr>
                <w:rFonts w:ascii="宋体" w:hAnsi="宋体" w:cs="宋体"/>
                <w:spacing w:val="6"/>
                <w:kern w:val="2"/>
                <w:sz w:val="22"/>
                <w:szCs w:val="22"/>
              </w:rPr>
            </w:pPr>
            <w:r>
              <w:rPr>
                <w:rFonts w:hint="eastAsia" w:ascii="宋体" w:hAnsi="宋体" w:eastAsia="宋体" w:cs="宋体"/>
                <w:kern w:val="0"/>
                <w:sz w:val="22"/>
                <w:szCs w:val="22"/>
              </w:rPr>
              <w:t>采购人</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BAE7B94">
            <w:pPr>
              <w:spacing w:line="360" w:lineRule="auto"/>
              <w:jc w:val="both"/>
              <w:rPr>
                <w:rFonts w:hint="default" w:ascii="宋体" w:hAnsi="宋体" w:cs="宋体"/>
                <w:spacing w:val="6"/>
                <w:kern w:val="2"/>
                <w:sz w:val="22"/>
                <w:szCs w:val="22"/>
                <w:lang w:val="en-US" w:eastAsia="zh-CN"/>
              </w:rPr>
            </w:pPr>
            <w:r>
              <w:rPr>
                <w:rFonts w:hint="default" w:ascii="宋体" w:hAnsi="宋体" w:cs="宋体"/>
                <w:spacing w:val="6"/>
                <w:kern w:val="2"/>
                <w:sz w:val="22"/>
                <w:szCs w:val="22"/>
                <w:lang w:val="en-US"/>
              </w:rPr>
              <w:t>采购人：</w:t>
            </w:r>
            <w:r>
              <w:rPr>
                <w:rFonts w:hint="default" w:ascii="宋体" w:hAnsi="宋体" w:cs="宋体"/>
                <w:spacing w:val="6"/>
                <w:kern w:val="2"/>
                <w:sz w:val="22"/>
                <w:szCs w:val="22"/>
                <w:lang w:val="en-US" w:eastAsia="zh-CN"/>
              </w:rPr>
              <w:t>三门峡市陕州区消防救援大队</w:t>
            </w:r>
          </w:p>
          <w:p w14:paraId="589E4744">
            <w:pPr>
              <w:spacing w:line="360" w:lineRule="auto"/>
              <w:jc w:val="both"/>
              <w:rPr>
                <w:rFonts w:hint="default" w:ascii="宋体" w:hAnsi="宋体" w:cs="宋体"/>
                <w:spacing w:val="6"/>
                <w:kern w:val="2"/>
                <w:sz w:val="22"/>
                <w:szCs w:val="22"/>
                <w:lang w:val="en-US" w:eastAsia="zh-CN"/>
              </w:rPr>
            </w:pPr>
            <w:r>
              <w:rPr>
                <w:rFonts w:hint="default" w:ascii="宋体" w:hAnsi="宋体" w:cs="宋体"/>
                <w:spacing w:val="6"/>
                <w:kern w:val="2"/>
                <w:sz w:val="22"/>
                <w:szCs w:val="22"/>
                <w:lang w:val="en-US"/>
              </w:rPr>
              <w:t>联 系 人：</w:t>
            </w:r>
            <w:r>
              <w:rPr>
                <w:rFonts w:hint="default" w:ascii="宋体" w:hAnsi="宋体" w:cs="宋体"/>
                <w:spacing w:val="6"/>
                <w:kern w:val="2"/>
                <w:sz w:val="22"/>
                <w:szCs w:val="22"/>
                <w:lang w:val="en-US" w:eastAsia="zh-CN"/>
              </w:rPr>
              <w:t>姚先生</w:t>
            </w:r>
          </w:p>
          <w:p w14:paraId="71B6D135">
            <w:pPr>
              <w:spacing w:line="360" w:lineRule="auto"/>
              <w:jc w:val="both"/>
              <w:rPr>
                <w:rFonts w:hint="default" w:ascii="宋体" w:hAnsi="宋体" w:cs="宋体"/>
                <w:spacing w:val="6"/>
                <w:kern w:val="2"/>
                <w:sz w:val="22"/>
                <w:szCs w:val="22"/>
                <w:lang w:val="en-US"/>
              </w:rPr>
            </w:pPr>
            <w:r>
              <w:rPr>
                <w:rFonts w:hint="default" w:ascii="宋体" w:hAnsi="宋体" w:cs="宋体"/>
                <w:spacing w:val="6"/>
                <w:kern w:val="2"/>
                <w:sz w:val="22"/>
                <w:szCs w:val="22"/>
                <w:lang w:val="en-US" w:eastAsia="zh-CN"/>
              </w:rPr>
              <w:t>联系方式</w:t>
            </w:r>
            <w:r>
              <w:rPr>
                <w:rFonts w:hint="default" w:ascii="宋体" w:hAnsi="宋体" w:cs="宋体"/>
                <w:spacing w:val="6"/>
                <w:kern w:val="2"/>
                <w:sz w:val="22"/>
                <w:szCs w:val="22"/>
                <w:lang w:val="en-US"/>
              </w:rPr>
              <w:t>：</w:t>
            </w:r>
            <w:r>
              <w:rPr>
                <w:rFonts w:hint="default" w:ascii="宋体" w:hAnsi="宋体" w:cs="宋体"/>
                <w:spacing w:val="6"/>
                <w:kern w:val="2"/>
                <w:sz w:val="22"/>
                <w:szCs w:val="22"/>
                <w:lang w:val="en-US" w:eastAsia="zh-CN"/>
              </w:rPr>
              <w:t>15939862512</w:t>
            </w:r>
          </w:p>
          <w:p w14:paraId="45B34A8C">
            <w:pPr>
              <w:spacing w:line="360" w:lineRule="auto"/>
              <w:jc w:val="both"/>
              <w:rPr>
                <w:rFonts w:hint="default" w:ascii="宋体" w:hAnsi="宋体" w:cs="宋体"/>
                <w:spacing w:val="6"/>
                <w:kern w:val="2"/>
                <w:sz w:val="22"/>
                <w:szCs w:val="22"/>
                <w:lang w:val="en-US"/>
              </w:rPr>
            </w:pPr>
            <w:r>
              <w:rPr>
                <w:rFonts w:hint="default" w:ascii="宋体" w:hAnsi="宋体" w:cs="宋体"/>
                <w:spacing w:val="6"/>
                <w:kern w:val="2"/>
                <w:sz w:val="22"/>
                <w:szCs w:val="22"/>
                <w:lang w:val="en-US" w:eastAsia="zh-CN"/>
              </w:rPr>
              <w:t>地址：三门峡市陕州区高阳路与通秦路交叉口西侧</w:t>
            </w:r>
          </w:p>
        </w:tc>
      </w:tr>
      <w:tr w14:paraId="3FE0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4504018B">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2</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0A507077">
            <w:pPr>
              <w:adjustRightInd w:val="0"/>
              <w:spacing w:line="360" w:lineRule="auto"/>
              <w:ind w:left="3" w:hanging="2" w:hangingChars="1"/>
              <w:jc w:val="center"/>
              <w:rPr>
                <w:rFonts w:ascii="宋体" w:hAnsi="宋体" w:cs="宋体"/>
                <w:spacing w:val="6"/>
                <w:kern w:val="2"/>
                <w:sz w:val="22"/>
                <w:szCs w:val="22"/>
              </w:rPr>
            </w:pPr>
            <w:r>
              <w:rPr>
                <w:rFonts w:hint="eastAsia" w:ascii="宋体" w:hAnsi="宋体" w:cs="宋体"/>
                <w:spacing w:val="6"/>
                <w:kern w:val="2"/>
                <w:sz w:val="22"/>
                <w:szCs w:val="22"/>
              </w:rPr>
              <w:t>代理机构</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7A64FA27">
            <w:pPr>
              <w:spacing w:line="360" w:lineRule="auto"/>
              <w:ind w:left="3" w:hanging="2" w:hangingChars="1"/>
              <w:rPr>
                <w:rFonts w:hint="eastAsia" w:ascii="宋体" w:hAnsi="宋体" w:cs="宋体"/>
                <w:spacing w:val="6"/>
                <w:kern w:val="2"/>
                <w:sz w:val="22"/>
                <w:szCs w:val="22"/>
                <w:lang w:eastAsia="zh-CN"/>
              </w:rPr>
            </w:pPr>
            <w:r>
              <w:rPr>
                <w:rFonts w:hint="eastAsia" w:ascii="宋体" w:hAnsi="宋体" w:cs="宋体"/>
                <w:spacing w:val="6"/>
                <w:kern w:val="2"/>
                <w:sz w:val="22"/>
                <w:szCs w:val="22"/>
              </w:rPr>
              <w:t>代理机构：</w:t>
            </w:r>
            <w:r>
              <w:rPr>
                <w:rFonts w:hint="eastAsia" w:ascii="宋体" w:hAnsi="宋体" w:cs="宋体"/>
                <w:spacing w:val="6"/>
                <w:kern w:val="2"/>
                <w:sz w:val="22"/>
                <w:szCs w:val="22"/>
                <w:lang w:eastAsia="zh-CN"/>
              </w:rPr>
              <w:t>河南邦兴工程服务有限公司</w:t>
            </w:r>
          </w:p>
          <w:p w14:paraId="679B2895">
            <w:pPr>
              <w:spacing w:line="360" w:lineRule="auto"/>
              <w:ind w:left="3" w:hanging="2" w:hangingChars="1"/>
              <w:rPr>
                <w:rFonts w:hint="eastAsia" w:ascii="宋体" w:hAnsi="宋体" w:cs="宋体"/>
                <w:spacing w:val="6"/>
                <w:kern w:val="2"/>
                <w:sz w:val="22"/>
                <w:szCs w:val="22"/>
                <w:lang w:eastAsia="zh-CN"/>
              </w:rPr>
            </w:pPr>
            <w:r>
              <w:rPr>
                <w:rFonts w:hint="eastAsia" w:ascii="宋体" w:hAnsi="宋体" w:cs="宋体"/>
                <w:spacing w:val="6"/>
                <w:kern w:val="2"/>
                <w:sz w:val="22"/>
                <w:szCs w:val="22"/>
              </w:rPr>
              <w:t>联系人：</w:t>
            </w:r>
            <w:r>
              <w:rPr>
                <w:rFonts w:hint="eastAsia" w:ascii="宋体" w:hAnsi="宋体" w:cs="宋体"/>
                <w:spacing w:val="6"/>
                <w:kern w:val="2"/>
                <w:sz w:val="22"/>
                <w:szCs w:val="22"/>
                <w:lang w:val="en-US" w:eastAsia="zh-CN"/>
              </w:rPr>
              <w:t>李女士</w:t>
            </w:r>
          </w:p>
          <w:p w14:paraId="271AD4F0">
            <w:pPr>
              <w:spacing w:line="360" w:lineRule="auto"/>
              <w:ind w:left="3" w:hanging="2" w:hangingChars="1"/>
              <w:rPr>
                <w:rFonts w:hint="eastAsia" w:ascii="宋体" w:hAnsi="宋体" w:cs="宋体"/>
                <w:spacing w:val="6"/>
                <w:kern w:val="2"/>
                <w:sz w:val="22"/>
                <w:szCs w:val="22"/>
                <w:lang w:eastAsia="zh-CN"/>
              </w:rPr>
            </w:pPr>
            <w:r>
              <w:rPr>
                <w:rFonts w:hint="eastAsia" w:ascii="宋体" w:hAnsi="宋体" w:cs="宋体"/>
                <w:spacing w:val="6"/>
                <w:kern w:val="2"/>
                <w:sz w:val="22"/>
                <w:szCs w:val="22"/>
              </w:rPr>
              <w:t>联系方式：</w:t>
            </w:r>
            <w:r>
              <w:rPr>
                <w:rFonts w:hint="eastAsia" w:ascii="宋体" w:hAnsi="宋体" w:cs="宋体"/>
                <w:spacing w:val="6"/>
                <w:kern w:val="2"/>
                <w:sz w:val="22"/>
                <w:szCs w:val="22"/>
                <w:lang w:eastAsia="zh-CN"/>
              </w:rPr>
              <w:t>18530360709</w:t>
            </w:r>
          </w:p>
          <w:p w14:paraId="5E1C3A13">
            <w:pPr>
              <w:spacing w:line="360" w:lineRule="auto"/>
              <w:ind w:left="3" w:hanging="2" w:hangingChars="1"/>
              <w:rPr>
                <w:rFonts w:ascii="宋体" w:hAnsi="宋体" w:cs="宋体"/>
                <w:spacing w:val="6"/>
                <w:kern w:val="2"/>
                <w:sz w:val="22"/>
                <w:szCs w:val="22"/>
              </w:rPr>
            </w:pPr>
            <w:r>
              <w:rPr>
                <w:rFonts w:hint="eastAsia" w:ascii="宋体" w:hAnsi="宋体" w:cs="宋体"/>
                <w:spacing w:val="6"/>
                <w:kern w:val="2"/>
                <w:sz w:val="22"/>
                <w:szCs w:val="22"/>
              </w:rPr>
              <w:t>地址：</w:t>
            </w:r>
            <w:r>
              <w:rPr>
                <w:rFonts w:hint="eastAsia" w:ascii="宋体" w:hAnsi="宋体" w:cs="宋体"/>
                <w:spacing w:val="6"/>
                <w:kern w:val="2"/>
                <w:sz w:val="22"/>
                <w:szCs w:val="22"/>
                <w:lang w:eastAsia="zh-CN"/>
              </w:rPr>
              <w:t>河南省郑州市高新技术产业开发区翠竹街1号23幢3层01号</w:t>
            </w:r>
          </w:p>
        </w:tc>
      </w:tr>
      <w:tr w14:paraId="72A1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6B3F748F">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3</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6296EA0A">
            <w:pPr>
              <w:widowControl w:val="0"/>
              <w:adjustRightInd w:val="0"/>
              <w:spacing w:line="360" w:lineRule="auto"/>
              <w:jc w:val="center"/>
              <w:rPr>
                <w:rFonts w:ascii="宋体" w:hAnsi="宋体" w:cs="宋体"/>
                <w:spacing w:val="6"/>
                <w:kern w:val="2"/>
                <w:sz w:val="22"/>
                <w:szCs w:val="22"/>
              </w:rPr>
            </w:pPr>
            <w:r>
              <w:rPr>
                <w:rFonts w:ascii="宋体" w:hAnsi="宋体" w:cs="宋体"/>
                <w:spacing w:val="6"/>
                <w:kern w:val="2"/>
                <w:sz w:val="22"/>
                <w:szCs w:val="22"/>
              </w:rPr>
              <w:t>项目名称</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D392D94">
            <w:pPr>
              <w:widowControl w:val="0"/>
              <w:spacing w:line="360" w:lineRule="auto"/>
              <w:rPr>
                <w:rFonts w:hint="eastAsia" w:ascii="宋体" w:hAnsi="宋体" w:eastAsia="宋体" w:cs="宋体"/>
                <w:spacing w:val="6"/>
                <w:kern w:val="2"/>
                <w:sz w:val="22"/>
                <w:szCs w:val="22"/>
                <w:lang w:eastAsia="zh-CN"/>
              </w:rPr>
            </w:pPr>
            <w:r>
              <w:rPr>
                <w:rFonts w:hint="eastAsia" w:ascii="宋体" w:hAnsi="宋体" w:eastAsia="宋体" w:cs="宋体"/>
                <w:sz w:val="22"/>
                <w:szCs w:val="24"/>
                <w:lang w:val="en-US" w:eastAsia="zh-CN"/>
              </w:rPr>
              <w:t>三门峡市陕州区消防救援大队食堂主副食品采购项目</w:t>
            </w:r>
          </w:p>
        </w:tc>
      </w:tr>
      <w:tr w14:paraId="5DAE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9"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494DD3AF">
            <w:pPr>
              <w:adjustRightInd w:val="0"/>
              <w:spacing w:line="360" w:lineRule="auto"/>
              <w:ind w:left="3" w:hanging="2" w:hangingChars="1"/>
              <w:jc w:val="center"/>
              <w:rPr>
                <w:rFonts w:ascii="宋体" w:hAnsi="宋体" w:cs="宋体"/>
                <w:spacing w:val="6"/>
                <w:kern w:val="2"/>
                <w:sz w:val="22"/>
                <w:szCs w:val="22"/>
              </w:rPr>
            </w:pPr>
            <w:r>
              <w:rPr>
                <w:rFonts w:hint="eastAsia" w:ascii="宋体" w:hAnsi="宋体" w:cs="宋体"/>
                <w:spacing w:val="6"/>
                <w:kern w:val="2"/>
                <w:sz w:val="22"/>
                <w:szCs w:val="22"/>
              </w:rPr>
              <w:t>4</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60E2507F">
            <w:pPr>
              <w:adjustRightInd w:val="0"/>
              <w:spacing w:line="360" w:lineRule="auto"/>
              <w:ind w:left="2" w:hanging="2" w:hangingChars="1"/>
              <w:jc w:val="center"/>
              <w:rPr>
                <w:rFonts w:ascii="宋体" w:hAnsi="宋体" w:cs="宋体"/>
                <w:color w:val="auto"/>
                <w:kern w:val="2"/>
                <w:sz w:val="22"/>
                <w:szCs w:val="22"/>
                <w:highlight w:val="none"/>
              </w:rPr>
            </w:pPr>
            <w:r>
              <w:rPr>
                <w:rFonts w:ascii="宋体" w:hAnsi="宋体" w:cs="宋体"/>
                <w:color w:val="auto"/>
                <w:kern w:val="2"/>
                <w:sz w:val="22"/>
                <w:szCs w:val="22"/>
                <w:highlight w:val="none"/>
              </w:rPr>
              <w:t>项目编号</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3A59C112">
            <w:pPr>
              <w:widowControl w:val="0"/>
              <w:adjustRightInd w:val="0"/>
              <w:spacing w:line="360" w:lineRule="auto"/>
              <w:jc w:val="both"/>
              <w:rPr>
                <w:rFonts w:hint="default" w:ascii="宋体" w:hAnsi="宋体" w:eastAsia="宋体" w:cs="宋体"/>
                <w:color w:val="auto"/>
                <w:spacing w:val="6"/>
                <w:kern w:val="2"/>
                <w:sz w:val="22"/>
                <w:szCs w:val="22"/>
                <w:highlight w:val="none"/>
                <w:lang w:val="en-US" w:eastAsia="zh-CN"/>
              </w:rPr>
            </w:pPr>
            <w:r>
              <w:rPr>
                <w:rFonts w:hint="eastAsia" w:asciiTheme="minorEastAsia" w:hAnsiTheme="minorEastAsia" w:eastAsiaTheme="minorEastAsia" w:cstheme="minorEastAsia"/>
                <w:bCs/>
                <w:sz w:val="24"/>
                <w:szCs w:val="24"/>
                <w:highlight w:val="none"/>
                <w:lang w:val="en-US" w:eastAsia="zh-CN"/>
              </w:rPr>
              <w:t>陕州竞磋采购-2026-40</w:t>
            </w:r>
            <w:r>
              <w:rPr>
                <w:rFonts w:hint="eastAsia" w:asciiTheme="minorEastAsia" w:hAnsiTheme="minorEastAsia" w:cstheme="minorEastAsia"/>
                <w:bCs/>
                <w:sz w:val="24"/>
                <w:szCs w:val="24"/>
                <w:highlight w:val="none"/>
                <w:lang w:val="en-US" w:eastAsia="zh-CN"/>
              </w:rPr>
              <w:t>、SZGZ[2026]077-ZC064</w:t>
            </w:r>
          </w:p>
        </w:tc>
      </w:tr>
      <w:tr w14:paraId="2BB9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90"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57B223AE">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5</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38211B50">
            <w:pPr>
              <w:widowControl w:val="0"/>
              <w:adjustRightInd w:val="0"/>
              <w:spacing w:line="360" w:lineRule="auto"/>
              <w:jc w:val="center"/>
              <w:rPr>
                <w:rFonts w:ascii="宋体" w:hAnsi="宋体" w:cs="宋体"/>
                <w:kern w:val="2"/>
                <w:sz w:val="22"/>
                <w:szCs w:val="22"/>
              </w:rPr>
            </w:pPr>
            <w:r>
              <w:rPr>
                <w:rFonts w:ascii="宋体" w:hAnsi="宋体" w:cs="宋体"/>
                <w:kern w:val="2"/>
                <w:sz w:val="22"/>
                <w:szCs w:val="22"/>
              </w:rPr>
              <w:t>采购</w:t>
            </w:r>
            <w:r>
              <w:rPr>
                <w:rFonts w:hint="eastAsia" w:ascii="宋体" w:hAnsi="宋体" w:cs="宋体"/>
                <w:kern w:val="2"/>
                <w:sz w:val="22"/>
                <w:szCs w:val="22"/>
              </w:rPr>
              <w:t>人</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405CBDF">
            <w:pPr>
              <w:adjustRightInd w:val="0"/>
              <w:spacing w:line="360" w:lineRule="auto"/>
              <w:ind w:left="2" w:hanging="2" w:hangingChars="1"/>
              <w:rPr>
                <w:rFonts w:hint="eastAsia" w:ascii="宋体" w:hAnsi="宋体" w:eastAsia="宋体" w:cs="宋体"/>
                <w:spacing w:val="6"/>
                <w:kern w:val="2"/>
                <w:sz w:val="22"/>
                <w:szCs w:val="22"/>
                <w:lang w:eastAsia="zh-CN"/>
              </w:rPr>
            </w:pPr>
            <w:r>
              <w:rPr>
                <w:rFonts w:hint="default" w:ascii="宋体" w:hAnsi="宋体" w:cs="宋体"/>
                <w:spacing w:val="6"/>
                <w:kern w:val="2"/>
                <w:sz w:val="22"/>
                <w:szCs w:val="22"/>
                <w:lang w:val="en-US" w:eastAsia="zh-CN"/>
              </w:rPr>
              <w:t>三门峡市陕州区消防救援大队</w:t>
            </w:r>
          </w:p>
        </w:tc>
      </w:tr>
      <w:tr w14:paraId="2DB7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721" w:type="dxa"/>
            <w:vMerge w:val="restart"/>
            <w:tcBorders>
              <w:top w:val="single" w:color="auto" w:sz="6" w:space="0"/>
              <w:left w:val="single" w:color="auto" w:sz="12" w:space="0"/>
              <w:right w:val="single" w:color="auto" w:sz="6" w:space="0"/>
            </w:tcBorders>
            <w:noWrap w:val="0"/>
            <w:vAlign w:val="center"/>
          </w:tcPr>
          <w:p w14:paraId="6BB16418">
            <w:pPr>
              <w:widowControl w:val="0"/>
              <w:adjustRightInd w:val="0"/>
              <w:spacing w:line="360" w:lineRule="auto"/>
              <w:jc w:val="center"/>
              <w:rPr>
                <w:rFonts w:hint="eastAsia" w:ascii="宋体" w:hAnsi="宋体" w:cs="宋体" w:eastAsiaTheme="minorEastAsia"/>
                <w:spacing w:val="6"/>
                <w:kern w:val="2"/>
                <w:sz w:val="22"/>
                <w:szCs w:val="22"/>
                <w:lang w:val="en-US" w:eastAsia="zh-CN"/>
              </w:rPr>
            </w:pPr>
            <w:r>
              <w:rPr>
                <w:rFonts w:hint="eastAsia" w:ascii="宋体" w:hAnsi="宋体" w:cs="宋体"/>
                <w:spacing w:val="6"/>
                <w:kern w:val="2"/>
                <w:sz w:val="22"/>
                <w:szCs w:val="22"/>
              </w:rPr>
              <w:t>6</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5EBBDE49">
            <w:pPr>
              <w:widowControl w:val="0"/>
              <w:adjustRightInd w:val="0"/>
              <w:spacing w:line="360" w:lineRule="auto"/>
              <w:jc w:val="center"/>
              <w:rPr>
                <w:rFonts w:hint="default" w:ascii="宋体" w:hAnsi="宋体" w:cs="宋体"/>
                <w:kern w:val="2"/>
                <w:sz w:val="22"/>
                <w:szCs w:val="22"/>
                <w:lang w:val="en-US"/>
              </w:rPr>
            </w:pPr>
            <w:r>
              <w:rPr>
                <w:rFonts w:hint="eastAsia" w:ascii="宋体" w:hAnsi="宋体" w:eastAsia="宋体" w:cs="宋体"/>
                <w:spacing w:val="6"/>
                <w:kern w:val="2"/>
                <w:sz w:val="22"/>
                <w:szCs w:val="22"/>
                <w:lang w:val="en-US" w:eastAsia="zh-CN"/>
              </w:rPr>
              <w:t>采购预算</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0350059">
            <w:pPr>
              <w:adjustRightInd w:val="0"/>
              <w:spacing w:line="360" w:lineRule="auto"/>
              <w:ind w:left="2" w:hanging="2" w:hangingChars="1"/>
              <w:rPr>
                <w:rFonts w:hint="default" w:ascii="宋体" w:hAnsi="宋体" w:eastAsia="宋体" w:cs="宋体"/>
                <w:spacing w:val="6"/>
                <w:kern w:val="2"/>
                <w:sz w:val="22"/>
                <w:szCs w:val="22"/>
                <w:lang w:val="en-US" w:eastAsia="zh-CN"/>
              </w:rPr>
            </w:pPr>
            <w:r>
              <w:rPr>
                <w:rFonts w:hint="eastAsia" w:ascii="宋体" w:hAnsi="宋体" w:eastAsia="宋体" w:cs="宋体"/>
                <w:spacing w:val="6"/>
                <w:kern w:val="2"/>
                <w:sz w:val="22"/>
                <w:szCs w:val="22"/>
                <w:highlight w:val="none"/>
                <w:lang w:val="en-US" w:eastAsia="zh-CN"/>
              </w:rPr>
              <w:t>约1100000.00元/年（本</w:t>
            </w:r>
            <w:r>
              <w:rPr>
                <w:rFonts w:hint="eastAsia" w:ascii="宋体" w:hAnsi="宋体" w:eastAsia="宋体" w:cs="宋体"/>
                <w:spacing w:val="6"/>
                <w:kern w:val="2"/>
                <w:sz w:val="22"/>
                <w:szCs w:val="22"/>
                <w:lang w:val="en-US" w:eastAsia="zh-CN"/>
              </w:rPr>
              <w:t>预算为暂定金额，以实际采购数量为准，按照实际供货数量据实结算。）</w:t>
            </w:r>
          </w:p>
        </w:tc>
      </w:tr>
      <w:tr w14:paraId="1E34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1" w:hRule="atLeast"/>
        </w:trPr>
        <w:tc>
          <w:tcPr>
            <w:tcW w:w="721" w:type="dxa"/>
            <w:vMerge w:val="continue"/>
            <w:tcBorders>
              <w:left w:val="single" w:color="auto" w:sz="12" w:space="0"/>
              <w:bottom w:val="single" w:color="auto" w:sz="6" w:space="0"/>
              <w:right w:val="single" w:color="auto" w:sz="6" w:space="0"/>
            </w:tcBorders>
            <w:noWrap w:val="0"/>
            <w:vAlign w:val="center"/>
          </w:tcPr>
          <w:p w14:paraId="5948FA12">
            <w:pPr>
              <w:widowControl w:val="0"/>
              <w:adjustRightInd w:val="0"/>
              <w:spacing w:line="360" w:lineRule="auto"/>
              <w:jc w:val="center"/>
              <w:rPr>
                <w:rFonts w:hint="eastAsia" w:ascii="宋体" w:hAnsi="宋体" w:cs="宋体" w:eastAsiaTheme="minorEastAsia"/>
                <w:spacing w:val="6"/>
                <w:kern w:val="2"/>
                <w:sz w:val="22"/>
                <w:szCs w:val="22"/>
                <w:lang w:val="en-US" w:eastAsia="zh-CN"/>
              </w:rPr>
            </w:pPr>
          </w:p>
        </w:tc>
        <w:tc>
          <w:tcPr>
            <w:tcW w:w="1292" w:type="dxa"/>
            <w:tcBorders>
              <w:top w:val="single" w:color="auto" w:sz="6" w:space="0"/>
              <w:left w:val="single" w:color="auto" w:sz="6" w:space="0"/>
              <w:bottom w:val="single" w:color="auto" w:sz="6" w:space="0"/>
              <w:right w:val="single" w:color="auto" w:sz="6" w:space="0"/>
            </w:tcBorders>
            <w:noWrap w:val="0"/>
            <w:vAlign w:val="center"/>
          </w:tcPr>
          <w:p w14:paraId="4E90F3C1">
            <w:pPr>
              <w:widowControl w:val="0"/>
              <w:adjustRightInd w:val="0"/>
              <w:spacing w:line="360" w:lineRule="auto"/>
              <w:jc w:val="both"/>
              <w:rPr>
                <w:rFonts w:hint="eastAsia" w:ascii="宋体" w:hAnsi="宋体" w:eastAsia="宋体" w:cs="宋体"/>
                <w:spacing w:val="6"/>
                <w:kern w:val="2"/>
                <w:sz w:val="22"/>
                <w:szCs w:val="22"/>
                <w:lang w:val="en-US" w:eastAsia="zh-CN"/>
              </w:rPr>
            </w:pPr>
            <w:r>
              <w:rPr>
                <w:rFonts w:hint="eastAsia" w:ascii="宋体" w:hAnsi="宋体" w:eastAsia="宋体" w:cs="宋体"/>
                <w:sz w:val="22"/>
                <w:szCs w:val="24"/>
                <w:highlight w:val="none"/>
                <w:lang w:val="en-US" w:eastAsia="zh-CN"/>
              </w:rPr>
              <w:t>包最高限价</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566D596">
            <w:pPr>
              <w:adjustRightInd w:val="0"/>
              <w:spacing w:line="360" w:lineRule="auto"/>
              <w:rPr>
                <w:rFonts w:hint="eastAsia" w:ascii="宋体" w:hAnsi="宋体" w:eastAsia="宋体" w:cs="宋体"/>
                <w:b/>
                <w:bCs/>
                <w:spacing w:val="6"/>
                <w:kern w:val="2"/>
                <w:sz w:val="22"/>
                <w:szCs w:val="22"/>
                <w:highlight w:val="yellow"/>
                <w:lang w:val="en-US" w:eastAsia="zh-CN"/>
              </w:rPr>
            </w:pPr>
            <w:r>
              <w:rPr>
                <w:rFonts w:hint="eastAsia" w:asciiTheme="minorEastAsia" w:hAnsiTheme="minorEastAsia" w:cstheme="minorEastAsia"/>
                <w:color w:val="auto"/>
                <w:sz w:val="24"/>
                <w:szCs w:val="24"/>
                <w:highlight w:val="none"/>
                <w:lang w:val="en-US" w:eastAsia="zh-CN"/>
              </w:rPr>
              <w:t>1100000.00元</w:t>
            </w:r>
          </w:p>
        </w:tc>
      </w:tr>
      <w:tr w14:paraId="68E5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6E2EF160">
            <w:pPr>
              <w:widowControl w:val="0"/>
              <w:adjustRightInd w:val="0"/>
              <w:spacing w:line="360" w:lineRule="auto"/>
              <w:jc w:val="center"/>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7</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3236622C">
            <w:pPr>
              <w:widowControl w:val="0"/>
              <w:adjustRightInd w:val="0"/>
              <w:spacing w:line="360" w:lineRule="auto"/>
              <w:jc w:val="center"/>
              <w:rPr>
                <w:rFonts w:hint="default" w:ascii="宋体" w:hAnsi="宋体" w:cs="宋体"/>
                <w:kern w:val="2"/>
                <w:sz w:val="22"/>
                <w:szCs w:val="22"/>
                <w:lang w:val="en-US"/>
              </w:rPr>
            </w:pPr>
            <w:r>
              <w:rPr>
                <w:rFonts w:hint="eastAsia" w:ascii="宋体" w:hAnsi="宋体" w:cs="宋体"/>
                <w:kern w:val="2"/>
                <w:sz w:val="22"/>
                <w:szCs w:val="22"/>
                <w:lang w:val="en-US" w:eastAsia="zh-CN"/>
              </w:rPr>
              <w:t>标段划分</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EC7111C">
            <w:pPr>
              <w:adjustRightInd w:val="0"/>
              <w:spacing w:line="360" w:lineRule="auto"/>
              <w:ind w:left="2" w:hanging="2" w:hangingChars="1"/>
              <w:rPr>
                <w:rFonts w:hint="eastAsia" w:ascii="宋体" w:hAnsi="宋体" w:eastAsia="宋体" w:cs="宋体"/>
                <w:spacing w:val="6"/>
                <w:kern w:val="2"/>
                <w:sz w:val="22"/>
                <w:szCs w:val="22"/>
                <w:lang w:val="en-US" w:eastAsia="zh-CN"/>
              </w:rPr>
            </w:pPr>
            <w:r>
              <w:rPr>
                <w:rFonts w:hint="eastAsia" w:ascii="宋体" w:hAnsi="宋体" w:eastAsia="宋体" w:cs="宋体"/>
                <w:spacing w:val="6"/>
                <w:kern w:val="2"/>
                <w:sz w:val="22"/>
                <w:szCs w:val="22"/>
                <w:lang w:val="en-US" w:eastAsia="zh-CN"/>
              </w:rPr>
              <w:t>本项目不划分标段</w:t>
            </w:r>
          </w:p>
        </w:tc>
      </w:tr>
      <w:tr w14:paraId="5D4B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052EE63E">
            <w:pPr>
              <w:widowControl w:val="0"/>
              <w:adjustRightInd w:val="0"/>
              <w:spacing w:line="360" w:lineRule="auto"/>
              <w:jc w:val="center"/>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8</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692746E3">
            <w:pPr>
              <w:widowControl w:val="0"/>
              <w:adjustRightInd w:val="0"/>
              <w:spacing w:line="360" w:lineRule="auto"/>
              <w:jc w:val="center"/>
              <w:rPr>
                <w:rFonts w:ascii="宋体" w:hAnsi="宋体" w:cs="宋体"/>
                <w:spacing w:val="6"/>
                <w:kern w:val="2"/>
                <w:sz w:val="22"/>
                <w:szCs w:val="22"/>
              </w:rPr>
            </w:pPr>
            <w:r>
              <w:rPr>
                <w:rFonts w:hint="eastAsia" w:ascii="宋体" w:hAnsi="宋体" w:cs="宋体"/>
                <w:kern w:val="2"/>
                <w:sz w:val="22"/>
                <w:szCs w:val="22"/>
                <w:lang w:val="en-US" w:eastAsia="zh-CN"/>
              </w:rPr>
              <w:t>服务</w:t>
            </w:r>
            <w:r>
              <w:rPr>
                <w:rFonts w:hint="eastAsia" w:ascii="宋体" w:hAnsi="宋体" w:cs="宋体"/>
                <w:kern w:val="2"/>
                <w:sz w:val="22"/>
                <w:szCs w:val="22"/>
              </w:rPr>
              <w:t>内容</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9AC3C3E">
            <w:pPr>
              <w:shd w:val="clear" w:color="auto" w:fill="FFFFFF"/>
              <w:spacing w:line="360" w:lineRule="auto"/>
              <w:rPr>
                <w:rFonts w:ascii="宋体" w:hAnsi="宋体" w:cs="宋体"/>
                <w:spacing w:val="6"/>
                <w:kern w:val="2"/>
                <w:sz w:val="22"/>
                <w:szCs w:val="22"/>
              </w:rPr>
            </w:pPr>
            <w:r>
              <w:rPr>
                <w:rFonts w:hint="eastAsia" w:ascii="宋体" w:hAnsi="宋体" w:cs="宋体"/>
                <w:spacing w:val="6"/>
                <w:kern w:val="2"/>
                <w:sz w:val="22"/>
                <w:szCs w:val="22"/>
                <w:highlight w:val="none"/>
                <w:lang w:val="en-US" w:eastAsia="zh-CN"/>
              </w:rPr>
              <w:t>对采购人提供（包括但不限于）蔬果、禽蛋、禽畜肉、水产品、饮品、米面粮油、调料干杂等食材供应，供应商要严格遵守相关法律法规及行业标准，确保相关服务达到验收标准。（详见竞争性磋商文件）</w:t>
            </w:r>
          </w:p>
        </w:tc>
      </w:tr>
      <w:tr w14:paraId="2B74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54859833">
            <w:pPr>
              <w:adjustRightInd w:val="0"/>
              <w:spacing w:line="360" w:lineRule="auto"/>
              <w:ind w:left="2" w:leftChars="0" w:hanging="2" w:hangingChars="1"/>
              <w:jc w:val="center"/>
              <w:rPr>
                <w:rFonts w:hint="default"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9</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36EEEEEF">
            <w:pPr>
              <w:widowControl w:val="0"/>
              <w:adjustRightInd w:val="0"/>
              <w:spacing w:line="360" w:lineRule="auto"/>
              <w:jc w:val="center"/>
              <w:rPr>
                <w:rFonts w:ascii="宋体" w:hAnsi="宋体" w:cs="宋体"/>
                <w:spacing w:val="6"/>
                <w:kern w:val="2"/>
                <w:sz w:val="22"/>
                <w:szCs w:val="22"/>
              </w:rPr>
            </w:pPr>
            <w:r>
              <w:rPr>
                <w:rFonts w:ascii="宋体" w:hAnsi="宋体" w:cs="宋体"/>
                <w:spacing w:val="6"/>
                <w:kern w:val="2"/>
                <w:sz w:val="22"/>
                <w:szCs w:val="22"/>
              </w:rPr>
              <w:t>采购方式</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CF351B7">
            <w:pPr>
              <w:widowControl w:val="0"/>
              <w:adjustRightInd w:val="0"/>
              <w:spacing w:line="360" w:lineRule="auto"/>
              <w:jc w:val="both"/>
              <w:rPr>
                <w:rFonts w:ascii="宋体" w:hAnsi="宋体" w:cs="宋体"/>
                <w:spacing w:val="6"/>
                <w:kern w:val="2"/>
                <w:sz w:val="22"/>
                <w:szCs w:val="22"/>
              </w:rPr>
            </w:pPr>
            <w:r>
              <w:rPr>
                <w:rFonts w:ascii="宋体" w:hAnsi="宋体" w:cs="宋体"/>
                <w:spacing w:val="6"/>
                <w:kern w:val="2"/>
                <w:sz w:val="22"/>
                <w:szCs w:val="22"/>
              </w:rPr>
              <w:t>竞争性磋商</w:t>
            </w:r>
          </w:p>
        </w:tc>
      </w:tr>
      <w:tr w14:paraId="694C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0DB4E9CD">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1</w:t>
            </w:r>
            <w:r>
              <w:rPr>
                <w:rFonts w:hint="eastAsia" w:ascii="宋体" w:hAnsi="宋体" w:cs="宋体"/>
                <w:spacing w:val="6"/>
                <w:kern w:val="2"/>
                <w:sz w:val="22"/>
                <w:szCs w:val="22"/>
                <w:lang w:val="en-US" w:eastAsia="zh-CN"/>
              </w:rPr>
              <w:t>0</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518DED47">
            <w:pPr>
              <w:widowControl w:val="0"/>
              <w:adjustRightInd w:val="0"/>
              <w:spacing w:line="360" w:lineRule="auto"/>
              <w:jc w:val="center"/>
              <w:rPr>
                <w:rFonts w:hint="eastAsia" w:ascii="宋体" w:hAnsi="宋体" w:cs="宋体" w:eastAsiaTheme="minorEastAsia"/>
                <w:spacing w:val="6"/>
                <w:kern w:val="2"/>
                <w:sz w:val="22"/>
                <w:szCs w:val="22"/>
                <w:lang w:eastAsia="zh-CN"/>
              </w:rPr>
            </w:pPr>
            <w:r>
              <w:rPr>
                <w:rFonts w:ascii="宋体" w:hAnsi="宋体" w:cs="宋体"/>
                <w:spacing w:val="6"/>
                <w:kern w:val="2"/>
                <w:sz w:val="22"/>
                <w:szCs w:val="22"/>
              </w:rPr>
              <w:t>质量</w:t>
            </w:r>
            <w:r>
              <w:rPr>
                <w:rFonts w:hint="eastAsia" w:ascii="宋体" w:hAnsi="宋体" w:cs="宋体"/>
                <w:spacing w:val="6"/>
                <w:kern w:val="2"/>
                <w:sz w:val="22"/>
                <w:szCs w:val="22"/>
                <w:lang w:val="en-US" w:eastAsia="zh-CN"/>
              </w:rPr>
              <w:t>标准</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582ECA67">
            <w:pPr>
              <w:widowControl w:val="0"/>
              <w:adjustRightInd w:val="0"/>
              <w:spacing w:line="360" w:lineRule="auto"/>
              <w:jc w:val="both"/>
              <w:rPr>
                <w:rFonts w:ascii="宋体" w:hAnsi="宋体" w:cs="宋体"/>
                <w:spacing w:val="6"/>
                <w:kern w:val="2"/>
                <w:sz w:val="22"/>
                <w:szCs w:val="22"/>
              </w:rPr>
            </w:pPr>
            <w:r>
              <w:rPr>
                <w:rFonts w:hint="eastAsia" w:ascii="宋体" w:hAnsi="宋体" w:eastAsia="宋体" w:cs="宋体"/>
                <w:sz w:val="22"/>
                <w:szCs w:val="24"/>
              </w:rPr>
              <w:t>合格，满足采购人要求</w:t>
            </w:r>
          </w:p>
        </w:tc>
      </w:tr>
      <w:tr w14:paraId="39CE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30D32162">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1</w:t>
            </w:r>
            <w:r>
              <w:rPr>
                <w:rFonts w:hint="eastAsia" w:ascii="宋体" w:hAnsi="宋体" w:cs="宋体"/>
                <w:spacing w:val="6"/>
                <w:kern w:val="2"/>
                <w:sz w:val="22"/>
                <w:szCs w:val="22"/>
                <w:lang w:val="en-US" w:eastAsia="zh-CN"/>
              </w:rPr>
              <w:t>1</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6E4F5AF5">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lang w:val="en-US" w:eastAsia="zh-CN"/>
              </w:rPr>
              <w:t>服务</w:t>
            </w:r>
            <w:r>
              <w:rPr>
                <w:rFonts w:hint="eastAsia" w:ascii="宋体" w:hAnsi="宋体" w:cs="宋体"/>
                <w:spacing w:val="6"/>
                <w:kern w:val="2"/>
                <w:sz w:val="22"/>
                <w:szCs w:val="22"/>
              </w:rPr>
              <w:t>地点</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3C31A64E">
            <w:pPr>
              <w:widowControl w:val="0"/>
              <w:adjustRightInd w:val="0"/>
              <w:spacing w:line="360" w:lineRule="auto"/>
              <w:jc w:val="both"/>
              <w:rPr>
                <w:rFonts w:hint="eastAsia" w:ascii="宋体" w:hAnsi="宋体" w:cs="宋体"/>
                <w:spacing w:val="6"/>
                <w:kern w:val="2"/>
                <w:sz w:val="22"/>
                <w:szCs w:val="22"/>
              </w:rPr>
            </w:pPr>
            <w:r>
              <w:rPr>
                <w:rFonts w:hint="eastAsia" w:ascii="宋体" w:hAnsi="宋体" w:eastAsia="宋体" w:cs="宋体"/>
                <w:color w:val="auto"/>
                <w:kern w:val="2"/>
                <w:sz w:val="22"/>
                <w:szCs w:val="22"/>
              </w:rPr>
              <w:t>采购人指定地点</w:t>
            </w:r>
          </w:p>
        </w:tc>
      </w:tr>
      <w:tr w14:paraId="3A4E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4BEFD714">
            <w:pPr>
              <w:widowControl w:val="0"/>
              <w:adjustRightInd w:val="0"/>
              <w:spacing w:line="360" w:lineRule="auto"/>
              <w:jc w:val="center"/>
              <w:rPr>
                <w:rFonts w:ascii="宋体" w:hAnsi="宋体" w:eastAsia="宋体" w:cs="宋体"/>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rPr>
              <w:t>2</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2B48BF60">
            <w:pPr>
              <w:adjustRightInd w:val="0"/>
              <w:spacing w:line="360" w:lineRule="auto"/>
              <w:ind w:left="2" w:hanging="2" w:hangingChars="1"/>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lang w:val="en-US" w:eastAsia="zh-CN"/>
              </w:rPr>
              <w:t>服务期限</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5B0CBDE">
            <w:pPr>
              <w:adjustRightInd w:val="0"/>
              <w:spacing w:line="360" w:lineRule="auto"/>
              <w:ind w:left="3" w:hanging="2" w:hangingChars="1"/>
              <w:rPr>
                <w:rFonts w:hint="eastAsia" w:ascii="宋体" w:hAnsi="宋体" w:eastAsia="宋体" w:cs="宋体"/>
                <w:color w:val="auto"/>
                <w:spacing w:val="6"/>
                <w:kern w:val="2"/>
                <w:sz w:val="22"/>
                <w:szCs w:val="22"/>
                <w:highlight w:val="none"/>
                <w:lang w:val="en-US" w:eastAsia="zh-CN"/>
              </w:rPr>
            </w:pPr>
            <w:r>
              <w:rPr>
                <w:rFonts w:hint="eastAsia" w:ascii="宋体" w:hAnsi="宋体" w:eastAsia="宋体" w:cs="宋体"/>
                <w:color w:val="auto"/>
                <w:spacing w:val="6"/>
                <w:kern w:val="2"/>
                <w:sz w:val="22"/>
                <w:szCs w:val="22"/>
                <w:highlight w:val="none"/>
                <w:lang w:val="en-US" w:eastAsia="zh-CN"/>
              </w:rPr>
              <w:t>一年</w:t>
            </w:r>
          </w:p>
        </w:tc>
      </w:tr>
      <w:tr w14:paraId="1BC5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54BF8A6E">
            <w:pPr>
              <w:widowControl w:val="0"/>
              <w:adjustRightInd w:val="0"/>
              <w:spacing w:line="360" w:lineRule="auto"/>
              <w:jc w:val="center"/>
              <w:rPr>
                <w:rFonts w:ascii="宋体" w:hAnsi="宋体" w:eastAsia="宋体" w:cs="宋体"/>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rPr>
              <w:t>3</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787BA8D9">
            <w:pPr>
              <w:widowControl w:val="0"/>
              <w:adjustRightInd w:val="0"/>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资金来源及落实情况</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44A8036">
            <w:pPr>
              <w:widowControl w:val="0"/>
              <w:adjustRightInd w:val="0"/>
              <w:spacing w:line="360" w:lineRule="auto"/>
              <w:jc w:val="both"/>
              <w:rPr>
                <w:rFonts w:ascii="宋体" w:hAnsi="宋体" w:cs="宋体"/>
                <w:color w:val="auto"/>
                <w:spacing w:val="6"/>
                <w:kern w:val="2"/>
                <w:sz w:val="22"/>
                <w:szCs w:val="22"/>
                <w:highlight w:val="none"/>
              </w:rPr>
            </w:pPr>
            <w:r>
              <w:rPr>
                <w:rFonts w:hint="eastAsia" w:ascii="宋体" w:hAnsi="宋体" w:cs="宋体"/>
                <w:color w:val="auto"/>
                <w:spacing w:val="6"/>
                <w:kern w:val="2"/>
                <w:sz w:val="22"/>
                <w:szCs w:val="22"/>
                <w:highlight w:val="none"/>
                <w:lang w:val="en-US" w:eastAsia="zh-CN"/>
              </w:rPr>
              <w:t>财政资金，已落实</w:t>
            </w:r>
          </w:p>
        </w:tc>
      </w:tr>
      <w:tr w14:paraId="44CD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0819912C">
            <w:pPr>
              <w:widowControl w:val="0"/>
              <w:adjustRightInd w:val="0"/>
              <w:spacing w:line="360" w:lineRule="auto"/>
              <w:jc w:val="center"/>
              <w:rPr>
                <w:rFonts w:ascii="宋体" w:hAnsi="宋体" w:eastAsia="宋体" w:cs="宋体"/>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rPr>
              <w:t>4</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2E669980">
            <w:pPr>
              <w:widowControl w:val="0"/>
              <w:adjustRightInd w:val="0"/>
              <w:spacing w:line="360" w:lineRule="auto"/>
              <w:jc w:val="center"/>
              <w:rPr>
                <w:rFonts w:ascii="宋体" w:hAnsi="宋体" w:cs="宋体"/>
                <w:spacing w:val="-40"/>
                <w:kern w:val="2"/>
                <w:sz w:val="22"/>
                <w:szCs w:val="22"/>
                <w:highlight w:val="yellow"/>
              </w:rPr>
            </w:pPr>
            <w:r>
              <w:rPr>
                <w:rFonts w:ascii="宋体" w:hAnsi="宋体" w:cs="宋体"/>
                <w:kern w:val="2"/>
                <w:sz w:val="22"/>
                <w:szCs w:val="22"/>
              </w:rPr>
              <w:t>供应商资</w:t>
            </w:r>
            <w:r>
              <w:rPr>
                <w:rFonts w:hint="eastAsia" w:ascii="宋体" w:hAnsi="宋体" w:cs="宋体"/>
                <w:kern w:val="2"/>
                <w:sz w:val="22"/>
                <w:szCs w:val="22"/>
                <w:lang w:val="en-US" w:eastAsia="zh-CN"/>
              </w:rPr>
              <w:t>格</w:t>
            </w:r>
            <w:r>
              <w:rPr>
                <w:rFonts w:ascii="宋体" w:hAnsi="宋体" w:cs="宋体"/>
                <w:kern w:val="2"/>
                <w:sz w:val="22"/>
                <w:szCs w:val="22"/>
              </w:rPr>
              <w:t>要求</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58341865">
            <w:pPr>
              <w:shd w:val="clear" w:color="auto" w:fill="FFFFFF"/>
              <w:spacing w:line="360" w:lineRule="auto"/>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详见竞争性磋商公告部分</w:t>
            </w:r>
          </w:p>
        </w:tc>
      </w:tr>
      <w:tr w14:paraId="056B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1DD63025">
            <w:pPr>
              <w:widowControl w:val="0"/>
              <w:adjustRightInd w:val="0"/>
              <w:spacing w:line="360" w:lineRule="auto"/>
              <w:jc w:val="center"/>
              <w:rPr>
                <w:rFonts w:ascii="宋体" w:hAnsi="宋体" w:eastAsia="宋体" w:cs="宋体"/>
                <w:spacing w:val="6"/>
                <w:kern w:val="2"/>
                <w:sz w:val="22"/>
                <w:szCs w:val="22"/>
                <w:lang w:val="en-US" w:eastAsia="zh-CN" w:bidi="ar-SA"/>
              </w:rPr>
            </w:pPr>
            <w:r>
              <w:rPr>
                <w:rFonts w:ascii="宋体" w:hAnsi="宋体" w:cs="宋体"/>
                <w:spacing w:val="6"/>
                <w:kern w:val="2"/>
                <w:sz w:val="22"/>
                <w:szCs w:val="22"/>
              </w:rPr>
              <w:t>15</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6D5AC462">
            <w:pPr>
              <w:widowControl w:val="0"/>
              <w:adjustRightInd w:val="0"/>
              <w:spacing w:line="360" w:lineRule="auto"/>
              <w:jc w:val="center"/>
              <w:rPr>
                <w:rFonts w:ascii="宋体" w:hAnsi="宋体" w:cs="宋体"/>
                <w:kern w:val="2"/>
                <w:sz w:val="22"/>
                <w:szCs w:val="22"/>
              </w:rPr>
            </w:pPr>
            <w:r>
              <w:rPr>
                <w:rFonts w:ascii="宋体" w:hAnsi="宋体" w:cs="宋体"/>
                <w:kern w:val="2"/>
                <w:sz w:val="22"/>
                <w:szCs w:val="22"/>
              </w:rPr>
              <w:t>竞争性磋商有效期</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525C8CA0">
            <w:pPr>
              <w:widowControl w:val="0"/>
              <w:adjustRightInd w:val="0"/>
              <w:spacing w:line="360" w:lineRule="auto"/>
              <w:rPr>
                <w:rFonts w:ascii="宋体" w:hAnsi="宋体" w:cs="宋体"/>
                <w:kern w:val="2"/>
                <w:sz w:val="22"/>
                <w:szCs w:val="22"/>
              </w:rPr>
            </w:pPr>
            <w:r>
              <w:rPr>
                <w:rFonts w:ascii="宋体" w:hAnsi="宋体" w:cs="宋体"/>
                <w:kern w:val="2"/>
                <w:sz w:val="22"/>
                <w:szCs w:val="22"/>
              </w:rPr>
              <w:t>60</w:t>
            </w:r>
            <w:r>
              <w:rPr>
                <w:rFonts w:hint="eastAsia" w:ascii="宋体" w:hAnsi="宋体" w:cs="宋体"/>
                <w:kern w:val="2"/>
                <w:sz w:val="22"/>
                <w:szCs w:val="22"/>
              </w:rPr>
              <w:t>日历天(从磋商截止之日算起)</w:t>
            </w:r>
          </w:p>
        </w:tc>
      </w:tr>
      <w:tr w14:paraId="2F99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725B561A">
            <w:pPr>
              <w:widowControl w:val="0"/>
              <w:adjustRightInd w:val="0"/>
              <w:spacing w:line="360" w:lineRule="auto"/>
              <w:jc w:val="center"/>
              <w:rPr>
                <w:rFonts w:ascii="宋体" w:hAnsi="宋体" w:eastAsia="宋体" w:cs="宋体"/>
                <w:spacing w:val="6"/>
                <w:kern w:val="2"/>
                <w:sz w:val="22"/>
                <w:szCs w:val="22"/>
                <w:lang w:val="en-US" w:eastAsia="zh-CN" w:bidi="ar-SA"/>
              </w:rPr>
            </w:pPr>
            <w:r>
              <w:rPr>
                <w:rFonts w:ascii="宋体" w:hAnsi="宋体" w:cs="宋体"/>
                <w:spacing w:val="6"/>
                <w:kern w:val="2"/>
                <w:sz w:val="22"/>
                <w:szCs w:val="22"/>
              </w:rPr>
              <w:t>16</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1CFFCEF0">
            <w:pPr>
              <w:widowControl w:val="0"/>
              <w:adjustRightInd w:val="0"/>
              <w:spacing w:line="360" w:lineRule="auto"/>
              <w:jc w:val="center"/>
              <w:rPr>
                <w:rFonts w:ascii="宋体" w:hAnsi="宋体" w:cs="宋体"/>
                <w:kern w:val="2"/>
                <w:sz w:val="22"/>
                <w:szCs w:val="22"/>
                <w:highlight w:val="none"/>
              </w:rPr>
            </w:pPr>
            <w:r>
              <w:rPr>
                <w:rFonts w:hint="eastAsia" w:ascii="宋体" w:hAnsi="宋体" w:cs="宋体"/>
                <w:kern w:val="2"/>
                <w:sz w:val="22"/>
                <w:szCs w:val="22"/>
                <w:highlight w:val="none"/>
                <w:lang w:val="en-US" w:eastAsia="zh-CN"/>
              </w:rPr>
              <w:t>磋商</w:t>
            </w:r>
            <w:r>
              <w:rPr>
                <w:rFonts w:ascii="宋体" w:hAnsi="宋体" w:cs="宋体"/>
                <w:kern w:val="2"/>
                <w:sz w:val="22"/>
                <w:szCs w:val="22"/>
                <w:highlight w:val="none"/>
              </w:rPr>
              <w:t>保证金</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60C3AD9">
            <w:pPr>
              <w:widowControl w:val="0"/>
              <w:adjustRightInd w:val="0"/>
              <w:spacing w:line="360" w:lineRule="auto"/>
              <w:rPr>
                <w:rFonts w:ascii="宋体" w:hAnsi="宋体" w:cs="宋体"/>
                <w:kern w:val="2"/>
                <w:sz w:val="22"/>
                <w:szCs w:val="22"/>
                <w:highlight w:val="none"/>
              </w:rPr>
            </w:pPr>
            <w:r>
              <w:rPr>
                <w:rFonts w:hint="eastAsia" w:ascii="宋体" w:hAnsi="宋体" w:cs="宋体"/>
                <w:kern w:val="2"/>
                <w:sz w:val="22"/>
                <w:szCs w:val="22"/>
                <w:highlight w:val="none"/>
              </w:rPr>
              <w:t>按照《河南省财政厅关于优化政府采购营商环境有关问题的通知》（豫财购[2019]4号文）的要求本项目不再收取</w:t>
            </w:r>
            <w:r>
              <w:rPr>
                <w:rFonts w:hint="eastAsia" w:ascii="宋体" w:hAnsi="宋体" w:cs="宋体"/>
                <w:kern w:val="2"/>
                <w:sz w:val="22"/>
                <w:szCs w:val="22"/>
                <w:highlight w:val="none"/>
                <w:lang w:eastAsia="zh-CN"/>
              </w:rPr>
              <w:t>磋商</w:t>
            </w:r>
            <w:r>
              <w:rPr>
                <w:rFonts w:hint="eastAsia" w:ascii="宋体" w:hAnsi="宋体" w:cs="宋体"/>
                <w:kern w:val="2"/>
                <w:sz w:val="22"/>
                <w:szCs w:val="22"/>
                <w:highlight w:val="none"/>
              </w:rPr>
              <w:t>保证金</w:t>
            </w:r>
          </w:p>
        </w:tc>
      </w:tr>
      <w:tr w14:paraId="2A02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301B12B7">
            <w:pPr>
              <w:widowControl w:val="0"/>
              <w:adjustRightInd w:val="0"/>
              <w:spacing w:line="360" w:lineRule="auto"/>
              <w:jc w:val="center"/>
              <w:rPr>
                <w:rFonts w:hint="default" w:ascii="宋体" w:hAnsi="宋体" w:cs="宋体" w:eastAsiaTheme="minorEastAsia"/>
                <w:spacing w:val="6"/>
                <w:kern w:val="2"/>
                <w:sz w:val="22"/>
                <w:szCs w:val="22"/>
                <w:lang w:val="en-US" w:eastAsia="zh-CN"/>
              </w:rPr>
            </w:pPr>
            <w:r>
              <w:rPr>
                <w:rFonts w:hint="eastAsia" w:ascii="宋体" w:hAnsi="宋体" w:cs="宋体"/>
                <w:spacing w:val="6"/>
                <w:kern w:val="2"/>
                <w:sz w:val="22"/>
                <w:szCs w:val="22"/>
                <w:lang w:val="en-US" w:eastAsia="zh-CN"/>
              </w:rPr>
              <w:t>17</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2E871670">
            <w:pPr>
              <w:widowControl w:val="0"/>
              <w:adjustRightInd w:val="0"/>
              <w:spacing w:line="360" w:lineRule="auto"/>
              <w:jc w:val="center"/>
              <w:rPr>
                <w:rFonts w:ascii="宋体" w:hAnsi="宋体" w:cs="宋体"/>
                <w:kern w:val="2"/>
                <w:sz w:val="22"/>
                <w:szCs w:val="22"/>
                <w:highlight w:val="none"/>
              </w:rPr>
            </w:pPr>
            <w:r>
              <w:rPr>
                <w:rFonts w:hint="eastAsia" w:ascii="宋体" w:hAnsi="宋体"/>
                <w:sz w:val="22"/>
                <w:szCs w:val="22"/>
              </w:rPr>
              <w:t>履约保证金</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EB6B316">
            <w:pPr>
              <w:widowControl w:val="0"/>
              <w:adjustRightInd w:val="0"/>
              <w:spacing w:line="360" w:lineRule="auto"/>
              <w:rPr>
                <w:rFonts w:hint="eastAsia" w:ascii="宋体" w:hAnsi="宋体" w:cs="宋体" w:eastAsiaTheme="minorEastAsia"/>
                <w:kern w:val="2"/>
                <w:sz w:val="22"/>
                <w:szCs w:val="22"/>
                <w:highlight w:val="none"/>
                <w:lang w:eastAsia="zh-CN"/>
              </w:rPr>
            </w:pPr>
            <w:r>
              <w:rPr>
                <w:rFonts w:hint="eastAsia" w:ascii="宋体" w:hAnsi="宋体"/>
                <w:kern w:val="0"/>
                <w:sz w:val="22"/>
                <w:szCs w:val="22"/>
                <w:highlight w:val="none"/>
                <w:lang w:val="en-US" w:eastAsia="zh-CN"/>
              </w:rPr>
              <w:t>不收取</w:t>
            </w:r>
          </w:p>
        </w:tc>
      </w:tr>
      <w:tr w14:paraId="2BFA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11A3E4A6">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lang w:val="en-US" w:eastAsia="zh-CN"/>
              </w:rPr>
              <w:t>8</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5D7043E5">
            <w:pPr>
              <w:widowControl w:val="0"/>
              <w:adjustRightInd w:val="0"/>
              <w:spacing w:line="360" w:lineRule="auto"/>
              <w:jc w:val="center"/>
              <w:rPr>
                <w:rFonts w:hint="eastAsia" w:ascii="宋体" w:hAnsi="宋体" w:cs="宋体" w:eastAsiaTheme="minorEastAsia"/>
                <w:kern w:val="2"/>
                <w:sz w:val="22"/>
                <w:szCs w:val="22"/>
                <w:lang w:eastAsia="zh-CN"/>
              </w:rPr>
            </w:pPr>
            <w:r>
              <w:rPr>
                <w:rFonts w:hint="eastAsia" w:ascii="宋体" w:hAnsi="宋体" w:cs="宋体"/>
                <w:kern w:val="2"/>
                <w:sz w:val="22"/>
                <w:szCs w:val="22"/>
              </w:rPr>
              <w:t>是否接受联合体</w:t>
            </w:r>
            <w:r>
              <w:rPr>
                <w:rFonts w:hint="eastAsia" w:ascii="宋体" w:hAnsi="宋体" w:cs="宋体"/>
                <w:kern w:val="2"/>
                <w:sz w:val="22"/>
                <w:szCs w:val="22"/>
                <w:lang w:eastAsia="zh-CN"/>
              </w:rPr>
              <w:t>磋商</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7C5C3F83">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不接受</w:t>
            </w:r>
          </w:p>
        </w:tc>
      </w:tr>
      <w:tr w14:paraId="538A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183A7CAD">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1</w:t>
            </w:r>
            <w:r>
              <w:rPr>
                <w:rFonts w:hint="eastAsia" w:ascii="宋体" w:hAnsi="宋体" w:cs="宋体"/>
                <w:spacing w:val="6"/>
                <w:kern w:val="2"/>
                <w:sz w:val="22"/>
                <w:szCs w:val="22"/>
                <w:lang w:val="en-US" w:eastAsia="zh-CN"/>
              </w:rPr>
              <w:t>9</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56F4CCC1">
            <w:pPr>
              <w:widowControl w:val="0"/>
              <w:adjustRightInd w:val="0"/>
              <w:spacing w:line="360" w:lineRule="auto"/>
              <w:jc w:val="center"/>
              <w:rPr>
                <w:rFonts w:ascii="宋体" w:hAnsi="宋体" w:cs="宋体"/>
                <w:kern w:val="2"/>
                <w:sz w:val="22"/>
                <w:szCs w:val="22"/>
                <w:highlight w:val="none"/>
              </w:rPr>
            </w:pPr>
            <w:r>
              <w:rPr>
                <w:rFonts w:ascii="宋体" w:hAnsi="宋体" w:cs="宋体"/>
                <w:kern w:val="2"/>
                <w:sz w:val="22"/>
                <w:szCs w:val="22"/>
                <w:highlight w:val="none"/>
              </w:rPr>
              <w:t>磋商小组的组建</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5AE2474F">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磋商小组构成：3人</w:t>
            </w:r>
            <w:r>
              <w:rPr>
                <w:rFonts w:hint="eastAsia" w:ascii="宋体" w:hAnsi="宋体" w:cs="宋体"/>
                <w:kern w:val="2"/>
                <w:sz w:val="22"/>
                <w:szCs w:val="22"/>
              </w:rPr>
              <w:t>，</w:t>
            </w:r>
            <w:r>
              <w:rPr>
                <w:rFonts w:hint="eastAsia" w:ascii="宋体" w:hAnsi="宋体" w:cs="宋体"/>
                <w:kern w:val="2"/>
                <w:sz w:val="22"/>
                <w:szCs w:val="22"/>
                <w:lang w:val="en-US" w:eastAsia="zh-CN"/>
              </w:rPr>
              <w:t>其中</w:t>
            </w:r>
            <w:r>
              <w:rPr>
                <w:rFonts w:hint="eastAsia" w:ascii="宋体" w:hAnsi="宋体" w:cs="宋体"/>
                <w:kern w:val="2"/>
                <w:sz w:val="22"/>
                <w:szCs w:val="22"/>
              </w:rPr>
              <w:t>采购人代表1人，其余评审专家</w:t>
            </w:r>
            <w:r>
              <w:rPr>
                <w:rFonts w:hint="eastAsia" w:ascii="宋体" w:hAnsi="宋体" w:cs="宋体"/>
                <w:kern w:val="2"/>
                <w:sz w:val="22"/>
                <w:szCs w:val="22"/>
                <w:lang w:val="en-US" w:eastAsia="zh-CN"/>
              </w:rPr>
              <w:t>2</w:t>
            </w:r>
            <w:r>
              <w:rPr>
                <w:rFonts w:hint="eastAsia" w:ascii="宋体" w:hAnsi="宋体" w:cs="宋体"/>
                <w:kern w:val="2"/>
                <w:sz w:val="22"/>
                <w:szCs w:val="22"/>
              </w:rPr>
              <w:t>人</w:t>
            </w:r>
          </w:p>
          <w:p w14:paraId="3F75CCD9">
            <w:pPr>
              <w:widowControl w:val="0"/>
              <w:adjustRightInd w:val="0"/>
              <w:spacing w:line="360" w:lineRule="auto"/>
              <w:rPr>
                <w:rFonts w:hint="eastAsia" w:ascii="宋体" w:hAnsi="宋体" w:cs="宋体"/>
                <w:kern w:val="2"/>
                <w:sz w:val="22"/>
                <w:szCs w:val="22"/>
              </w:rPr>
            </w:pPr>
            <w:r>
              <w:rPr>
                <w:rFonts w:hint="eastAsia" w:ascii="宋体" w:hAnsi="宋体" w:cs="宋体"/>
                <w:kern w:val="2"/>
                <w:sz w:val="22"/>
                <w:szCs w:val="22"/>
              </w:rPr>
              <w:t>评审专家确定方式:从河南省政府采购评标专家库中随机抽取。（采购人代表无</w:t>
            </w:r>
            <w:r>
              <w:rPr>
                <w:rFonts w:hint="eastAsia" w:ascii="宋体" w:hAnsi="宋体" w:cs="宋体"/>
                <w:kern w:val="2"/>
                <w:sz w:val="22"/>
                <w:szCs w:val="22"/>
                <w:lang w:val="en-US" w:eastAsia="zh-CN"/>
              </w:rPr>
              <w:t>评审</w:t>
            </w:r>
            <w:r>
              <w:rPr>
                <w:rFonts w:hint="eastAsia" w:ascii="宋体" w:hAnsi="宋体" w:cs="宋体"/>
                <w:kern w:val="2"/>
                <w:sz w:val="22"/>
                <w:szCs w:val="22"/>
              </w:rPr>
              <w:t>劳务费用）</w:t>
            </w:r>
          </w:p>
        </w:tc>
      </w:tr>
      <w:tr w14:paraId="1789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3706A1B3">
            <w:pPr>
              <w:widowControl w:val="0"/>
              <w:adjustRightInd w:val="0"/>
              <w:spacing w:line="360" w:lineRule="auto"/>
              <w:jc w:val="center"/>
              <w:rPr>
                <w:rFonts w:hint="default"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20</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57826726">
            <w:pPr>
              <w:widowControl w:val="0"/>
              <w:adjustRightInd w:val="0"/>
              <w:spacing w:line="360" w:lineRule="auto"/>
              <w:jc w:val="center"/>
              <w:rPr>
                <w:rFonts w:ascii="宋体" w:hAnsi="宋体" w:cs="宋体"/>
                <w:kern w:val="2"/>
                <w:sz w:val="22"/>
                <w:szCs w:val="22"/>
                <w:highlight w:val="none"/>
              </w:rPr>
            </w:pPr>
            <w:r>
              <w:rPr>
                <w:rFonts w:ascii="宋体" w:hAnsi="宋体" w:cs="宋体"/>
                <w:kern w:val="2"/>
                <w:sz w:val="22"/>
                <w:szCs w:val="22"/>
                <w:highlight w:val="none"/>
              </w:rPr>
              <w:t>评标标准及方法</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1545DDC8">
            <w:pPr>
              <w:widowControl w:val="0"/>
              <w:adjustRightInd w:val="0"/>
              <w:spacing w:line="360" w:lineRule="auto"/>
              <w:rPr>
                <w:rFonts w:ascii="宋体" w:hAnsi="宋体" w:cs="宋体"/>
                <w:kern w:val="2"/>
                <w:sz w:val="22"/>
                <w:szCs w:val="22"/>
                <w:highlight w:val="none"/>
              </w:rPr>
            </w:pPr>
            <w:r>
              <w:rPr>
                <w:rFonts w:ascii="宋体" w:hAnsi="宋体" w:cs="宋体"/>
                <w:kern w:val="2"/>
                <w:sz w:val="22"/>
                <w:szCs w:val="22"/>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14:paraId="4427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54032A4F">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1</w:t>
            </w:r>
          </w:p>
        </w:tc>
        <w:tc>
          <w:tcPr>
            <w:tcW w:w="129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4BB7D7E">
            <w:pPr>
              <w:widowControl w:val="0"/>
              <w:adjustRightInd w:val="0"/>
              <w:spacing w:line="360" w:lineRule="auto"/>
              <w:jc w:val="center"/>
              <w:rPr>
                <w:rFonts w:hint="eastAsia" w:ascii="宋体" w:hAnsi="宋体" w:cs="宋体"/>
                <w:spacing w:val="6"/>
                <w:kern w:val="2"/>
                <w:sz w:val="22"/>
                <w:szCs w:val="22"/>
                <w:lang w:val="en-US" w:eastAsia="zh-CN"/>
              </w:rPr>
            </w:pPr>
            <w:r>
              <w:rPr>
                <w:rFonts w:hint="eastAsia" w:ascii="宋体" w:hAnsi="宋体" w:cs="宋体"/>
                <w:spacing w:val="6"/>
                <w:kern w:val="2"/>
                <w:sz w:val="22"/>
                <w:szCs w:val="22"/>
              </w:rPr>
              <w:t>分包</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EC1668C">
            <w:pPr>
              <w:widowControl w:val="0"/>
              <w:adjustRightInd w:val="0"/>
              <w:spacing w:line="360" w:lineRule="auto"/>
              <w:jc w:val="left"/>
              <w:rPr>
                <w:rFonts w:hint="eastAsia" w:ascii="宋体" w:hAnsi="宋体" w:cs="宋体"/>
                <w:spacing w:val="6"/>
                <w:kern w:val="2"/>
                <w:sz w:val="22"/>
                <w:szCs w:val="22"/>
                <w:lang w:val="en-US" w:eastAsia="zh-CN"/>
              </w:rPr>
            </w:pPr>
            <w:r>
              <w:rPr>
                <w:rFonts w:hint="eastAsia" w:ascii="宋体" w:hAnsi="宋体" w:cs="宋体"/>
                <w:spacing w:val="6"/>
                <w:kern w:val="2"/>
                <w:sz w:val="22"/>
                <w:szCs w:val="22"/>
              </w:rPr>
              <w:t>不允许（转包、分包均不允许）</w:t>
            </w:r>
          </w:p>
        </w:tc>
      </w:tr>
      <w:tr w14:paraId="761A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0BE70347">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2</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05C7D2A9">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政府采购服务费</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5F28E52">
            <w:pPr>
              <w:widowControl w:val="0"/>
              <w:adjustRightInd w:val="0"/>
              <w:spacing w:line="360" w:lineRule="auto"/>
              <w:rPr>
                <w:rFonts w:hint="default" w:ascii="宋体" w:hAnsi="宋体" w:cs="宋体"/>
                <w:kern w:val="2"/>
                <w:sz w:val="22"/>
                <w:szCs w:val="22"/>
                <w:highlight w:val="none"/>
                <w:lang w:val="en-US" w:eastAsia="zh-CN"/>
              </w:rPr>
            </w:pPr>
            <w:r>
              <w:rPr>
                <w:rFonts w:hint="default" w:ascii="宋体" w:hAnsi="宋体" w:cs="宋体"/>
                <w:kern w:val="2"/>
                <w:sz w:val="22"/>
                <w:szCs w:val="22"/>
                <w:highlight w:val="none"/>
                <w:lang w:val="en-US" w:eastAsia="zh-CN"/>
              </w:rPr>
              <w:t>磋商代理服务收费参照豫招协[2023]002号河南省招标投标协会关于印发《河南省招标代理服务收费指导意见》规定的收费标准向成交单位收取。招标代理服务费由成交供应商在领取成交通知书时，以现金或转账的方式一次性向缴纳。</w:t>
            </w:r>
          </w:p>
          <w:p w14:paraId="3CB3BCC8">
            <w:pPr>
              <w:widowControl w:val="0"/>
              <w:adjustRightInd w:val="0"/>
              <w:spacing w:line="360" w:lineRule="auto"/>
              <w:rPr>
                <w:rFonts w:hint="default" w:ascii="宋体" w:hAnsi="宋体" w:cs="宋体"/>
                <w:kern w:val="2"/>
                <w:sz w:val="22"/>
                <w:szCs w:val="22"/>
                <w:highlight w:val="none"/>
                <w:lang w:val="en-US" w:eastAsia="zh-CN"/>
              </w:rPr>
            </w:pPr>
            <w:r>
              <w:rPr>
                <w:rFonts w:hint="default" w:ascii="宋体" w:hAnsi="宋体" w:cs="宋体"/>
                <w:kern w:val="2"/>
                <w:sz w:val="22"/>
                <w:szCs w:val="22"/>
                <w:highlight w:val="none"/>
                <w:lang w:val="en-US" w:eastAsia="zh-CN"/>
              </w:rPr>
              <w:t>账户:河南邦兴工程服务有限公司三门峡分公司</w:t>
            </w:r>
          </w:p>
          <w:p w14:paraId="3FFCA1BB">
            <w:pPr>
              <w:widowControl w:val="0"/>
              <w:adjustRightInd w:val="0"/>
              <w:spacing w:line="360" w:lineRule="auto"/>
              <w:rPr>
                <w:rFonts w:hint="default" w:ascii="宋体" w:hAnsi="宋体" w:cs="宋体"/>
                <w:kern w:val="2"/>
                <w:sz w:val="22"/>
                <w:szCs w:val="22"/>
                <w:highlight w:val="none"/>
                <w:lang w:val="en-US" w:eastAsia="zh-CN"/>
              </w:rPr>
            </w:pPr>
            <w:r>
              <w:rPr>
                <w:rFonts w:hint="default" w:ascii="宋体" w:hAnsi="宋体" w:cs="宋体"/>
                <w:kern w:val="2"/>
                <w:sz w:val="22"/>
                <w:szCs w:val="22"/>
                <w:highlight w:val="none"/>
                <w:lang w:val="en-US" w:eastAsia="zh-CN"/>
              </w:rPr>
              <w:t xml:space="preserve">账号：16174101040023257    </w:t>
            </w:r>
          </w:p>
          <w:p w14:paraId="731193FB">
            <w:pPr>
              <w:widowControl w:val="0"/>
              <w:adjustRightInd w:val="0"/>
              <w:spacing w:line="360" w:lineRule="auto"/>
              <w:rPr>
                <w:rFonts w:hint="default" w:eastAsiaTheme="minorEastAsia"/>
                <w:sz w:val="20"/>
                <w:szCs w:val="22"/>
                <w:lang w:val="en-US" w:eastAsia="zh-CN"/>
              </w:rPr>
            </w:pPr>
            <w:r>
              <w:rPr>
                <w:rFonts w:hint="default" w:ascii="宋体" w:hAnsi="宋体" w:cs="宋体"/>
                <w:kern w:val="2"/>
                <w:sz w:val="22"/>
                <w:szCs w:val="22"/>
                <w:highlight w:val="none"/>
                <w:lang w:val="en-US" w:eastAsia="zh-CN"/>
              </w:rPr>
              <w:t>开户银行:中国农业银行股份有限公司三门峡陕州支行</w:t>
            </w:r>
          </w:p>
        </w:tc>
      </w:tr>
      <w:tr w14:paraId="4FAB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790AC021">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3</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1114AEEB">
            <w:pPr>
              <w:widowControl w:val="0"/>
              <w:adjustRightInd w:val="0"/>
              <w:spacing w:line="360" w:lineRule="auto"/>
              <w:jc w:val="center"/>
              <w:rPr>
                <w:rFonts w:hint="eastAsia" w:ascii="宋体" w:hAnsi="宋体" w:cs="宋体" w:eastAsiaTheme="minorEastAsia"/>
                <w:kern w:val="2"/>
                <w:sz w:val="22"/>
                <w:szCs w:val="22"/>
                <w:lang w:eastAsia="zh-CN"/>
              </w:rPr>
            </w:pPr>
            <w:r>
              <w:rPr>
                <w:rFonts w:hint="eastAsia" w:ascii="宋体" w:hAnsi="宋体" w:cs="宋体"/>
                <w:kern w:val="2"/>
                <w:sz w:val="22"/>
                <w:szCs w:val="22"/>
                <w:lang w:val="en-US" w:eastAsia="zh-CN"/>
              </w:rPr>
              <w:t>磋商预备会</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769E1A5F">
            <w:pPr>
              <w:widowControl w:val="0"/>
              <w:adjustRightInd w:val="0"/>
              <w:spacing w:line="360" w:lineRule="auto"/>
              <w:rPr>
                <w:rFonts w:hint="eastAsia" w:ascii="宋体" w:hAnsi="宋体" w:cs="宋体" w:eastAsiaTheme="minorEastAsia"/>
                <w:kern w:val="2"/>
                <w:sz w:val="22"/>
                <w:szCs w:val="22"/>
                <w:lang w:eastAsia="zh-CN"/>
              </w:rPr>
            </w:pPr>
            <w:r>
              <w:rPr>
                <w:rFonts w:hint="eastAsia" w:ascii="宋体" w:hAnsi="宋体" w:cs="宋体"/>
                <w:kern w:val="2"/>
                <w:sz w:val="22"/>
                <w:szCs w:val="22"/>
                <w:lang w:val="en-US" w:eastAsia="zh-CN"/>
              </w:rPr>
              <w:t>不召开</w:t>
            </w:r>
          </w:p>
        </w:tc>
      </w:tr>
      <w:tr w14:paraId="1C32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6323AC6A">
            <w:pPr>
              <w:widowControl w:val="0"/>
              <w:adjustRightInd w:val="0"/>
              <w:spacing w:line="360" w:lineRule="auto"/>
              <w:jc w:val="center"/>
              <w:rPr>
                <w:rFonts w:hint="default" w:ascii="宋体" w:hAnsi="宋体" w:cs="宋体" w:eastAsiaTheme="minorEastAsia"/>
                <w:spacing w:val="6"/>
                <w:kern w:val="2"/>
                <w:sz w:val="22"/>
                <w:szCs w:val="22"/>
                <w:lang w:val="en-US" w:eastAsia="zh-CN"/>
              </w:rPr>
            </w:pPr>
            <w:r>
              <w:rPr>
                <w:rFonts w:hint="eastAsia" w:ascii="宋体" w:hAnsi="宋体" w:cs="宋体"/>
                <w:spacing w:val="6"/>
                <w:kern w:val="2"/>
                <w:sz w:val="22"/>
                <w:szCs w:val="22"/>
                <w:lang w:val="en-US" w:eastAsia="zh-CN"/>
              </w:rPr>
              <w:t>24</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7AD96746">
            <w:pPr>
              <w:widowControl w:val="0"/>
              <w:adjustRightInd w:val="0"/>
              <w:spacing w:line="360" w:lineRule="auto"/>
              <w:jc w:val="center"/>
              <w:rPr>
                <w:rFonts w:hint="eastAsia" w:ascii="宋体" w:hAnsi="宋体" w:cs="宋体"/>
                <w:kern w:val="2"/>
                <w:sz w:val="22"/>
                <w:szCs w:val="22"/>
                <w:lang w:val="en-US" w:eastAsia="zh-CN"/>
              </w:rPr>
            </w:pPr>
            <w:r>
              <w:rPr>
                <w:rFonts w:hint="eastAsia" w:ascii="宋体" w:hAnsi="宋体" w:cs="宋体"/>
                <w:kern w:val="2"/>
                <w:sz w:val="22"/>
                <w:szCs w:val="22"/>
                <w:lang w:val="en-US" w:eastAsia="zh-CN"/>
              </w:rPr>
              <w:t>踏勘现场</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77F0AA3E">
            <w:pPr>
              <w:widowControl w:val="0"/>
              <w:adjustRightInd w:val="0"/>
              <w:spacing w:line="360" w:lineRule="auto"/>
              <w:rPr>
                <w:rFonts w:hint="default" w:ascii="宋体" w:hAnsi="宋体" w:cs="宋体"/>
                <w:kern w:val="2"/>
                <w:sz w:val="22"/>
                <w:szCs w:val="22"/>
                <w:lang w:val="en-US" w:eastAsia="zh-CN"/>
              </w:rPr>
            </w:pPr>
            <w:r>
              <w:rPr>
                <w:rFonts w:hint="eastAsia" w:ascii="宋体" w:hAnsi="宋体" w:cs="宋体"/>
                <w:kern w:val="2"/>
                <w:sz w:val="22"/>
                <w:szCs w:val="22"/>
                <w:lang w:val="en-US" w:eastAsia="zh-CN"/>
              </w:rPr>
              <w:t>不组织</w:t>
            </w:r>
          </w:p>
        </w:tc>
      </w:tr>
      <w:tr w14:paraId="747E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2CDC3991">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5</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68F3DF53">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获取磋商文件时间</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DA0D877">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具体详见</w:t>
            </w:r>
            <w:r>
              <w:rPr>
                <w:rFonts w:hint="eastAsia" w:ascii="宋体" w:hAnsi="宋体" w:cs="宋体"/>
                <w:kern w:val="2"/>
                <w:sz w:val="22"/>
                <w:szCs w:val="22"/>
                <w:lang w:val="en-US" w:eastAsia="zh-CN"/>
              </w:rPr>
              <w:t>竞争性磋商</w:t>
            </w:r>
            <w:r>
              <w:rPr>
                <w:rFonts w:hint="eastAsia" w:ascii="宋体" w:hAnsi="宋体" w:cs="宋体"/>
                <w:kern w:val="2"/>
                <w:sz w:val="22"/>
                <w:szCs w:val="22"/>
              </w:rPr>
              <w:t>公告部分</w:t>
            </w:r>
          </w:p>
        </w:tc>
      </w:tr>
      <w:tr w14:paraId="21E3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265D3776">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6</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5967F8C1">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提交磋商文件截止时间</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3215272">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具体详见</w:t>
            </w:r>
            <w:r>
              <w:rPr>
                <w:rFonts w:hint="eastAsia" w:ascii="宋体" w:hAnsi="宋体" w:cs="宋体"/>
                <w:kern w:val="2"/>
                <w:sz w:val="22"/>
                <w:szCs w:val="22"/>
                <w:lang w:val="en-US" w:eastAsia="zh-CN"/>
              </w:rPr>
              <w:t>竞争性磋商</w:t>
            </w:r>
            <w:r>
              <w:rPr>
                <w:rFonts w:hint="eastAsia" w:ascii="宋体" w:hAnsi="宋体" w:cs="宋体"/>
                <w:kern w:val="2"/>
                <w:sz w:val="22"/>
                <w:szCs w:val="22"/>
              </w:rPr>
              <w:t>公告部分</w:t>
            </w:r>
          </w:p>
        </w:tc>
      </w:tr>
      <w:tr w14:paraId="3C21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42A4771E">
            <w:pPr>
              <w:widowControl w:val="0"/>
              <w:adjustRightInd w:val="0"/>
              <w:spacing w:line="360" w:lineRule="auto"/>
              <w:jc w:val="center"/>
              <w:rPr>
                <w:rFonts w:hint="default" w:ascii="宋体" w:hAnsi="宋体" w:cs="宋体" w:eastAsiaTheme="minorEastAsia"/>
                <w:spacing w:val="6"/>
                <w:kern w:val="2"/>
                <w:sz w:val="22"/>
                <w:szCs w:val="22"/>
                <w:lang w:val="en-US" w:eastAsia="zh-CN"/>
              </w:rPr>
            </w:pPr>
            <w:r>
              <w:rPr>
                <w:rFonts w:hint="eastAsia" w:ascii="宋体" w:hAnsi="宋体" w:cs="宋体"/>
                <w:spacing w:val="6"/>
                <w:kern w:val="2"/>
                <w:sz w:val="22"/>
                <w:szCs w:val="22"/>
                <w:lang w:val="en-US" w:eastAsia="zh-CN"/>
              </w:rPr>
              <w:t>27</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1BD47784">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是否允许递交备选</w:t>
            </w:r>
            <w:r>
              <w:rPr>
                <w:rFonts w:hint="eastAsia" w:ascii="宋体" w:hAnsi="宋体" w:cs="宋体"/>
                <w:kern w:val="2"/>
                <w:sz w:val="22"/>
                <w:szCs w:val="22"/>
                <w:lang w:eastAsia="zh-CN"/>
              </w:rPr>
              <w:t>磋商</w:t>
            </w:r>
            <w:r>
              <w:rPr>
                <w:rFonts w:hint="eastAsia" w:ascii="宋体" w:hAnsi="宋体" w:cs="宋体"/>
                <w:kern w:val="2"/>
                <w:sz w:val="22"/>
                <w:szCs w:val="22"/>
              </w:rPr>
              <w:t>方案</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9B8DBE6">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不允许</w:t>
            </w:r>
          </w:p>
        </w:tc>
      </w:tr>
      <w:tr w14:paraId="085F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5CCF9EE1">
            <w:pPr>
              <w:widowControl w:val="0"/>
              <w:adjustRightInd w:val="0"/>
              <w:spacing w:line="360" w:lineRule="auto"/>
              <w:jc w:val="center"/>
              <w:rPr>
                <w:rFonts w:hint="default" w:ascii="宋体" w:hAnsi="宋体" w:eastAsia="宋体" w:cs="宋体"/>
                <w:spacing w:val="6"/>
                <w:kern w:val="2"/>
                <w:sz w:val="22"/>
                <w:szCs w:val="22"/>
                <w:lang w:val="en-US" w:eastAsia="zh-CN"/>
              </w:rPr>
            </w:pPr>
            <w:r>
              <w:rPr>
                <w:rFonts w:hint="eastAsia" w:ascii="宋体" w:hAnsi="宋体" w:eastAsia="宋体" w:cs="宋体"/>
                <w:spacing w:val="6"/>
                <w:kern w:val="2"/>
                <w:sz w:val="22"/>
                <w:szCs w:val="22"/>
                <w:lang w:val="en-US" w:eastAsia="zh-CN"/>
              </w:rPr>
              <w:t>28</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5BA0D706">
            <w:pPr>
              <w:widowControl/>
              <w:jc w:val="center"/>
              <w:rPr>
                <w:rFonts w:ascii="宋体" w:hAnsi="宋体" w:cs="宋体"/>
                <w:kern w:val="2"/>
                <w:sz w:val="22"/>
                <w:szCs w:val="22"/>
                <w:highlight w:val="none"/>
              </w:rPr>
            </w:pPr>
            <w:r>
              <w:rPr>
                <w:rFonts w:hint="eastAsia" w:ascii="宋体" w:hAnsi="宋体"/>
                <w:sz w:val="22"/>
                <w:szCs w:val="22"/>
                <w:highlight w:val="none"/>
                <w:lang w:val="en-US" w:eastAsia="zh-CN"/>
              </w:rPr>
              <w:t>磋商</w:t>
            </w:r>
            <w:r>
              <w:rPr>
                <w:rFonts w:hint="eastAsia" w:ascii="宋体" w:hAnsi="宋体"/>
                <w:sz w:val="22"/>
                <w:szCs w:val="22"/>
                <w:highlight w:val="none"/>
              </w:rPr>
              <w:t>报价的其他要求</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CA43191">
            <w:pPr>
              <w:spacing w:line="360" w:lineRule="auto"/>
              <w:jc w:val="left"/>
              <w:rPr>
                <w:rFonts w:hint="eastAsia"/>
                <w:lang w:val="en-US" w:eastAsia="zh-CN"/>
              </w:rPr>
            </w:pPr>
            <w:r>
              <w:rPr>
                <w:rFonts w:hint="eastAsia" w:ascii="宋体" w:hAnsi="宋体" w:eastAsia="宋体" w:cs="宋体"/>
                <w:b/>
                <w:bCs/>
                <w:sz w:val="22"/>
                <w:szCs w:val="22"/>
                <w:highlight w:val="none"/>
                <w:lang w:eastAsia="zh-CN"/>
              </w:rPr>
              <w:t>本项目</w:t>
            </w:r>
            <w:r>
              <w:rPr>
                <w:rFonts w:hint="eastAsia" w:ascii="宋体" w:hAnsi="宋体" w:cs="宋体"/>
                <w:b/>
                <w:bCs/>
                <w:kern w:val="2"/>
                <w:sz w:val="22"/>
                <w:szCs w:val="22"/>
                <w:highlight w:val="none"/>
                <w:lang w:val="en-US" w:eastAsia="zh-CN"/>
              </w:rPr>
              <w:t>允许二次报价。</w:t>
            </w:r>
          </w:p>
          <w:p w14:paraId="1AB7114C">
            <w:pPr>
              <w:pStyle w:val="34"/>
              <w:numPr>
                <w:ilvl w:val="0"/>
                <w:numId w:val="0"/>
              </w:numPr>
              <w:spacing w:before="118" w:line="366" w:lineRule="auto"/>
              <w:ind w:right="111" w:rightChars="0" w:firstLine="482" w:firstLineChars="200"/>
              <w:jc w:val="both"/>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注：1.因电子交易系统规则限制，本次磋商采用总价形式提交电子报价，项目成交后，按实际配送金额对应折扣率办理结算。</w:t>
            </w:r>
          </w:p>
          <w:p w14:paraId="5A0AD9B4">
            <w:pPr>
              <w:pStyle w:val="34"/>
              <w:numPr>
                <w:ilvl w:val="0"/>
                <w:numId w:val="0"/>
              </w:numPr>
              <w:spacing w:before="118" w:line="366" w:lineRule="auto"/>
              <w:ind w:right="111" w:rightChars="0" w:firstLine="482" w:firstLineChars="200"/>
              <w:jc w:val="both"/>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 xml:space="preserve">结算计算公式：最终报价÷磋商控制价×100，计算结果四舍五入保留两位小数。 </w:t>
            </w:r>
          </w:p>
          <w:p w14:paraId="5F2A806D">
            <w:pPr>
              <w:pStyle w:val="34"/>
              <w:numPr>
                <w:ilvl w:val="0"/>
                <w:numId w:val="0"/>
              </w:numPr>
              <w:spacing w:before="118" w:line="366" w:lineRule="auto"/>
              <w:ind w:right="111" w:rightChars="0" w:firstLine="482" w:firstLineChars="200"/>
              <w:jc w:val="both"/>
              <w:rPr>
                <w:rFonts w:hint="eastAsia" w:cs="宋体"/>
                <w:b/>
                <w:bCs/>
                <w:kern w:val="2"/>
                <w:sz w:val="24"/>
                <w:szCs w:val="24"/>
                <w:highlight w:val="cyan"/>
                <w:lang w:val="en-US" w:eastAsia="zh-CN"/>
              </w:rPr>
            </w:pPr>
            <w:r>
              <w:rPr>
                <w:rFonts w:hint="eastAsia" w:cs="宋体"/>
                <w:b/>
                <w:bCs/>
                <w:kern w:val="2"/>
                <w:sz w:val="24"/>
                <w:szCs w:val="24"/>
                <w:highlight w:val="none"/>
                <w:lang w:val="en-US" w:eastAsia="zh-CN"/>
              </w:rPr>
              <w:t>示例：最终报价1000000元，磋商控制价1100000元，结算折扣=1000000÷1100000×100≈91.00%。</w:t>
            </w:r>
          </w:p>
          <w:p w14:paraId="3928B9DF">
            <w:pPr>
              <w:pStyle w:val="34"/>
              <w:numPr>
                <w:ilvl w:val="0"/>
                <w:numId w:val="0"/>
              </w:numPr>
              <w:spacing w:before="118" w:line="366" w:lineRule="auto"/>
              <w:ind w:right="111" w:rightChars="0" w:firstLine="440" w:firstLineChars="200"/>
              <w:jc w:val="both"/>
              <w:rPr>
                <w:rFonts w:hint="eastAsia" w:ascii="宋体" w:hAnsi="宋体" w:eastAsia="宋体" w:cs="宋体"/>
                <w:kern w:val="0"/>
                <w:sz w:val="22"/>
                <w:szCs w:val="22"/>
                <w:highlight w:val="none"/>
                <w:lang w:val="en-US" w:eastAsia="zh-CN"/>
              </w:rPr>
            </w:pPr>
            <w:r>
              <w:rPr>
                <w:rFonts w:hint="eastAsia" w:cs="宋体"/>
                <w:kern w:val="2"/>
                <w:sz w:val="22"/>
                <w:szCs w:val="22"/>
                <w:highlight w:val="none"/>
                <w:lang w:val="en-US" w:eastAsia="zh-CN"/>
              </w:rPr>
              <w:t>2.</w:t>
            </w:r>
            <w:r>
              <w:rPr>
                <w:rFonts w:hint="eastAsia" w:ascii="宋体" w:hAnsi="宋体" w:eastAsia="宋体" w:cs="宋体"/>
                <w:kern w:val="0"/>
                <w:sz w:val="22"/>
                <w:szCs w:val="22"/>
                <w:highlight w:val="none"/>
                <w:lang w:val="en-US" w:eastAsia="zh-CN"/>
              </w:rPr>
              <w:t>成交折扣在整个合同执行过程中，不因国家政策变化而变动。根据成交折扣计算出的实际支付金额包含所供货物价格、运送到甲方指定地点所发生的运费、装卸费、调换等环节所发生的费用及其他相关费用和所需缴纳的一切相关税费。实际支付金额不得超过该项目预算金额。</w:t>
            </w:r>
          </w:p>
          <w:p w14:paraId="6571CCC8">
            <w:pPr>
              <w:pStyle w:val="34"/>
              <w:spacing w:before="118" w:line="366" w:lineRule="auto"/>
              <w:ind w:left="118" w:right="111" w:firstLine="485"/>
              <w:jc w:val="both"/>
              <w:rPr>
                <w:rFonts w:hint="eastAsia" w:ascii="宋体" w:hAnsi="宋体" w:eastAsia="宋体" w:cs="宋体"/>
                <w:b/>
                <w:bCs/>
                <w:spacing w:val="-3"/>
                <w:sz w:val="22"/>
                <w:szCs w:val="22"/>
                <w:highlight w:val="none"/>
              </w:rPr>
            </w:pPr>
            <w:r>
              <w:rPr>
                <w:rFonts w:hint="eastAsia" w:ascii="宋体" w:hAnsi="宋体" w:eastAsia="宋体" w:cs="宋体"/>
                <w:b w:val="0"/>
                <w:bCs w:val="0"/>
                <w:spacing w:val="-3"/>
                <w:sz w:val="22"/>
                <w:szCs w:val="22"/>
                <w:highlight w:val="none"/>
                <w:lang w:val="en-US" w:eastAsia="zh-CN"/>
              </w:rPr>
              <w:t>综合执行单价=（三门峡市发展和改革委员会同期公布的三门峡市重要农副产品每日价格表单价×70%+供应商报价×30%）×成交折扣</w:t>
            </w:r>
          </w:p>
          <w:p w14:paraId="2517D06F">
            <w:pPr>
              <w:keepNext w:val="0"/>
              <w:keepLines w:val="0"/>
              <w:pageBreakBefore w:val="0"/>
              <w:widowControl w:val="0"/>
              <w:kinsoku/>
              <w:wordWrap/>
              <w:overflowPunct w:val="0"/>
              <w:topLinePunct w:val="0"/>
              <w:autoSpaceDE/>
              <w:autoSpaceDN/>
              <w:bidi w:val="0"/>
              <w:adjustRightInd w:val="0"/>
              <w:snapToGrid w:val="0"/>
              <w:spacing w:line="360" w:lineRule="auto"/>
              <w:ind w:right="0" w:firstLine="420" w:firstLineChars="200"/>
              <w:jc w:val="left"/>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snapToGrid w:val="0"/>
                <w:color w:val="000000"/>
                <w:spacing w:val="-5"/>
                <w:kern w:val="0"/>
                <w:sz w:val="22"/>
                <w:szCs w:val="22"/>
                <w:highlight w:val="none"/>
                <w:lang w:val="en-US" w:eastAsia="zh-CN"/>
              </w:rPr>
              <w:t>3</w:t>
            </w:r>
            <w:r>
              <w:rPr>
                <w:rFonts w:hint="eastAsia" w:ascii="宋体" w:hAnsi="宋体" w:eastAsia="宋体" w:cs="宋体"/>
                <w:color w:val="000000"/>
                <w:kern w:val="2"/>
                <w:sz w:val="22"/>
                <w:szCs w:val="22"/>
                <w:highlight w:val="none"/>
                <w:lang w:val="en-US" w:eastAsia="zh-CN" w:bidi="ar-SA"/>
              </w:rPr>
              <w:t>.依据三门峡市发展和改革委员会同期公布的三门峡市重要农副产品价格表，最终确定的综合执行单价最高不得高于三门峡市发展和改革委员会同期公布的三门峡市重要农副产品价格表单价的10%。</w:t>
            </w:r>
          </w:p>
          <w:p w14:paraId="2BEFAF4C">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40" w:firstLineChars="200"/>
              <w:jc w:val="left"/>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4.其中三门峡市发展和改革委员会同期公布的三门峡市重要农副产品每日价格表中存在未列明的重要农副产品，综合执行单价按照如下公式计算：</w:t>
            </w:r>
          </w:p>
          <w:p w14:paraId="4BF8E943">
            <w:pPr>
              <w:widowControl/>
              <w:spacing w:line="440" w:lineRule="exact"/>
              <w:ind w:firstLine="440" w:firstLineChars="200"/>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综合执行单价=（本地批发1市场调研单价×40%+本地批发2市场调研单价×30%+供应商报价×30%）×成交折扣</w:t>
            </w:r>
          </w:p>
          <w:p w14:paraId="61BA1CCE">
            <w:pPr>
              <w:widowControl/>
              <w:spacing w:line="440" w:lineRule="exact"/>
              <w:ind w:firstLine="440" w:firstLineChars="200"/>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4.磋商（报价）货物执行标准</w:t>
            </w:r>
          </w:p>
          <w:p w14:paraId="3B1AEC70">
            <w:pPr>
              <w:spacing w:line="360" w:lineRule="auto"/>
              <w:ind w:firstLine="440" w:firstLineChars="200"/>
              <w:jc w:val="left"/>
              <w:rPr>
                <w:rFonts w:hint="default" w:eastAsiaTheme="minorEastAsia"/>
                <w:sz w:val="20"/>
                <w:szCs w:val="22"/>
                <w:highlight w:val="none"/>
                <w:lang w:val="en-US" w:eastAsia="zh-CN"/>
              </w:rPr>
            </w:pPr>
            <w:r>
              <w:rPr>
                <w:rFonts w:hint="eastAsia" w:ascii="宋体" w:hAnsi="宋体" w:eastAsia="宋体" w:cs="宋体"/>
                <w:color w:val="000000"/>
                <w:kern w:val="2"/>
                <w:sz w:val="22"/>
                <w:szCs w:val="22"/>
                <w:highlight w:val="none"/>
                <w:lang w:val="en-US" w:eastAsia="zh-CN" w:bidi="ar-SA"/>
              </w:rPr>
              <w:t>食用禽蛋执行 GB 4789.1-2016 国家标准、蔬菜符合质量安全要求。</w:t>
            </w:r>
          </w:p>
        </w:tc>
      </w:tr>
      <w:tr w14:paraId="5FB3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1D23A1B5">
            <w:pPr>
              <w:widowControl w:val="0"/>
              <w:adjustRightInd w:val="0"/>
              <w:spacing w:line="360" w:lineRule="auto"/>
              <w:jc w:val="center"/>
              <w:rPr>
                <w:rFonts w:hint="default"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lang w:val="en-US" w:eastAsia="zh-CN"/>
              </w:rPr>
              <w:t>29</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2D502B35">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是否授权评审小组确定</w:t>
            </w:r>
            <w:r>
              <w:rPr>
                <w:rFonts w:hint="eastAsia" w:ascii="宋体" w:hAnsi="宋体" w:cs="宋体"/>
                <w:kern w:val="2"/>
                <w:sz w:val="22"/>
                <w:szCs w:val="22"/>
                <w:lang w:eastAsia="zh-CN"/>
              </w:rPr>
              <w:t>成交</w:t>
            </w:r>
            <w:r>
              <w:rPr>
                <w:rFonts w:hint="eastAsia" w:ascii="宋体" w:hAnsi="宋体" w:cs="宋体"/>
                <w:kern w:val="2"/>
                <w:sz w:val="22"/>
                <w:szCs w:val="22"/>
              </w:rPr>
              <w:t>人</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9FAE6E6">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否，推荐3名</w:t>
            </w:r>
            <w:r>
              <w:rPr>
                <w:rFonts w:hint="eastAsia" w:ascii="宋体" w:hAnsi="宋体" w:cs="宋体"/>
                <w:kern w:val="2"/>
                <w:sz w:val="22"/>
                <w:szCs w:val="22"/>
                <w:lang w:eastAsia="zh-CN"/>
              </w:rPr>
              <w:t>成交</w:t>
            </w:r>
            <w:r>
              <w:rPr>
                <w:rFonts w:hint="eastAsia" w:ascii="宋体" w:hAnsi="宋体" w:cs="宋体"/>
                <w:kern w:val="2"/>
                <w:sz w:val="22"/>
                <w:szCs w:val="22"/>
              </w:rPr>
              <w:t>候选人；若排名第一的</w:t>
            </w:r>
            <w:r>
              <w:rPr>
                <w:rFonts w:hint="eastAsia" w:ascii="宋体" w:hAnsi="宋体" w:cs="宋体"/>
                <w:kern w:val="2"/>
                <w:sz w:val="22"/>
                <w:szCs w:val="22"/>
                <w:lang w:eastAsia="zh-CN"/>
              </w:rPr>
              <w:t>成交</w:t>
            </w:r>
            <w:r>
              <w:rPr>
                <w:rFonts w:hint="eastAsia" w:ascii="宋体" w:hAnsi="宋体" w:cs="宋体"/>
                <w:kern w:val="2"/>
                <w:sz w:val="22"/>
                <w:szCs w:val="22"/>
              </w:rPr>
              <w:t>候选人自愿放弃</w:t>
            </w:r>
            <w:r>
              <w:rPr>
                <w:rFonts w:hint="eastAsia" w:ascii="宋体" w:hAnsi="宋体" w:cs="宋体"/>
                <w:kern w:val="2"/>
                <w:sz w:val="22"/>
                <w:szCs w:val="22"/>
                <w:lang w:eastAsia="zh-CN"/>
              </w:rPr>
              <w:t>成交</w:t>
            </w:r>
            <w:r>
              <w:rPr>
                <w:rFonts w:hint="eastAsia" w:ascii="宋体" w:hAnsi="宋体" w:cs="宋体"/>
                <w:kern w:val="2"/>
                <w:sz w:val="22"/>
                <w:szCs w:val="22"/>
              </w:rPr>
              <w:t>、或因不可抗力不能履行合同、或被查实存在影响</w:t>
            </w:r>
            <w:r>
              <w:rPr>
                <w:rFonts w:hint="eastAsia" w:ascii="宋体" w:hAnsi="宋体" w:cs="宋体"/>
                <w:kern w:val="2"/>
                <w:sz w:val="22"/>
                <w:szCs w:val="22"/>
                <w:lang w:eastAsia="zh-CN"/>
              </w:rPr>
              <w:t>成交</w:t>
            </w:r>
            <w:r>
              <w:rPr>
                <w:rFonts w:hint="eastAsia" w:ascii="宋体" w:hAnsi="宋体" w:cs="宋体"/>
                <w:kern w:val="2"/>
                <w:sz w:val="22"/>
                <w:szCs w:val="22"/>
              </w:rPr>
              <w:t>结果的违法行为等情形，不符合</w:t>
            </w:r>
            <w:r>
              <w:rPr>
                <w:rFonts w:hint="eastAsia" w:ascii="宋体" w:hAnsi="宋体" w:cs="宋体"/>
                <w:kern w:val="2"/>
                <w:sz w:val="22"/>
                <w:szCs w:val="22"/>
                <w:lang w:eastAsia="zh-CN"/>
              </w:rPr>
              <w:t>成交</w:t>
            </w:r>
            <w:r>
              <w:rPr>
                <w:rFonts w:hint="eastAsia" w:ascii="宋体" w:hAnsi="宋体" w:cs="宋体"/>
                <w:kern w:val="2"/>
                <w:sz w:val="22"/>
                <w:szCs w:val="22"/>
              </w:rPr>
              <w:t>条件的，采购人可按照评审小组推荐的</w:t>
            </w:r>
            <w:r>
              <w:rPr>
                <w:rFonts w:hint="eastAsia" w:ascii="宋体" w:hAnsi="宋体" w:cs="宋体"/>
                <w:kern w:val="2"/>
                <w:sz w:val="22"/>
                <w:szCs w:val="22"/>
                <w:lang w:eastAsia="zh-CN"/>
              </w:rPr>
              <w:t>成交</w:t>
            </w:r>
            <w:r>
              <w:rPr>
                <w:rFonts w:hint="eastAsia" w:ascii="宋体" w:hAnsi="宋体" w:cs="宋体"/>
                <w:kern w:val="2"/>
                <w:sz w:val="22"/>
                <w:szCs w:val="22"/>
              </w:rPr>
              <w:t>候选人名单排序依次确定</w:t>
            </w:r>
            <w:r>
              <w:rPr>
                <w:rFonts w:hint="eastAsia" w:ascii="宋体" w:hAnsi="宋体" w:cs="宋体"/>
                <w:kern w:val="2"/>
                <w:sz w:val="22"/>
                <w:szCs w:val="22"/>
                <w:lang w:eastAsia="zh-CN"/>
              </w:rPr>
              <w:t>成交</w:t>
            </w:r>
            <w:r>
              <w:rPr>
                <w:rFonts w:hint="eastAsia" w:ascii="宋体" w:hAnsi="宋体" w:cs="宋体"/>
                <w:kern w:val="2"/>
                <w:sz w:val="22"/>
                <w:szCs w:val="22"/>
              </w:rPr>
              <w:t>人</w:t>
            </w:r>
          </w:p>
        </w:tc>
      </w:tr>
      <w:tr w14:paraId="4762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4F8E90C1">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30</w:t>
            </w:r>
          </w:p>
        </w:tc>
        <w:tc>
          <w:tcPr>
            <w:tcW w:w="129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96E0DC">
            <w:pPr>
              <w:spacing w:line="360" w:lineRule="auto"/>
              <w:jc w:val="center"/>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响应文件递交</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0E275B48">
            <w:pPr>
              <w:spacing w:line="360" w:lineRule="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电子响应文件的电子版用企业和法人CA数字证书在磋商截止时间前上传至“三门峡市公共资源交易中心网站”。</w:t>
            </w:r>
          </w:p>
        </w:tc>
      </w:tr>
      <w:tr w14:paraId="73B8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23E4D5B0">
            <w:pPr>
              <w:widowControl w:val="0"/>
              <w:adjustRightInd w:val="0"/>
              <w:spacing w:line="360" w:lineRule="auto"/>
              <w:jc w:val="center"/>
              <w:rPr>
                <w:rFonts w:hint="default"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lang w:val="en-US" w:eastAsia="zh-CN"/>
              </w:rPr>
              <w:t>31</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743878EE">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lang w:val="en-US" w:eastAsia="zh-CN"/>
              </w:rPr>
              <w:t>磋商</w:t>
            </w:r>
            <w:r>
              <w:rPr>
                <w:rFonts w:hint="eastAsia" w:ascii="宋体" w:hAnsi="宋体" w:cs="宋体"/>
                <w:kern w:val="2"/>
                <w:sz w:val="22"/>
                <w:szCs w:val="22"/>
              </w:rPr>
              <w:t>时间和地点</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7801EE39">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开标时间：</w:t>
            </w:r>
            <w:r>
              <w:rPr>
                <w:rFonts w:hint="eastAsia" w:ascii="宋体" w:hAnsi="宋体" w:cs="宋体"/>
                <w:kern w:val="2"/>
                <w:sz w:val="22"/>
                <w:szCs w:val="22"/>
                <w:lang w:val="en-US" w:eastAsia="zh-CN"/>
              </w:rPr>
              <w:t>详见公告部分</w:t>
            </w:r>
          </w:p>
          <w:p w14:paraId="1BDC85E9">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开标地点：</w:t>
            </w:r>
            <w:r>
              <w:rPr>
                <w:rFonts w:hint="eastAsia" w:ascii="宋体" w:hAnsi="宋体" w:cs="宋体"/>
                <w:kern w:val="2"/>
                <w:sz w:val="22"/>
                <w:szCs w:val="22"/>
                <w:lang w:val="en-US" w:eastAsia="zh-CN"/>
              </w:rPr>
              <w:t>详见公告部分</w:t>
            </w:r>
          </w:p>
        </w:tc>
      </w:tr>
      <w:tr w14:paraId="5C42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21" w:type="dxa"/>
            <w:vMerge w:val="restart"/>
            <w:tcBorders>
              <w:top w:val="single" w:color="auto" w:sz="6" w:space="0"/>
              <w:left w:val="single" w:color="auto" w:sz="12" w:space="0"/>
              <w:right w:val="single" w:color="auto" w:sz="6" w:space="0"/>
            </w:tcBorders>
            <w:noWrap w:val="0"/>
            <w:vAlign w:val="center"/>
          </w:tcPr>
          <w:p w14:paraId="21F8EEFA">
            <w:pPr>
              <w:widowControl w:val="0"/>
              <w:adjustRightInd w:val="0"/>
              <w:spacing w:line="360" w:lineRule="auto"/>
              <w:jc w:val="center"/>
              <w:rPr>
                <w:rFonts w:hint="default" w:ascii="宋体" w:hAnsi="宋体" w:eastAsia="宋体" w:cs="宋体"/>
                <w:spacing w:val="6"/>
                <w:kern w:val="2"/>
                <w:sz w:val="22"/>
                <w:szCs w:val="22"/>
                <w:lang w:val="en-US" w:eastAsia="zh-CN"/>
              </w:rPr>
            </w:pPr>
            <w:r>
              <w:rPr>
                <w:rFonts w:hint="eastAsia" w:ascii="宋体" w:hAnsi="宋体" w:cs="宋体"/>
                <w:spacing w:val="6"/>
                <w:kern w:val="2"/>
                <w:sz w:val="22"/>
                <w:szCs w:val="22"/>
                <w:lang w:val="en-US" w:eastAsia="zh-CN"/>
              </w:rPr>
              <w:t>32</w:t>
            </w:r>
          </w:p>
        </w:tc>
        <w:tc>
          <w:tcPr>
            <w:tcW w:w="1292" w:type="dxa"/>
            <w:vMerge w:val="restart"/>
            <w:tcBorders>
              <w:top w:val="single" w:color="auto" w:sz="6" w:space="0"/>
              <w:left w:val="single" w:color="auto" w:sz="6" w:space="0"/>
              <w:right w:val="single" w:color="auto" w:sz="6" w:space="0"/>
            </w:tcBorders>
            <w:noWrap w:val="0"/>
            <w:vAlign w:val="center"/>
          </w:tcPr>
          <w:p w14:paraId="2B796F7B">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供应商提出问题的截止时间</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5186EEC9">
            <w:pPr>
              <w:spacing w:line="480" w:lineRule="exact"/>
              <w:rPr>
                <w:rFonts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sz w:val="22"/>
                <w:szCs w:val="22"/>
              </w:rPr>
              <w:t>时间：提交首次响应文件截止时间前</w:t>
            </w:r>
            <w:r>
              <w:rPr>
                <w:rFonts w:ascii="宋体" w:hAnsi="宋体"/>
                <w:sz w:val="22"/>
                <w:szCs w:val="22"/>
                <w:u w:val="single"/>
              </w:rPr>
              <w:t>5</w:t>
            </w:r>
            <w:r>
              <w:rPr>
                <w:rFonts w:hint="eastAsia" w:ascii="宋体" w:hAnsi="宋体"/>
                <w:sz w:val="22"/>
                <w:szCs w:val="22"/>
              </w:rPr>
              <w:t>日</w:t>
            </w:r>
          </w:p>
        </w:tc>
      </w:tr>
      <w:tr w14:paraId="7B0C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21" w:type="dxa"/>
            <w:vMerge w:val="continue"/>
            <w:tcBorders>
              <w:left w:val="single" w:color="auto" w:sz="12" w:space="0"/>
              <w:bottom w:val="single" w:color="auto" w:sz="6" w:space="0"/>
              <w:right w:val="single" w:color="auto" w:sz="6" w:space="0"/>
            </w:tcBorders>
            <w:noWrap w:val="0"/>
            <w:vAlign w:val="center"/>
          </w:tcPr>
          <w:p w14:paraId="724E65F0">
            <w:pPr>
              <w:widowControl w:val="0"/>
              <w:adjustRightInd w:val="0"/>
              <w:spacing w:line="360" w:lineRule="auto"/>
              <w:rPr>
                <w:sz w:val="20"/>
                <w:szCs w:val="22"/>
              </w:rPr>
            </w:pPr>
          </w:p>
        </w:tc>
        <w:tc>
          <w:tcPr>
            <w:tcW w:w="1292" w:type="dxa"/>
            <w:vMerge w:val="continue"/>
            <w:tcBorders>
              <w:left w:val="single" w:color="auto" w:sz="6" w:space="0"/>
              <w:bottom w:val="single" w:color="auto" w:sz="6" w:space="0"/>
              <w:right w:val="single" w:color="auto" w:sz="6" w:space="0"/>
            </w:tcBorders>
            <w:noWrap w:val="0"/>
            <w:vAlign w:val="center"/>
          </w:tcPr>
          <w:p w14:paraId="7265052F">
            <w:pPr>
              <w:widowControl w:val="0"/>
              <w:adjustRightInd w:val="0"/>
              <w:spacing w:line="360" w:lineRule="auto"/>
              <w:rPr>
                <w:sz w:val="20"/>
                <w:szCs w:val="22"/>
              </w:rPr>
            </w:pP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815CD3C">
            <w:pPr>
              <w:spacing w:line="480" w:lineRule="exact"/>
              <w:rPr>
                <w:rFonts w:ascii="宋体" w:hAnsi="宋体" w:eastAsiaTheme="minorEastAsia" w:cstheme="minorBidi"/>
                <w:kern w:val="2"/>
                <w:sz w:val="22"/>
                <w:szCs w:val="22"/>
                <w:lang w:val="en-US" w:eastAsia="zh-CN" w:bidi="ar-SA"/>
              </w:rPr>
            </w:pPr>
            <w:r>
              <w:rPr>
                <w:rFonts w:hint="eastAsia" w:ascii="宋体" w:hAnsi="宋体"/>
                <w:sz w:val="22"/>
                <w:szCs w:val="22"/>
              </w:rPr>
              <w:t>形式：在三门峡市公共资源交易中心系统平台提出</w:t>
            </w:r>
          </w:p>
        </w:tc>
      </w:tr>
      <w:tr w14:paraId="748A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21" w:type="dxa"/>
            <w:tcBorders>
              <w:left w:val="single" w:color="auto" w:sz="12" w:space="0"/>
              <w:bottom w:val="single" w:color="auto" w:sz="6" w:space="0"/>
              <w:right w:val="single" w:color="auto" w:sz="6" w:space="0"/>
            </w:tcBorders>
            <w:noWrap w:val="0"/>
            <w:vAlign w:val="center"/>
          </w:tcPr>
          <w:p w14:paraId="6B7417F0">
            <w:pPr>
              <w:widowControl w:val="0"/>
              <w:adjustRightInd w:val="0"/>
              <w:spacing w:line="360" w:lineRule="auto"/>
              <w:jc w:val="center"/>
              <w:rPr>
                <w:rFonts w:hint="default" w:eastAsiaTheme="minorEastAsia"/>
                <w:sz w:val="21"/>
                <w:szCs w:val="24"/>
                <w:lang w:val="en-US" w:eastAsia="zh-CN"/>
              </w:rPr>
            </w:pPr>
            <w:r>
              <w:rPr>
                <w:rFonts w:hint="eastAsia" w:asciiTheme="minorEastAsia" w:hAnsiTheme="minorEastAsia" w:eastAsiaTheme="minorEastAsia" w:cstheme="minorEastAsia"/>
                <w:sz w:val="22"/>
                <w:szCs w:val="28"/>
                <w:lang w:val="en-US" w:eastAsia="zh-CN"/>
              </w:rPr>
              <w:t>33</w:t>
            </w:r>
          </w:p>
        </w:tc>
        <w:tc>
          <w:tcPr>
            <w:tcW w:w="1292" w:type="dxa"/>
            <w:tcBorders>
              <w:left w:val="single" w:color="auto" w:sz="6" w:space="0"/>
              <w:bottom w:val="single" w:color="auto" w:sz="6" w:space="0"/>
              <w:right w:val="single" w:color="auto" w:sz="6" w:space="0"/>
            </w:tcBorders>
            <w:shd w:val="clear" w:color="auto" w:fill="auto"/>
            <w:noWrap w:val="0"/>
            <w:vAlign w:val="center"/>
          </w:tcPr>
          <w:p w14:paraId="13361C4C">
            <w:pPr>
              <w:spacing w:line="360" w:lineRule="auto"/>
              <w:jc w:val="center"/>
              <w:rPr>
                <w:rFonts w:ascii="宋体" w:hAnsi="宋体" w:eastAsiaTheme="minorEastAsia" w:cstheme="minorBidi"/>
                <w:kern w:val="2"/>
                <w:sz w:val="22"/>
                <w:szCs w:val="22"/>
                <w:lang w:val="en-US" w:eastAsia="zh-CN" w:bidi="ar-SA"/>
              </w:rPr>
            </w:pPr>
            <w:r>
              <w:rPr>
                <w:rFonts w:hint="eastAsia" w:ascii="宋体" w:hAnsi="宋体"/>
                <w:sz w:val="22"/>
                <w:szCs w:val="22"/>
              </w:rPr>
              <w:t>竞争性磋商文件澄清发出的形式</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00E09695">
            <w:pPr>
              <w:spacing w:line="480" w:lineRule="exact"/>
              <w:rPr>
                <w:rFonts w:hint="eastAsia" w:ascii="宋体" w:hAnsi="宋体" w:eastAsiaTheme="minorEastAsia" w:cstheme="minorBidi"/>
                <w:kern w:val="2"/>
                <w:sz w:val="22"/>
                <w:szCs w:val="22"/>
                <w:lang w:val="en-US" w:eastAsia="zh-CN" w:bidi="ar-SA"/>
              </w:rPr>
            </w:pPr>
            <w:r>
              <w:rPr>
                <w:rFonts w:hint="eastAsia" w:ascii="宋体" w:hAnsi="宋体"/>
                <w:sz w:val="22"/>
                <w:szCs w:val="22"/>
              </w:rPr>
              <w:t>通过三门峡市公共资源交易中心系统平台发布且同时在原公告媒体发布澄清公告</w:t>
            </w:r>
          </w:p>
        </w:tc>
      </w:tr>
      <w:tr w14:paraId="04C5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250698D1">
            <w:pPr>
              <w:widowControl w:val="0"/>
              <w:adjustRightInd w:val="0"/>
              <w:spacing w:line="360" w:lineRule="auto"/>
              <w:jc w:val="center"/>
              <w:rPr>
                <w:rFonts w:hint="default" w:ascii="宋体" w:hAnsi="宋体" w:eastAsia="宋体" w:cs="宋体"/>
                <w:spacing w:val="6"/>
                <w:kern w:val="2"/>
                <w:sz w:val="22"/>
                <w:szCs w:val="22"/>
                <w:lang w:val="en-US" w:eastAsia="zh-CN"/>
              </w:rPr>
            </w:pPr>
            <w:r>
              <w:rPr>
                <w:rFonts w:hint="eastAsia" w:ascii="宋体" w:hAnsi="宋体" w:cs="宋体"/>
                <w:spacing w:val="6"/>
                <w:kern w:val="2"/>
                <w:sz w:val="22"/>
                <w:szCs w:val="22"/>
                <w:lang w:val="en-US" w:eastAsia="zh-CN"/>
              </w:rPr>
              <w:t>34</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4369EC84">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采购人书面澄清的时间</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010C316B">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递交响应文件的截止之日</w:t>
            </w:r>
            <w:r>
              <w:rPr>
                <w:rFonts w:hint="eastAsia" w:ascii="宋体" w:hAnsi="宋体" w:cs="宋体"/>
                <w:kern w:val="2"/>
                <w:sz w:val="22"/>
                <w:szCs w:val="22"/>
                <w:lang w:val="en-US" w:eastAsia="zh-CN"/>
              </w:rPr>
              <w:t>5</w:t>
            </w:r>
            <w:r>
              <w:rPr>
                <w:rFonts w:hint="eastAsia" w:ascii="宋体" w:hAnsi="宋体" w:cs="宋体"/>
                <w:kern w:val="2"/>
                <w:sz w:val="22"/>
                <w:szCs w:val="22"/>
              </w:rPr>
              <w:t>日前</w:t>
            </w:r>
          </w:p>
        </w:tc>
      </w:tr>
      <w:tr w14:paraId="1643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06A30070">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35</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35B924E6">
            <w:pPr>
              <w:widowControl w:val="0"/>
              <w:adjustRightInd w:val="0"/>
              <w:spacing w:line="360" w:lineRule="auto"/>
              <w:jc w:val="center"/>
              <w:rPr>
                <w:rFonts w:hint="eastAsia" w:ascii="宋体" w:hAnsi="宋体" w:cs="宋体" w:eastAsiaTheme="minorEastAsia"/>
                <w:kern w:val="2"/>
                <w:sz w:val="22"/>
                <w:szCs w:val="22"/>
                <w:lang w:val="en-US" w:eastAsia="zh-CN"/>
              </w:rPr>
            </w:pPr>
            <w:r>
              <w:rPr>
                <w:rFonts w:hint="eastAsia" w:ascii="宋体" w:hAnsi="宋体" w:cs="宋体"/>
                <w:kern w:val="2"/>
                <w:sz w:val="22"/>
                <w:szCs w:val="22"/>
                <w:lang w:val="en-US" w:eastAsia="zh-CN"/>
              </w:rPr>
              <w:t>偏离</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A2E1B74">
            <w:pPr>
              <w:widowControl w:val="0"/>
              <w:adjustRightInd w:val="0"/>
              <w:spacing w:line="360" w:lineRule="auto"/>
              <w:rPr>
                <w:rFonts w:hint="eastAsia" w:ascii="宋体" w:hAnsi="宋体" w:cs="宋体" w:eastAsiaTheme="minorEastAsia"/>
                <w:kern w:val="2"/>
                <w:sz w:val="22"/>
                <w:szCs w:val="22"/>
                <w:lang w:val="en-US" w:eastAsia="zh-CN"/>
              </w:rPr>
            </w:pPr>
            <w:r>
              <w:rPr>
                <w:rFonts w:hint="eastAsia" w:ascii="宋体" w:hAnsi="宋体" w:cs="宋体"/>
                <w:kern w:val="2"/>
                <w:sz w:val="22"/>
                <w:szCs w:val="22"/>
                <w:lang w:val="en-US" w:eastAsia="zh-CN"/>
              </w:rPr>
              <w:t>不允许</w:t>
            </w:r>
          </w:p>
        </w:tc>
      </w:tr>
      <w:tr w14:paraId="3D2B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7A292ADB">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36</w:t>
            </w:r>
          </w:p>
        </w:tc>
        <w:tc>
          <w:tcPr>
            <w:tcW w:w="129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1E4916D">
            <w:pPr>
              <w:adjustRightInd w:val="0"/>
              <w:snapToGrid w:val="0"/>
              <w:spacing w:line="360" w:lineRule="auto"/>
              <w:jc w:val="center"/>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构成磋商文件的其他材料</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93238AD">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采购人在磋商期间发出的竞争性磋商文件修改、磋商答疑纪要及澄清</w:t>
            </w:r>
            <w:r>
              <w:rPr>
                <w:rFonts w:hint="eastAsia" w:ascii="宋体" w:hAnsi="宋体" w:cs="宋体"/>
                <w:sz w:val="22"/>
                <w:szCs w:val="22"/>
              </w:rPr>
              <w:t>等均是竞争性磋商文件的组成部分</w:t>
            </w:r>
          </w:p>
        </w:tc>
      </w:tr>
      <w:tr w14:paraId="7A78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6822AA00">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37</w:t>
            </w:r>
          </w:p>
        </w:tc>
        <w:tc>
          <w:tcPr>
            <w:tcW w:w="129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93C43CD">
            <w:pPr>
              <w:adjustRightInd w:val="0"/>
              <w:snapToGrid w:val="0"/>
              <w:spacing w:line="360" w:lineRule="auto"/>
              <w:jc w:val="center"/>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是否退还响应文件</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D8BFF9B">
            <w:pPr>
              <w:adjustRightInd w:val="0"/>
              <w:snapToGrid w:val="0"/>
              <w:spacing w:line="360" w:lineRule="auto"/>
              <w:jc w:val="left"/>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否</w:t>
            </w:r>
          </w:p>
        </w:tc>
      </w:tr>
      <w:tr w14:paraId="56BB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74AD0B82">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38</w:t>
            </w:r>
          </w:p>
        </w:tc>
        <w:tc>
          <w:tcPr>
            <w:tcW w:w="129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609A97C">
            <w:pPr>
              <w:adjustRightInd w:val="0"/>
              <w:snapToGrid w:val="0"/>
              <w:spacing w:line="360" w:lineRule="auto"/>
              <w:jc w:val="center"/>
              <w:rPr>
                <w:rFonts w:hint="eastAsia" w:ascii="宋体" w:hAnsi="宋体" w:cs="宋体" w:eastAsiaTheme="minorEastAsia"/>
                <w:spacing w:val="11"/>
                <w:sz w:val="22"/>
                <w:szCs w:val="22"/>
                <w:lang w:val="en-US" w:eastAsia="zh-CN"/>
              </w:rPr>
            </w:pPr>
            <w:r>
              <w:rPr>
                <w:rFonts w:hint="eastAsia" w:ascii="宋体" w:hAnsi="宋体" w:cs="宋体"/>
                <w:spacing w:val="11"/>
                <w:sz w:val="22"/>
                <w:szCs w:val="22"/>
                <w:lang w:val="en-US" w:eastAsia="zh-CN"/>
              </w:rPr>
              <w:t>本项目所属行业</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726EB989">
            <w:pPr>
              <w:adjustRightInd w:val="0"/>
              <w:snapToGrid w:val="0"/>
              <w:spacing w:line="360" w:lineRule="auto"/>
              <w:jc w:val="left"/>
              <w:rPr>
                <w:rFonts w:hint="eastAsia" w:ascii="宋体" w:hAnsi="宋体" w:cs="宋体" w:eastAsiaTheme="minorEastAsia"/>
                <w:spacing w:val="11"/>
                <w:sz w:val="22"/>
                <w:szCs w:val="22"/>
                <w:lang w:val="en-US" w:eastAsia="zh-CN"/>
              </w:rPr>
            </w:pPr>
            <w:r>
              <w:rPr>
                <w:rFonts w:hint="eastAsia" w:ascii="宋体" w:hAnsi="宋体" w:cs="宋体"/>
                <w:spacing w:val="11"/>
                <w:sz w:val="22"/>
                <w:szCs w:val="22"/>
                <w:lang w:val="en-US" w:eastAsia="zh-CN"/>
              </w:rPr>
              <w:t>批发业</w:t>
            </w:r>
          </w:p>
        </w:tc>
      </w:tr>
      <w:tr w14:paraId="3CBA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1A101B2A">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39</w:t>
            </w:r>
          </w:p>
        </w:tc>
        <w:tc>
          <w:tcPr>
            <w:tcW w:w="129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A3EAE09">
            <w:pPr>
              <w:adjustRightInd w:val="0"/>
              <w:snapToGrid w:val="0"/>
              <w:spacing w:line="360" w:lineRule="auto"/>
              <w:jc w:val="center"/>
              <w:rPr>
                <w:rFonts w:hint="eastAsia" w:ascii="宋体" w:hAnsi="宋体" w:cs="宋体"/>
                <w:spacing w:val="11"/>
                <w:sz w:val="22"/>
                <w:szCs w:val="22"/>
                <w:highlight w:val="none"/>
                <w:lang w:val="en-US" w:eastAsia="zh-CN"/>
              </w:rPr>
            </w:pPr>
            <w:r>
              <w:rPr>
                <w:rFonts w:hint="eastAsia" w:ascii="宋体" w:hAnsi="宋体" w:cs="宋体"/>
                <w:sz w:val="22"/>
                <w:szCs w:val="22"/>
                <w:highlight w:val="none"/>
              </w:rPr>
              <w:t>付款方式</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7B609734">
            <w:pPr>
              <w:adjustRightInd w:val="0"/>
              <w:snapToGrid w:val="0"/>
              <w:spacing w:line="360" w:lineRule="auto"/>
              <w:jc w:val="left"/>
              <w:rPr>
                <w:rFonts w:hint="default" w:ascii="宋体" w:hAnsi="宋体" w:cs="宋体"/>
                <w:spacing w:val="11"/>
                <w:sz w:val="22"/>
                <w:szCs w:val="22"/>
                <w:highlight w:val="none"/>
                <w:lang w:val="en-US" w:eastAsia="zh-CN"/>
              </w:rPr>
            </w:pPr>
            <w:r>
              <w:rPr>
                <w:rFonts w:hint="default" w:ascii="宋体" w:hAnsi="宋体" w:cs="宋体"/>
                <w:spacing w:val="11"/>
                <w:sz w:val="22"/>
                <w:szCs w:val="22"/>
                <w:highlight w:val="none"/>
                <w:lang w:val="en-US" w:eastAsia="zh-CN"/>
              </w:rPr>
              <w:t>实行月结方式进行结算，经甲方验收，每批所供物资质量均达到相关质量标准，且认真履行服务承诺，乙方根据甲方确定的综合执行单价乘以当月实际供货量计算的实际结算费用开具合法有效的等额发票 ，甲方在次月内通过银行转账方式支付货款至乙方指定账户</w:t>
            </w:r>
          </w:p>
        </w:tc>
      </w:tr>
      <w:tr w14:paraId="6B64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7D9CD4ED">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40</w:t>
            </w:r>
          </w:p>
        </w:tc>
        <w:tc>
          <w:tcPr>
            <w:tcW w:w="129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8230CB">
            <w:pPr>
              <w:adjustRightInd w:val="0"/>
              <w:snapToGrid w:val="0"/>
              <w:spacing w:line="360" w:lineRule="auto"/>
              <w:jc w:val="center"/>
              <w:rPr>
                <w:rFonts w:hint="eastAsia" w:ascii="宋体" w:hAnsi="宋体" w:cs="宋体"/>
                <w:spacing w:val="11"/>
                <w:sz w:val="22"/>
                <w:szCs w:val="22"/>
                <w:lang w:val="en-US" w:eastAsia="zh-CN"/>
              </w:rPr>
            </w:pPr>
            <w:r>
              <w:rPr>
                <w:rFonts w:hint="eastAsia" w:ascii="宋体" w:hAnsi="宋体" w:cs="宋体"/>
                <w:spacing w:val="11"/>
                <w:sz w:val="22"/>
                <w:szCs w:val="22"/>
                <w:lang w:val="en-US" w:eastAsia="zh-CN"/>
              </w:rPr>
              <w:t>无效标条件</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466D69D">
            <w:pPr>
              <w:adjustRightInd w:val="0"/>
              <w:snapToGrid w:val="0"/>
              <w:spacing w:line="360" w:lineRule="auto"/>
              <w:jc w:val="left"/>
              <w:rPr>
                <w:rFonts w:hint="eastAsia" w:ascii="宋体" w:hAnsi="宋体" w:cs="宋体"/>
                <w:spacing w:val="11"/>
                <w:sz w:val="22"/>
                <w:szCs w:val="22"/>
                <w:lang w:val="en-US" w:eastAsia="zh-CN"/>
              </w:rPr>
            </w:pPr>
            <w:r>
              <w:rPr>
                <w:rFonts w:hint="eastAsia" w:ascii="宋体" w:hAnsi="宋体" w:cs="宋体"/>
                <w:spacing w:val="11"/>
                <w:sz w:val="22"/>
                <w:szCs w:val="22"/>
                <w:lang w:val="en-US" w:eastAsia="zh-CN"/>
              </w:rPr>
              <w:t>1.电子化响应文件附有采购人不能接受的条件的；</w:t>
            </w:r>
          </w:p>
          <w:p w14:paraId="4757F6A1">
            <w:pPr>
              <w:adjustRightInd w:val="0"/>
              <w:snapToGrid w:val="0"/>
              <w:spacing w:line="360" w:lineRule="auto"/>
              <w:jc w:val="left"/>
              <w:rPr>
                <w:rFonts w:hint="eastAsia" w:ascii="宋体" w:hAnsi="宋体" w:cs="宋体"/>
                <w:spacing w:val="11"/>
                <w:sz w:val="22"/>
                <w:szCs w:val="22"/>
                <w:lang w:val="en-US" w:eastAsia="zh-CN"/>
              </w:rPr>
            </w:pPr>
            <w:r>
              <w:rPr>
                <w:rFonts w:hint="eastAsia" w:ascii="宋体" w:hAnsi="宋体" w:cs="宋体"/>
                <w:spacing w:val="11"/>
                <w:sz w:val="22"/>
                <w:szCs w:val="22"/>
                <w:lang w:val="en-US" w:eastAsia="zh-CN"/>
              </w:rPr>
              <w:t>2.磋商报价高于磋商文件中磋商最高限价的；</w:t>
            </w:r>
          </w:p>
          <w:p w14:paraId="24F5E545">
            <w:pPr>
              <w:adjustRightInd w:val="0"/>
              <w:snapToGrid w:val="0"/>
              <w:spacing w:line="360" w:lineRule="auto"/>
              <w:jc w:val="left"/>
              <w:rPr>
                <w:rFonts w:hint="eastAsia" w:ascii="宋体" w:hAnsi="宋体" w:cs="宋体"/>
                <w:spacing w:val="11"/>
                <w:sz w:val="22"/>
                <w:szCs w:val="22"/>
                <w:lang w:val="en-US" w:eastAsia="zh-CN"/>
              </w:rPr>
            </w:pPr>
            <w:r>
              <w:rPr>
                <w:rFonts w:hint="eastAsia" w:ascii="宋体" w:hAnsi="宋体" w:cs="宋体"/>
                <w:spacing w:val="11"/>
                <w:sz w:val="22"/>
                <w:szCs w:val="22"/>
                <w:lang w:val="en-US" w:eastAsia="zh-CN"/>
              </w:rPr>
              <w:t>3.以他人的名义磋商、串通磋商、以行贿手段谋取成交或者以其他弄虚作假方式磋商的；</w:t>
            </w:r>
          </w:p>
          <w:p w14:paraId="0EF55518">
            <w:pPr>
              <w:adjustRightInd w:val="0"/>
              <w:snapToGrid w:val="0"/>
              <w:spacing w:line="360" w:lineRule="auto"/>
              <w:jc w:val="left"/>
              <w:rPr>
                <w:rFonts w:hint="eastAsia" w:ascii="宋体" w:hAnsi="宋体" w:cs="宋体"/>
                <w:spacing w:val="11"/>
                <w:sz w:val="22"/>
                <w:szCs w:val="22"/>
                <w:lang w:val="en-US" w:eastAsia="zh-CN"/>
              </w:rPr>
            </w:pPr>
            <w:r>
              <w:rPr>
                <w:rFonts w:hint="eastAsia" w:ascii="宋体" w:hAnsi="宋体" w:cs="宋体"/>
                <w:spacing w:val="11"/>
                <w:sz w:val="22"/>
                <w:szCs w:val="22"/>
                <w:lang w:val="en-US" w:eastAsia="zh-CN"/>
              </w:rPr>
              <w:t>4.采取不正当手段谋取成交的。</w:t>
            </w:r>
          </w:p>
        </w:tc>
      </w:tr>
      <w:tr w14:paraId="04FC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209D82B6">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41</w:t>
            </w:r>
          </w:p>
        </w:tc>
        <w:tc>
          <w:tcPr>
            <w:tcW w:w="129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BBDE5FA">
            <w:pPr>
              <w:adjustRightInd w:val="0"/>
              <w:snapToGrid w:val="0"/>
              <w:spacing w:line="360" w:lineRule="auto"/>
              <w:jc w:val="center"/>
              <w:rPr>
                <w:rFonts w:hint="eastAsia" w:ascii="宋体" w:hAnsi="宋体" w:cs="宋体"/>
                <w:spacing w:val="11"/>
                <w:sz w:val="22"/>
                <w:szCs w:val="22"/>
                <w:lang w:val="en-US" w:eastAsia="zh-CN"/>
              </w:rPr>
            </w:pPr>
            <w:r>
              <w:rPr>
                <w:rFonts w:hint="eastAsia" w:ascii="宋体" w:hAnsi="宋体" w:cs="宋体"/>
                <w:spacing w:val="11"/>
                <w:sz w:val="22"/>
                <w:szCs w:val="22"/>
                <w:lang w:val="en-US" w:eastAsia="zh-CN"/>
              </w:rPr>
              <w:t>政府采购合同融资政策</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79E3E24">
            <w:pPr>
              <w:adjustRightInd w:val="0"/>
              <w:snapToGrid w:val="0"/>
              <w:spacing w:line="360" w:lineRule="auto"/>
              <w:jc w:val="left"/>
              <w:rPr>
                <w:rFonts w:hint="eastAsia" w:ascii="宋体" w:hAnsi="宋体" w:cs="宋体"/>
                <w:spacing w:val="11"/>
                <w:sz w:val="22"/>
                <w:szCs w:val="22"/>
                <w:lang w:val="en-US" w:eastAsia="zh-CN"/>
              </w:rPr>
            </w:pPr>
            <w:r>
              <w:rPr>
                <w:rFonts w:hint="eastAsia" w:ascii="宋体" w:hAnsi="宋体" w:cs="宋体"/>
                <w:spacing w:val="11"/>
                <w:sz w:val="22"/>
                <w:szCs w:val="22"/>
                <w:lang w:val="en-US" w:eastAsia="zh-CN"/>
              </w:rPr>
              <w:t>成交供应商成交后，如需融资，参照《河南省政府采购合同融资工作实施方案》（豫财购〔2017〕10号）执行</w:t>
            </w:r>
          </w:p>
        </w:tc>
      </w:tr>
      <w:tr w14:paraId="585F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1FF808A8">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42</w:t>
            </w:r>
          </w:p>
        </w:tc>
        <w:tc>
          <w:tcPr>
            <w:tcW w:w="1292" w:type="dxa"/>
            <w:tcBorders>
              <w:top w:val="single" w:color="auto" w:sz="6" w:space="0"/>
              <w:left w:val="single" w:color="auto" w:sz="6" w:space="0"/>
              <w:bottom w:val="single" w:color="auto" w:sz="6" w:space="0"/>
              <w:right w:val="single" w:color="auto" w:sz="6" w:space="0"/>
            </w:tcBorders>
            <w:noWrap w:val="0"/>
            <w:vAlign w:val="center"/>
          </w:tcPr>
          <w:p w14:paraId="73E0A735">
            <w:pPr>
              <w:widowControl w:val="0"/>
              <w:adjustRightInd w:val="0"/>
              <w:spacing w:line="360" w:lineRule="auto"/>
              <w:jc w:val="center"/>
              <w:rPr>
                <w:rFonts w:hint="eastAsia" w:ascii="宋体" w:hAnsi="宋体" w:cs="宋体"/>
                <w:kern w:val="2"/>
                <w:sz w:val="22"/>
                <w:szCs w:val="22"/>
                <w:lang w:val="en-US" w:eastAsia="zh-CN"/>
              </w:rPr>
            </w:pPr>
            <w:r>
              <w:rPr>
                <w:rFonts w:hint="eastAsia" w:ascii="宋体" w:hAnsi="宋体" w:cs="宋体"/>
                <w:kern w:val="2"/>
                <w:sz w:val="22"/>
                <w:szCs w:val="22"/>
                <w:lang w:val="en-US" w:eastAsia="zh-CN"/>
              </w:rPr>
              <w:t>电子化交易注意事项</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2A928CC">
            <w:pPr>
              <w:spacing w:line="440" w:lineRule="exact"/>
              <w:rPr>
                <w:rFonts w:ascii="宋体" w:hAnsi="宋体" w:cs="宋体"/>
                <w:sz w:val="22"/>
                <w:szCs w:val="20"/>
              </w:rPr>
            </w:pPr>
            <w:r>
              <w:rPr>
                <w:rFonts w:hint="eastAsia" w:ascii="宋体" w:hAnsi="宋体" w:cs="宋体"/>
                <w:sz w:val="22"/>
                <w:szCs w:val="20"/>
              </w:rPr>
              <w:t>具体要求：本项目为电子化、无纸化交易项目，响应文件是供应商通过中心响应文件制作系统制作，并经过签章和加密后生成的电子版响应文件。</w:t>
            </w:r>
          </w:p>
          <w:p w14:paraId="28E7E25B">
            <w:pPr>
              <w:spacing w:line="440" w:lineRule="exact"/>
              <w:rPr>
                <w:rFonts w:ascii="宋体" w:hAnsi="宋体" w:cs="宋体"/>
                <w:sz w:val="22"/>
                <w:szCs w:val="20"/>
              </w:rPr>
            </w:pPr>
            <w:r>
              <w:rPr>
                <w:rFonts w:hint="eastAsia" w:ascii="宋体" w:hAnsi="宋体" w:cs="宋体"/>
                <w:sz w:val="22"/>
                <w:szCs w:val="20"/>
              </w:rPr>
              <w:t>电子化响应文件具体制作文件请点击</w:t>
            </w:r>
            <w:r>
              <w:rPr>
                <w:sz w:val="20"/>
                <w:szCs w:val="22"/>
              </w:rPr>
              <w:fldChar w:fldCharType="begin"/>
            </w:r>
            <w:r>
              <w:rPr>
                <w:sz w:val="20"/>
                <w:szCs w:val="22"/>
              </w:rPr>
              <w:instrText xml:space="preserve"> HYPERLINK "http://t.cn/A6ZvtVob" </w:instrText>
            </w:r>
            <w:r>
              <w:rPr>
                <w:sz w:val="20"/>
                <w:szCs w:val="22"/>
              </w:rPr>
              <w:fldChar w:fldCharType="separate"/>
            </w:r>
            <w:r>
              <w:rPr>
                <w:rFonts w:ascii="宋体" w:hAnsi="宋体" w:cs="宋体"/>
                <w:sz w:val="22"/>
                <w:szCs w:val="20"/>
                <w:u w:val="single"/>
              </w:rPr>
              <w:t>https://download.bqpoint.com/download/downloaddetail.html?SourceFrom=Ztb&amp;ZtbSoftXiaQuCode=1506&amp;ZtbSoftType=tballinclusive</w:t>
            </w:r>
            <w:r>
              <w:rPr>
                <w:rFonts w:ascii="宋体" w:hAnsi="宋体" w:cs="宋体"/>
                <w:sz w:val="22"/>
                <w:szCs w:val="20"/>
                <w:u w:val="single"/>
              </w:rPr>
              <w:fldChar w:fldCharType="end"/>
            </w:r>
            <w:r>
              <w:rPr>
                <w:rFonts w:hint="eastAsia" w:ascii="宋体" w:hAnsi="宋体" w:cs="宋体"/>
                <w:sz w:val="22"/>
                <w:szCs w:val="20"/>
              </w:rPr>
              <w:t>进行下载。</w:t>
            </w:r>
          </w:p>
          <w:p w14:paraId="68123517">
            <w:pPr>
              <w:spacing w:line="440" w:lineRule="exact"/>
              <w:rPr>
                <w:rFonts w:ascii="宋体" w:hAnsi="宋体" w:cs="宋体"/>
                <w:sz w:val="22"/>
                <w:szCs w:val="20"/>
              </w:rPr>
            </w:pPr>
            <w:r>
              <w:rPr>
                <w:rFonts w:hint="eastAsia" w:ascii="宋体" w:hAnsi="宋体" w:cs="宋体"/>
                <w:b/>
                <w:sz w:val="22"/>
                <w:szCs w:val="20"/>
              </w:rPr>
              <w:t>温馨提示：本项目为电子化、无纸化交易项目，为保证您能</w:t>
            </w:r>
            <w:r>
              <w:rPr>
                <w:rFonts w:hint="eastAsia" w:ascii="宋体" w:hAnsi="宋体" w:cs="宋体"/>
                <w:b/>
                <w:sz w:val="22"/>
                <w:szCs w:val="20"/>
                <w:lang w:eastAsia="zh-CN"/>
              </w:rPr>
              <w:t>磋商</w:t>
            </w:r>
            <w:r>
              <w:rPr>
                <w:rFonts w:hint="eastAsia" w:ascii="宋体" w:hAnsi="宋体" w:cs="宋体"/>
                <w:b/>
                <w:sz w:val="22"/>
                <w:szCs w:val="20"/>
              </w:rPr>
              <w:t>成功，请需仔细阅读以下条款。</w:t>
            </w:r>
          </w:p>
          <w:p w14:paraId="08B3DF42">
            <w:pPr>
              <w:spacing w:line="440" w:lineRule="exact"/>
              <w:rPr>
                <w:rFonts w:hint="eastAsia" w:ascii="宋体" w:hAnsi="宋体" w:cs="宋体" w:eastAsiaTheme="minorEastAsia"/>
                <w:b/>
                <w:sz w:val="22"/>
                <w:szCs w:val="20"/>
                <w:lang w:eastAsia="zh-CN"/>
              </w:rPr>
            </w:pPr>
            <w:r>
              <w:rPr>
                <w:rFonts w:hint="eastAsia" w:ascii="宋体" w:hAnsi="宋体" w:cs="宋体"/>
                <w:b/>
                <w:sz w:val="22"/>
                <w:szCs w:val="20"/>
              </w:rPr>
              <w:t>一、电子化</w:t>
            </w:r>
            <w:r>
              <w:rPr>
                <w:rFonts w:hint="eastAsia" w:ascii="宋体" w:hAnsi="宋体" w:cs="宋体"/>
                <w:b/>
                <w:sz w:val="22"/>
                <w:szCs w:val="20"/>
                <w:lang w:eastAsia="zh-CN"/>
              </w:rPr>
              <w:t>磋商</w:t>
            </w:r>
          </w:p>
          <w:p w14:paraId="75644336">
            <w:pPr>
              <w:spacing w:line="440" w:lineRule="exact"/>
              <w:rPr>
                <w:rFonts w:ascii="宋体" w:hAnsi="宋体" w:cs="宋体"/>
                <w:b/>
                <w:sz w:val="22"/>
                <w:szCs w:val="20"/>
              </w:rPr>
            </w:pPr>
            <w:r>
              <w:rPr>
                <w:rFonts w:hint="eastAsia" w:ascii="宋体" w:hAnsi="宋体" w:cs="宋体"/>
                <w:sz w:val="22"/>
                <w:szCs w:val="20"/>
              </w:rPr>
              <w:t>（一）网上磋商保证金的缴纳</w:t>
            </w:r>
          </w:p>
          <w:p w14:paraId="7C7E98E8">
            <w:pPr>
              <w:spacing w:line="440" w:lineRule="exact"/>
              <w:rPr>
                <w:rFonts w:ascii="宋体" w:hAnsi="宋体" w:cs="宋体"/>
                <w:spacing w:val="11"/>
                <w:sz w:val="22"/>
                <w:szCs w:val="22"/>
              </w:rPr>
            </w:pPr>
            <w:r>
              <w:rPr>
                <w:rFonts w:hint="eastAsia" w:ascii="宋体" w:hAnsi="宋体" w:cs="宋体"/>
                <w:spacing w:val="11"/>
                <w:sz w:val="22"/>
                <w:szCs w:val="22"/>
              </w:rPr>
              <w:t>按照《河南省财政厅关于优化政府采购营商环境有关问题的通知》（豫财购[2019]4号文）的要求本项目不再收取磋商保证金。</w:t>
            </w:r>
          </w:p>
          <w:p w14:paraId="51D87457">
            <w:pPr>
              <w:spacing w:line="440" w:lineRule="exact"/>
              <w:rPr>
                <w:rFonts w:ascii="宋体" w:hAnsi="宋体" w:cs="宋体"/>
                <w:sz w:val="22"/>
                <w:szCs w:val="20"/>
              </w:rPr>
            </w:pPr>
            <w:r>
              <w:rPr>
                <w:rFonts w:hint="eastAsia" w:ascii="宋体" w:hAnsi="宋体" w:cs="宋体"/>
                <w:sz w:val="22"/>
                <w:szCs w:val="20"/>
              </w:rPr>
              <w:t>（二）电子化响应文件的签章</w:t>
            </w:r>
          </w:p>
          <w:p w14:paraId="2BC4AC64">
            <w:pPr>
              <w:spacing w:line="440" w:lineRule="exact"/>
              <w:rPr>
                <w:rFonts w:ascii="宋体" w:hAnsi="宋体" w:cs="宋体"/>
                <w:sz w:val="22"/>
                <w:szCs w:val="20"/>
              </w:rPr>
            </w:pPr>
            <w:r>
              <w:rPr>
                <w:rFonts w:hint="eastAsia" w:ascii="宋体" w:hAnsi="宋体" w:cs="宋体"/>
                <w:sz w:val="22"/>
                <w:szCs w:val="20"/>
              </w:rPr>
              <w:t>1、供应商在生成电子化响应文件后，应对电子化响应文件进行签章，未进行签章的视为无效</w:t>
            </w:r>
            <w:r>
              <w:rPr>
                <w:rFonts w:hint="eastAsia" w:ascii="宋体" w:hAnsi="宋体" w:cs="宋体"/>
                <w:sz w:val="22"/>
                <w:szCs w:val="20"/>
                <w:lang w:eastAsia="zh-CN"/>
              </w:rPr>
              <w:t>磋商</w:t>
            </w:r>
            <w:r>
              <w:rPr>
                <w:rFonts w:hint="eastAsia" w:ascii="宋体" w:hAnsi="宋体" w:cs="宋体"/>
                <w:sz w:val="22"/>
                <w:szCs w:val="20"/>
              </w:rPr>
              <w:t>。</w:t>
            </w:r>
          </w:p>
          <w:p w14:paraId="3CAF479C">
            <w:pPr>
              <w:spacing w:line="440" w:lineRule="exact"/>
              <w:rPr>
                <w:rFonts w:ascii="宋体" w:hAnsi="宋体" w:cs="宋体"/>
                <w:b/>
                <w:sz w:val="22"/>
                <w:szCs w:val="20"/>
              </w:rPr>
            </w:pPr>
            <w:r>
              <w:rPr>
                <w:rFonts w:hint="eastAsia" w:ascii="宋体" w:hAnsi="宋体" w:cs="宋体"/>
                <w:sz w:val="22"/>
                <w:szCs w:val="20"/>
              </w:rPr>
              <w:t>2、</w:t>
            </w:r>
            <w:r>
              <w:rPr>
                <w:rFonts w:hint="eastAsia" w:ascii="宋体" w:hAnsi="宋体" w:cs="宋体"/>
                <w:b/>
                <w:sz w:val="22"/>
                <w:szCs w:val="20"/>
              </w:rPr>
              <w:t>供应商在进行电子化响应文件签章时，竞争性磋商文件中要求供应商盖章的，以签盖单位章为准；要求法定代表人或委托代理人签章的，以签盖法定代表人签章为准。</w:t>
            </w:r>
          </w:p>
          <w:p w14:paraId="7D554B7E">
            <w:pPr>
              <w:spacing w:line="440" w:lineRule="exact"/>
              <w:rPr>
                <w:rFonts w:hint="eastAsia" w:ascii="宋体" w:hAnsi="宋体" w:cs="宋体" w:eastAsiaTheme="minorEastAsia"/>
                <w:b/>
                <w:sz w:val="22"/>
                <w:szCs w:val="20"/>
                <w:lang w:eastAsia="zh-CN"/>
              </w:rPr>
            </w:pPr>
            <w:r>
              <w:rPr>
                <w:rFonts w:hint="eastAsia" w:ascii="宋体" w:hAnsi="宋体" w:cs="宋体"/>
                <w:sz w:val="22"/>
                <w:szCs w:val="20"/>
              </w:rPr>
              <w:t>（三）电子化响应文件的格式及上传</w:t>
            </w:r>
            <w:r>
              <w:rPr>
                <w:rFonts w:hint="eastAsia" w:ascii="宋体" w:hAnsi="宋体" w:cs="宋体"/>
                <w:sz w:val="22"/>
                <w:szCs w:val="20"/>
                <w:lang w:eastAsia="zh-CN"/>
              </w:rPr>
              <w:t>磋商</w:t>
            </w:r>
          </w:p>
          <w:p w14:paraId="3DAD7E17">
            <w:pPr>
              <w:spacing w:line="440" w:lineRule="exact"/>
              <w:ind w:firstLine="110" w:firstLineChars="50"/>
              <w:rPr>
                <w:rFonts w:ascii="宋体" w:hAnsi="宋体" w:cs="宋体"/>
                <w:sz w:val="22"/>
                <w:szCs w:val="20"/>
              </w:rPr>
            </w:pPr>
            <w:r>
              <w:rPr>
                <w:rFonts w:hint="eastAsia" w:ascii="宋体" w:hAnsi="宋体" w:cs="宋体"/>
                <w:sz w:val="22"/>
                <w:szCs w:val="20"/>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3EC51216">
            <w:pPr>
              <w:spacing w:line="440" w:lineRule="exact"/>
              <w:ind w:firstLine="220" w:firstLineChars="100"/>
              <w:rPr>
                <w:rFonts w:ascii="宋体" w:hAnsi="宋体" w:cs="宋体"/>
                <w:sz w:val="22"/>
                <w:szCs w:val="20"/>
              </w:rPr>
            </w:pPr>
            <w:r>
              <w:rPr>
                <w:rFonts w:hint="eastAsia" w:ascii="宋体" w:hAnsi="宋体" w:cs="宋体"/>
                <w:sz w:val="22"/>
                <w:szCs w:val="20"/>
              </w:rPr>
              <w:t>2、电子化响应文件应在</w:t>
            </w:r>
            <w:r>
              <w:rPr>
                <w:rFonts w:hint="eastAsia" w:ascii="宋体" w:hAnsi="宋体" w:cs="宋体"/>
                <w:sz w:val="22"/>
                <w:szCs w:val="20"/>
                <w:lang w:eastAsia="zh-CN"/>
              </w:rPr>
              <w:t>磋商</w:t>
            </w:r>
            <w:r>
              <w:rPr>
                <w:rFonts w:hint="eastAsia" w:ascii="宋体" w:hAnsi="宋体" w:cs="宋体"/>
                <w:sz w:val="22"/>
                <w:szCs w:val="20"/>
              </w:rPr>
              <w:t>截止时间前成功上传至三门峡市公共资源电子化交易系统。至</w:t>
            </w:r>
            <w:r>
              <w:rPr>
                <w:rFonts w:hint="eastAsia" w:ascii="宋体" w:hAnsi="宋体" w:cs="宋体"/>
                <w:sz w:val="22"/>
                <w:szCs w:val="20"/>
                <w:lang w:eastAsia="zh-CN"/>
              </w:rPr>
              <w:t>磋商</w:t>
            </w:r>
            <w:r>
              <w:rPr>
                <w:rFonts w:hint="eastAsia" w:ascii="宋体" w:hAnsi="宋体" w:cs="宋体"/>
                <w:sz w:val="22"/>
                <w:szCs w:val="20"/>
              </w:rPr>
              <w:t>截止时间止，仍未上传成功的电子化响应文件将不予接收。</w:t>
            </w:r>
          </w:p>
          <w:p w14:paraId="69250A11">
            <w:pPr>
              <w:spacing w:line="440" w:lineRule="exact"/>
              <w:ind w:firstLine="221" w:firstLineChars="100"/>
              <w:rPr>
                <w:rFonts w:ascii="宋体" w:hAnsi="宋体" w:cs="宋体"/>
                <w:sz w:val="22"/>
                <w:szCs w:val="20"/>
              </w:rPr>
            </w:pPr>
            <w:r>
              <w:rPr>
                <w:rFonts w:hint="eastAsia" w:ascii="宋体" w:hAnsi="宋体" w:cs="宋体"/>
                <w:b/>
                <w:sz w:val="22"/>
                <w:szCs w:val="20"/>
              </w:rPr>
              <w:t>注：</w:t>
            </w:r>
            <w:r>
              <w:rPr>
                <w:rFonts w:hint="eastAsia" w:ascii="宋体" w:hAnsi="宋体" w:cs="宋体"/>
                <w:sz w:val="22"/>
                <w:szCs w:val="20"/>
              </w:rPr>
              <w:t>如按照电子化投标操作教材制作完成的电子化响应文件无法上传的，供应商应在</w:t>
            </w:r>
            <w:r>
              <w:rPr>
                <w:rFonts w:hint="eastAsia" w:ascii="宋体" w:hAnsi="宋体" w:cs="宋体"/>
                <w:b/>
                <w:sz w:val="22"/>
                <w:szCs w:val="20"/>
                <w:lang w:eastAsia="zh-CN"/>
              </w:rPr>
              <w:t>磋商</w:t>
            </w:r>
            <w:r>
              <w:rPr>
                <w:rFonts w:hint="eastAsia" w:ascii="宋体" w:hAnsi="宋体" w:cs="宋体"/>
                <w:b/>
                <w:sz w:val="22"/>
                <w:szCs w:val="20"/>
              </w:rPr>
              <w:t>截止时间前尽早的</w:t>
            </w:r>
            <w:r>
              <w:rPr>
                <w:rFonts w:hint="eastAsia" w:ascii="宋体" w:hAnsi="宋体" w:cs="宋体"/>
                <w:sz w:val="22"/>
                <w:szCs w:val="20"/>
              </w:rPr>
              <w:t>联系中心技术人员，以便有充分的时间进行处理。供应商应充分考虑到处理技术问题和上传数据等工作所需的时间问题，响应文件未在</w:t>
            </w:r>
            <w:r>
              <w:rPr>
                <w:rFonts w:hint="eastAsia" w:ascii="宋体" w:hAnsi="宋体" w:cs="宋体"/>
                <w:sz w:val="22"/>
                <w:szCs w:val="20"/>
                <w:lang w:eastAsia="zh-CN"/>
              </w:rPr>
              <w:t>磋商</w:t>
            </w:r>
            <w:r>
              <w:rPr>
                <w:rFonts w:hint="eastAsia" w:ascii="宋体" w:hAnsi="宋体" w:cs="宋体"/>
                <w:sz w:val="22"/>
                <w:szCs w:val="20"/>
              </w:rPr>
              <w:t>截止时间前成功上传的，其响应文件不予接收。</w:t>
            </w:r>
          </w:p>
          <w:p w14:paraId="1B2665FF">
            <w:pPr>
              <w:spacing w:line="440" w:lineRule="exact"/>
              <w:ind w:firstLine="220" w:firstLineChars="100"/>
              <w:rPr>
                <w:rFonts w:ascii="宋体" w:hAnsi="宋体" w:cs="宋体"/>
                <w:sz w:val="22"/>
                <w:szCs w:val="20"/>
              </w:rPr>
            </w:pPr>
            <w:r>
              <w:rPr>
                <w:rFonts w:hint="eastAsia" w:ascii="宋体" w:hAnsi="宋体" w:cs="宋体"/>
                <w:sz w:val="22"/>
                <w:szCs w:val="20"/>
              </w:rPr>
              <w:t>技术联系电话：0398-3117871</w:t>
            </w:r>
          </w:p>
          <w:p w14:paraId="726FBC41">
            <w:pPr>
              <w:spacing w:line="440" w:lineRule="exact"/>
              <w:ind w:firstLine="220" w:firstLineChars="100"/>
              <w:rPr>
                <w:rFonts w:ascii="宋体" w:hAnsi="宋体" w:cs="宋体"/>
                <w:sz w:val="22"/>
                <w:szCs w:val="20"/>
              </w:rPr>
            </w:pPr>
            <w:r>
              <w:rPr>
                <w:rFonts w:hint="eastAsia" w:ascii="宋体" w:hAnsi="宋体" w:cs="宋体"/>
                <w:sz w:val="22"/>
                <w:szCs w:val="20"/>
              </w:rPr>
              <w:t>新点客服电话：4009980000</w:t>
            </w:r>
          </w:p>
          <w:p w14:paraId="30176AF4">
            <w:pPr>
              <w:spacing w:line="440" w:lineRule="exact"/>
              <w:rPr>
                <w:rFonts w:ascii="宋体" w:hAnsi="宋体" w:cs="宋体"/>
                <w:sz w:val="22"/>
                <w:szCs w:val="20"/>
              </w:rPr>
            </w:pPr>
            <w:r>
              <w:rPr>
                <w:rFonts w:hint="eastAsia" w:ascii="宋体" w:hAnsi="宋体" w:cs="宋体"/>
                <w:sz w:val="22"/>
                <w:szCs w:val="20"/>
              </w:rPr>
              <w:t>（四）电子化项目开标、解密、唱标、评标</w:t>
            </w:r>
          </w:p>
          <w:p w14:paraId="4C78F7E8">
            <w:pPr>
              <w:spacing w:line="440" w:lineRule="exact"/>
              <w:ind w:firstLine="110" w:firstLineChars="50"/>
              <w:rPr>
                <w:rFonts w:ascii="宋体" w:hAnsi="宋体" w:cs="宋体"/>
                <w:sz w:val="22"/>
                <w:szCs w:val="20"/>
              </w:rPr>
            </w:pPr>
            <w:r>
              <w:rPr>
                <w:rFonts w:hint="eastAsia" w:ascii="宋体" w:hAnsi="宋体" w:cs="宋体"/>
                <w:sz w:val="22"/>
                <w:szCs w:val="20"/>
              </w:rPr>
              <w:t>1、本项目采用</w:t>
            </w:r>
            <w:r>
              <w:rPr>
                <w:rFonts w:hint="eastAsia" w:ascii="宋体" w:hAnsi="宋体" w:cs="宋体"/>
                <w:b/>
                <w:sz w:val="22"/>
                <w:szCs w:val="20"/>
              </w:rPr>
              <w:t>电子化、无纸化</w:t>
            </w:r>
            <w:r>
              <w:rPr>
                <w:rFonts w:hint="eastAsia" w:ascii="宋体" w:hAnsi="宋体" w:cs="宋体"/>
                <w:sz w:val="22"/>
                <w:szCs w:val="20"/>
              </w:rPr>
              <w:t>进行</w:t>
            </w:r>
            <w:r>
              <w:rPr>
                <w:rFonts w:hint="eastAsia" w:ascii="宋体" w:hAnsi="宋体" w:cs="宋体"/>
                <w:sz w:val="22"/>
                <w:szCs w:val="20"/>
                <w:lang w:eastAsia="zh-CN"/>
              </w:rPr>
              <w:t>磋商</w:t>
            </w:r>
            <w:r>
              <w:rPr>
                <w:rFonts w:hint="eastAsia" w:ascii="宋体" w:hAnsi="宋体" w:cs="宋体"/>
                <w:sz w:val="22"/>
                <w:szCs w:val="20"/>
              </w:rPr>
              <w:t>，开标当日，供应商无需到开标现场参加开标会议，供应商应当在</w:t>
            </w:r>
            <w:r>
              <w:rPr>
                <w:rFonts w:hint="eastAsia" w:ascii="宋体" w:hAnsi="宋体" w:cs="宋体"/>
                <w:sz w:val="22"/>
                <w:szCs w:val="20"/>
                <w:lang w:eastAsia="zh-CN"/>
              </w:rPr>
              <w:t>磋商</w:t>
            </w:r>
            <w:r>
              <w:rPr>
                <w:rFonts w:hint="eastAsia" w:ascii="宋体" w:hAnsi="宋体" w:cs="宋体"/>
                <w:sz w:val="22"/>
                <w:szCs w:val="20"/>
              </w:rPr>
              <w:t>截止时间前，登陆不见面开标大厅选择登陆三门峡市公共资源电子招投标系统进行登陆（网址为http://120.194.249.36:10094/BidOpening/bidopeninghallaction/hall/login）,在线准时参加开标活动并进行响应文件解密等</w:t>
            </w:r>
          </w:p>
          <w:p w14:paraId="34A4C84E">
            <w:pPr>
              <w:spacing w:line="440" w:lineRule="exact"/>
              <w:ind w:firstLine="110" w:firstLineChars="50"/>
              <w:rPr>
                <w:rFonts w:ascii="宋体" w:hAnsi="宋体" w:cs="宋体"/>
                <w:sz w:val="22"/>
                <w:szCs w:val="20"/>
              </w:rPr>
            </w:pPr>
            <w:r>
              <w:rPr>
                <w:rFonts w:hint="eastAsia" w:ascii="宋体" w:hAnsi="宋体" w:cs="宋体"/>
                <w:sz w:val="22"/>
                <w:szCs w:val="20"/>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52F9D4A1">
            <w:pPr>
              <w:spacing w:line="440" w:lineRule="exact"/>
              <w:ind w:firstLine="110" w:firstLineChars="50"/>
              <w:rPr>
                <w:rFonts w:ascii="宋体" w:hAnsi="宋体" w:cs="宋体"/>
                <w:b/>
                <w:sz w:val="22"/>
                <w:szCs w:val="20"/>
              </w:rPr>
            </w:pPr>
            <w:r>
              <w:rPr>
                <w:rFonts w:hint="eastAsia" w:ascii="宋体" w:hAnsi="宋体" w:cs="宋体"/>
                <w:sz w:val="22"/>
                <w:szCs w:val="20"/>
              </w:rPr>
              <w:t>3、电子化响应文件解密异常的处理</w:t>
            </w:r>
          </w:p>
          <w:p w14:paraId="48AA54D1">
            <w:pPr>
              <w:spacing w:line="440" w:lineRule="exact"/>
              <w:ind w:firstLine="110" w:firstLineChars="50"/>
              <w:rPr>
                <w:rFonts w:ascii="宋体" w:hAnsi="宋体" w:cs="宋体"/>
                <w:sz w:val="22"/>
                <w:szCs w:val="20"/>
              </w:rPr>
            </w:pPr>
            <w:r>
              <w:rPr>
                <w:rFonts w:hint="eastAsia" w:ascii="宋体" w:hAnsi="宋体" w:cs="宋体"/>
                <w:sz w:val="22"/>
                <w:szCs w:val="20"/>
              </w:rPr>
              <w:t>如出现供应商的电子响应文件无法解密等异常情况，供应商应及时致电中介服务机构说明。响应文件异常，按以下步骤进行处理：</w:t>
            </w:r>
          </w:p>
          <w:p w14:paraId="2DFD666A">
            <w:pPr>
              <w:spacing w:line="440" w:lineRule="exact"/>
              <w:rPr>
                <w:rFonts w:ascii="宋体" w:hAnsi="宋体" w:cs="宋体"/>
                <w:sz w:val="22"/>
                <w:szCs w:val="20"/>
              </w:rPr>
            </w:pPr>
            <w:r>
              <w:rPr>
                <w:rFonts w:hint="eastAsia" w:ascii="宋体" w:hAnsi="宋体" w:cs="宋体"/>
                <w:sz w:val="22"/>
                <w:szCs w:val="20"/>
              </w:rPr>
              <w:t>（1）首先由技术人员进行问题排查。</w:t>
            </w:r>
          </w:p>
          <w:p w14:paraId="330D8127">
            <w:pPr>
              <w:spacing w:line="440" w:lineRule="exact"/>
              <w:rPr>
                <w:rFonts w:ascii="宋体" w:hAnsi="宋体" w:cs="宋体"/>
                <w:sz w:val="22"/>
                <w:szCs w:val="20"/>
              </w:rPr>
            </w:pPr>
            <w:r>
              <w:rPr>
                <w:rFonts w:hint="eastAsia" w:ascii="宋体" w:hAnsi="宋体" w:cs="宋体"/>
                <w:sz w:val="22"/>
                <w:szCs w:val="20"/>
              </w:rPr>
              <w:t>（2）经技术人员排查后，是供应商文件自身问题导致响应文件无法解密的，该响应文件将不予接收、解密和唱标。开标会议继续进行。</w:t>
            </w:r>
          </w:p>
          <w:p w14:paraId="460CADED">
            <w:pPr>
              <w:spacing w:line="440" w:lineRule="exact"/>
              <w:rPr>
                <w:rFonts w:ascii="宋体" w:hAnsi="宋体" w:cs="宋体"/>
                <w:sz w:val="22"/>
                <w:szCs w:val="20"/>
              </w:rPr>
            </w:pPr>
            <w:r>
              <w:rPr>
                <w:rFonts w:hint="eastAsia" w:ascii="宋体" w:hAnsi="宋体" w:cs="宋体"/>
                <w:sz w:val="22"/>
                <w:szCs w:val="20"/>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4DF0608">
            <w:pPr>
              <w:spacing w:line="440" w:lineRule="exact"/>
              <w:rPr>
                <w:rFonts w:ascii="宋体" w:hAnsi="宋体" w:cs="宋体"/>
                <w:sz w:val="22"/>
                <w:szCs w:val="20"/>
              </w:rPr>
            </w:pPr>
            <w:r>
              <w:rPr>
                <w:rFonts w:hint="eastAsia" w:ascii="宋体" w:hAnsi="宋体" w:cs="宋体"/>
                <w:sz w:val="22"/>
                <w:szCs w:val="20"/>
              </w:rPr>
              <w:t>4、待所有供应商响应文件解密完成后，由中介服务机构操作，对所有已解密响应文件进行唱标。</w:t>
            </w:r>
          </w:p>
          <w:p w14:paraId="7B023FB1">
            <w:pPr>
              <w:spacing w:line="440" w:lineRule="exact"/>
              <w:rPr>
                <w:rFonts w:ascii="宋体" w:hAnsi="宋体" w:cs="宋体"/>
                <w:sz w:val="22"/>
                <w:szCs w:val="20"/>
              </w:rPr>
            </w:pPr>
            <w:r>
              <w:rPr>
                <w:rFonts w:hint="eastAsia" w:ascii="宋体" w:hAnsi="宋体" w:cs="宋体"/>
                <w:b/>
                <w:sz w:val="22"/>
                <w:szCs w:val="20"/>
              </w:rPr>
              <w:t>供应商应保证在开标期间电话、电脑、网络能够正常工作，供应商因停电、电脑病毒、网络堵塞等原因，未在规定的解密时间内对响应文件进行解密的，其响应文件不予接收、唱标。</w:t>
            </w:r>
          </w:p>
          <w:p w14:paraId="6E8F1C75">
            <w:pPr>
              <w:spacing w:line="440" w:lineRule="exact"/>
              <w:rPr>
                <w:rFonts w:hint="eastAsia" w:ascii="宋体" w:hAnsi="宋体" w:cs="宋体"/>
                <w:sz w:val="22"/>
                <w:szCs w:val="20"/>
                <w:lang w:eastAsia="zh-CN"/>
              </w:rPr>
            </w:pPr>
            <w:r>
              <w:rPr>
                <w:rFonts w:hint="eastAsia" w:ascii="宋体" w:hAnsi="宋体" w:cs="宋体"/>
                <w:sz w:val="22"/>
                <w:szCs w:val="20"/>
              </w:rPr>
              <w:t>5、开标时</w:t>
            </w:r>
            <w:r>
              <w:rPr>
                <w:rFonts w:hint="eastAsia" w:ascii="宋体" w:hAnsi="宋体" w:cs="宋体"/>
                <w:sz w:val="22"/>
                <w:szCs w:val="20"/>
                <w:lang w:eastAsia="zh-CN"/>
              </w:rPr>
              <w:t>供应商</w:t>
            </w:r>
            <w:r>
              <w:rPr>
                <w:rFonts w:hint="eastAsia" w:ascii="宋体" w:hAnsi="宋体" w:cs="宋体"/>
                <w:sz w:val="22"/>
                <w:szCs w:val="20"/>
              </w:rPr>
              <w:t>可登录到交易系统中在开标大厅中点击开标一览表查看自己的报价。如对自己的唱标内容有异议的，应在唱标内容显示后10分钟内向中服务机构通过开标大厅对话框提出质疑。中介服务机构做好书面记录。</w:t>
            </w:r>
            <w:r>
              <w:rPr>
                <w:rFonts w:hint="eastAsia" w:ascii="宋体" w:hAnsi="宋体" w:cs="宋体"/>
                <w:sz w:val="22"/>
                <w:szCs w:val="20"/>
                <w:lang w:eastAsia="zh-CN"/>
              </w:rPr>
              <w:t>供应商</w:t>
            </w:r>
            <w:r>
              <w:rPr>
                <w:rFonts w:hint="eastAsia" w:ascii="宋体" w:hAnsi="宋体" w:cs="宋体"/>
                <w:sz w:val="22"/>
                <w:szCs w:val="20"/>
              </w:rPr>
              <w:t>未在规定时间内提出质疑的，视为认可</w:t>
            </w:r>
            <w:r>
              <w:rPr>
                <w:rFonts w:hint="eastAsia" w:ascii="宋体" w:hAnsi="宋体" w:cs="宋体"/>
                <w:sz w:val="22"/>
                <w:szCs w:val="20"/>
                <w:lang w:eastAsia="zh-CN"/>
              </w:rPr>
              <w:t>唱标内容。</w:t>
            </w:r>
          </w:p>
          <w:p w14:paraId="05E110DF">
            <w:pPr>
              <w:spacing w:line="440" w:lineRule="exact"/>
              <w:rPr>
                <w:rFonts w:hint="eastAsia" w:ascii="宋体" w:hAnsi="宋体" w:cs="宋体"/>
                <w:sz w:val="22"/>
                <w:szCs w:val="20"/>
                <w:lang w:eastAsia="zh-CN"/>
              </w:rPr>
            </w:pPr>
            <w:r>
              <w:rPr>
                <w:rFonts w:hint="eastAsia" w:ascii="宋体" w:hAnsi="宋体" w:cs="宋体"/>
                <w:sz w:val="22"/>
                <w:szCs w:val="20"/>
                <w:lang w:eastAsia="zh-CN"/>
              </w:rPr>
              <w:t>6、评标时，磋商小组对电子化响应文件有质疑的，将通过电子化交易系统对供应商发起质疑，供应商的回复文件必须以经过供应商和其法定代表人签章的PDF 格式文件为准，并通过电子化交易系统提交至磋商小组。</w:t>
            </w:r>
          </w:p>
          <w:p w14:paraId="5239696E">
            <w:pPr>
              <w:spacing w:line="440" w:lineRule="exact"/>
              <w:rPr>
                <w:rFonts w:hint="eastAsia" w:ascii="宋体" w:hAnsi="宋体" w:cs="宋体"/>
                <w:sz w:val="22"/>
                <w:szCs w:val="20"/>
              </w:rPr>
            </w:pPr>
            <w:r>
              <w:rPr>
                <w:rFonts w:hint="eastAsia" w:ascii="宋体" w:hAnsi="宋体" w:cs="宋体"/>
                <w:sz w:val="22"/>
                <w:szCs w:val="20"/>
                <w:lang w:eastAsia="zh-CN"/>
              </w:rPr>
              <w:t>7、如评标委员会对需要回</w:t>
            </w:r>
            <w:r>
              <w:rPr>
                <w:rFonts w:hint="eastAsia" w:ascii="宋体" w:hAnsi="宋体" w:cs="宋体"/>
                <w:sz w:val="22"/>
                <w:szCs w:val="20"/>
              </w:rPr>
              <w:t>复的</w:t>
            </w:r>
            <w:r>
              <w:rPr>
                <w:rFonts w:hint="eastAsia" w:ascii="宋体" w:hAnsi="宋体" w:cs="宋体"/>
                <w:sz w:val="22"/>
                <w:szCs w:val="20"/>
                <w:lang w:eastAsia="zh-CN"/>
              </w:rPr>
              <w:t>供应商</w:t>
            </w:r>
            <w:r>
              <w:rPr>
                <w:rFonts w:hint="eastAsia" w:ascii="宋体" w:hAnsi="宋体" w:cs="宋体"/>
                <w:sz w:val="22"/>
                <w:szCs w:val="20"/>
              </w:rPr>
              <w:t>在规定时间内通过电子化交易系统未收到回复的，视为</w:t>
            </w:r>
            <w:r>
              <w:rPr>
                <w:rFonts w:hint="eastAsia" w:ascii="宋体" w:hAnsi="宋体" w:cs="宋体"/>
                <w:sz w:val="22"/>
                <w:szCs w:val="20"/>
                <w:lang w:eastAsia="zh-CN"/>
              </w:rPr>
              <w:t>供应商</w:t>
            </w:r>
            <w:r>
              <w:rPr>
                <w:rFonts w:hint="eastAsia" w:ascii="宋体" w:hAnsi="宋体" w:cs="宋体"/>
                <w:sz w:val="22"/>
                <w:szCs w:val="20"/>
              </w:rPr>
              <w:t>放弃回复，评标委员会将自行对需要回复的内容进行认定。</w:t>
            </w:r>
          </w:p>
          <w:p w14:paraId="1A5D034C">
            <w:pPr>
              <w:spacing w:line="440" w:lineRule="exact"/>
              <w:rPr>
                <w:rFonts w:ascii="宋体" w:hAnsi="宋体" w:cs="宋体"/>
                <w:b/>
                <w:bCs/>
                <w:sz w:val="22"/>
                <w:szCs w:val="20"/>
              </w:rPr>
            </w:pPr>
            <w:r>
              <w:rPr>
                <w:rFonts w:hint="eastAsia" w:ascii="宋体" w:hAnsi="宋体" w:cs="宋体"/>
                <w:b/>
                <w:bCs/>
                <w:sz w:val="22"/>
                <w:szCs w:val="20"/>
              </w:rPr>
              <w:t>二、相关证书原件的提交</w:t>
            </w:r>
          </w:p>
          <w:p w14:paraId="0780FCC5">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50AF00A4">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一）评标时，评委先查阅响应文件中是否具有该资料的原件扫描件，其上传资料真实性由供应商自行承担，同时，供应商需要完善主体库信息。本项目需要提交的原件扫描件以响应截止时间前在以供应商自行上传到响应文件中的相应内容为准。规定时间外上传或更改的信息不作为评标依据。评标时不接受供应商所提交的任何原件。</w:t>
            </w:r>
          </w:p>
          <w:p w14:paraId="2FC723A6">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(二）供应商需应仔细阅读操作手册，保证上传内容齐全，真实有效，原件扫描件清晰可辨。因供应商上传原因导致应得分项而未得分或资格审查不合格等情况的，由供应商自行承担责任。</w:t>
            </w:r>
          </w:p>
          <w:p w14:paraId="7DE6F588">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提示：本项目为电子化、无纸化交易项目，开标时不再接受任何纸质资料，为保证您能开标成功，请需仔细阅读以上条款。</w:t>
            </w:r>
          </w:p>
        </w:tc>
      </w:tr>
      <w:tr w14:paraId="17D4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721" w:type="dxa"/>
            <w:tcBorders>
              <w:top w:val="single" w:color="auto" w:sz="6" w:space="0"/>
              <w:left w:val="single" w:color="auto" w:sz="12" w:space="0"/>
              <w:bottom w:val="single" w:color="auto" w:sz="6" w:space="0"/>
              <w:right w:val="single" w:color="auto" w:sz="6" w:space="0"/>
            </w:tcBorders>
            <w:noWrap w:val="0"/>
            <w:vAlign w:val="center"/>
          </w:tcPr>
          <w:p w14:paraId="772126A3">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43</w:t>
            </w:r>
          </w:p>
        </w:tc>
        <w:tc>
          <w:tcPr>
            <w:tcW w:w="129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606DBBA">
            <w:pPr>
              <w:adjustRightInd w:val="0"/>
              <w:snapToGrid w:val="0"/>
              <w:spacing w:line="360" w:lineRule="auto"/>
              <w:jc w:val="center"/>
              <w:rPr>
                <w:rFonts w:hint="eastAsia" w:ascii="宋体" w:hAnsi="宋体" w:cs="宋体" w:eastAsiaTheme="minorEastAsia"/>
                <w:b/>
                <w:bCs/>
                <w:spacing w:val="11"/>
                <w:kern w:val="2"/>
                <w:sz w:val="22"/>
                <w:szCs w:val="22"/>
                <w:lang w:val="en-US" w:eastAsia="zh-CN" w:bidi="ar-SA"/>
              </w:rPr>
            </w:pPr>
            <w:r>
              <w:rPr>
                <w:rFonts w:hint="eastAsia" w:ascii="宋体" w:hAnsi="宋体"/>
                <w:sz w:val="22"/>
                <w:szCs w:val="22"/>
              </w:rPr>
              <w:t>其他</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top"/>
          </w:tcPr>
          <w:p w14:paraId="1618A180">
            <w:pPr>
              <w:widowControl/>
              <w:spacing w:line="440" w:lineRule="exact"/>
              <w:jc w:val="left"/>
              <w:rPr>
                <w:rFonts w:ascii="宋体" w:hAnsi="宋体" w:cs="宋体"/>
                <w:kern w:val="0"/>
                <w:sz w:val="22"/>
                <w:szCs w:val="21"/>
              </w:rPr>
            </w:pPr>
            <w:r>
              <w:rPr>
                <w:rFonts w:hint="eastAsia" w:ascii="宋体" w:hAnsi="宋体" w:cs="宋体"/>
                <w:kern w:val="0"/>
                <w:sz w:val="22"/>
                <w:szCs w:val="21"/>
              </w:rPr>
              <w:t>1、电子化响应文件应在</w:t>
            </w:r>
            <w:r>
              <w:rPr>
                <w:rFonts w:hint="eastAsia" w:ascii="宋体" w:hAnsi="宋体" w:cs="宋体"/>
                <w:kern w:val="0"/>
                <w:sz w:val="22"/>
                <w:szCs w:val="21"/>
                <w:lang w:eastAsia="zh-CN"/>
              </w:rPr>
              <w:t>磋商</w:t>
            </w:r>
            <w:r>
              <w:rPr>
                <w:rFonts w:hint="eastAsia" w:ascii="宋体" w:hAnsi="宋体" w:cs="宋体"/>
                <w:kern w:val="0"/>
                <w:sz w:val="22"/>
                <w:szCs w:val="21"/>
              </w:rPr>
              <w:t>截止时间前成功上传至三门峡市公共资源电子化交易系统。至</w:t>
            </w:r>
            <w:r>
              <w:rPr>
                <w:rFonts w:hint="eastAsia" w:ascii="宋体" w:hAnsi="宋体" w:cs="宋体"/>
                <w:kern w:val="0"/>
                <w:sz w:val="22"/>
                <w:szCs w:val="21"/>
                <w:lang w:eastAsia="zh-CN"/>
              </w:rPr>
              <w:t>磋商</w:t>
            </w:r>
            <w:r>
              <w:rPr>
                <w:rFonts w:hint="eastAsia" w:ascii="宋体" w:hAnsi="宋体" w:cs="宋体"/>
                <w:kern w:val="0"/>
                <w:sz w:val="22"/>
                <w:szCs w:val="21"/>
              </w:rPr>
              <w:t>截止时间止，仍未上传成功的电子化响应文件，将不予接受 。</w:t>
            </w:r>
          </w:p>
          <w:p w14:paraId="4A3871C2">
            <w:pPr>
              <w:widowControl/>
              <w:spacing w:line="440" w:lineRule="exact"/>
              <w:jc w:val="left"/>
              <w:rPr>
                <w:rFonts w:ascii="宋体" w:hAnsi="宋体" w:cs="宋体"/>
                <w:kern w:val="0"/>
                <w:sz w:val="22"/>
                <w:szCs w:val="21"/>
              </w:rPr>
            </w:pPr>
            <w:r>
              <w:rPr>
                <w:rFonts w:hint="eastAsia" w:ascii="宋体" w:hAnsi="宋体" w:cs="宋体"/>
                <w:kern w:val="0"/>
                <w:sz w:val="22"/>
                <w:szCs w:val="21"/>
              </w:rPr>
              <w:t>2、成交人领取通知书时，须提供与上传电子版内容一致的纸质版响应文件</w:t>
            </w:r>
            <w:r>
              <w:rPr>
                <w:rFonts w:hint="eastAsia" w:ascii="宋体" w:hAnsi="宋体" w:cs="宋体"/>
                <w:kern w:val="0"/>
                <w:sz w:val="22"/>
                <w:szCs w:val="21"/>
                <w:lang w:val="en-US" w:eastAsia="zh-CN"/>
              </w:rPr>
              <w:t>三</w:t>
            </w:r>
            <w:r>
              <w:rPr>
                <w:rFonts w:hint="eastAsia" w:ascii="宋体" w:hAnsi="宋体" w:cs="宋体"/>
                <w:kern w:val="0"/>
                <w:sz w:val="22"/>
                <w:szCs w:val="21"/>
              </w:rPr>
              <w:t>份</w:t>
            </w:r>
            <w:r>
              <w:rPr>
                <w:rFonts w:hint="eastAsia" w:ascii="宋体" w:hAnsi="宋体" w:eastAsia="宋体" w:cs="宋体"/>
                <w:snapToGrid w:val="0"/>
                <w:sz w:val="22"/>
                <w:szCs w:val="22"/>
                <w:highlight w:val="none"/>
                <w:lang w:val="en-US" w:eastAsia="zh-CN"/>
              </w:rPr>
              <w:t>（</w:t>
            </w:r>
            <w:r>
              <w:rPr>
                <w:rFonts w:hint="eastAsia" w:ascii="宋体" w:hAnsi="宋体" w:cs="宋体"/>
                <w:kern w:val="0"/>
                <w:sz w:val="22"/>
                <w:szCs w:val="21"/>
              </w:rPr>
              <w:t>响应文件</w:t>
            </w:r>
            <w:r>
              <w:rPr>
                <w:rFonts w:hint="eastAsia" w:ascii="宋体" w:hAnsi="宋体" w:eastAsia="宋体" w:cs="宋体"/>
                <w:snapToGrid w:val="0"/>
                <w:sz w:val="22"/>
                <w:szCs w:val="22"/>
                <w:highlight w:val="none"/>
                <w:lang w:val="en-US" w:eastAsia="zh-CN"/>
              </w:rPr>
              <w:t>应按以下要求装订：胶装，应有目录，并逐页标注连续页码）</w:t>
            </w:r>
            <w:r>
              <w:rPr>
                <w:rFonts w:hint="eastAsia" w:ascii="宋体" w:hAnsi="宋体" w:cs="宋体"/>
                <w:kern w:val="0"/>
                <w:sz w:val="22"/>
                <w:szCs w:val="21"/>
              </w:rPr>
              <w:t xml:space="preserve"> 。</w:t>
            </w:r>
          </w:p>
          <w:p w14:paraId="0CCA762B">
            <w:pPr>
              <w:widowControl/>
              <w:spacing w:line="440" w:lineRule="exact"/>
              <w:jc w:val="left"/>
              <w:rPr>
                <w:rFonts w:ascii="宋体" w:hAnsi="宋体" w:cs="宋体"/>
                <w:kern w:val="0"/>
                <w:sz w:val="22"/>
                <w:szCs w:val="21"/>
              </w:rPr>
            </w:pPr>
            <w:r>
              <w:rPr>
                <w:rFonts w:hint="eastAsia" w:ascii="宋体" w:hAnsi="宋体" w:cs="宋体"/>
                <w:kern w:val="0"/>
                <w:sz w:val="22"/>
                <w:szCs w:val="21"/>
              </w:rPr>
              <w:t xml:space="preserve">3、供应商成交后必须向采购人提供与所投相同的同质量、品质的服务。供应商必须在规定时间内对采购人进行服务，不得拖延。 </w:t>
            </w:r>
          </w:p>
          <w:p w14:paraId="051A07B2">
            <w:pPr>
              <w:widowControl/>
              <w:spacing w:line="440" w:lineRule="exact"/>
              <w:jc w:val="left"/>
              <w:rPr>
                <w:rFonts w:hint="eastAsia" w:ascii="宋体" w:hAnsi="宋体" w:cs="宋体" w:eastAsiaTheme="minorEastAsia"/>
                <w:kern w:val="0"/>
                <w:sz w:val="22"/>
                <w:szCs w:val="21"/>
                <w:lang w:val="en-US" w:eastAsia="zh-CN" w:bidi="ar-SA"/>
              </w:rPr>
            </w:pPr>
            <w:r>
              <w:rPr>
                <w:rFonts w:hint="eastAsia" w:ascii="宋体" w:hAnsi="宋体" w:cs="宋体"/>
                <w:kern w:val="0"/>
                <w:sz w:val="22"/>
                <w:szCs w:val="21"/>
                <w:lang w:val="en-US" w:eastAsia="zh-CN"/>
              </w:rPr>
              <w:t>4</w:t>
            </w:r>
            <w:r>
              <w:rPr>
                <w:rFonts w:hint="eastAsia" w:ascii="宋体" w:hAnsi="宋体" w:cs="宋体"/>
                <w:kern w:val="0"/>
                <w:sz w:val="22"/>
                <w:szCs w:val="21"/>
              </w:rPr>
              <w:t>、在符合相关法律法规的前题下，竞争性磋商文件的解释权归招标人所有。</w:t>
            </w:r>
            <w:r>
              <w:rPr>
                <w:rFonts w:hint="eastAsia" w:ascii="宋体" w:hAnsi="宋体" w:cs="宋体"/>
                <w:kern w:val="0"/>
                <w:sz w:val="22"/>
                <w:szCs w:val="21"/>
                <w:lang w:eastAsia="zh-CN"/>
              </w:rPr>
              <w:t>构成本磋商文件的各个组成文件应互为解释，互为说明；除磋商文件中有特别规定外，按竞争性磋商公告、</w:t>
            </w:r>
            <w:r>
              <w:rPr>
                <w:rFonts w:hint="eastAsia" w:ascii="宋体" w:hAnsi="宋体" w:cs="宋体"/>
                <w:kern w:val="0"/>
                <w:sz w:val="22"/>
                <w:szCs w:val="21"/>
                <w:lang w:val="en-US" w:eastAsia="zh-CN"/>
              </w:rPr>
              <w:t>供应商</w:t>
            </w:r>
            <w:r>
              <w:rPr>
                <w:rFonts w:hint="eastAsia" w:ascii="宋体" w:hAnsi="宋体" w:cs="宋体"/>
                <w:kern w:val="0"/>
                <w:sz w:val="22"/>
                <w:szCs w:val="21"/>
                <w:lang w:eastAsia="zh-CN"/>
              </w:rPr>
              <w:t>须知前附表、</w:t>
            </w:r>
            <w:r>
              <w:rPr>
                <w:rFonts w:hint="eastAsia" w:ascii="宋体" w:hAnsi="宋体" w:cs="宋体"/>
                <w:kern w:val="0"/>
                <w:sz w:val="22"/>
                <w:szCs w:val="21"/>
                <w:lang w:val="zh-CN" w:eastAsia="zh-CN"/>
              </w:rPr>
              <w:t>评标办法</w:t>
            </w:r>
            <w:r>
              <w:rPr>
                <w:rFonts w:hint="eastAsia" w:ascii="宋体" w:hAnsi="宋体" w:cs="宋体"/>
                <w:kern w:val="0"/>
                <w:sz w:val="22"/>
                <w:szCs w:val="21"/>
                <w:lang w:eastAsia="zh-CN"/>
              </w:rPr>
              <w:t>、响应文件格式的先后顺序解释；同一组成文件中就同一事项的规定或约定不一致的，以编排顺序在</w:t>
            </w:r>
            <w:r>
              <w:rPr>
                <w:rFonts w:hint="eastAsia" w:ascii="宋体" w:hAnsi="宋体" w:cs="宋体"/>
                <w:kern w:val="0"/>
                <w:sz w:val="22"/>
                <w:szCs w:val="21"/>
                <w:lang w:val="en-US" w:eastAsia="zh-CN"/>
              </w:rPr>
              <w:t>前</w:t>
            </w:r>
            <w:r>
              <w:rPr>
                <w:rFonts w:hint="eastAsia" w:ascii="宋体" w:hAnsi="宋体" w:cs="宋体"/>
                <w:kern w:val="0"/>
                <w:sz w:val="22"/>
                <w:szCs w:val="21"/>
                <w:lang w:eastAsia="zh-CN"/>
              </w:rPr>
              <w:t>者为准；同一组成文件不同版本之间有不一致的，以形成时间在</w:t>
            </w:r>
            <w:r>
              <w:rPr>
                <w:rFonts w:hint="eastAsia" w:ascii="宋体" w:hAnsi="宋体" w:cs="宋体"/>
                <w:kern w:val="0"/>
                <w:sz w:val="22"/>
                <w:szCs w:val="21"/>
                <w:lang w:val="en-US" w:eastAsia="zh-CN"/>
              </w:rPr>
              <w:t>前</w:t>
            </w:r>
            <w:r>
              <w:rPr>
                <w:rFonts w:hint="eastAsia" w:ascii="宋体" w:hAnsi="宋体" w:cs="宋体"/>
                <w:kern w:val="0"/>
                <w:sz w:val="22"/>
                <w:szCs w:val="21"/>
                <w:lang w:eastAsia="zh-CN"/>
              </w:rPr>
              <w:t>者为准。按本款前述规定仍不能形成结论的，由采购人</w:t>
            </w:r>
            <w:r>
              <w:rPr>
                <w:rFonts w:hint="eastAsia" w:ascii="宋体" w:hAnsi="宋体" w:cs="宋体"/>
                <w:kern w:val="0"/>
                <w:sz w:val="22"/>
                <w:szCs w:val="21"/>
                <w:lang w:val="en-US" w:eastAsia="zh-CN"/>
              </w:rPr>
              <w:t>或代理公司</w:t>
            </w:r>
            <w:r>
              <w:rPr>
                <w:rFonts w:hint="eastAsia" w:ascii="宋体" w:hAnsi="宋体" w:cs="宋体"/>
                <w:kern w:val="0"/>
                <w:sz w:val="22"/>
                <w:szCs w:val="21"/>
                <w:lang w:eastAsia="zh-CN"/>
              </w:rPr>
              <w:t>负责解释</w:t>
            </w:r>
            <w:r>
              <w:rPr>
                <w:rFonts w:hint="eastAsia" w:ascii="宋体" w:hAnsi="宋体" w:cs="宋体"/>
                <w:kern w:val="0"/>
                <w:sz w:val="22"/>
                <w:szCs w:val="21"/>
              </w:rPr>
              <w:t>。</w:t>
            </w:r>
          </w:p>
        </w:tc>
      </w:tr>
      <w:tr w14:paraId="594F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9004" w:type="dxa"/>
            <w:gridSpan w:val="3"/>
            <w:tcBorders>
              <w:top w:val="single" w:color="auto" w:sz="6" w:space="0"/>
              <w:left w:val="single" w:color="auto" w:sz="12" w:space="0"/>
              <w:bottom w:val="single" w:color="auto" w:sz="6" w:space="0"/>
              <w:right w:val="single" w:color="auto" w:sz="12" w:space="0"/>
            </w:tcBorders>
            <w:noWrap w:val="0"/>
            <w:vAlign w:val="center"/>
          </w:tcPr>
          <w:p w14:paraId="2EBB4B0E">
            <w:pPr>
              <w:widowControl/>
              <w:spacing w:line="440" w:lineRule="exact"/>
              <w:ind w:firstLine="482" w:firstLineChars="200"/>
              <w:jc w:val="left"/>
              <w:rPr>
                <w:rFonts w:hint="eastAsia" w:ascii="宋体" w:hAnsi="宋体" w:cs="宋体"/>
                <w:b/>
                <w:bCs/>
                <w:kern w:val="0"/>
                <w:sz w:val="24"/>
                <w:szCs w:val="22"/>
                <w:highlight w:val="none"/>
                <w:lang w:val="en-US" w:eastAsia="zh-CN"/>
              </w:rPr>
            </w:pPr>
            <w:r>
              <w:rPr>
                <w:rFonts w:hint="eastAsia" w:ascii="宋体" w:hAnsi="宋体" w:cs="宋体"/>
                <w:b/>
                <w:bCs/>
                <w:kern w:val="0"/>
                <w:sz w:val="24"/>
                <w:szCs w:val="22"/>
                <w:highlight w:val="none"/>
                <w:lang w:val="en-US" w:eastAsia="zh-CN"/>
              </w:rPr>
              <w:t>备注：因电子交易系统规则限制，本次磋商采用总价形式提交电子报价，项目成交后，按实际配送金额对应折扣率办理结算。</w:t>
            </w:r>
          </w:p>
          <w:p w14:paraId="29341537">
            <w:pPr>
              <w:widowControl/>
              <w:spacing w:line="440" w:lineRule="exact"/>
              <w:ind w:firstLine="482" w:firstLineChars="200"/>
              <w:jc w:val="left"/>
              <w:rPr>
                <w:rFonts w:hint="default" w:ascii="宋体" w:hAnsi="宋体" w:cs="宋体"/>
                <w:b/>
                <w:bCs/>
                <w:kern w:val="0"/>
                <w:sz w:val="24"/>
                <w:szCs w:val="22"/>
                <w:highlight w:val="none"/>
                <w:lang w:val="en-US" w:eastAsia="zh-CN"/>
              </w:rPr>
            </w:pPr>
            <w:r>
              <w:rPr>
                <w:rFonts w:hint="default" w:ascii="宋体" w:hAnsi="宋体" w:cs="宋体"/>
                <w:b/>
                <w:bCs/>
                <w:kern w:val="0"/>
                <w:sz w:val="24"/>
                <w:szCs w:val="22"/>
                <w:highlight w:val="none"/>
                <w:lang w:val="en-US" w:eastAsia="zh-CN"/>
              </w:rPr>
              <w:t>结算计算公式：最终报价÷磋商控制价×100，</w:t>
            </w:r>
            <w:r>
              <w:rPr>
                <w:rFonts w:hint="eastAsia" w:ascii="宋体" w:hAnsi="宋体" w:cs="宋体"/>
                <w:b/>
                <w:bCs/>
                <w:kern w:val="0"/>
                <w:sz w:val="24"/>
                <w:szCs w:val="22"/>
                <w:highlight w:val="none"/>
                <w:lang w:val="en-US" w:eastAsia="zh-CN"/>
              </w:rPr>
              <w:t>计算</w:t>
            </w:r>
            <w:r>
              <w:rPr>
                <w:rFonts w:hint="default" w:ascii="宋体" w:hAnsi="宋体" w:cs="宋体"/>
                <w:b/>
                <w:bCs/>
                <w:kern w:val="0"/>
                <w:sz w:val="24"/>
                <w:szCs w:val="22"/>
                <w:highlight w:val="none"/>
                <w:lang w:val="en-US" w:eastAsia="zh-CN"/>
              </w:rPr>
              <w:t xml:space="preserve">结果四舍五入保留两位小数。 </w:t>
            </w:r>
          </w:p>
          <w:p w14:paraId="790BC58B">
            <w:pPr>
              <w:widowControl/>
              <w:spacing w:line="440" w:lineRule="exact"/>
              <w:ind w:firstLine="482" w:firstLineChars="200"/>
              <w:jc w:val="left"/>
              <w:rPr>
                <w:rFonts w:hint="default" w:ascii="宋体" w:hAnsi="宋体" w:cs="宋体"/>
                <w:b/>
                <w:bCs/>
                <w:kern w:val="0"/>
                <w:sz w:val="22"/>
                <w:szCs w:val="21"/>
                <w:lang w:val="en-US" w:eastAsia="zh-CN"/>
              </w:rPr>
            </w:pPr>
            <w:r>
              <w:rPr>
                <w:rFonts w:hint="default" w:ascii="宋体" w:hAnsi="宋体" w:cs="宋体"/>
                <w:b/>
                <w:bCs/>
                <w:kern w:val="0"/>
                <w:sz w:val="24"/>
                <w:szCs w:val="22"/>
                <w:highlight w:val="none"/>
                <w:lang w:val="en-US" w:eastAsia="zh-CN"/>
              </w:rPr>
              <w:t>示例：最终报价1000000元，磋商控制价1100000元，结算折扣=1000000÷1100000×100≈91.00%。</w:t>
            </w:r>
          </w:p>
        </w:tc>
      </w:tr>
    </w:tbl>
    <w:p w14:paraId="6F4CF11D"/>
    <w:p w14:paraId="4B5A98B8">
      <w:pPr>
        <w:pStyle w:val="3"/>
        <w:spacing w:before="0" w:beforeAutospacing="0" w:after="0" w:afterAutospacing="0" w:line="240" w:lineRule="auto"/>
        <w:ind w:left="0" w:firstLine="0"/>
        <w:jc w:val="center"/>
      </w:pPr>
      <w:r>
        <w:rPr>
          <w:rFonts w:hint="eastAsia"/>
        </w:rPr>
        <w:t>一、总则</w:t>
      </w:r>
    </w:p>
    <w:p w14:paraId="600E782C">
      <w:pPr>
        <w:spacing w:line="440" w:lineRule="exact"/>
        <w:ind w:firstLine="482" w:firstLineChars="20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项目概况</w:t>
      </w:r>
    </w:p>
    <w:p w14:paraId="251122CD">
      <w:pPr>
        <w:spacing w:line="44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1.1</w:t>
      </w:r>
      <w:r>
        <w:rPr>
          <w:rFonts w:hint="eastAsia" w:ascii="宋体" w:hAnsi="宋体" w:eastAsia="宋体" w:cs="宋体"/>
          <w:b w:val="0"/>
          <w:bCs w:val="0"/>
          <w:color w:val="auto"/>
          <w:kern w:val="0"/>
          <w:sz w:val="24"/>
          <w:szCs w:val="24"/>
          <w:highlight w:val="none"/>
        </w:rPr>
        <w:t>根据《中华人民共和国政府采购法》等有关法律、法规和规章的规定，本</w:t>
      </w:r>
      <w:r>
        <w:rPr>
          <w:rFonts w:hint="eastAsia" w:ascii="宋体" w:hAnsi="宋体" w:eastAsia="宋体" w:cs="宋体"/>
          <w:b w:val="0"/>
          <w:bCs w:val="0"/>
          <w:color w:val="auto"/>
          <w:kern w:val="0"/>
          <w:sz w:val="24"/>
          <w:szCs w:val="24"/>
          <w:highlight w:val="none"/>
          <w:lang w:eastAsia="zh-CN"/>
        </w:rPr>
        <w:t>磋商</w:t>
      </w:r>
      <w:r>
        <w:rPr>
          <w:rFonts w:hint="eastAsia" w:ascii="宋体" w:hAnsi="宋体" w:eastAsia="宋体" w:cs="宋体"/>
          <w:b w:val="0"/>
          <w:bCs w:val="0"/>
          <w:color w:val="auto"/>
          <w:kern w:val="0"/>
          <w:sz w:val="24"/>
          <w:szCs w:val="24"/>
          <w:highlight w:val="none"/>
        </w:rPr>
        <w:t>项目已具备招标条件，现对本项目进行</w:t>
      </w:r>
      <w:r>
        <w:rPr>
          <w:rFonts w:hint="eastAsia" w:ascii="宋体" w:hAnsi="宋体" w:eastAsia="宋体" w:cs="宋体"/>
          <w:b w:val="0"/>
          <w:bCs w:val="0"/>
          <w:color w:val="auto"/>
          <w:kern w:val="0"/>
          <w:sz w:val="24"/>
          <w:szCs w:val="24"/>
          <w:highlight w:val="none"/>
          <w:lang w:eastAsia="zh-CN"/>
        </w:rPr>
        <w:t>竞争性磋商</w:t>
      </w:r>
      <w:r>
        <w:rPr>
          <w:rFonts w:hint="eastAsia" w:ascii="宋体" w:hAnsi="宋体" w:eastAsia="宋体" w:cs="宋体"/>
          <w:b w:val="0"/>
          <w:bCs w:val="0"/>
          <w:color w:val="auto"/>
          <w:kern w:val="0"/>
          <w:sz w:val="24"/>
          <w:szCs w:val="24"/>
          <w:highlight w:val="none"/>
        </w:rPr>
        <w:t>。</w:t>
      </w:r>
    </w:p>
    <w:p w14:paraId="4BB962D7">
      <w:pPr>
        <w:spacing w:line="440" w:lineRule="exact"/>
        <w:ind w:firstLine="480" w:firstLineChars="200"/>
        <w:rPr>
          <w:rFonts w:ascii="宋体" w:hAnsi="宋体"/>
          <w:b w:val="0"/>
          <w:bCs w:val="0"/>
          <w:sz w:val="24"/>
          <w:szCs w:val="24"/>
        </w:rPr>
      </w:pPr>
      <w:r>
        <w:rPr>
          <w:rFonts w:hint="eastAsia" w:ascii="宋体" w:hAnsi="宋体"/>
          <w:b w:val="0"/>
          <w:bCs w:val="0"/>
          <w:sz w:val="24"/>
          <w:szCs w:val="24"/>
          <w:lang w:val="en-US" w:eastAsia="zh-CN"/>
        </w:rPr>
        <w:t>1.2</w:t>
      </w:r>
      <w:r>
        <w:rPr>
          <w:rFonts w:ascii="宋体" w:hAnsi="宋体"/>
          <w:b w:val="0"/>
          <w:bCs w:val="0"/>
          <w:sz w:val="24"/>
          <w:szCs w:val="24"/>
        </w:rPr>
        <w:t>采购</w:t>
      </w:r>
      <w:r>
        <w:rPr>
          <w:rFonts w:hint="eastAsia" w:ascii="宋体" w:hAnsi="宋体"/>
          <w:b w:val="0"/>
          <w:bCs w:val="0"/>
          <w:sz w:val="24"/>
          <w:szCs w:val="24"/>
          <w:lang w:val="en-US" w:eastAsia="zh-CN"/>
        </w:rPr>
        <w:t>内容</w:t>
      </w:r>
      <w:r>
        <w:rPr>
          <w:rFonts w:ascii="宋体" w:hAnsi="宋体"/>
          <w:b w:val="0"/>
          <w:bCs w:val="0"/>
          <w:sz w:val="24"/>
          <w:szCs w:val="24"/>
        </w:rPr>
        <w:t>：</w:t>
      </w:r>
      <w:r>
        <w:rPr>
          <w:rFonts w:hint="eastAsia" w:asciiTheme="minorEastAsia" w:hAnsiTheme="minorEastAsia" w:eastAsiaTheme="minorEastAsia" w:cstheme="minorEastAsia"/>
          <w:spacing w:val="6"/>
          <w:kern w:val="2"/>
          <w:sz w:val="24"/>
          <w:szCs w:val="24"/>
          <w:lang w:val="en-US" w:eastAsia="zh-CN" w:bidi="ar-SA"/>
        </w:rPr>
        <w:t>对采购人提供</w:t>
      </w:r>
      <w:r>
        <w:rPr>
          <w:rFonts w:hint="eastAsia" w:asciiTheme="minorEastAsia" w:hAnsiTheme="minorEastAsia" w:cstheme="minorEastAsia"/>
          <w:spacing w:val="6"/>
          <w:kern w:val="2"/>
          <w:sz w:val="24"/>
          <w:szCs w:val="24"/>
          <w:lang w:val="en-US" w:eastAsia="zh-CN" w:bidi="ar-SA"/>
        </w:rPr>
        <w:t>（包括但不限于）</w:t>
      </w:r>
      <w:r>
        <w:rPr>
          <w:rFonts w:hint="eastAsia" w:asciiTheme="minorEastAsia" w:hAnsiTheme="minorEastAsia" w:eastAsiaTheme="minorEastAsia" w:cstheme="minorEastAsia"/>
          <w:spacing w:val="6"/>
          <w:kern w:val="2"/>
          <w:sz w:val="24"/>
          <w:szCs w:val="24"/>
          <w:lang w:val="en-US" w:eastAsia="zh-CN" w:bidi="ar-SA"/>
        </w:rPr>
        <w:t>蔬果、禽蛋、禽畜肉、水产品、饮品、米面粮油、调料干杂等食材供应，供应商要严格遵守相关法律法规及行业标准，确保相关服务达到验收标准。（详见竞争性磋商文件）</w:t>
      </w:r>
    </w:p>
    <w:p w14:paraId="18351996">
      <w:pPr>
        <w:spacing w:line="440" w:lineRule="exact"/>
        <w:ind w:firstLine="480" w:firstLineChars="200"/>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1.3项目名称：</w:t>
      </w:r>
      <w:r>
        <w:rPr>
          <w:rFonts w:hint="eastAsia" w:ascii="宋体" w:hAnsi="宋体" w:cs="宋体"/>
          <w:b w:val="0"/>
          <w:bCs w:val="0"/>
          <w:sz w:val="24"/>
          <w:szCs w:val="24"/>
        </w:rPr>
        <w:t>见</w:t>
      </w:r>
      <w:r>
        <w:rPr>
          <w:rFonts w:hint="eastAsia" w:ascii="宋体" w:hAnsi="宋体"/>
          <w:b w:val="0"/>
          <w:bCs w:val="0"/>
          <w:sz w:val="24"/>
          <w:szCs w:val="24"/>
        </w:rPr>
        <w:t>供应商须知前附表。</w:t>
      </w:r>
    </w:p>
    <w:p w14:paraId="051F5BD2">
      <w:pPr>
        <w:spacing w:line="440" w:lineRule="exact"/>
        <w:ind w:firstLine="480" w:firstLineChars="200"/>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lang w:val="en-US" w:eastAsia="zh-CN"/>
        </w:rPr>
        <w:t>4</w:t>
      </w:r>
      <w:r>
        <w:rPr>
          <w:rFonts w:hint="eastAsia" w:ascii="宋体" w:hAnsi="宋体" w:cs="宋体"/>
          <w:b w:val="0"/>
          <w:bCs w:val="0"/>
          <w:sz w:val="24"/>
          <w:szCs w:val="24"/>
        </w:rPr>
        <w:t>资金来源：见</w:t>
      </w:r>
      <w:r>
        <w:rPr>
          <w:rFonts w:hint="eastAsia" w:ascii="宋体" w:hAnsi="宋体"/>
          <w:b w:val="0"/>
          <w:bCs w:val="0"/>
          <w:sz w:val="24"/>
          <w:szCs w:val="24"/>
        </w:rPr>
        <w:t>供应商须知前附表。</w:t>
      </w:r>
    </w:p>
    <w:p w14:paraId="63B5D205">
      <w:pPr>
        <w:spacing w:line="44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cs="宋体"/>
          <w:b w:val="0"/>
          <w:bCs w:val="0"/>
          <w:sz w:val="24"/>
          <w:szCs w:val="24"/>
        </w:rPr>
        <w:t>预算资金：见供应商须知前附表。</w:t>
      </w:r>
    </w:p>
    <w:p w14:paraId="335A97CD">
      <w:pPr>
        <w:spacing w:line="440" w:lineRule="exact"/>
        <w:ind w:firstLine="480" w:firstLineChars="200"/>
        <w:rPr>
          <w:rFonts w:ascii="宋体" w:hAnsi="宋体" w:cs="宋体"/>
          <w:b w:val="0"/>
          <w:bCs w:val="0"/>
          <w:sz w:val="24"/>
          <w:szCs w:val="24"/>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6</w:t>
      </w:r>
      <w:r>
        <w:rPr>
          <w:rFonts w:hint="eastAsia" w:ascii="宋体" w:hAnsi="宋体" w:cs="宋体"/>
          <w:b w:val="0"/>
          <w:bCs w:val="0"/>
          <w:sz w:val="24"/>
          <w:szCs w:val="24"/>
        </w:rPr>
        <w:t>质量</w:t>
      </w:r>
      <w:r>
        <w:rPr>
          <w:rFonts w:hint="eastAsia" w:ascii="宋体" w:hAnsi="宋体" w:cs="宋体"/>
          <w:b w:val="0"/>
          <w:bCs w:val="0"/>
          <w:sz w:val="24"/>
          <w:szCs w:val="24"/>
          <w:lang w:val="en-US" w:eastAsia="zh-CN"/>
        </w:rPr>
        <w:t>标准</w:t>
      </w:r>
      <w:r>
        <w:rPr>
          <w:rFonts w:hint="eastAsia" w:ascii="宋体" w:hAnsi="宋体" w:cs="宋体"/>
          <w:b w:val="0"/>
          <w:bCs w:val="0"/>
          <w:sz w:val="24"/>
          <w:szCs w:val="24"/>
        </w:rPr>
        <w:t>：见供应商须知前附表。</w:t>
      </w:r>
    </w:p>
    <w:p w14:paraId="1A87D8DE">
      <w:pPr>
        <w:spacing w:line="44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7</w:t>
      </w:r>
      <w:r>
        <w:rPr>
          <w:rFonts w:hint="eastAsia" w:asciiTheme="minorEastAsia" w:hAnsiTheme="minorEastAsia" w:cstheme="minorEastAsia"/>
          <w:sz w:val="24"/>
          <w:szCs w:val="24"/>
          <w:lang w:val="en-US" w:eastAsia="zh-CN"/>
        </w:rPr>
        <w:t>服务期限</w:t>
      </w:r>
      <w:r>
        <w:rPr>
          <w:rFonts w:hint="eastAsia" w:ascii="宋体" w:hAnsi="宋体" w:cs="宋体"/>
          <w:b w:val="0"/>
          <w:bCs w:val="0"/>
          <w:sz w:val="24"/>
          <w:szCs w:val="24"/>
        </w:rPr>
        <w:t>：</w:t>
      </w:r>
      <w:bookmarkStart w:id="15" w:name="_Hlk216276803"/>
      <w:r>
        <w:rPr>
          <w:rFonts w:hint="eastAsia" w:ascii="宋体" w:hAnsi="宋体" w:cs="宋体"/>
          <w:b w:val="0"/>
          <w:bCs w:val="0"/>
          <w:sz w:val="24"/>
          <w:szCs w:val="24"/>
        </w:rPr>
        <w:t>见供应商须知前附表。</w:t>
      </w:r>
      <w:bookmarkEnd w:id="15"/>
    </w:p>
    <w:p w14:paraId="05AC5C67">
      <w:pPr>
        <w:spacing w:line="440" w:lineRule="exact"/>
        <w:ind w:firstLine="480" w:firstLineChars="200"/>
        <w:rPr>
          <w:rFonts w:ascii="宋体" w:hAnsi="宋体" w:cs="宋体"/>
          <w:b w:val="0"/>
          <w:bCs w:val="0"/>
          <w:sz w:val="24"/>
          <w:szCs w:val="24"/>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8</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地点</w:t>
      </w:r>
      <w:r>
        <w:rPr>
          <w:rFonts w:hint="eastAsia" w:ascii="宋体" w:hAnsi="宋体" w:cs="宋体"/>
          <w:b w:val="0"/>
          <w:bCs w:val="0"/>
          <w:sz w:val="24"/>
          <w:szCs w:val="24"/>
        </w:rPr>
        <w:t>：</w:t>
      </w:r>
      <w:r>
        <w:rPr>
          <w:rFonts w:hint="eastAsia" w:ascii="宋体" w:hAnsi="宋体"/>
          <w:b w:val="0"/>
          <w:bCs w:val="0"/>
          <w:sz w:val="24"/>
          <w:szCs w:val="24"/>
        </w:rPr>
        <w:t>见供应商须知前附表。</w:t>
      </w:r>
    </w:p>
    <w:p w14:paraId="17A8A75E">
      <w:pPr>
        <w:spacing w:line="440" w:lineRule="exact"/>
        <w:ind w:firstLine="480" w:firstLineChars="200"/>
        <w:rPr>
          <w:rFonts w:ascii="宋体" w:hAnsi="宋体" w:cs="宋体"/>
          <w:b w:val="0"/>
          <w:bCs w:val="0"/>
          <w:sz w:val="24"/>
          <w:szCs w:val="24"/>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9</w:t>
      </w:r>
      <w:r>
        <w:rPr>
          <w:rFonts w:hint="eastAsia" w:asciiTheme="minorEastAsia" w:hAnsiTheme="minorEastAsia" w:eastAsiaTheme="minorEastAsia" w:cstheme="minorEastAsia"/>
          <w:sz w:val="24"/>
          <w:szCs w:val="24"/>
        </w:rPr>
        <w:t>合同履行期限</w:t>
      </w:r>
      <w:r>
        <w:rPr>
          <w:rFonts w:hint="eastAsia" w:ascii="宋体" w:hAnsi="宋体" w:cs="宋体"/>
          <w:b w:val="0"/>
          <w:bCs w:val="0"/>
          <w:sz w:val="24"/>
          <w:szCs w:val="24"/>
        </w:rPr>
        <w:t>：见供应商须知前附表。</w:t>
      </w:r>
    </w:p>
    <w:p w14:paraId="7B7A49B9">
      <w:pPr>
        <w:spacing w:line="360" w:lineRule="auto"/>
        <w:ind w:firstLine="424" w:firstLineChars="176"/>
        <w:rPr>
          <w:rFonts w:hint="eastAsia" w:ascii="宋体" w:hAnsi="宋体" w:eastAsiaTheme="minorEastAsia"/>
          <w:b/>
          <w:bCs/>
          <w:sz w:val="24"/>
          <w:szCs w:val="24"/>
          <w:lang w:eastAsia="zh-CN"/>
        </w:rPr>
      </w:pPr>
      <w:r>
        <w:rPr>
          <w:rFonts w:ascii="宋体" w:hAnsi="宋体"/>
          <w:b/>
          <w:bCs/>
          <w:sz w:val="24"/>
          <w:szCs w:val="24"/>
        </w:rPr>
        <w:t>2</w:t>
      </w:r>
      <w:r>
        <w:rPr>
          <w:rFonts w:hint="eastAsia" w:ascii="宋体" w:hAnsi="宋体"/>
          <w:b/>
          <w:bCs/>
          <w:sz w:val="24"/>
          <w:szCs w:val="24"/>
        </w:rPr>
        <w:t>、合格的</w:t>
      </w:r>
      <w:r>
        <w:rPr>
          <w:rFonts w:hint="eastAsia" w:ascii="宋体" w:hAnsi="宋体"/>
          <w:b/>
          <w:bCs/>
          <w:sz w:val="24"/>
          <w:szCs w:val="24"/>
          <w:lang w:val="en-US" w:eastAsia="zh-CN"/>
        </w:rPr>
        <w:t>供应商</w:t>
      </w:r>
      <w:r>
        <w:rPr>
          <w:rFonts w:hint="eastAsia" w:ascii="宋体" w:hAnsi="宋体"/>
          <w:b/>
          <w:bCs/>
          <w:sz w:val="24"/>
          <w:szCs w:val="24"/>
          <w:lang w:eastAsia="zh-CN"/>
        </w:rPr>
        <w:t>（具体详见</w:t>
      </w:r>
      <w:r>
        <w:rPr>
          <w:rFonts w:hint="eastAsia" w:ascii="宋体" w:hAnsi="宋体"/>
          <w:b/>
          <w:bCs/>
          <w:sz w:val="24"/>
          <w:szCs w:val="24"/>
          <w:lang w:val="en-US" w:eastAsia="zh-CN"/>
        </w:rPr>
        <w:t>供应商</w:t>
      </w:r>
      <w:r>
        <w:rPr>
          <w:rFonts w:hint="eastAsia" w:ascii="宋体" w:hAnsi="宋体"/>
          <w:b/>
          <w:bCs/>
          <w:sz w:val="24"/>
          <w:szCs w:val="24"/>
          <w:lang w:eastAsia="zh-CN"/>
        </w:rPr>
        <w:t>须知前附表）</w:t>
      </w:r>
    </w:p>
    <w:p w14:paraId="012C8463">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 xml:space="preserve">2.1 </w:t>
      </w:r>
      <w:r>
        <w:rPr>
          <w:rFonts w:hint="eastAsia" w:ascii="宋体" w:hAnsi="宋体"/>
          <w:kern w:val="0"/>
          <w:sz w:val="24"/>
          <w:szCs w:val="24"/>
        </w:rPr>
        <w:t>磋商范围</w:t>
      </w:r>
      <w:r>
        <w:rPr>
          <w:rFonts w:hint="eastAsia" w:ascii="宋体" w:hAnsi="宋体"/>
          <w:kern w:val="0"/>
          <w:sz w:val="24"/>
          <w:szCs w:val="24"/>
          <w:lang w:eastAsia="zh-CN"/>
        </w:rPr>
        <w:t>：</w:t>
      </w:r>
      <w:r>
        <w:rPr>
          <w:rFonts w:hint="eastAsia" w:ascii="宋体" w:hAnsi="宋体"/>
          <w:kern w:val="0"/>
          <w:sz w:val="24"/>
          <w:szCs w:val="24"/>
        </w:rPr>
        <w:t>见</w:t>
      </w:r>
      <w:r>
        <w:rPr>
          <w:rFonts w:hint="eastAsia" w:ascii="宋体" w:hAnsi="宋体"/>
          <w:b w:val="0"/>
          <w:bCs w:val="0"/>
          <w:sz w:val="24"/>
          <w:szCs w:val="24"/>
          <w:lang w:val="en-US" w:eastAsia="zh-CN"/>
        </w:rPr>
        <w:t>供应商</w:t>
      </w:r>
      <w:r>
        <w:rPr>
          <w:rFonts w:hint="eastAsia" w:ascii="宋体" w:hAnsi="宋体"/>
          <w:kern w:val="0"/>
          <w:sz w:val="24"/>
          <w:szCs w:val="24"/>
        </w:rPr>
        <w:t>须知前附表。</w:t>
      </w:r>
    </w:p>
    <w:p w14:paraId="731C919E">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 xml:space="preserve">.2 </w:t>
      </w:r>
      <w:r>
        <w:rPr>
          <w:rFonts w:hint="eastAsia" w:ascii="宋体" w:hAnsi="宋体"/>
          <w:kern w:val="0"/>
          <w:sz w:val="24"/>
          <w:szCs w:val="24"/>
          <w:lang w:val="en-US" w:eastAsia="zh-CN"/>
        </w:rPr>
        <w:t>供应商</w:t>
      </w:r>
      <w:r>
        <w:rPr>
          <w:rFonts w:hint="eastAsia" w:ascii="宋体" w:hAnsi="宋体"/>
          <w:kern w:val="0"/>
          <w:sz w:val="24"/>
          <w:szCs w:val="24"/>
        </w:rPr>
        <w:t>资格要求：见</w:t>
      </w:r>
      <w:r>
        <w:rPr>
          <w:rFonts w:hint="eastAsia" w:ascii="宋体" w:hAnsi="宋体"/>
          <w:b w:val="0"/>
          <w:bCs w:val="0"/>
          <w:sz w:val="24"/>
          <w:szCs w:val="24"/>
          <w:lang w:val="en-US" w:eastAsia="zh-CN"/>
        </w:rPr>
        <w:t>供应商</w:t>
      </w:r>
      <w:r>
        <w:rPr>
          <w:rFonts w:hint="eastAsia" w:ascii="宋体" w:hAnsi="宋体"/>
          <w:kern w:val="0"/>
          <w:sz w:val="24"/>
          <w:szCs w:val="24"/>
        </w:rPr>
        <w:t>须知前附表。</w:t>
      </w:r>
    </w:p>
    <w:p w14:paraId="2D13E1A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不得存在下列情形之一：</w:t>
      </w:r>
    </w:p>
    <w:p w14:paraId="208FEBA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(l）为采购人不具有独立法人资格的附属机构（单位）；</w:t>
      </w:r>
    </w:p>
    <w:p w14:paraId="337EEA9B">
      <w:pPr>
        <w:spacing w:line="440" w:lineRule="exact"/>
        <w:ind w:firstLine="480" w:firstLineChars="200"/>
        <w:rPr>
          <w:rFonts w:hint="eastAsia" w:ascii="宋体" w:hAnsi="宋体" w:cs="宋体"/>
          <w:sz w:val="24"/>
          <w:lang w:eastAsia="zh-CN"/>
        </w:rPr>
      </w:pPr>
      <w:r>
        <w:rPr>
          <w:rFonts w:hint="eastAsia" w:ascii="宋体" w:hAnsi="宋体" w:eastAsia="宋体" w:cs="宋体"/>
          <w:color w:val="auto"/>
          <w:sz w:val="24"/>
          <w:szCs w:val="24"/>
          <w:highlight w:val="none"/>
        </w:rPr>
        <w:t>(2）</w:t>
      </w:r>
      <w:r>
        <w:rPr>
          <w:rFonts w:hint="eastAsia" w:ascii="宋体" w:hAnsi="宋体" w:cs="宋体"/>
          <w:sz w:val="24"/>
        </w:rPr>
        <w:t>与本</w:t>
      </w:r>
      <w:r>
        <w:rPr>
          <w:rFonts w:hint="eastAsia" w:ascii="宋体" w:hAnsi="宋体" w:cs="宋体"/>
          <w:sz w:val="24"/>
          <w:lang w:val="en-US" w:eastAsia="zh-CN"/>
        </w:rPr>
        <w:t>磋商</w:t>
      </w:r>
      <w:r>
        <w:rPr>
          <w:rFonts w:hint="eastAsia" w:ascii="宋体" w:hAnsi="宋体" w:cs="宋体"/>
          <w:sz w:val="24"/>
        </w:rPr>
        <w:t>项目的其他供应商为同一个单位负责人</w:t>
      </w:r>
      <w:r>
        <w:rPr>
          <w:rFonts w:hint="eastAsia" w:ascii="宋体" w:hAnsi="宋体" w:cs="宋体"/>
          <w:sz w:val="24"/>
          <w:lang w:eastAsia="zh-CN"/>
        </w:rPr>
        <w:t>；</w:t>
      </w:r>
    </w:p>
    <w:p w14:paraId="48BD1E21">
      <w:pPr>
        <w:spacing w:line="440" w:lineRule="exact"/>
        <w:ind w:firstLine="480" w:firstLineChars="200"/>
        <w:rPr>
          <w:rFonts w:hint="eastAsia" w:ascii="宋体" w:hAnsi="宋体" w:cs="宋体"/>
          <w:sz w:val="24"/>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）与本招</w:t>
      </w:r>
      <w:r>
        <w:rPr>
          <w:rFonts w:hint="eastAsia" w:ascii="宋体" w:hAnsi="宋体" w:cs="宋体"/>
          <w:sz w:val="24"/>
        </w:rPr>
        <w:t>标项目的其他供应商存在控股、管理关系；</w:t>
      </w:r>
    </w:p>
    <w:p w14:paraId="1431B1C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）为本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项目提供采购代理服务的；</w:t>
      </w:r>
    </w:p>
    <w:p w14:paraId="6C7E66E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）被责令停业的；</w:t>
      </w:r>
    </w:p>
    <w:p w14:paraId="036AB9E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）被暂停或取消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资格的；</w:t>
      </w:r>
    </w:p>
    <w:p w14:paraId="5FD9487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）财产被接管或冻结的；</w:t>
      </w:r>
    </w:p>
    <w:p w14:paraId="654834B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）在最近三年内有骗取成交或严重违约或重大质量问题的。</w:t>
      </w:r>
    </w:p>
    <w:p w14:paraId="7C587185">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.3</w:t>
      </w:r>
      <w:r>
        <w:rPr>
          <w:rFonts w:hint="eastAsia" w:ascii="宋体" w:hAnsi="宋体"/>
          <w:kern w:val="0"/>
          <w:sz w:val="24"/>
          <w:szCs w:val="24"/>
          <w:lang w:val="en-US" w:eastAsia="zh-CN"/>
        </w:rPr>
        <w:t xml:space="preserve"> 供应商</w:t>
      </w:r>
      <w:r>
        <w:rPr>
          <w:rFonts w:hint="eastAsia" w:ascii="宋体" w:hAnsi="宋体"/>
          <w:kern w:val="0"/>
          <w:sz w:val="24"/>
          <w:szCs w:val="24"/>
        </w:rPr>
        <w:t>应遵守中华人民共和国法律、法规。</w:t>
      </w:r>
    </w:p>
    <w:p w14:paraId="021C2042">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.4</w:t>
      </w:r>
      <w:r>
        <w:rPr>
          <w:rFonts w:hint="eastAsia" w:ascii="宋体" w:hAnsi="宋体"/>
          <w:kern w:val="0"/>
          <w:sz w:val="24"/>
          <w:szCs w:val="24"/>
          <w:lang w:val="en-US" w:eastAsia="zh-CN"/>
        </w:rPr>
        <w:t xml:space="preserve"> 供应商</w:t>
      </w:r>
      <w:r>
        <w:rPr>
          <w:rFonts w:hint="eastAsia" w:ascii="宋体" w:hAnsi="宋体"/>
          <w:kern w:val="0"/>
          <w:sz w:val="24"/>
          <w:szCs w:val="24"/>
        </w:rPr>
        <w:t>必须满足磋商文件要求的根据采购项目特点而规定的特定资格条件。</w:t>
      </w:r>
    </w:p>
    <w:p w14:paraId="2A0C201E">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.5</w:t>
      </w:r>
      <w:r>
        <w:rPr>
          <w:rFonts w:hint="eastAsia" w:ascii="宋体" w:hAnsi="宋体"/>
          <w:kern w:val="0"/>
          <w:sz w:val="24"/>
          <w:szCs w:val="24"/>
          <w:lang w:val="en-US" w:eastAsia="zh-CN"/>
        </w:rPr>
        <w:t xml:space="preserve"> </w:t>
      </w:r>
      <w:r>
        <w:rPr>
          <w:rFonts w:hint="eastAsia" w:ascii="宋体" w:hAnsi="宋体"/>
          <w:kern w:val="0"/>
          <w:sz w:val="24"/>
          <w:szCs w:val="24"/>
        </w:rPr>
        <w:t>除联合体外，法定代表人或单位负责人为同一人或者存在直接控股、管理关系的不同</w:t>
      </w:r>
      <w:r>
        <w:rPr>
          <w:rFonts w:hint="eastAsia" w:ascii="宋体" w:hAnsi="宋体"/>
          <w:kern w:val="0"/>
          <w:sz w:val="24"/>
          <w:szCs w:val="24"/>
          <w:lang w:eastAsia="zh-CN"/>
        </w:rPr>
        <w:t>供应商</w:t>
      </w:r>
      <w:r>
        <w:rPr>
          <w:rFonts w:hint="eastAsia" w:ascii="宋体" w:hAnsi="宋体"/>
          <w:kern w:val="0"/>
          <w:sz w:val="24"/>
          <w:szCs w:val="24"/>
        </w:rPr>
        <w:t>，不得参加同一合同（标段）项下的政府采购活动。</w:t>
      </w:r>
    </w:p>
    <w:p w14:paraId="5F32B28F">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.6</w:t>
      </w:r>
      <w:r>
        <w:rPr>
          <w:rFonts w:hint="eastAsia" w:ascii="宋体" w:hAnsi="宋体"/>
          <w:kern w:val="0"/>
          <w:sz w:val="24"/>
          <w:szCs w:val="24"/>
          <w:lang w:val="en-US" w:eastAsia="zh-CN"/>
        </w:rPr>
        <w:t xml:space="preserve"> </w:t>
      </w:r>
      <w:r>
        <w:rPr>
          <w:rFonts w:hint="eastAsia" w:ascii="宋体" w:hAnsi="宋体"/>
          <w:kern w:val="0"/>
          <w:sz w:val="24"/>
          <w:szCs w:val="24"/>
        </w:rPr>
        <w:t>为采购项目提供整体设计、规范编制或者项目管理、监理、检测等服务的</w:t>
      </w:r>
      <w:r>
        <w:rPr>
          <w:rFonts w:hint="eastAsia" w:ascii="宋体" w:hAnsi="宋体"/>
          <w:kern w:val="0"/>
          <w:sz w:val="24"/>
          <w:szCs w:val="24"/>
          <w:lang w:eastAsia="zh-CN"/>
        </w:rPr>
        <w:t>供应商</w:t>
      </w:r>
      <w:r>
        <w:rPr>
          <w:rFonts w:hint="eastAsia" w:ascii="宋体" w:hAnsi="宋体"/>
          <w:kern w:val="0"/>
          <w:sz w:val="24"/>
          <w:szCs w:val="24"/>
        </w:rPr>
        <w:t>，不得再参加该采购项目的其他采购活动。</w:t>
      </w:r>
    </w:p>
    <w:p w14:paraId="08A29FB3">
      <w:pPr>
        <w:spacing w:line="360" w:lineRule="auto"/>
        <w:ind w:firstLine="424" w:firstLineChars="176"/>
        <w:rPr>
          <w:rFonts w:hint="eastAsia" w:ascii="宋体" w:hAnsi="宋体"/>
          <w:kern w:val="0"/>
          <w:sz w:val="24"/>
          <w:szCs w:val="24"/>
        </w:rPr>
      </w:pPr>
      <w:r>
        <w:rPr>
          <w:rFonts w:hint="eastAsia" w:ascii="宋体" w:hAnsi="宋体"/>
          <w:b/>
          <w:bCs/>
          <w:kern w:val="0"/>
          <w:sz w:val="24"/>
          <w:szCs w:val="24"/>
          <w:lang w:val="en-US" w:eastAsia="zh-CN"/>
        </w:rPr>
        <w:t>3</w:t>
      </w:r>
      <w:r>
        <w:rPr>
          <w:rFonts w:hint="eastAsia" w:ascii="宋体" w:hAnsi="宋体"/>
          <w:b/>
          <w:bCs/>
          <w:kern w:val="0"/>
          <w:sz w:val="24"/>
          <w:szCs w:val="24"/>
        </w:rPr>
        <w:t>、联合体</w:t>
      </w:r>
    </w:p>
    <w:p w14:paraId="54423DAC">
      <w:pPr>
        <w:spacing w:line="360" w:lineRule="auto"/>
        <w:ind w:firstLine="422" w:firstLineChars="176"/>
        <w:rPr>
          <w:rFonts w:hint="eastAsia" w:ascii="宋体" w:hAnsi="宋体"/>
          <w:kern w:val="0"/>
          <w:sz w:val="24"/>
          <w:szCs w:val="24"/>
        </w:rPr>
      </w:pPr>
      <w:r>
        <w:rPr>
          <w:rFonts w:hint="eastAsia" w:ascii="宋体" w:hAnsi="宋体"/>
          <w:kern w:val="0"/>
          <w:sz w:val="24"/>
          <w:szCs w:val="24"/>
        </w:rPr>
        <w:t>本项目不接受联合体。</w:t>
      </w:r>
    </w:p>
    <w:p w14:paraId="4974885B">
      <w:pPr>
        <w:numPr>
          <w:ilvl w:val="0"/>
          <w:numId w:val="1"/>
        </w:numPr>
        <w:spacing w:line="360" w:lineRule="auto"/>
        <w:ind w:firstLine="424" w:firstLineChars="176"/>
        <w:rPr>
          <w:rFonts w:hint="eastAsia" w:ascii="宋体" w:hAnsi="宋体"/>
          <w:b/>
          <w:bCs/>
          <w:sz w:val="24"/>
          <w:szCs w:val="24"/>
        </w:rPr>
      </w:pPr>
      <w:r>
        <w:rPr>
          <w:rFonts w:hint="eastAsia" w:ascii="宋体" w:hAnsi="宋体"/>
          <w:b/>
          <w:bCs/>
          <w:sz w:val="24"/>
          <w:szCs w:val="24"/>
          <w:lang w:val="en-US" w:eastAsia="zh-CN"/>
        </w:rPr>
        <w:t>磋商</w:t>
      </w:r>
      <w:r>
        <w:rPr>
          <w:rFonts w:hint="eastAsia" w:ascii="宋体" w:hAnsi="宋体"/>
          <w:b/>
          <w:bCs/>
          <w:sz w:val="24"/>
          <w:szCs w:val="24"/>
        </w:rPr>
        <w:t>费用</w:t>
      </w:r>
    </w:p>
    <w:p w14:paraId="462FEDA6">
      <w:pPr>
        <w:numPr>
          <w:ilvl w:val="0"/>
          <w:numId w:val="0"/>
        </w:numPr>
        <w:spacing w:line="360" w:lineRule="auto"/>
        <w:ind w:firstLine="472" w:firstLineChars="200"/>
        <w:rPr>
          <w:rFonts w:hint="eastAsia" w:ascii="宋体" w:hAnsi="宋体" w:cs="宋体"/>
          <w:color w:val="auto"/>
          <w:sz w:val="24"/>
          <w:highlight w:val="none"/>
          <w:lang w:val="zh-CN" w:bidi="ar"/>
        </w:rPr>
      </w:pPr>
      <w:r>
        <w:rPr>
          <w:rFonts w:hint="eastAsia" w:ascii="宋体" w:hAnsi="宋体" w:cs="宋体"/>
          <w:color w:val="auto"/>
          <w:spacing w:val="-2"/>
          <w:sz w:val="24"/>
          <w:highlight w:val="none"/>
          <w:lang w:val="en-US" w:eastAsia="zh-CN" w:bidi="ar"/>
        </w:rPr>
        <w:t xml:space="preserve">4.1 </w:t>
      </w:r>
      <w:r>
        <w:rPr>
          <w:rFonts w:hint="eastAsia" w:ascii="宋体" w:hAnsi="宋体" w:cs="宋体"/>
          <w:color w:val="auto"/>
          <w:spacing w:val="-2"/>
          <w:sz w:val="24"/>
          <w:highlight w:val="none"/>
          <w:lang w:val="zh-CN" w:bidi="ar"/>
        </w:rPr>
        <w:t>供应商</w:t>
      </w:r>
      <w:r>
        <w:rPr>
          <w:rFonts w:hint="eastAsia" w:ascii="宋体" w:hAnsi="宋体" w:cs="宋体"/>
          <w:color w:val="auto"/>
          <w:spacing w:val="-2"/>
          <w:sz w:val="24"/>
          <w:highlight w:val="none"/>
          <w:lang w:val="en-US" w:eastAsia="zh-CN" w:bidi="ar"/>
        </w:rPr>
        <w:t>应承担</w:t>
      </w:r>
      <w:r>
        <w:rPr>
          <w:rFonts w:hint="eastAsia" w:ascii="宋体" w:hAnsi="宋体" w:cs="宋体"/>
          <w:color w:val="auto"/>
          <w:sz w:val="24"/>
          <w:highlight w:val="none"/>
          <w:lang w:val="zh-CN" w:bidi="ar"/>
        </w:rPr>
        <w:t>准备和参加</w:t>
      </w:r>
      <w:r>
        <w:rPr>
          <w:rFonts w:hint="eastAsia" w:ascii="宋体" w:hAnsi="宋体" w:cs="宋体"/>
          <w:color w:val="auto"/>
          <w:sz w:val="24"/>
          <w:highlight w:val="none"/>
          <w:lang w:val="en-US" w:eastAsia="zh-CN" w:bidi="ar"/>
        </w:rPr>
        <w:t>磋商</w:t>
      </w:r>
      <w:r>
        <w:rPr>
          <w:rFonts w:hint="eastAsia" w:ascii="宋体" w:hAnsi="宋体" w:cs="宋体"/>
          <w:color w:val="auto"/>
          <w:sz w:val="24"/>
          <w:highlight w:val="none"/>
          <w:lang w:val="zh-CN" w:bidi="ar"/>
        </w:rPr>
        <w:t>有关的费用，无论</w:t>
      </w:r>
      <w:r>
        <w:rPr>
          <w:rFonts w:hint="eastAsia" w:ascii="宋体" w:hAnsi="宋体" w:cs="宋体"/>
          <w:color w:val="auto"/>
          <w:sz w:val="24"/>
          <w:highlight w:val="none"/>
          <w:lang w:val="en-US" w:eastAsia="zh-CN" w:bidi="ar"/>
        </w:rPr>
        <w:t>磋商</w:t>
      </w:r>
      <w:r>
        <w:rPr>
          <w:rFonts w:hint="eastAsia" w:ascii="宋体" w:hAnsi="宋体" w:cs="宋体"/>
          <w:color w:val="auto"/>
          <w:sz w:val="24"/>
          <w:highlight w:val="none"/>
          <w:lang w:val="zh-CN" w:bidi="ar"/>
        </w:rPr>
        <w:t>结果如何，采购代理机构和采购人在任何情况下均无义务和责任承担这些费用。</w:t>
      </w:r>
    </w:p>
    <w:p w14:paraId="4E2CFF58">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仿宋"/>
          <w:color w:val="auto"/>
          <w:kern w:val="2"/>
          <w:sz w:val="24"/>
          <w:szCs w:val="24"/>
          <w:highlight w:val="none"/>
          <w:lang w:val="en-US" w:eastAsia="zh-CN"/>
        </w:rPr>
        <w:t>采购代理服务收费参照豫招协[2023]002号河南省招标投标协会关于印发《河南省招标代理服务收费指导意见》规定的收费标准收取成交服务费</w:t>
      </w:r>
      <w:r>
        <w:rPr>
          <w:rFonts w:hint="eastAsia" w:ascii="宋体" w:hAnsi="宋体" w:eastAsia="宋体" w:cs="仿宋"/>
          <w:color w:val="auto"/>
          <w:kern w:val="2"/>
          <w:sz w:val="24"/>
          <w:szCs w:val="24"/>
          <w:highlight w:val="none"/>
        </w:rPr>
        <w:t>，</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代理服务费及其他所有费用由</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在领取成交通知书时，以现金或转账的方式一次性缴纳。</w:t>
      </w:r>
      <w:r>
        <w:rPr>
          <w:rFonts w:hint="eastAsia" w:ascii="宋体" w:hAnsi="宋体" w:eastAsia="宋体" w:cs="仿宋"/>
          <w:color w:val="auto"/>
          <w:kern w:val="2"/>
          <w:sz w:val="24"/>
          <w:szCs w:val="24"/>
          <w:highlight w:val="none"/>
        </w:rPr>
        <w:t xml:space="preserve"> </w:t>
      </w:r>
    </w:p>
    <w:p w14:paraId="5298D7F7">
      <w:pPr>
        <w:snapToGrid w:val="0"/>
        <w:spacing w:line="440" w:lineRule="exact"/>
        <w:ind w:firstLine="480" w:firstLineChars="200"/>
        <w:jc w:val="center"/>
        <w:rPr>
          <w:rFonts w:hint="eastAsia" w:ascii="宋体" w:hAnsi="宋体" w:eastAsia="宋体" w:cs="宋体"/>
          <w:color w:val="auto"/>
          <w:sz w:val="24"/>
          <w:szCs w:val="24"/>
          <w:highlight w:val="none"/>
          <w:lang w:val="en-US" w:eastAsia="zh-CN"/>
        </w:rPr>
      </w:pPr>
    </w:p>
    <w:p w14:paraId="0C4B1B82">
      <w:pPr>
        <w:snapToGrid w:val="0"/>
        <w:spacing w:line="440" w:lineRule="exact"/>
        <w:ind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河南省招标代理服务费计算标准</w:t>
      </w:r>
    </w:p>
    <w:tbl>
      <w:tblPr>
        <w:tblStyle w:val="19"/>
        <w:tblpPr w:leftFromText="180" w:rightFromText="180" w:vertAnchor="text" w:horzAnchor="page" w:tblpX="1512" w:tblpY="472"/>
        <w:tblOverlap w:val="never"/>
        <w:tblW w:w="8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095"/>
        <w:gridCol w:w="1682"/>
        <w:gridCol w:w="1467"/>
        <w:gridCol w:w="1753"/>
      </w:tblGrid>
      <w:tr w14:paraId="75A3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bottom w:val="single" w:color="000000" w:sz="4" w:space="0"/>
              <w:right w:val="single" w:color="000000" w:sz="4" w:space="0"/>
            </w:tcBorders>
            <w:noWrap w:val="0"/>
            <w:vAlign w:val="center"/>
          </w:tcPr>
          <w:p w14:paraId="6164BE2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A90ADC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2C95549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6DA68C9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4C82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F28DC2E">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05552BE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47643FA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1430C4A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5CBF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bottom w:val="single" w:color="000000" w:sz="4" w:space="0"/>
              <w:right w:val="single" w:color="000000" w:sz="4" w:space="0"/>
            </w:tcBorders>
            <w:noWrap w:val="0"/>
            <w:vAlign w:val="center"/>
          </w:tcPr>
          <w:p w14:paraId="6AAD5D9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675B65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0859F3F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0804079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14A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68C1B9C">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0C9D99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6738F61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542C5F1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45E2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ECA8A1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6C23A6E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2438A1C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6983894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673A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FE70A2D">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6F2D040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36D74CE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123B3D0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4AA5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3DA16A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6C9B779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42A8346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6C963F2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3163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right w:val="single" w:color="000000" w:sz="4" w:space="0"/>
            </w:tcBorders>
            <w:noWrap w:val="0"/>
            <w:vAlign w:val="center"/>
          </w:tcPr>
          <w:p w14:paraId="35E2E7A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82" w:type="dxa"/>
            <w:tcBorders>
              <w:top w:val="single" w:color="000000" w:sz="4" w:space="0"/>
              <w:left w:val="single" w:color="000000" w:sz="4" w:space="0"/>
              <w:right w:val="single" w:color="000000" w:sz="4" w:space="0"/>
            </w:tcBorders>
            <w:noWrap w:val="0"/>
            <w:vAlign w:val="center"/>
          </w:tcPr>
          <w:p w14:paraId="17DB862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67" w:type="dxa"/>
            <w:tcBorders>
              <w:top w:val="single" w:color="000000" w:sz="4" w:space="0"/>
              <w:left w:val="single" w:color="000000" w:sz="4" w:space="0"/>
              <w:right w:val="single" w:color="000000" w:sz="4" w:space="0"/>
            </w:tcBorders>
            <w:noWrap w:val="0"/>
            <w:vAlign w:val="center"/>
          </w:tcPr>
          <w:p w14:paraId="62DB8EE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53" w:type="dxa"/>
            <w:tcBorders>
              <w:top w:val="single" w:color="000000" w:sz="4" w:space="0"/>
              <w:left w:val="single" w:color="000000" w:sz="4" w:space="0"/>
              <w:right w:val="single" w:color="000000" w:sz="4" w:space="0"/>
            </w:tcBorders>
            <w:noWrap w:val="0"/>
            <w:vAlign w:val="center"/>
          </w:tcPr>
          <w:p w14:paraId="53381CC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6512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bottom w:val="single" w:color="000000" w:sz="4" w:space="0"/>
              <w:right w:val="single" w:color="000000" w:sz="4" w:space="0"/>
            </w:tcBorders>
            <w:noWrap w:val="0"/>
            <w:vAlign w:val="center"/>
          </w:tcPr>
          <w:p w14:paraId="03A63537">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6082321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6DCFAE4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1050CE8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7B45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3D1A04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199F5CF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3831102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4C67313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575A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0" w:hRule="atLeast"/>
        </w:trPr>
        <w:tc>
          <w:tcPr>
            <w:tcW w:w="4095" w:type="dxa"/>
            <w:tcBorders>
              <w:top w:val="single" w:color="000000" w:sz="4" w:space="0"/>
              <w:left w:val="single" w:color="000000" w:sz="4" w:space="0"/>
              <w:bottom w:val="single" w:color="000000" w:sz="4" w:space="0"/>
              <w:right w:val="single" w:color="000000" w:sz="4" w:space="0"/>
            </w:tcBorders>
            <w:noWrap w:val="0"/>
            <w:vAlign w:val="center"/>
          </w:tcPr>
          <w:p w14:paraId="3E903DF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C8E94D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776947E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755D6B8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1357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563" w:hRule="atLeast"/>
        </w:trPr>
        <w:tc>
          <w:tcPr>
            <w:tcW w:w="8997" w:type="dxa"/>
            <w:gridSpan w:val="4"/>
            <w:noWrap w:val="0"/>
            <w:vAlign w:val="center"/>
          </w:tcPr>
          <w:p w14:paraId="147AB7B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7F6FB5A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7344E38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065E342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4AD1FE4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26C5E67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0D4E58D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18FD0AF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3AAF4681">
      <w:pPr>
        <w:pStyle w:val="7"/>
        <w:rPr>
          <w:rFonts w:hint="eastAsia"/>
          <w:lang w:val="zh-CN"/>
        </w:rPr>
      </w:pPr>
    </w:p>
    <w:p w14:paraId="2AC07CD5">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保密</w:t>
      </w:r>
    </w:p>
    <w:p w14:paraId="04D9964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活动的各方应对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文件中的商业和技术等秘密保密，违者应对由此造成的后果承担法律责任。</w:t>
      </w:r>
    </w:p>
    <w:p w14:paraId="1E056BE4">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语言文字</w:t>
      </w:r>
    </w:p>
    <w:p w14:paraId="03027CB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除专用术语外，与采购</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rPr>
        <w:t>有关的语言均使用中文。必要时专用术语应附有中文注释。</w:t>
      </w:r>
    </w:p>
    <w:p w14:paraId="7663BF87">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计量单位</w:t>
      </w:r>
    </w:p>
    <w:p w14:paraId="7EF4AF6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9E0B9C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踏勘现场</w:t>
      </w:r>
    </w:p>
    <w:p w14:paraId="312594D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本次竞争性磋商不组织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踏勘项目现场。</w:t>
      </w:r>
    </w:p>
    <w:p w14:paraId="5BB2F87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如需踏勘现场，所发生的费用自理。</w:t>
      </w:r>
    </w:p>
    <w:p w14:paraId="4FDAD1C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除采购人的原因外，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自行负责在踏勘现场中所发生的人员伤亡和财产损失。</w:t>
      </w:r>
    </w:p>
    <w:p w14:paraId="094E8D2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 采购人在踏勘现场中介绍的工程场地和相关的周边环境情况，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在编制响应文件时参考，采购人不对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据此作出的判断和决策负责。</w:t>
      </w:r>
    </w:p>
    <w:p w14:paraId="0B80095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9、磋商</w:t>
      </w:r>
      <w:r>
        <w:rPr>
          <w:rFonts w:hint="eastAsia" w:ascii="宋体" w:hAnsi="宋体" w:eastAsia="宋体" w:cs="宋体"/>
          <w:b/>
          <w:bCs/>
          <w:color w:val="auto"/>
          <w:sz w:val="24"/>
          <w:szCs w:val="24"/>
          <w:highlight w:val="none"/>
        </w:rPr>
        <w:t>预备会</w:t>
      </w:r>
    </w:p>
    <w:p w14:paraId="0728A27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349689B8">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分包</w:t>
      </w:r>
    </w:p>
    <w:p w14:paraId="52227FB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14:paraId="473F2B0D">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偏离</w:t>
      </w:r>
    </w:p>
    <w:p w14:paraId="681913ED">
      <w:pPr>
        <w:keepNext/>
        <w:keepLines/>
        <w:spacing w:line="440" w:lineRule="exact"/>
        <w:ind w:left="851" w:hanging="284"/>
        <w:outlineLvl w:val="0"/>
        <w:rPr>
          <w:rFonts w:hint="eastAsia" w:ascii="宋体" w:hAnsi="宋体" w:eastAsia="宋体" w:cs="仿宋"/>
          <w:color w:val="auto"/>
          <w:kern w:val="2"/>
          <w:sz w:val="24"/>
          <w:szCs w:val="24"/>
          <w:highlight w:val="none"/>
          <w:lang w:eastAsia="zh-CN"/>
        </w:rPr>
      </w:pPr>
      <w:bookmarkStart w:id="16" w:name="_Toc466566784"/>
      <w:bookmarkEnd w:id="16"/>
      <w:bookmarkStart w:id="17" w:name="_Toc184635072"/>
      <w:bookmarkEnd w:id="17"/>
      <w:bookmarkStart w:id="18" w:name="_Toc1106"/>
      <w:bookmarkStart w:id="19" w:name="_Toc23924"/>
      <w:bookmarkStart w:id="20" w:name="_Toc25592"/>
      <w:bookmarkStart w:id="21" w:name="_Toc17517"/>
      <w:bookmarkStart w:id="22" w:name="_Toc3921"/>
      <w:bookmarkStart w:id="23" w:name="_Toc23678"/>
      <w:bookmarkStart w:id="24" w:name="_Toc20725"/>
      <w:bookmarkStart w:id="25" w:name="_Toc466566695"/>
      <w:bookmarkStart w:id="26" w:name="_Toc26910"/>
      <w:bookmarkStart w:id="27" w:name="_Toc17642"/>
      <w:r>
        <w:rPr>
          <w:rFonts w:hint="eastAsia" w:ascii="宋体" w:hAnsi="宋体" w:eastAsia="宋体" w:cs="仿宋"/>
          <w:color w:val="auto"/>
          <w:kern w:val="2"/>
          <w:sz w:val="24"/>
          <w:szCs w:val="24"/>
          <w:highlight w:val="none"/>
          <w:lang w:val="en-US" w:eastAsia="zh-CN"/>
        </w:rPr>
        <w:t>不</w:t>
      </w:r>
      <w:r>
        <w:rPr>
          <w:rFonts w:hint="eastAsia" w:ascii="宋体" w:hAnsi="宋体" w:eastAsia="宋体" w:cs="仿宋"/>
          <w:color w:val="auto"/>
          <w:kern w:val="2"/>
          <w:sz w:val="24"/>
          <w:szCs w:val="24"/>
          <w:highlight w:val="none"/>
        </w:rPr>
        <w:t>允许</w:t>
      </w:r>
      <w:bookmarkEnd w:id="18"/>
      <w:bookmarkEnd w:id="19"/>
    </w:p>
    <w:bookmarkEnd w:id="20"/>
    <w:bookmarkEnd w:id="21"/>
    <w:bookmarkEnd w:id="22"/>
    <w:bookmarkEnd w:id="23"/>
    <w:bookmarkEnd w:id="24"/>
    <w:bookmarkEnd w:id="25"/>
    <w:bookmarkEnd w:id="26"/>
    <w:bookmarkEnd w:id="27"/>
    <w:p w14:paraId="38D88EA2">
      <w:pPr>
        <w:keepNext w:val="0"/>
        <w:keepLines w:val="0"/>
        <w:pageBreakBefore w:val="0"/>
        <w:kinsoku/>
        <w:wordWrap/>
        <w:overflowPunct/>
        <w:topLinePunct w:val="0"/>
        <w:autoSpaceDE/>
        <w:autoSpaceDN/>
        <w:bidi w:val="0"/>
        <w:adjustRightInd/>
        <w:snapToGrid/>
        <w:spacing w:line="360" w:lineRule="auto"/>
        <w:ind w:firstLine="424" w:firstLineChars="176"/>
        <w:textAlignment w:val="auto"/>
        <w:rPr>
          <w:rFonts w:ascii="宋体" w:hAnsi="宋体"/>
          <w:b/>
          <w:bCs/>
          <w:sz w:val="24"/>
          <w:szCs w:val="24"/>
          <w:highlight w:val="none"/>
        </w:rPr>
      </w:pPr>
      <w:r>
        <w:rPr>
          <w:rFonts w:hint="eastAsia" w:ascii="宋体" w:hAnsi="宋体"/>
          <w:b/>
          <w:bCs/>
          <w:sz w:val="24"/>
          <w:szCs w:val="24"/>
          <w:highlight w:val="none"/>
          <w:lang w:val="en-US" w:eastAsia="zh-CN"/>
        </w:rPr>
        <w:t>12、</w:t>
      </w:r>
      <w:r>
        <w:rPr>
          <w:rFonts w:hint="eastAsia" w:ascii="宋体" w:hAnsi="宋体"/>
          <w:b/>
          <w:bCs/>
          <w:sz w:val="24"/>
          <w:szCs w:val="24"/>
          <w:highlight w:val="none"/>
        </w:rPr>
        <w:t>竞争性磋商文件的构成</w:t>
      </w:r>
    </w:p>
    <w:p w14:paraId="5731902A">
      <w:pPr>
        <w:spacing w:line="360" w:lineRule="auto"/>
        <w:ind w:firstLine="422" w:firstLineChars="176"/>
        <w:rPr>
          <w:rFonts w:ascii="宋体" w:hAnsi="宋体"/>
          <w:sz w:val="24"/>
          <w:szCs w:val="24"/>
          <w:highlight w:val="none"/>
        </w:rPr>
      </w:pPr>
      <w:r>
        <w:rPr>
          <w:rFonts w:hint="eastAsia" w:ascii="宋体" w:hAnsi="宋体"/>
          <w:sz w:val="24"/>
          <w:szCs w:val="24"/>
          <w:highlight w:val="none"/>
        </w:rPr>
        <w:t>第一章 竞争性磋商公告</w:t>
      </w:r>
    </w:p>
    <w:p w14:paraId="40BBE59D">
      <w:pPr>
        <w:spacing w:line="360" w:lineRule="auto"/>
        <w:ind w:firstLine="422" w:firstLineChars="176"/>
        <w:rPr>
          <w:rFonts w:ascii="宋体" w:hAnsi="宋体"/>
          <w:sz w:val="24"/>
          <w:szCs w:val="24"/>
          <w:highlight w:val="none"/>
        </w:rPr>
      </w:pPr>
      <w:r>
        <w:rPr>
          <w:rFonts w:hint="eastAsia" w:ascii="宋体" w:hAnsi="宋体"/>
          <w:sz w:val="24"/>
          <w:szCs w:val="24"/>
          <w:highlight w:val="none"/>
        </w:rPr>
        <w:t xml:space="preserve">第二章 </w:t>
      </w:r>
      <w:r>
        <w:rPr>
          <w:rFonts w:hint="eastAsia" w:ascii="宋体" w:hAnsi="宋体"/>
          <w:sz w:val="24"/>
          <w:szCs w:val="24"/>
          <w:highlight w:val="none"/>
          <w:lang w:val="en-US" w:eastAsia="zh-CN"/>
        </w:rPr>
        <w:t>供应商</w:t>
      </w:r>
      <w:r>
        <w:rPr>
          <w:rFonts w:hint="eastAsia" w:ascii="宋体" w:hAnsi="宋体"/>
          <w:sz w:val="24"/>
          <w:szCs w:val="24"/>
          <w:highlight w:val="none"/>
        </w:rPr>
        <w:t>须知</w:t>
      </w:r>
    </w:p>
    <w:p w14:paraId="332F70DB">
      <w:pPr>
        <w:spacing w:line="360" w:lineRule="auto"/>
        <w:ind w:firstLine="422" w:firstLineChars="176"/>
        <w:rPr>
          <w:rFonts w:ascii="宋体" w:hAnsi="宋体"/>
          <w:sz w:val="24"/>
          <w:szCs w:val="24"/>
          <w:highlight w:val="none"/>
        </w:rPr>
      </w:pPr>
      <w:r>
        <w:rPr>
          <w:rFonts w:hint="eastAsia" w:ascii="宋体" w:hAnsi="宋体"/>
          <w:sz w:val="24"/>
          <w:szCs w:val="24"/>
          <w:highlight w:val="none"/>
        </w:rPr>
        <w:t xml:space="preserve">第三章 </w:t>
      </w:r>
      <w:r>
        <w:rPr>
          <w:rFonts w:hint="eastAsia" w:ascii="宋体" w:hAnsi="宋体"/>
          <w:sz w:val="24"/>
          <w:szCs w:val="24"/>
          <w:highlight w:val="none"/>
          <w:lang w:val="en-US" w:eastAsia="zh-CN"/>
        </w:rPr>
        <w:t>评审办法</w:t>
      </w:r>
      <w:r>
        <w:rPr>
          <w:rFonts w:hint="eastAsia" w:ascii="宋体" w:hAnsi="宋体"/>
          <w:sz w:val="24"/>
          <w:szCs w:val="24"/>
          <w:highlight w:val="none"/>
        </w:rPr>
        <w:t>（综合评分法）</w:t>
      </w:r>
    </w:p>
    <w:p w14:paraId="62041FA6">
      <w:pPr>
        <w:spacing w:line="360" w:lineRule="auto"/>
        <w:ind w:firstLine="422" w:firstLineChars="176"/>
        <w:rPr>
          <w:rFonts w:hint="eastAsia" w:ascii="宋体" w:hAnsi="宋体" w:cs="宋体" w:eastAsiaTheme="minorEastAsia"/>
          <w:bCs/>
          <w:sz w:val="24"/>
          <w:highlight w:val="none"/>
          <w:lang w:val="en-US" w:eastAsia="zh-CN"/>
        </w:rPr>
      </w:pPr>
      <w:r>
        <w:rPr>
          <w:rFonts w:hint="eastAsia" w:ascii="宋体" w:hAnsi="宋体"/>
          <w:sz w:val="24"/>
          <w:szCs w:val="24"/>
          <w:highlight w:val="none"/>
        </w:rPr>
        <w:t xml:space="preserve">第四章 </w:t>
      </w:r>
      <w:r>
        <w:rPr>
          <w:rFonts w:hint="eastAsia" w:ascii="宋体" w:hAnsi="宋体"/>
          <w:sz w:val="24"/>
          <w:szCs w:val="24"/>
          <w:highlight w:val="none"/>
          <w:lang w:val="en-US" w:eastAsia="zh-CN"/>
        </w:rPr>
        <w:t>采购需求</w:t>
      </w:r>
    </w:p>
    <w:p w14:paraId="3B448883">
      <w:pPr>
        <w:spacing w:line="360" w:lineRule="auto"/>
        <w:ind w:firstLine="422" w:firstLineChars="176"/>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 xml:space="preserve">第五章 </w:t>
      </w:r>
      <w:r>
        <w:rPr>
          <w:rFonts w:hint="eastAsia" w:ascii="宋体" w:hAnsi="宋体"/>
          <w:sz w:val="24"/>
          <w:szCs w:val="24"/>
          <w:highlight w:val="none"/>
        </w:rPr>
        <w:t>合同条款及格式</w:t>
      </w:r>
      <w:r>
        <w:rPr>
          <w:rFonts w:hint="eastAsia" w:ascii="宋体" w:hAnsi="宋体"/>
          <w:sz w:val="24"/>
          <w:szCs w:val="24"/>
          <w:highlight w:val="none"/>
          <w:lang w:eastAsia="zh-CN"/>
        </w:rPr>
        <w:t>（</w:t>
      </w:r>
      <w:r>
        <w:rPr>
          <w:rFonts w:hint="eastAsia" w:ascii="宋体" w:hAnsi="宋体"/>
          <w:sz w:val="24"/>
          <w:szCs w:val="24"/>
          <w:highlight w:val="none"/>
          <w:lang w:val="en-US" w:eastAsia="zh-CN"/>
        </w:rPr>
        <w:t>范本</w:t>
      </w:r>
      <w:r>
        <w:rPr>
          <w:rFonts w:hint="eastAsia" w:ascii="宋体" w:hAnsi="宋体"/>
          <w:sz w:val="24"/>
          <w:szCs w:val="24"/>
          <w:highlight w:val="none"/>
          <w:lang w:eastAsia="zh-CN"/>
        </w:rPr>
        <w:t>）</w:t>
      </w:r>
    </w:p>
    <w:p w14:paraId="1C2D01C4">
      <w:pPr>
        <w:spacing w:line="360" w:lineRule="auto"/>
        <w:ind w:firstLine="422" w:firstLineChars="176"/>
        <w:rPr>
          <w:rFonts w:ascii="宋体" w:hAnsi="宋体" w:eastAsia="宋体" w:cs="宋体"/>
          <w:color w:val="auto"/>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六</w:t>
      </w:r>
      <w:r>
        <w:rPr>
          <w:rFonts w:hint="eastAsia" w:ascii="宋体" w:hAnsi="宋体"/>
          <w:sz w:val="24"/>
          <w:szCs w:val="24"/>
          <w:highlight w:val="none"/>
        </w:rPr>
        <w:t>章 响应文件格式</w:t>
      </w:r>
    </w:p>
    <w:p w14:paraId="751900FF">
      <w:pPr>
        <w:spacing w:line="360" w:lineRule="auto"/>
        <w:ind w:firstLine="424" w:firstLineChars="176"/>
        <w:rPr>
          <w:rFonts w:ascii="宋体" w:hAnsi="宋体"/>
          <w:b/>
          <w:bCs/>
          <w:sz w:val="24"/>
          <w:szCs w:val="24"/>
        </w:rPr>
      </w:pPr>
      <w:bookmarkStart w:id="28" w:name="_Toc15930"/>
      <w:bookmarkStart w:id="29" w:name="_Toc19970"/>
      <w:bookmarkStart w:id="30" w:name="_Toc1460"/>
      <w:bookmarkStart w:id="31" w:name="_Toc16369"/>
      <w:r>
        <w:rPr>
          <w:rFonts w:hint="eastAsia" w:ascii="宋体" w:hAnsi="宋体"/>
          <w:b/>
          <w:bCs/>
          <w:sz w:val="24"/>
          <w:szCs w:val="24"/>
          <w:lang w:val="en-US" w:eastAsia="zh-CN"/>
        </w:rPr>
        <w:t>13</w:t>
      </w:r>
      <w:r>
        <w:rPr>
          <w:rFonts w:hint="eastAsia" w:ascii="宋体" w:hAnsi="宋体"/>
          <w:b/>
          <w:bCs/>
          <w:sz w:val="24"/>
          <w:szCs w:val="24"/>
        </w:rPr>
        <w:t>、竞争性磋商文件的澄清</w:t>
      </w:r>
    </w:p>
    <w:p w14:paraId="7B10A831">
      <w:pPr>
        <w:spacing w:line="360" w:lineRule="auto"/>
        <w:ind w:firstLine="422" w:firstLineChars="176"/>
        <w:rPr>
          <w:rFonts w:ascii="宋体" w:hAnsi="宋体"/>
          <w:kern w:val="0"/>
          <w:sz w:val="24"/>
        </w:rPr>
      </w:pPr>
      <w:r>
        <w:rPr>
          <w:rFonts w:hint="eastAsia" w:ascii="宋体" w:hAnsi="宋体"/>
          <w:sz w:val="24"/>
          <w:szCs w:val="24"/>
          <w:lang w:val="en-US" w:eastAsia="zh-CN"/>
        </w:rPr>
        <w:t>13</w:t>
      </w:r>
      <w:r>
        <w:rPr>
          <w:rFonts w:ascii="宋体" w:hAnsi="宋体"/>
          <w:sz w:val="24"/>
          <w:szCs w:val="24"/>
        </w:rPr>
        <w:t>.1</w:t>
      </w:r>
      <w:r>
        <w:rPr>
          <w:rFonts w:hint="eastAsia" w:ascii="宋体" w:hAnsi="宋体"/>
          <w:kern w:val="0"/>
          <w:sz w:val="24"/>
        </w:rPr>
        <w:t>供应商应仔细阅读和检查竞争性磋商文件的全部内容。如发现缺页或附件不全，应及时向采购人提出，以便补齐。如有疑问，应在磋商截止日期5日前在三门峡市公共资源交易系统中提出咨询并打电话至采购代理机构，要求采购人对竞争性磋商文件予以澄清。</w:t>
      </w:r>
    </w:p>
    <w:p w14:paraId="77030EFF">
      <w:pPr>
        <w:widowControl/>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13</w:t>
      </w:r>
      <w:r>
        <w:rPr>
          <w:rFonts w:hint="eastAsia" w:ascii="宋体" w:hAnsi="宋体"/>
          <w:kern w:val="0"/>
          <w:sz w:val="24"/>
          <w:szCs w:val="24"/>
        </w:rPr>
        <w:t>.2竞争性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1BB2EF3D">
      <w:pPr>
        <w:widowControl/>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13</w:t>
      </w:r>
      <w:r>
        <w:rPr>
          <w:rFonts w:hint="eastAsia" w:ascii="宋体" w:hAnsi="宋体"/>
          <w:kern w:val="0"/>
          <w:sz w:val="24"/>
          <w:szCs w:val="24"/>
        </w:rPr>
        <w:t>.3提交首次响应文件截止之日前，采购人、代理公司可以对已发出的竞争性磋商文件进行必要的澄清或者修改，澄清或者修改的内容作为竞争性磋商文件的组成部分。澄清或者修改的内容可能影响响应文件编制的，采购人、代理公司将在提交首次响应文件截止时间至少5日前，在相关网上发布变更公告形式通知所有获取竞争性磋商文件的供应商。不足5日的，应当顺延提交首次响应文件截止时间。</w:t>
      </w:r>
    </w:p>
    <w:p w14:paraId="5A5BBF37">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13</w:t>
      </w:r>
      <w:r>
        <w:rPr>
          <w:rFonts w:hint="eastAsia" w:ascii="宋体" w:hAnsi="宋体"/>
          <w:kern w:val="0"/>
          <w:sz w:val="24"/>
          <w:szCs w:val="24"/>
        </w:rPr>
        <w:t>.4供应商应自行查看澄清或变更信息。</w:t>
      </w:r>
    </w:p>
    <w:p w14:paraId="75C4EE6B">
      <w:pPr>
        <w:keepNext w:val="0"/>
        <w:keepLines w:val="0"/>
        <w:pageBreakBefore w:val="0"/>
        <w:kinsoku/>
        <w:wordWrap/>
        <w:overflowPunct/>
        <w:topLinePunct w:val="0"/>
        <w:autoSpaceDE/>
        <w:autoSpaceDN/>
        <w:bidi w:val="0"/>
        <w:adjustRightInd/>
        <w:snapToGrid/>
        <w:spacing w:line="360" w:lineRule="auto"/>
        <w:ind w:firstLine="424" w:firstLineChars="176"/>
        <w:textAlignment w:val="auto"/>
        <w:rPr>
          <w:rFonts w:ascii="宋体" w:hAnsi="宋体"/>
          <w:b/>
          <w:bCs/>
          <w:sz w:val="24"/>
          <w:szCs w:val="24"/>
        </w:rPr>
      </w:pPr>
      <w:r>
        <w:rPr>
          <w:rFonts w:hint="eastAsia" w:ascii="宋体" w:hAnsi="宋体"/>
          <w:b/>
          <w:bCs/>
          <w:sz w:val="24"/>
          <w:szCs w:val="24"/>
          <w:lang w:val="en-US" w:eastAsia="zh-CN"/>
        </w:rPr>
        <w:t>14</w:t>
      </w:r>
      <w:r>
        <w:rPr>
          <w:rFonts w:hint="eastAsia" w:ascii="宋体" w:hAnsi="宋体"/>
          <w:b/>
          <w:bCs/>
          <w:sz w:val="24"/>
          <w:szCs w:val="24"/>
        </w:rPr>
        <w:t>、竞争性磋商文件的修改</w:t>
      </w:r>
    </w:p>
    <w:p w14:paraId="1173E6AF">
      <w:pPr>
        <w:widowControl/>
        <w:spacing w:line="480" w:lineRule="exact"/>
        <w:ind w:firstLine="480" w:firstLineChars="200"/>
        <w:rPr>
          <w:rFonts w:hint="eastAsia" w:ascii="宋体" w:hAnsi="宋体"/>
          <w:sz w:val="24"/>
          <w:szCs w:val="24"/>
        </w:rPr>
      </w:pPr>
      <w:r>
        <w:rPr>
          <w:rFonts w:hint="eastAsia" w:ascii="宋体" w:hAnsi="宋体"/>
          <w:kern w:val="0"/>
          <w:sz w:val="24"/>
          <w:szCs w:val="24"/>
          <w:lang w:val="en-US" w:eastAsia="zh-CN"/>
        </w:rPr>
        <w:t>14</w:t>
      </w:r>
      <w:r>
        <w:rPr>
          <w:rFonts w:hint="eastAsia" w:ascii="宋体" w:hAnsi="宋体"/>
          <w:kern w:val="0"/>
          <w:sz w:val="24"/>
          <w:szCs w:val="24"/>
        </w:rPr>
        <w:t>.1竞争性磋商文件的修改书将构成响应文件的一部分，对所有供应商均有约束力。</w:t>
      </w:r>
    </w:p>
    <w:bookmarkEnd w:id="28"/>
    <w:bookmarkEnd w:id="29"/>
    <w:bookmarkEnd w:id="30"/>
    <w:bookmarkEnd w:id="31"/>
    <w:p w14:paraId="00EA6797">
      <w:pPr>
        <w:spacing w:line="360" w:lineRule="auto"/>
        <w:ind w:firstLine="424" w:firstLineChars="176"/>
        <w:rPr>
          <w:rFonts w:hint="eastAsia" w:ascii="宋体" w:hAnsi="宋体"/>
          <w:b/>
          <w:bCs/>
          <w:sz w:val="24"/>
          <w:szCs w:val="24"/>
          <w:lang w:val="en-US" w:eastAsia="zh-CN"/>
        </w:rPr>
      </w:pPr>
      <w:r>
        <w:rPr>
          <w:rFonts w:hint="eastAsia" w:ascii="宋体" w:hAnsi="宋体"/>
          <w:b/>
          <w:bCs/>
          <w:sz w:val="24"/>
          <w:szCs w:val="24"/>
          <w:lang w:val="en-US" w:eastAsia="zh-CN"/>
        </w:rPr>
        <w:t>15、报价说明</w:t>
      </w:r>
    </w:p>
    <w:p w14:paraId="3B327779">
      <w:pPr>
        <w:spacing w:line="360" w:lineRule="auto"/>
        <w:ind w:firstLine="422" w:firstLineChars="176"/>
        <w:rPr>
          <w:rFonts w:hint="eastAsia" w:ascii="宋体" w:hAnsi="宋体"/>
          <w:sz w:val="24"/>
          <w:szCs w:val="24"/>
          <w:lang w:val="en-US" w:eastAsia="zh-CN"/>
        </w:rPr>
      </w:pPr>
      <w:r>
        <w:rPr>
          <w:rFonts w:hint="eastAsia" w:ascii="宋体" w:hAnsi="宋体"/>
          <w:sz w:val="24"/>
          <w:szCs w:val="24"/>
          <w:lang w:val="en-US" w:eastAsia="zh-CN"/>
        </w:rPr>
        <w:t>15.1 本次磋商采用二轮（最终）报价法，供应商递交的响应文件中的报价为第一轮报价。</w:t>
      </w:r>
    </w:p>
    <w:p w14:paraId="2FF12C11">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15.2 不接受任何选择报价，只允许有一个报价，任何有选择性的报价将不予接受。</w:t>
      </w:r>
    </w:p>
    <w:p w14:paraId="457DC88D">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16</w:t>
      </w:r>
      <w:r>
        <w:rPr>
          <w:rFonts w:hint="eastAsia" w:ascii="宋体" w:hAnsi="宋体"/>
          <w:b/>
          <w:bCs/>
          <w:sz w:val="24"/>
          <w:szCs w:val="24"/>
        </w:rPr>
        <w:t>、要求</w:t>
      </w:r>
    </w:p>
    <w:p w14:paraId="2DAB6C80">
      <w:pPr>
        <w:spacing w:line="360" w:lineRule="auto"/>
        <w:ind w:firstLine="422" w:firstLineChars="176"/>
        <w:rPr>
          <w:rFonts w:ascii="宋体" w:hAnsi="宋体"/>
          <w:sz w:val="24"/>
          <w:szCs w:val="24"/>
        </w:rPr>
      </w:pPr>
      <w:r>
        <w:rPr>
          <w:rFonts w:hint="eastAsia" w:ascii="宋体" w:hAnsi="宋体"/>
          <w:sz w:val="24"/>
          <w:szCs w:val="24"/>
          <w:lang w:val="en-US" w:eastAsia="zh-CN"/>
        </w:rPr>
        <w:t>16</w:t>
      </w:r>
      <w:r>
        <w:rPr>
          <w:rFonts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lang w:eastAsia="zh-CN"/>
        </w:rPr>
        <w:t>供应商</w:t>
      </w:r>
      <w:r>
        <w:rPr>
          <w:rFonts w:hint="eastAsia" w:ascii="宋体" w:hAnsi="宋体"/>
          <w:sz w:val="24"/>
          <w:szCs w:val="24"/>
        </w:rPr>
        <w:t>应仔细阅读竞争性磋商文件的所有内容，按竞争性磋商文件的要求提供响应文件，并保证所提供资料的真实性，以使其响应文件对竞争性磋商文件作出实质性响应，否则，其响应文件不予接受。</w:t>
      </w:r>
    </w:p>
    <w:p w14:paraId="5A0C110D">
      <w:pPr>
        <w:spacing w:line="360" w:lineRule="auto"/>
        <w:ind w:firstLine="424" w:firstLineChars="176"/>
        <w:rPr>
          <w:rFonts w:ascii="宋体" w:hAnsi="宋体"/>
          <w:b/>
          <w:bCs/>
          <w:sz w:val="24"/>
          <w:szCs w:val="24"/>
          <w:highlight w:val="none"/>
        </w:rPr>
      </w:pPr>
      <w:r>
        <w:rPr>
          <w:rFonts w:hint="eastAsia" w:ascii="宋体" w:hAnsi="宋体"/>
          <w:b/>
          <w:bCs/>
          <w:sz w:val="24"/>
          <w:szCs w:val="24"/>
          <w:highlight w:val="none"/>
          <w:lang w:val="en-US" w:eastAsia="zh-CN"/>
        </w:rPr>
        <w:t>17</w:t>
      </w:r>
      <w:r>
        <w:rPr>
          <w:rFonts w:hint="eastAsia" w:ascii="宋体" w:hAnsi="宋体"/>
          <w:b/>
          <w:bCs/>
          <w:sz w:val="24"/>
          <w:szCs w:val="24"/>
          <w:highlight w:val="none"/>
        </w:rPr>
        <w:t>、</w:t>
      </w:r>
      <w:r>
        <w:rPr>
          <w:rFonts w:hint="eastAsia" w:ascii="宋体" w:hAnsi="宋体"/>
          <w:b/>
          <w:bCs/>
          <w:sz w:val="24"/>
          <w:szCs w:val="24"/>
          <w:highlight w:val="none"/>
          <w:lang w:val="en-US" w:eastAsia="zh-CN"/>
        </w:rPr>
        <w:t>电子化</w:t>
      </w:r>
      <w:r>
        <w:rPr>
          <w:rFonts w:hint="eastAsia" w:ascii="宋体" w:hAnsi="宋体"/>
          <w:b/>
          <w:bCs/>
          <w:sz w:val="24"/>
          <w:szCs w:val="24"/>
          <w:highlight w:val="none"/>
        </w:rPr>
        <w:t>响应文件的组成</w:t>
      </w:r>
    </w:p>
    <w:p w14:paraId="4348D3E2">
      <w:pPr>
        <w:adjustRightInd w:val="0"/>
        <w:snapToGrid w:val="0"/>
        <w:spacing w:line="360" w:lineRule="auto"/>
        <w:ind w:firstLine="480" w:firstLineChars="200"/>
        <w:jc w:val="left"/>
        <w:rPr>
          <w:rFonts w:hint="default"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一、磋商函及</w:t>
      </w:r>
      <w:r>
        <w:rPr>
          <w:rFonts w:hint="eastAsia" w:ascii="宋体" w:hAnsi="宋体" w:cs="宋体"/>
          <w:color w:val="000000"/>
          <w:sz w:val="24"/>
          <w:szCs w:val="24"/>
          <w:highlight w:val="none"/>
          <w:lang w:val="en-US" w:eastAsia="zh-CN"/>
        </w:rPr>
        <w:t>报价一览表</w:t>
      </w:r>
    </w:p>
    <w:p w14:paraId="54268A8B">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二、法定代表人身份证明</w:t>
      </w:r>
    </w:p>
    <w:p w14:paraId="59575221">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三、法定代表人授权委托书</w:t>
      </w:r>
    </w:p>
    <w:p w14:paraId="031F1457">
      <w:pPr>
        <w:adjustRightInd w:val="0"/>
        <w:snapToGrid w:val="0"/>
        <w:spacing w:line="360" w:lineRule="auto"/>
        <w:ind w:firstLine="480" w:firstLineChars="200"/>
        <w:jc w:val="left"/>
        <w:rPr>
          <w:rFonts w:hint="default"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四、</w:t>
      </w:r>
      <w:r>
        <w:rPr>
          <w:rFonts w:hint="eastAsia" w:ascii="宋体" w:hAnsi="宋体" w:cs="宋体"/>
          <w:color w:val="000000"/>
          <w:sz w:val="24"/>
          <w:szCs w:val="24"/>
          <w:highlight w:val="none"/>
          <w:lang w:val="en-US" w:eastAsia="zh-CN"/>
        </w:rPr>
        <w:t>资格审查资料</w:t>
      </w:r>
    </w:p>
    <w:p w14:paraId="6744ED5A">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五、</w:t>
      </w:r>
      <w:r>
        <w:rPr>
          <w:rFonts w:hint="eastAsia" w:ascii="宋体" w:hAnsi="宋体" w:cs="宋体"/>
          <w:color w:val="000000"/>
          <w:sz w:val="24"/>
          <w:szCs w:val="24"/>
          <w:highlight w:val="none"/>
          <w:lang w:val="en-US" w:eastAsia="zh-CN"/>
        </w:rPr>
        <w:t>服务方案</w:t>
      </w:r>
    </w:p>
    <w:p w14:paraId="09B0A7F9">
      <w:pPr>
        <w:adjustRightInd w:val="0"/>
        <w:snapToGrid w:val="0"/>
        <w:spacing w:line="360" w:lineRule="auto"/>
        <w:ind w:firstLine="480" w:firstLineChars="200"/>
        <w:jc w:val="left"/>
        <w:rPr>
          <w:rFonts w:hint="default"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六、</w:t>
      </w:r>
      <w:r>
        <w:rPr>
          <w:rFonts w:hint="eastAsia" w:ascii="宋体" w:hAnsi="宋体" w:cs="宋体"/>
          <w:color w:val="000000"/>
          <w:sz w:val="24"/>
          <w:szCs w:val="24"/>
          <w:highlight w:val="none"/>
          <w:lang w:val="en-US" w:eastAsia="zh-CN"/>
        </w:rPr>
        <w:t>供应商承担过的类似业绩</w:t>
      </w:r>
    </w:p>
    <w:p w14:paraId="580B4407">
      <w:pPr>
        <w:adjustRightInd w:val="0"/>
        <w:snapToGrid w:val="0"/>
        <w:spacing w:line="360" w:lineRule="auto"/>
        <w:ind w:firstLine="480" w:firstLineChars="200"/>
        <w:jc w:val="left"/>
        <w:rPr>
          <w:rFonts w:hint="default"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七、</w:t>
      </w:r>
      <w:r>
        <w:rPr>
          <w:rFonts w:hint="eastAsia" w:ascii="宋体" w:hAnsi="宋体" w:cs="宋体"/>
          <w:color w:val="000000"/>
          <w:sz w:val="24"/>
          <w:szCs w:val="24"/>
          <w:highlight w:val="none"/>
          <w:lang w:val="en-US" w:eastAsia="zh-CN"/>
        </w:rPr>
        <w:t>拟投入本项目的人员情况</w:t>
      </w:r>
    </w:p>
    <w:p w14:paraId="4CAD30ED">
      <w:pPr>
        <w:adjustRightInd w:val="0"/>
        <w:snapToGrid w:val="0"/>
        <w:spacing w:line="360" w:lineRule="auto"/>
        <w:ind w:firstLine="480" w:firstLineChars="200"/>
        <w:jc w:val="left"/>
        <w:rPr>
          <w:rFonts w:hint="default"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八、</w:t>
      </w:r>
      <w:r>
        <w:rPr>
          <w:rFonts w:hint="eastAsia" w:ascii="宋体" w:hAnsi="宋体" w:cs="宋体"/>
          <w:color w:val="000000"/>
          <w:sz w:val="24"/>
          <w:szCs w:val="24"/>
          <w:highlight w:val="none"/>
          <w:lang w:val="en-US" w:eastAsia="zh-CN"/>
        </w:rPr>
        <w:t>磋商承诺函</w:t>
      </w:r>
    </w:p>
    <w:p w14:paraId="4ADAB209">
      <w:pPr>
        <w:adjustRightInd w:val="0"/>
        <w:snapToGrid w:val="0"/>
        <w:spacing w:line="360" w:lineRule="auto"/>
        <w:ind w:firstLine="480" w:firstLineChars="200"/>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九、其他资料</w:t>
      </w:r>
    </w:p>
    <w:p w14:paraId="433DE67A">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18</w:t>
      </w:r>
      <w:r>
        <w:rPr>
          <w:rFonts w:hint="eastAsia" w:ascii="宋体" w:hAnsi="宋体"/>
          <w:b/>
          <w:bCs/>
          <w:sz w:val="24"/>
          <w:szCs w:val="24"/>
        </w:rPr>
        <w:t>、电子化响应文件的格式</w:t>
      </w:r>
    </w:p>
    <w:p w14:paraId="3C0AE512">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.1</w:t>
      </w:r>
      <w:r>
        <w:rPr>
          <w:rFonts w:hint="eastAsia" w:ascii="宋体" w:hAnsi="宋体"/>
          <w:sz w:val="24"/>
          <w:szCs w:val="24"/>
        </w:rPr>
        <w:t>供应商所上传的电子化响应文件，应是通过中心响应文件制作系统制作的，经过签章和加密后生成的电子版响应文件。其中包含用于响应文件上传的主文件（后缀为.smxtf）和用于应急补救的响应文件备份文件（后缀为.nsmxtf）。</w:t>
      </w:r>
    </w:p>
    <w:p w14:paraId="5F9568C2">
      <w:pPr>
        <w:spacing w:line="360" w:lineRule="auto"/>
        <w:ind w:firstLine="482" w:firstLineChars="200"/>
        <w:rPr>
          <w:rFonts w:ascii="宋体" w:hAnsi="宋体"/>
          <w:sz w:val="24"/>
          <w:szCs w:val="24"/>
        </w:rPr>
      </w:pPr>
      <w:r>
        <w:rPr>
          <w:rFonts w:ascii="宋体" w:hAnsi="宋体"/>
          <w:b/>
          <w:bCs/>
          <w:sz w:val="24"/>
          <w:szCs w:val="24"/>
        </w:rPr>
        <w:t>1</w:t>
      </w:r>
      <w:r>
        <w:rPr>
          <w:rFonts w:hint="eastAsia" w:ascii="宋体" w:hAnsi="宋体"/>
          <w:b/>
          <w:bCs/>
          <w:sz w:val="24"/>
          <w:szCs w:val="24"/>
          <w:lang w:val="en-US" w:eastAsia="zh-CN"/>
        </w:rPr>
        <w:t>9</w:t>
      </w:r>
      <w:r>
        <w:rPr>
          <w:rFonts w:hint="eastAsia" w:ascii="宋体" w:hAnsi="宋体"/>
          <w:b/>
          <w:bCs/>
          <w:sz w:val="24"/>
          <w:szCs w:val="24"/>
        </w:rPr>
        <w:t>、电子化响应文件的签署</w:t>
      </w:r>
    </w:p>
    <w:p w14:paraId="3752820C">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9</w:t>
      </w:r>
      <w:r>
        <w:rPr>
          <w:rFonts w:ascii="宋体" w:hAnsi="宋体"/>
          <w:sz w:val="24"/>
          <w:szCs w:val="24"/>
        </w:rPr>
        <w:t>.1</w:t>
      </w:r>
      <w:r>
        <w:rPr>
          <w:rFonts w:hint="eastAsia" w:ascii="宋体" w:hAnsi="宋体"/>
          <w:sz w:val="24"/>
          <w:szCs w:val="24"/>
        </w:rPr>
        <w:t>供应商在进行电子化响应文件签章时，竞争性磋商文件中要求供应商盖章的，以签盖单位章为准；要求法定代表人或委托代理人签章的，以签盖法定代表人签章为准。</w:t>
      </w:r>
    </w:p>
    <w:p w14:paraId="3DF951D9">
      <w:pPr>
        <w:spacing w:line="360" w:lineRule="auto"/>
        <w:ind w:firstLine="482" w:firstLineChars="200"/>
        <w:rPr>
          <w:rFonts w:ascii="宋体" w:hAnsi="宋体"/>
          <w:b/>
          <w:bCs/>
          <w:sz w:val="24"/>
          <w:szCs w:val="24"/>
        </w:rPr>
      </w:pPr>
      <w:r>
        <w:rPr>
          <w:rFonts w:hint="eastAsia" w:ascii="宋体" w:hAnsi="宋体"/>
          <w:b/>
          <w:bCs/>
          <w:sz w:val="24"/>
          <w:szCs w:val="24"/>
          <w:lang w:val="en-US" w:eastAsia="zh-CN"/>
        </w:rPr>
        <w:t>20</w:t>
      </w:r>
      <w:r>
        <w:rPr>
          <w:rFonts w:hint="eastAsia" w:ascii="宋体" w:hAnsi="宋体"/>
          <w:b/>
          <w:bCs/>
          <w:sz w:val="24"/>
          <w:szCs w:val="24"/>
        </w:rPr>
        <w:t>、电子化响应文件的上传</w:t>
      </w:r>
    </w:p>
    <w:p w14:paraId="151A3285">
      <w:pPr>
        <w:spacing w:line="360" w:lineRule="auto"/>
        <w:ind w:firstLine="480" w:firstLineChars="200"/>
        <w:jc w:val="left"/>
        <w:rPr>
          <w:rFonts w:ascii="宋体" w:hAnsi="宋体"/>
          <w:kern w:val="0"/>
          <w:sz w:val="24"/>
          <w:szCs w:val="24"/>
        </w:rPr>
      </w:pPr>
      <w:r>
        <w:rPr>
          <w:rFonts w:hint="eastAsia" w:ascii="宋体" w:hAnsi="宋体"/>
          <w:sz w:val="24"/>
          <w:szCs w:val="24"/>
          <w:lang w:val="en-US" w:eastAsia="zh-CN"/>
        </w:rPr>
        <w:t>20</w:t>
      </w:r>
      <w:r>
        <w:rPr>
          <w:rFonts w:ascii="宋体" w:hAnsi="宋体"/>
          <w:sz w:val="24"/>
          <w:szCs w:val="24"/>
        </w:rPr>
        <w:t>.1</w:t>
      </w:r>
      <w:r>
        <w:rPr>
          <w:rFonts w:hint="eastAsia" w:ascii="宋体" w:hAnsi="宋体"/>
          <w:kern w:val="0"/>
          <w:sz w:val="24"/>
          <w:szCs w:val="24"/>
        </w:rPr>
        <w:t>电子化响应文件应在</w:t>
      </w:r>
      <w:r>
        <w:rPr>
          <w:rFonts w:hint="eastAsia" w:ascii="宋体" w:hAnsi="宋体"/>
          <w:kern w:val="0"/>
          <w:sz w:val="24"/>
          <w:szCs w:val="24"/>
          <w:lang w:eastAsia="zh-CN"/>
        </w:rPr>
        <w:t>磋商</w:t>
      </w:r>
      <w:r>
        <w:rPr>
          <w:rFonts w:hint="eastAsia" w:ascii="宋体" w:hAnsi="宋体"/>
          <w:kern w:val="0"/>
          <w:sz w:val="24"/>
          <w:szCs w:val="24"/>
        </w:rPr>
        <w:t>截止时间前成功上传至三门峡市公共资源电子化交易系统。至</w:t>
      </w:r>
      <w:r>
        <w:rPr>
          <w:rFonts w:hint="eastAsia" w:ascii="宋体" w:hAnsi="宋体"/>
          <w:kern w:val="0"/>
          <w:sz w:val="24"/>
          <w:szCs w:val="24"/>
          <w:lang w:eastAsia="zh-CN"/>
        </w:rPr>
        <w:t>磋商</w:t>
      </w:r>
      <w:r>
        <w:rPr>
          <w:rFonts w:hint="eastAsia" w:ascii="宋体" w:hAnsi="宋体"/>
          <w:kern w:val="0"/>
          <w:sz w:val="24"/>
          <w:szCs w:val="24"/>
        </w:rPr>
        <w:t>截止时间止，仍未上传成功的电子化响应文件将不予接收。</w:t>
      </w:r>
    </w:p>
    <w:p w14:paraId="3A825D42">
      <w:pPr>
        <w:spacing w:line="360" w:lineRule="auto"/>
        <w:ind w:firstLine="422" w:firstLineChars="176"/>
        <w:jc w:val="left"/>
        <w:rPr>
          <w:rFonts w:ascii="宋体" w:hAnsi="宋体"/>
          <w:kern w:val="0"/>
          <w:sz w:val="24"/>
          <w:szCs w:val="24"/>
        </w:rPr>
      </w:pPr>
      <w:r>
        <w:rPr>
          <w:rFonts w:hint="eastAsia" w:ascii="宋体" w:hAnsi="宋体"/>
          <w:kern w:val="0"/>
          <w:sz w:val="24"/>
          <w:szCs w:val="24"/>
        </w:rPr>
        <w:t>注：如按照电子化</w:t>
      </w:r>
      <w:r>
        <w:rPr>
          <w:rFonts w:hint="eastAsia" w:ascii="宋体" w:hAnsi="宋体"/>
          <w:kern w:val="0"/>
          <w:sz w:val="24"/>
          <w:szCs w:val="24"/>
          <w:lang w:eastAsia="zh-CN"/>
        </w:rPr>
        <w:t>磋商</w:t>
      </w:r>
      <w:r>
        <w:rPr>
          <w:rFonts w:hint="eastAsia" w:ascii="宋体" w:hAnsi="宋体"/>
          <w:kern w:val="0"/>
          <w:sz w:val="24"/>
          <w:szCs w:val="24"/>
        </w:rPr>
        <w:t>操作教材制作完成的电子化响应文件无法上传的，供应商应在</w:t>
      </w:r>
      <w:r>
        <w:rPr>
          <w:rFonts w:hint="eastAsia" w:ascii="宋体" w:hAnsi="宋体"/>
          <w:kern w:val="0"/>
          <w:sz w:val="24"/>
          <w:szCs w:val="24"/>
          <w:lang w:eastAsia="zh-CN"/>
        </w:rPr>
        <w:t>磋商</w:t>
      </w:r>
      <w:r>
        <w:rPr>
          <w:rFonts w:hint="eastAsia" w:ascii="宋体" w:hAnsi="宋体"/>
          <w:kern w:val="0"/>
          <w:sz w:val="24"/>
          <w:szCs w:val="24"/>
        </w:rPr>
        <w:t>截止时间前尽早的联系中心技术人员，以便有充分的时间进行处理。供应商应充分考虑到处理技术问题和上传数据等工作所需的时间问题，响应文件未在</w:t>
      </w:r>
      <w:r>
        <w:rPr>
          <w:rFonts w:hint="eastAsia" w:ascii="宋体" w:hAnsi="宋体"/>
          <w:kern w:val="0"/>
          <w:sz w:val="24"/>
          <w:szCs w:val="24"/>
          <w:lang w:eastAsia="zh-CN"/>
        </w:rPr>
        <w:t>磋商</w:t>
      </w:r>
      <w:r>
        <w:rPr>
          <w:rFonts w:hint="eastAsia" w:ascii="宋体" w:hAnsi="宋体"/>
          <w:kern w:val="0"/>
          <w:sz w:val="24"/>
          <w:szCs w:val="24"/>
        </w:rPr>
        <w:t>截止时间前成功上传的，其响应文件不予接收。</w:t>
      </w:r>
    </w:p>
    <w:p w14:paraId="2239DF57">
      <w:pPr>
        <w:spacing w:line="360" w:lineRule="auto"/>
        <w:ind w:firstLine="482" w:firstLineChars="200"/>
        <w:rPr>
          <w:rFonts w:ascii="宋体" w:hAnsi="宋体"/>
          <w:b/>
          <w:bCs/>
          <w:sz w:val="24"/>
          <w:szCs w:val="24"/>
        </w:rPr>
      </w:pPr>
      <w:r>
        <w:rPr>
          <w:rFonts w:hint="eastAsia" w:ascii="宋体" w:hAnsi="宋体"/>
          <w:b/>
          <w:bCs/>
          <w:sz w:val="24"/>
          <w:szCs w:val="24"/>
          <w:lang w:val="en-US" w:eastAsia="zh-CN"/>
        </w:rPr>
        <w:t>21</w:t>
      </w:r>
      <w:r>
        <w:rPr>
          <w:rFonts w:hint="eastAsia" w:ascii="宋体" w:hAnsi="宋体"/>
          <w:b/>
          <w:bCs/>
          <w:sz w:val="24"/>
          <w:szCs w:val="24"/>
        </w:rPr>
        <w:t>、磋商截止时间</w:t>
      </w:r>
    </w:p>
    <w:p w14:paraId="16E58425">
      <w:pPr>
        <w:spacing w:line="360" w:lineRule="auto"/>
        <w:ind w:firstLine="480" w:firstLineChars="200"/>
        <w:rPr>
          <w:rFonts w:ascii="宋体" w:hAnsi="宋体"/>
          <w:sz w:val="24"/>
          <w:szCs w:val="24"/>
        </w:rPr>
      </w:pPr>
      <w:r>
        <w:rPr>
          <w:rFonts w:hint="eastAsia" w:ascii="宋体" w:hAnsi="宋体"/>
          <w:sz w:val="24"/>
          <w:szCs w:val="24"/>
          <w:lang w:val="en-US" w:eastAsia="zh-CN"/>
        </w:rPr>
        <w:t>21</w:t>
      </w:r>
      <w:r>
        <w:rPr>
          <w:rFonts w:ascii="宋体" w:hAnsi="宋体"/>
          <w:sz w:val="24"/>
          <w:szCs w:val="24"/>
        </w:rPr>
        <w:t>.1</w:t>
      </w:r>
      <w:r>
        <w:rPr>
          <w:rFonts w:hint="eastAsia" w:ascii="宋体" w:hAnsi="宋体"/>
          <w:sz w:val="24"/>
          <w:szCs w:val="24"/>
        </w:rPr>
        <w:t>电子化响应文件的截止时间见本须知前附表规定。</w:t>
      </w:r>
    </w:p>
    <w:p w14:paraId="60C4C7A9">
      <w:pPr>
        <w:spacing w:line="360" w:lineRule="auto"/>
        <w:ind w:firstLine="482" w:firstLineChars="200"/>
        <w:rPr>
          <w:rFonts w:ascii="宋体" w:hAnsi="宋体"/>
          <w:sz w:val="24"/>
          <w:szCs w:val="24"/>
        </w:rPr>
      </w:pPr>
      <w:r>
        <w:rPr>
          <w:rFonts w:hint="eastAsia" w:ascii="宋体" w:hAnsi="宋体"/>
          <w:b/>
          <w:bCs/>
          <w:sz w:val="24"/>
          <w:szCs w:val="24"/>
          <w:lang w:val="en-US" w:eastAsia="zh-CN"/>
        </w:rPr>
        <w:t>22</w:t>
      </w:r>
      <w:r>
        <w:rPr>
          <w:rFonts w:hint="eastAsia" w:ascii="宋体" w:hAnsi="宋体"/>
          <w:b/>
          <w:bCs/>
          <w:sz w:val="24"/>
          <w:szCs w:val="24"/>
        </w:rPr>
        <w:t>、电子化响应文件的补充、修改与撤回</w:t>
      </w:r>
    </w:p>
    <w:p w14:paraId="1CCC67AA">
      <w:pPr>
        <w:adjustRightInd w:val="0"/>
        <w:snapToGrid w:val="0"/>
        <w:spacing w:line="360" w:lineRule="auto"/>
        <w:ind w:firstLine="480" w:firstLineChars="200"/>
        <w:jc w:val="left"/>
        <w:rPr>
          <w:rFonts w:hint="eastAsia" w:ascii="宋体" w:hAnsi="宋体" w:cs="宋体"/>
          <w:color w:val="000000"/>
          <w:sz w:val="24"/>
          <w:szCs w:val="24"/>
          <w:highlight w:val="none"/>
          <w:lang w:val="en-US" w:eastAsia="zh-CN"/>
        </w:rPr>
      </w:pPr>
      <w:r>
        <w:rPr>
          <w:rFonts w:hint="eastAsia" w:ascii="宋体" w:hAnsi="宋体"/>
          <w:sz w:val="24"/>
          <w:szCs w:val="24"/>
          <w:lang w:val="en-US" w:eastAsia="zh-CN"/>
        </w:rPr>
        <w:t>22</w:t>
      </w:r>
      <w:r>
        <w:rPr>
          <w:rFonts w:ascii="宋体" w:hAnsi="宋体"/>
          <w:sz w:val="24"/>
          <w:szCs w:val="24"/>
        </w:rPr>
        <w:t>.1</w:t>
      </w:r>
      <w:r>
        <w:rPr>
          <w:rFonts w:hint="eastAsia" w:ascii="宋体" w:hAnsi="宋体"/>
          <w:sz w:val="24"/>
          <w:szCs w:val="24"/>
        </w:rPr>
        <w:t>在磋商截止时间之后，供应商不得补充、修改电子化响应文件。</w:t>
      </w:r>
    </w:p>
    <w:p w14:paraId="7FB2B7C0">
      <w:pPr>
        <w:spacing w:line="440" w:lineRule="exact"/>
        <w:ind w:firstLine="466" w:firstLineChars="200"/>
        <w:rPr>
          <w:rFonts w:hint="eastAsia" w:ascii="宋体" w:hAnsi="宋体" w:eastAsia="宋体" w:cs="宋体"/>
          <w:color w:val="auto"/>
          <w:sz w:val="24"/>
          <w:szCs w:val="24"/>
          <w:highlight w:val="none"/>
        </w:rPr>
      </w:pPr>
      <w:r>
        <w:rPr>
          <w:rFonts w:hint="eastAsia" w:ascii="宋体" w:hAnsi="宋体" w:cs="宋体"/>
          <w:b/>
          <w:bCs/>
          <w:spacing w:val="-4"/>
          <w:sz w:val="24"/>
          <w:szCs w:val="24"/>
          <w:lang w:val="en-US" w:eastAsia="zh-CN"/>
        </w:rPr>
        <w:t>23、</w:t>
      </w:r>
      <w:r>
        <w:rPr>
          <w:rFonts w:hint="eastAsia" w:ascii="宋体" w:hAnsi="宋体" w:cs="宋体"/>
          <w:b/>
          <w:bCs/>
          <w:spacing w:val="-4"/>
          <w:sz w:val="24"/>
          <w:szCs w:val="24"/>
          <w:lang w:val="zh-CN" w:eastAsia="zh-TW"/>
        </w:rPr>
        <w:t>供应商的资格审查资料</w:t>
      </w:r>
    </w:p>
    <w:p w14:paraId="3F7416F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电子磋商</w:t>
      </w:r>
      <w:r>
        <w:rPr>
          <w:rFonts w:hint="eastAsia" w:ascii="宋体" w:hAnsi="宋体" w:eastAsia="宋体" w:cs="宋体"/>
          <w:color w:val="auto"/>
          <w:sz w:val="24"/>
          <w:szCs w:val="24"/>
          <w:highlight w:val="none"/>
        </w:rPr>
        <w:t>文件格式进行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文件编制，在文件编制时，应明确将</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单位企业基本情况、人员情况、财务情况、业绩情况编入</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文件，便于进行资格审查及</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打分。</w:t>
      </w:r>
    </w:p>
    <w:p w14:paraId="59821628">
      <w:pPr>
        <w:wordWrap w:val="0"/>
        <w:autoSpaceDE w:val="0"/>
        <w:autoSpaceDN w:val="0"/>
        <w:adjustRightInd w:val="0"/>
        <w:spacing w:line="360" w:lineRule="auto"/>
        <w:ind w:firstLine="466" w:firstLineChars="200"/>
        <w:rPr>
          <w:rFonts w:ascii="宋体" w:hAnsi="宋体" w:cs="宋体"/>
          <w:b/>
          <w:bCs/>
          <w:spacing w:val="-4"/>
          <w:sz w:val="24"/>
          <w:szCs w:val="24"/>
        </w:rPr>
      </w:pPr>
      <w:r>
        <w:rPr>
          <w:rFonts w:hint="eastAsia" w:ascii="宋体" w:hAnsi="宋体" w:cs="宋体"/>
          <w:b/>
          <w:bCs/>
          <w:spacing w:val="-4"/>
          <w:sz w:val="24"/>
          <w:szCs w:val="24"/>
          <w:lang w:val="en-US" w:eastAsia="zh-CN"/>
        </w:rPr>
        <w:t>24</w:t>
      </w:r>
      <w:r>
        <w:rPr>
          <w:rFonts w:hint="eastAsia" w:ascii="宋体" w:hAnsi="宋体" w:cs="宋体"/>
          <w:b/>
          <w:bCs/>
          <w:spacing w:val="-4"/>
          <w:sz w:val="24"/>
          <w:szCs w:val="24"/>
        </w:rPr>
        <w:t>、磋商报价</w:t>
      </w:r>
    </w:p>
    <w:p w14:paraId="6EDC1056">
      <w:pPr>
        <w:spacing w:line="360" w:lineRule="auto"/>
        <w:ind w:firstLine="480" w:firstLineChars="200"/>
        <w:rPr>
          <w:rFonts w:hint="eastAsia" w:ascii="宋体" w:hAnsi="宋体"/>
          <w:b/>
          <w:bCs/>
          <w:color w:val="auto"/>
          <w:sz w:val="24"/>
          <w:szCs w:val="24"/>
          <w:highlight w:val="none"/>
          <w:lang w:val="en-US" w:eastAsia="zh-CN"/>
        </w:rPr>
      </w:pPr>
      <w:r>
        <w:rPr>
          <w:rFonts w:hint="eastAsia" w:ascii="宋体" w:hAnsi="宋体"/>
          <w:sz w:val="24"/>
          <w:szCs w:val="24"/>
          <w:highlight w:val="none"/>
          <w:lang w:val="en-US" w:eastAsia="zh-CN"/>
        </w:rPr>
        <w:t>24</w:t>
      </w:r>
      <w:r>
        <w:rPr>
          <w:rFonts w:ascii="宋体" w:hAnsi="宋体"/>
          <w:sz w:val="24"/>
          <w:szCs w:val="24"/>
          <w:highlight w:val="none"/>
        </w:rPr>
        <w:t>.1</w:t>
      </w:r>
      <w:r>
        <w:rPr>
          <w:rFonts w:hint="eastAsia" w:ascii="宋体" w:hAnsi="宋体"/>
          <w:b/>
          <w:bCs/>
          <w:color w:val="auto"/>
          <w:sz w:val="24"/>
          <w:szCs w:val="24"/>
          <w:highlight w:val="none"/>
          <w:lang w:val="en-US" w:eastAsia="zh-CN"/>
        </w:rPr>
        <w:t>因电子交易系统规则限制，本次磋商采用总价形式提交电子报价，项目成交后，按实际配送金额对应折扣率办理结算。</w:t>
      </w:r>
    </w:p>
    <w:p w14:paraId="543D5606">
      <w:pPr>
        <w:spacing w:line="360" w:lineRule="auto"/>
        <w:ind w:firstLine="482" w:firstLineChars="200"/>
        <w:rPr>
          <w:rFonts w:hint="default" w:ascii="宋体" w:hAnsi="宋体"/>
          <w:b/>
          <w:bCs/>
          <w:color w:val="auto"/>
          <w:sz w:val="24"/>
          <w:szCs w:val="24"/>
          <w:highlight w:val="none"/>
          <w:lang w:val="en-US" w:eastAsia="zh-CN"/>
        </w:rPr>
      </w:pPr>
      <w:r>
        <w:rPr>
          <w:rFonts w:hint="default" w:ascii="宋体" w:hAnsi="宋体"/>
          <w:b/>
          <w:bCs/>
          <w:color w:val="auto"/>
          <w:sz w:val="24"/>
          <w:szCs w:val="24"/>
          <w:highlight w:val="none"/>
          <w:lang w:val="en-US" w:eastAsia="zh-CN"/>
        </w:rPr>
        <w:t>结算计算公式：最终报价÷磋商控制价×100，</w:t>
      </w:r>
      <w:r>
        <w:rPr>
          <w:rFonts w:hint="eastAsia" w:ascii="宋体" w:hAnsi="宋体"/>
          <w:b/>
          <w:bCs/>
          <w:color w:val="auto"/>
          <w:sz w:val="24"/>
          <w:szCs w:val="24"/>
          <w:highlight w:val="none"/>
          <w:lang w:val="en-US" w:eastAsia="zh-CN"/>
        </w:rPr>
        <w:t>计算</w:t>
      </w:r>
      <w:r>
        <w:rPr>
          <w:rFonts w:hint="default" w:ascii="宋体" w:hAnsi="宋体"/>
          <w:b/>
          <w:bCs/>
          <w:color w:val="auto"/>
          <w:sz w:val="24"/>
          <w:szCs w:val="24"/>
          <w:highlight w:val="none"/>
          <w:lang w:val="en-US" w:eastAsia="zh-CN"/>
        </w:rPr>
        <w:t xml:space="preserve">结果四舍五入保留两位小数。 </w:t>
      </w:r>
    </w:p>
    <w:p w14:paraId="5FB7A899">
      <w:pPr>
        <w:spacing w:line="360" w:lineRule="auto"/>
        <w:ind w:firstLine="482" w:firstLineChars="200"/>
        <w:rPr>
          <w:rFonts w:ascii="宋体" w:hAnsi="宋体"/>
          <w:b/>
          <w:bCs/>
          <w:color w:val="auto"/>
          <w:sz w:val="24"/>
          <w:szCs w:val="24"/>
          <w:highlight w:val="none"/>
        </w:rPr>
      </w:pPr>
      <w:r>
        <w:rPr>
          <w:rFonts w:hint="default" w:ascii="宋体" w:hAnsi="宋体"/>
          <w:b/>
          <w:bCs/>
          <w:color w:val="auto"/>
          <w:sz w:val="24"/>
          <w:szCs w:val="24"/>
          <w:highlight w:val="none"/>
          <w:lang w:val="en-US" w:eastAsia="zh-CN"/>
        </w:rPr>
        <w:t>示例：最终报价1000000元，磋商控制价1100000元，结算折扣=1000000÷1100000×100≈91.00%</w:t>
      </w:r>
      <w:r>
        <w:rPr>
          <w:rFonts w:hint="eastAsia" w:ascii="宋体" w:hAnsi="宋体"/>
          <w:b/>
          <w:bCs/>
          <w:color w:val="auto"/>
          <w:sz w:val="24"/>
          <w:szCs w:val="24"/>
          <w:highlight w:val="none"/>
        </w:rPr>
        <w:t>。</w:t>
      </w:r>
    </w:p>
    <w:p w14:paraId="357F549A">
      <w:pPr>
        <w:wordWrap w:val="0"/>
        <w:spacing w:line="360" w:lineRule="auto"/>
        <w:ind w:firstLine="480" w:firstLineChars="200"/>
        <w:rPr>
          <w:sz w:val="24"/>
        </w:rPr>
      </w:pPr>
      <w:r>
        <w:rPr>
          <w:rFonts w:hint="eastAsia" w:ascii="宋体" w:hAnsi="宋体"/>
          <w:sz w:val="24"/>
          <w:szCs w:val="24"/>
          <w:lang w:val="en-US" w:eastAsia="zh-CN"/>
        </w:rPr>
        <w:t>24</w:t>
      </w:r>
      <w:r>
        <w:rPr>
          <w:rFonts w:ascii="宋体" w:hAnsi="宋体"/>
          <w:sz w:val="24"/>
          <w:szCs w:val="24"/>
        </w:rPr>
        <w:t>.2</w:t>
      </w:r>
      <w:r>
        <w:rPr>
          <w:rFonts w:hint="eastAsia"/>
          <w:sz w:val="24"/>
        </w:rPr>
        <w:t>供应商根据市场行情自主报价。</w:t>
      </w:r>
      <w:r>
        <w:rPr>
          <w:rFonts w:hint="eastAsia" w:ascii="宋体" w:hAnsi="宋体"/>
          <w:sz w:val="24"/>
          <w:szCs w:val="24"/>
        </w:rPr>
        <w:t>供应商的</w:t>
      </w:r>
      <w:r>
        <w:rPr>
          <w:rFonts w:hint="eastAsia" w:ascii="宋体" w:hAnsi="宋体"/>
          <w:sz w:val="24"/>
          <w:szCs w:val="24"/>
          <w:lang w:eastAsia="zh-CN"/>
        </w:rPr>
        <w:t>磋商</w:t>
      </w:r>
      <w:r>
        <w:rPr>
          <w:rFonts w:hint="eastAsia" w:ascii="宋体" w:hAnsi="宋体"/>
          <w:sz w:val="24"/>
          <w:szCs w:val="24"/>
        </w:rPr>
        <w:t>报价包括完成该项目的成本、利润、税金、风险等所有伴随的其他费用。</w:t>
      </w:r>
      <w:r>
        <w:rPr>
          <w:rFonts w:hint="eastAsia"/>
          <w:sz w:val="24"/>
        </w:rPr>
        <w:t>采购人不另外支付其他任何费用。</w:t>
      </w:r>
    </w:p>
    <w:p w14:paraId="165E4E20">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24</w:t>
      </w:r>
      <w:r>
        <w:rPr>
          <w:rFonts w:ascii="宋体" w:hAnsi="宋体"/>
          <w:sz w:val="24"/>
          <w:szCs w:val="24"/>
          <w:highlight w:val="none"/>
        </w:rPr>
        <w:t>.3</w:t>
      </w:r>
      <w:r>
        <w:rPr>
          <w:rFonts w:hint="eastAsia" w:ascii="宋体" w:hAnsi="宋体"/>
          <w:sz w:val="24"/>
          <w:szCs w:val="24"/>
          <w:highlight w:val="none"/>
        </w:rPr>
        <w:t>供应商应充分考虑市场风险和国家政策性风险系数，根据企业具体情况在合理的范围内自主报价，但不得低于企业实际成本。</w:t>
      </w:r>
    </w:p>
    <w:p w14:paraId="552ED742">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24</w:t>
      </w:r>
      <w:r>
        <w:rPr>
          <w:rFonts w:ascii="宋体" w:hAnsi="宋体"/>
          <w:sz w:val="24"/>
          <w:szCs w:val="24"/>
          <w:highlight w:val="none"/>
        </w:rPr>
        <w:t>.4</w:t>
      </w:r>
      <w:r>
        <w:rPr>
          <w:rFonts w:hint="eastAsia" w:ascii="宋体" w:hAnsi="宋体"/>
          <w:sz w:val="24"/>
          <w:szCs w:val="24"/>
          <w:highlight w:val="none"/>
        </w:rPr>
        <w:t>供应商只能提出一个报价，采购人不接受任何有选择的报价，最后报价不得超过项目磋商控制价。</w:t>
      </w:r>
    </w:p>
    <w:p w14:paraId="3DF537A3">
      <w:pPr>
        <w:spacing w:line="360" w:lineRule="auto"/>
        <w:ind w:firstLine="422" w:firstLineChars="176"/>
        <w:rPr>
          <w:rFonts w:ascii="宋体" w:hAnsi="宋体"/>
          <w:sz w:val="24"/>
          <w:szCs w:val="24"/>
        </w:rPr>
      </w:pPr>
      <w:r>
        <w:rPr>
          <w:rFonts w:hint="eastAsia" w:ascii="宋体" w:hAnsi="宋体"/>
          <w:sz w:val="24"/>
          <w:szCs w:val="24"/>
          <w:lang w:val="en-US" w:eastAsia="zh-CN"/>
        </w:rPr>
        <w:t>24</w:t>
      </w:r>
      <w:r>
        <w:rPr>
          <w:rFonts w:ascii="宋体" w:hAnsi="宋体"/>
          <w:sz w:val="24"/>
          <w:szCs w:val="24"/>
        </w:rPr>
        <w:t>.5</w:t>
      </w:r>
      <w:r>
        <w:rPr>
          <w:rFonts w:hint="eastAsia" w:ascii="宋体" w:hAnsi="宋体"/>
          <w:sz w:val="24"/>
          <w:szCs w:val="24"/>
        </w:rPr>
        <w:t>供应商只能提出一个报价，采购人不接受任何有选择的报价，最后报价不得超过项目磋商控制价。</w:t>
      </w:r>
    </w:p>
    <w:p w14:paraId="776EA3FE">
      <w:pPr>
        <w:wordWrap w:val="0"/>
        <w:autoSpaceDE w:val="0"/>
        <w:autoSpaceDN w:val="0"/>
        <w:adjustRightIn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24</w:t>
      </w:r>
      <w:r>
        <w:rPr>
          <w:rFonts w:ascii="宋体" w:hAnsi="宋体"/>
          <w:sz w:val="24"/>
          <w:szCs w:val="24"/>
        </w:rPr>
        <w:t>.6</w:t>
      </w:r>
      <w:r>
        <w:rPr>
          <w:rFonts w:hint="eastAsia" w:ascii="宋体" w:hAnsi="宋体"/>
          <w:sz w:val="24"/>
          <w:szCs w:val="24"/>
        </w:rPr>
        <w:t>本次采购为竞争性磋商采购，允许二次报价。</w:t>
      </w:r>
    </w:p>
    <w:p w14:paraId="4A4A1BDB">
      <w:pPr>
        <w:spacing w:line="440" w:lineRule="exact"/>
        <w:ind w:firstLine="480" w:firstLineChars="200"/>
        <w:rPr>
          <w:rFonts w:ascii="宋体" w:hAnsi="宋体" w:cs="宋体"/>
          <w:sz w:val="24"/>
          <w:szCs w:val="24"/>
        </w:rPr>
      </w:pPr>
      <w:r>
        <w:rPr>
          <w:rFonts w:hint="eastAsia" w:ascii="宋体" w:hAnsi="宋体" w:cs="宋体"/>
          <w:b w:val="0"/>
          <w:bCs w:val="0"/>
          <w:sz w:val="24"/>
          <w:szCs w:val="24"/>
          <w:lang w:val="en-US" w:eastAsia="zh-CN"/>
        </w:rPr>
        <w:t>24.7</w:t>
      </w:r>
      <w:r>
        <w:rPr>
          <w:rFonts w:hint="eastAsia" w:ascii="宋体" w:hAnsi="宋体" w:cs="宋体"/>
          <w:sz w:val="24"/>
          <w:szCs w:val="24"/>
        </w:rPr>
        <w:t>全部报价均应以人民币为计量币种，并以人民币进行结算。</w:t>
      </w:r>
    </w:p>
    <w:p w14:paraId="6CB71B97">
      <w:pPr>
        <w:spacing w:line="44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24.8</w:t>
      </w:r>
      <w:r>
        <w:rPr>
          <w:rFonts w:hint="eastAsia" w:ascii="宋体" w:hAnsi="宋体" w:cs="宋体"/>
          <w:b w:val="0"/>
          <w:bCs w:val="0"/>
          <w:sz w:val="24"/>
          <w:szCs w:val="24"/>
          <w:highlight w:val="none"/>
        </w:rPr>
        <w:t>根据财政部《关于推动解决政府采购异常低价问题的通知》（财库〔2026〕2号），评审中出现下列情形之一的，评审委员会应当启动异常低价投标（响应）审查程序：</w:t>
      </w:r>
    </w:p>
    <w:p w14:paraId="02AF547A">
      <w:pPr>
        <w:spacing w:line="440" w:lineRule="exact"/>
        <w:ind w:firstLine="549" w:firstLineChars="229"/>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1</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投标（响应）报价低于全部通过符合性审查供应商投标（响应）报价平均值50%的，即投标（响应）报价&lt;全部通过符合性审查供应商投标（响应）报价平均值×50%；</w:t>
      </w:r>
    </w:p>
    <w:p w14:paraId="2344EC91">
      <w:pPr>
        <w:spacing w:line="440" w:lineRule="exact"/>
        <w:ind w:firstLine="549" w:firstLineChars="229"/>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投标（响应）报价低于通过符合性审查的次低报价供应商投标（响应）报价50%的，即投标（响应）报价&lt;通过符合性审查的次低报价供应商投标（响应）报价×50%；</w:t>
      </w:r>
    </w:p>
    <w:p w14:paraId="2EB98402">
      <w:pPr>
        <w:spacing w:line="440" w:lineRule="exact"/>
        <w:ind w:firstLine="549" w:firstLineChars="229"/>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3</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投标（响应）报价低于采购项目最高限价45%的，即投标（响应）报价&lt;采购项目最高限价×45%；</w:t>
      </w:r>
    </w:p>
    <w:p w14:paraId="0BC4DA2A">
      <w:pPr>
        <w:spacing w:line="440" w:lineRule="exact"/>
        <w:ind w:firstLine="549" w:firstLineChars="229"/>
        <w:rPr>
          <w:rFonts w:ascii="宋体" w:hAnsi="宋体" w:cs="宋体"/>
          <w:b w:val="0"/>
          <w:bCs w:val="0"/>
          <w:sz w:val="24"/>
          <w:szCs w:val="24"/>
          <w:highlight w:val="none"/>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评审委员会基于专业判断，认为供应商报价过低，有可能影响产品质量或者不能诚信履约的其他情形。</w:t>
      </w:r>
    </w:p>
    <w:p w14:paraId="68A06041">
      <w:pPr>
        <w:spacing w:line="440" w:lineRule="exact"/>
        <w:ind w:firstLine="549" w:firstLineChars="229"/>
        <w:rPr>
          <w:rFonts w:hint="eastAsia" w:ascii="宋体" w:hAnsi="宋体" w:cs="宋体"/>
          <w:b w:val="0"/>
          <w:bCs w:val="0"/>
          <w:sz w:val="24"/>
          <w:szCs w:val="24"/>
          <w:highlight w:val="none"/>
        </w:rPr>
      </w:pPr>
      <w:r>
        <w:rPr>
          <w:rFonts w:hint="eastAsia" w:ascii="宋体" w:hAnsi="宋体" w:cs="宋体"/>
          <w:b w:val="0"/>
          <w:bCs w:val="0"/>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018E573">
      <w:pPr>
        <w:spacing w:line="440" w:lineRule="exact"/>
        <w:ind w:firstLine="549" w:firstLineChars="229"/>
        <w:rPr>
          <w:rFonts w:hint="eastAsia" w:ascii="宋体" w:hAnsi="宋体" w:cs="宋体"/>
          <w:b w:val="0"/>
          <w:bCs w:val="0"/>
          <w:sz w:val="24"/>
          <w:szCs w:val="24"/>
          <w:highlight w:val="none"/>
        </w:rPr>
      </w:pPr>
      <w:r>
        <w:rPr>
          <w:rFonts w:hint="eastAsia" w:ascii="宋体" w:hAnsi="宋体" w:cs="宋体"/>
          <w:b w:val="0"/>
          <w:bCs w:val="0"/>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693D0F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25、磋商</w:t>
      </w:r>
      <w:r>
        <w:rPr>
          <w:rFonts w:hint="eastAsia" w:ascii="宋体" w:hAnsi="宋体" w:eastAsia="宋体" w:cs="宋体"/>
          <w:b/>
          <w:bCs/>
          <w:color w:val="auto"/>
          <w:sz w:val="24"/>
          <w:szCs w:val="24"/>
          <w:highlight w:val="none"/>
        </w:rPr>
        <w:t>有效期</w:t>
      </w:r>
    </w:p>
    <w:p w14:paraId="52CB80AB">
      <w:pPr>
        <w:spacing w:line="360" w:lineRule="auto"/>
        <w:ind w:firstLine="422" w:firstLineChars="176"/>
        <w:rPr>
          <w:rFonts w:ascii="宋体" w:hAnsi="宋体"/>
          <w:sz w:val="24"/>
          <w:szCs w:val="24"/>
        </w:rPr>
      </w:pPr>
      <w:r>
        <w:rPr>
          <w:rFonts w:hint="eastAsia" w:ascii="宋体" w:hAnsi="宋体"/>
          <w:sz w:val="24"/>
          <w:szCs w:val="24"/>
          <w:lang w:val="en-US" w:eastAsia="zh-CN"/>
        </w:rPr>
        <w:t>25</w:t>
      </w:r>
      <w:r>
        <w:rPr>
          <w:rFonts w:ascii="宋体" w:hAnsi="宋体"/>
          <w:sz w:val="24"/>
          <w:szCs w:val="24"/>
        </w:rPr>
        <w:t>.1</w:t>
      </w:r>
      <w:r>
        <w:rPr>
          <w:rFonts w:hint="eastAsia" w:ascii="宋体" w:hAnsi="宋体"/>
          <w:sz w:val="24"/>
          <w:szCs w:val="24"/>
        </w:rPr>
        <w:t>磋商有效期为</w:t>
      </w:r>
      <w:r>
        <w:rPr>
          <w:rFonts w:ascii="宋体" w:hAnsi="宋体"/>
          <w:sz w:val="24"/>
          <w:szCs w:val="24"/>
        </w:rPr>
        <w:t>60</w:t>
      </w:r>
      <w:r>
        <w:rPr>
          <w:rFonts w:hint="eastAsia" w:ascii="宋体" w:hAnsi="宋体"/>
          <w:sz w:val="24"/>
          <w:szCs w:val="24"/>
        </w:rPr>
        <w:t>日历天(从磋商截止之日算起)，有效期短于此规定的响应文件将被视为无效文件。</w:t>
      </w:r>
    </w:p>
    <w:p w14:paraId="2CE41FD0">
      <w:pPr>
        <w:spacing w:line="360" w:lineRule="auto"/>
        <w:ind w:firstLine="422" w:firstLineChars="176"/>
        <w:rPr>
          <w:rFonts w:ascii="宋体" w:hAnsi="宋体"/>
          <w:sz w:val="24"/>
          <w:szCs w:val="24"/>
        </w:rPr>
      </w:pPr>
      <w:r>
        <w:rPr>
          <w:rFonts w:hint="eastAsia" w:ascii="宋体" w:hAnsi="宋体"/>
          <w:sz w:val="24"/>
          <w:szCs w:val="24"/>
          <w:lang w:val="en-US" w:eastAsia="zh-CN"/>
        </w:rPr>
        <w:t>25</w:t>
      </w:r>
      <w:r>
        <w:rPr>
          <w:rFonts w:ascii="宋体" w:hAnsi="宋体"/>
          <w:sz w:val="24"/>
          <w:szCs w:val="24"/>
        </w:rPr>
        <w:t>.2</w:t>
      </w:r>
      <w:r>
        <w:rPr>
          <w:rFonts w:hint="eastAsia" w:ascii="宋体" w:hAnsi="宋体"/>
          <w:sz w:val="24"/>
          <w:szCs w:val="24"/>
        </w:rPr>
        <w:t>特殊情况下，采购人可于响应文件有效期满之前要求供应商同意延长有效期，要求与答复均为书面形式。供应商可以拒绝上述要求，对于同意该要求的供应商，不允许其修改响应文件。</w:t>
      </w:r>
    </w:p>
    <w:p w14:paraId="331444F3">
      <w:pPr>
        <w:spacing w:line="440" w:lineRule="exact"/>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val="en-US" w:eastAsia="zh-CN"/>
        </w:rPr>
        <w:t>26.磋商</w:t>
      </w:r>
      <w:r>
        <w:rPr>
          <w:rFonts w:hint="eastAsia" w:ascii="宋体" w:hAnsi="宋体" w:eastAsia="宋体" w:cs="宋体"/>
          <w:b/>
          <w:color w:val="auto"/>
          <w:sz w:val="24"/>
          <w:szCs w:val="24"/>
          <w:highlight w:val="none"/>
        </w:rPr>
        <w:t>保证金：</w:t>
      </w: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47598B5C">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rPr>
        <w:t>资格审查资料</w:t>
      </w:r>
    </w:p>
    <w:p w14:paraId="55C2E966">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详见供应商前附表</w:t>
      </w:r>
      <w:r>
        <w:rPr>
          <w:rFonts w:hint="eastAsia" w:ascii="宋体" w:hAnsi="宋体" w:eastAsia="宋体" w:cs="宋体"/>
          <w:color w:val="auto"/>
          <w:sz w:val="24"/>
          <w:szCs w:val="24"/>
          <w:highlight w:val="none"/>
          <w:lang w:eastAsia="zh-CN"/>
        </w:rPr>
        <w:t>。</w:t>
      </w:r>
    </w:p>
    <w:p w14:paraId="2A63C4C9">
      <w:pPr>
        <w:wordWrap w:val="0"/>
        <w:autoSpaceDE w:val="0"/>
        <w:autoSpaceDN w:val="0"/>
        <w:adjustRightInd w:val="0"/>
        <w:spacing w:line="360" w:lineRule="auto"/>
        <w:ind w:firstLine="466" w:firstLineChars="200"/>
        <w:rPr>
          <w:rFonts w:hint="eastAsia" w:ascii="宋体" w:hAnsi="宋体" w:cs="宋体"/>
          <w:b/>
          <w:bCs/>
          <w:spacing w:val="-4"/>
          <w:sz w:val="24"/>
          <w:szCs w:val="24"/>
          <w:lang w:val="en-US" w:eastAsia="zh-CN"/>
        </w:rPr>
      </w:pPr>
      <w:r>
        <w:rPr>
          <w:rFonts w:hint="eastAsia" w:ascii="宋体" w:hAnsi="宋体" w:cs="宋体"/>
          <w:b/>
          <w:bCs/>
          <w:spacing w:val="-4"/>
          <w:sz w:val="24"/>
          <w:szCs w:val="24"/>
          <w:lang w:val="en-US" w:eastAsia="zh-CN"/>
        </w:rPr>
        <w:t>28、响应文件的递交</w:t>
      </w:r>
    </w:p>
    <w:p w14:paraId="12C5ECD9">
      <w:pPr>
        <w:wordWrap w:val="0"/>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竞争性磋商公告部分</w:t>
      </w:r>
      <w:r>
        <w:rPr>
          <w:rFonts w:hint="eastAsia" w:ascii="宋体" w:hAnsi="宋体" w:eastAsia="宋体" w:cs="宋体"/>
          <w:color w:val="auto"/>
          <w:sz w:val="24"/>
          <w:szCs w:val="24"/>
          <w:highlight w:val="none"/>
          <w:lang w:eastAsia="zh-CN"/>
        </w:rPr>
        <w:t>。</w:t>
      </w:r>
    </w:p>
    <w:p w14:paraId="3CADF1D9">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29</w:t>
      </w:r>
      <w:r>
        <w:rPr>
          <w:rFonts w:hint="eastAsia" w:ascii="宋体" w:hAnsi="宋体"/>
          <w:b/>
          <w:bCs/>
          <w:sz w:val="24"/>
          <w:szCs w:val="24"/>
        </w:rPr>
        <w:t>、磋商</w:t>
      </w:r>
    </w:p>
    <w:p w14:paraId="7755D893">
      <w:pPr>
        <w:spacing w:line="360" w:lineRule="auto"/>
        <w:ind w:firstLine="422" w:firstLineChars="176"/>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.1 本项目采用电子化、无纸化进行</w:t>
      </w:r>
      <w:r>
        <w:rPr>
          <w:rFonts w:hint="eastAsia" w:ascii="宋体" w:hAnsi="宋体"/>
          <w:sz w:val="24"/>
          <w:szCs w:val="24"/>
          <w:lang w:eastAsia="zh-CN"/>
        </w:rPr>
        <w:t>磋商</w:t>
      </w:r>
      <w:r>
        <w:rPr>
          <w:rFonts w:hint="eastAsia" w:ascii="宋体" w:hAnsi="宋体"/>
          <w:sz w:val="24"/>
          <w:szCs w:val="24"/>
        </w:rPr>
        <w:t>，开标当日，供应商无需到开标现场参加开标会议，供应商应当在</w:t>
      </w:r>
      <w:r>
        <w:rPr>
          <w:rFonts w:hint="eastAsia" w:ascii="宋体" w:hAnsi="宋体"/>
          <w:sz w:val="24"/>
          <w:szCs w:val="24"/>
          <w:lang w:eastAsia="zh-CN"/>
        </w:rPr>
        <w:t>磋商</w:t>
      </w:r>
      <w:r>
        <w:rPr>
          <w:rFonts w:hint="eastAsia" w:ascii="宋体" w:hAnsi="宋体"/>
          <w:sz w:val="24"/>
          <w:szCs w:val="24"/>
        </w:rPr>
        <w:t>截止时间前，登陆不见面开标大厅选择登陆三门峡市公共资源电子招投标系统进行登陆,在线准时参加开标活动并进行响应文件解密等。</w:t>
      </w:r>
    </w:p>
    <w:p w14:paraId="73594AE5">
      <w:pPr>
        <w:spacing w:line="360" w:lineRule="auto"/>
        <w:ind w:firstLine="422" w:firstLineChars="176"/>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.2 电子化响应文件采用一次加密方式。开标时，由供应商使用CA 证书，在规定时间内对其电子化响应文件进行解密。每位供应商的解密时间为开标时间起30分钟内，如在规定时间内未完成解密的，其响应文件不予开标、唱标。每位供应商的解密时间为开标时间起30分钟内完成。</w:t>
      </w:r>
    </w:p>
    <w:p w14:paraId="05A4A839">
      <w:pPr>
        <w:spacing w:line="360" w:lineRule="auto"/>
        <w:ind w:firstLine="422" w:firstLineChars="176"/>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.3 电子化响应文件解密异常的处理</w:t>
      </w:r>
    </w:p>
    <w:p w14:paraId="766CF2DF">
      <w:pPr>
        <w:spacing w:line="360" w:lineRule="auto"/>
        <w:ind w:firstLine="422" w:firstLineChars="176"/>
        <w:rPr>
          <w:rFonts w:ascii="宋体" w:hAnsi="宋体"/>
          <w:sz w:val="24"/>
          <w:szCs w:val="24"/>
        </w:rPr>
      </w:pPr>
      <w:r>
        <w:rPr>
          <w:rFonts w:hint="eastAsia" w:ascii="宋体" w:hAnsi="宋体"/>
          <w:sz w:val="24"/>
          <w:szCs w:val="24"/>
        </w:rPr>
        <w:t>如出现供应商的电子化响应文件无法解密等异常情况，供应商应及时致电中介服务机构说明。响应文件异常，按以下步骤进行处理：</w:t>
      </w:r>
    </w:p>
    <w:p w14:paraId="3035C51E">
      <w:pPr>
        <w:spacing w:line="360" w:lineRule="auto"/>
        <w:ind w:firstLine="422" w:firstLineChars="176"/>
        <w:rPr>
          <w:rFonts w:ascii="宋体" w:hAnsi="宋体"/>
          <w:sz w:val="24"/>
          <w:szCs w:val="24"/>
        </w:rPr>
      </w:pPr>
      <w:r>
        <w:rPr>
          <w:rFonts w:hint="eastAsia" w:ascii="宋体" w:hAnsi="宋体"/>
          <w:sz w:val="24"/>
          <w:szCs w:val="24"/>
        </w:rPr>
        <w:t>（1）首先由技术人员进行问题排查。</w:t>
      </w:r>
    </w:p>
    <w:p w14:paraId="367AE110">
      <w:pPr>
        <w:spacing w:line="360" w:lineRule="auto"/>
        <w:ind w:firstLine="422" w:firstLineChars="176"/>
        <w:rPr>
          <w:rFonts w:ascii="宋体" w:hAnsi="宋体"/>
          <w:sz w:val="24"/>
          <w:szCs w:val="24"/>
        </w:rPr>
      </w:pPr>
      <w:r>
        <w:rPr>
          <w:rFonts w:hint="eastAsia" w:ascii="宋体" w:hAnsi="宋体"/>
          <w:sz w:val="24"/>
          <w:szCs w:val="24"/>
        </w:rPr>
        <w:t>（2）经技术人员排查后，是供应商文件自身问题导致响应文件无法解密的，该响应文件将不予接收、解密和唱标。开标会议继续进行。</w:t>
      </w:r>
    </w:p>
    <w:p w14:paraId="0BC15622">
      <w:pPr>
        <w:spacing w:line="360" w:lineRule="auto"/>
        <w:ind w:firstLine="422" w:firstLineChars="176"/>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D7538DB">
      <w:pPr>
        <w:spacing w:line="360" w:lineRule="auto"/>
        <w:ind w:firstLine="480" w:firstLineChars="200"/>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.4 供应商应保证在开标期间电话、电脑、网络能够正常工作，供应商因停电、电脑病毒、网络堵塞等原因，未在规定的解密时间内对响应文件进行解密的，其响应文件不予接收。</w:t>
      </w:r>
    </w:p>
    <w:p w14:paraId="59E6A755">
      <w:pPr>
        <w:wordWrap w:val="0"/>
        <w:autoSpaceDE w:val="0"/>
        <w:autoSpaceDN w:val="0"/>
        <w:adjustRightInd w:val="0"/>
        <w:spacing w:line="360" w:lineRule="auto"/>
        <w:ind w:firstLine="482" w:firstLineChars="200"/>
        <w:rPr>
          <w:rFonts w:ascii="宋体" w:hAnsi="宋体" w:cs="宋体"/>
          <w:b/>
          <w:bCs/>
          <w:spacing w:val="-4"/>
          <w:sz w:val="24"/>
          <w:szCs w:val="24"/>
          <w:lang w:val="zh-CN" w:eastAsia="zh-TW"/>
        </w:rPr>
      </w:pPr>
      <w:bookmarkStart w:id="32" w:name="_Toc27005"/>
      <w:r>
        <w:rPr>
          <w:rFonts w:hint="eastAsia" w:ascii="宋体" w:hAnsi="宋体" w:eastAsia="宋体" w:cs="宋体"/>
          <w:b/>
          <w:bCs/>
          <w:color w:val="auto"/>
          <w:kern w:val="28"/>
          <w:sz w:val="24"/>
          <w:szCs w:val="24"/>
          <w:highlight w:val="none"/>
          <w:lang w:val="en-US" w:eastAsia="zh-CN"/>
        </w:rPr>
        <w:t>30、</w:t>
      </w:r>
      <w:bookmarkEnd w:id="32"/>
      <w:r>
        <w:rPr>
          <w:rFonts w:hint="eastAsia" w:ascii="宋体" w:hAnsi="宋体" w:cs="宋体"/>
          <w:b/>
          <w:bCs/>
          <w:spacing w:val="-4"/>
          <w:sz w:val="24"/>
          <w:szCs w:val="24"/>
          <w:lang w:val="zh-CN" w:eastAsia="zh-TW"/>
        </w:rPr>
        <w:t>磋商小组的组成及要求</w:t>
      </w:r>
    </w:p>
    <w:p w14:paraId="6E8EFE50">
      <w:pPr>
        <w:spacing w:line="360" w:lineRule="auto"/>
        <w:ind w:firstLine="422" w:firstLineChars="176"/>
        <w:rPr>
          <w:rFonts w:hint="eastAsia" w:ascii="宋体" w:hAnsi="宋体" w:eastAsiaTheme="minorEastAsia"/>
          <w:sz w:val="24"/>
          <w:szCs w:val="24"/>
          <w:lang w:eastAsia="zh-CN"/>
        </w:rPr>
      </w:pPr>
      <w:r>
        <w:rPr>
          <w:rFonts w:hint="eastAsia" w:ascii="宋体" w:hAnsi="宋体"/>
          <w:sz w:val="24"/>
          <w:szCs w:val="24"/>
          <w:lang w:val="en-US" w:eastAsia="zh-CN"/>
        </w:rPr>
        <w:t>30</w:t>
      </w:r>
      <w:r>
        <w:rPr>
          <w:rFonts w:ascii="宋体" w:hAnsi="宋体"/>
          <w:sz w:val="24"/>
          <w:szCs w:val="24"/>
        </w:rPr>
        <w:t>.1</w:t>
      </w:r>
      <w:r>
        <w:rPr>
          <w:rFonts w:hint="eastAsia" w:ascii="宋体" w:hAnsi="宋体"/>
          <w:sz w:val="24"/>
          <w:szCs w:val="24"/>
        </w:rPr>
        <w:t>磋商小组构成：由采购人代表及相关专业</w:t>
      </w:r>
      <w:r>
        <w:rPr>
          <w:rFonts w:hint="eastAsia" w:ascii="宋体" w:hAnsi="宋体"/>
          <w:sz w:val="24"/>
          <w:szCs w:val="24"/>
          <w:lang w:val="en-US" w:eastAsia="zh-CN"/>
        </w:rPr>
        <w:t>经济、技术</w:t>
      </w:r>
      <w:r>
        <w:rPr>
          <w:rFonts w:hint="eastAsia" w:ascii="宋体" w:hAnsi="宋体"/>
          <w:sz w:val="24"/>
          <w:szCs w:val="24"/>
        </w:rPr>
        <w:t>专家共 3 人组成，其中采购人代表 1 人，相关专业</w:t>
      </w:r>
      <w:r>
        <w:rPr>
          <w:rFonts w:hint="eastAsia" w:ascii="宋体" w:hAnsi="宋体"/>
          <w:sz w:val="24"/>
          <w:szCs w:val="24"/>
          <w:lang w:val="en-US" w:eastAsia="zh-CN"/>
        </w:rPr>
        <w:t>经济、技术</w:t>
      </w:r>
      <w:r>
        <w:rPr>
          <w:rFonts w:hint="eastAsia" w:ascii="宋体" w:hAnsi="宋体"/>
          <w:sz w:val="24"/>
          <w:szCs w:val="24"/>
        </w:rPr>
        <w:t>专家 2 人</w:t>
      </w:r>
      <w:r>
        <w:rPr>
          <w:rFonts w:hint="eastAsia" w:ascii="宋体" w:hAnsi="宋体"/>
          <w:sz w:val="24"/>
          <w:szCs w:val="24"/>
          <w:lang w:eastAsia="zh-CN"/>
        </w:rPr>
        <w:t>，</w:t>
      </w:r>
      <w:r>
        <w:rPr>
          <w:rFonts w:hint="eastAsia" w:ascii="宋体" w:hAnsi="宋体"/>
          <w:sz w:val="24"/>
          <w:szCs w:val="24"/>
        </w:rPr>
        <w:t>开标后从河南省财政厅综合评标专家库中随机抽取</w:t>
      </w:r>
      <w:r>
        <w:rPr>
          <w:rFonts w:hint="eastAsia" w:ascii="宋体" w:hAnsi="宋体"/>
          <w:sz w:val="24"/>
          <w:szCs w:val="24"/>
          <w:lang w:eastAsia="zh-CN"/>
        </w:rPr>
        <w:t>。</w:t>
      </w:r>
    </w:p>
    <w:p w14:paraId="4D1626AD">
      <w:pPr>
        <w:spacing w:line="360" w:lineRule="auto"/>
        <w:ind w:firstLine="422" w:firstLineChars="176"/>
        <w:rPr>
          <w:rFonts w:ascii="宋体" w:hAnsi="宋体"/>
          <w:sz w:val="24"/>
          <w:szCs w:val="24"/>
        </w:rPr>
      </w:pPr>
      <w:r>
        <w:rPr>
          <w:rFonts w:hint="eastAsia" w:ascii="宋体" w:hAnsi="宋体"/>
          <w:sz w:val="24"/>
          <w:szCs w:val="24"/>
          <w:lang w:val="en-US" w:eastAsia="zh-CN"/>
        </w:rPr>
        <w:t>30</w:t>
      </w:r>
      <w:r>
        <w:rPr>
          <w:rFonts w:ascii="宋体" w:hAnsi="宋体"/>
          <w:sz w:val="24"/>
          <w:szCs w:val="24"/>
        </w:rPr>
        <w:t>.2</w:t>
      </w:r>
      <w:r>
        <w:rPr>
          <w:rFonts w:hint="eastAsia" w:ascii="宋体" w:hAnsi="宋体"/>
          <w:sz w:val="24"/>
          <w:szCs w:val="24"/>
        </w:rPr>
        <w:t>磋商小组对所有供应商的响应文件进行评审，按评审后得分由高到低顺序排列，递交给采购人。</w:t>
      </w:r>
    </w:p>
    <w:p w14:paraId="6C1D0526">
      <w:pPr>
        <w:spacing w:line="360" w:lineRule="auto"/>
        <w:ind w:firstLine="422" w:firstLineChars="176"/>
        <w:rPr>
          <w:rFonts w:ascii="宋体" w:hAnsi="宋体"/>
          <w:sz w:val="24"/>
          <w:szCs w:val="24"/>
        </w:rPr>
      </w:pPr>
      <w:r>
        <w:rPr>
          <w:rFonts w:hint="eastAsia" w:ascii="宋体" w:hAnsi="宋体"/>
          <w:sz w:val="24"/>
          <w:szCs w:val="24"/>
          <w:lang w:val="en-US" w:eastAsia="zh-CN"/>
        </w:rPr>
        <w:t>30</w:t>
      </w:r>
      <w:r>
        <w:rPr>
          <w:rFonts w:ascii="宋体" w:hAnsi="宋体"/>
          <w:sz w:val="24"/>
          <w:szCs w:val="24"/>
        </w:rPr>
        <w:t>.3</w:t>
      </w:r>
      <w:r>
        <w:rPr>
          <w:rFonts w:hint="eastAsia" w:ascii="宋体" w:hAnsi="宋体"/>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DB3D950">
      <w:pPr>
        <w:wordWrap w:val="0"/>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sz w:val="24"/>
          <w:szCs w:val="24"/>
          <w:lang w:val="en-US" w:eastAsia="zh-CN"/>
        </w:rPr>
        <w:t>30</w:t>
      </w:r>
      <w:r>
        <w:rPr>
          <w:rFonts w:ascii="宋体" w:hAnsi="宋体"/>
          <w:sz w:val="24"/>
          <w:szCs w:val="24"/>
        </w:rPr>
        <w:t>.4</w:t>
      </w:r>
      <w:r>
        <w:rPr>
          <w:rFonts w:hint="eastAsia" w:ascii="宋体" w:hAnsi="宋体"/>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64AC9672">
      <w:pPr>
        <w:spacing w:line="44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31、磋商</w:t>
      </w:r>
      <w:r>
        <w:rPr>
          <w:rFonts w:hint="eastAsia" w:ascii="宋体" w:hAnsi="宋体" w:eastAsia="宋体" w:cs="宋体"/>
          <w:b/>
          <w:bCs/>
          <w:color w:val="auto"/>
          <w:sz w:val="24"/>
          <w:szCs w:val="24"/>
          <w:highlight w:val="none"/>
        </w:rPr>
        <w:t>程序</w:t>
      </w:r>
    </w:p>
    <w:p w14:paraId="571AA457">
      <w:pPr>
        <w:widowControl/>
        <w:spacing w:line="480" w:lineRule="exact"/>
        <w:ind w:firstLine="480" w:firstLineChars="200"/>
        <w:outlineLvl w:val="2"/>
        <w:rPr>
          <w:rFonts w:hint="eastAsia" w:ascii="宋体" w:hAnsi="宋体"/>
          <w:sz w:val="24"/>
          <w:szCs w:val="24"/>
          <w:lang w:val="en-US" w:eastAsia="zh-CN"/>
        </w:rPr>
      </w:pPr>
      <w:bookmarkStart w:id="33" w:name="_Toc26934"/>
      <w:bookmarkStart w:id="34" w:name="_Toc26234"/>
      <w:bookmarkStart w:id="35" w:name="_Toc24102"/>
      <w:bookmarkStart w:id="36" w:name="_Toc31324"/>
      <w:bookmarkStart w:id="37" w:name="_Toc9104"/>
      <w:bookmarkStart w:id="38" w:name="_Toc18474"/>
      <w:bookmarkStart w:id="39" w:name="_Toc4669"/>
      <w:bookmarkStart w:id="40" w:name="_Toc2977"/>
      <w:bookmarkStart w:id="41" w:name="_Toc12301"/>
      <w:r>
        <w:rPr>
          <w:rFonts w:hint="eastAsia" w:ascii="宋体" w:hAnsi="宋体"/>
          <w:sz w:val="24"/>
          <w:szCs w:val="24"/>
          <w:lang w:val="en-US" w:eastAsia="zh-CN"/>
        </w:rPr>
        <w:t>31</w:t>
      </w:r>
      <w:r>
        <w:rPr>
          <w:rFonts w:ascii="宋体" w:hAnsi="宋体"/>
          <w:sz w:val="24"/>
          <w:szCs w:val="24"/>
        </w:rPr>
        <w:t>.1</w:t>
      </w:r>
      <w:r>
        <w:rPr>
          <w:rFonts w:hint="eastAsia" w:ascii="宋体" w:hAnsi="宋体" w:cs="Calibri"/>
          <w:kern w:val="0"/>
          <w:sz w:val="24"/>
          <w:szCs w:val="24"/>
        </w:rPr>
        <w:t>磋商小组所有成员应当集中与供应商分别进行磋商，并给予所有参加磋商的供</w:t>
      </w:r>
      <w:r>
        <w:rPr>
          <w:rFonts w:hint="eastAsia" w:ascii="宋体" w:hAnsi="宋体"/>
          <w:sz w:val="24"/>
          <w:szCs w:val="24"/>
          <w:lang w:val="en-US" w:eastAsia="zh-CN"/>
        </w:rPr>
        <w:t>应商平等的磋商机会。</w:t>
      </w:r>
      <w:bookmarkEnd w:id="33"/>
      <w:bookmarkEnd w:id="34"/>
      <w:bookmarkEnd w:id="35"/>
    </w:p>
    <w:p w14:paraId="5FC7FA5D">
      <w:pPr>
        <w:widowControl/>
        <w:spacing w:line="480" w:lineRule="exact"/>
        <w:ind w:firstLine="480" w:firstLineChars="200"/>
        <w:outlineLvl w:val="2"/>
        <w:rPr>
          <w:rFonts w:hint="eastAsia" w:ascii="宋体" w:hAnsi="宋体"/>
          <w:sz w:val="24"/>
          <w:szCs w:val="24"/>
          <w:lang w:val="en-US" w:eastAsia="zh-CN"/>
        </w:rPr>
      </w:pPr>
      <w:r>
        <w:rPr>
          <w:rFonts w:hint="eastAsia" w:ascii="宋体" w:hAnsi="宋体"/>
          <w:sz w:val="24"/>
          <w:szCs w:val="24"/>
          <w:lang w:val="en-US" w:eastAsia="zh-CN"/>
        </w:rPr>
        <w:t>31.2磋商小组首先对所有响应文件进行符合性、资格性、响应性审查。</w:t>
      </w:r>
    </w:p>
    <w:p w14:paraId="5CD2CD9E">
      <w:pPr>
        <w:widowControl/>
        <w:spacing w:line="480" w:lineRule="exact"/>
        <w:ind w:firstLine="480" w:firstLineChars="200"/>
        <w:outlineLvl w:val="2"/>
        <w:rPr>
          <w:rFonts w:hint="eastAsia" w:ascii="宋体" w:hAnsi="宋体"/>
          <w:sz w:val="24"/>
          <w:szCs w:val="24"/>
          <w:lang w:val="en-US" w:eastAsia="zh-CN"/>
        </w:rPr>
      </w:pPr>
      <w:r>
        <w:rPr>
          <w:rFonts w:hint="eastAsia" w:ascii="宋体" w:hAnsi="宋体"/>
          <w:sz w:val="24"/>
          <w:szCs w:val="24"/>
          <w:lang w:val="en-US" w:eastAsia="zh-CN"/>
        </w:rPr>
        <w:t>（1）允许修正响应文件中不构成重大偏离的、微小的、非正规的、不一致或不规则的地方。</w:t>
      </w:r>
    </w:p>
    <w:p w14:paraId="1C40534C">
      <w:pPr>
        <w:widowControl/>
        <w:spacing w:line="480" w:lineRule="exact"/>
        <w:ind w:firstLine="480" w:firstLineChars="200"/>
        <w:outlineLvl w:val="2"/>
        <w:rPr>
          <w:rFonts w:ascii="宋体" w:hAnsi="宋体"/>
          <w:sz w:val="24"/>
          <w:szCs w:val="24"/>
        </w:rPr>
      </w:pPr>
      <w:r>
        <w:rPr>
          <w:rFonts w:hint="eastAsia" w:ascii="宋体" w:hAnsi="宋体"/>
          <w:sz w:val="24"/>
          <w:szCs w:val="24"/>
          <w:lang w:val="en-US" w:eastAsia="zh-CN"/>
        </w:rPr>
        <w:t>（2）磋商小</w:t>
      </w:r>
      <w:r>
        <w:rPr>
          <w:rFonts w:hint="eastAsia" w:ascii="宋体" w:hAnsi="宋体"/>
          <w:sz w:val="24"/>
          <w:szCs w:val="24"/>
        </w:rPr>
        <w:t>组判断响应文件的响应性仅基于响应文件本身内容而不靠外部证据。</w:t>
      </w:r>
    </w:p>
    <w:p w14:paraId="0B949C9E">
      <w:pPr>
        <w:spacing w:line="360" w:lineRule="auto"/>
        <w:ind w:firstLine="422" w:firstLineChars="176"/>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实质性未响应磋商文件要求的响应将被拒绝，供应商不得通过修正或撤消不符之处而使其响应成为实质性响应。</w:t>
      </w:r>
    </w:p>
    <w:p w14:paraId="2AD883A9">
      <w:pPr>
        <w:spacing w:line="360" w:lineRule="auto"/>
        <w:ind w:firstLine="422" w:firstLineChars="176"/>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实质性未响应是指响应文件中提出了超出磋商文件中磋商控制价、服务内容、服务</w:t>
      </w:r>
      <w:r>
        <w:rPr>
          <w:rFonts w:hint="eastAsia" w:ascii="宋体" w:hAnsi="宋体"/>
          <w:sz w:val="24"/>
          <w:szCs w:val="24"/>
          <w:lang w:val="en-US" w:eastAsia="zh-CN"/>
        </w:rPr>
        <w:t>周</w:t>
      </w:r>
      <w:r>
        <w:rPr>
          <w:rFonts w:hint="eastAsia" w:ascii="宋体" w:hAnsi="宋体"/>
          <w:sz w:val="24"/>
          <w:szCs w:val="24"/>
        </w:rPr>
        <w:t>期、质量要求等内容。</w:t>
      </w:r>
    </w:p>
    <w:p w14:paraId="3DDCA3BC">
      <w:pPr>
        <w:spacing w:line="360" w:lineRule="auto"/>
        <w:ind w:firstLine="422" w:firstLineChars="176"/>
        <w:rPr>
          <w:rFonts w:ascii="宋体" w:hAnsi="宋体"/>
          <w:sz w:val="24"/>
          <w:szCs w:val="24"/>
        </w:rPr>
      </w:pPr>
      <w:r>
        <w:rPr>
          <w:rFonts w:hint="eastAsia" w:ascii="宋体" w:hAnsi="宋体"/>
          <w:sz w:val="24"/>
          <w:szCs w:val="24"/>
          <w:lang w:val="en-US" w:eastAsia="zh-CN"/>
        </w:rPr>
        <w:t>31</w:t>
      </w:r>
      <w:r>
        <w:rPr>
          <w:rFonts w:ascii="宋体" w:hAnsi="宋体"/>
          <w:sz w:val="24"/>
          <w:szCs w:val="24"/>
        </w:rPr>
        <w:t>.3</w:t>
      </w:r>
      <w:r>
        <w:rPr>
          <w:rFonts w:hint="eastAsia" w:ascii="宋体" w:hAnsi="宋体"/>
          <w:sz w:val="24"/>
          <w:szCs w:val="24"/>
        </w:rPr>
        <w:t>有下列情形之一的，其响应文件将会被拒绝：</w:t>
      </w:r>
    </w:p>
    <w:p w14:paraId="4B9EA50E">
      <w:pPr>
        <w:numPr>
          <w:ilvl w:val="0"/>
          <w:numId w:val="2"/>
        </w:numPr>
        <w:spacing w:line="360" w:lineRule="auto"/>
        <w:ind w:firstLine="422" w:firstLineChars="176"/>
        <w:rPr>
          <w:rFonts w:ascii="宋体" w:hAnsi="宋体"/>
          <w:sz w:val="24"/>
          <w:szCs w:val="24"/>
        </w:rPr>
      </w:pPr>
      <w:r>
        <w:rPr>
          <w:rFonts w:hint="eastAsia" w:ascii="宋体" w:hAnsi="宋体"/>
          <w:sz w:val="24"/>
          <w:szCs w:val="24"/>
        </w:rPr>
        <w:t>供应商资格不符合竞争性磋商文件要求的；</w:t>
      </w:r>
    </w:p>
    <w:p w14:paraId="34C08082">
      <w:pPr>
        <w:numPr>
          <w:ilvl w:val="0"/>
          <w:numId w:val="2"/>
        </w:numPr>
        <w:spacing w:line="360" w:lineRule="auto"/>
        <w:ind w:firstLine="422" w:firstLineChars="176"/>
        <w:rPr>
          <w:rFonts w:ascii="宋体" w:hAnsi="宋体"/>
          <w:sz w:val="24"/>
          <w:szCs w:val="24"/>
        </w:rPr>
      </w:pPr>
      <w:r>
        <w:rPr>
          <w:rFonts w:hint="eastAsia" w:ascii="宋体" w:hAnsi="宋体"/>
          <w:sz w:val="24"/>
          <w:szCs w:val="24"/>
        </w:rPr>
        <w:t>磋商报价超过竞争性磋商文件规定的磋商控制价的；</w:t>
      </w:r>
    </w:p>
    <w:p w14:paraId="576AB7D1">
      <w:pPr>
        <w:numPr>
          <w:ilvl w:val="0"/>
          <w:numId w:val="2"/>
        </w:numPr>
        <w:spacing w:line="360" w:lineRule="auto"/>
        <w:ind w:firstLine="422" w:firstLineChars="176"/>
        <w:rPr>
          <w:rFonts w:ascii="宋体" w:hAnsi="宋体"/>
          <w:sz w:val="24"/>
          <w:szCs w:val="24"/>
        </w:rPr>
      </w:pPr>
      <w:r>
        <w:rPr>
          <w:rFonts w:hint="eastAsia" w:ascii="宋体" w:hAnsi="宋体"/>
          <w:sz w:val="24"/>
          <w:szCs w:val="24"/>
        </w:rPr>
        <w:t>以他人的名义磋商、串通磋商、以行贿手段谋取成交或者以其他弄虚作假方式磋商的；</w:t>
      </w:r>
    </w:p>
    <w:p w14:paraId="0F6886F3">
      <w:pPr>
        <w:spacing w:line="360" w:lineRule="auto"/>
        <w:ind w:firstLine="480" w:firstLineChars="200"/>
        <w:rPr>
          <w:rFonts w:ascii="宋体" w:hAnsi="宋体"/>
          <w:sz w:val="24"/>
          <w:szCs w:val="24"/>
        </w:rPr>
      </w:pPr>
      <w:r>
        <w:rPr>
          <w:rFonts w:hint="eastAsia" w:ascii="宋体" w:hAnsi="宋体"/>
          <w:sz w:val="24"/>
          <w:szCs w:val="24"/>
        </w:rPr>
        <w:t>（4）采取不正当手段谋取成交的。</w:t>
      </w:r>
    </w:p>
    <w:p w14:paraId="13F4DD87">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32</w:t>
      </w:r>
      <w:r>
        <w:rPr>
          <w:rFonts w:hint="eastAsia" w:ascii="宋体" w:hAnsi="宋体"/>
          <w:b/>
          <w:bCs/>
          <w:sz w:val="24"/>
          <w:szCs w:val="24"/>
        </w:rPr>
        <w:t>、对供应商的评价</w:t>
      </w:r>
    </w:p>
    <w:p w14:paraId="3EE602A0">
      <w:pPr>
        <w:spacing w:line="360" w:lineRule="auto"/>
        <w:ind w:firstLine="422" w:firstLineChars="176"/>
        <w:rPr>
          <w:rFonts w:ascii="宋体" w:hAnsi="宋体"/>
          <w:sz w:val="24"/>
          <w:szCs w:val="24"/>
        </w:rPr>
      </w:pPr>
      <w:r>
        <w:rPr>
          <w:rFonts w:hint="eastAsia" w:ascii="宋体" w:hAnsi="宋体"/>
          <w:sz w:val="24"/>
          <w:szCs w:val="24"/>
          <w:lang w:val="en-US" w:eastAsia="zh-CN"/>
        </w:rPr>
        <w:t>32</w:t>
      </w:r>
      <w:r>
        <w:rPr>
          <w:rFonts w:ascii="宋体" w:hAnsi="宋体"/>
          <w:sz w:val="24"/>
          <w:szCs w:val="24"/>
        </w:rPr>
        <w:t>.1</w:t>
      </w:r>
      <w:r>
        <w:rPr>
          <w:rFonts w:hint="eastAsia" w:ascii="宋体" w:hAnsi="宋体"/>
          <w:sz w:val="24"/>
          <w:szCs w:val="24"/>
        </w:rPr>
        <w:t>磋商小组只对已判定为实质性响应且通过资格审查的响应文件进行详细评价和比较。</w:t>
      </w:r>
    </w:p>
    <w:p w14:paraId="145921AC">
      <w:pPr>
        <w:spacing w:line="360" w:lineRule="auto"/>
        <w:ind w:firstLine="422" w:firstLineChars="176"/>
        <w:rPr>
          <w:rFonts w:ascii="宋体" w:hAnsi="宋体"/>
          <w:sz w:val="24"/>
          <w:szCs w:val="24"/>
        </w:rPr>
      </w:pPr>
      <w:r>
        <w:rPr>
          <w:rFonts w:hint="eastAsia" w:ascii="宋体" w:hAnsi="宋体"/>
          <w:sz w:val="24"/>
          <w:szCs w:val="24"/>
          <w:lang w:val="en-US" w:eastAsia="zh-CN"/>
        </w:rPr>
        <w:t>32</w:t>
      </w:r>
      <w:r>
        <w:rPr>
          <w:rFonts w:ascii="宋体" w:hAnsi="宋体"/>
          <w:sz w:val="24"/>
          <w:szCs w:val="24"/>
        </w:rPr>
        <w:t>.</w:t>
      </w:r>
      <w:r>
        <w:rPr>
          <w:rFonts w:hint="eastAsia" w:ascii="宋体" w:hAnsi="宋体"/>
          <w:sz w:val="24"/>
          <w:szCs w:val="24"/>
        </w:rPr>
        <w:t>2磋商小组所有成员应当集中与单一响应供应商分别进行磋商，并给予所有参加磋商的供应商平等的磋商机会。磋商完成后，要求其在规定时间内提交最后报价。</w:t>
      </w:r>
    </w:p>
    <w:p w14:paraId="705D3315">
      <w:pPr>
        <w:spacing w:line="360" w:lineRule="auto"/>
        <w:ind w:firstLine="422" w:firstLineChars="176"/>
        <w:rPr>
          <w:rFonts w:ascii="宋体" w:hAnsi="宋体"/>
          <w:sz w:val="24"/>
          <w:szCs w:val="24"/>
        </w:rPr>
      </w:pPr>
      <w:r>
        <w:rPr>
          <w:rFonts w:hint="eastAsia" w:ascii="宋体" w:hAnsi="宋体"/>
          <w:sz w:val="24"/>
          <w:szCs w:val="24"/>
          <w:lang w:val="en-US" w:eastAsia="zh-CN"/>
        </w:rPr>
        <w:t>32</w:t>
      </w:r>
      <w:r>
        <w:rPr>
          <w:rFonts w:ascii="宋体" w:hAnsi="宋体"/>
          <w:sz w:val="24"/>
          <w:szCs w:val="24"/>
        </w:rPr>
        <w:t>.</w:t>
      </w:r>
      <w:r>
        <w:rPr>
          <w:rFonts w:hint="eastAsia" w:ascii="宋体" w:hAnsi="宋体"/>
          <w:sz w:val="24"/>
          <w:szCs w:val="24"/>
        </w:rPr>
        <w:t>3经磋商确定最终服务内容和提交最后报价的供应商后，磋商小组采用综合评分法对提交最后报价的供应商的响应文件和最后报价进行综合评分。</w:t>
      </w:r>
    </w:p>
    <w:p w14:paraId="23B4705E">
      <w:pPr>
        <w:spacing w:line="440" w:lineRule="exact"/>
        <w:ind w:firstLine="422" w:firstLineChars="176"/>
        <w:rPr>
          <w:rFonts w:ascii="宋体" w:hAnsi="宋体"/>
          <w:sz w:val="24"/>
          <w:szCs w:val="24"/>
        </w:rPr>
      </w:pPr>
      <w:r>
        <w:rPr>
          <w:rFonts w:hint="eastAsia" w:ascii="宋体" w:hAnsi="宋体"/>
          <w:sz w:val="24"/>
          <w:szCs w:val="24"/>
          <w:lang w:val="en-US" w:eastAsia="zh-CN"/>
        </w:rPr>
        <w:t>32</w:t>
      </w:r>
      <w:r>
        <w:rPr>
          <w:rFonts w:ascii="宋体" w:hAnsi="宋体"/>
          <w:sz w:val="24"/>
          <w:szCs w:val="24"/>
        </w:rPr>
        <w:t>.</w:t>
      </w:r>
      <w:r>
        <w:rPr>
          <w:rFonts w:hint="eastAsia" w:ascii="宋体" w:hAnsi="宋体"/>
          <w:sz w:val="24"/>
          <w:szCs w:val="24"/>
        </w:rPr>
        <w:t>4磋商小组根据综合评分情况，按评审得分由高到低的顺序确定3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A392CC0">
      <w:pPr>
        <w:spacing w:line="440" w:lineRule="exact"/>
        <w:ind w:firstLine="422" w:firstLineChars="176"/>
        <w:rPr>
          <w:rFonts w:hint="eastAsia" w:ascii="宋体" w:hAnsi="宋体" w:cs="宋体" w:eastAsiaTheme="minorEastAsia"/>
          <w:b w:val="0"/>
          <w:bCs w:val="0"/>
          <w:color w:val="auto"/>
          <w:sz w:val="24"/>
          <w:szCs w:val="24"/>
          <w:highlight w:val="none"/>
          <w:lang w:eastAsia="zh-CN"/>
        </w:rPr>
      </w:pPr>
      <w:r>
        <w:rPr>
          <w:rFonts w:hint="eastAsia" w:ascii="宋体" w:hAnsi="宋体"/>
          <w:sz w:val="24"/>
          <w:szCs w:val="24"/>
          <w:lang w:val="en-US" w:eastAsia="zh-CN"/>
        </w:rPr>
        <w:t>32</w:t>
      </w:r>
      <w:r>
        <w:rPr>
          <w:rFonts w:ascii="宋体" w:hAnsi="宋体"/>
          <w:sz w:val="24"/>
          <w:szCs w:val="24"/>
        </w:rPr>
        <w:t>.</w:t>
      </w:r>
      <w:r>
        <w:rPr>
          <w:rFonts w:hint="eastAsia" w:ascii="宋体" w:hAnsi="宋体"/>
          <w:sz w:val="24"/>
          <w:szCs w:val="24"/>
        </w:rPr>
        <w:t>5如果第一名供应商放弃成交资格或因不可抗力提出不能履行合同，采购人将依序确定排名第二名的成交候选供应商为成交供应商，也可以重新开展政府采购活动。</w:t>
      </w:r>
    </w:p>
    <w:p w14:paraId="1D463803">
      <w:pPr>
        <w:wordWrap w:val="0"/>
        <w:autoSpaceDE w:val="0"/>
        <w:autoSpaceDN w:val="0"/>
        <w:adjustRightInd w:val="0"/>
        <w:spacing w:line="360" w:lineRule="auto"/>
        <w:ind w:firstLine="482" w:firstLineChars="200"/>
        <w:rPr>
          <w:rFonts w:ascii="宋体" w:hAnsi="宋体" w:cs="宋体"/>
          <w:b/>
          <w:bCs/>
          <w:spacing w:val="-4"/>
          <w:sz w:val="24"/>
          <w:szCs w:val="24"/>
          <w:lang w:val="zh-CN" w:eastAsia="zh-TW"/>
        </w:rPr>
      </w:pPr>
      <w:bookmarkStart w:id="42" w:name="_Toc23840"/>
      <w:r>
        <w:rPr>
          <w:rFonts w:hint="eastAsia" w:ascii="宋体" w:hAnsi="宋体" w:eastAsia="宋体" w:cs="宋体"/>
          <w:b/>
          <w:bCs/>
          <w:color w:val="auto"/>
          <w:sz w:val="24"/>
          <w:szCs w:val="24"/>
          <w:highlight w:val="none"/>
          <w:lang w:val="en-US" w:eastAsia="zh-CN"/>
        </w:rPr>
        <w:t>33、</w:t>
      </w:r>
      <w:r>
        <w:rPr>
          <w:rFonts w:hint="eastAsia" w:ascii="宋体" w:hAnsi="宋体" w:cs="宋体"/>
          <w:b/>
          <w:bCs/>
          <w:spacing w:val="-4"/>
          <w:sz w:val="24"/>
          <w:szCs w:val="24"/>
          <w:lang w:val="zh-CN" w:eastAsia="zh-TW"/>
        </w:rPr>
        <w:t>响应文件的澄清</w:t>
      </w:r>
    </w:p>
    <w:p w14:paraId="2EEEBDE5">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33</w:t>
      </w:r>
      <w:r>
        <w:rPr>
          <w:rFonts w:hint="eastAsia" w:ascii="宋体" w:hAnsi="宋体" w:cs="宋体"/>
          <w:spacing w:val="-4"/>
          <w:sz w:val="24"/>
          <w:szCs w:val="24"/>
        </w:rPr>
        <w:t>.1 为了有助于对响应文件进行审查、评审和比较，磋商小组有权向</w:t>
      </w:r>
      <w:r>
        <w:rPr>
          <w:rFonts w:hint="eastAsia" w:ascii="宋体" w:hAnsi="宋体" w:cs="宋体"/>
          <w:spacing w:val="-4"/>
          <w:sz w:val="24"/>
          <w:szCs w:val="24"/>
          <w:lang w:eastAsia="zh-CN"/>
        </w:rPr>
        <w:t>供应商</w:t>
      </w:r>
      <w:r>
        <w:rPr>
          <w:rFonts w:hint="eastAsia" w:ascii="宋体" w:hAnsi="宋体" w:cs="宋体"/>
          <w:spacing w:val="-4"/>
          <w:sz w:val="24"/>
          <w:szCs w:val="24"/>
        </w:rPr>
        <w:t>质疑，请</w:t>
      </w:r>
      <w:r>
        <w:rPr>
          <w:rFonts w:hint="eastAsia" w:ascii="宋体" w:hAnsi="宋体" w:cs="宋体"/>
          <w:spacing w:val="-4"/>
          <w:sz w:val="24"/>
          <w:szCs w:val="24"/>
          <w:lang w:eastAsia="zh-CN"/>
        </w:rPr>
        <w:t>供应商</w:t>
      </w:r>
      <w:r>
        <w:rPr>
          <w:rFonts w:hint="eastAsia" w:ascii="宋体" w:hAnsi="宋体" w:cs="宋体"/>
          <w:spacing w:val="-4"/>
          <w:sz w:val="24"/>
          <w:szCs w:val="24"/>
        </w:rPr>
        <w:t>澄清其磋商内容。</w:t>
      </w:r>
      <w:r>
        <w:rPr>
          <w:rFonts w:hint="eastAsia" w:ascii="宋体" w:hAnsi="宋体" w:cs="宋体"/>
          <w:spacing w:val="-4"/>
          <w:sz w:val="24"/>
          <w:szCs w:val="24"/>
          <w:lang w:eastAsia="zh-CN"/>
        </w:rPr>
        <w:t>供应商</w:t>
      </w:r>
      <w:r>
        <w:rPr>
          <w:rFonts w:hint="eastAsia" w:ascii="宋体" w:hAnsi="宋体" w:cs="宋体"/>
          <w:spacing w:val="-4"/>
          <w:sz w:val="24"/>
          <w:szCs w:val="24"/>
        </w:rPr>
        <w:t>有责任按照磋商小组通知的时间、地点、方式指派委托代理人进行答疑和澄清。</w:t>
      </w:r>
    </w:p>
    <w:p w14:paraId="08FD597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33</w:t>
      </w:r>
      <w:r>
        <w:rPr>
          <w:rFonts w:hint="eastAsia" w:ascii="宋体" w:hAnsi="宋体" w:cs="宋体"/>
          <w:spacing w:val="-4"/>
          <w:sz w:val="24"/>
          <w:szCs w:val="24"/>
        </w:rPr>
        <w:t xml:space="preserve">.2 重要澄清的答复应是书面的，并由法定代表人或其委托代理人签字。 </w:t>
      </w:r>
    </w:p>
    <w:p w14:paraId="666D22CC">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33</w:t>
      </w:r>
      <w:r>
        <w:rPr>
          <w:rFonts w:hint="eastAsia" w:ascii="宋体" w:hAnsi="宋体" w:cs="宋体"/>
          <w:spacing w:val="-4"/>
          <w:sz w:val="24"/>
          <w:szCs w:val="24"/>
        </w:rPr>
        <w:t xml:space="preserve">.3 </w:t>
      </w:r>
      <w:r>
        <w:rPr>
          <w:rFonts w:hint="eastAsia" w:ascii="宋体" w:hAnsi="宋体" w:cs="宋体"/>
          <w:spacing w:val="-4"/>
          <w:sz w:val="24"/>
          <w:szCs w:val="24"/>
          <w:lang w:eastAsia="zh-CN"/>
        </w:rPr>
        <w:t>供应商</w:t>
      </w:r>
      <w:r>
        <w:rPr>
          <w:rFonts w:hint="eastAsia" w:ascii="宋体" w:hAnsi="宋体" w:cs="宋体"/>
          <w:spacing w:val="-4"/>
          <w:sz w:val="24"/>
          <w:szCs w:val="24"/>
        </w:rPr>
        <w:t xml:space="preserve">的澄清文件是响应文件的组成部分，并取代响应文件中被澄清的部分。 </w:t>
      </w:r>
    </w:p>
    <w:p w14:paraId="343B528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33</w:t>
      </w:r>
      <w:r>
        <w:rPr>
          <w:rFonts w:hint="eastAsia" w:ascii="宋体" w:hAnsi="宋体" w:cs="宋体"/>
          <w:spacing w:val="-4"/>
          <w:sz w:val="24"/>
          <w:szCs w:val="24"/>
        </w:rPr>
        <w:t>.4 响应文件的澄清不得对磋商内容进行实质性修改。</w:t>
      </w:r>
    </w:p>
    <w:p w14:paraId="11131E1B">
      <w:pPr>
        <w:spacing w:line="440" w:lineRule="exact"/>
        <w:ind w:firstLine="482" w:firstLineChars="200"/>
        <w:outlineLvl w:val="0"/>
        <w:rPr>
          <w:rFonts w:hint="eastAsia" w:ascii="宋体" w:hAnsi="宋体" w:eastAsia="宋体" w:cs="宋体"/>
          <w:b/>
          <w:bCs/>
          <w:color w:val="auto"/>
          <w:sz w:val="24"/>
          <w:szCs w:val="24"/>
          <w:highlight w:val="none"/>
        </w:rPr>
      </w:pPr>
      <w:bookmarkStart w:id="43" w:name="_Toc6265"/>
      <w:bookmarkStart w:id="44" w:name="_Toc28733"/>
      <w:r>
        <w:rPr>
          <w:rFonts w:hint="eastAsia" w:ascii="宋体" w:hAnsi="宋体" w:eastAsia="宋体" w:cs="宋体"/>
          <w:b/>
          <w:bCs/>
          <w:color w:val="auto"/>
          <w:sz w:val="24"/>
          <w:szCs w:val="24"/>
          <w:highlight w:val="none"/>
          <w:lang w:val="en-US" w:eastAsia="zh-CN"/>
        </w:rPr>
        <w:t>34、</w:t>
      </w:r>
      <w:bookmarkEnd w:id="42"/>
      <w:r>
        <w:rPr>
          <w:rFonts w:hint="eastAsia" w:ascii="宋体" w:hAnsi="宋体" w:cs="宋体"/>
          <w:b/>
          <w:bCs/>
          <w:spacing w:val="-4"/>
          <w:sz w:val="24"/>
          <w:szCs w:val="24"/>
        </w:rPr>
        <w:t>评审办法和评审</w:t>
      </w:r>
      <w:r>
        <w:rPr>
          <w:rFonts w:hint="eastAsia" w:ascii="宋体" w:hAnsi="宋体" w:cs="宋体"/>
          <w:b/>
          <w:bCs/>
          <w:spacing w:val="-4"/>
          <w:sz w:val="24"/>
          <w:szCs w:val="24"/>
          <w:lang w:val="zh-CN" w:eastAsia="zh-TW"/>
        </w:rPr>
        <w:t>原则</w:t>
      </w:r>
      <w:bookmarkEnd w:id="43"/>
      <w:bookmarkEnd w:id="44"/>
    </w:p>
    <w:p w14:paraId="2A8318C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45" w:name="_Toc20836"/>
      <w:bookmarkStart w:id="46" w:name="_Toc6094"/>
      <w:bookmarkStart w:id="47" w:name="_Toc15205"/>
      <w:r>
        <w:rPr>
          <w:rFonts w:hint="eastAsia" w:ascii="宋体" w:hAnsi="宋体" w:eastAsia="宋体" w:cs="宋体"/>
          <w:b w:val="0"/>
          <w:bCs w:val="0"/>
          <w:color w:val="auto"/>
          <w:sz w:val="24"/>
          <w:szCs w:val="24"/>
          <w:highlight w:val="none"/>
          <w:lang w:val="en-US" w:eastAsia="zh-CN"/>
        </w:rPr>
        <w:t>34</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原则:</w:t>
      </w:r>
      <w:r>
        <w:rPr>
          <w:rFonts w:hint="eastAsia" w:ascii="宋体" w:hAnsi="宋体" w:eastAsia="宋体" w:cs="宋体"/>
          <w:b w:val="0"/>
          <w:bCs w:val="0"/>
          <w:color w:val="auto"/>
          <w:sz w:val="24"/>
          <w:szCs w:val="24"/>
          <w:highlight w:val="none"/>
          <w:lang w:val="en-US" w:eastAsia="zh-CN"/>
        </w:rPr>
        <w:t>磋商小组</w:t>
      </w:r>
      <w:r>
        <w:rPr>
          <w:rFonts w:hint="eastAsia" w:ascii="宋体" w:hAnsi="宋体" w:eastAsia="宋体" w:cs="宋体"/>
          <w:b w:val="0"/>
          <w:bCs w:val="0"/>
          <w:color w:val="auto"/>
          <w:sz w:val="24"/>
          <w:szCs w:val="24"/>
          <w:highlight w:val="none"/>
        </w:rPr>
        <w:t>必须公平、公正，不带任何倾向性和启发性；不得向外界透露任何与评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有关的内容；任何单位和个人不得干扰、影响评</w:t>
      </w:r>
      <w:r>
        <w:rPr>
          <w:rFonts w:hint="eastAsia" w:ascii="宋体" w:hAnsi="宋体" w:eastAsia="宋体" w:cs="宋体"/>
          <w:b w:val="0"/>
          <w:bCs w:val="0"/>
          <w:color w:val="auto"/>
          <w:sz w:val="24"/>
          <w:szCs w:val="24"/>
          <w:highlight w:val="none"/>
          <w:lang w:val="en-US" w:eastAsia="zh-CN"/>
        </w:rPr>
        <w:t>审工作的</w:t>
      </w:r>
      <w:r>
        <w:rPr>
          <w:rFonts w:hint="eastAsia" w:ascii="宋体" w:hAnsi="宋体" w:eastAsia="宋体" w:cs="宋体"/>
          <w:b w:val="0"/>
          <w:bCs w:val="0"/>
          <w:color w:val="auto"/>
          <w:sz w:val="24"/>
          <w:szCs w:val="24"/>
          <w:highlight w:val="none"/>
        </w:rPr>
        <w:t>正常进行；</w:t>
      </w:r>
      <w:r>
        <w:rPr>
          <w:rFonts w:hint="eastAsia" w:ascii="宋体" w:hAnsi="宋体" w:eastAsia="宋体" w:cs="宋体"/>
          <w:b w:val="0"/>
          <w:bCs w:val="0"/>
          <w:color w:val="auto"/>
          <w:sz w:val="24"/>
          <w:szCs w:val="24"/>
          <w:highlight w:val="none"/>
          <w:lang w:val="en-US" w:eastAsia="zh-CN"/>
        </w:rPr>
        <w:t>磋商小组</w:t>
      </w:r>
      <w:r>
        <w:rPr>
          <w:rFonts w:hint="eastAsia" w:ascii="宋体" w:hAnsi="宋体" w:eastAsia="宋体" w:cs="宋体"/>
          <w:b w:val="0"/>
          <w:bCs w:val="0"/>
          <w:color w:val="auto"/>
          <w:sz w:val="24"/>
          <w:szCs w:val="24"/>
          <w:highlight w:val="none"/>
        </w:rPr>
        <w:t>及有关工作人员不得私下与供应商接触。</w:t>
      </w:r>
      <w:bookmarkEnd w:id="45"/>
      <w:bookmarkEnd w:id="46"/>
      <w:bookmarkEnd w:id="47"/>
    </w:p>
    <w:p w14:paraId="53F192D1">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48" w:name="_Toc25456"/>
      <w:bookmarkStart w:id="49" w:name="_Toc1695"/>
      <w:bookmarkStart w:id="50" w:name="_Toc7698"/>
      <w:r>
        <w:rPr>
          <w:rFonts w:hint="eastAsia" w:ascii="宋体" w:hAnsi="宋体" w:eastAsia="宋体" w:cs="宋体"/>
          <w:b w:val="0"/>
          <w:bCs w:val="0"/>
          <w:color w:val="auto"/>
          <w:sz w:val="24"/>
          <w:szCs w:val="24"/>
          <w:highlight w:val="none"/>
          <w:lang w:val="en-US" w:eastAsia="zh-CN"/>
        </w:rPr>
        <w:t xml:space="preserve">34.2 </w:t>
      </w:r>
      <w:r>
        <w:rPr>
          <w:rFonts w:hint="eastAsia" w:ascii="宋体" w:hAnsi="宋体" w:eastAsia="宋体" w:cs="宋体"/>
          <w:b w:val="0"/>
          <w:bCs w:val="0"/>
          <w:color w:val="auto"/>
          <w:sz w:val="24"/>
          <w:szCs w:val="24"/>
          <w:highlight w:val="none"/>
        </w:rPr>
        <w:t>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办法:本项目评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办法是综合评分法，具体评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内容及评分标准等详见</w:t>
      </w:r>
      <w:r>
        <w:rPr>
          <w:rFonts w:hint="eastAsia" w:ascii="宋体" w:hAnsi="宋体" w:eastAsia="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rPr>
        <w:t>：评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办法及评分标准。</w:t>
      </w:r>
      <w:bookmarkEnd w:id="48"/>
      <w:bookmarkEnd w:id="49"/>
      <w:bookmarkEnd w:id="50"/>
    </w:p>
    <w:bookmarkEnd w:id="36"/>
    <w:bookmarkEnd w:id="37"/>
    <w:bookmarkEnd w:id="38"/>
    <w:bookmarkEnd w:id="39"/>
    <w:bookmarkEnd w:id="40"/>
    <w:bookmarkEnd w:id="41"/>
    <w:p w14:paraId="46E747BD">
      <w:pPr>
        <w:spacing w:line="420" w:lineRule="exact"/>
        <w:ind w:firstLine="424" w:firstLineChars="176"/>
        <w:rPr>
          <w:rFonts w:ascii="宋体" w:hAnsi="宋体"/>
          <w:b/>
          <w:bCs/>
          <w:sz w:val="24"/>
          <w:szCs w:val="24"/>
        </w:rPr>
      </w:pPr>
      <w:r>
        <w:rPr>
          <w:rFonts w:hint="eastAsia" w:ascii="宋体" w:hAnsi="宋体"/>
          <w:b/>
          <w:bCs/>
          <w:sz w:val="24"/>
          <w:szCs w:val="24"/>
          <w:lang w:val="en-US" w:eastAsia="zh-CN"/>
        </w:rPr>
        <w:t>35</w:t>
      </w:r>
      <w:r>
        <w:rPr>
          <w:rFonts w:hint="eastAsia" w:ascii="宋体" w:hAnsi="宋体"/>
          <w:b/>
          <w:bCs/>
          <w:sz w:val="24"/>
          <w:szCs w:val="24"/>
        </w:rPr>
        <w:t>、确定成交供应商</w:t>
      </w:r>
    </w:p>
    <w:p w14:paraId="6F558527">
      <w:pPr>
        <w:spacing w:line="420" w:lineRule="exact"/>
        <w:ind w:firstLine="422" w:firstLineChars="176"/>
        <w:rPr>
          <w:rFonts w:ascii="宋体" w:hAnsi="宋体"/>
          <w:sz w:val="24"/>
          <w:szCs w:val="24"/>
        </w:rPr>
      </w:pPr>
      <w:r>
        <w:rPr>
          <w:rFonts w:hint="eastAsia" w:ascii="宋体" w:hAnsi="宋体"/>
          <w:sz w:val="24"/>
          <w:szCs w:val="24"/>
          <w:lang w:val="en-US" w:eastAsia="zh-CN"/>
        </w:rPr>
        <w:t>35</w:t>
      </w:r>
      <w:r>
        <w:rPr>
          <w:rFonts w:ascii="宋体" w:hAnsi="宋体"/>
          <w:sz w:val="24"/>
          <w:szCs w:val="24"/>
        </w:rPr>
        <w:t>.1</w:t>
      </w:r>
      <w:r>
        <w:rPr>
          <w:rFonts w:hint="eastAsia" w:ascii="宋体" w:hAnsi="宋体"/>
          <w:sz w:val="24"/>
          <w:szCs w:val="24"/>
        </w:rPr>
        <w:t>磋商小组应当根据综合评分情况，按照评审由高到低的顺序推荐成交候选供应商，并向采购人提供书面评审报告。</w:t>
      </w:r>
    </w:p>
    <w:p w14:paraId="53CBEE2A">
      <w:pPr>
        <w:wordWrap w:val="0"/>
        <w:autoSpaceDE w:val="0"/>
        <w:autoSpaceDN w:val="0"/>
        <w:adjustRightInd w:val="0"/>
        <w:spacing w:line="360" w:lineRule="auto"/>
        <w:ind w:firstLine="480" w:firstLineChars="200"/>
        <w:rPr>
          <w:rFonts w:ascii="宋体" w:hAnsi="宋体" w:cs="宋体"/>
          <w:spacing w:val="-4"/>
          <w:sz w:val="24"/>
          <w:szCs w:val="24"/>
        </w:rPr>
      </w:pPr>
      <w:bookmarkStart w:id="51" w:name="_Toc174034448"/>
      <w:bookmarkEnd w:id="51"/>
      <w:bookmarkStart w:id="52" w:name="_Toc171410857"/>
      <w:bookmarkEnd w:id="52"/>
      <w:bookmarkStart w:id="53" w:name="_Toc171002590"/>
      <w:bookmarkEnd w:id="53"/>
      <w:bookmarkStart w:id="54" w:name="_Toc173946080"/>
      <w:bookmarkEnd w:id="54"/>
      <w:bookmarkStart w:id="55" w:name="_Toc173946415"/>
      <w:bookmarkEnd w:id="55"/>
      <w:bookmarkStart w:id="56" w:name="_Toc10924"/>
      <w:bookmarkStart w:id="57" w:name="_Toc4678"/>
      <w:bookmarkStart w:id="58" w:name="_Toc24476"/>
      <w:r>
        <w:rPr>
          <w:rFonts w:hint="eastAsia" w:ascii="宋体" w:hAnsi="宋体" w:cs="宋体"/>
          <w:bCs/>
          <w:sz w:val="24"/>
          <w:szCs w:val="24"/>
          <w:lang w:val="en-US" w:eastAsia="zh-CN"/>
        </w:rPr>
        <w:t>35</w:t>
      </w:r>
      <w:r>
        <w:rPr>
          <w:rFonts w:hint="eastAsia" w:ascii="宋体" w:hAnsi="宋体" w:cs="宋体"/>
          <w:bCs/>
          <w:sz w:val="24"/>
          <w:szCs w:val="24"/>
        </w:rPr>
        <w:t>.2</w:t>
      </w:r>
      <w:r>
        <w:rPr>
          <w:rFonts w:hint="eastAsia" w:ascii="宋体" w:hAnsi="宋体"/>
          <w:sz w:val="24"/>
          <w:szCs w:val="24"/>
        </w:rPr>
        <w:t>磋商小组</w:t>
      </w:r>
      <w:r>
        <w:rPr>
          <w:rFonts w:hint="eastAsia" w:ascii="宋体" w:hAnsi="宋体" w:cs="宋体"/>
          <w:sz w:val="24"/>
          <w:szCs w:val="24"/>
        </w:rPr>
        <w:t>经采购人授权，确定排名第一的成交候选供应商为成交供应商。当确定成交供应商放弃成交或因不可抗力提出不能履行合同的，采购人可以按照评审报告推荐的成交候选供应商名单，确定下一成交候选供应商为成交供应商，也可以重新开展政府采购活动。</w:t>
      </w:r>
      <w:bookmarkEnd w:id="56"/>
      <w:bookmarkEnd w:id="57"/>
      <w:bookmarkEnd w:id="58"/>
    </w:p>
    <w:p w14:paraId="002D875C">
      <w:pPr>
        <w:spacing w:line="420" w:lineRule="exact"/>
        <w:ind w:firstLine="424" w:firstLineChars="176"/>
        <w:rPr>
          <w:rFonts w:ascii="宋体" w:hAnsi="宋体"/>
          <w:b/>
          <w:bCs/>
          <w:sz w:val="24"/>
          <w:szCs w:val="24"/>
        </w:rPr>
      </w:pPr>
      <w:r>
        <w:rPr>
          <w:rFonts w:hint="eastAsia" w:ascii="宋体" w:hAnsi="宋体"/>
          <w:b/>
          <w:bCs/>
          <w:sz w:val="24"/>
          <w:szCs w:val="24"/>
          <w:lang w:val="en-US" w:eastAsia="zh-CN"/>
        </w:rPr>
        <w:t>36</w:t>
      </w:r>
      <w:r>
        <w:rPr>
          <w:rFonts w:hint="eastAsia" w:ascii="宋体" w:hAnsi="宋体"/>
          <w:b/>
          <w:bCs/>
          <w:sz w:val="24"/>
          <w:szCs w:val="24"/>
        </w:rPr>
        <w:t>、保密及其它注意事项</w:t>
      </w:r>
    </w:p>
    <w:p w14:paraId="538FA68A">
      <w:pPr>
        <w:spacing w:line="420" w:lineRule="exact"/>
        <w:ind w:firstLine="422" w:firstLineChars="176"/>
        <w:rPr>
          <w:rFonts w:ascii="宋体" w:hAnsi="宋体"/>
          <w:sz w:val="24"/>
          <w:szCs w:val="24"/>
        </w:rPr>
      </w:pPr>
      <w:r>
        <w:rPr>
          <w:rFonts w:hint="eastAsia" w:ascii="宋体" w:hAnsi="宋体"/>
          <w:sz w:val="24"/>
          <w:szCs w:val="24"/>
          <w:lang w:val="en-US" w:eastAsia="zh-CN"/>
        </w:rPr>
        <w:t>36</w:t>
      </w:r>
      <w:r>
        <w:rPr>
          <w:rFonts w:ascii="宋体" w:hAnsi="宋体"/>
          <w:sz w:val="24"/>
          <w:szCs w:val="24"/>
        </w:rPr>
        <w:t>.1</w:t>
      </w:r>
      <w:r>
        <w:rPr>
          <w:rFonts w:hint="eastAsia" w:ascii="宋体" w:hAnsi="宋体"/>
          <w:sz w:val="24"/>
          <w:szCs w:val="24"/>
        </w:rPr>
        <w:t>评审工作是磋商工作的重要环节，评审工作在磋商小组内独立进行。</w:t>
      </w:r>
    </w:p>
    <w:p w14:paraId="0DC69819">
      <w:pPr>
        <w:spacing w:line="420" w:lineRule="exact"/>
        <w:ind w:firstLine="422" w:firstLineChars="176"/>
        <w:rPr>
          <w:rFonts w:ascii="宋体" w:hAnsi="宋体"/>
          <w:sz w:val="24"/>
          <w:szCs w:val="24"/>
        </w:rPr>
      </w:pPr>
      <w:r>
        <w:rPr>
          <w:rFonts w:hint="eastAsia" w:ascii="宋体" w:hAnsi="宋体"/>
          <w:sz w:val="24"/>
          <w:szCs w:val="24"/>
          <w:lang w:val="en-US" w:eastAsia="zh-CN"/>
        </w:rPr>
        <w:t>36</w:t>
      </w:r>
      <w:r>
        <w:rPr>
          <w:rFonts w:ascii="宋体" w:hAnsi="宋体"/>
          <w:sz w:val="24"/>
          <w:szCs w:val="24"/>
        </w:rPr>
        <w:t>.2</w:t>
      </w:r>
      <w:r>
        <w:rPr>
          <w:rFonts w:hint="eastAsia" w:ascii="宋体" w:hAnsi="宋体"/>
          <w:sz w:val="24"/>
          <w:szCs w:val="24"/>
        </w:rPr>
        <w:t>在评审期间，供应商不得向磋商小组成员询问评审情况，不得进行影响评审结果的活动。否则其响应将会被拒绝。</w:t>
      </w:r>
    </w:p>
    <w:p w14:paraId="0D4A6641">
      <w:pPr>
        <w:spacing w:line="420" w:lineRule="exact"/>
        <w:ind w:firstLine="422" w:firstLineChars="176"/>
        <w:rPr>
          <w:rFonts w:ascii="宋体" w:hAnsi="宋体"/>
          <w:sz w:val="24"/>
          <w:szCs w:val="24"/>
        </w:rPr>
      </w:pPr>
      <w:r>
        <w:rPr>
          <w:rFonts w:hint="eastAsia" w:ascii="宋体" w:hAnsi="宋体"/>
          <w:sz w:val="24"/>
          <w:szCs w:val="24"/>
          <w:lang w:val="en-US" w:eastAsia="zh-CN"/>
        </w:rPr>
        <w:t>36</w:t>
      </w:r>
      <w:r>
        <w:rPr>
          <w:rFonts w:ascii="宋体" w:hAnsi="宋体"/>
          <w:sz w:val="24"/>
          <w:szCs w:val="24"/>
        </w:rPr>
        <w:t>.3</w:t>
      </w:r>
      <w:r>
        <w:rPr>
          <w:rFonts w:hint="eastAsia" w:ascii="宋体" w:hAnsi="宋体"/>
          <w:sz w:val="24"/>
          <w:szCs w:val="24"/>
        </w:rPr>
        <w:t>为保证评审的公正性，磋商开始后直至授予成交供应商合同，磋商小组成员不得与供应商私下交换意见。</w:t>
      </w:r>
    </w:p>
    <w:p w14:paraId="60143546">
      <w:pPr>
        <w:spacing w:line="420" w:lineRule="exact"/>
        <w:ind w:firstLine="422" w:firstLineChars="176"/>
        <w:rPr>
          <w:rFonts w:ascii="宋体" w:hAnsi="宋体"/>
          <w:sz w:val="24"/>
          <w:szCs w:val="24"/>
        </w:rPr>
      </w:pPr>
      <w:r>
        <w:rPr>
          <w:rFonts w:hint="eastAsia" w:ascii="宋体" w:hAnsi="宋体"/>
          <w:sz w:val="24"/>
          <w:szCs w:val="24"/>
          <w:lang w:val="en-US" w:eastAsia="zh-CN"/>
        </w:rPr>
        <w:t>36</w:t>
      </w:r>
      <w:r>
        <w:rPr>
          <w:rFonts w:ascii="宋体" w:hAnsi="宋体"/>
          <w:sz w:val="24"/>
          <w:szCs w:val="24"/>
        </w:rPr>
        <w:t>.4</w:t>
      </w:r>
      <w:r>
        <w:rPr>
          <w:rFonts w:hint="eastAsia" w:ascii="宋体" w:hAnsi="宋体"/>
          <w:sz w:val="24"/>
          <w:szCs w:val="24"/>
        </w:rPr>
        <w:t>在评审工作结束后，凡与评审情况有接触的任何人不得擅自将评审情况扩散出评审人员之外。</w:t>
      </w:r>
    </w:p>
    <w:p w14:paraId="0A9BB6EB">
      <w:pPr>
        <w:wordWrap w:val="0"/>
        <w:autoSpaceDE w:val="0"/>
        <w:autoSpaceDN w:val="0"/>
        <w:adjustRightInd w:val="0"/>
        <w:spacing w:line="360" w:lineRule="auto"/>
        <w:ind w:firstLine="466" w:firstLineChars="200"/>
        <w:rPr>
          <w:rFonts w:ascii="宋体" w:hAnsi="宋体" w:cs="宋体"/>
          <w:b/>
          <w:bCs/>
          <w:spacing w:val="-4"/>
          <w:sz w:val="24"/>
          <w:szCs w:val="24"/>
          <w:lang w:val="zh-CN"/>
        </w:rPr>
      </w:pPr>
      <w:r>
        <w:rPr>
          <w:rFonts w:hint="eastAsia" w:ascii="宋体" w:hAnsi="宋体" w:cs="宋体"/>
          <w:b/>
          <w:bCs/>
          <w:spacing w:val="-4"/>
          <w:sz w:val="24"/>
          <w:szCs w:val="24"/>
          <w:lang w:val="en-US" w:eastAsia="zh-CN"/>
        </w:rPr>
        <w:t>37</w:t>
      </w:r>
      <w:r>
        <w:rPr>
          <w:rFonts w:hint="eastAsia" w:ascii="宋体" w:hAnsi="宋体" w:cs="宋体"/>
          <w:b/>
          <w:bCs/>
          <w:spacing w:val="-4"/>
          <w:sz w:val="24"/>
          <w:szCs w:val="24"/>
        </w:rPr>
        <w:t>、</w:t>
      </w:r>
      <w:r>
        <w:rPr>
          <w:rFonts w:hint="eastAsia" w:ascii="宋体" w:hAnsi="宋体" w:cs="宋体"/>
          <w:b/>
          <w:bCs/>
          <w:spacing w:val="-4"/>
          <w:sz w:val="24"/>
          <w:szCs w:val="24"/>
          <w:lang w:val="zh-CN" w:eastAsia="zh-TW"/>
        </w:rPr>
        <w:t>磋商结果的</w:t>
      </w:r>
      <w:r>
        <w:rPr>
          <w:rFonts w:hint="eastAsia" w:ascii="宋体" w:hAnsi="宋体" w:cs="宋体"/>
          <w:b/>
          <w:bCs/>
          <w:spacing w:val="-4"/>
          <w:sz w:val="24"/>
          <w:szCs w:val="24"/>
          <w:lang w:val="zh-CN"/>
        </w:rPr>
        <w:t>确认</w:t>
      </w:r>
    </w:p>
    <w:p w14:paraId="7393E0CA">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按照</w:t>
      </w:r>
      <w:r>
        <w:rPr>
          <w:rFonts w:hint="eastAsia" w:ascii="宋体" w:hAnsi="宋体" w:cs="宋体"/>
          <w:spacing w:val="-4"/>
          <w:sz w:val="24"/>
          <w:szCs w:val="24"/>
          <w:lang w:eastAsia="zh-CN"/>
        </w:rPr>
        <w:t>供应商</w:t>
      </w:r>
      <w:r>
        <w:rPr>
          <w:rFonts w:hint="eastAsia" w:ascii="宋体" w:hAnsi="宋体" w:cs="宋体"/>
          <w:spacing w:val="-4"/>
          <w:sz w:val="24"/>
          <w:szCs w:val="24"/>
        </w:rPr>
        <w:t>须知前附表的规定，采购人或采购人授权的磋商小组依法推荐成交候选人。</w:t>
      </w:r>
    </w:p>
    <w:p w14:paraId="6499130D">
      <w:pPr>
        <w:wordWrap w:val="0"/>
        <w:autoSpaceDE w:val="0"/>
        <w:autoSpaceDN w:val="0"/>
        <w:adjustRightInd w:val="0"/>
        <w:spacing w:line="360" w:lineRule="auto"/>
        <w:ind w:firstLine="466" w:firstLineChars="200"/>
        <w:rPr>
          <w:rFonts w:ascii="宋体" w:hAnsi="宋体" w:cs="宋体"/>
          <w:b/>
          <w:bCs/>
          <w:spacing w:val="-4"/>
          <w:sz w:val="24"/>
          <w:szCs w:val="24"/>
        </w:rPr>
      </w:pPr>
      <w:r>
        <w:rPr>
          <w:rFonts w:hint="eastAsia" w:ascii="宋体" w:hAnsi="宋体" w:cs="宋体"/>
          <w:b/>
          <w:bCs/>
          <w:spacing w:val="-4"/>
          <w:sz w:val="24"/>
          <w:szCs w:val="24"/>
          <w:lang w:val="en-US" w:eastAsia="zh-CN"/>
        </w:rPr>
        <w:t>38</w:t>
      </w:r>
      <w:r>
        <w:rPr>
          <w:rFonts w:hint="eastAsia" w:ascii="宋体" w:hAnsi="宋体" w:cs="宋体"/>
          <w:b/>
          <w:bCs/>
          <w:spacing w:val="-4"/>
          <w:sz w:val="24"/>
          <w:szCs w:val="24"/>
        </w:rPr>
        <w:t>、</w:t>
      </w:r>
      <w:r>
        <w:rPr>
          <w:rFonts w:hint="eastAsia" w:ascii="宋体" w:hAnsi="宋体" w:cs="宋体"/>
          <w:b/>
          <w:bCs/>
          <w:spacing w:val="-4"/>
          <w:sz w:val="24"/>
          <w:szCs w:val="24"/>
          <w:lang w:val="zh-CN"/>
        </w:rPr>
        <w:t>成交</w:t>
      </w:r>
      <w:r>
        <w:rPr>
          <w:rFonts w:hint="eastAsia" w:ascii="宋体" w:hAnsi="宋体" w:cs="宋体"/>
          <w:b/>
          <w:bCs/>
          <w:spacing w:val="-4"/>
          <w:sz w:val="24"/>
          <w:szCs w:val="24"/>
          <w:lang w:val="zh-CN" w:eastAsia="zh-TW"/>
        </w:rPr>
        <w:t>通知</w:t>
      </w:r>
    </w:p>
    <w:p w14:paraId="24C4454E">
      <w:pPr>
        <w:spacing w:line="420" w:lineRule="exact"/>
        <w:ind w:firstLine="422" w:firstLineChars="176"/>
        <w:rPr>
          <w:rFonts w:ascii="宋体" w:hAnsi="宋体"/>
          <w:sz w:val="24"/>
          <w:szCs w:val="24"/>
        </w:rPr>
      </w:pPr>
      <w:r>
        <w:rPr>
          <w:rFonts w:hint="eastAsia" w:ascii="宋体" w:hAnsi="宋体"/>
          <w:sz w:val="24"/>
          <w:szCs w:val="24"/>
          <w:lang w:val="en-US" w:eastAsia="zh-CN"/>
        </w:rPr>
        <w:t>38</w:t>
      </w:r>
      <w:r>
        <w:rPr>
          <w:rFonts w:ascii="宋体" w:hAnsi="宋体"/>
          <w:sz w:val="24"/>
          <w:szCs w:val="24"/>
        </w:rPr>
        <w:t>.1</w:t>
      </w:r>
      <w:r>
        <w:rPr>
          <w:rFonts w:hint="eastAsia" w:ascii="宋体" w:hAnsi="宋体"/>
          <w:sz w:val="24"/>
          <w:szCs w:val="24"/>
        </w:rPr>
        <w:t>成交供应商确定后，采购人向成交供应商签发成交通知书，并将成交结果通知所有未成交的供应商。</w:t>
      </w:r>
    </w:p>
    <w:p w14:paraId="60F5F51A">
      <w:pPr>
        <w:spacing w:line="420" w:lineRule="exact"/>
        <w:ind w:firstLine="422" w:firstLineChars="176"/>
        <w:rPr>
          <w:rFonts w:ascii="宋体" w:hAnsi="宋体" w:cs="宋体"/>
          <w:spacing w:val="-4"/>
          <w:sz w:val="24"/>
          <w:szCs w:val="24"/>
        </w:rPr>
      </w:pPr>
      <w:r>
        <w:rPr>
          <w:rFonts w:hint="eastAsia" w:ascii="宋体" w:hAnsi="宋体"/>
          <w:sz w:val="24"/>
          <w:szCs w:val="24"/>
          <w:lang w:val="en-US" w:eastAsia="zh-CN"/>
        </w:rPr>
        <w:t>38</w:t>
      </w:r>
      <w:r>
        <w:rPr>
          <w:rFonts w:ascii="宋体" w:hAnsi="宋体"/>
          <w:sz w:val="24"/>
          <w:szCs w:val="24"/>
        </w:rPr>
        <w:t>.2</w:t>
      </w:r>
      <w:r>
        <w:rPr>
          <w:rFonts w:hint="eastAsia" w:ascii="宋体" w:hAnsi="宋体"/>
          <w:sz w:val="24"/>
          <w:szCs w:val="24"/>
        </w:rPr>
        <w:t>成交通知书作为签订合同的依据，对采购人和成交供应商均具有法律效力，成交通知书发出后，采购人改变成交结果或者成交供应商放弃项目，应依法承担法律责任。</w:t>
      </w:r>
    </w:p>
    <w:p w14:paraId="08F46FEF">
      <w:pPr>
        <w:wordWrap w:val="0"/>
        <w:autoSpaceDE w:val="0"/>
        <w:autoSpaceDN w:val="0"/>
        <w:adjustRightInd w:val="0"/>
        <w:spacing w:line="360" w:lineRule="auto"/>
        <w:ind w:firstLine="466" w:firstLineChars="200"/>
        <w:rPr>
          <w:rFonts w:ascii="宋体" w:hAnsi="宋体" w:cs="宋体"/>
          <w:b/>
          <w:bCs/>
          <w:spacing w:val="-4"/>
          <w:sz w:val="24"/>
          <w:szCs w:val="24"/>
          <w:lang w:val="zh-CN" w:eastAsia="zh-TW"/>
        </w:rPr>
      </w:pPr>
      <w:r>
        <w:rPr>
          <w:rFonts w:hint="eastAsia" w:ascii="宋体" w:hAnsi="宋体" w:cs="宋体"/>
          <w:b/>
          <w:bCs/>
          <w:spacing w:val="-4"/>
          <w:sz w:val="24"/>
          <w:szCs w:val="24"/>
          <w:lang w:val="en-US" w:eastAsia="zh-CN"/>
        </w:rPr>
        <w:t>39</w:t>
      </w:r>
      <w:r>
        <w:rPr>
          <w:rFonts w:hint="eastAsia" w:ascii="宋体" w:hAnsi="宋体" w:cs="宋体"/>
          <w:b/>
          <w:bCs/>
          <w:spacing w:val="-4"/>
          <w:sz w:val="24"/>
          <w:szCs w:val="24"/>
        </w:rPr>
        <w:t>、</w:t>
      </w:r>
      <w:r>
        <w:rPr>
          <w:rFonts w:hint="eastAsia" w:ascii="宋体" w:hAnsi="宋体" w:cs="宋体"/>
          <w:b/>
          <w:bCs/>
          <w:spacing w:val="-4"/>
          <w:sz w:val="24"/>
          <w:szCs w:val="24"/>
          <w:lang w:val="zh-CN" w:eastAsia="zh-TW"/>
        </w:rPr>
        <w:t>签订合同</w:t>
      </w:r>
    </w:p>
    <w:p w14:paraId="3902E24A">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39</w:t>
      </w:r>
      <w:r>
        <w:rPr>
          <w:rFonts w:hint="eastAsia" w:ascii="宋体" w:hAnsi="宋体" w:cs="宋体"/>
          <w:spacing w:val="-4"/>
          <w:sz w:val="24"/>
          <w:szCs w:val="24"/>
        </w:rPr>
        <w:t>.1 成交人自《成交通知书》发出之日起</w:t>
      </w:r>
      <w:r>
        <w:rPr>
          <w:rFonts w:hint="eastAsia" w:ascii="宋体" w:hAnsi="宋体" w:cs="宋体"/>
          <w:spacing w:val="-4"/>
          <w:sz w:val="24"/>
          <w:szCs w:val="24"/>
          <w:lang w:val="en-US" w:eastAsia="zh-CN"/>
        </w:rPr>
        <w:t>30</w:t>
      </w:r>
      <w:r>
        <w:rPr>
          <w:rFonts w:hint="eastAsia" w:ascii="宋体" w:hAnsi="宋体" w:cs="宋体"/>
          <w:spacing w:val="-4"/>
          <w:sz w:val="24"/>
          <w:szCs w:val="24"/>
        </w:rPr>
        <w:t>日内与采购人签订合同，具体的合同条款待甲乙双方商定；</w:t>
      </w:r>
      <w:r>
        <w:rPr>
          <w:rFonts w:hint="eastAsia" w:ascii="宋体" w:hAnsi="宋体" w:eastAsia="宋体" w:cs="宋体"/>
          <w:b w:val="0"/>
          <w:bCs/>
          <w:color w:val="auto"/>
          <w:sz w:val="24"/>
          <w:szCs w:val="24"/>
          <w:highlight w:val="none"/>
        </w:rPr>
        <w:t>合同签订后</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日内在河南省政府采购网上发布公告并完成合同备案。双方所签订的合同不得对</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文件和供应商</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文件作实质性修改。逾期未签订合同，按照有关法律规定承担相应的法律责任；</w:t>
      </w:r>
    </w:p>
    <w:p w14:paraId="4E27ED91">
      <w:pPr>
        <w:wordWrap w:val="0"/>
        <w:autoSpaceDE w:val="0"/>
        <w:autoSpaceDN w:val="0"/>
        <w:adjustRightInd w:val="0"/>
        <w:spacing w:line="360" w:lineRule="auto"/>
        <w:ind w:firstLine="464" w:firstLineChars="200"/>
        <w:rPr>
          <w:rFonts w:hint="eastAsia" w:ascii="宋体" w:hAnsi="宋体" w:eastAsia="宋体" w:cs="宋体"/>
          <w:b w:val="0"/>
          <w:bCs/>
          <w:color w:val="auto"/>
          <w:sz w:val="24"/>
          <w:szCs w:val="24"/>
          <w:highlight w:val="none"/>
        </w:rPr>
      </w:pPr>
      <w:r>
        <w:rPr>
          <w:rFonts w:hint="eastAsia" w:ascii="宋体" w:hAnsi="宋体" w:cs="宋体"/>
          <w:spacing w:val="-4"/>
          <w:sz w:val="24"/>
          <w:szCs w:val="24"/>
          <w:lang w:val="en-US" w:eastAsia="zh-CN"/>
        </w:rPr>
        <w:t>39</w:t>
      </w:r>
      <w:r>
        <w:rPr>
          <w:rFonts w:hint="eastAsia" w:ascii="宋体" w:hAnsi="宋体" w:cs="宋体"/>
          <w:spacing w:val="-4"/>
          <w:sz w:val="24"/>
          <w:szCs w:val="24"/>
        </w:rPr>
        <w:t>.2 磋商文件、响应文件及磋商过程中产生的磋商记录及承诺等均作为合同的不可分割的组成部分；</w:t>
      </w:r>
      <w:r>
        <w:rPr>
          <w:rFonts w:hint="eastAsia" w:ascii="宋体" w:hAnsi="宋体" w:eastAsia="宋体" w:cs="宋体"/>
          <w:b w:val="0"/>
          <w:bCs/>
          <w:color w:val="auto"/>
          <w:sz w:val="24"/>
          <w:szCs w:val="24"/>
          <w:highlight w:val="none"/>
        </w:rPr>
        <w:t>均为双方签订《合同》的组成部分，并与《合同》一并作为本</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文件所列采购项目的互补性法律文件，与《合同》具有同等法律效力。</w:t>
      </w:r>
    </w:p>
    <w:p w14:paraId="78741E39">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39</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 xml:space="preserve">3 </w:t>
      </w:r>
      <w:r>
        <w:rPr>
          <w:rFonts w:hint="eastAsia" w:ascii="宋体" w:hAnsi="宋体" w:eastAsia="宋体" w:cs="宋体"/>
          <w:b w:val="0"/>
          <w:bCs/>
          <w:color w:val="auto"/>
          <w:sz w:val="24"/>
          <w:szCs w:val="24"/>
          <w:highlight w:val="none"/>
        </w:rPr>
        <w:t>付款方式变动，以双方</w:t>
      </w:r>
      <w:r>
        <w:rPr>
          <w:rFonts w:hint="eastAsia" w:ascii="宋体" w:hAnsi="宋体" w:eastAsia="宋体" w:cs="宋体"/>
          <w:b w:val="0"/>
          <w:bCs/>
          <w:color w:val="auto"/>
          <w:sz w:val="24"/>
          <w:szCs w:val="24"/>
          <w:highlight w:val="none"/>
          <w:lang w:val="en-US" w:eastAsia="zh-CN"/>
        </w:rPr>
        <w:t>最终</w:t>
      </w:r>
      <w:r>
        <w:rPr>
          <w:rFonts w:hint="eastAsia" w:ascii="宋体" w:hAnsi="宋体" w:eastAsia="宋体" w:cs="宋体"/>
          <w:b w:val="0"/>
          <w:bCs/>
          <w:color w:val="auto"/>
          <w:sz w:val="24"/>
          <w:szCs w:val="24"/>
          <w:highlight w:val="none"/>
        </w:rPr>
        <w:t>签订的合同条款为准</w:t>
      </w:r>
      <w:r>
        <w:rPr>
          <w:rFonts w:hint="eastAsia" w:ascii="宋体" w:hAnsi="宋体" w:eastAsia="宋体" w:cs="宋体"/>
          <w:b w:val="0"/>
          <w:bCs/>
          <w:color w:val="auto"/>
          <w:sz w:val="24"/>
          <w:szCs w:val="24"/>
          <w:highlight w:val="none"/>
          <w:lang w:eastAsia="zh-CN"/>
        </w:rPr>
        <w:t>。</w:t>
      </w:r>
    </w:p>
    <w:p w14:paraId="70816F00">
      <w:pPr>
        <w:keepNext/>
        <w:tabs>
          <w:tab w:val="left" w:pos="1233"/>
        </w:tabs>
        <w:spacing w:line="440" w:lineRule="exact"/>
        <w:ind w:firstLine="482" w:firstLineChars="200"/>
        <w:outlineLvl w:val="1"/>
        <w:rPr>
          <w:rFonts w:ascii="宋体" w:hAnsi="宋体" w:eastAsia="宋体" w:cs="宋体"/>
          <w:b/>
          <w:bCs/>
          <w:color w:val="auto"/>
          <w:sz w:val="24"/>
          <w:szCs w:val="24"/>
          <w:highlight w:val="none"/>
        </w:rPr>
      </w:pPr>
      <w:bookmarkStart w:id="59" w:name="_Toc18422"/>
      <w:r>
        <w:rPr>
          <w:rFonts w:hint="eastAsia" w:ascii="宋体" w:hAnsi="宋体" w:eastAsia="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重新</w:t>
      </w:r>
      <w:bookmarkEnd w:id="59"/>
      <w:r>
        <w:rPr>
          <w:rFonts w:hint="eastAsia" w:ascii="宋体" w:hAnsi="宋体" w:eastAsia="宋体" w:cs="宋体"/>
          <w:b/>
          <w:bCs/>
          <w:color w:val="auto"/>
          <w:sz w:val="24"/>
          <w:szCs w:val="24"/>
          <w:highlight w:val="none"/>
          <w:lang w:val="en-US" w:eastAsia="zh-CN"/>
        </w:rPr>
        <w:t>磋商</w:t>
      </w:r>
    </w:p>
    <w:p w14:paraId="0755059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.1出现下列情形之一的，将终止采购活动，发布项目终止公告并说明原因，重新开展采购活动：</w:t>
      </w:r>
    </w:p>
    <w:p w14:paraId="1B4A63BB">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文件中规定的其他实质性要求的；</w:t>
      </w:r>
    </w:p>
    <w:p w14:paraId="5358320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其他法律、法规及本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文件规定的属响应无效的情形。终止采购活动的条款；</w:t>
      </w:r>
    </w:p>
    <w:p w14:paraId="2EE0461E">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因情况变化，不再符合规定的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采购方式适用情形的；出现影响采购公正的违法、违规行为的；</w:t>
      </w:r>
    </w:p>
    <w:p w14:paraId="7544CE0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（4）磋商</w:t>
      </w:r>
      <w:r>
        <w:rPr>
          <w:rFonts w:hint="eastAsia" w:ascii="宋体" w:hAnsi="宋体" w:cs="宋体"/>
          <w:color w:val="auto"/>
          <w:sz w:val="24"/>
          <w:szCs w:val="24"/>
          <w:highlight w:val="none"/>
          <w:lang w:eastAsia="zh-CN"/>
        </w:rPr>
        <w:t>文件递交</w:t>
      </w:r>
      <w:r>
        <w:rPr>
          <w:rFonts w:hint="eastAsia" w:ascii="宋体" w:hAnsi="宋体" w:eastAsia="宋体" w:cs="宋体"/>
          <w:color w:val="auto"/>
          <w:sz w:val="24"/>
          <w:szCs w:val="24"/>
          <w:highlight w:val="none"/>
        </w:rPr>
        <w:t>截止时间结束后参加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不足3家的，应重新组织采购。评审期间符合专业条件的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文件作出实质响应的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6EF4BD84">
      <w:p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质疑与投诉</w:t>
      </w:r>
    </w:p>
    <w:p w14:paraId="2A6F7BD3">
      <w:pPr>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41.1 </w:t>
      </w:r>
      <w:r>
        <w:rPr>
          <w:rFonts w:hint="eastAsia" w:ascii="宋体" w:hAnsi="宋体" w:eastAsia="宋体" w:cs="宋体"/>
          <w:b w:val="0"/>
          <w:bCs/>
          <w:color w:val="auto"/>
          <w:sz w:val="24"/>
          <w:szCs w:val="24"/>
          <w:highlight w:val="none"/>
        </w:rPr>
        <w:t>供应商认为</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文件、采购过程、</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结果使自己的合法权益受到损害的，</w:t>
      </w:r>
      <w:r>
        <w:rPr>
          <w:rFonts w:ascii="宋体" w:hAnsi="宋体" w:eastAsia="宋体" w:cs="宋体"/>
          <w:color w:val="auto"/>
          <w:sz w:val="24"/>
          <w:szCs w:val="24"/>
          <w:highlight w:val="none"/>
        </w:rPr>
        <w:t>可以在知道或者应知其权益受到损害之日起7个工作日内，将质疑书原件送达采购人或采购代理机构。提出质疑期限的计算，依照下列规定办理</w:t>
      </w:r>
      <w:r>
        <w:rPr>
          <w:rFonts w:hint="eastAsia" w:ascii="宋体" w:hAnsi="宋体" w:eastAsia="宋体" w:cs="宋体"/>
          <w:color w:val="auto"/>
          <w:sz w:val="24"/>
          <w:szCs w:val="24"/>
          <w:highlight w:val="none"/>
          <w:lang w:eastAsia="zh-CN"/>
        </w:rPr>
        <w:t>。</w:t>
      </w:r>
    </w:p>
    <w:p w14:paraId="6276657F">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必须以书面形式提出质疑并陈述质疑的事实与理由</w:t>
      </w:r>
      <w:r>
        <w:rPr>
          <w:rFonts w:hint="eastAsia" w:ascii="宋体" w:hAnsi="宋体" w:eastAsia="宋体" w:cs="宋体"/>
          <w:b w:val="0"/>
          <w:bCs/>
          <w:color w:val="auto"/>
          <w:sz w:val="24"/>
          <w:szCs w:val="24"/>
          <w:highlight w:val="none"/>
          <w:lang w:eastAsia="zh-CN"/>
        </w:rPr>
        <w:t>。</w:t>
      </w:r>
    </w:p>
    <w:p w14:paraId="58D94BF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必须在规定时间内提出质疑</w:t>
      </w:r>
      <w:r>
        <w:rPr>
          <w:rFonts w:hint="eastAsia" w:ascii="宋体" w:hAnsi="宋体" w:eastAsia="宋体" w:cs="宋体"/>
          <w:b w:val="0"/>
          <w:bCs/>
          <w:color w:val="auto"/>
          <w:sz w:val="24"/>
          <w:szCs w:val="24"/>
          <w:highlight w:val="none"/>
          <w:lang w:eastAsia="zh-CN"/>
        </w:rPr>
        <w:t>。</w:t>
      </w:r>
    </w:p>
    <w:p w14:paraId="47E0CCD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b w:val="0"/>
          <w:bCs/>
          <w:color w:val="auto"/>
          <w:sz w:val="24"/>
          <w:szCs w:val="24"/>
          <w:highlight w:val="none"/>
        </w:rPr>
        <w:t>文件的质疑应在收到采购文件之日或者采购文件公告期限届满之日前提出，过期不再接受针对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b w:val="0"/>
          <w:bCs/>
          <w:color w:val="auto"/>
          <w:sz w:val="24"/>
          <w:szCs w:val="24"/>
          <w:highlight w:val="none"/>
        </w:rPr>
        <w:t>文件的质疑</w:t>
      </w:r>
      <w:r>
        <w:rPr>
          <w:rFonts w:hint="eastAsia" w:ascii="宋体" w:hAnsi="宋体" w:eastAsia="宋体" w:cs="宋体"/>
          <w:b w:val="0"/>
          <w:bCs/>
          <w:color w:val="auto"/>
          <w:sz w:val="24"/>
          <w:szCs w:val="24"/>
          <w:highlight w:val="none"/>
          <w:lang w:eastAsia="zh-CN"/>
        </w:rPr>
        <w:t>。</w:t>
      </w:r>
    </w:p>
    <w:p w14:paraId="3609FE63">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对采购过程的质疑，应自</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宣布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候选人七个工作日内提出</w:t>
      </w:r>
      <w:r>
        <w:rPr>
          <w:rFonts w:hint="eastAsia" w:ascii="宋体" w:hAnsi="宋体" w:eastAsia="宋体" w:cs="宋体"/>
          <w:b w:val="0"/>
          <w:bCs/>
          <w:color w:val="auto"/>
          <w:sz w:val="24"/>
          <w:szCs w:val="24"/>
          <w:highlight w:val="none"/>
          <w:lang w:eastAsia="zh-CN"/>
        </w:rPr>
        <w:t>。</w:t>
      </w:r>
    </w:p>
    <w:p w14:paraId="614F976F">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对成交结果的质疑，应自</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书面或口头等形式通知</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结果之日起七个工作日内提出</w:t>
      </w:r>
      <w:r>
        <w:rPr>
          <w:rFonts w:hint="eastAsia" w:ascii="宋体" w:hAnsi="宋体" w:eastAsia="宋体" w:cs="宋体"/>
          <w:b w:val="0"/>
          <w:bCs/>
          <w:color w:val="auto"/>
          <w:sz w:val="24"/>
          <w:szCs w:val="24"/>
          <w:highlight w:val="none"/>
          <w:lang w:eastAsia="zh-CN"/>
        </w:rPr>
        <w:t>。</w:t>
      </w:r>
    </w:p>
    <w:p w14:paraId="0A98E664">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供应商对</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的质疑答复内容不满意，或者</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未在规定期限内作出答复的，供应商可在答复期满后十五个工作日内，按《政府采购供应商投诉处理办法》的规定进行投诉。</w:t>
      </w:r>
    </w:p>
    <w:p w14:paraId="075B964C">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质疑书应当包括下列主要内容，并按照“谁主张、谁举证”的原则，附上相关证明材料。否则，采购人不予受理：</w:t>
      </w:r>
    </w:p>
    <w:p w14:paraId="11463F0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41.3 </w:t>
      </w:r>
      <w:r>
        <w:rPr>
          <w:rFonts w:ascii="宋体" w:hAnsi="宋体" w:eastAsia="宋体" w:cs="宋体"/>
          <w:color w:val="auto"/>
          <w:sz w:val="24"/>
          <w:szCs w:val="24"/>
          <w:highlight w:val="none"/>
        </w:rPr>
        <w:t>提起质疑的日期</w:t>
      </w:r>
    </w:p>
    <w:p w14:paraId="0DE5DE96">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41.3.1 </w:t>
      </w:r>
      <w:r>
        <w:rPr>
          <w:rFonts w:ascii="宋体" w:hAnsi="宋体" w:eastAsia="宋体" w:cs="宋体"/>
          <w:color w:val="auto"/>
          <w:sz w:val="24"/>
          <w:szCs w:val="24"/>
          <w:highlight w:val="none"/>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40A9B763">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41.3.2 </w:t>
      </w:r>
      <w:r>
        <w:rPr>
          <w:rFonts w:ascii="宋体" w:hAnsi="宋体" w:eastAsia="宋体" w:cs="宋体"/>
          <w:color w:val="auto"/>
          <w:sz w:val="24"/>
          <w:szCs w:val="24"/>
          <w:highlight w:val="none"/>
        </w:rPr>
        <w:t>供应商委托代理人办理质疑事宜，应当提交授权委托书，并载明委托代理的具体权限和事项。授权委托书应当由委托人签字并加盖单位公章。</w:t>
      </w:r>
    </w:p>
    <w:p w14:paraId="2ABADA6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41.3.3 </w:t>
      </w:r>
      <w:r>
        <w:rPr>
          <w:rFonts w:ascii="宋体" w:hAnsi="宋体" w:eastAsia="宋体" w:cs="宋体"/>
          <w:color w:val="auto"/>
          <w:sz w:val="24"/>
          <w:szCs w:val="24"/>
          <w:highlight w:val="none"/>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EBD4ED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41.3.4 </w:t>
      </w:r>
      <w:r>
        <w:rPr>
          <w:rFonts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w:t>
      </w:r>
      <w:r>
        <w:rPr>
          <w:rFonts w:hint="eastAsia" w:ascii="宋体" w:hAnsi="宋体" w:eastAsia="宋体" w:cs="宋体"/>
          <w:color w:val="auto"/>
          <w:sz w:val="24"/>
          <w:szCs w:val="24"/>
          <w:highlight w:val="none"/>
          <w:lang w:val="en-US" w:eastAsia="zh-CN"/>
        </w:rPr>
        <w:t>采购</w:t>
      </w:r>
      <w:r>
        <w:rPr>
          <w:rFonts w:ascii="宋体" w:hAnsi="宋体" w:eastAsia="宋体" w:cs="宋体"/>
          <w:color w:val="auto"/>
          <w:sz w:val="24"/>
          <w:szCs w:val="24"/>
          <w:highlight w:val="none"/>
        </w:rPr>
        <w:t>活动正常进行的，属于严重不良行为，采购人将提请财政部门将其列入不良行为记录名单，并依法予以处罚。</w:t>
      </w:r>
    </w:p>
    <w:p w14:paraId="7AB1639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41.3.5 </w:t>
      </w:r>
      <w:r>
        <w:rPr>
          <w:rFonts w:ascii="宋体" w:hAnsi="宋体" w:eastAsia="宋体" w:cs="宋体"/>
          <w:color w:val="auto"/>
          <w:sz w:val="24"/>
          <w:szCs w:val="24"/>
          <w:highlight w:val="none"/>
        </w:rPr>
        <w:t>采购人将在收到符合上述条件的书面质疑后7个工作日内审查质疑事项，作出答复或相关处理决定，并以书面形式通知质疑供应商和其他有关供应商，但答复的内容不涉及商业秘密。若质疑涉及</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制度或程序，将被转交政府采购的管理部门审查。采购人遵循“谁过错谁负担”的原则，有过错的一方承担调查论证费用。</w:t>
      </w:r>
    </w:p>
    <w:p w14:paraId="7E945340">
      <w:pPr>
        <w:snapToGrid w:val="0"/>
        <w:spacing w:line="440" w:lineRule="exact"/>
        <w:ind w:firstLine="480" w:firstLineChars="200"/>
        <w:rPr>
          <w:rFonts w:ascii="宋体" w:hAnsi="宋体" w:eastAsia="宋体"/>
          <w:b/>
          <w:color w:val="auto"/>
          <w:sz w:val="24"/>
          <w:szCs w:val="24"/>
          <w:highlight w:val="none"/>
        </w:rPr>
      </w:pPr>
      <w:r>
        <w:rPr>
          <w:rFonts w:hint="eastAsia" w:ascii="宋体" w:hAnsi="宋体" w:eastAsia="宋体" w:cs="宋体"/>
          <w:color w:val="auto"/>
          <w:sz w:val="24"/>
          <w:szCs w:val="24"/>
          <w:highlight w:val="none"/>
          <w:lang w:val="en-US" w:eastAsia="zh-CN"/>
        </w:rPr>
        <w:t xml:space="preserve">41.3.6 </w:t>
      </w:r>
      <w:r>
        <w:rPr>
          <w:rFonts w:ascii="宋体" w:hAnsi="宋体" w:eastAsia="宋体" w:cs="宋体"/>
          <w:color w:val="auto"/>
          <w:sz w:val="24"/>
          <w:szCs w:val="24"/>
          <w:highlight w:val="none"/>
        </w:rPr>
        <w:t>质疑供应商对采购人的答复不满意以及采购人未在规定的时间内做出答复的，可以在答复期满后15个工作日内向财政部门投诉。</w:t>
      </w:r>
    </w:p>
    <w:p w14:paraId="08C15C4A">
      <w:pPr>
        <w:numPr>
          <w:ilvl w:val="0"/>
          <w:numId w:val="0"/>
        </w:num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42、</w:t>
      </w:r>
      <w:r>
        <w:rPr>
          <w:rFonts w:hint="eastAsia" w:ascii="宋体" w:hAnsi="宋体" w:eastAsia="宋体" w:cs="宋体"/>
          <w:b/>
          <w:bCs w:val="0"/>
          <w:color w:val="auto"/>
          <w:sz w:val="24"/>
          <w:szCs w:val="24"/>
          <w:highlight w:val="none"/>
        </w:rPr>
        <w:t>纪律和监督</w:t>
      </w:r>
    </w:p>
    <w:p w14:paraId="298EB815">
      <w:pPr>
        <w:snapToGrid w:val="0"/>
        <w:spacing w:line="440" w:lineRule="exact"/>
        <w:ind w:firstLine="480" w:firstLineChars="200"/>
        <w:rPr>
          <w:rFonts w:hint="eastAsia" w:ascii="宋体" w:hAnsi="宋体" w:eastAsia="宋体" w:cs="宋体"/>
          <w:b w:val="0"/>
          <w:bCs/>
          <w:color w:val="auto"/>
          <w:sz w:val="24"/>
          <w:szCs w:val="24"/>
          <w:highlight w:val="none"/>
        </w:rPr>
      </w:pPr>
      <w:bookmarkStart w:id="60" w:name="_bookmark68"/>
      <w:bookmarkEnd w:id="60"/>
      <w:r>
        <w:rPr>
          <w:rFonts w:hint="eastAsia" w:ascii="宋体" w:hAnsi="宋体" w:eastAsia="宋体" w:cs="宋体"/>
          <w:b w:val="0"/>
          <w:bCs/>
          <w:color w:val="auto"/>
          <w:sz w:val="24"/>
          <w:szCs w:val="24"/>
          <w:highlight w:val="none"/>
          <w:lang w:val="en-US" w:eastAsia="zh-CN"/>
        </w:rPr>
        <w:t>42</w:t>
      </w:r>
      <w:r>
        <w:rPr>
          <w:rFonts w:hint="eastAsia" w:ascii="宋体" w:hAnsi="宋体" w:eastAsia="宋体" w:cs="宋体"/>
          <w:b w:val="0"/>
          <w:bCs/>
          <w:color w:val="auto"/>
          <w:sz w:val="24"/>
          <w:szCs w:val="24"/>
          <w:highlight w:val="none"/>
        </w:rPr>
        <w:t>.1对采购人的纪律要求</w:t>
      </w:r>
    </w:p>
    <w:p w14:paraId="45802F87">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采购人不得泄露</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活动中应当保密的情况和资料，不得与供应商串通损害国家利益、社会公共利益或者他人合法权益。</w:t>
      </w:r>
      <w:bookmarkStart w:id="61" w:name="_bookmark69"/>
      <w:bookmarkEnd w:id="61"/>
    </w:p>
    <w:p w14:paraId="638FA3A3">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42</w:t>
      </w:r>
      <w:r>
        <w:rPr>
          <w:rFonts w:hint="eastAsia" w:ascii="宋体" w:hAnsi="宋体" w:eastAsia="宋体" w:cs="宋体"/>
          <w:b w:val="0"/>
          <w:bCs/>
          <w:color w:val="auto"/>
          <w:sz w:val="24"/>
          <w:szCs w:val="24"/>
          <w:highlight w:val="none"/>
        </w:rPr>
        <w:t>.2 对供应商的纪律要求</w:t>
      </w:r>
    </w:p>
    <w:p w14:paraId="31E51FB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（1）供应商不得相互串通</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或者与采购人串通</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lang w:eastAsia="zh-CN"/>
        </w:rPr>
        <w:t>。</w:t>
      </w:r>
    </w:p>
    <w:p w14:paraId="46EC34E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（2）不得向采购人或者</w:t>
      </w:r>
      <w:r>
        <w:rPr>
          <w:rFonts w:hint="eastAsia" w:ascii="宋体" w:hAnsi="宋体" w:eastAsia="宋体" w:cs="宋体"/>
          <w:b w:val="0"/>
          <w:bCs/>
          <w:color w:val="auto"/>
          <w:sz w:val="24"/>
          <w:szCs w:val="24"/>
          <w:highlight w:val="none"/>
          <w:lang w:val="en-US" w:eastAsia="zh-CN"/>
        </w:rPr>
        <w:t>评审小组</w:t>
      </w:r>
      <w:r>
        <w:rPr>
          <w:rFonts w:hint="eastAsia" w:ascii="宋体" w:hAnsi="宋体" w:eastAsia="宋体" w:cs="宋体"/>
          <w:b w:val="0"/>
          <w:bCs/>
          <w:color w:val="auto"/>
          <w:sz w:val="24"/>
          <w:szCs w:val="24"/>
          <w:highlight w:val="none"/>
        </w:rPr>
        <w:t>行贿谋取</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eastAsia="zh-CN"/>
        </w:rPr>
        <w:t>。</w:t>
      </w:r>
    </w:p>
    <w:p w14:paraId="65BFF23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（3）不得以他人名义</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或者以其他方式弄虚作假骗取</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eastAsia="zh-CN"/>
        </w:rPr>
        <w:t>。</w:t>
      </w:r>
    </w:p>
    <w:p w14:paraId="5C5F61F8">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（4）不得恶意低价抢标</w:t>
      </w:r>
      <w:r>
        <w:rPr>
          <w:rFonts w:hint="eastAsia" w:ascii="宋体" w:hAnsi="宋体" w:eastAsia="宋体" w:cs="宋体"/>
          <w:b w:val="0"/>
          <w:bCs/>
          <w:color w:val="auto"/>
          <w:sz w:val="24"/>
          <w:szCs w:val="24"/>
          <w:highlight w:val="none"/>
          <w:lang w:eastAsia="zh-CN"/>
        </w:rPr>
        <w:t>。</w:t>
      </w:r>
    </w:p>
    <w:p w14:paraId="53B5F675">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（5）供应商不得以任何方式干扰、影响</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工作。</w:t>
      </w:r>
    </w:p>
    <w:p w14:paraId="76DF11E1">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（6）不得向采购人提出不合理的要求作为签订合同的条件</w:t>
      </w:r>
      <w:r>
        <w:rPr>
          <w:rFonts w:hint="eastAsia" w:ascii="宋体" w:hAnsi="宋体" w:eastAsia="宋体" w:cs="宋体"/>
          <w:b w:val="0"/>
          <w:bCs/>
          <w:color w:val="auto"/>
          <w:sz w:val="24"/>
          <w:szCs w:val="24"/>
          <w:highlight w:val="none"/>
          <w:lang w:eastAsia="zh-CN"/>
        </w:rPr>
        <w:t>。</w:t>
      </w:r>
    </w:p>
    <w:p w14:paraId="1B71961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（7）不得无正当理由放弃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或</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后拒绝与采购人签订合同</w:t>
      </w:r>
      <w:r>
        <w:rPr>
          <w:rFonts w:hint="eastAsia" w:ascii="宋体" w:hAnsi="宋体" w:eastAsia="宋体" w:cs="宋体"/>
          <w:b w:val="0"/>
          <w:bCs/>
          <w:color w:val="auto"/>
          <w:sz w:val="24"/>
          <w:szCs w:val="24"/>
          <w:highlight w:val="none"/>
          <w:lang w:eastAsia="zh-CN"/>
        </w:rPr>
        <w:t>。</w:t>
      </w:r>
    </w:p>
    <w:p w14:paraId="35AA105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（8）不得恶意诋毁其他供应商、采购人或采购代理机构</w:t>
      </w:r>
      <w:r>
        <w:rPr>
          <w:rFonts w:hint="eastAsia" w:ascii="宋体" w:hAnsi="宋体" w:eastAsia="宋体" w:cs="宋体"/>
          <w:b w:val="0"/>
          <w:bCs/>
          <w:color w:val="auto"/>
          <w:sz w:val="24"/>
          <w:szCs w:val="24"/>
          <w:highlight w:val="none"/>
          <w:lang w:eastAsia="zh-CN"/>
        </w:rPr>
        <w:t>。</w:t>
      </w:r>
    </w:p>
    <w:p w14:paraId="1CEA834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（9）在参与政府采购活动中，不得有其他违法违规行为。 </w:t>
      </w:r>
    </w:p>
    <w:p w14:paraId="199F18E6">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42</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对</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成员的纪律要求</w:t>
      </w:r>
    </w:p>
    <w:p w14:paraId="44A0D48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成员不得收受他人的财物或者其他好处，不得向他人透露对</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文件的评审和比较、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候选人的推荐情况以及</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有关的其他情况。在</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活动中，</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成员应当客观、公正地履行职责，遵守职业道德，不得擅离职守，影响</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程序正常进行，不得使用</w:t>
      </w:r>
      <w:r>
        <w:rPr>
          <w:rFonts w:hint="eastAsia" w:ascii="宋体" w:hAnsi="宋体" w:eastAsia="宋体" w:cs="宋体"/>
          <w:b w:val="0"/>
          <w:bCs/>
          <w:color w:val="auto"/>
          <w:sz w:val="24"/>
          <w:szCs w:val="24"/>
          <w:highlight w:val="none"/>
          <w:lang w:val="en-US" w:eastAsia="zh-CN"/>
        </w:rPr>
        <w:t>磋商文件</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办法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综合评分法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”没有规定的评审因素和标准进行评标。</w:t>
      </w:r>
    </w:p>
    <w:p w14:paraId="7D078856">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（1）确定参与</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至</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结束前，不得私自接触供应商</w:t>
      </w:r>
      <w:r>
        <w:rPr>
          <w:rFonts w:hint="eastAsia" w:ascii="宋体" w:hAnsi="宋体" w:eastAsia="宋体" w:cs="宋体"/>
          <w:b w:val="0"/>
          <w:bCs/>
          <w:color w:val="auto"/>
          <w:sz w:val="24"/>
          <w:szCs w:val="24"/>
          <w:highlight w:val="none"/>
          <w:lang w:eastAsia="zh-CN"/>
        </w:rPr>
        <w:t>。</w:t>
      </w:r>
    </w:p>
    <w:p w14:paraId="04AF51F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（2）不得接受供应商提出的与</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文件不一致的澄清和说明</w:t>
      </w:r>
      <w:r>
        <w:rPr>
          <w:rFonts w:hint="eastAsia" w:ascii="宋体" w:hAnsi="宋体" w:eastAsia="宋体" w:cs="宋体"/>
          <w:b w:val="0"/>
          <w:bCs/>
          <w:color w:val="auto"/>
          <w:sz w:val="24"/>
          <w:szCs w:val="24"/>
          <w:highlight w:val="none"/>
          <w:lang w:eastAsia="zh-CN"/>
        </w:rPr>
        <w:t>。</w:t>
      </w:r>
    </w:p>
    <w:p w14:paraId="13D59F7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（3）不得征询采购人的倾向性意见</w:t>
      </w:r>
      <w:r>
        <w:rPr>
          <w:rFonts w:hint="eastAsia" w:ascii="宋体" w:hAnsi="宋体" w:eastAsia="宋体" w:cs="宋体"/>
          <w:b w:val="0"/>
          <w:bCs/>
          <w:color w:val="auto"/>
          <w:sz w:val="24"/>
          <w:szCs w:val="24"/>
          <w:highlight w:val="none"/>
          <w:lang w:eastAsia="zh-CN"/>
        </w:rPr>
        <w:t>。</w:t>
      </w:r>
    </w:p>
    <w:p w14:paraId="6DB3CB4B">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（7）不得对主观评审因素协商评分</w:t>
      </w:r>
      <w:r>
        <w:rPr>
          <w:rFonts w:hint="eastAsia" w:ascii="宋体" w:hAnsi="宋体" w:eastAsia="宋体" w:cs="宋体"/>
          <w:b w:val="0"/>
          <w:bCs/>
          <w:color w:val="auto"/>
          <w:sz w:val="24"/>
          <w:szCs w:val="24"/>
          <w:highlight w:val="none"/>
          <w:lang w:eastAsia="zh-CN"/>
        </w:rPr>
        <w:t>。</w:t>
      </w:r>
    </w:p>
    <w:p w14:paraId="2608E9ED">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（8）不得对客观评审因素评分不一致</w:t>
      </w:r>
      <w:r>
        <w:rPr>
          <w:rFonts w:hint="eastAsia" w:ascii="宋体" w:hAnsi="宋体" w:eastAsia="宋体" w:cs="宋体"/>
          <w:b w:val="0"/>
          <w:bCs/>
          <w:color w:val="auto"/>
          <w:sz w:val="24"/>
          <w:szCs w:val="24"/>
          <w:highlight w:val="none"/>
          <w:lang w:eastAsia="zh-CN"/>
        </w:rPr>
        <w:t>。</w:t>
      </w:r>
    </w:p>
    <w:p w14:paraId="4A334856">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（6）</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成员不得接受供应商、采购人和采购代理机构等他人的贿赂或者其他不正当利益</w:t>
      </w:r>
      <w:r>
        <w:rPr>
          <w:rFonts w:hint="eastAsia" w:ascii="宋体" w:hAnsi="宋体" w:eastAsia="宋体" w:cs="宋体"/>
          <w:b w:val="0"/>
          <w:bCs/>
          <w:color w:val="auto"/>
          <w:sz w:val="24"/>
          <w:szCs w:val="24"/>
          <w:highlight w:val="none"/>
          <w:lang w:eastAsia="zh-CN"/>
        </w:rPr>
        <w:t>。</w:t>
      </w:r>
    </w:p>
    <w:p w14:paraId="180D4E05">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（7）不得以不合理的条件对供应商实行差别待遇或者歧视待遇，排斥其他供应商公平参与竞争</w:t>
      </w:r>
      <w:r>
        <w:rPr>
          <w:rFonts w:hint="eastAsia" w:ascii="宋体" w:hAnsi="宋体" w:eastAsia="宋体" w:cs="宋体"/>
          <w:b w:val="0"/>
          <w:bCs/>
          <w:color w:val="auto"/>
          <w:sz w:val="24"/>
          <w:szCs w:val="24"/>
          <w:highlight w:val="none"/>
          <w:lang w:eastAsia="zh-CN"/>
        </w:rPr>
        <w:t>。</w:t>
      </w:r>
    </w:p>
    <w:p w14:paraId="2367C0E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（8）不得诱导、干预或影响其他</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专家依法依规独立评标</w:t>
      </w:r>
      <w:r>
        <w:rPr>
          <w:rFonts w:hint="eastAsia" w:ascii="宋体" w:hAnsi="宋体" w:eastAsia="宋体" w:cs="宋体"/>
          <w:b w:val="0"/>
          <w:bCs/>
          <w:color w:val="auto"/>
          <w:sz w:val="24"/>
          <w:szCs w:val="24"/>
          <w:highlight w:val="none"/>
          <w:lang w:eastAsia="zh-CN"/>
        </w:rPr>
        <w:t>。</w:t>
      </w:r>
    </w:p>
    <w:p w14:paraId="7FE00FE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（9）在</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活动中，</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不得擅离职守，影响</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工作正常进行</w:t>
      </w:r>
      <w:r>
        <w:rPr>
          <w:rFonts w:hint="eastAsia" w:ascii="宋体" w:hAnsi="宋体" w:eastAsia="宋体" w:cs="宋体"/>
          <w:b w:val="0"/>
          <w:bCs/>
          <w:color w:val="auto"/>
          <w:sz w:val="24"/>
          <w:szCs w:val="24"/>
          <w:highlight w:val="none"/>
          <w:lang w:eastAsia="zh-CN"/>
        </w:rPr>
        <w:t>。</w:t>
      </w:r>
    </w:p>
    <w:p w14:paraId="6538695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（10）不得记录、复制或带走任何</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资料</w:t>
      </w:r>
      <w:r>
        <w:rPr>
          <w:rFonts w:hint="eastAsia" w:ascii="宋体" w:hAnsi="宋体" w:eastAsia="宋体" w:cs="宋体"/>
          <w:b w:val="0"/>
          <w:bCs/>
          <w:color w:val="auto"/>
          <w:sz w:val="24"/>
          <w:szCs w:val="24"/>
          <w:highlight w:val="none"/>
          <w:lang w:eastAsia="zh-CN"/>
        </w:rPr>
        <w:t>。</w:t>
      </w:r>
    </w:p>
    <w:p w14:paraId="0122684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（11）不得泄露评标过程中获悉的对</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文件的评审和比较、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候选人的推荐情况以及与</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有关的应当保密的情况和资料</w:t>
      </w:r>
      <w:r>
        <w:rPr>
          <w:rFonts w:hint="eastAsia" w:ascii="宋体" w:hAnsi="宋体" w:eastAsia="宋体" w:cs="宋体"/>
          <w:b w:val="0"/>
          <w:bCs/>
          <w:color w:val="auto"/>
          <w:sz w:val="24"/>
          <w:szCs w:val="24"/>
          <w:highlight w:val="none"/>
          <w:lang w:eastAsia="zh-CN"/>
        </w:rPr>
        <w:t>。</w:t>
      </w:r>
    </w:p>
    <w:p w14:paraId="15E74708">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与供应商存在利害关系应当回避</w:t>
      </w:r>
      <w:r>
        <w:rPr>
          <w:rFonts w:hint="eastAsia" w:ascii="宋体" w:hAnsi="宋体" w:eastAsia="宋体" w:cs="宋体"/>
          <w:b w:val="0"/>
          <w:bCs/>
          <w:color w:val="auto"/>
          <w:sz w:val="24"/>
          <w:szCs w:val="24"/>
          <w:highlight w:val="none"/>
          <w:lang w:eastAsia="zh-CN"/>
        </w:rPr>
        <w:t>。</w:t>
      </w:r>
    </w:p>
    <w:p w14:paraId="7A43A19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（13）在参与政府采购评标活动中，不得有其他违法违规行为。 </w:t>
      </w:r>
      <w:bookmarkStart w:id="62" w:name="_bookmark71"/>
      <w:bookmarkEnd w:id="62"/>
    </w:p>
    <w:p w14:paraId="1B2BEF7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42</w:t>
      </w:r>
      <w:r>
        <w:rPr>
          <w:rFonts w:hint="eastAsia" w:ascii="宋体" w:hAnsi="宋体" w:eastAsia="宋体" w:cs="宋体"/>
          <w:b w:val="0"/>
          <w:bCs/>
          <w:color w:val="auto"/>
          <w:sz w:val="24"/>
          <w:szCs w:val="24"/>
          <w:highlight w:val="none"/>
        </w:rPr>
        <w:t>.4 对与评标活动有关的工作人员的纪律要求</w:t>
      </w:r>
    </w:p>
    <w:p w14:paraId="45FAADAE">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与</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活动有关的工作人员不得收受他人的财物或者其他好处，不得向他人透露对</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文件的评审和比较、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候选人的推荐情况以及</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有关的其他情况。在</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活动中，与</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活动有关的工作人员不得擅离职守，影响</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程序正常进行,与供应商有利害关系的应当回避,在参与或服务政府采购活动中，不得有其他违法违规行为。</w:t>
      </w:r>
      <w:bookmarkStart w:id="63" w:name="_bookmark72"/>
      <w:bookmarkEnd w:id="63"/>
    </w:p>
    <w:p w14:paraId="36B6E8E8">
      <w:p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43</w:t>
      </w:r>
      <w:r>
        <w:rPr>
          <w:rFonts w:hint="eastAsia" w:ascii="宋体" w:hAnsi="宋体" w:eastAsia="宋体" w:cs="宋体"/>
          <w:b/>
          <w:bCs w:val="0"/>
          <w:color w:val="auto"/>
          <w:sz w:val="24"/>
          <w:szCs w:val="24"/>
          <w:highlight w:val="none"/>
        </w:rPr>
        <w:t>. 需要补充的其他内容</w:t>
      </w:r>
    </w:p>
    <w:p w14:paraId="785013D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43</w:t>
      </w:r>
      <w:r>
        <w:rPr>
          <w:rFonts w:hint="eastAsia" w:ascii="宋体" w:hAnsi="宋体" w:eastAsia="宋体" w:cs="宋体"/>
          <w:b w:val="0"/>
          <w:bCs/>
          <w:color w:val="auto"/>
          <w:sz w:val="24"/>
          <w:szCs w:val="24"/>
          <w:highlight w:val="none"/>
        </w:rPr>
        <w:t xml:space="preserve">.1 </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过程的保密</w:t>
      </w:r>
    </w:p>
    <w:p w14:paraId="5AF0E522">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43</w:t>
      </w:r>
      <w:r>
        <w:rPr>
          <w:rFonts w:hint="eastAsia" w:ascii="宋体" w:hAnsi="宋体" w:eastAsia="宋体" w:cs="宋体"/>
          <w:b w:val="0"/>
          <w:bCs/>
          <w:color w:val="auto"/>
          <w:sz w:val="24"/>
          <w:szCs w:val="24"/>
          <w:highlight w:val="none"/>
        </w:rPr>
        <w:t>.1.1开标后，直至授予</w:t>
      </w:r>
      <w:r>
        <w:rPr>
          <w:rFonts w:hint="eastAsia" w:ascii="宋体" w:hAnsi="宋体" w:eastAsia="宋体" w:cs="宋体"/>
          <w:b w:val="0"/>
          <w:bCs/>
          <w:color w:val="auto"/>
          <w:sz w:val="24"/>
          <w:szCs w:val="24"/>
          <w:highlight w:val="none"/>
          <w:lang w:val="en-US" w:eastAsia="zh-CN"/>
        </w:rPr>
        <w:t>成交人</w:t>
      </w:r>
      <w:r>
        <w:rPr>
          <w:rFonts w:hint="eastAsia" w:ascii="宋体" w:hAnsi="宋体" w:eastAsia="宋体" w:cs="宋体"/>
          <w:b w:val="0"/>
          <w:bCs/>
          <w:color w:val="auto"/>
          <w:sz w:val="24"/>
          <w:szCs w:val="24"/>
          <w:highlight w:val="none"/>
        </w:rPr>
        <w:t>合同为止，凡属于对</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文件的审查、澄清、评价和比较有关的资料，</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候选人的推荐情况，及其他任何与评标有关的情况均应严格保密。</w:t>
      </w:r>
    </w:p>
    <w:p w14:paraId="6DA6EFB7">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43</w:t>
      </w:r>
      <w:r>
        <w:rPr>
          <w:rFonts w:hint="eastAsia" w:ascii="宋体" w:hAnsi="宋体" w:eastAsia="宋体" w:cs="宋体"/>
          <w:b w:val="0"/>
          <w:bCs/>
          <w:color w:val="auto"/>
          <w:sz w:val="24"/>
          <w:szCs w:val="24"/>
          <w:highlight w:val="none"/>
        </w:rPr>
        <w:t>.1.2在</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文件的评审和比较、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候选人推荐以及授予合同的过程中，供应商向采购人和</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施加影响的任何行为，都将会导致其</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被拒绝。</w:t>
      </w:r>
    </w:p>
    <w:p w14:paraId="231101B6">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43</w:t>
      </w: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人确定后，采购人不对未</w:t>
      </w:r>
      <w:r>
        <w:rPr>
          <w:rFonts w:hint="eastAsia" w:ascii="宋体" w:hAnsi="宋体" w:eastAsia="宋体" w:cs="宋体"/>
          <w:b w:val="0"/>
          <w:bCs/>
          <w:color w:val="auto"/>
          <w:sz w:val="24"/>
          <w:szCs w:val="24"/>
          <w:highlight w:val="none"/>
          <w:lang w:val="en-US" w:eastAsia="zh-CN"/>
        </w:rPr>
        <w:t>比较</w:t>
      </w:r>
      <w:r>
        <w:rPr>
          <w:rFonts w:hint="eastAsia" w:ascii="宋体" w:hAnsi="宋体" w:eastAsia="宋体" w:cs="宋体"/>
          <w:b w:val="0"/>
          <w:bCs/>
          <w:color w:val="auto"/>
          <w:sz w:val="24"/>
          <w:szCs w:val="24"/>
          <w:highlight w:val="none"/>
        </w:rPr>
        <w:t>单位就</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过程以及未能</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原因作出任何解释。未</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人不得向</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lang w:eastAsia="zh-CN"/>
        </w:rPr>
        <w:t>小</w:t>
      </w:r>
      <w:r>
        <w:rPr>
          <w:rFonts w:hint="eastAsia" w:ascii="宋体" w:hAnsi="宋体" w:eastAsia="宋体" w:cs="宋体"/>
          <w:b w:val="0"/>
          <w:bCs/>
          <w:color w:val="auto"/>
          <w:sz w:val="24"/>
          <w:szCs w:val="24"/>
          <w:highlight w:val="none"/>
        </w:rPr>
        <w:t>组成员或其他有关人员索问</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过程的情况和材料。</w:t>
      </w:r>
    </w:p>
    <w:p w14:paraId="1576896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43</w:t>
      </w:r>
      <w:r>
        <w:rPr>
          <w:rFonts w:hint="eastAsia" w:ascii="宋体" w:hAnsi="宋体" w:eastAsia="宋体" w:cs="宋体"/>
          <w:b w:val="0"/>
          <w:bCs/>
          <w:color w:val="auto"/>
          <w:sz w:val="24"/>
          <w:szCs w:val="24"/>
          <w:highlight w:val="none"/>
        </w:rPr>
        <w:t>.2 未尽事宜按国家有关规定执行。</w:t>
      </w:r>
    </w:p>
    <w:p w14:paraId="785F51F1">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43</w:t>
      </w:r>
      <w:r>
        <w:rPr>
          <w:rFonts w:hint="eastAsia" w:ascii="宋体" w:hAnsi="宋体" w:eastAsia="宋体" w:cs="宋体"/>
          <w:b w:val="0"/>
          <w:bCs/>
          <w:color w:val="auto"/>
          <w:sz w:val="24"/>
          <w:szCs w:val="24"/>
          <w:highlight w:val="none"/>
        </w:rPr>
        <w:t>.3 本</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文件最终解释权归采购人。</w:t>
      </w:r>
    </w:p>
    <w:p w14:paraId="74C24C17">
      <w:pPr>
        <w:ind w:firstLine="480" w:firstLineChars="200"/>
      </w:pPr>
      <w:r>
        <w:rPr>
          <w:rFonts w:hint="eastAsia" w:ascii="宋体" w:hAnsi="宋体" w:eastAsia="宋体" w:cs="宋体"/>
          <w:b w:val="0"/>
          <w:bCs/>
          <w:color w:val="auto"/>
          <w:sz w:val="24"/>
          <w:szCs w:val="24"/>
          <w:highlight w:val="none"/>
          <w:lang w:val="en-US" w:eastAsia="zh-CN"/>
        </w:rPr>
        <w:t>43</w:t>
      </w:r>
      <w:r>
        <w:rPr>
          <w:rFonts w:hint="eastAsia" w:ascii="宋体" w:hAnsi="宋体" w:eastAsia="宋体" w:cs="宋体"/>
          <w:b w:val="0"/>
          <w:bCs/>
          <w:color w:val="auto"/>
          <w:sz w:val="24"/>
          <w:szCs w:val="24"/>
          <w:highlight w:val="none"/>
        </w:rPr>
        <w:t>.4 需要补充的其他内容：见供应商须知前附表。</w:t>
      </w:r>
    </w:p>
    <w:p w14:paraId="61FCABC4"/>
    <w:p w14:paraId="065A7D93"/>
    <w:p w14:paraId="70C71C10"/>
    <w:p w14:paraId="5BBCC44A"/>
    <w:p w14:paraId="1911937F"/>
    <w:p w14:paraId="7267D78D"/>
    <w:p w14:paraId="30FAA696"/>
    <w:p w14:paraId="516415F6"/>
    <w:p w14:paraId="431316C6"/>
    <w:p w14:paraId="5FE43A33"/>
    <w:p w14:paraId="6E3CAB44"/>
    <w:p w14:paraId="2A79AE45"/>
    <w:p w14:paraId="5EE0B112">
      <w:pPr>
        <w:widowControl/>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附件1：质疑函范本</w:t>
      </w:r>
    </w:p>
    <w:p w14:paraId="098E0707">
      <w:pPr>
        <w:spacing w:line="480" w:lineRule="exact"/>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质疑函范本</w:t>
      </w:r>
    </w:p>
    <w:p w14:paraId="21F78D44">
      <w:pPr>
        <w:spacing w:line="480" w:lineRule="exact"/>
        <w:ind w:firstLine="480" w:firstLineChars="200"/>
        <w:outlineLvl w:val="3"/>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一、质疑</w:t>
      </w:r>
      <w:r>
        <w:rPr>
          <w:rFonts w:hint="eastAsia" w:asciiTheme="minorEastAsia" w:hAnsiTheme="minorEastAsia" w:eastAsiaTheme="minorEastAsia" w:cstheme="minorEastAsia"/>
          <w:sz w:val="24"/>
          <w:szCs w:val="24"/>
          <w:highlight w:val="none"/>
        </w:rPr>
        <w:t>响应人</w:t>
      </w:r>
      <w:r>
        <w:rPr>
          <w:rFonts w:hint="eastAsia" w:asciiTheme="minorEastAsia" w:hAnsiTheme="minorEastAsia" w:eastAsiaTheme="minorEastAsia" w:cstheme="minorEastAsia"/>
          <w:kern w:val="0"/>
          <w:sz w:val="24"/>
          <w:highlight w:val="none"/>
        </w:rPr>
        <w:t>基本信息</w:t>
      </w:r>
    </w:p>
    <w:p w14:paraId="26B86F1F">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质疑</w:t>
      </w:r>
      <w:r>
        <w:rPr>
          <w:rFonts w:hint="eastAsia" w:asciiTheme="minorEastAsia" w:hAnsiTheme="minorEastAsia" w:eastAsiaTheme="minorEastAsia" w:cstheme="minorEastAsia"/>
          <w:sz w:val="24"/>
          <w:szCs w:val="24"/>
          <w:highlight w:val="none"/>
        </w:rPr>
        <w:t>响应人</w:t>
      </w:r>
      <w:r>
        <w:rPr>
          <w:rFonts w:hint="eastAsia" w:asciiTheme="minorEastAsia" w:hAnsiTheme="minorEastAsia" w:eastAsiaTheme="minorEastAsia" w:cstheme="minorEastAsia"/>
          <w:kern w:val="0"/>
          <w:sz w:val="24"/>
          <w:highlight w:val="none"/>
        </w:rPr>
        <w:t xml:space="preserve">：                                        </w:t>
      </w:r>
    </w:p>
    <w:p w14:paraId="1496774B">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地址：                          邮编：                                 </w:t>
      </w:r>
    </w:p>
    <w:p w14:paraId="01008949">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联系人：                      联系电话：                              </w:t>
      </w:r>
    </w:p>
    <w:p w14:paraId="4CC543C2">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授权代表：                                          </w:t>
      </w:r>
    </w:p>
    <w:p w14:paraId="0259418F">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联系电话：                                            </w:t>
      </w:r>
    </w:p>
    <w:p w14:paraId="1017DB8E">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地址：                         邮编：                                       </w:t>
      </w:r>
    </w:p>
    <w:p w14:paraId="32172098">
      <w:pPr>
        <w:spacing w:line="480" w:lineRule="exact"/>
        <w:ind w:firstLine="480" w:firstLineChars="200"/>
        <w:outlineLvl w:val="3"/>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二、质疑项目基本情况</w:t>
      </w:r>
    </w:p>
    <w:p w14:paraId="4BA08B2D">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质疑项目的名称：                                      </w:t>
      </w:r>
    </w:p>
    <w:p w14:paraId="303B65F8">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质疑项目的编号：               包号：                 </w:t>
      </w:r>
    </w:p>
    <w:p w14:paraId="56F5EA5C">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采购人</w:t>
      </w:r>
      <w:r>
        <w:rPr>
          <w:rFonts w:hint="eastAsia" w:asciiTheme="minorEastAsia" w:hAnsiTheme="minorEastAsia" w:eastAsiaTheme="minorEastAsia" w:cstheme="minorEastAsia"/>
          <w:kern w:val="0"/>
          <w:sz w:val="24"/>
          <w:highlight w:val="none"/>
        </w:rPr>
        <w:t xml:space="preserve">名称：                                         </w:t>
      </w:r>
    </w:p>
    <w:p w14:paraId="0C1CC41F">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磋商</w:t>
      </w:r>
      <w:r>
        <w:rPr>
          <w:rFonts w:hint="eastAsia" w:asciiTheme="minorEastAsia" w:hAnsiTheme="minorEastAsia" w:eastAsiaTheme="minorEastAsia" w:cstheme="minorEastAsia"/>
          <w:kern w:val="0"/>
          <w:sz w:val="24"/>
          <w:highlight w:val="none"/>
        </w:rPr>
        <w:t xml:space="preserve">文件获取日期：                                           </w:t>
      </w:r>
    </w:p>
    <w:p w14:paraId="1E8DDC61">
      <w:pPr>
        <w:spacing w:line="480" w:lineRule="exact"/>
        <w:ind w:firstLine="480" w:firstLineChars="200"/>
        <w:outlineLvl w:val="3"/>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三、质疑事项具体内容</w:t>
      </w:r>
    </w:p>
    <w:p w14:paraId="4C62A64F">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质疑事项1：                                         </w:t>
      </w:r>
    </w:p>
    <w:p w14:paraId="48627E16">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事实依据：                                          </w:t>
      </w:r>
    </w:p>
    <w:p w14:paraId="11334541">
      <w:pPr>
        <w:spacing w:line="480" w:lineRule="exact"/>
        <w:ind w:firstLine="480" w:firstLineChars="200"/>
        <w:rPr>
          <w:rFonts w:hint="eastAsia" w:asciiTheme="minorEastAsia" w:hAnsiTheme="minorEastAsia" w:eastAsiaTheme="minorEastAsia" w:cstheme="minorEastAsia"/>
          <w:kern w:val="0"/>
          <w:sz w:val="24"/>
          <w:highlight w:val="none"/>
        </w:rPr>
      </w:pPr>
    </w:p>
    <w:p w14:paraId="7CD56560">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法律依据：                                          </w:t>
      </w:r>
    </w:p>
    <w:p w14:paraId="105C65CE">
      <w:pPr>
        <w:spacing w:line="480" w:lineRule="exact"/>
        <w:ind w:firstLine="480" w:firstLineChars="200"/>
        <w:rPr>
          <w:rFonts w:hint="eastAsia" w:asciiTheme="minorEastAsia" w:hAnsiTheme="minorEastAsia" w:eastAsiaTheme="minorEastAsia" w:cstheme="minorEastAsia"/>
          <w:kern w:val="0"/>
          <w:sz w:val="24"/>
          <w:highlight w:val="none"/>
        </w:rPr>
      </w:pPr>
    </w:p>
    <w:p w14:paraId="760F98BA">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质疑事项2</w:t>
      </w:r>
    </w:p>
    <w:p w14:paraId="5DD6CB4B">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p w14:paraId="1FC163B8">
      <w:pPr>
        <w:spacing w:line="480" w:lineRule="exact"/>
        <w:ind w:firstLine="480" w:firstLineChars="200"/>
        <w:outlineLvl w:val="3"/>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四、与质疑事项相关的质疑请求</w:t>
      </w:r>
    </w:p>
    <w:p w14:paraId="56CCFEB5">
      <w:pPr>
        <w:spacing w:line="480" w:lineRule="exact"/>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请求：                                               </w:t>
      </w:r>
    </w:p>
    <w:p w14:paraId="1BB2FEC4">
      <w:pPr>
        <w:ind w:firstLine="480" w:firstLineChars="200"/>
      </w:pPr>
      <w:r>
        <w:rPr>
          <w:rFonts w:hint="eastAsia" w:asciiTheme="minorEastAsia" w:hAnsiTheme="minorEastAsia" w:eastAsiaTheme="minorEastAsia" w:cstheme="minorEastAsia"/>
          <w:kern w:val="0"/>
          <w:sz w:val="24"/>
          <w:highlight w:val="none"/>
        </w:rPr>
        <w:t>签字(签章)：                   公章：</w:t>
      </w:r>
    </w:p>
    <w:p w14:paraId="787D70B8"/>
    <w:p w14:paraId="6C6763A1"/>
    <w:p w14:paraId="0D27EC11"/>
    <w:p w14:paraId="74D5556D"/>
    <w:p w14:paraId="4D7EEE2A"/>
    <w:p w14:paraId="4AA6E3C9"/>
    <w:p w14:paraId="5EF2EAB1"/>
    <w:p w14:paraId="200AED14">
      <w:pPr>
        <w:pStyle w:val="2"/>
        <w:bidi w:val="0"/>
        <w:spacing w:line="240" w:lineRule="auto"/>
        <w:jc w:val="center"/>
        <w:rPr>
          <w:rFonts w:hint="default"/>
          <w:lang w:val="en-US" w:eastAsia="zh-CN"/>
        </w:rPr>
      </w:pPr>
      <w:bookmarkStart w:id="64" w:name="_Toc17311"/>
      <w:r>
        <w:rPr>
          <w:rFonts w:hint="eastAsia"/>
          <w:lang w:val="en-US" w:eastAsia="zh-CN"/>
        </w:rPr>
        <w:t>第三章 评审办法</w:t>
      </w:r>
      <w:bookmarkEnd w:id="64"/>
      <w:r>
        <w:rPr>
          <w:rFonts w:hint="eastAsia"/>
          <w:lang w:val="en-US" w:eastAsia="zh-CN"/>
        </w:rPr>
        <w:t>（综合评分法）</w:t>
      </w:r>
    </w:p>
    <w:p w14:paraId="77ED4729">
      <w:pPr>
        <w:bidi w:val="0"/>
        <w:spacing w:line="240" w:lineRule="auto"/>
        <w:jc w:val="center"/>
        <w:rPr>
          <w:b/>
          <w:bCs/>
          <w:sz w:val="28"/>
          <w:szCs w:val="36"/>
        </w:rPr>
      </w:pPr>
      <w:bookmarkStart w:id="65" w:name="_Toc10278"/>
      <w:bookmarkStart w:id="66" w:name="_Toc13307"/>
      <w:bookmarkStart w:id="67" w:name="_Toc15097"/>
      <w:bookmarkStart w:id="68" w:name="_Toc28737"/>
      <w:r>
        <w:rPr>
          <w:rFonts w:hint="eastAsia"/>
          <w:b/>
          <w:bCs/>
          <w:sz w:val="28"/>
          <w:szCs w:val="36"/>
        </w:rPr>
        <w:t>一、磋商办法前附表</w:t>
      </w:r>
      <w:bookmarkEnd w:id="65"/>
      <w:bookmarkEnd w:id="66"/>
      <w:bookmarkEnd w:id="67"/>
      <w:bookmarkEnd w:id="68"/>
    </w:p>
    <w:tbl>
      <w:tblPr>
        <w:tblStyle w:val="19"/>
        <w:tblpPr w:leftFromText="180" w:rightFromText="180" w:vertAnchor="text" w:horzAnchor="page" w:tblpX="1186" w:tblpY="377"/>
        <w:tblOverlap w:val="never"/>
        <w:tblW w:w="9445" w:type="dxa"/>
        <w:tblInd w:w="0" w:type="dxa"/>
        <w:tblLayout w:type="fixed"/>
        <w:tblCellMar>
          <w:top w:w="0" w:type="dxa"/>
          <w:left w:w="108" w:type="dxa"/>
          <w:bottom w:w="0" w:type="dxa"/>
          <w:right w:w="108" w:type="dxa"/>
        </w:tblCellMar>
      </w:tblPr>
      <w:tblGrid>
        <w:gridCol w:w="508"/>
        <w:gridCol w:w="1013"/>
        <w:gridCol w:w="2126"/>
        <w:gridCol w:w="5798"/>
      </w:tblGrid>
      <w:tr w14:paraId="28B8F6E5">
        <w:tblPrEx>
          <w:tblCellMar>
            <w:top w:w="0" w:type="dxa"/>
            <w:left w:w="108" w:type="dxa"/>
            <w:bottom w:w="0" w:type="dxa"/>
            <w:right w:w="108" w:type="dxa"/>
          </w:tblCellMar>
        </w:tblPrEx>
        <w:trPr>
          <w:trHeight w:val="500" w:hRule="atLeast"/>
        </w:trPr>
        <w:tc>
          <w:tcPr>
            <w:tcW w:w="1521" w:type="dxa"/>
            <w:gridSpan w:val="2"/>
            <w:tcBorders>
              <w:top w:val="single" w:color="auto" w:sz="4" w:space="0"/>
              <w:left w:val="single" w:color="auto" w:sz="4" w:space="0"/>
              <w:bottom w:val="single" w:color="auto" w:sz="4" w:space="0"/>
              <w:right w:val="single" w:color="auto" w:sz="4" w:space="0"/>
            </w:tcBorders>
            <w:vAlign w:val="center"/>
          </w:tcPr>
          <w:p w14:paraId="27117AF3">
            <w:pPr>
              <w:spacing w:line="6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初步评审</w:t>
            </w:r>
          </w:p>
        </w:tc>
        <w:tc>
          <w:tcPr>
            <w:tcW w:w="2126" w:type="dxa"/>
            <w:tcBorders>
              <w:top w:val="single" w:color="auto" w:sz="4" w:space="0"/>
              <w:left w:val="nil"/>
              <w:bottom w:val="single" w:color="auto" w:sz="4" w:space="0"/>
              <w:right w:val="single" w:color="auto" w:sz="4" w:space="0"/>
            </w:tcBorders>
            <w:vAlign w:val="center"/>
          </w:tcPr>
          <w:p w14:paraId="7918FA25">
            <w:pPr>
              <w:spacing w:line="6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评审因素</w:t>
            </w:r>
          </w:p>
        </w:tc>
        <w:tc>
          <w:tcPr>
            <w:tcW w:w="5798" w:type="dxa"/>
            <w:tcBorders>
              <w:top w:val="single" w:color="auto" w:sz="4" w:space="0"/>
              <w:left w:val="nil"/>
              <w:bottom w:val="single" w:color="auto" w:sz="4" w:space="0"/>
              <w:right w:val="single" w:color="auto" w:sz="4" w:space="0"/>
            </w:tcBorders>
            <w:vAlign w:val="center"/>
          </w:tcPr>
          <w:p w14:paraId="79E08272">
            <w:pPr>
              <w:spacing w:line="6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评审标准</w:t>
            </w:r>
          </w:p>
        </w:tc>
      </w:tr>
      <w:tr w14:paraId="29A7E3B0">
        <w:tblPrEx>
          <w:tblCellMar>
            <w:top w:w="0" w:type="dxa"/>
            <w:left w:w="108" w:type="dxa"/>
            <w:bottom w:w="0" w:type="dxa"/>
            <w:right w:w="108" w:type="dxa"/>
          </w:tblCellMar>
        </w:tblPrEx>
        <w:trPr>
          <w:trHeight w:val="500" w:hRule="atLeast"/>
        </w:trPr>
        <w:tc>
          <w:tcPr>
            <w:tcW w:w="508" w:type="dxa"/>
            <w:vMerge w:val="restart"/>
            <w:tcBorders>
              <w:top w:val="nil"/>
              <w:left w:val="single" w:color="auto" w:sz="4" w:space="0"/>
              <w:right w:val="single" w:color="auto" w:sz="4" w:space="0"/>
            </w:tcBorders>
            <w:vAlign w:val="center"/>
          </w:tcPr>
          <w:p w14:paraId="2463290B">
            <w:pPr>
              <w:spacing w:line="600" w:lineRule="exact"/>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1</w:t>
            </w:r>
          </w:p>
        </w:tc>
        <w:tc>
          <w:tcPr>
            <w:tcW w:w="1013" w:type="dxa"/>
            <w:vMerge w:val="restart"/>
            <w:tcBorders>
              <w:top w:val="nil"/>
              <w:left w:val="nil"/>
              <w:right w:val="single" w:color="auto" w:sz="4" w:space="0"/>
            </w:tcBorders>
            <w:vAlign w:val="center"/>
          </w:tcPr>
          <w:p w14:paraId="51907B07">
            <w:pPr>
              <w:spacing w:line="6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符合性评审标准</w:t>
            </w:r>
          </w:p>
        </w:tc>
        <w:tc>
          <w:tcPr>
            <w:tcW w:w="2126" w:type="dxa"/>
            <w:tcBorders>
              <w:top w:val="single" w:color="auto" w:sz="4" w:space="0"/>
              <w:left w:val="nil"/>
              <w:bottom w:val="single" w:color="auto" w:sz="4" w:space="0"/>
              <w:right w:val="single" w:color="auto" w:sz="4" w:space="0"/>
            </w:tcBorders>
            <w:vAlign w:val="center"/>
          </w:tcPr>
          <w:p w14:paraId="578DA042">
            <w:pPr>
              <w:adjustRightInd w:val="0"/>
              <w:snapToGrid w:val="0"/>
              <w:spacing w:line="360" w:lineRule="exact"/>
              <w:jc w:val="center"/>
              <w:outlineLvl w:val="0"/>
              <w:rPr>
                <w:rFonts w:hint="eastAsia" w:asciiTheme="minorEastAsia" w:hAnsiTheme="minorEastAsia" w:eastAsiaTheme="minorEastAsia" w:cstheme="minorEastAsia"/>
                <w:bCs/>
                <w:color w:val="000000"/>
                <w:kern w:val="44"/>
                <w:sz w:val="22"/>
                <w:szCs w:val="22"/>
              </w:rPr>
            </w:pPr>
            <w:bookmarkStart w:id="69" w:name="_Toc18300"/>
            <w:bookmarkEnd w:id="69"/>
            <w:bookmarkStart w:id="70" w:name="_Toc116401571"/>
            <w:bookmarkEnd w:id="70"/>
            <w:bookmarkStart w:id="71" w:name="_Toc144801275"/>
            <w:bookmarkEnd w:id="71"/>
            <w:bookmarkStart w:id="72" w:name="_Toc173946083"/>
            <w:bookmarkEnd w:id="72"/>
            <w:bookmarkStart w:id="73" w:name="_Toc17718"/>
            <w:bookmarkEnd w:id="73"/>
            <w:bookmarkStart w:id="74" w:name="_Toc174034451"/>
            <w:bookmarkEnd w:id="74"/>
            <w:bookmarkStart w:id="75" w:name="_Toc173946418"/>
            <w:bookmarkEnd w:id="75"/>
            <w:bookmarkStart w:id="76" w:name="_Toc23926"/>
            <w:bookmarkEnd w:id="76"/>
            <w:bookmarkStart w:id="77" w:name="_Toc791"/>
            <w:bookmarkEnd w:id="77"/>
            <w:bookmarkStart w:id="78" w:name="_Toc30852"/>
            <w:bookmarkEnd w:id="78"/>
            <w:bookmarkStart w:id="79" w:name="_Toc26959"/>
            <w:bookmarkStart w:id="80" w:name="_Toc13906"/>
            <w:bookmarkStart w:id="81" w:name="_Toc1467"/>
            <w:bookmarkStart w:id="82" w:name="_Toc26938"/>
            <w:r>
              <w:rPr>
                <w:rFonts w:hint="eastAsia" w:asciiTheme="minorEastAsia" w:hAnsiTheme="minorEastAsia" w:eastAsiaTheme="minorEastAsia" w:cstheme="minorEastAsia"/>
                <w:bCs/>
                <w:color w:val="000000"/>
                <w:kern w:val="44"/>
                <w:sz w:val="22"/>
                <w:szCs w:val="22"/>
              </w:rPr>
              <w:t>供应商名称</w:t>
            </w:r>
            <w:bookmarkEnd w:id="79"/>
            <w:bookmarkEnd w:id="80"/>
            <w:bookmarkEnd w:id="81"/>
            <w:bookmarkEnd w:id="82"/>
          </w:p>
        </w:tc>
        <w:tc>
          <w:tcPr>
            <w:tcW w:w="5798" w:type="dxa"/>
            <w:tcBorders>
              <w:top w:val="single" w:color="auto" w:sz="4" w:space="0"/>
              <w:left w:val="nil"/>
              <w:bottom w:val="single" w:color="auto" w:sz="4" w:space="0"/>
              <w:right w:val="single" w:color="auto" w:sz="4" w:space="0"/>
            </w:tcBorders>
            <w:vAlign w:val="center"/>
          </w:tcPr>
          <w:p w14:paraId="24F46D2B">
            <w:pPr>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与营业执照一致</w:t>
            </w:r>
          </w:p>
        </w:tc>
      </w:tr>
      <w:tr w14:paraId="2AFDC528">
        <w:tblPrEx>
          <w:tblCellMar>
            <w:top w:w="0" w:type="dxa"/>
            <w:left w:w="108" w:type="dxa"/>
            <w:bottom w:w="0" w:type="dxa"/>
            <w:right w:w="108" w:type="dxa"/>
          </w:tblCellMar>
        </w:tblPrEx>
        <w:trPr>
          <w:trHeight w:val="677" w:hRule="atLeast"/>
        </w:trPr>
        <w:tc>
          <w:tcPr>
            <w:tcW w:w="508" w:type="dxa"/>
            <w:vMerge w:val="continue"/>
            <w:tcBorders>
              <w:left w:val="single" w:color="auto" w:sz="4" w:space="0"/>
              <w:right w:val="single" w:color="auto" w:sz="4" w:space="0"/>
            </w:tcBorders>
            <w:vAlign w:val="center"/>
          </w:tcPr>
          <w:p w14:paraId="0DE08FDF">
            <w:pPr>
              <w:spacing w:line="600" w:lineRule="exact"/>
              <w:jc w:val="center"/>
              <w:rPr>
                <w:rFonts w:hint="eastAsia" w:asciiTheme="minorEastAsia" w:hAnsiTheme="minorEastAsia" w:eastAsiaTheme="minorEastAsia" w:cstheme="minorEastAsia"/>
                <w:sz w:val="22"/>
                <w:szCs w:val="22"/>
              </w:rPr>
            </w:pPr>
          </w:p>
        </w:tc>
        <w:tc>
          <w:tcPr>
            <w:tcW w:w="1013" w:type="dxa"/>
            <w:vMerge w:val="continue"/>
            <w:tcBorders>
              <w:left w:val="nil"/>
              <w:right w:val="single" w:color="auto" w:sz="4" w:space="0"/>
            </w:tcBorders>
            <w:vAlign w:val="center"/>
          </w:tcPr>
          <w:p w14:paraId="6B76173F">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bottom w:val="single" w:color="auto" w:sz="4" w:space="0"/>
              <w:right w:val="single" w:color="auto" w:sz="4" w:space="0"/>
            </w:tcBorders>
            <w:vAlign w:val="center"/>
          </w:tcPr>
          <w:p w14:paraId="3BA50266">
            <w:pPr>
              <w:widowControl/>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响应文件签字盖章</w:t>
            </w:r>
          </w:p>
        </w:tc>
        <w:tc>
          <w:tcPr>
            <w:tcW w:w="5798" w:type="dxa"/>
            <w:tcBorders>
              <w:top w:val="single" w:color="auto" w:sz="4" w:space="0"/>
              <w:left w:val="nil"/>
              <w:bottom w:val="single" w:color="auto" w:sz="4" w:space="0"/>
              <w:right w:val="single" w:color="auto" w:sz="4" w:space="0"/>
            </w:tcBorders>
            <w:vAlign w:val="center"/>
          </w:tcPr>
          <w:p w14:paraId="2F21E596">
            <w:pPr>
              <w:spacing w:line="30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符合竞争性磋商文件要求的签字、盖章</w:t>
            </w:r>
            <w:r>
              <w:rPr>
                <w:rFonts w:hint="eastAsia" w:asciiTheme="minorEastAsia" w:hAnsiTheme="minorEastAsia" w:eastAsiaTheme="minorEastAsia" w:cstheme="minorEastAsia"/>
                <w:sz w:val="22"/>
                <w:szCs w:val="22"/>
                <w:lang w:val="en-US" w:eastAsia="zh-CN"/>
              </w:rPr>
              <w:t>要求</w:t>
            </w:r>
          </w:p>
        </w:tc>
      </w:tr>
      <w:tr w14:paraId="4C5D6BF2">
        <w:trPr>
          <w:trHeight w:val="500" w:hRule="atLeast"/>
        </w:trPr>
        <w:tc>
          <w:tcPr>
            <w:tcW w:w="508" w:type="dxa"/>
            <w:vMerge w:val="continue"/>
            <w:tcBorders>
              <w:left w:val="single" w:color="auto" w:sz="4" w:space="0"/>
              <w:right w:val="single" w:color="auto" w:sz="4" w:space="0"/>
            </w:tcBorders>
            <w:vAlign w:val="center"/>
          </w:tcPr>
          <w:p w14:paraId="23E17E19">
            <w:pPr>
              <w:spacing w:line="600" w:lineRule="exact"/>
              <w:rPr>
                <w:rFonts w:hint="eastAsia" w:asciiTheme="minorEastAsia" w:hAnsiTheme="minorEastAsia" w:eastAsiaTheme="minorEastAsia" w:cstheme="minorEastAsia"/>
                <w:sz w:val="22"/>
                <w:szCs w:val="22"/>
              </w:rPr>
            </w:pPr>
          </w:p>
        </w:tc>
        <w:tc>
          <w:tcPr>
            <w:tcW w:w="1013" w:type="dxa"/>
            <w:vMerge w:val="continue"/>
            <w:tcBorders>
              <w:left w:val="nil"/>
              <w:right w:val="single" w:color="auto" w:sz="4" w:space="0"/>
            </w:tcBorders>
            <w:vAlign w:val="center"/>
          </w:tcPr>
          <w:p w14:paraId="3FA27B47">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bottom w:val="single" w:color="auto" w:sz="4" w:space="0"/>
              <w:right w:val="single" w:color="auto" w:sz="4" w:space="0"/>
            </w:tcBorders>
            <w:vAlign w:val="center"/>
          </w:tcPr>
          <w:p w14:paraId="56EA84F8">
            <w:pPr>
              <w:adjustRightInd w:val="0"/>
              <w:snapToGrid w:val="0"/>
              <w:spacing w:line="360" w:lineRule="exact"/>
              <w:jc w:val="center"/>
              <w:outlineLvl w:val="0"/>
              <w:rPr>
                <w:rFonts w:hint="eastAsia" w:asciiTheme="minorEastAsia" w:hAnsiTheme="minorEastAsia" w:eastAsiaTheme="minorEastAsia" w:cstheme="minorEastAsia"/>
                <w:bCs/>
                <w:color w:val="000000"/>
                <w:kern w:val="44"/>
                <w:sz w:val="22"/>
                <w:szCs w:val="22"/>
              </w:rPr>
            </w:pPr>
            <w:bookmarkStart w:id="83" w:name="_Toc13253"/>
            <w:bookmarkEnd w:id="83"/>
            <w:bookmarkStart w:id="84" w:name="_Toc144801278"/>
            <w:bookmarkEnd w:id="84"/>
            <w:bookmarkStart w:id="85" w:name="_Toc173946084"/>
            <w:bookmarkEnd w:id="85"/>
            <w:bookmarkStart w:id="86" w:name="_Toc173946419"/>
            <w:bookmarkEnd w:id="86"/>
            <w:bookmarkStart w:id="87" w:name="_Toc11444"/>
            <w:bookmarkEnd w:id="87"/>
            <w:bookmarkStart w:id="88" w:name="_Toc7718"/>
            <w:bookmarkEnd w:id="88"/>
            <w:bookmarkStart w:id="89" w:name="_Toc174034452"/>
            <w:bookmarkEnd w:id="89"/>
            <w:bookmarkStart w:id="90" w:name="_Toc10195"/>
            <w:bookmarkEnd w:id="90"/>
            <w:bookmarkStart w:id="91" w:name="_Toc116401574"/>
            <w:bookmarkEnd w:id="91"/>
            <w:bookmarkStart w:id="92" w:name="_Toc9826"/>
            <w:bookmarkStart w:id="93" w:name="_Toc22860"/>
            <w:bookmarkStart w:id="94" w:name="_Toc21853"/>
            <w:bookmarkStart w:id="95" w:name="_Toc27302"/>
            <w:r>
              <w:rPr>
                <w:rFonts w:hint="eastAsia" w:asciiTheme="minorEastAsia" w:hAnsiTheme="minorEastAsia" w:eastAsiaTheme="minorEastAsia" w:cstheme="minorEastAsia"/>
                <w:bCs/>
                <w:color w:val="000000"/>
                <w:kern w:val="44"/>
                <w:sz w:val="22"/>
                <w:szCs w:val="22"/>
              </w:rPr>
              <w:t>响应文件格式</w:t>
            </w:r>
            <w:bookmarkEnd w:id="92"/>
            <w:bookmarkEnd w:id="93"/>
            <w:bookmarkEnd w:id="94"/>
            <w:bookmarkEnd w:id="95"/>
          </w:p>
        </w:tc>
        <w:tc>
          <w:tcPr>
            <w:tcW w:w="5798" w:type="dxa"/>
            <w:tcBorders>
              <w:top w:val="single" w:color="auto" w:sz="4" w:space="0"/>
              <w:left w:val="nil"/>
              <w:bottom w:val="single" w:color="auto" w:sz="4" w:space="0"/>
              <w:right w:val="single" w:color="auto" w:sz="4" w:space="0"/>
            </w:tcBorders>
            <w:vAlign w:val="center"/>
          </w:tcPr>
          <w:p w14:paraId="08ED1112">
            <w:pPr>
              <w:spacing w:line="300" w:lineRule="exact"/>
              <w:rPr>
                <w:rFonts w:hint="eastAsia" w:asciiTheme="minorEastAsia" w:hAnsiTheme="minorEastAsia" w:eastAsiaTheme="minorEastAsia" w:cstheme="minorEastAsia"/>
                <w:sz w:val="22"/>
                <w:szCs w:val="22"/>
              </w:rPr>
            </w:pPr>
            <w:bookmarkStart w:id="96" w:name="_Toc2616"/>
            <w:bookmarkEnd w:id="96"/>
            <w:bookmarkStart w:id="97" w:name="_Toc116401575"/>
            <w:bookmarkEnd w:id="97"/>
            <w:bookmarkStart w:id="98" w:name="_Toc7239"/>
            <w:bookmarkEnd w:id="98"/>
            <w:bookmarkStart w:id="99" w:name="_Toc6786"/>
            <w:bookmarkEnd w:id="99"/>
            <w:bookmarkStart w:id="100" w:name="_Toc100"/>
            <w:bookmarkEnd w:id="100"/>
            <w:bookmarkStart w:id="101" w:name="_Toc31346"/>
            <w:bookmarkEnd w:id="101"/>
            <w:bookmarkStart w:id="102" w:name="_Toc144801279"/>
            <w:bookmarkEnd w:id="102"/>
            <w:r>
              <w:rPr>
                <w:rFonts w:hint="eastAsia" w:asciiTheme="minorEastAsia" w:hAnsiTheme="minorEastAsia" w:eastAsiaTheme="minorEastAsia" w:cstheme="minorEastAsia"/>
                <w:bCs/>
                <w:color w:val="000000"/>
                <w:kern w:val="44"/>
                <w:sz w:val="22"/>
                <w:szCs w:val="22"/>
              </w:rPr>
              <w:t>符合</w:t>
            </w:r>
            <w:r>
              <w:rPr>
                <w:rFonts w:hint="eastAsia" w:asciiTheme="minorEastAsia" w:hAnsiTheme="minorEastAsia" w:eastAsiaTheme="minorEastAsia" w:cstheme="minorEastAsia"/>
                <w:bCs/>
                <w:color w:val="000000"/>
                <w:kern w:val="44"/>
                <w:sz w:val="22"/>
                <w:szCs w:val="22"/>
                <w:lang w:val="en-US" w:eastAsia="zh-CN"/>
              </w:rPr>
              <w:t>磋商文件</w:t>
            </w:r>
            <w:r>
              <w:rPr>
                <w:rFonts w:hint="eastAsia" w:asciiTheme="minorEastAsia" w:hAnsiTheme="minorEastAsia" w:eastAsiaTheme="minorEastAsia" w:cstheme="minorEastAsia"/>
                <w:bCs/>
                <w:color w:val="000000"/>
                <w:kern w:val="44"/>
                <w:sz w:val="22"/>
                <w:szCs w:val="22"/>
              </w:rPr>
              <w:t>“响应文件格式”</w:t>
            </w:r>
            <w:r>
              <w:rPr>
                <w:rFonts w:hint="eastAsia" w:asciiTheme="minorEastAsia" w:hAnsiTheme="minorEastAsia" w:eastAsiaTheme="minorEastAsia" w:cstheme="minorEastAsia"/>
                <w:bCs/>
                <w:color w:val="000000"/>
                <w:kern w:val="44"/>
                <w:sz w:val="22"/>
                <w:szCs w:val="22"/>
                <w:lang w:val="en-US" w:eastAsia="zh-CN"/>
              </w:rPr>
              <w:t>的</w:t>
            </w:r>
            <w:r>
              <w:rPr>
                <w:rFonts w:hint="eastAsia" w:asciiTheme="minorEastAsia" w:hAnsiTheme="minorEastAsia" w:eastAsiaTheme="minorEastAsia" w:cstheme="minorEastAsia"/>
                <w:bCs/>
                <w:color w:val="000000"/>
                <w:kern w:val="44"/>
                <w:sz w:val="22"/>
                <w:szCs w:val="22"/>
              </w:rPr>
              <w:t>要求</w:t>
            </w:r>
          </w:p>
        </w:tc>
      </w:tr>
      <w:tr w14:paraId="55AE2143">
        <w:tblPrEx>
          <w:tblCellMar>
            <w:top w:w="0" w:type="dxa"/>
            <w:left w:w="108" w:type="dxa"/>
            <w:bottom w:w="0" w:type="dxa"/>
            <w:right w:w="108" w:type="dxa"/>
          </w:tblCellMar>
        </w:tblPrEx>
        <w:trPr>
          <w:trHeight w:val="500" w:hRule="atLeast"/>
        </w:trPr>
        <w:tc>
          <w:tcPr>
            <w:tcW w:w="508" w:type="dxa"/>
            <w:vMerge w:val="continue"/>
            <w:tcBorders>
              <w:left w:val="single" w:color="auto" w:sz="4" w:space="0"/>
              <w:bottom w:val="single" w:color="auto" w:sz="4" w:space="0"/>
              <w:right w:val="single" w:color="auto" w:sz="4" w:space="0"/>
            </w:tcBorders>
            <w:vAlign w:val="center"/>
          </w:tcPr>
          <w:p w14:paraId="4CBF60A5">
            <w:pPr>
              <w:spacing w:line="600" w:lineRule="exact"/>
              <w:rPr>
                <w:rFonts w:hint="eastAsia" w:asciiTheme="minorEastAsia" w:hAnsiTheme="minorEastAsia" w:eastAsiaTheme="minorEastAsia" w:cstheme="minorEastAsia"/>
                <w:sz w:val="22"/>
                <w:szCs w:val="22"/>
              </w:rPr>
            </w:pPr>
          </w:p>
        </w:tc>
        <w:tc>
          <w:tcPr>
            <w:tcW w:w="1013" w:type="dxa"/>
            <w:vMerge w:val="continue"/>
            <w:tcBorders>
              <w:left w:val="nil"/>
              <w:bottom w:val="single" w:color="auto" w:sz="4" w:space="0"/>
              <w:right w:val="single" w:color="auto" w:sz="4" w:space="0"/>
            </w:tcBorders>
            <w:vAlign w:val="center"/>
          </w:tcPr>
          <w:p w14:paraId="04A88AFD">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bottom w:val="single" w:color="auto" w:sz="4" w:space="0"/>
              <w:right w:val="single" w:color="auto" w:sz="4" w:space="0"/>
            </w:tcBorders>
            <w:vAlign w:val="center"/>
          </w:tcPr>
          <w:p w14:paraId="35ECE1EF">
            <w:pPr>
              <w:adjustRightInd w:val="0"/>
              <w:snapToGrid w:val="0"/>
              <w:spacing w:line="360" w:lineRule="exact"/>
              <w:jc w:val="center"/>
              <w:outlineLvl w:val="0"/>
              <w:rPr>
                <w:rFonts w:hint="eastAsia" w:asciiTheme="minorEastAsia" w:hAnsiTheme="minorEastAsia" w:eastAsiaTheme="minorEastAsia" w:cstheme="minorEastAsia"/>
                <w:bCs/>
                <w:color w:val="000000"/>
                <w:kern w:val="44"/>
                <w:sz w:val="22"/>
                <w:szCs w:val="22"/>
                <w:lang w:val="en-US" w:eastAsia="zh-CN"/>
              </w:rPr>
            </w:pPr>
            <w:bookmarkStart w:id="103" w:name="_Toc19346"/>
            <w:r>
              <w:rPr>
                <w:rFonts w:hint="eastAsia" w:asciiTheme="minorEastAsia" w:hAnsiTheme="minorEastAsia" w:eastAsiaTheme="minorEastAsia" w:cstheme="minorEastAsia"/>
                <w:bCs/>
                <w:color w:val="000000"/>
                <w:kern w:val="44"/>
                <w:sz w:val="22"/>
                <w:szCs w:val="22"/>
                <w:lang w:val="en-US" w:eastAsia="zh-CN"/>
              </w:rPr>
              <w:t>报价唯一</w:t>
            </w:r>
            <w:bookmarkEnd w:id="103"/>
          </w:p>
        </w:tc>
        <w:tc>
          <w:tcPr>
            <w:tcW w:w="5798" w:type="dxa"/>
            <w:tcBorders>
              <w:top w:val="single" w:color="auto" w:sz="4" w:space="0"/>
              <w:left w:val="nil"/>
              <w:bottom w:val="single" w:color="auto" w:sz="4" w:space="0"/>
              <w:right w:val="single" w:color="auto" w:sz="4" w:space="0"/>
            </w:tcBorders>
            <w:vAlign w:val="center"/>
          </w:tcPr>
          <w:p w14:paraId="71FB35FB">
            <w:pPr>
              <w:spacing w:line="300" w:lineRule="exact"/>
              <w:rPr>
                <w:rFonts w:hint="eastAsia" w:asciiTheme="minorEastAsia" w:hAnsiTheme="minorEastAsia" w:eastAsiaTheme="minorEastAsia" w:cstheme="minorEastAsia"/>
                <w:bCs/>
                <w:color w:val="000000"/>
                <w:kern w:val="44"/>
                <w:sz w:val="22"/>
                <w:szCs w:val="22"/>
              </w:rPr>
            </w:pPr>
            <w:r>
              <w:rPr>
                <w:rFonts w:hint="eastAsia" w:asciiTheme="minorEastAsia" w:hAnsiTheme="minorEastAsia" w:eastAsiaTheme="minorEastAsia" w:cstheme="minorEastAsia"/>
                <w:bCs/>
                <w:color w:val="000000"/>
                <w:kern w:val="44"/>
                <w:sz w:val="22"/>
                <w:szCs w:val="22"/>
              </w:rPr>
              <w:t>只能有一个有效报价</w:t>
            </w:r>
          </w:p>
        </w:tc>
      </w:tr>
      <w:tr w14:paraId="1AF5EC3C">
        <w:trPr>
          <w:trHeight w:val="756" w:hRule="atLeast"/>
        </w:trPr>
        <w:tc>
          <w:tcPr>
            <w:tcW w:w="508" w:type="dxa"/>
            <w:vMerge w:val="restart"/>
            <w:tcBorders>
              <w:left w:val="single" w:color="auto" w:sz="4" w:space="0"/>
              <w:right w:val="single" w:color="auto" w:sz="4" w:space="0"/>
            </w:tcBorders>
            <w:vAlign w:val="center"/>
          </w:tcPr>
          <w:p w14:paraId="28320073">
            <w:pPr>
              <w:spacing w:line="60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2</w:t>
            </w:r>
          </w:p>
        </w:tc>
        <w:tc>
          <w:tcPr>
            <w:tcW w:w="1013" w:type="dxa"/>
            <w:vMerge w:val="restart"/>
            <w:tcBorders>
              <w:left w:val="nil"/>
              <w:right w:val="single" w:color="auto" w:sz="4" w:space="0"/>
            </w:tcBorders>
            <w:vAlign w:val="center"/>
          </w:tcPr>
          <w:p w14:paraId="20B1AB32">
            <w:pPr>
              <w:spacing w:line="6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资格性评审标准</w:t>
            </w:r>
          </w:p>
        </w:tc>
        <w:tc>
          <w:tcPr>
            <w:tcW w:w="2126" w:type="dxa"/>
            <w:tcBorders>
              <w:top w:val="single" w:color="auto" w:sz="4" w:space="0"/>
              <w:left w:val="nil"/>
              <w:right w:val="single" w:color="auto" w:sz="4" w:space="0"/>
            </w:tcBorders>
            <w:shd w:val="clear" w:color="auto" w:fill="auto"/>
            <w:vAlign w:val="center"/>
          </w:tcPr>
          <w:p w14:paraId="1A3B9402">
            <w:pPr>
              <w:spacing w:line="240" w:lineRule="atLeast"/>
              <w:jc w:val="cente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满足《中华人民共和国政府采购法》第二十二条规定</w:t>
            </w:r>
          </w:p>
        </w:tc>
        <w:tc>
          <w:tcPr>
            <w:tcW w:w="5798" w:type="dxa"/>
            <w:tcBorders>
              <w:top w:val="single" w:color="auto" w:sz="4" w:space="0"/>
              <w:left w:val="nil"/>
              <w:right w:val="single" w:color="auto" w:sz="4" w:space="0"/>
            </w:tcBorders>
            <w:shd w:val="clear" w:color="auto" w:fill="auto"/>
            <w:vAlign w:val="center"/>
          </w:tcPr>
          <w:p w14:paraId="7DCB2FF2">
            <w:pPr>
              <w:spacing w:line="240" w:lineRule="atLeast"/>
              <w:ind w:firstLine="110" w:firstLineChars="50"/>
              <w:jc w:val="left"/>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提供承诺书，格式自拟</w:t>
            </w:r>
          </w:p>
        </w:tc>
      </w:tr>
      <w:tr w14:paraId="4AE95183">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517BFBE2">
            <w:pPr>
              <w:spacing w:line="600" w:lineRule="exact"/>
              <w:rPr>
                <w:rFonts w:hint="eastAsia" w:asciiTheme="minorEastAsia" w:hAnsiTheme="minorEastAsia" w:eastAsiaTheme="minorEastAsia" w:cstheme="minorEastAsia"/>
                <w:sz w:val="22"/>
                <w:szCs w:val="22"/>
                <w:lang w:val="en-US" w:eastAsia="zh-CN"/>
              </w:rPr>
            </w:pPr>
          </w:p>
        </w:tc>
        <w:tc>
          <w:tcPr>
            <w:tcW w:w="1013" w:type="dxa"/>
            <w:vMerge w:val="continue"/>
            <w:tcBorders>
              <w:left w:val="nil"/>
              <w:right w:val="single" w:color="auto" w:sz="4" w:space="0"/>
            </w:tcBorders>
            <w:vAlign w:val="center"/>
          </w:tcPr>
          <w:p w14:paraId="53B275BE">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right w:val="single" w:color="auto" w:sz="4" w:space="0"/>
            </w:tcBorders>
            <w:shd w:val="clear" w:color="auto" w:fill="auto"/>
            <w:vAlign w:val="center"/>
          </w:tcPr>
          <w:p w14:paraId="2BBB6090">
            <w:pPr>
              <w:spacing w:line="240" w:lineRule="atLeast"/>
              <w:jc w:val="cente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sz w:val="22"/>
                <w:szCs w:val="22"/>
              </w:rPr>
              <w:t>中小企业声明函</w:t>
            </w:r>
          </w:p>
        </w:tc>
        <w:tc>
          <w:tcPr>
            <w:tcW w:w="5798" w:type="dxa"/>
            <w:tcBorders>
              <w:top w:val="single" w:color="auto" w:sz="4" w:space="0"/>
              <w:left w:val="nil"/>
              <w:right w:val="single" w:color="auto" w:sz="4" w:space="0"/>
            </w:tcBorders>
            <w:shd w:val="clear" w:color="auto" w:fill="auto"/>
            <w:vAlign w:val="center"/>
          </w:tcPr>
          <w:p w14:paraId="2131CFA6">
            <w:pPr>
              <w:spacing w:line="240" w:lineRule="atLeast"/>
              <w:jc w:val="left"/>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根据《政府采购促进中小企业发展管理办法》（财库〔2020〕46号）规定，本项目专门面向中小企业采购,同时供应商须提供《中小企业声明函》</w:t>
            </w:r>
          </w:p>
        </w:tc>
      </w:tr>
      <w:tr w14:paraId="5BB61A92">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04B5396E">
            <w:pPr>
              <w:spacing w:line="600" w:lineRule="exact"/>
              <w:rPr>
                <w:rFonts w:hint="eastAsia" w:asciiTheme="minorEastAsia" w:hAnsiTheme="minorEastAsia" w:eastAsiaTheme="minorEastAsia" w:cstheme="minorEastAsia"/>
                <w:sz w:val="22"/>
                <w:szCs w:val="22"/>
                <w:lang w:val="en-US" w:eastAsia="zh-CN"/>
              </w:rPr>
            </w:pPr>
          </w:p>
        </w:tc>
        <w:tc>
          <w:tcPr>
            <w:tcW w:w="1013" w:type="dxa"/>
            <w:vMerge w:val="continue"/>
            <w:tcBorders>
              <w:left w:val="nil"/>
              <w:right w:val="single" w:color="auto" w:sz="4" w:space="0"/>
            </w:tcBorders>
            <w:vAlign w:val="center"/>
          </w:tcPr>
          <w:p w14:paraId="09898A88">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right w:val="single" w:color="auto" w:sz="4" w:space="0"/>
            </w:tcBorders>
            <w:shd w:val="clear" w:color="auto" w:fill="auto"/>
            <w:vAlign w:val="center"/>
          </w:tcPr>
          <w:p w14:paraId="49AC7ED4">
            <w:pPr>
              <w:spacing w:line="240" w:lineRule="atLeas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营业执照</w:t>
            </w:r>
          </w:p>
        </w:tc>
        <w:tc>
          <w:tcPr>
            <w:tcW w:w="5798" w:type="dxa"/>
            <w:tcBorders>
              <w:top w:val="single" w:color="auto" w:sz="4" w:space="0"/>
              <w:left w:val="nil"/>
              <w:right w:val="single" w:color="auto" w:sz="4" w:space="0"/>
            </w:tcBorders>
            <w:shd w:val="clear" w:color="auto" w:fill="auto"/>
            <w:vAlign w:val="center"/>
          </w:tcPr>
          <w:p w14:paraId="135BEFEE">
            <w:pPr>
              <w:spacing w:line="240" w:lineRule="atLeast"/>
              <w:jc w:val="left"/>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sz w:val="22"/>
                <w:szCs w:val="22"/>
              </w:rPr>
              <w:t>供应商具有有效的营业执照</w:t>
            </w:r>
          </w:p>
        </w:tc>
      </w:tr>
      <w:tr w14:paraId="6CC9B731">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09B341B9">
            <w:pPr>
              <w:spacing w:line="600" w:lineRule="exact"/>
              <w:rPr>
                <w:rFonts w:hint="eastAsia" w:asciiTheme="minorEastAsia" w:hAnsiTheme="minorEastAsia" w:eastAsiaTheme="minorEastAsia" w:cstheme="minorEastAsia"/>
                <w:sz w:val="22"/>
                <w:szCs w:val="22"/>
                <w:lang w:val="en-US" w:eastAsia="zh-CN"/>
              </w:rPr>
            </w:pPr>
          </w:p>
        </w:tc>
        <w:tc>
          <w:tcPr>
            <w:tcW w:w="1013" w:type="dxa"/>
            <w:vMerge w:val="continue"/>
            <w:tcBorders>
              <w:left w:val="nil"/>
              <w:right w:val="single" w:color="auto" w:sz="4" w:space="0"/>
            </w:tcBorders>
            <w:vAlign w:val="center"/>
          </w:tcPr>
          <w:p w14:paraId="5618B9DC">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right w:val="single" w:color="auto" w:sz="4" w:space="0"/>
            </w:tcBorders>
            <w:shd w:val="clear" w:color="auto" w:fill="auto"/>
            <w:vAlign w:val="center"/>
          </w:tcPr>
          <w:p w14:paraId="421539FC">
            <w:pPr>
              <w:spacing w:line="240" w:lineRule="atLeas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供应商如为生产企业须同时具有食品生产许可证和食品经营许可证；如为经销商须具有食品经营许可证</w:t>
            </w:r>
          </w:p>
        </w:tc>
        <w:tc>
          <w:tcPr>
            <w:tcW w:w="5798" w:type="dxa"/>
            <w:tcBorders>
              <w:top w:val="single" w:color="auto" w:sz="4" w:space="0"/>
              <w:left w:val="nil"/>
              <w:right w:val="single" w:color="auto" w:sz="4" w:space="0"/>
            </w:tcBorders>
            <w:shd w:val="clear" w:color="auto" w:fill="auto"/>
            <w:vAlign w:val="center"/>
          </w:tcPr>
          <w:p w14:paraId="363F276A">
            <w:pPr>
              <w:spacing w:line="240" w:lineRule="atLeast"/>
              <w:jc w:val="left"/>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sz w:val="22"/>
                <w:szCs w:val="22"/>
              </w:rPr>
              <w:t>供应商如为生产企业须同时具有食品生产许可证和食品经营许可证；如为经销商须具有食品经营许可证</w:t>
            </w:r>
          </w:p>
        </w:tc>
      </w:tr>
      <w:tr w14:paraId="1FC90C8E">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5F639889">
            <w:pPr>
              <w:spacing w:line="600" w:lineRule="exact"/>
              <w:rPr>
                <w:rFonts w:hint="eastAsia" w:asciiTheme="minorEastAsia" w:hAnsiTheme="minorEastAsia" w:eastAsiaTheme="minorEastAsia" w:cstheme="minorEastAsia"/>
                <w:sz w:val="22"/>
                <w:szCs w:val="22"/>
                <w:lang w:val="en-US" w:eastAsia="zh-CN"/>
              </w:rPr>
            </w:pPr>
          </w:p>
        </w:tc>
        <w:tc>
          <w:tcPr>
            <w:tcW w:w="1013" w:type="dxa"/>
            <w:vMerge w:val="continue"/>
            <w:tcBorders>
              <w:left w:val="nil"/>
              <w:right w:val="single" w:color="auto" w:sz="4" w:space="0"/>
            </w:tcBorders>
            <w:vAlign w:val="center"/>
          </w:tcPr>
          <w:p w14:paraId="23890B2A">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right w:val="single" w:color="auto" w:sz="4" w:space="0"/>
            </w:tcBorders>
            <w:shd w:val="clear" w:color="auto" w:fill="auto"/>
            <w:vAlign w:val="center"/>
          </w:tcPr>
          <w:p w14:paraId="73ABCE07">
            <w:pPr>
              <w:spacing w:line="240" w:lineRule="atLeas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供应商应保证所提供的产品必须是安全合格产品</w:t>
            </w:r>
          </w:p>
        </w:tc>
        <w:tc>
          <w:tcPr>
            <w:tcW w:w="5798" w:type="dxa"/>
            <w:tcBorders>
              <w:top w:val="single" w:color="auto" w:sz="4" w:space="0"/>
              <w:left w:val="nil"/>
              <w:right w:val="single" w:color="auto" w:sz="4" w:space="0"/>
            </w:tcBorders>
            <w:shd w:val="clear" w:color="auto" w:fill="auto"/>
            <w:vAlign w:val="center"/>
          </w:tcPr>
          <w:p w14:paraId="2FE3CC62">
            <w:pPr>
              <w:spacing w:line="360" w:lineRule="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sz w:val="22"/>
                <w:szCs w:val="22"/>
              </w:rPr>
              <w:t xml:space="preserve">供应商应保证所提供的产品必须是安全合格产品，因产品问题而发生的食物中毒等群体事故，由供应商承担经济赔偿责任及其他法律责任（自行承诺，格式自拟）； </w:t>
            </w:r>
          </w:p>
        </w:tc>
      </w:tr>
      <w:tr w14:paraId="664917C8">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4A409B41">
            <w:pPr>
              <w:spacing w:line="600" w:lineRule="exact"/>
              <w:rPr>
                <w:rFonts w:hint="eastAsia" w:asciiTheme="minorEastAsia" w:hAnsiTheme="minorEastAsia" w:eastAsiaTheme="minorEastAsia" w:cstheme="minorEastAsia"/>
                <w:sz w:val="22"/>
                <w:szCs w:val="22"/>
                <w:lang w:val="en-US" w:eastAsia="zh-CN"/>
              </w:rPr>
            </w:pPr>
          </w:p>
        </w:tc>
        <w:tc>
          <w:tcPr>
            <w:tcW w:w="1013" w:type="dxa"/>
            <w:vMerge w:val="continue"/>
            <w:tcBorders>
              <w:left w:val="nil"/>
              <w:right w:val="single" w:color="auto" w:sz="4" w:space="0"/>
            </w:tcBorders>
            <w:vAlign w:val="center"/>
          </w:tcPr>
          <w:p w14:paraId="2C92562A">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right w:val="single" w:color="auto" w:sz="4" w:space="0"/>
            </w:tcBorders>
            <w:shd w:val="clear" w:color="auto" w:fill="auto"/>
            <w:vAlign w:val="center"/>
          </w:tcPr>
          <w:p w14:paraId="65462EE9">
            <w:pPr>
              <w:spacing w:line="240" w:lineRule="atLeas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供应商须承诺本企业无商业贿赂和不正当竞争行为</w:t>
            </w:r>
          </w:p>
        </w:tc>
        <w:tc>
          <w:tcPr>
            <w:tcW w:w="5798" w:type="dxa"/>
            <w:tcBorders>
              <w:top w:val="single" w:color="auto" w:sz="4" w:space="0"/>
              <w:left w:val="nil"/>
              <w:right w:val="single" w:color="auto" w:sz="4" w:space="0"/>
            </w:tcBorders>
            <w:shd w:val="clear" w:color="auto" w:fill="auto"/>
            <w:vAlign w:val="center"/>
          </w:tcPr>
          <w:p w14:paraId="01177B00">
            <w:pPr>
              <w:spacing w:line="240" w:lineRule="atLeast"/>
              <w:jc w:val="left"/>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供应商须承诺本企业无商业贿赂和不正当竞争行为（自行承诺，格式自拟）</w:t>
            </w:r>
          </w:p>
        </w:tc>
      </w:tr>
      <w:tr w14:paraId="75C479C8">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152AD848">
            <w:pPr>
              <w:spacing w:line="600" w:lineRule="exact"/>
              <w:rPr>
                <w:rFonts w:hint="eastAsia" w:asciiTheme="minorEastAsia" w:hAnsiTheme="minorEastAsia" w:eastAsiaTheme="minorEastAsia" w:cstheme="minorEastAsia"/>
                <w:sz w:val="22"/>
                <w:szCs w:val="22"/>
                <w:lang w:val="en-US" w:eastAsia="zh-CN"/>
              </w:rPr>
            </w:pPr>
          </w:p>
        </w:tc>
        <w:tc>
          <w:tcPr>
            <w:tcW w:w="1013" w:type="dxa"/>
            <w:vMerge w:val="continue"/>
            <w:tcBorders>
              <w:left w:val="nil"/>
              <w:right w:val="single" w:color="auto" w:sz="4" w:space="0"/>
            </w:tcBorders>
            <w:vAlign w:val="center"/>
          </w:tcPr>
          <w:p w14:paraId="47EB7F95">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right w:val="single" w:color="auto" w:sz="4" w:space="0"/>
            </w:tcBorders>
            <w:shd w:val="clear" w:color="auto" w:fill="auto"/>
            <w:vAlign w:val="center"/>
          </w:tcPr>
          <w:p w14:paraId="2F927550">
            <w:pPr>
              <w:spacing w:line="240" w:lineRule="atLeas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信用查询</w:t>
            </w:r>
          </w:p>
        </w:tc>
        <w:tc>
          <w:tcPr>
            <w:tcW w:w="5798" w:type="dxa"/>
            <w:tcBorders>
              <w:top w:val="single" w:color="auto" w:sz="4" w:space="0"/>
              <w:left w:val="nil"/>
              <w:right w:val="single" w:color="auto" w:sz="4" w:space="0"/>
            </w:tcBorders>
            <w:shd w:val="clear" w:color="auto" w:fill="auto"/>
            <w:vAlign w:val="center"/>
          </w:tcPr>
          <w:p w14:paraId="49FB5A92">
            <w:pPr>
              <w:spacing w:line="240" w:lineRule="atLeast"/>
              <w:jc w:val="left"/>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采购代理机构将在开标后通过以上网站进行查询，信用信息查询记录和证据将同采购文件等资料一同归档保存（相关网站有最新规定的，按最新规定执行）</w:t>
            </w:r>
          </w:p>
        </w:tc>
      </w:tr>
      <w:tr w14:paraId="0F18BF03">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23C9BB35">
            <w:pPr>
              <w:spacing w:line="600" w:lineRule="exact"/>
              <w:rPr>
                <w:rFonts w:hint="eastAsia" w:asciiTheme="minorEastAsia" w:hAnsiTheme="minorEastAsia" w:eastAsiaTheme="minorEastAsia" w:cstheme="minorEastAsia"/>
                <w:sz w:val="22"/>
                <w:szCs w:val="22"/>
                <w:lang w:val="en-US" w:eastAsia="zh-CN"/>
              </w:rPr>
            </w:pPr>
          </w:p>
        </w:tc>
        <w:tc>
          <w:tcPr>
            <w:tcW w:w="1013" w:type="dxa"/>
            <w:vMerge w:val="continue"/>
            <w:tcBorders>
              <w:left w:val="nil"/>
              <w:right w:val="single" w:color="auto" w:sz="4" w:space="0"/>
            </w:tcBorders>
            <w:vAlign w:val="center"/>
          </w:tcPr>
          <w:p w14:paraId="75716592">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right w:val="single" w:color="auto" w:sz="4" w:space="0"/>
            </w:tcBorders>
            <w:shd w:val="clear" w:color="auto" w:fill="auto"/>
            <w:vAlign w:val="center"/>
          </w:tcPr>
          <w:p w14:paraId="31B52D8B">
            <w:pPr>
              <w:spacing w:line="240" w:lineRule="atLeast"/>
              <w:jc w:val="cente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单位负责人为同一人或者存在直接控股、管理关系的不同供应商，不得参加同一合同项下的采购活动</w:t>
            </w:r>
          </w:p>
        </w:tc>
        <w:tc>
          <w:tcPr>
            <w:tcW w:w="5798" w:type="dxa"/>
            <w:tcBorders>
              <w:top w:val="single" w:color="auto" w:sz="4" w:space="0"/>
              <w:left w:val="nil"/>
              <w:right w:val="single" w:color="auto" w:sz="4" w:space="0"/>
            </w:tcBorders>
            <w:shd w:val="clear" w:color="auto" w:fill="auto"/>
            <w:vAlign w:val="center"/>
          </w:tcPr>
          <w:p w14:paraId="1615DB0C">
            <w:pPr>
              <w:spacing w:line="240" w:lineRule="atLeast"/>
              <w:jc w:val="left"/>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单位负责人为同一人或者存在直接控股、管理关系的不同供应商，不得参加同一合同项下的采购活动（提供供应商在“国家企业信用信息公示系统”中公示的公司信息、股东或投资人信息”）</w:t>
            </w:r>
          </w:p>
        </w:tc>
      </w:tr>
      <w:tr w14:paraId="06A70EA7">
        <w:tblPrEx>
          <w:tblCellMar>
            <w:top w:w="0" w:type="dxa"/>
            <w:left w:w="108" w:type="dxa"/>
            <w:bottom w:w="0" w:type="dxa"/>
            <w:right w:w="108" w:type="dxa"/>
          </w:tblCellMar>
        </w:tblPrEx>
        <w:trPr>
          <w:trHeight w:val="692" w:hRule="atLeast"/>
        </w:trPr>
        <w:tc>
          <w:tcPr>
            <w:tcW w:w="508" w:type="dxa"/>
            <w:vMerge w:val="continue"/>
            <w:tcBorders>
              <w:left w:val="single" w:color="auto" w:sz="4" w:space="0"/>
              <w:bottom w:val="single" w:color="auto" w:sz="4" w:space="0"/>
              <w:right w:val="single" w:color="auto" w:sz="4" w:space="0"/>
            </w:tcBorders>
            <w:vAlign w:val="center"/>
          </w:tcPr>
          <w:p w14:paraId="0D4A3690">
            <w:pPr>
              <w:spacing w:line="600" w:lineRule="exact"/>
              <w:rPr>
                <w:rFonts w:hint="eastAsia" w:asciiTheme="minorEastAsia" w:hAnsiTheme="minorEastAsia" w:eastAsiaTheme="minorEastAsia" w:cstheme="minorEastAsia"/>
                <w:sz w:val="22"/>
                <w:szCs w:val="22"/>
              </w:rPr>
            </w:pPr>
          </w:p>
        </w:tc>
        <w:tc>
          <w:tcPr>
            <w:tcW w:w="1013" w:type="dxa"/>
            <w:vMerge w:val="continue"/>
            <w:tcBorders>
              <w:left w:val="nil"/>
              <w:bottom w:val="single" w:color="auto" w:sz="4" w:space="0"/>
              <w:right w:val="single" w:color="auto" w:sz="4" w:space="0"/>
            </w:tcBorders>
            <w:vAlign w:val="center"/>
          </w:tcPr>
          <w:p w14:paraId="57794ACD">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bottom w:val="single" w:color="auto" w:sz="4" w:space="0"/>
              <w:right w:val="single" w:color="auto" w:sz="4" w:space="0"/>
            </w:tcBorders>
            <w:vAlign w:val="center"/>
          </w:tcPr>
          <w:p w14:paraId="0A00EC9E">
            <w:pPr>
              <w:adjustRightInd w:val="0"/>
              <w:snapToGrid w:val="0"/>
              <w:spacing w:line="360" w:lineRule="exact"/>
              <w:jc w:val="center"/>
              <w:outlineLvl w:val="0"/>
              <w:rPr>
                <w:rFonts w:hint="eastAsia" w:asciiTheme="minorEastAsia" w:hAnsiTheme="minorEastAsia" w:eastAsiaTheme="minorEastAsia" w:cstheme="minorEastAsia"/>
                <w:color w:val="000000"/>
                <w:kern w:val="0"/>
                <w:sz w:val="22"/>
                <w:szCs w:val="22"/>
                <w:lang w:eastAsia="zh-CN"/>
              </w:rPr>
            </w:pPr>
            <w:bookmarkStart w:id="104" w:name="_Toc173946087"/>
            <w:bookmarkEnd w:id="104"/>
            <w:bookmarkStart w:id="105" w:name="_Toc7643"/>
            <w:bookmarkEnd w:id="105"/>
            <w:bookmarkStart w:id="106" w:name="_Toc173946422"/>
            <w:bookmarkEnd w:id="106"/>
            <w:bookmarkStart w:id="107" w:name="_Toc174034455"/>
            <w:bookmarkEnd w:id="107"/>
            <w:bookmarkStart w:id="108" w:name="_Toc14580"/>
            <w:r>
              <w:rPr>
                <w:rFonts w:hint="eastAsia" w:asciiTheme="minorEastAsia" w:hAnsiTheme="minorEastAsia" w:eastAsiaTheme="minorEastAsia" w:cstheme="minorEastAsia"/>
                <w:color w:val="000000"/>
                <w:kern w:val="0"/>
                <w:sz w:val="22"/>
                <w:szCs w:val="22"/>
                <w:lang w:val="en-US" w:eastAsia="zh-CN"/>
              </w:rPr>
              <w:t>其他</w:t>
            </w:r>
            <w:bookmarkEnd w:id="108"/>
          </w:p>
        </w:tc>
        <w:tc>
          <w:tcPr>
            <w:tcW w:w="5798" w:type="dxa"/>
            <w:tcBorders>
              <w:top w:val="single" w:color="auto" w:sz="4" w:space="0"/>
              <w:left w:val="nil"/>
              <w:bottom w:val="single" w:color="auto" w:sz="4" w:space="0"/>
              <w:right w:val="single" w:color="auto" w:sz="4" w:space="0"/>
            </w:tcBorders>
          </w:tcPr>
          <w:p w14:paraId="48C5910D">
            <w:pPr>
              <w:adjustRightInd w:val="0"/>
              <w:snapToGrid w:val="0"/>
              <w:spacing w:line="360" w:lineRule="exact"/>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本项目不允许联合体磋商，实行资格后审（提供非联合体声明函）</w:t>
            </w:r>
          </w:p>
        </w:tc>
      </w:tr>
      <w:tr w14:paraId="1F5A769D">
        <w:tblPrEx>
          <w:tblCellMar>
            <w:top w:w="0" w:type="dxa"/>
            <w:left w:w="108" w:type="dxa"/>
            <w:bottom w:w="0" w:type="dxa"/>
            <w:right w:w="108" w:type="dxa"/>
          </w:tblCellMar>
        </w:tblPrEx>
        <w:trPr>
          <w:trHeight w:val="429" w:hRule="atLeast"/>
        </w:trPr>
        <w:tc>
          <w:tcPr>
            <w:tcW w:w="508" w:type="dxa"/>
            <w:vMerge w:val="restart"/>
            <w:tcBorders>
              <w:top w:val="single" w:color="auto" w:sz="4" w:space="0"/>
              <w:left w:val="single" w:color="auto" w:sz="4" w:space="0"/>
              <w:bottom w:val="single" w:color="auto" w:sz="4" w:space="0"/>
              <w:right w:val="single" w:color="auto" w:sz="4" w:space="0"/>
            </w:tcBorders>
            <w:vAlign w:val="center"/>
          </w:tcPr>
          <w:p w14:paraId="243BEC40">
            <w:pPr>
              <w:spacing w:line="600" w:lineRule="exact"/>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3</w:t>
            </w:r>
          </w:p>
        </w:tc>
        <w:tc>
          <w:tcPr>
            <w:tcW w:w="1013" w:type="dxa"/>
            <w:vMerge w:val="restart"/>
            <w:tcBorders>
              <w:top w:val="single" w:color="auto" w:sz="4" w:space="0"/>
              <w:left w:val="nil"/>
              <w:right w:val="single" w:color="auto" w:sz="4" w:space="0"/>
            </w:tcBorders>
            <w:vAlign w:val="center"/>
          </w:tcPr>
          <w:p w14:paraId="43DA6631">
            <w:pPr>
              <w:spacing w:line="6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响应性评审标准</w:t>
            </w:r>
          </w:p>
        </w:tc>
        <w:tc>
          <w:tcPr>
            <w:tcW w:w="2126" w:type="dxa"/>
            <w:tcBorders>
              <w:top w:val="single" w:color="auto" w:sz="4" w:space="0"/>
              <w:left w:val="nil"/>
              <w:bottom w:val="single" w:color="auto" w:sz="4" w:space="0"/>
              <w:right w:val="single" w:color="auto" w:sz="4" w:space="0"/>
            </w:tcBorders>
            <w:vAlign w:val="center"/>
          </w:tcPr>
          <w:p w14:paraId="1E3905D1">
            <w:pPr>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服务期限</w:t>
            </w:r>
          </w:p>
        </w:tc>
        <w:tc>
          <w:tcPr>
            <w:tcW w:w="5798" w:type="dxa"/>
            <w:tcBorders>
              <w:top w:val="single" w:color="auto" w:sz="4" w:space="0"/>
              <w:left w:val="nil"/>
              <w:bottom w:val="single" w:color="auto" w:sz="4" w:space="0"/>
              <w:right w:val="single" w:color="auto" w:sz="4" w:space="0"/>
            </w:tcBorders>
            <w:vAlign w:val="center"/>
          </w:tcPr>
          <w:p w14:paraId="288BF2A1">
            <w:pPr>
              <w:adjustRightInd w:val="0"/>
              <w:snapToGrid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一</w:t>
            </w:r>
            <w:r>
              <w:rPr>
                <w:rFonts w:hint="eastAsia" w:asciiTheme="minorEastAsia" w:hAnsiTheme="minorEastAsia" w:eastAsiaTheme="minorEastAsia" w:cstheme="minorEastAsia"/>
                <w:sz w:val="22"/>
                <w:szCs w:val="22"/>
              </w:rPr>
              <w:t>年</w:t>
            </w:r>
          </w:p>
        </w:tc>
      </w:tr>
      <w:tr w14:paraId="6DD708E1">
        <w:tblPrEx>
          <w:tblCellMar>
            <w:top w:w="0" w:type="dxa"/>
            <w:left w:w="108" w:type="dxa"/>
            <w:bottom w:w="0" w:type="dxa"/>
            <w:right w:w="108" w:type="dxa"/>
          </w:tblCellMar>
        </w:tblPrEx>
        <w:trPr>
          <w:trHeight w:val="429" w:hRule="atLeast"/>
        </w:trPr>
        <w:tc>
          <w:tcPr>
            <w:tcW w:w="508" w:type="dxa"/>
            <w:vMerge w:val="continue"/>
            <w:tcBorders>
              <w:top w:val="single" w:color="auto" w:sz="4" w:space="0"/>
              <w:left w:val="single" w:color="auto" w:sz="4" w:space="0"/>
              <w:bottom w:val="single" w:color="auto" w:sz="4" w:space="0"/>
              <w:right w:val="single" w:color="auto" w:sz="4" w:space="0"/>
            </w:tcBorders>
            <w:vAlign w:val="center"/>
          </w:tcPr>
          <w:p w14:paraId="0C72D681">
            <w:pPr>
              <w:spacing w:line="600" w:lineRule="exact"/>
              <w:jc w:val="center"/>
              <w:rPr>
                <w:rFonts w:hint="eastAsia" w:asciiTheme="minorEastAsia" w:hAnsiTheme="minorEastAsia" w:eastAsiaTheme="minorEastAsia" w:cstheme="minorEastAsia"/>
                <w:sz w:val="22"/>
                <w:szCs w:val="22"/>
              </w:rPr>
            </w:pPr>
          </w:p>
        </w:tc>
        <w:tc>
          <w:tcPr>
            <w:tcW w:w="1013" w:type="dxa"/>
            <w:vMerge w:val="continue"/>
            <w:tcBorders>
              <w:top w:val="single" w:color="auto" w:sz="4" w:space="0"/>
              <w:left w:val="nil"/>
              <w:right w:val="single" w:color="auto" w:sz="4" w:space="0"/>
            </w:tcBorders>
            <w:vAlign w:val="center"/>
          </w:tcPr>
          <w:p w14:paraId="29B64823">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bottom w:val="single" w:color="auto" w:sz="4" w:space="0"/>
              <w:right w:val="single" w:color="auto" w:sz="4" w:space="0"/>
            </w:tcBorders>
            <w:vAlign w:val="center"/>
          </w:tcPr>
          <w:p w14:paraId="46054C58">
            <w:pPr>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质量</w:t>
            </w:r>
            <w:r>
              <w:rPr>
                <w:rFonts w:hint="eastAsia" w:asciiTheme="minorEastAsia" w:hAnsiTheme="minorEastAsia" w:eastAsiaTheme="minorEastAsia" w:cstheme="minorEastAsia"/>
                <w:color w:val="000000"/>
                <w:kern w:val="0"/>
                <w:sz w:val="22"/>
                <w:szCs w:val="22"/>
              </w:rPr>
              <w:t>要求</w:t>
            </w:r>
          </w:p>
        </w:tc>
        <w:tc>
          <w:tcPr>
            <w:tcW w:w="5798" w:type="dxa"/>
            <w:tcBorders>
              <w:top w:val="single" w:color="auto" w:sz="4" w:space="0"/>
              <w:left w:val="nil"/>
              <w:bottom w:val="single" w:color="auto" w:sz="4" w:space="0"/>
              <w:right w:val="single" w:color="auto" w:sz="4" w:space="0"/>
            </w:tcBorders>
            <w:vAlign w:val="center"/>
          </w:tcPr>
          <w:p w14:paraId="7DDE1E88">
            <w:pPr>
              <w:adjustRightInd w:val="0"/>
              <w:snapToGrid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合格，满足采购人要求</w:t>
            </w:r>
          </w:p>
        </w:tc>
      </w:tr>
      <w:tr w14:paraId="5E54F9FB">
        <w:tblPrEx>
          <w:tblCellMar>
            <w:top w:w="0" w:type="dxa"/>
            <w:left w:w="108" w:type="dxa"/>
            <w:bottom w:w="0" w:type="dxa"/>
            <w:right w:w="108" w:type="dxa"/>
          </w:tblCellMar>
        </w:tblPrEx>
        <w:trPr>
          <w:trHeight w:val="500" w:hRule="atLeast"/>
        </w:trPr>
        <w:tc>
          <w:tcPr>
            <w:tcW w:w="508" w:type="dxa"/>
            <w:vMerge w:val="continue"/>
            <w:tcBorders>
              <w:top w:val="nil"/>
              <w:left w:val="single" w:color="auto" w:sz="4" w:space="0"/>
              <w:bottom w:val="single" w:color="auto" w:sz="4" w:space="0"/>
              <w:right w:val="single" w:color="auto" w:sz="4" w:space="0"/>
            </w:tcBorders>
            <w:vAlign w:val="center"/>
          </w:tcPr>
          <w:p w14:paraId="5D213904">
            <w:pPr>
              <w:spacing w:line="600" w:lineRule="exact"/>
              <w:rPr>
                <w:rFonts w:hint="eastAsia" w:asciiTheme="minorEastAsia" w:hAnsiTheme="minorEastAsia" w:eastAsiaTheme="minorEastAsia" w:cstheme="minorEastAsia"/>
                <w:sz w:val="22"/>
                <w:szCs w:val="22"/>
              </w:rPr>
            </w:pPr>
          </w:p>
        </w:tc>
        <w:tc>
          <w:tcPr>
            <w:tcW w:w="1013" w:type="dxa"/>
            <w:vMerge w:val="continue"/>
            <w:tcBorders>
              <w:left w:val="nil"/>
              <w:right w:val="single" w:color="auto" w:sz="4" w:space="0"/>
            </w:tcBorders>
            <w:vAlign w:val="center"/>
          </w:tcPr>
          <w:p w14:paraId="136AAB91">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bottom w:val="single" w:color="auto" w:sz="4" w:space="0"/>
              <w:right w:val="single" w:color="auto" w:sz="4" w:space="0"/>
            </w:tcBorders>
            <w:vAlign w:val="center"/>
          </w:tcPr>
          <w:p w14:paraId="5C947DC3">
            <w:pPr>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磋商有效期</w:t>
            </w:r>
          </w:p>
        </w:tc>
        <w:tc>
          <w:tcPr>
            <w:tcW w:w="5798" w:type="dxa"/>
            <w:tcBorders>
              <w:top w:val="single" w:color="auto" w:sz="4" w:space="0"/>
              <w:left w:val="nil"/>
              <w:bottom w:val="single" w:color="auto" w:sz="4" w:space="0"/>
              <w:right w:val="single" w:color="auto" w:sz="4" w:space="0"/>
            </w:tcBorders>
            <w:vAlign w:val="center"/>
          </w:tcPr>
          <w:p w14:paraId="32668F4E">
            <w:pPr>
              <w:adjustRightInd w:val="0"/>
              <w:snapToGrid w:val="0"/>
              <w:spacing w:line="360" w:lineRule="auto"/>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60日历天(从磋商截止之日算起)</w:t>
            </w:r>
          </w:p>
        </w:tc>
      </w:tr>
      <w:tr w14:paraId="398E7197">
        <w:tblPrEx>
          <w:tblCellMar>
            <w:top w:w="0" w:type="dxa"/>
            <w:left w:w="108" w:type="dxa"/>
            <w:bottom w:w="0" w:type="dxa"/>
            <w:right w:w="108" w:type="dxa"/>
          </w:tblCellMar>
        </w:tblPrEx>
        <w:trPr>
          <w:trHeight w:val="373" w:hRule="atLeast"/>
        </w:trPr>
        <w:tc>
          <w:tcPr>
            <w:tcW w:w="508" w:type="dxa"/>
            <w:vMerge w:val="continue"/>
            <w:tcBorders>
              <w:top w:val="nil"/>
              <w:left w:val="single" w:color="auto" w:sz="4" w:space="0"/>
              <w:bottom w:val="single" w:color="auto" w:sz="4" w:space="0"/>
              <w:right w:val="single" w:color="auto" w:sz="4" w:space="0"/>
            </w:tcBorders>
            <w:vAlign w:val="center"/>
          </w:tcPr>
          <w:p w14:paraId="20903CDD">
            <w:pPr>
              <w:spacing w:line="600" w:lineRule="exact"/>
              <w:rPr>
                <w:rFonts w:hint="eastAsia" w:asciiTheme="minorEastAsia" w:hAnsiTheme="minorEastAsia" w:eastAsiaTheme="minorEastAsia" w:cstheme="minorEastAsia"/>
                <w:sz w:val="22"/>
                <w:szCs w:val="22"/>
              </w:rPr>
            </w:pPr>
          </w:p>
        </w:tc>
        <w:tc>
          <w:tcPr>
            <w:tcW w:w="1013" w:type="dxa"/>
            <w:vMerge w:val="continue"/>
            <w:tcBorders>
              <w:left w:val="nil"/>
              <w:bottom w:val="single" w:color="auto" w:sz="4" w:space="0"/>
              <w:right w:val="single" w:color="auto" w:sz="4" w:space="0"/>
            </w:tcBorders>
            <w:vAlign w:val="center"/>
          </w:tcPr>
          <w:p w14:paraId="670F86F9">
            <w:pPr>
              <w:spacing w:line="600" w:lineRule="exact"/>
              <w:rPr>
                <w:rFonts w:hint="eastAsia" w:asciiTheme="minorEastAsia" w:hAnsiTheme="minorEastAsia" w:eastAsiaTheme="minorEastAsia" w:cstheme="minorEastAsia"/>
                <w:sz w:val="22"/>
                <w:szCs w:val="22"/>
              </w:rPr>
            </w:pPr>
          </w:p>
        </w:tc>
        <w:tc>
          <w:tcPr>
            <w:tcW w:w="2126" w:type="dxa"/>
            <w:tcBorders>
              <w:top w:val="single" w:color="auto" w:sz="4" w:space="0"/>
              <w:left w:val="nil"/>
              <w:bottom w:val="single" w:color="auto" w:sz="4" w:space="0"/>
              <w:right w:val="single" w:color="auto" w:sz="4" w:space="0"/>
            </w:tcBorders>
            <w:vAlign w:val="center"/>
          </w:tcPr>
          <w:p w14:paraId="4892BA8D">
            <w:pPr>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磋商</w:t>
            </w:r>
            <w:r>
              <w:rPr>
                <w:rFonts w:hint="eastAsia" w:asciiTheme="minorEastAsia" w:hAnsiTheme="minorEastAsia" w:eastAsiaTheme="minorEastAsia" w:cstheme="minorEastAsia"/>
                <w:sz w:val="22"/>
                <w:szCs w:val="22"/>
              </w:rPr>
              <w:t>报价</w:t>
            </w:r>
          </w:p>
        </w:tc>
        <w:tc>
          <w:tcPr>
            <w:tcW w:w="5798" w:type="dxa"/>
            <w:tcBorders>
              <w:top w:val="single" w:color="auto" w:sz="4" w:space="0"/>
              <w:left w:val="nil"/>
              <w:bottom w:val="single" w:color="auto" w:sz="4" w:space="0"/>
              <w:right w:val="single" w:color="auto" w:sz="4" w:space="0"/>
            </w:tcBorders>
            <w:vAlign w:val="center"/>
          </w:tcPr>
          <w:p w14:paraId="69275E71">
            <w:pPr>
              <w:adjustRightInd w:val="0"/>
              <w:snapToGrid w:val="0"/>
              <w:spacing w:line="360" w:lineRule="auto"/>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磋商报价不得高于采购人公布的预算价（最高限价），否则其磋商将被否决</w:t>
            </w:r>
          </w:p>
        </w:tc>
      </w:tr>
    </w:tbl>
    <w:p w14:paraId="698ED538">
      <w:pPr>
        <w:pStyle w:val="14"/>
        <w:rPr>
          <w:rFonts w:hint="default"/>
          <w:b/>
          <w:bCs/>
          <w:sz w:val="32"/>
          <w:szCs w:val="40"/>
          <w:lang w:val="en-US" w:eastAsia="zh-CN"/>
        </w:rPr>
      </w:pPr>
    </w:p>
    <w:p w14:paraId="120994FB">
      <w:pPr>
        <w:pStyle w:val="14"/>
        <w:rPr>
          <w:rFonts w:hint="default"/>
          <w:b/>
          <w:bCs/>
          <w:sz w:val="32"/>
          <w:szCs w:val="40"/>
          <w:lang w:val="en-US" w:eastAsia="zh-CN"/>
        </w:rPr>
      </w:pPr>
    </w:p>
    <w:p w14:paraId="766F0CBC">
      <w:pPr>
        <w:pStyle w:val="14"/>
        <w:rPr>
          <w:rFonts w:hint="default"/>
          <w:b/>
          <w:bCs/>
          <w:sz w:val="32"/>
          <w:szCs w:val="40"/>
          <w:lang w:val="en-US" w:eastAsia="zh-CN"/>
        </w:rPr>
      </w:pPr>
    </w:p>
    <w:p w14:paraId="20400148">
      <w:pPr>
        <w:pStyle w:val="14"/>
        <w:rPr>
          <w:rFonts w:hint="default"/>
          <w:b/>
          <w:bCs/>
          <w:sz w:val="32"/>
          <w:szCs w:val="40"/>
          <w:lang w:val="en-US" w:eastAsia="zh-CN"/>
        </w:rPr>
      </w:pPr>
    </w:p>
    <w:p w14:paraId="6A8D827D">
      <w:pPr>
        <w:pStyle w:val="14"/>
        <w:rPr>
          <w:rFonts w:hint="default"/>
          <w:b/>
          <w:bCs/>
          <w:sz w:val="32"/>
          <w:szCs w:val="40"/>
          <w:lang w:val="en-US" w:eastAsia="zh-CN"/>
        </w:rPr>
      </w:pPr>
    </w:p>
    <w:p w14:paraId="6D3EA0D0">
      <w:pPr>
        <w:pStyle w:val="14"/>
        <w:rPr>
          <w:rFonts w:hint="default"/>
          <w:b/>
          <w:bCs/>
          <w:sz w:val="32"/>
          <w:szCs w:val="40"/>
          <w:lang w:val="en-US" w:eastAsia="zh-CN"/>
        </w:rPr>
      </w:pPr>
    </w:p>
    <w:p w14:paraId="799A5C62">
      <w:pPr>
        <w:pStyle w:val="14"/>
        <w:rPr>
          <w:rFonts w:hint="default"/>
          <w:b/>
          <w:bCs/>
          <w:sz w:val="32"/>
          <w:szCs w:val="40"/>
          <w:lang w:val="en-US" w:eastAsia="zh-CN"/>
        </w:rPr>
      </w:pPr>
    </w:p>
    <w:p w14:paraId="3714C7D3">
      <w:pPr>
        <w:pStyle w:val="14"/>
        <w:rPr>
          <w:rFonts w:hint="default"/>
          <w:b/>
          <w:bCs/>
          <w:sz w:val="32"/>
          <w:szCs w:val="40"/>
          <w:lang w:val="en-US" w:eastAsia="zh-CN"/>
        </w:rPr>
      </w:pPr>
    </w:p>
    <w:p w14:paraId="353BBB39">
      <w:pPr>
        <w:pStyle w:val="14"/>
        <w:rPr>
          <w:rFonts w:hint="default"/>
          <w:b/>
          <w:bCs/>
          <w:sz w:val="32"/>
          <w:szCs w:val="40"/>
          <w:lang w:val="en-US" w:eastAsia="zh-CN"/>
        </w:rPr>
      </w:pPr>
    </w:p>
    <w:p w14:paraId="4B1E82F7">
      <w:pPr>
        <w:pStyle w:val="14"/>
        <w:rPr>
          <w:rFonts w:hint="default"/>
          <w:b/>
          <w:bCs/>
          <w:sz w:val="32"/>
          <w:szCs w:val="40"/>
          <w:lang w:val="en-US" w:eastAsia="zh-CN"/>
        </w:rPr>
      </w:pPr>
    </w:p>
    <w:p w14:paraId="79BFEC31">
      <w:pPr>
        <w:pStyle w:val="14"/>
        <w:rPr>
          <w:rFonts w:hint="default"/>
          <w:b/>
          <w:bCs/>
          <w:sz w:val="32"/>
          <w:szCs w:val="40"/>
          <w:lang w:val="en-US" w:eastAsia="zh-CN"/>
        </w:rPr>
      </w:pPr>
    </w:p>
    <w:p w14:paraId="26DE4739">
      <w:pPr>
        <w:pStyle w:val="14"/>
        <w:rPr>
          <w:rFonts w:hint="default"/>
          <w:b/>
          <w:bCs/>
          <w:sz w:val="32"/>
          <w:szCs w:val="40"/>
          <w:lang w:val="en-US" w:eastAsia="zh-CN"/>
        </w:rPr>
      </w:pPr>
      <w:bookmarkStart w:id="196" w:name="_GoBack"/>
      <w:bookmarkEnd w:id="196"/>
    </w:p>
    <w:p w14:paraId="42851307">
      <w:pPr>
        <w:pStyle w:val="14"/>
        <w:rPr>
          <w:rFonts w:hint="default"/>
          <w:b/>
          <w:bCs/>
          <w:sz w:val="32"/>
          <w:szCs w:val="40"/>
          <w:lang w:val="en-US" w:eastAsia="zh-CN"/>
        </w:rPr>
      </w:pPr>
    </w:p>
    <w:p w14:paraId="0557075C">
      <w:pPr>
        <w:pStyle w:val="14"/>
        <w:rPr>
          <w:rFonts w:hint="default"/>
          <w:b/>
          <w:bCs/>
          <w:sz w:val="32"/>
          <w:szCs w:val="40"/>
          <w:lang w:val="en-US" w:eastAsia="zh-CN"/>
        </w:rPr>
      </w:pPr>
    </w:p>
    <w:p w14:paraId="5AF53E24">
      <w:pPr>
        <w:pStyle w:val="14"/>
        <w:rPr>
          <w:rFonts w:hint="default"/>
          <w:b/>
          <w:bCs/>
          <w:sz w:val="32"/>
          <w:szCs w:val="40"/>
          <w:lang w:val="en-US" w:eastAsia="zh-CN"/>
        </w:rPr>
      </w:pPr>
    </w:p>
    <w:p w14:paraId="66F1F565">
      <w:pPr>
        <w:pStyle w:val="14"/>
        <w:rPr>
          <w:rFonts w:hint="default"/>
          <w:b/>
          <w:bCs/>
          <w:sz w:val="32"/>
          <w:szCs w:val="40"/>
          <w:lang w:val="en-US" w:eastAsia="zh-CN"/>
        </w:rPr>
      </w:pPr>
    </w:p>
    <w:p w14:paraId="7588CA86">
      <w:pPr>
        <w:pStyle w:val="14"/>
        <w:rPr>
          <w:rFonts w:hint="default"/>
          <w:b/>
          <w:bCs/>
          <w:sz w:val="32"/>
          <w:szCs w:val="40"/>
          <w:lang w:val="en-US" w:eastAsia="zh-CN"/>
        </w:rPr>
      </w:pPr>
    </w:p>
    <w:p w14:paraId="263A5098">
      <w:pPr>
        <w:pStyle w:val="14"/>
        <w:rPr>
          <w:rFonts w:hint="default"/>
          <w:b/>
          <w:bCs/>
          <w:sz w:val="32"/>
          <w:szCs w:val="40"/>
          <w:lang w:val="en-US" w:eastAsia="zh-CN"/>
        </w:rPr>
      </w:pPr>
    </w:p>
    <w:p w14:paraId="0B46A938">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磋商文件的评审、比较和否决</w:t>
      </w:r>
    </w:p>
    <w:p w14:paraId="5574916E">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29E40FA3">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13F84E71">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就响应文件中含义不明确的内容进行书面说明并提供相关材料；凡遇到响应文件中无界定或界定不清、前后不一致使磋商小组意见有分歧且又难于协商一致的问题，均由磋商小组予以表决，获半数以上同意的即为通过，未获半数同意的即为否决。</w:t>
      </w:r>
    </w:p>
    <w:p w14:paraId="50DDED57">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w:t>
      </w:r>
    </w:p>
    <w:p w14:paraId="2C54B521">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评标报告，并推荐合格的成交候选人。采购人根据磋商小组提出的书面评标报告和推荐的成交候选人按序确定成交人。</w:t>
      </w:r>
    </w:p>
    <w:p w14:paraId="6805D99B">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磋商程序</w:t>
      </w:r>
    </w:p>
    <w:p w14:paraId="7547DD67">
      <w:pPr>
        <w:spacing w:line="600" w:lineRule="exact"/>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资格审查</w:t>
      </w:r>
    </w:p>
    <w:p w14:paraId="753016F4">
      <w:pPr>
        <w:spacing w:line="600" w:lineRule="exact"/>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2A930197">
      <w:pPr>
        <w:spacing w:line="6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资格要求，对</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的响应文件进行形式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资格和响应性审查，有一项不符合的，按废标处理，符合的进入下一磋商程序。</w:t>
      </w:r>
    </w:p>
    <w:p w14:paraId="2CB202D8">
      <w:pPr>
        <w:spacing w:line="600" w:lineRule="exact"/>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3.磋商具体方法和标准</w:t>
      </w:r>
    </w:p>
    <w:p w14:paraId="59FC1766">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p w14:paraId="1F6C9DCF">
      <w:pPr>
        <w:pStyle w:val="41"/>
        <w:ind w:firstLine="281"/>
        <w:jc w:val="center"/>
        <w:rPr>
          <w:rFonts w:hint="eastAsia" w:ascii="宋体" w:hAnsi="宋体" w:eastAsia="宋体" w:cs="宋体-18030"/>
          <w:b/>
          <w:color w:val="000000"/>
          <w:sz w:val="28"/>
        </w:rPr>
      </w:pPr>
    </w:p>
    <w:p w14:paraId="4F50203D">
      <w:pPr>
        <w:pStyle w:val="41"/>
        <w:ind w:firstLine="281"/>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18030"/>
          <w:b/>
          <w:color w:val="000000"/>
          <w:sz w:val="28"/>
        </w:rPr>
        <w:t>详细评审表</w:t>
      </w:r>
    </w:p>
    <w:tbl>
      <w:tblPr>
        <w:tblStyle w:val="19"/>
        <w:tblpPr w:leftFromText="180" w:rightFromText="180" w:vertAnchor="text" w:horzAnchor="page" w:tblpX="1525" w:tblpY="474"/>
        <w:tblOverlap w:val="never"/>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40"/>
        <w:gridCol w:w="6090"/>
        <w:gridCol w:w="750"/>
      </w:tblGrid>
      <w:tr w14:paraId="6033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15" w:type="dxa"/>
            <w:noWrap w:val="0"/>
            <w:vAlign w:val="center"/>
          </w:tcPr>
          <w:p w14:paraId="6ABF9343">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评分因素</w:t>
            </w:r>
          </w:p>
        </w:tc>
        <w:tc>
          <w:tcPr>
            <w:tcW w:w="1140" w:type="dxa"/>
            <w:noWrap w:val="0"/>
            <w:vAlign w:val="center"/>
          </w:tcPr>
          <w:p w14:paraId="29F3391D">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评分内容</w:t>
            </w:r>
          </w:p>
        </w:tc>
        <w:tc>
          <w:tcPr>
            <w:tcW w:w="6090" w:type="dxa"/>
            <w:noWrap w:val="0"/>
            <w:vAlign w:val="center"/>
          </w:tcPr>
          <w:p w14:paraId="776A1D6D">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评分标准</w:t>
            </w:r>
          </w:p>
        </w:tc>
        <w:tc>
          <w:tcPr>
            <w:tcW w:w="750" w:type="dxa"/>
            <w:noWrap w:val="0"/>
            <w:vAlign w:val="center"/>
          </w:tcPr>
          <w:p w14:paraId="590809C0">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分值</w:t>
            </w:r>
          </w:p>
        </w:tc>
      </w:tr>
      <w:tr w14:paraId="59E5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1215" w:type="dxa"/>
            <w:noWrap w:val="0"/>
            <w:vAlign w:val="center"/>
          </w:tcPr>
          <w:p w14:paraId="3719D784">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b/>
                <w:bCs/>
                <w:sz w:val="22"/>
                <w:szCs w:val="22"/>
                <w:lang w:eastAsia="zh-CN"/>
              </w:rPr>
              <w:t>磋商</w:t>
            </w:r>
            <w:r>
              <w:rPr>
                <w:rFonts w:hint="eastAsia" w:ascii="宋体" w:hAnsi="宋体" w:cs="宋体"/>
                <w:b/>
                <w:bCs/>
                <w:sz w:val="22"/>
                <w:szCs w:val="22"/>
              </w:rPr>
              <w:t>报价（</w:t>
            </w:r>
            <w:r>
              <w:rPr>
                <w:rFonts w:hint="eastAsia" w:ascii="宋体" w:hAnsi="宋体" w:cs="宋体"/>
                <w:b/>
                <w:bCs/>
                <w:sz w:val="22"/>
                <w:szCs w:val="22"/>
                <w:lang w:val="en-US" w:eastAsia="zh-CN"/>
              </w:rPr>
              <w:t>30</w:t>
            </w:r>
            <w:r>
              <w:rPr>
                <w:rFonts w:hint="eastAsia" w:ascii="宋体" w:hAnsi="宋体" w:cs="宋体"/>
                <w:b/>
                <w:bCs/>
                <w:sz w:val="22"/>
                <w:szCs w:val="22"/>
              </w:rPr>
              <w:t>分）</w:t>
            </w:r>
          </w:p>
        </w:tc>
        <w:tc>
          <w:tcPr>
            <w:tcW w:w="1140" w:type="dxa"/>
            <w:noWrap w:val="0"/>
            <w:vAlign w:val="center"/>
          </w:tcPr>
          <w:p w14:paraId="5BCAF5CB">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sz w:val="22"/>
                <w:szCs w:val="22"/>
                <w:lang w:eastAsia="zh-CN"/>
              </w:rPr>
              <w:t>磋商</w:t>
            </w:r>
            <w:r>
              <w:rPr>
                <w:rFonts w:hint="eastAsia" w:ascii="宋体" w:hAnsi="宋体" w:cs="宋体"/>
                <w:sz w:val="22"/>
                <w:szCs w:val="22"/>
              </w:rPr>
              <w:t>报价</w:t>
            </w:r>
          </w:p>
        </w:tc>
        <w:tc>
          <w:tcPr>
            <w:tcW w:w="6090" w:type="dxa"/>
            <w:noWrap w:val="0"/>
            <w:vAlign w:val="center"/>
          </w:tcPr>
          <w:p w14:paraId="6154F36C">
            <w:pPr>
              <w:spacing w:line="360" w:lineRule="auto"/>
              <w:rPr>
                <w:rFonts w:ascii="宋体" w:hAnsi="宋体" w:cs="宋体"/>
                <w:sz w:val="22"/>
                <w:szCs w:val="22"/>
              </w:rPr>
            </w:pPr>
            <w:r>
              <w:rPr>
                <w:rFonts w:hint="eastAsia" w:ascii="宋体" w:hAnsi="宋体" w:cs="宋体"/>
                <w:sz w:val="22"/>
                <w:szCs w:val="22"/>
              </w:rPr>
              <w:t>1、本次竞争性磋商分为两轮报价，响应文件中的报价作为第一次报价，不得高于</w:t>
            </w:r>
            <w:r>
              <w:rPr>
                <w:rFonts w:hint="eastAsia" w:ascii="宋体" w:hAnsi="宋体" w:cs="宋体"/>
                <w:sz w:val="22"/>
                <w:szCs w:val="22"/>
                <w:highlight w:val="none"/>
              </w:rPr>
              <w:t>磋商控制价</w:t>
            </w:r>
            <w:r>
              <w:rPr>
                <w:rFonts w:hint="eastAsia" w:ascii="宋体" w:hAnsi="宋体" w:cs="宋体"/>
                <w:sz w:val="22"/>
                <w:szCs w:val="22"/>
              </w:rPr>
              <w:t>。所有未进入详细评审的磋商为无效磋商，其报价不作为评分依据。</w:t>
            </w:r>
          </w:p>
          <w:p w14:paraId="4338B770">
            <w:pPr>
              <w:spacing w:line="360" w:lineRule="auto"/>
              <w:rPr>
                <w:rFonts w:ascii="宋体" w:hAnsi="宋体" w:cs="宋体"/>
                <w:sz w:val="22"/>
                <w:szCs w:val="22"/>
                <w:highlight w:val="none"/>
              </w:rPr>
            </w:pPr>
            <w:r>
              <w:rPr>
                <w:rFonts w:hint="eastAsia" w:ascii="宋体" w:hAnsi="宋体" w:cs="宋体"/>
                <w:sz w:val="22"/>
                <w:szCs w:val="22"/>
              </w:rPr>
              <w:t>2、</w:t>
            </w:r>
            <w:r>
              <w:rPr>
                <w:rFonts w:hint="eastAsia" w:ascii="宋体" w:hAnsi="宋体" w:cs="宋体"/>
                <w:sz w:val="22"/>
                <w:szCs w:val="22"/>
                <w:highlight w:val="none"/>
              </w:rPr>
              <w:t>价格分采用低价优先法计算，即满足竞争性磋商文件要求且最后报价最低的供应商的价格为磋商基准价，其价格分为满分，其他供应商的价格分统一按照下列公式计算：</w:t>
            </w:r>
          </w:p>
          <w:p w14:paraId="13FABA69">
            <w:pPr>
              <w:spacing w:line="360" w:lineRule="auto"/>
              <w:rPr>
                <w:rFonts w:ascii="宋体" w:hAnsi="宋体" w:cs="宋体"/>
                <w:bCs/>
                <w:kern w:val="0"/>
                <w:sz w:val="22"/>
                <w:szCs w:val="22"/>
                <w:highlight w:val="none"/>
              </w:rPr>
            </w:pPr>
            <w:r>
              <w:rPr>
                <w:rFonts w:hint="eastAsia" w:ascii="宋体" w:hAnsi="宋体" w:cs="宋体"/>
                <w:bCs/>
                <w:kern w:val="0"/>
                <w:sz w:val="22"/>
                <w:szCs w:val="22"/>
                <w:highlight w:val="none"/>
              </w:rPr>
              <w:t>其他供应商磋商报价得分=</w:t>
            </w:r>
            <w:r>
              <w:rPr>
                <w:rFonts w:hint="eastAsia" w:ascii="宋体" w:hAnsi="宋体" w:eastAsia="宋体" w:cs="仿宋_GB2312"/>
                <w:color w:val="000000"/>
                <w:sz w:val="22"/>
                <w:szCs w:val="22"/>
                <w:highlight w:val="none"/>
                <w:lang w:val="zh-CN"/>
              </w:rPr>
              <w:t>（</w:t>
            </w:r>
            <w:r>
              <w:rPr>
                <w:rFonts w:hint="eastAsia" w:ascii="宋体" w:hAnsi="宋体" w:cs="宋体"/>
                <w:bCs/>
                <w:kern w:val="0"/>
                <w:sz w:val="22"/>
                <w:szCs w:val="22"/>
                <w:highlight w:val="none"/>
              </w:rPr>
              <w:t>磋商基准价/磋商报价</w:t>
            </w:r>
            <w:r>
              <w:rPr>
                <w:rFonts w:hint="eastAsia" w:ascii="宋体" w:hAnsi="宋体" w:eastAsia="宋体" w:cs="仿宋_GB2312"/>
                <w:color w:val="000000"/>
                <w:sz w:val="22"/>
                <w:szCs w:val="22"/>
                <w:highlight w:val="none"/>
                <w:lang w:val="zh-CN"/>
              </w:rPr>
              <w:t>）</w:t>
            </w:r>
            <w:r>
              <w:rPr>
                <w:rFonts w:hint="eastAsia" w:ascii="宋体" w:hAnsi="宋体" w:cs="宋体"/>
                <w:bCs/>
                <w:kern w:val="0"/>
                <w:sz w:val="22"/>
                <w:szCs w:val="22"/>
                <w:highlight w:val="none"/>
              </w:rPr>
              <w:t>×30%×100</w:t>
            </w:r>
          </w:p>
          <w:p w14:paraId="7ED670E7">
            <w:pPr>
              <w:spacing w:line="360" w:lineRule="auto"/>
              <w:ind w:firstLine="442" w:firstLineChars="200"/>
              <w:rPr>
                <w:rFonts w:hint="default" w:ascii="宋体" w:hAnsi="宋体" w:cs="宋体"/>
                <w:b/>
                <w:bCs/>
                <w:sz w:val="22"/>
                <w:szCs w:val="22"/>
                <w:lang w:val="en-US" w:eastAsia="zh-CN"/>
              </w:rPr>
            </w:pPr>
            <w:r>
              <w:rPr>
                <w:rFonts w:hint="eastAsia" w:ascii="宋体" w:hAnsi="宋体" w:cs="宋体"/>
                <w:b/>
                <w:bCs/>
                <w:sz w:val="22"/>
                <w:szCs w:val="22"/>
                <w:lang w:val="en-US" w:eastAsia="zh-CN"/>
              </w:rPr>
              <w:t>注：1.得分四舍五入后保留两位小数。</w:t>
            </w:r>
          </w:p>
          <w:p w14:paraId="1E56AE92">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lang w:val="en-US" w:eastAsia="zh-CN"/>
              </w:rPr>
              <w:t>2.</w:t>
            </w:r>
            <w:r>
              <w:rPr>
                <w:rFonts w:hint="eastAsia" w:ascii="宋体" w:hAnsi="宋体" w:cs="宋体"/>
                <w:b/>
                <w:bCs/>
                <w:sz w:val="22"/>
                <w:szCs w:val="22"/>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370ECA93">
            <w:pPr>
              <w:numPr>
                <w:ilvl w:val="0"/>
                <w:numId w:val="0"/>
              </w:numPr>
              <w:spacing w:line="360" w:lineRule="auto"/>
              <w:ind w:firstLine="442" w:firstLineChars="200"/>
              <w:rPr>
                <w:rFonts w:hint="eastAsia" w:ascii="宋体" w:hAnsi="宋体" w:cs="宋体"/>
                <w:sz w:val="22"/>
                <w:szCs w:val="22"/>
                <w:highlight w:val="none"/>
                <w:lang w:val="en-US" w:eastAsia="zh-CN"/>
              </w:rPr>
            </w:pPr>
            <w:r>
              <w:rPr>
                <w:rFonts w:hint="eastAsia" w:ascii="宋体" w:hAnsi="宋体" w:cs="宋体"/>
                <w:b/>
                <w:bCs/>
                <w:sz w:val="22"/>
                <w:szCs w:val="22"/>
                <w:lang w:val="en-US" w:eastAsia="zh-CN"/>
              </w:rPr>
              <w:t>3.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tc>
        <w:tc>
          <w:tcPr>
            <w:tcW w:w="750" w:type="dxa"/>
            <w:noWrap w:val="0"/>
            <w:vAlign w:val="center"/>
          </w:tcPr>
          <w:p w14:paraId="6765029E">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color w:val="auto"/>
                <w:kern w:val="0"/>
                <w:sz w:val="22"/>
                <w:szCs w:val="22"/>
                <w:u w:val="none"/>
                <w:lang w:val="en-US" w:eastAsia="zh-CN" w:bidi="ar-SA"/>
              </w:rPr>
              <w:t>30</w:t>
            </w:r>
            <w:r>
              <w:rPr>
                <w:rFonts w:hint="eastAsia" w:ascii="宋体" w:hAnsi="宋体" w:eastAsia="宋体" w:cs="宋体"/>
                <w:color w:val="auto"/>
                <w:kern w:val="0"/>
                <w:sz w:val="22"/>
                <w:szCs w:val="22"/>
                <w:u w:val="none"/>
                <w:lang w:bidi="ar-SA"/>
              </w:rPr>
              <w:t>分</w:t>
            </w:r>
          </w:p>
        </w:tc>
      </w:tr>
      <w:tr w14:paraId="0324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5" w:type="dxa"/>
            <w:vMerge w:val="restart"/>
            <w:noWrap w:val="0"/>
            <w:vAlign w:val="center"/>
          </w:tcPr>
          <w:p w14:paraId="05062DD0">
            <w:pPr>
              <w:spacing w:line="360" w:lineRule="auto"/>
              <w:jc w:val="both"/>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技术部分(</w:t>
            </w:r>
            <w:r>
              <w:rPr>
                <w:rFonts w:hint="eastAsia" w:ascii="宋体" w:hAnsi="宋体" w:eastAsia="宋体" w:cs="宋体"/>
                <w:b/>
                <w:bCs/>
                <w:color w:val="auto"/>
                <w:sz w:val="22"/>
                <w:szCs w:val="22"/>
                <w:u w:val="none"/>
                <w:lang w:val="en-US" w:eastAsia="zh-CN" w:bidi="ar-SA"/>
              </w:rPr>
              <w:t>45</w:t>
            </w:r>
            <w:r>
              <w:rPr>
                <w:rFonts w:hint="eastAsia" w:ascii="宋体" w:hAnsi="宋体" w:eastAsia="宋体" w:cs="宋体"/>
                <w:b/>
                <w:bCs/>
                <w:color w:val="auto"/>
                <w:sz w:val="22"/>
                <w:szCs w:val="22"/>
                <w:u w:val="none"/>
                <w:lang w:bidi="ar-SA"/>
              </w:rPr>
              <w:t>分)</w:t>
            </w:r>
          </w:p>
        </w:tc>
        <w:tc>
          <w:tcPr>
            <w:tcW w:w="1140" w:type="dxa"/>
            <w:shd w:val="clear" w:color="auto" w:fill="auto"/>
            <w:noWrap w:val="0"/>
            <w:vAlign w:val="center"/>
          </w:tcPr>
          <w:p w14:paraId="671F97AA">
            <w:pPr>
              <w:pStyle w:val="34"/>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总体服务方案</w:t>
            </w:r>
          </w:p>
        </w:tc>
        <w:tc>
          <w:tcPr>
            <w:tcW w:w="6090" w:type="dxa"/>
            <w:shd w:val="clear" w:color="auto" w:fill="auto"/>
            <w:noWrap w:val="0"/>
            <w:vAlign w:val="top"/>
          </w:tcPr>
          <w:p w14:paraId="1960D6F2">
            <w:pPr>
              <w:spacing w:line="360" w:lineRule="auto"/>
              <w:rPr>
                <w:rFonts w:hint="eastAsia"/>
                <w:spacing w:val="5"/>
                <w:sz w:val="22"/>
                <w:szCs w:val="22"/>
                <w:highlight w:val="none"/>
                <w:lang w:val="en-US" w:eastAsia="zh-CN"/>
              </w:rPr>
            </w:pPr>
            <w:r>
              <w:rPr>
                <w:rFonts w:hint="eastAsia"/>
                <w:spacing w:val="5"/>
                <w:sz w:val="22"/>
                <w:szCs w:val="22"/>
                <w:highlight w:val="none"/>
                <w:lang w:val="en-US" w:eastAsia="en-US"/>
              </w:rPr>
              <w:t>配送保障方案完整、合理，配送的及时性、安全性、车辆及所需设施设备，按要求出入库</w:t>
            </w:r>
            <w:r>
              <w:rPr>
                <w:rFonts w:hint="eastAsia"/>
                <w:spacing w:val="5"/>
                <w:sz w:val="22"/>
                <w:szCs w:val="22"/>
                <w:highlight w:val="none"/>
                <w:lang w:val="en-US" w:eastAsia="zh-CN"/>
              </w:rPr>
              <w:t>；</w:t>
            </w:r>
            <w:r>
              <w:rPr>
                <w:rFonts w:hint="eastAsia"/>
                <w:spacing w:val="5"/>
                <w:sz w:val="22"/>
                <w:szCs w:val="22"/>
                <w:highlight w:val="none"/>
                <w:lang w:val="en-US" w:eastAsia="en-US"/>
              </w:rPr>
              <w:t>台帐健全、人员安排合理、职责明确、流程合理规范</w:t>
            </w:r>
            <w:r>
              <w:rPr>
                <w:rFonts w:hint="eastAsia"/>
                <w:spacing w:val="5"/>
                <w:sz w:val="22"/>
                <w:szCs w:val="22"/>
                <w:highlight w:val="none"/>
                <w:lang w:val="en-US" w:eastAsia="zh-CN"/>
              </w:rPr>
              <w:t>；</w:t>
            </w:r>
          </w:p>
          <w:p w14:paraId="2326F862">
            <w:pPr>
              <w:spacing w:line="360" w:lineRule="auto"/>
              <w:rPr>
                <w:rFonts w:hint="eastAsia" w:eastAsiaTheme="minorEastAsia"/>
                <w:spacing w:val="5"/>
                <w:sz w:val="22"/>
                <w:szCs w:val="22"/>
                <w:highlight w:val="none"/>
                <w:lang w:val="en-US" w:eastAsia="zh-CN"/>
              </w:rPr>
            </w:pPr>
            <w:r>
              <w:rPr>
                <w:rFonts w:hint="eastAsia"/>
                <w:spacing w:val="5"/>
                <w:sz w:val="22"/>
                <w:szCs w:val="22"/>
                <w:highlight w:val="none"/>
                <w:lang w:val="en-US" w:eastAsia="en-US"/>
              </w:rPr>
              <w:t>明确食材运输有专车、严禁一车多用或与非食材混运，运输中使用的容器、工具专用，有专人负责运输工具的清洗、消毒等卫生工作</w:t>
            </w:r>
            <w:r>
              <w:rPr>
                <w:rFonts w:hint="eastAsia"/>
                <w:spacing w:val="5"/>
                <w:sz w:val="22"/>
                <w:szCs w:val="22"/>
                <w:highlight w:val="none"/>
                <w:lang w:val="en-US" w:eastAsia="zh-CN"/>
              </w:rPr>
              <w:t>；</w:t>
            </w:r>
          </w:p>
          <w:p w14:paraId="35714434">
            <w:pPr>
              <w:numPr>
                <w:ilvl w:val="0"/>
                <w:numId w:val="3"/>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w:t>
            </w:r>
            <w:r>
              <w:rPr>
                <w:rFonts w:hint="eastAsia" w:ascii="宋体" w:hAnsi="宋体" w:eastAsia="宋体" w:cs="宋体"/>
                <w:kern w:val="2"/>
                <w:sz w:val="22"/>
                <w:szCs w:val="22"/>
                <w:lang w:val="en-US" w:eastAsia="zh-CN" w:bidi="ar-SA"/>
              </w:rPr>
              <w:t>全面深刻</w:t>
            </w:r>
            <w:r>
              <w:rPr>
                <w:rFonts w:hint="eastAsia" w:ascii="宋体" w:hAnsi="宋体" w:eastAsia="宋体" w:cs="宋体"/>
                <w:kern w:val="2"/>
                <w:sz w:val="22"/>
                <w:szCs w:val="22"/>
                <w:lang w:val="en-US" w:eastAsia="en-US" w:bidi="ar-SA"/>
              </w:rPr>
              <w:t>，表述全面，总体服务方案</w:t>
            </w:r>
            <w:r>
              <w:rPr>
                <w:rFonts w:hint="eastAsia" w:ascii="宋体" w:hAnsi="宋体" w:eastAsia="宋体" w:cs="宋体"/>
                <w:kern w:val="2"/>
                <w:sz w:val="22"/>
                <w:szCs w:val="22"/>
                <w:lang w:val="en-US" w:eastAsia="zh-CN" w:bidi="ar-SA"/>
              </w:rPr>
              <w:t>优于</w:t>
            </w:r>
            <w:r>
              <w:rPr>
                <w:rFonts w:hint="eastAsia" w:ascii="宋体" w:hAnsi="宋体" w:eastAsia="宋体" w:cs="宋体"/>
                <w:kern w:val="2"/>
                <w:sz w:val="22"/>
                <w:szCs w:val="22"/>
                <w:lang w:val="en-US" w:eastAsia="en-US" w:bidi="ar-SA"/>
              </w:rPr>
              <w:t>采购文件要求的得</w:t>
            </w:r>
            <w:r>
              <w:rPr>
                <w:rFonts w:hint="eastAsia" w:ascii="宋体" w:hAnsi="宋体" w:eastAsia="宋体" w:cs="宋体"/>
                <w:kern w:val="2"/>
                <w:sz w:val="22"/>
                <w:szCs w:val="22"/>
                <w:lang w:val="en-US" w:eastAsia="zh-CN" w:bidi="ar-SA"/>
              </w:rPr>
              <w:t>10</w:t>
            </w:r>
            <w:r>
              <w:rPr>
                <w:rFonts w:hint="eastAsia" w:ascii="宋体" w:hAnsi="宋体" w:eastAsia="宋体" w:cs="宋体"/>
                <w:kern w:val="2"/>
                <w:sz w:val="22"/>
                <w:szCs w:val="22"/>
                <w:lang w:val="en-US" w:eastAsia="en-US" w:bidi="ar-SA"/>
              </w:rPr>
              <w:t>分；</w:t>
            </w:r>
          </w:p>
          <w:p w14:paraId="198727A1">
            <w:pPr>
              <w:numPr>
                <w:ilvl w:val="0"/>
                <w:numId w:val="3"/>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w:t>
            </w:r>
            <w:r>
              <w:rPr>
                <w:rFonts w:hint="eastAsia" w:ascii="宋体" w:hAnsi="宋体" w:eastAsia="宋体" w:cs="宋体"/>
                <w:kern w:val="2"/>
                <w:sz w:val="22"/>
                <w:szCs w:val="22"/>
                <w:lang w:val="en-US" w:eastAsia="zh-CN" w:bidi="ar-SA"/>
              </w:rPr>
              <w:t>较全面深刻</w:t>
            </w:r>
            <w:r>
              <w:rPr>
                <w:rFonts w:hint="eastAsia" w:ascii="宋体" w:hAnsi="宋体" w:eastAsia="宋体" w:cs="宋体"/>
                <w:kern w:val="2"/>
                <w:sz w:val="22"/>
                <w:szCs w:val="22"/>
                <w:lang w:val="en-US" w:eastAsia="en-US" w:bidi="ar-SA"/>
              </w:rPr>
              <w:t>，表述</w:t>
            </w:r>
            <w:r>
              <w:rPr>
                <w:rFonts w:hint="eastAsia" w:ascii="宋体" w:hAnsi="宋体" w:eastAsia="宋体" w:cs="宋体"/>
                <w:kern w:val="2"/>
                <w:sz w:val="22"/>
                <w:szCs w:val="22"/>
                <w:lang w:val="en-US" w:eastAsia="zh-CN" w:bidi="ar-SA"/>
              </w:rPr>
              <w:t>较</w:t>
            </w:r>
            <w:r>
              <w:rPr>
                <w:rFonts w:hint="eastAsia" w:ascii="宋体" w:hAnsi="宋体" w:eastAsia="宋体" w:cs="宋体"/>
                <w:kern w:val="2"/>
                <w:sz w:val="22"/>
                <w:szCs w:val="22"/>
                <w:lang w:val="en-US" w:eastAsia="en-US" w:bidi="ar-SA"/>
              </w:rPr>
              <w:t>全面，总体服务方案</w:t>
            </w:r>
            <w:r>
              <w:rPr>
                <w:rFonts w:hint="eastAsia" w:ascii="宋体" w:hAnsi="宋体" w:eastAsia="宋体" w:cs="宋体"/>
                <w:kern w:val="2"/>
                <w:sz w:val="22"/>
                <w:szCs w:val="22"/>
                <w:lang w:val="en-US" w:eastAsia="zh-CN" w:bidi="ar-SA"/>
              </w:rPr>
              <w:t>满足</w:t>
            </w:r>
            <w:r>
              <w:rPr>
                <w:rFonts w:hint="eastAsia" w:ascii="宋体" w:hAnsi="宋体" w:eastAsia="宋体" w:cs="宋体"/>
                <w:kern w:val="2"/>
                <w:sz w:val="22"/>
                <w:szCs w:val="22"/>
                <w:lang w:val="en-US" w:eastAsia="en-US" w:bidi="ar-SA"/>
              </w:rPr>
              <w:t>采购文件要求的得</w:t>
            </w:r>
            <w:r>
              <w:rPr>
                <w:rFonts w:hint="eastAsia" w:ascii="宋体" w:hAnsi="宋体" w:eastAsia="宋体" w:cs="宋体"/>
                <w:kern w:val="2"/>
                <w:sz w:val="22"/>
                <w:szCs w:val="22"/>
                <w:lang w:val="en-US" w:eastAsia="zh-CN" w:bidi="ar-SA"/>
              </w:rPr>
              <w:t>6</w:t>
            </w:r>
            <w:r>
              <w:rPr>
                <w:rFonts w:hint="eastAsia" w:ascii="宋体" w:hAnsi="宋体" w:eastAsia="宋体" w:cs="宋体"/>
                <w:kern w:val="2"/>
                <w:sz w:val="22"/>
                <w:szCs w:val="22"/>
                <w:lang w:val="en-US" w:eastAsia="en-US" w:bidi="ar-SA"/>
              </w:rPr>
              <w:t>分</w:t>
            </w:r>
          </w:p>
          <w:p w14:paraId="35340E82">
            <w:pPr>
              <w:numPr>
                <w:ilvl w:val="0"/>
                <w:numId w:val="3"/>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对项目总体认识不全面，简单考虑了针对本项目所采取的措施；对项目实施过程中重点、难点认识不全面的得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5E07DEF3">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4.缺项或不提供的得0分</w:t>
            </w:r>
          </w:p>
        </w:tc>
        <w:tc>
          <w:tcPr>
            <w:tcW w:w="750" w:type="dxa"/>
            <w:noWrap w:val="0"/>
            <w:vAlign w:val="center"/>
          </w:tcPr>
          <w:p w14:paraId="36EED68C">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10</w:t>
            </w:r>
            <w:r>
              <w:rPr>
                <w:rFonts w:hint="eastAsia" w:ascii="宋体" w:hAnsi="宋体" w:eastAsia="宋体" w:cs="宋体"/>
                <w:color w:val="auto"/>
                <w:sz w:val="22"/>
                <w:szCs w:val="22"/>
                <w:u w:val="none"/>
                <w:lang w:bidi="ar-SA"/>
              </w:rPr>
              <w:t>分</w:t>
            </w:r>
          </w:p>
        </w:tc>
      </w:tr>
      <w:tr w14:paraId="3AD0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215" w:type="dxa"/>
            <w:vMerge w:val="continue"/>
            <w:noWrap w:val="0"/>
            <w:vAlign w:val="center"/>
          </w:tcPr>
          <w:p w14:paraId="655EB399">
            <w:pPr>
              <w:rPr>
                <w:rFonts w:hint="eastAsia" w:ascii="宋体" w:hAnsi="宋体" w:eastAsia="宋体" w:cs="宋体"/>
                <w:color w:val="auto"/>
                <w:sz w:val="22"/>
                <w:szCs w:val="22"/>
                <w:u w:val="none"/>
              </w:rPr>
            </w:pPr>
          </w:p>
        </w:tc>
        <w:tc>
          <w:tcPr>
            <w:tcW w:w="1140" w:type="dxa"/>
            <w:shd w:val="clear" w:color="auto" w:fill="auto"/>
            <w:noWrap w:val="0"/>
            <w:vAlign w:val="center"/>
          </w:tcPr>
          <w:p w14:paraId="3B2C6FBA">
            <w:pPr>
              <w:pStyle w:val="34"/>
              <w:spacing w:before="91" w:line="333" w:lineRule="auto"/>
              <w:ind w:right="107" w:rightChars="0"/>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原材料管理方案</w:t>
            </w:r>
          </w:p>
        </w:tc>
        <w:tc>
          <w:tcPr>
            <w:tcW w:w="6090" w:type="dxa"/>
            <w:shd w:val="clear" w:color="auto" w:fill="auto"/>
            <w:noWrap w:val="0"/>
            <w:vAlign w:val="top"/>
          </w:tcPr>
          <w:p w14:paraId="7D6FDAF9">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根据供应商对食品原材料的采购、检测检验、储存管理、来源可追溯等方面建立切实可行的管理制度和工作流程，保证采购使用的原材料符合国家食品卫生标准的管理措施进行打分</w:t>
            </w:r>
            <w:r>
              <w:rPr>
                <w:rFonts w:hint="eastAsia" w:ascii="宋体" w:hAnsi="宋体" w:eastAsia="宋体" w:cs="宋体"/>
                <w:kern w:val="2"/>
                <w:sz w:val="22"/>
                <w:szCs w:val="22"/>
                <w:lang w:val="en-US" w:eastAsia="zh-CN" w:bidi="ar-SA"/>
              </w:rPr>
              <w:t>。</w:t>
            </w:r>
          </w:p>
          <w:p w14:paraId="6F9B7E24">
            <w:pPr>
              <w:numPr>
                <w:ilvl w:val="0"/>
                <w:numId w:val="4"/>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供应商原材料管理措施合理全面，内容具体详细，优于采购文件要求的得</w:t>
            </w:r>
            <w:r>
              <w:rPr>
                <w:rFonts w:hint="eastAsia" w:ascii="宋体" w:hAnsi="宋体" w:eastAsia="宋体" w:cs="宋体"/>
                <w:kern w:val="2"/>
                <w:sz w:val="22"/>
                <w:szCs w:val="22"/>
                <w:lang w:val="en-US" w:eastAsia="zh-CN" w:bidi="ar-SA"/>
              </w:rPr>
              <w:t>8</w:t>
            </w:r>
            <w:r>
              <w:rPr>
                <w:rFonts w:hint="eastAsia" w:ascii="宋体" w:hAnsi="宋体" w:eastAsia="宋体" w:cs="宋体"/>
                <w:kern w:val="2"/>
                <w:sz w:val="22"/>
                <w:szCs w:val="22"/>
                <w:lang w:val="en-US" w:eastAsia="en-US" w:bidi="ar-SA"/>
              </w:rPr>
              <w:t>分；</w:t>
            </w:r>
          </w:p>
          <w:p w14:paraId="215F3AA8">
            <w:pPr>
              <w:numPr>
                <w:ilvl w:val="0"/>
                <w:numId w:val="4"/>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供应商原材料管理措施合理可行，满足采购文件要求的得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2E2753F2">
            <w:pPr>
              <w:numPr>
                <w:ilvl w:val="0"/>
                <w:numId w:val="4"/>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供应商原材料管理措施内容有瑕疵的得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r>
              <w:rPr>
                <w:rFonts w:hint="eastAsia" w:ascii="宋体" w:hAnsi="宋体" w:eastAsia="宋体" w:cs="宋体"/>
                <w:kern w:val="2"/>
                <w:sz w:val="22"/>
                <w:szCs w:val="22"/>
                <w:lang w:val="en-US" w:eastAsia="zh-CN" w:bidi="ar-SA"/>
              </w:rPr>
              <w:t>；</w:t>
            </w:r>
          </w:p>
          <w:p w14:paraId="556B9A3F">
            <w:pPr>
              <w:numPr>
                <w:ilvl w:val="0"/>
                <w:numId w:val="0"/>
              </w:numPr>
              <w:spacing w:line="360" w:lineRule="auto"/>
              <w:ind w:lef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4.缺项或不提供的得0分。</w:t>
            </w:r>
          </w:p>
        </w:tc>
        <w:tc>
          <w:tcPr>
            <w:tcW w:w="750" w:type="dxa"/>
            <w:noWrap w:val="0"/>
            <w:vAlign w:val="center"/>
          </w:tcPr>
          <w:p w14:paraId="7FEA26C0">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8</w:t>
            </w:r>
            <w:r>
              <w:rPr>
                <w:rFonts w:hint="eastAsia" w:ascii="宋体" w:hAnsi="宋体" w:eastAsia="宋体" w:cs="宋体"/>
                <w:color w:val="auto"/>
                <w:sz w:val="22"/>
                <w:szCs w:val="22"/>
                <w:u w:val="none"/>
                <w:lang w:bidi="ar-SA"/>
              </w:rPr>
              <w:t>分</w:t>
            </w:r>
          </w:p>
        </w:tc>
      </w:tr>
      <w:tr w14:paraId="4C69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15" w:type="dxa"/>
            <w:vMerge w:val="continue"/>
            <w:noWrap w:val="0"/>
            <w:vAlign w:val="center"/>
          </w:tcPr>
          <w:p w14:paraId="28965135">
            <w:pPr>
              <w:rPr>
                <w:rFonts w:hint="eastAsia" w:ascii="宋体" w:hAnsi="宋体" w:eastAsia="宋体" w:cs="宋体"/>
                <w:color w:val="auto"/>
                <w:sz w:val="22"/>
                <w:szCs w:val="22"/>
                <w:u w:val="none"/>
              </w:rPr>
            </w:pPr>
          </w:p>
        </w:tc>
        <w:tc>
          <w:tcPr>
            <w:tcW w:w="1140" w:type="dxa"/>
            <w:shd w:val="clear" w:color="auto" w:fill="auto"/>
            <w:noWrap w:val="0"/>
            <w:vAlign w:val="center"/>
          </w:tcPr>
          <w:p w14:paraId="65A7DF85">
            <w:pPr>
              <w:pStyle w:val="34"/>
              <w:spacing w:before="91" w:line="332" w:lineRule="auto"/>
              <w:ind w:left="114" w:leftChars="0" w:right="107" w:rightChars="0" w:hanging="2" w:firstLineChars="0"/>
              <w:jc w:val="center"/>
              <w:rPr>
                <w:rFonts w:hint="eastAsia" w:ascii="宋体" w:hAnsi="宋体" w:eastAsia="宋体" w:cs="宋体"/>
                <w:kern w:val="2"/>
                <w:sz w:val="22"/>
                <w:szCs w:val="22"/>
                <w:lang w:val="en-US" w:eastAsia="en-US" w:bidi="ar-SA"/>
              </w:rPr>
            </w:pPr>
            <w:r>
              <w:rPr>
                <w:rFonts w:hint="eastAsia" w:ascii="宋体" w:hAnsi="宋体"/>
                <w:bCs/>
                <w:sz w:val="22"/>
                <w:szCs w:val="22"/>
              </w:rPr>
              <w:t>供货货源措施</w:t>
            </w:r>
          </w:p>
        </w:tc>
        <w:tc>
          <w:tcPr>
            <w:tcW w:w="6090" w:type="dxa"/>
            <w:shd w:val="clear" w:color="auto" w:fill="auto"/>
            <w:noWrap w:val="0"/>
            <w:vAlign w:val="top"/>
          </w:tcPr>
          <w:p w14:paraId="10FE3C9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供应商针对本项目的供货货源地及渠道，能切实保障供应渠道的畅通且具有充足储备，积极做好调配，确保</w:t>
            </w:r>
            <w:r>
              <w:rPr>
                <w:rFonts w:hint="eastAsia" w:ascii="宋体" w:hAnsi="宋体" w:eastAsia="宋体" w:cs="宋体"/>
                <w:kern w:val="2"/>
                <w:sz w:val="22"/>
                <w:szCs w:val="22"/>
                <w:lang w:val="en-US" w:eastAsia="zh-CN" w:bidi="ar-SA"/>
              </w:rPr>
              <w:t>所需货物</w:t>
            </w:r>
            <w:r>
              <w:rPr>
                <w:rFonts w:hint="eastAsia" w:ascii="宋体" w:hAnsi="宋体" w:eastAsia="宋体" w:cs="宋体"/>
                <w:kern w:val="2"/>
                <w:sz w:val="22"/>
                <w:szCs w:val="22"/>
                <w:lang w:val="en-US" w:eastAsia="en-US" w:bidi="ar-SA"/>
              </w:rPr>
              <w:t>储备充足且质量符合国家有关标准的措施。</w:t>
            </w:r>
          </w:p>
          <w:p w14:paraId="3480AA56">
            <w:pPr>
              <w:numPr>
                <w:ilvl w:val="0"/>
                <w:numId w:val="5"/>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供货方案完整且合理的得7分；</w:t>
            </w:r>
          </w:p>
          <w:p w14:paraId="4E4A6900">
            <w:pPr>
              <w:numPr>
                <w:ilvl w:val="0"/>
                <w:numId w:val="5"/>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供货方案较完整且较合理的得4分；</w:t>
            </w:r>
          </w:p>
          <w:p w14:paraId="4FB46F83">
            <w:pPr>
              <w:numPr>
                <w:ilvl w:val="0"/>
                <w:numId w:val="5"/>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供货方案不完整且不太合理的得2分；</w:t>
            </w:r>
          </w:p>
          <w:p w14:paraId="16C39064">
            <w:pPr>
              <w:numPr>
                <w:ilvl w:val="0"/>
                <w:numId w:val="5"/>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缺项或不提供的得0分。</w:t>
            </w:r>
          </w:p>
        </w:tc>
        <w:tc>
          <w:tcPr>
            <w:tcW w:w="750" w:type="dxa"/>
            <w:noWrap w:val="0"/>
            <w:vAlign w:val="center"/>
          </w:tcPr>
          <w:p w14:paraId="30DF53CA">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7</w:t>
            </w:r>
            <w:r>
              <w:rPr>
                <w:rFonts w:hint="eastAsia" w:ascii="宋体" w:hAnsi="宋体" w:eastAsia="宋体" w:cs="宋体"/>
                <w:color w:val="auto"/>
                <w:sz w:val="22"/>
                <w:szCs w:val="22"/>
                <w:u w:val="none"/>
                <w:lang w:bidi="ar-SA"/>
              </w:rPr>
              <w:t>分</w:t>
            </w:r>
          </w:p>
        </w:tc>
      </w:tr>
      <w:tr w14:paraId="26BC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15" w:type="dxa"/>
            <w:vMerge w:val="continue"/>
            <w:noWrap w:val="0"/>
            <w:vAlign w:val="center"/>
          </w:tcPr>
          <w:p w14:paraId="09E130F9">
            <w:pPr>
              <w:rPr>
                <w:rFonts w:hint="eastAsia" w:ascii="宋体" w:hAnsi="宋体" w:eastAsia="宋体" w:cs="宋体"/>
                <w:color w:val="auto"/>
                <w:sz w:val="22"/>
                <w:szCs w:val="22"/>
                <w:u w:val="none"/>
              </w:rPr>
            </w:pPr>
          </w:p>
        </w:tc>
        <w:tc>
          <w:tcPr>
            <w:tcW w:w="1140" w:type="dxa"/>
            <w:shd w:val="clear" w:color="auto" w:fill="auto"/>
            <w:noWrap w:val="0"/>
            <w:vAlign w:val="center"/>
          </w:tcPr>
          <w:p w14:paraId="7FAA5B5E">
            <w:pPr>
              <w:pStyle w:val="34"/>
              <w:spacing w:before="91" w:line="219" w:lineRule="auto"/>
              <w:jc w:val="center"/>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食品安全管理水平</w:t>
            </w:r>
          </w:p>
        </w:tc>
        <w:tc>
          <w:tcPr>
            <w:tcW w:w="6090" w:type="dxa"/>
            <w:shd w:val="clear" w:color="auto" w:fill="auto"/>
            <w:noWrap w:val="0"/>
            <w:vAlign w:val="top"/>
          </w:tcPr>
          <w:p w14:paraId="59473D6E">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针对本项目提供合理的食品质量保障及控制措施方案，明确阐述针对本项目的食品质量保障技术服务工作方法和项目管理制度，方法中明确成立专门项目组、抽样实施管理细则、检验实施细则、结果专报机制、客户回访、档案管理机制及应急处置机制进行打分：</w:t>
            </w:r>
          </w:p>
          <w:p w14:paraId="411C9D51">
            <w:pPr>
              <w:numPr>
                <w:ilvl w:val="0"/>
                <w:numId w:val="6"/>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质量保障及控制措施方案合理全面，内容具体详细，优于采购需求的得</w:t>
            </w:r>
            <w:r>
              <w:rPr>
                <w:rFonts w:hint="eastAsia" w:ascii="宋体" w:hAnsi="宋体" w:eastAsia="宋体" w:cs="宋体"/>
                <w:kern w:val="2"/>
                <w:sz w:val="22"/>
                <w:szCs w:val="22"/>
                <w:lang w:val="en-US" w:eastAsia="zh-CN" w:bidi="ar-SA"/>
              </w:rPr>
              <w:t>7</w:t>
            </w:r>
            <w:r>
              <w:rPr>
                <w:rFonts w:hint="eastAsia" w:ascii="宋体" w:hAnsi="宋体" w:eastAsia="宋体" w:cs="宋体"/>
                <w:kern w:val="2"/>
                <w:sz w:val="22"/>
                <w:szCs w:val="22"/>
                <w:lang w:val="en-US" w:eastAsia="en-US" w:bidi="ar-SA"/>
              </w:rPr>
              <w:t>分；</w:t>
            </w:r>
          </w:p>
          <w:p w14:paraId="783BB0F9">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2.质量保障及控制措施方案合理可行，满足采购需求的得</w:t>
            </w:r>
            <w:r>
              <w:rPr>
                <w:rFonts w:hint="eastAsia" w:ascii="宋体" w:hAnsi="宋体" w:eastAsia="宋体" w:cs="宋体"/>
                <w:kern w:val="2"/>
                <w:sz w:val="22"/>
                <w:szCs w:val="22"/>
                <w:lang w:val="en-US" w:eastAsia="zh-CN" w:bidi="ar-SA"/>
              </w:rPr>
              <w:t>4</w:t>
            </w:r>
            <w:r>
              <w:rPr>
                <w:rFonts w:hint="eastAsia" w:ascii="宋体" w:hAnsi="宋体" w:eastAsia="宋体" w:cs="宋体"/>
                <w:kern w:val="2"/>
                <w:sz w:val="22"/>
                <w:szCs w:val="22"/>
                <w:lang w:val="en-US" w:eastAsia="en-US" w:bidi="ar-SA"/>
              </w:rPr>
              <w:t>分；</w:t>
            </w:r>
          </w:p>
          <w:p w14:paraId="426EB489">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3.质量保障及控制措施方案不详细的得</w:t>
            </w:r>
            <w:r>
              <w:rPr>
                <w:rFonts w:hint="eastAsia" w:ascii="宋体" w:hAnsi="宋体" w:eastAsia="宋体" w:cs="宋体"/>
                <w:kern w:val="2"/>
                <w:sz w:val="22"/>
                <w:szCs w:val="22"/>
                <w:lang w:val="en-US" w:eastAsia="zh-CN" w:bidi="ar-SA"/>
              </w:rPr>
              <w:t>2分；</w:t>
            </w:r>
          </w:p>
          <w:p w14:paraId="2FD00954">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w:t>
            </w: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750" w:type="dxa"/>
            <w:noWrap w:val="0"/>
            <w:vAlign w:val="center"/>
          </w:tcPr>
          <w:p w14:paraId="0BE04C54">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7</w:t>
            </w:r>
            <w:r>
              <w:rPr>
                <w:rFonts w:hint="eastAsia" w:ascii="宋体" w:hAnsi="宋体" w:eastAsia="宋体" w:cs="宋体"/>
                <w:color w:val="auto"/>
                <w:sz w:val="22"/>
                <w:szCs w:val="22"/>
                <w:u w:val="none"/>
                <w:lang w:bidi="ar-SA"/>
              </w:rPr>
              <w:t>分</w:t>
            </w:r>
          </w:p>
        </w:tc>
      </w:tr>
      <w:tr w14:paraId="4102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5" w:type="dxa"/>
            <w:vMerge w:val="continue"/>
            <w:noWrap w:val="0"/>
            <w:vAlign w:val="center"/>
          </w:tcPr>
          <w:p w14:paraId="269D9425">
            <w:pPr>
              <w:rPr>
                <w:rFonts w:hint="eastAsia" w:ascii="宋体" w:hAnsi="宋体" w:eastAsia="宋体" w:cs="宋体"/>
                <w:color w:val="auto"/>
                <w:sz w:val="22"/>
                <w:szCs w:val="22"/>
                <w:u w:val="none"/>
              </w:rPr>
            </w:pPr>
          </w:p>
        </w:tc>
        <w:tc>
          <w:tcPr>
            <w:tcW w:w="1140" w:type="dxa"/>
            <w:shd w:val="clear" w:color="auto" w:fill="auto"/>
            <w:noWrap w:val="0"/>
            <w:vAlign w:val="center"/>
          </w:tcPr>
          <w:p w14:paraId="58339738">
            <w:pPr>
              <w:pStyle w:val="34"/>
              <w:spacing w:before="91" w:line="333" w:lineRule="auto"/>
              <w:ind w:left="116" w:leftChars="0" w:right="107" w:rightChars="0"/>
              <w:jc w:val="center"/>
              <w:rPr>
                <w:rFonts w:hint="eastAsia" w:ascii="宋体" w:hAnsi="宋体" w:eastAsia="宋体" w:cs="宋体"/>
                <w:kern w:val="2"/>
                <w:sz w:val="22"/>
                <w:szCs w:val="22"/>
                <w:lang w:val="en-US" w:eastAsia="en-US" w:bidi="ar-SA"/>
              </w:rPr>
            </w:pPr>
            <w:r>
              <w:rPr>
                <w:rFonts w:hint="eastAsia" w:ascii="宋体" w:hAnsi="宋体" w:cs="宋体"/>
                <w:kern w:val="0"/>
                <w:sz w:val="22"/>
                <w:szCs w:val="22"/>
              </w:rPr>
              <w:t>质量保证措施</w:t>
            </w:r>
          </w:p>
        </w:tc>
        <w:tc>
          <w:tcPr>
            <w:tcW w:w="6090" w:type="dxa"/>
            <w:shd w:val="clear" w:color="auto" w:fill="auto"/>
            <w:noWrap w:val="0"/>
            <w:vAlign w:val="top"/>
          </w:tcPr>
          <w:p w14:paraId="2170DD5F">
            <w:pPr>
              <w:spacing w:line="360" w:lineRule="auto"/>
              <w:rPr>
                <w:rFonts w:hint="eastAsia" w:ascii="宋体" w:hAnsi="宋体" w:eastAsia="宋体" w:cs="宋体"/>
                <w:color w:val="auto"/>
                <w:sz w:val="22"/>
                <w:szCs w:val="22"/>
                <w:u w:val="none"/>
                <w:lang w:val="en-US" w:eastAsia="en-US" w:bidi="ar-SA"/>
              </w:rPr>
            </w:pPr>
            <w:r>
              <w:rPr>
                <w:rFonts w:hint="eastAsia" w:ascii="宋体" w:hAnsi="宋体" w:eastAsia="宋体" w:cs="宋体"/>
                <w:color w:val="auto"/>
                <w:sz w:val="22"/>
                <w:szCs w:val="22"/>
                <w:u w:val="none"/>
                <w:lang w:val="en-US" w:eastAsia="en-US" w:bidi="ar-SA"/>
              </w:rPr>
              <w:t>能够提出针对本项目的产品特点，提出详细的质量保证措施及保证食品安全措施，依据措施的合理性、可行性酌情打分。</w:t>
            </w:r>
          </w:p>
          <w:p w14:paraId="3192A818">
            <w:pPr>
              <w:numPr>
                <w:ilvl w:val="0"/>
                <w:numId w:val="7"/>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质量保障及控制措施方案合理全面，内容具体详细，优于采购需求的得</w:t>
            </w:r>
            <w:r>
              <w:rPr>
                <w:rFonts w:hint="eastAsia" w:ascii="宋体" w:hAnsi="宋体" w:eastAsia="宋体" w:cs="宋体"/>
                <w:kern w:val="2"/>
                <w:sz w:val="22"/>
                <w:szCs w:val="22"/>
                <w:lang w:val="en-US" w:eastAsia="zh-CN" w:bidi="ar-SA"/>
              </w:rPr>
              <w:t>7</w:t>
            </w:r>
            <w:r>
              <w:rPr>
                <w:rFonts w:hint="eastAsia" w:ascii="宋体" w:hAnsi="宋体" w:eastAsia="宋体" w:cs="宋体"/>
                <w:kern w:val="2"/>
                <w:sz w:val="22"/>
                <w:szCs w:val="22"/>
                <w:lang w:val="en-US" w:eastAsia="en-US" w:bidi="ar-SA"/>
              </w:rPr>
              <w:t>分；</w:t>
            </w:r>
          </w:p>
          <w:p w14:paraId="7FD65CF2">
            <w:pPr>
              <w:numPr>
                <w:ilvl w:val="0"/>
                <w:numId w:val="7"/>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质量保障及控制措施方案合理可行，满足采购需求的得</w:t>
            </w:r>
            <w:r>
              <w:rPr>
                <w:rFonts w:hint="eastAsia" w:ascii="宋体" w:hAnsi="宋体" w:eastAsia="宋体" w:cs="宋体"/>
                <w:kern w:val="2"/>
                <w:sz w:val="22"/>
                <w:szCs w:val="22"/>
                <w:lang w:val="en-US" w:eastAsia="zh-CN" w:bidi="ar-SA"/>
              </w:rPr>
              <w:t>4</w:t>
            </w:r>
            <w:r>
              <w:rPr>
                <w:rFonts w:hint="eastAsia" w:ascii="宋体" w:hAnsi="宋体" w:eastAsia="宋体" w:cs="宋体"/>
                <w:kern w:val="2"/>
                <w:sz w:val="22"/>
                <w:szCs w:val="22"/>
                <w:lang w:val="en-US" w:eastAsia="en-US" w:bidi="ar-SA"/>
              </w:rPr>
              <w:t>分；</w:t>
            </w:r>
          </w:p>
          <w:p w14:paraId="6E45C235">
            <w:pPr>
              <w:numPr>
                <w:ilvl w:val="0"/>
                <w:numId w:val="7"/>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质量保障及控制措施方案不详细的得</w:t>
            </w: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分；</w:t>
            </w:r>
          </w:p>
          <w:p w14:paraId="7BE5ED38">
            <w:pPr>
              <w:numPr>
                <w:ilvl w:val="0"/>
                <w:numId w:val="7"/>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750" w:type="dxa"/>
            <w:noWrap w:val="0"/>
            <w:vAlign w:val="center"/>
          </w:tcPr>
          <w:p w14:paraId="174EBBE6">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7</w:t>
            </w:r>
            <w:r>
              <w:rPr>
                <w:rFonts w:hint="eastAsia" w:ascii="宋体" w:hAnsi="宋体" w:eastAsia="宋体" w:cs="宋体"/>
                <w:color w:val="auto"/>
                <w:sz w:val="22"/>
                <w:szCs w:val="22"/>
                <w:u w:val="none"/>
                <w:lang w:bidi="ar-SA"/>
              </w:rPr>
              <w:t>分</w:t>
            </w:r>
          </w:p>
        </w:tc>
      </w:tr>
      <w:tr w14:paraId="75E6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1215" w:type="dxa"/>
            <w:vMerge w:val="continue"/>
            <w:noWrap w:val="0"/>
            <w:vAlign w:val="center"/>
          </w:tcPr>
          <w:p w14:paraId="7490EE7E">
            <w:pPr>
              <w:rPr>
                <w:rFonts w:hint="eastAsia" w:ascii="宋体" w:hAnsi="宋体" w:eastAsia="宋体" w:cs="宋体"/>
                <w:color w:val="auto"/>
                <w:sz w:val="22"/>
                <w:szCs w:val="22"/>
                <w:u w:val="none"/>
              </w:rPr>
            </w:pPr>
          </w:p>
        </w:tc>
        <w:tc>
          <w:tcPr>
            <w:tcW w:w="1140" w:type="dxa"/>
            <w:noWrap w:val="0"/>
            <w:vAlign w:val="center"/>
          </w:tcPr>
          <w:p w14:paraId="60D8ABA1">
            <w:pPr>
              <w:spacing w:line="360" w:lineRule="auto"/>
              <w:rPr>
                <w:rFonts w:hint="eastAsia" w:ascii="宋体" w:hAnsi="宋体" w:eastAsia="宋体" w:cs="宋体"/>
                <w:color w:val="auto"/>
                <w:sz w:val="22"/>
                <w:szCs w:val="22"/>
                <w:u w:val="none"/>
                <w:lang w:bidi="ar-SA"/>
              </w:rPr>
            </w:pPr>
            <w:r>
              <w:rPr>
                <w:rFonts w:hint="eastAsia" w:ascii="宋体" w:hAnsi="宋体" w:cs="宋体"/>
                <w:kern w:val="0"/>
                <w:sz w:val="22"/>
                <w:szCs w:val="22"/>
              </w:rPr>
              <w:t>应急预案</w:t>
            </w:r>
          </w:p>
        </w:tc>
        <w:tc>
          <w:tcPr>
            <w:tcW w:w="6090" w:type="dxa"/>
            <w:noWrap w:val="0"/>
            <w:vAlign w:val="top"/>
          </w:tcPr>
          <w:p w14:paraId="2BF33BFC">
            <w:pPr>
              <w:spacing w:line="360" w:lineRule="auto"/>
              <w:rPr>
                <w:rFonts w:hint="eastAsia" w:ascii="宋体" w:hAnsi="宋体" w:eastAsia="宋体" w:cs="宋体"/>
                <w:color w:val="auto"/>
                <w:sz w:val="22"/>
                <w:szCs w:val="22"/>
                <w:u w:val="none"/>
                <w:lang w:eastAsia="zh-CN" w:bidi="ar-SA"/>
              </w:rPr>
            </w:pPr>
            <w:r>
              <w:rPr>
                <w:rFonts w:hint="eastAsia" w:ascii="宋体" w:hAnsi="宋体" w:eastAsia="宋体" w:cs="宋体"/>
                <w:color w:val="auto"/>
                <w:sz w:val="22"/>
                <w:szCs w:val="22"/>
                <w:u w:val="none"/>
                <w:lang w:bidi="ar-SA"/>
              </w:rPr>
              <w:t>应急保障及措施包括但不限于供应商具有建立健全的安全保障及应急制度、食品安全突发事件应急预案、配送过程中副食品已被污染或可能造成严重后果的物品的处理、紧急预案完善，处理措施切实可行、能够妥善规避食品风险，食品安全事故应急预案、制定和完善安全生产管理制度和安全应急预案，面对突发情况应急供货方案，包括应急配送、极端天气</w:t>
            </w:r>
            <w:r>
              <w:rPr>
                <w:rFonts w:hint="eastAsia" w:ascii="宋体" w:hAnsi="宋体" w:eastAsia="宋体" w:cs="宋体"/>
                <w:color w:val="auto"/>
                <w:sz w:val="22"/>
                <w:szCs w:val="22"/>
                <w:u w:val="none"/>
                <w:lang w:eastAsia="zh-CN" w:bidi="ar-SA"/>
              </w:rPr>
              <w:t>。</w:t>
            </w:r>
          </w:p>
          <w:p w14:paraId="7B4FE06D">
            <w:pPr>
              <w:numPr>
                <w:ilvl w:val="0"/>
                <w:numId w:val="8"/>
              </w:num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内容完整、符合且优于采购文件要求的得</w:t>
            </w: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p w14:paraId="08852FD6">
            <w:pPr>
              <w:numPr>
                <w:ilvl w:val="0"/>
                <w:numId w:val="8"/>
              </w:numPr>
              <w:spacing w:line="360" w:lineRule="auto"/>
              <w:ind w:left="0" w:leftChars="0" w:firstLine="0" w:firstLineChars="0"/>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内容完整、符合采购文件要求的得3分；</w:t>
            </w:r>
          </w:p>
          <w:p w14:paraId="61FC2160">
            <w:pPr>
              <w:numPr>
                <w:ilvl w:val="0"/>
                <w:numId w:val="8"/>
              </w:numPr>
              <w:spacing w:line="360" w:lineRule="auto"/>
              <w:ind w:left="0" w:leftChars="0" w:firstLine="0" w:firstLineChars="0"/>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内容描述不完整的得1分</w:t>
            </w:r>
          </w:p>
          <w:p w14:paraId="7C8288D1">
            <w:pPr>
              <w:numPr>
                <w:ilvl w:val="0"/>
                <w:numId w:val="8"/>
              </w:numPr>
              <w:spacing w:line="360" w:lineRule="auto"/>
              <w:ind w:left="0" w:leftChars="0" w:firstLine="0" w:firstLineChars="0"/>
              <w:rPr>
                <w:rFonts w:hint="eastAsia" w:ascii="宋体" w:hAnsi="宋体" w:eastAsia="宋体" w:cs="宋体"/>
                <w:color w:val="auto"/>
                <w:sz w:val="22"/>
                <w:szCs w:val="22"/>
                <w:u w:val="none"/>
                <w:lang w:bidi="ar-SA"/>
              </w:rPr>
            </w:pP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750" w:type="dxa"/>
            <w:noWrap w:val="0"/>
            <w:vAlign w:val="center"/>
          </w:tcPr>
          <w:p w14:paraId="10D27991">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68BB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vMerge w:val="restart"/>
            <w:noWrap w:val="0"/>
            <w:vAlign w:val="center"/>
          </w:tcPr>
          <w:p w14:paraId="17F03458">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kern w:val="0"/>
                <w:sz w:val="22"/>
                <w:szCs w:val="22"/>
                <w:u w:val="none"/>
                <w:lang w:bidi="ar-SA"/>
              </w:rPr>
              <w:t>商务部分（</w:t>
            </w:r>
            <w:r>
              <w:rPr>
                <w:rFonts w:hint="eastAsia" w:ascii="宋体" w:hAnsi="宋体" w:eastAsia="宋体" w:cs="宋体"/>
                <w:b/>
                <w:bCs/>
                <w:color w:val="auto"/>
                <w:kern w:val="0"/>
                <w:sz w:val="22"/>
                <w:szCs w:val="22"/>
                <w:u w:val="none"/>
                <w:lang w:val="en-US" w:eastAsia="zh-CN" w:bidi="ar-SA"/>
              </w:rPr>
              <w:t>25</w:t>
            </w:r>
            <w:r>
              <w:rPr>
                <w:rFonts w:hint="eastAsia" w:ascii="宋体" w:hAnsi="宋体" w:eastAsia="宋体" w:cs="宋体"/>
                <w:b/>
                <w:bCs/>
                <w:color w:val="auto"/>
                <w:kern w:val="0"/>
                <w:sz w:val="22"/>
                <w:szCs w:val="22"/>
                <w:u w:val="none"/>
                <w:lang w:bidi="ar-SA"/>
              </w:rPr>
              <w:t>分）</w:t>
            </w:r>
          </w:p>
        </w:tc>
        <w:tc>
          <w:tcPr>
            <w:tcW w:w="1140" w:type="dxa"/>
            <w:noWrap w:val="0"/>
            <w:vAlign w:val="center"/>
          </w:tcPr>
          <w:p w14:paraId="0DF83412">
            <w:pPr>
              <w:widowControl/>
              <w:shd w:val="clear" w:color="auto" w:fill="FFFFFF"/>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bCs/>
                <w:color w:val="auto"/>
                <w:kern w:val="0"/>
                <w:sz w:val="22"/>
                <w:szCs w:val="22"/>
                <w:u w:val="none"/>
                <w:lang w:bidi="ar-SA"/>
              </w:rPr>
              <w:t>企业业绩</w:t>
            </w:r>
          </w:p>
        </w:tc>
        <w:tc>
          <w:tcPr>
            <w:tcW w:w="6090" w:type="dxa"/>
            <w:noWrap w:val="0"/>
            <w:vAlign w:val="top"/>
          </w:tcPr>
          <w:p w14:paraId="191BDAD0">
            <w:pPr>
              <w:spacing w:line="360" w:lineRule="auto"/>
              <w:rPr>
                <w:rFonts w:hint="eastAsia" w:ascii="宋体" w:hAnsi="宋体" w:eastAsia="宋体" w:cs="宋体"/>
                <w:color w:val="auto"/>
                <w:kern w:val="0"/>
                <w:sz w:val="22"/>
                <w:szCs w:val="22"/>
                <w:u w:val="none"/>
                <w:lang w:bidi="ar-SA"/>
              </w:rPr>
            </w:pPr>
            <w:r>
              <w:rPr>
                <w:rFonts w:hint="eastAsia" w:ascii="宋体" w:hAnsi="宋体" w:eastAsia="宋体" w:cs="宋体"/>
                <w:color w:val="auto"/>
                <w:kern w:val="0"/>
                <w:sz w:val="22"/>
                <w:szCs w:val="22"/>
                <w:u w:val="none"/>
                <w:lang w:bidi="ar-SA"/>
              </w:rPr>
              <w:t>自202</w:t>
            </w:r>
            <w:r>
              <w:rPr>
                <w:rFonts w:hint="eastAsia" w:ascii="宋体" w:hAnsi="宋体" w:eastAsia="宋体" w:cs="宋体"/>
                <w:color w:val="auto"/>
                <w:kern w:val="0"/>
                <w:sz w:val="22"/>
                <w:szCs w:val="22"/>
                <w:u w:val="none"/>
                <w:lang w:val="en-US" w:eastAsia="zh-CN" w:bidi="ar-SA"/>
              </w:rPr>
              <w:t>3</w:t>
            </w:r>
            <w:r>
              <w:rPr>
                <w:rFonts w:hint="eastAsia" w:ascii="宋体" w:hAnsi="宋体" w:eastAsia="宋体" w:cs="宋体"/>
                <w:color w:val="auto"/>
                <w:kern w:val="0"/>
                <w:sz w:val="22"/>
                <w:szCs w:val="22"/>
                <w:u w:val="none"/>
                <w:lang w:bidi="ar-SA"/>
              </w:rPr>
              <w:t>年1月1日</w:t>
            </w:r>
            <w:r>
              <w:rPr>
                <w:rFonts w:hint="eastAsia" w:ascii="宋体" w:hAnsi="宋体" w:eastAsia="宋体" w:cs="宋体"/>
                <w:color w:val="auto"/>
                <w:kern w:val="0"/>
                <w:sz w:val="22"/>
                <w:szCs w:val="22"/>
                <w:u w:val="none"/>
                <w:lang w:val="en-US" w:eastAsia="zh-CN" w:bidi="ar-SA"/>
              </w:rPr>
              <w:t>以来签订</w:t>
            </w:r>
            <w:r>
              <w:rPr>
                <w:rFonts w:hint="eastAsia" w:ascii="宋体" w:hAnsi="宋体" w:eastAsia="宋体" w:cs="宋体"/>
                <w:color w:val="auto"/>
                <w:kern w:val="0"/>
                <w:sz w:val="22"/>
                <w:szCs w:val="22"/>
                <w:u w:val="none"/>
                <w:lang w:bidi="ar-SA"/>
              </w:rPr>
              <w:t>的</w:t>
            </w:r>
            <w:r>
              <w:rPr>
                <w:rFonts w:hint="eastAsia" w:ascii="宋体" w:hAnsi="宋体" w:eastAsia="宋体" w:cs="宋体"/>
                <w:color w:val="auto"/>
                <w:kern w:val="0"/>
                <w:sz w:val="22"/>
                <w:szCs w:val="22"/>
                <w:u w:val="none"/>
                <w:lang w:eastAsia="zh-CN" w:bidi="ar-SA"/>
              </w:rPr>
              <w:t>类似项目</w:t>
            </w:r>
            <w:r>
              <w:rPr>
                <w:rFonts w:hint="eastAsia" w:ascii="宋体" w:hAnsi="宋体" w:eastAsia="宋体" w:cs="宋体"/>
                <w:color w:val="auto"/>
                <w:kern w:val="0"/>
                <w:sz w:val="22"/>
                <w:szCs w:val="22"/>
                <w:u w:val="none"/>
                <w:lang w:val="en-US" w:eastAsia="zh-CN" w:bidi="ar-SA"/>
              </w:rPr>
              <w:t>业绩，</w:t>
            </w:r>
            <w:r>
              <w:rPr>
                <w:rFonts w:hint="eastAsia" w:ascii="宋体" w:hAnsi="宋体" w:eastAsia="宋体" w:cs="宋体"/>
                <w:color w:val="auto"/>
                <w:kern w:val="0"/>
                <w:sz w:val="22"/>
                <w:szCs w:val="22"/>
                <w:u w:val="none"/>
                <w:lang w:bidi="ar-SA"/>
              </w:rPr>
              <w:t>每提供一份得</w:t>
            </w:r>
            <w:r>
              <w:rPr>
                <w:rFonts w:hint="eastAsia" w:ascii="宋体" w:hAnsi="宋体" w:eastAsia="宋体" w:cs="宋体"/>
                <w:color w:val="auto"/>
                <w:kern w:val="0"/>
                <w:sz w:val="22"/>
                <w:szCs w:val="22"/>
                <w:u w:val="none"/>
                <w:lang w:val="en-US" w:eastAsia="zh-CN" w:bidi="ar-SA"/>
              </w:rPr>
              <w:t>3</w:t>
            </w:r>
            <w:r>
              <w:rPr>
                <w:rFonts w:hint="eastAsia" w:ascii="宋体" w:hAnsi="宋体" w:eastAsia="宋体" w:cs="宋体"/>
                <w:color w:val="auto"/>
                <w:kern w:val="0"/>
                <w:sz w:val="22"/>
                <w:szCs w:val="22"/>
                <w:u w:val="none"/>
                <w:lang w:bidi="ar-SA"/>
              </w:rPr>
              <w:t>分，最多得</w:t>
            </w:r>
            <w:r>
              <w:rPr>
                <w:rFonts w:hint="eastAsia" w:ascii="宋体" w:hAnsi="宋体" w:eastAsia="宋体" w:cs="宋体"/>
                <w:color w:val="auto"/>
                <w:kern w:val="0"/>
                <w:sz w:val="22"/>
                <w:szCs w:val="22"/>
                <w:u w:val="none"/>
                <w:lang w:val="en-US" w:eastAsia="zh-CN" w:bidi="ar-SA"/>
              </w:rPr>
              <w:t>9</w:t>
            </w:r>
            <w:r>
              <w:rPr>
                <w:rFonts w:hint="eastAsia" w:ascii="宋体" w:hAnsi="宋体" w:eastAsia="宋体" w:cs="宋体"/>
                <w:color w:val="auto"/>
                <w:kern w:val="0"/>
                <w:sz w:val="22"/>
                <w:szCs w:val="22"/>
                <w:u w:val="none"/>
                <w:lang w:bidi="ar-SA"/>
              </w:rPr>
              <w:t>分。</w:t>
            </w:r>
          </w:p>
          <w:p w14:paraId="31187BE7">
            <w:pPr>
              <w:spacing w:line="360" w:lineRule="auto"/>
              <w:rPr>
                <w:rFonts w:hint="eastAsia" w:ascii="宋体" w:hAnsi="宋体" w:eastAsia="宋体" w:cs="宋体"/>
                <w:color w:val="auto"/>
                <w:sz w:val="22"/>
                <w:szCs w:val="22"/>
                <w:u w:val="none"/>
                <w:lang w:eastAsia="zh-CN" w:bidi="ar-SA"/>
              </w:rPr>
            </w:pPr>
            <w:r>
              <w:rPr>
                <w:rFonts w:hint="eastAsia" w:ascii="宋体" w:hAnsi="宋体" w:eastAsia="宋体" w:cs="宋体"/>
                <w:color w:val="auto"/>
                <w:kern w:val="0"/>
                <w:sz w:val="22"/>
                <w:szCs w:val="22"/>
                <w:u w:val="none"/>
                <w:lang w:bidi="ar-SA"/>
              </w:rPr>
              <w:t>注：</w:t>
            </w:r>
            <w:r>
              <w:rPr>
                <w:rFonts w:hint="eastAsia" w:ascii="宋体" w:hAnsi="宋体" w:eastAsia="宋体" w:cs="宋体"/>
                <w:color w:val="auto"/>
                <w:kern w:val="0"/>
                <w:sz w:val="22"/>
                <w:szCs w:val="22"/>
                <w:u w:val="none"/>
                <w:lang w:val="en-US" w:eastAsia="zh-CN" w:bidi="ar-SA"/>
              </w:rPr>
              <w:t>响应</w:t>
            </w:r>
            <w:r>
              <w:rPr>
                <w:rFonts w:hint="eastAsia" w:ascii="宋体" w:hAnsi="宋体" w:eastAsia="宋体" w:cs="宋体"/>
                <w:color w:val="auto"/>
                <w:kern w:val="0"/>
                <w:sz w:val="22"/>
                <w:szCs w:val="22"/>
                <w:u w:val="none"/>
                <w:lang w:eastAsia="zh-CN" w:bidi="ar-SA"/>
              </w:rPr>
              <w:t>文件</w:t>
            </w:r>
            <w:r>
              <w:rPr>
                <w:rFonts w:hint="eastAsia" w:ascii="宋体" w:hAnsi="宋体" w:eastAsia="宋体" w:cs="宋体"/>
                <w:color w:val="auto"/>
                <w:kern w:val="0"/>
                <w:sz w:val="22"/>
                <w:szCs w:val="22"/>
                <w:u w:val="none"/>
                <w:lang w:bidi="ar-SA"/>
              </w:rPr>
              <w:t>中须提供合同协议书或中标通知书的扫描件</w:t>
            </w:r>
          </w:p>
        </w:tc>
        <w:tc>
          <w:tcPr>
            <w:tcW w:w="750" w:type="dxa"/>
            <w:noWrap w:val="0"/>
            <w:vAlign w:val="center"/>
          </w:tcPr>
          <w:p w14:paraId="61DB7356">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9</w:t>
            </w:r>
            <w:r>
              <w:rPr>
                <w:rFonts w:hint="eastAsia" w:ascii="宋体" w:hAnsi="宋体" w:eastAsia="宋体" w:cs="宋体"/>
                <w:color w:val="auto"/>
                <w:sz w:val="22"/>
                <w:szCs w:val="22"/>
                <w:u w:val="none"/>
                <w:lang w:bidi="ar-SA"/>
              </w:rPr>
              <w:t>分</w:t>
            </w:r>
          </w:p>
        </w:tc>
      </w:tr>
      <w:tr w14:paraId="070A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15" w:type="dxa"/>
            <w:vMerge w:val="continue"/>
            <w:noWrap w:val="0"/>
            <w:vAlign w:val="center"/>
          </w:tcPr>
          <w:p w14:paraId="789B3C94">
            <w:pPr>
              <w:rPr>
                <w:rFonts w:hint="eastAsia" w:ascii="宋体" w:hAnsi="宋体" w:eastAsia="宋体" w:cs="宋体"/>
                <w:color w:val="auto"/>
                <w:sz w:val="22"/>
                <w:szCs w:val="22"/>
                <w:u w:val="none"/>
              </w:rPr>
            </w:pPr>
          </w:p>
        </w:tc>
        <w:tc>
          <w:tcPr>
            <w:tcW w:w="1140" w:type="dxa"/>
            <w:noWrap w:val="0"/>
            <w:vAlign w:val="center"/>
          </w:tcPr>
          <w:p w14:paraId="49AC8157">
            <w:pPr>
              <w:spacing w:before="57" w:line="360" w:lineRule="auto"/>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车辆配备</w:t>
            </w:r>
          </w:p>
        </w:tc>
        <w:tc>
          <w:tcPr>
            <w:tcW w:w="6090" w:type="dxa"/>
            <w:noWrap w:val="0"/>
            <w:vAlign w:val="center"/>
          </w:tcPr>
          <w:p w14:paraId="5C037DDA">
            <w:pPr>
              <w:numPr>
                <w:ilvl w:val="0"/>
                <w:numId w:val="0"/>
              </w:numPr>
              <w:spacing w:before="57" w:line="360" w:lineRule="auto"/>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供应商具备配送运输车辆的，每具备1台得3分，最多得9分，缺项或不提供不得分；</w:t>
            </w:r>
          </w:p>
          <w:p w14:paraId="7FA7C2F5">
            <w:pPr>
              <w:numPr>
                <w:ilvl w:val="0"/>
                <w:numId w:val="0"/>
              </w:numPr>
              <w:spacing w:before="57" w:line="360" w:lineRule="auto"/>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注：供应商自有或法人名下的车辆机动车登记证书、行驶证、车辆照片做入响应文件；若车辆为租赁车辆，还需提供车辆租赁协议</w:t>
            </w:r>
          </w:p>
        </w:tc>
        <w:tc>
          <w:tcPr>
            <w:tcW w:w="750" w:type="dxa"/>
            <w:noWrap w:val="0"/>
            <w:vAlign w:val="center"/>
          </w:tcPr>
          <w:p w14:paraId="53349845">
            <w:pPr>
              <w:snapToGrid w:val="0"/>
              <w:spacing w:line="440" w:lineRule="exact"/>
              <w:jc w:val="center"/>
              <w:rPr>
                <w:rFonts w:hint="default"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9</w:t>
            </w:r>
            <w:r>
              <w:rPr>
                <w:rFonts w:hint="eastAsia" w:ascii="宋体" w:hAnsi="宋体" w:eastAsia="宋体" w:cs="宋体"/>
                <w:color w:val="auto"/>
                <w:sz w:val="22"/>
                <w:szCs w:val="22"/>
                <w:u w:val="none"/>
                <w:lang w:bidi="ar-SA"/>
              </w:rPr>
              <w:t>分</w:t>
            </w:r>
          </w:p>
        </w:tc>
      </w:tr>
      <w:tr w14:paraId="0099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15" w:type="dxa"/>
            <w:vMerge w:val="continue"/>
            <w:noWrap w:val="0"/>
            <w:vAlign w:val="center"/>
          </w:tcPr>
          <w:p w14:paraId="2BD73E64">
            <w:pPr>
              <w:rPr>
                <w:rFonts w:hint="eastAsia" w:ascii="宋体" w:hAnsi="宋体" w:eastAsia="宋体" w:cs="宋体"/>
                <w:color w:val="auto"/>
                <w:sz w:val="22"/>
                <w:szCs w:val="22"/>
                <w:u w:val="none"/>
              </w:rPr>
            </w:pPr>
          </w:p>
        </w:tc>
        <w:tc>
          <w:tcPr>
            <w:tcW w:w="1140" w:type="dxa"/>
            <w:noWrap w:val="0"/>
            <w:vAlign w:val="center"/>
          </w:tcPr>
          <w:p w14:paraId="1F2E7621">
            <w:pPr>
              <w:pStyle w:val="42"/>
              <w:spacing w:line="360" w:lineRule="auto"/>
              <w:jc w:val="center"/>
              <w:rPr>
                <w:rFonts w:hint="eastAsia" w:ascii="宋体" w:hAnsi="宋体" w:eastAsia="宋体" w:cs="宋体"/>
                <w:color w:val="auto"/>
                <w:sz w:val="22"/>
                <w:szCs w:val="22"/>
                <w:highlight w:val="none"/>
                <w:u w:val="none"/>
                <w:lang w:val="en-US" w:eastAsia="zh-CN" w:bidi="ar-SA"/>
              </w:rPr>
            </w:pPr>
            <w:r>
              <w:rPr>
                <w:rFonts w:hint="eastAsia" w:ascii="宋体" w:hAnsi="宋体" w:eastAsia="宋体" w:cs="宋体"/>
                <w:color w:val="auto"/>
                <w:sz w:val="22"/>
                <w:szCs w:val="22"/>
                <w:highlight w:val="none"/>
                <w:u w:val="none"/>
                <w:lang w:bidi="ar-SA"/>
              </w:rPr>
              <w:t>人员</w:t>
            </w:r>
            <w:r>
              <w:rPr>
                <w:rFonts w:hint="eastAsia" w:hAnsi="宋体" w:cs="宋体"/>
                <w:color w:val="auto"/>
                <w:sz w:val="22"/>
                <w:szCs w:val="22"/>
                <w:highlight w:val="none"/>
                <w:u w:val="none"/>
                <w:lang w:val="en-US" w:eastAsia="zh-CN" w:bidi="ar-SA"/>
              </w:rPr>
              <w:t>安全承诺</w:t>
            </w:r>
          </w:p>
        </w:tc>
        <w:tc>
          <w:tcPr>
            <w:tcW w:w="6090" w:type="dxa"/>
            <w:noWrap w:val="0"/>
            <w:vAlign w:val="top"/>
          </w:tcPr>
          <w:p w14:paraId="270AF9CD">
            <w:pPr>
              <w:pStyle w:val="42"/>
              <w:spacing w:line="360" w:lineRule="auto"/>
              <w:jc w:val="both"/>
              <w:rPr>
                <w:rFonts w:hint="default"/>
                <w:sz w:val="22"/>
                <w:szCs w:val="22"/>
                <w:highlight w:val="none"/>
                <w:lang w:val="en-US" w:eastAsia="zh-CN"/>
              </w:rPr>
            </w:pPr>
            <w:r>
              <w:rPr>
                <w:rFonts w:hint="default"/>
                <w:sz w:val="22"/>
                <w:szCs w:val="22"/>
                <w:highlight w:val="none"/>
                <w:lang w:val="en-US" w:eastAsia="zh-CN"/>
              </w:rPr>
              <w:t>供应商承诺为配送人员缴纳保险(包括但不限于意外险、伤亡险)的得1分，承诺因配送人员个人原因导致送货途中发生意外情况，</w:t>
            </w:r>
            <w:r>
              <w:rPr>
                <w:rFonts w:hint="eastAsia"/>
                <w:sz w:val="22"/>
                <w:szCs w:val="22"/>
                <w:highlight w:val="none"/>
                <w:lang w:val="en-US" w:eastAsia="zh-CN"/>
              </w:rPr>
              <w:t>采购</w:t>
            </w:r>
            <w:r>
              <w:rPr>
                <w:rFonts w:hint="default"/>
                <w:sz w:val="22"/>
                <w:szCs w:val="22"/>
                <w:highlight w:val="none"/>
                <w:lang w:val="en-US" w:eastAsia="zh-CN"/>
              </w:rPr>
              <w:t>人无责任的得1分，本项最高得2分。</w:t>
            </w:r>
          </w:p>
        </w:tc>
        <w:tc>
          <w:tcPr>
            <w:tcW w:w="750" w:type="dxa"/>
            <w:noWrap w:val="0"/>
            <w:vAlign w:val="center"/>
          </w:tcPr>
          <w:p w14:paraId="202682FE">
            <w:pPr>
              <w:snapToGrid w:val="0"/>
              <w:spacing w:line="360" w:lineRule="auto"/>
              <w:jc w:val="center"/>
              <w:rPr>
                <w:rFonts w:hint="eastAsia" w:ascii="宋体" w:hAnsi="宋体" w:eastAsia="宋体" w:cs="宋体"/>
                <w:color w:val="auto"/>
                <w:sz w:val="22"/>
                <w:szCs w:val="22"/>
                <w:highlight w:val="none"/>
                <w:u w:val="none"/>
                <w:lang w:bidi="ar-SA"/>
              </w:rPr>
            </w:pPr>
            <w:r>
              <w:rPr>
                <w:rFonts w:hint="eastAsia" w:ascii="宋体" w:hAnsi="宋体" w:eastAsia="宋体" w:cs="宋体"/>
                <w:color w:val="auto"/>
                <w:sz w:val="22"/>
                <w:szCs w:val="22"/>
                <w:highlight w:val="none"/>
                <w:u w:val="none"/>
                <w:lang w:val="en-US" w:eastAsia="zh-CN" w:bidi="ar-SA"/>
              </w:rPr>
              <w:t>2</w:t>
            </w:r>
            <w:r>
              <w:rPr>
                <w:rFonts w:hint="eastAsia" w:ascii="宋体" w:hAnsi="宋体" w:eastAsia="宋体" w:cs="宋体"/>
                <w:color w:val="auto"/>
                <w:sz w:val="22"/>
                <w:szCs w:val="22"/>
                <w:highlight w:val="none"/>
                <w:u w:val="none"/>
                <w:lang w:bidi="ar-SA"/>
              </w:rPr>
              <w:t>分</w:t>
            </w:r>
          </w:p>
        </w:tc>
      </w:tr>
      <w:tr w14:paraId="46F5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15" w:type="dxa"/>
            <w:vMerge w:val="continue"/>
            <w:noWrap w:val="0"/>
            <w:vAlign w:val="center"/>
          </w:tcPr>
          <w:p w14:paraId="488A6D4B">
            <w:pPr>
              <w:rPr>
                <w:rFonts w:hint="eastAsia" w:ascii="宋体" w:hAnsi="宋体" w:eastAsia="宋体" w:cs="宋体"/>
                <w:color w:val="auto"/>
                <w:sz w:val="22"/>
                <w:szCs w:val="22"/>
                <w:u w:val="none"/>
              </w:rPr>
            </w:pPr>
          </w:p>
        </w:tc>
        <w:tc>
          <w:tcPr>
            <w:tcW w:w="1140" w:type="dxa"/>
            <w:noWrap w:val="0"/>
            <w:vAlign w:val="center"/>
          </w:tcPr>
          <w:p w14:paraId="702BC7C5">
            <w:pPr>
              <w:widowControl/>
              <w:spacing w:line="36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w:t>
            </w:r>
          </w:p>
        </w:tc>
        <w:tc>
          <w:tcPr>
            <w:tcW w:w="6090" w:type="dxa"/>
            <w:noWrap w:val="0"/>
            <w:vAlign w:val="center"/>
          </w:tcPr>
          <w:p w14:paraId="76121E2D">
            <w:pPr>
              <w:pStyle w:val="42"/>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根据供应商提供的服务承诺情况、服务响应情况、对货物出现质量问题的调换、退货等服务方案进行打分：</w:t>
            </w:r>
          </w:p>
          <w:p w14:paraId="03EB9268">
            <w:pPr>
              <w:pStyle w:val="42"/>
              <w:numPr>
                <w:ilvl w:val="0"/>
                <w:numId w:val="9"/>
              </w:numPr>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服务承诺详细、完善、切实可行，优于采购要求的得5分；</w:t>
            </w:r>
          </w:p>
          <w:p w14:paraId="15AF0150">
            <w:pPr>
              <w:pStyle w:val="42"/>
              <w:numPr>
                <w:ilvl w:val="0"/>
                <w:numId w:val="9"/>
              </w:numPr>
              <w:spacing w:line="360" w:lineRule="auto"/>
              <w:ind w:left="0" w:leftChars="0" w:firstLine="0" w:firstLineChars="0"/>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服务承诺基本详细、完善、切实可行，基本满足采购要求的得3分；</w:t>
            </w:r>
          </w:p>
          <w:p w14:paraId="46B6A57A">
            <w:pPr>
              <w:pStyle w:val="42"/>
              <w:numPr>
                <w:ilvl w:val="0"/>
                <w:numId w:val="9"/>
              </w:numPr>
              <w:spacing w:line="360" w:lineRule="auto"/>
              <w:ind w:left="0" w:leftChars="0" w:firstLine="0" w:firstLineChars="0"/>
              <w:jc w:val="both"/>
              <w:rPr>
                <w:rFonts w:hint="eastAsia" w:ascii="宋体" w:hAnsi="宋体" w:eastAsia="宋体" w:cs="宋体"/>
                <w:color w:val="auto"/>
                <w:sz w:val="22"/>
                <w:szCs w:val="22"/>
                <w:u w:val="none"/>
                <w:lang w:eastAsia="zh-CN" w:bidi="ar-SA"/>
              </w:rPr>
            </w:pPr>
            <w:r>
              <w:rPr>
                <w:rFonts w:hint="eastAsia" w:ascii="宋体" w:hAnsi="宋体" w:eastAsia="宋体" w:cs="宋体"/>
                <w:color w:val="auto"/>
                <w:sz w:val="22"/>
                <w:szCs w:val="22"/>
                <w:u w:val="none"/>
                <w:lang w:bidi="ar-SA"/>
              </w:rPr>
              <w:t>服务承诺不详细、不完善的得1分</w:t>
            </w:r>
            <w:r>
              <w:rPr>
                <w:rFonts w:hint="eastAsia" w:ascii="宋体" w:hAnsi="宋体" w:eastAsia="宋体" w:cs="宋体"/>
                <w:color w:val="auto"/>
                <w:sz w:val="22"/>
                <w:szCs w:val="22"/>
                <w:u w:val="none"/>
                <w:lang w:eastAsia="zh-CN" w:bidi="ar-SA"/>
              </w:rPr>
              <w:t>；</w:t>
            </w:r>
          </w:p>
          <w:p w14:paraId="68ACE3E5">
            <w:pPr>
              <w:pStyle w:val="42"/>
              <w:numPr>
                <w:ilvl w:val="0"/>
                <w:numId w:val="0"/>
              </w:numPr>
              <w:spacing w:line="360" w:lineRule="auto"/>
              <w:ind w:leftChars="0"/>
              <w:jc w:val="both"/>
              <w:rPr>
                <w:rFonts w:hint="default"/>
                <w:lang w:val="en-US" w:eastAsia="zh-CN"/>
              </w:rPr>
            </w:pPr>
            <w:r>
              <w:rPr>
                <w:rFonts w:hint="eastAsia" w:ascii="宋体" w:hAnsi="宋体" w:eastAsia="宋体" w:cs="宋体"/>
                <w:color w:val="auto"/>
                <w:sz w:val="22"/>
                <w:szCs w:val="22"/>
                <w:u w:val="none"/>
                <w:lang w:val="en-US" w:eastAsia="zh-CN" w:bidi="ar-SA"/>
              </w:rPr>
              <w:t>4.缺项或未提供不得分</w:t>
            </w:r>
          </w:p>
        </w:tc>
        <w:tc>
          <w:tcPr>
            <w:tcW w:w="750" w:type="dxa"/>
            <w:noWrap w:val="0"/>
            <w:vAlign w:val="center"/>
          </w:tcPr>
          <w:p w14:paraId="4A4F8AE9">
            <w:pPr>
              <w:snapToGrid w:val="0"/>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793A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95" w:type="dxa"/>
            <w:gridSpan w:val="4"/>
            <w:noWrap w:val="0"/>
            <w:vAlign w:val="center"/>
          </w:tcPr>
          <w:p w14:paraId="543E046D">
            <w:pPr>
              <w:snapToGrid w:val="0"/>
              <w:spacing w:line="360" w:lineRule="auto"/>
              <w:jc w:val="left"/>
              <w:rPr>
                <w:rFonts w:hint="default"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注：供应商综合得分=报价部分+技术部分+商务部分。</w:t>
            </w:r>
          </w:p>
        </w:tc>
      </w:tr>
    </w:tbl>
    <w:p w14:paraId="536A06E2">
      <w:pPr>
        <w:numPr>
          <w:ilvl w:val="0"/>
          <w:numId w:val="0"/>
        </w:numPr>
        <w:tabs>
          <w:tab w:val="left" w:pos="312"/>
        </w:tabs>
        <w:spacing w:line="500" w:lineRule="exact"/>
        <w:ind w:firstLine="482" w:firstLineChars="200"/>
        <w:rPr>
          <w:rFonts w:ascii="宋体" w:hAnsi="宋体" w:cs="宋体"/>
          <w:b/>
          <w:sz w:val="24"/>
          <w:szCs w:val="24"/>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p>
    <w:p w14:paraId="2661E1DC">
      <w:pPr>
        <w:spacing w:line="500" w:lineRule="exact"/>
        <w:ind w:firstLine="482" w:firstLineChars="200"/>
        <w:rPr>
          <w:rFonts w:ascii="宋体" w:hAnsi="宋体" w:cs="宋体"/>
          <w:b/>
          <w:bCs/>
          <w:sz w:val="24"/>
          <w:szCs w:val="24"/>
        </w:rPr>
      </w:pPr>
      <w:r>
        <w:rPr>
          <w:rFonts w:hint="eastAsia" w:ascii="宋体" w:hAnsi="宋体" w:cs="宋体"/>
          <w:b/>
          <w:bCs/>
          <w:sz w:val="24"/>
          <w:szCs w:val="24"/>
        </w:rPr>
        <w:t>2、 评审标准</w:t>
      </w:r>
    </w:p>
    <w:p w14:paraId="7DACDA7F">
      <w:pPr>
        <w:spacing w:line="500" w:lineRule="exact"/>
        <w:ind w:firstLine="420" w:firstLineChars="175"/>
        <w:rPr>
          <w:rFonts w:ascii="宋体" w:hAnsi="宋体" w:cs="宋体"/>
          <w:sz w:val="24"/>
          <w:szCs w:val="24"/>
        </w:rPr>
      </w:pPr>
      <w:bookmarkStart w:id="109" w:name="_Toc12931"/>
      <w:bookmarkEnd w:id="109"/>
      <w:bookmarkStart w:id="110" w:name="_Toc23196"/>
      <w:bookmarkEnd w:id="110"/>
      <w:bookmarkStart w:id="111" w:name="_Toc179632620"/>
      <w:bookmarkEnd w:id="111"/>
      <w:bookmarkStart w:id="112" w:name="_Toc31847"/>
      <w:bookmarkEnd w:id="112"/>
      <w:r>
        <w:rPr>
          <w:rFonts w:hint="eastAsia" w:ascii="宋体" w:hAnsi="宋体" w:cs="宋体"/>
          <w:sz w:val="24"/>
          <w:szCs w:val="24"/>
        </w:rPr>
        <w:t>2.1 初步评审标准</w:t>
      </w:r>
    </w:p>
    <w:p w14:paraId="314A48EA">
      <w:pPr>
        <w:spacing w:line="500" w:lineRule="exact"/>
        <w:ind w:firstLine="420" w:firstLineChars="175"/>
        <w:rPr>
          <w:rFonts w:ascii="宋体" w:hAnsi="宋体" w:cs="宋体"/>
          <w:sz w:val="24"/>
          <w:szCs w:val="24"/>
        </w:rPr>
      </w:pPr>
      <w:r>
        <w:rPr>
          <w:rFonts w:hint="eastAsia" w:ascii="宋体" w:hAnsi="宋体" w:cs="宋体"/>
          <w:sz w:val="24"/>
          <w:szCs w:val="24"/>
        </w:rPr>
        <w:t>2.1.1符合性评审标准：见磋商办法前附表。</w:t>
      </w:r>
    </w:p>
    <w:p w14:paraId="1D69EDA8">
      <w:pPr>
        <w:spacing w:line="500" w:lineRule="exact"/>
        <w:ind w:firstLine="420" w:firstLineChars="175"/>
        <w:rPr>
          <w:rFonts w:ascii="宋体" w:hAnsi="宋体" w:cs="宋体"/>
          <w:sz w:val="24"/>
          <w:szCs w:val="24"/>
        </w:rPr>
      </w:pPr>
      <w:r>
        <w:rPr>
          <w:rFonts w:hint="eastAsia" w:ascii="宋体" w:hAnsi="宋体" w:cs="宋体"/>
          <w:sz w:val="24"/>
          <w:szCs w:val="24"/>
        </w:rPr>
        <w:t>2.1.2 资格</w:t>
      </w:r>
      <w:r>
        <w:rPr>
          <w:rFonts w:hint="eastAsia" w:ascii="宋体" w:hAnsi="宋体" w:cs="宋体"/>
          <w:sz w:val="24"/>
          <w:szCs w:val="24"/>
          <w:lang w:eastAsia="zh-CN"/>
        </w:rPr>
        <w:t>性</w:t>
      </w:r>
      <w:r>
        <w:rPr>
          <w:rFonts w:hint="eastAsia" w:ascii="宋体" w:hAnsi="宋体" w:cs="宋体"/>
          <w:sz w:val="24"/>
          <w:szCs w:val="24"/>
        </w:rPr>
        <w:t>评审标准：见磋商办法前附表。</w:t>
      </w:r>
    </w:p>
    <w:p w14:paraId="10D37FAC">
      <w:pPr>
        <w:spacing w:line="500" w:lineRule="exact"/>
        <w:ind w:firstLine="420" w:firstLineChars="175"/>
        <w:rPr>
          <w:rFonts w:ascii="宋体" w:hAnsi="宋体" w:cs="宋体"/>
          <w:sz w:val="24"/>
          <w:szCs w:val="24"/>
        </w:rPr>
      </w:pPr>
      <w:r>
        <w:rPr>
          <w:rFonts w:hint="eastAsia" w:ascii="宋体" w:hAnsi="宋体" w:cs="宋体"/>
          <w:sz w:val="24"/>
          <w:szCs w:val="24"/>
        </w:rPr>
        <w:t>2.1.3 响应性评审标准：见磋商办法前附表。</w:t>
      </w:r>
    </w:p>
    <w:p w14:paraId="68094FC5">
      <w:pPr>
        <w:spacing w:line="500" w:lineRule="exact"/>
        <w:ind w:firstLine="420" w:firstLineChars="175"/>
        <w:rPr>
          <w:rFonts w:hint="default" w:ascii="宋体" w:hAnsi="宋体" w:cs="宋体" w:eastAsiaTheme="minorEastAsia"/>
          <w:sz w:val="24"/>
          <w:szCs w:val="24"/>
          <w:lang w:val="en-US" w:eastAsia="zh-CN"/>
        </w:rPr>
      </w:pPr>
      <w:bookmarkStart w:id="113" w:name="_Toc179632621"/>
      <w:bookmarkEnd w:id="113"/>
      <w:bookmarkStart w:id="114" w:name="_Toc607"/>
      <w:bookmarkEnd w:id="114"/>
      <w:bookmarkStart w:id="115" w:name="_Toc11804"/>
      <w:bookmarkEnd w:id="115"/>
      <w:bookmarkStart w:id="116" w:name="_Toc16603"/>
      <w:bookmarkEnd w:id="116"/>
      <w:r>
        <w:rPr>
          <w:rFonts w:hint="eastAsia" w:ascii="宋体" w:hAnsi="宋体" w:cs="宋体"/>
          <w:sz w:val="24"/>
          <w:szCs w:val="24"/>
        </w:rPr>
        <w:t>2.2 分值构成与评分标准</w:t>
      </w:r>
      <w:r>
        <w:rPr>
          <w:rFonts w:hint="eastAsia" w:ascii="宋体" w:hAnsi="宋体" w:cs="宋体"/>
          <w:sz w:val="24"/>
          <w:szCs w:val="24"/>
          <w:lang w:eastAsia="zh-CN"/>
        </w:rPr>
        <w:t>：</w:t>
      </w:r>
      <w:r>
        <w:rPr>
          <w:rFonts w:hint="eastAsia" w:ascii="宋体" w:hAnsi="宋体" w:cs="宋体"/>
          <w:sz w:val="24"/>
          <w:szCs w:val="24"/>
          <w:lang w:val="en-US" w:eastAsia="zh-CN"/>
        </w:rPr>
        <w:t>见详细评分表。</w:t>
      </w:r>
    </w:p>
    <w:p w14:paraId="003CCFD8">
      <w:pPr>
        <w:spacing w:line="500" w:lineRule="exact"/>
        <w:ind w:firstLine="482" w:firstLineChars="200"/>
        <w:rPr>
          <w:rFonts w:ascii="宋体" w:hAnsi="宋体" w:cs="宋体"/>
          <w:b/>
          <w:bCs/>
          <w:sz w:val="24"/>
          <w:szCs w:val="24"/>
        </w:rPr>
      </w:pPr>
      <w:bookmarkStart w:id="117" w:name="_Toc152042381"/>
      <w:bookmarkEnd w:id="117"/>
      <w:r>
        <w:rPr>
          <w:rFonts w:hint="eastAsia" w:ascii="宋体" w:hAnsi="宋体" w:cs="宋体"/>
          <w:b/>
          <w:bCs/>
          <w:sz w:val="24"/>
          <w:szCs w:val="24"/>
        </w:rPr>
        <w:t>3、磋商程序</w:t>
      </w:r>
    </w:p>
    <w:p w14:paraId="4137BCAD">
      <w:pPr>
        <w:spacing w:line="500" w:lineRule="exact"/>
        <w:ind w:firstLine="480" w:firstLineChars="200"/>
        <w:rPr>
          <w:rFonts w:ascii="宋体" w:hAnsi="宋体" w:cs="宋体"/>
          <w:sz w:val="24"/>
          <w:szCs w:val="24"/>
        </w:rPr>
      </w:pPr>
      <w:bookmarkStart w:id="118" w:name="_Toc152042382"/>
      <w:bookmarkEnd w:id="118"/>
      <w:bookmarkStart w:id="119" w:name="_Toc152045605"/>
      <w:bookmarkEnd w:id="119"/>
      <w:bookmarkStart w:id="120" w:name="_Toc179632623"/>
      <w:bookmarkEnd w:id="120"/>
      <w:bookmarkStart w:id="121" w:name="_Toc31010"/>
      <w:bookmarkEnd w:id="121"/>
      <w:bookmarkStart w:id="122" w:name="_Toc30372"/>
      <w:bookmarkEnd w:id="122"/>
      <w:bookmarkStart w:id="123" w:name="_Toc8644"/>
      <w:bookmarkEnd w:id="123"/>
      <w:bookmarkStart w:id="124" w:name="_Toc144974572"/>
      <w:bookmarkEnd w:id="124"/>
      <w:r>
        <w:rPr>
          <w:rFonts w:hint="eastAsia" w:ascii="宋体" w:hAnsi="宋体" w:cs="宋体"/>
          <w:sz w:val="24"/>
          <w:szCs w:val="24"/>
        </w:rPr>
        <w:t>3.1 初步评审</w:t>
      </w:r>
    </w:p>
    <w:p w14:paraId="23CB99A6">
      <w:pPr>
        <w:spacing w:line="500" w:lineRule="exact"/>
        <w:ind w:firstLine="480" w:firstLineChars="200"/>
        <w:rPr>
          <w:rFonts w:ascii="宋体" w:hAnsi="宋体" w:cs="宋体"/>
          <w:sz w:val="24"/>
          <w:szCs w:val="24"/>
        </w:rPr>
      </w:pPr>
      <w:r>
        <w:rPr>
          <w:rFonts w:hint="eastAsia" w:ascii="宋体" w:hAnsi="宋体" w:cs="宋体"/>
          <w:sz w:val="24"/>
          <w:szCs w:val="24"/>
        </w:rPr>
        <w:t>3.1.1 资格审查以响应文件为准，其上传资料真实性由供应商自行承担。磋商小组依据本章规定的标准对响应文件进行初步评审。有一项不符合评审标准的，其磋商将被否决。</w:t>
      </w:r>
    </w:p>
    <w:p w14:paraId="7E674AEF">
      <w:pPr>
        <w:spacing w:line="500" w:lineRule="exact"/>
        <w:ind w:firstLine="480" w:firstLineChars="200"/>
        <w:rPr>
          <w:rFonts w:ascii="宋体" w:hAnsi="宋体" w:cs="宋体"/>
          <w:sz w:val="24"/>
          <w:szCs w:val="24"/>
        </w:rPr>
      </w:pPr>
      <w:r>
        <w:rPr>
          <w:rFonts w:hint="eastAsia" w:ascii="宋体" w:hAnsi="宋体" w:cs="宋体"/>
          <w:sz w:val="24"/>
          <w:szCs w:val="24"/>
        </w:rPr>
        <w:t>3.1.2磋商小组依据</w:t>
      </w:r>
      <w:r>
        <w:rPr>
          <w:rFonts w:hint="eastAsia" w:ascii="宋体" w:hAnsi="宋体" w:cs="宋体"/>
          <w:sz w:val="24"/>
          <w:szCs w:val="24"/>
          <w:lang w:val="en-US" w:eastAsia="zh-CN"/>
        </w:rPr>
        <w:t>磋商文件</w:t>
      </w:r>
      <w:r>
        <w:rPr>
          <w:rFonts w:hint="eastAsia" w:ascii="宋体" w:hAnsi="宋体" w:cs="宋体"/>
          <w:sz w:val="24"/>
          <w:szCs w:val="24"/>
        </w:rPr>
        <w:t>规定的评审标准对响应文件进行初步评审。有一项不符合评审标准的，其磋商将被否决。</w:t>
      </w:r>
    </w:p>
    <w:p w14:paraId="2AA8F5FE">
      <w:pPr>
        <w:spacing w:line="50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6FCFF6CD">
      <w:pPr>
        <w:spacing w:line="50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47F79C0">
      <w:pPr>
        <w:spacing w:line="50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4AA4F7BB">
      <w:pPr>
        <w:spacing w:line="50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7B91ABD9">
      <w:pPr>
        <w:spacing w:line="500" w:lineRule="exact"/>
        <w:ind w:firstLine="480" w:firstLineChars="200"/>
        <w:rPr>
          <w:rFonts w:ascii="宋体" w:hAnsi="宋体" w:cs="宋体"/>
          <w:sz w:val="24"/>
          <w:szCs w:val="24"/>
        </w:rPr>
      </w:pPr>
      <w:bookmarkStart w:id="125" w:name="_Toc152042383"/>
      <w:bookmarkEnd w:id="125"/>
      <w:r>
        <w:rPr>
          <w:rFonts w:hint="eastAsia" w:ascii="宋体" w:hAnsi="宋体" w:cs="宋体"/>
          <w:sz w:val="24"/>
          <w:szCs w:val="24"/>
        </w:rPr>
        <w:t>（1）响应文件中的大写金额与小写金额不一致的，以大写金额为准；</w:t>
      </w:r>
    </w:p>
    <w:p w14:paraId="0FFE0233">
      <w:pPr>
        <w:spacing w:line="50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1435BD12">
      <w:pPr>
        <w:spacing w:line="500" w:lineRule="exact"/>
        <w:ind w:firstLine="480" w:firstLineChars="200"/>
        <w:rPr>
          <w:rFonts w:ascii="宋体" w:hAnsi="宋体" w:cs="宋体"/>
          <w:sz w:val="24"/>
          <w:szCs w:val="24"/>
        </w:rPr>
      </w:pPr>
      <w:bookmarkStart w:id="126" w:name="_Toc144974573"/>
      <w:bookmarkEnd w:id="126"/>
      <w:bookmarkStart w:id="127" w:name="_Toc179632624"/>
      <w:bookmarkEnd w:id="127"/>
      <w:bookmarkStart w:id="128" w:name="_Toc152042384"/>
      <w:bookmarkEnd w:id="128"/>
      <w:bookmarkStart w:id="129" w:name="_Toc152045606"/>
      <w:bookmarkEnd w:id="129"/>
      <w:r>
        <w:rPr>
          <w:rFonts w:hint="eastAsia" w:ascii="宋体" w:hAnsi="宋体" w:cs="宋体"/>
          <w:sz w:val="24"/>
          <w:szCs w:val="24"/>
        </w:rPr>
        <w:t>3.2 详细评审</w:t>
      </w:r>
    </w:p>
    <w:p w14:paraId="6472B06A">
      <w:pPr>
        <w:spacing w:line="500" w:lineRule="exact"/>
        <w:ind w:firstLine="480" w:firstLineChars="200"/>
        <w:rPr>
          <w:rFonts w:ascii="宋体" w:hAnsi="宋体" w:cs="宋体"/>
          <w:sz w:val="24"/>
          <w:szCs w:val="24"/>
        </w:rPr>
      </w:pPr>
      <w:r>
        <w:rPr>
          <w:rFonts w:hint="eastAsia" w:ascii="宋体" w:hAnsi="宋体" w:cs="宋体"/>
          <w:sz w:val="24"/>
          <w:szCs w:val="24"/>
        </w:rPr>
        <w:t>3.2.1 磋商小组按本章详细评审规定的量化因素和分值进行打分，并计算出综合评估得分。</w:t>
      </w:r>
    </w:p>
    <w:p w14:paraId="478E6625">
      <w:pPr>
        <w:spacing w:line="50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磋商控制价时明显低于磋商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6F5CFE2B">
      <w:pPr>
        <w:pStyle w:val="42"/>
        <w:spacing w:line="480" w:lineRule="exact"/>
        <w:ind w:firstLine="480" w:firstLineChars="200"/>
        <w:rPr>
          <w:color w:val="auto"/>
        </w:rPr>
      </w:pPr>
      <w:r>
        <w:rPr>
          <w:rFonts w:hint="eastAsia"/>
          <w:color w:val="auto"/>
        </w:rPr>
        <w:t>3.2.3、在磋商过程中，评审得分相同的，首先以报价最低的供应商获得成交供应商推荐资格；若报价相同的，以服务承诺得分最高的供应商获得成交供应商推荐资格。</w:t>
      </w:r>
    </w:p>
    <w:p w14:paraId="3648CEA0">
      <w:pPr>
        <w:spacing w:line="500" w:lineRule="exact"/>
        <w:ind w:firstLine="480" w:firstLineChars="200"/>
        <w:rPr>
          <w:rFonts w:ascii="宋体" w:hAnsi="宋体" w:cs="宋体"/>
          <w:sz w:val="24"/>
          <w:szCs w:val="24"/>
        </w:rPr>
      </w:pPr>
      <w:bookmarkStart w:id="130" w:name="_Toc418608950"/>
      <w:bookmarkEnd w:id="130"/>
      <w:bookmarkStart w:id="131" w:name="_Toc179632625"/>
      <w:bookmarkEnd w:id="131"/>
      <w:bookmarkStart w:id="132" w:name="_Toc418605429"/>
      <w:bookmarkEnd w:id="132"/>
      <w:bookmarkStart w:id="133" w:name="_Toc387498748"/>
      <w:bookmarkEnd w:id="133"/>
      <w:bookmarkStart w:id="134" w:name="_Toc423358132"/>
      <w:bookmarkEnd w:id="134"/>
      <w:bookmarkStart w:id="135" w:name="_Toc401926485"/>
      <w:bookmarkEnd w:id="135"/>
      <w:bookmarkStart w:id="136" w:name="_Toc389384087"/>
      <w:bookmarkEnd w:id="136"/>
      <w:bookmarkStart w:id="137" w:name="_Toc152042385"/>
      <w:bookmarkEnd w:id="137"/>
      <w:bookmarkStart w:id="138" w:name="_Toc421805017"/>
      <w:bookmarkEnd w:id="138"/>
      <w:bookmarkStart w:id="139" w:name="_Toc144974575"/>
      <w:bookmarkEnd w:id="139"/>
      <w:bookmarkStart w:id="140" w:name="_Toc466566711"/>
      <w:bookmarkEnd w:id="140"/>
      <w:bookmarkStart w:id="141" w:name="_Toc421698384"/>
      <w:bookmarkEnd w:id="141"/>
      <w:bookmarkStart w:id="142" w:name="_Toc152045607"/>
      <w:bookmarkEnd w:id="142"/>
      <w:bookmarkStart w:id="143" w:name="_Toc466566800"/>
      <w:bookmarkEnd w:id="143"/>
      <w:bookmarkStart w:id="144" w:name="_Toc401512224"/>
      <w:bookmarkEnd w:id="144"/>
      <w:r>
        <w:rPr>
          <w:rFonts w:hint="eastAsia" w:ascii="宋体" w:hAnsi="宋体" w:cs="宋体"/>
          <w:sz w:val="24"/>
          <w:szCs w:val="24"/>
        </w:rPr>
        <w:t>3.3 响应文件的澄清和补正</w:t>
      </w:r>
    </w:p>
    <w:p w14:paraId="314D271F">
      <w:pPr>
        <w:spacing w:line="50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w:t>
      </w:r>
      <w:r>
        <w:rPr>
          <w:rFonts w:hint="eastAsia" w:ascii="宋体" w:hAnsi="宋体" w:cs="宋体"/>
          <w:sz w:val="24"/>
          <w:szCs w:val="24"/>
          <w:lang w:eastAsia="zh-CN"/>
        </w:rPr>
        <w:t>供应商</w:t>
      </w:r>
      <w:r>
        <w:rPr>
          <w:rFonts w:hint="eastAsia" w:ascii="宋体" w:hAnsi="宋体" w:cs="宋体"/>
          <w:sz w:val="24"/>
          <w:szCs w:val="24"/>
        </w:rPr>
        <w:t>主动提出的澄清、说明或补正。</w:t>
      </w:r>
    </w:p>
    <w:p w14:paraId="20A4C32B">
      <w:pPr>
        <w:spacing w:line="50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6E2FC458">
      <w:pPr>
        <w:spacing w:line="50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79FE041B">
      <w:pPr>
        <w:spacing w:line="500" w:lineRule="exact"/>
        <w:ind w:firstLine="480" w:firstLineChars="200"/>
        <w:rPr>
          <w:rFonts w:ascii="宋体" w:hAnsi="宋体" w:cs="宋体"/>
          <w:sz w:val="24"/>
          <w:szCs w:val="24"/>
        </w:rPr>
      </w:pPr>
      <w:bookmarkStart w:id="145" w:name="_Toc418608951"/>
      <w:bookmarkEnd w:id="145"/>
      <w:bookmarkStart w:id="146" w:name="_Toc421698385"/>
      <w:bookmarkEnd w:id="146"/>
      <w:bookmarkStart w:id="147" w:name="_Toc389384088"/>
      <w:bookmarkEnd w:id="147"/>
      <w:bookmarkStart w:id="148" w:name="_Toc401926486"/>
      <w:bookmarkEnd w:id="148"/>
      <w:bookmarkStart w:id="149" w:name="_Toc401512225"/>
      <w:bookmarkEnd w:id="149"/>
      <w:bookmarkStart w:id="150" w:name="_Toc179632626"/>
      <w:bookmarkEnd w:id="150"/>
      <w:bookmarkStart w:id="151" w:name="_Toc418605430"/>
      <w:bookmarkEnd w:id="151"/>
      <w:bookmarkStart w:id="152" w:name="_Toc144974576"/>
      <w:bookmarkEnd w:id="152"/>
      <w:bookmarkStart w:id="153" w:name="_Toc387498749"/>
      <w:bookmarkEnd w:id="153"/>
      <w:bookmarkStart w:id="154" w:name="_Toc421805018"/>
      <w:bookmarkEnd w:id="154"/>
      <w:bookmarkStart w:id="155" w:name="_Toc152042386"/>
      <w:bookmarkEnd w:id="155"/>
      <w:bookmarkStart w:id="156" w:name="_Toc466566712"/>
      <w:bookmarkEnd w:id="156"/>
      <w:bookmarkStart w:id="157" w:name="_Toc152045608"/>
      <w:bookmarkEnd w:id="157"/>
      <w:bookmarkStart w:id="158" w:name="_Toc466566801"/>
      <w:bookmarkEnd w:id="158"/>
      <w:bookmarkStart w:id="159" w:name="_Toc423358133"/>
      <w:bookmarkEnd w:id="159"/>
      <w:r>
        <w:rPr>
          <w:rFonts w:hint="eastAsia" w:ascii="宋体" w:hAnsi="宋体" w:cs="宋体"/>
          <w:sz w:val="24"/>
          <w:szCs w:val="24"/>
        </w:rPr>
        <w:t>3.4供应商的最终得分</w:t>
      </w:r>
    </w:p>
    <w:p w14:paraId="4A1987F5">
      <w:pPr>
        <w:spacing w:line="500" w:lineRule="exact"/>
        <w:ind w:firstLine="480" w:firstLineChars="200"/>
        <w:rPr>
          <w:rFonts w:ascii="宋体" w:hAnsi="宋体" w:cs="宋体"/>
          <w:sz w:val="24"/>
          <w:szCs w:val="24"/>
        </w:rPr>
      </w:pPr>
      <w:r>
        <w:rPr>
          <w:rFonts w:hint="eastAsia" w:ascii="宋体" w:hAnsi="宋体" w:cs="宋体"/>
          <w:sz w:val="24"/>
          <w:szCs w:val="24"/>
        </w:rPr>
        <w:t>（1）磋商小组完成对最终磋商报价、技术部分和商务部分的汇总后，取平均值作为该供应商的最终得分。</w:t>
      </w:r>
    </w:p>
    <w:p w14:paraId="7F0182F0">
      <w:pPr>
        <w:spacing w:line="50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6359E057">
      <w:pPr>
        <w:spacing w:line="500" w:lineRule="exact"/>
        <w:ind w:firstLine="480" w:firstLineChars="200"/>
        <w:rPr>
          <w:rFonts w:ascii="宋体" w:hAnsi="宋体" w:cs="宋体"/>
          <w:sz w:val="24"/>
          <w:szCs w:val="24"/>
        </w:rPr>
      </w:pPr>
      <w:r>
        <w:rPr>
          <w:rFonts w:hint="eastAsia" w:ascii="宋体" w:hAnsi="宋体" w:cs="宋体"/>
          <w:sz w:val="24"/>
          <w:szCs w:val="24"/>
        </w:rPr>
        <w:t>3.5磋商结果</w:t>
      </w:r>
    </w:p>
    <w:p w14:paraId="1B430A4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sz w:val="24"/>
          <w:szCs w:val="24"/>
        </w:rPr>
      </w:pPr>
      <w:r>
        <w:rPr>
          <w:rFonts w:hint="eastAsia" w:ascii="宋体" w:hAnsi="宋体" w:cs="宋体"/>
          <w:sz w:val="24"/>
          <w:szCs w:val="24"/>
        </w:rPr>
        <w:t>3.5.1磋商小组按照得分由高到低的顺序推荐成交候选人。</w:t>
      </w:r>
    </w:p>
    <w:p w14:paraId="72DA1D8B">
      <w:pPr>
        <w:ind w:firstLine="480" w:firstLineChars="200"/>
        <w:rPr>
          <w:rFonts w:hint="eastAsia" w:ascii="宋体" w:hAnsi="宋体" w:cs="宋体"/>
          <w:sz w:val="24"/>
          <w:szCs w:val="24"/>
        </w:rPr>
      </w:pPr>
      <w:r>
        <w:rPr>
          <w:rFonts w:hint="eastAsia" w:ascii="宋体" w:hAnsi="宋体" w:cs="宋体"/>
          <w:sz w:val="24"/>
          <w:szCs w:val="24"/>
        </w:rPr>
        <w:t>3.5.2 磋商小组完成磋商后，应当向采购人提交书面评标报告。</w:t>
      </w:r>
    </w:p>
    <w:p w14:paraId="4BA1480B">
      <w:pPr>
        <w:rPr>
          <w:rFonts w:hint="eastAsia" w:ascii="宋体" w:hAnsi="宋体" w:cs="宋体"/>
          <w:sz w:val="24"/>
          <w:szCs w:val="24"/>
        </w:rPr>
      </w:pPr>
    </w:p>
    <w:p w14:paraId="53846D5E">
      <w:pPr>
        <w:rPr>
          <w:rFonts w:hint="eastAsia" w:ascii="宋体" w:hAnsi="宋体" w:cs="宋体"/>
          <w:sz w:val="24"/>
          <w:szCs w:val="24"/>
        </w:rPr>
      </w:pPr>
    </w:p>
    <w:p w14:paraId="79DC38C9">
      <w:pPr>
        <w:rPr>
          <w:rFonts w:hint="eastAsia" w:ascii="宋体" w:hAnsi="宋体" w:cs="宋体"/>
          <w:sz w:val="24"/>
          <w:szCs w:val="24"/>
        </w:rPr>
      </w:pPr>
    </w:p>
    <w:p w14:paraId="7A6B1CF1">
      <w:pPr>
        <w:rPr>
          <w:rFonts w:hint="eastAsia" w:ascii="宋体" w:hAnsi="宋体" w:cs="宋体"/>
          <w:sz w:val="24"/>
          <w:szCs w:val="24"/>
        </w:rPr>
      </w:pPr>
    </w:p>
    <w:p w14:paraId="6E1AA0FE">
      <w:pPr>
        <w:rPr>
          <w:rFonts w:hint="eastAsia" w:ascii="宋体" w:hAnsi="宋体" w:cs="宋体"/>
          <w:sz w:val="24"/>
          <w:szCs w:val="24"/>
        </w:rPr>
      </w:pPr>
    </w:p>
    <w:p w14:paraId="3BA7A3E6">
      <w:pPr>
        <w:rPr>
          <w:rFonts w:hint="eastAsia" w:ascii="宋体" w:hAnsi="宋体" w:cs="宋体"/>
          <w:sz w:val="24"/>
          <w:szCs w:val="24"/>
        </w:rPr>
      </w:pPr>
    </w:p>
    <w:p w14:paraId="02147E4E">
      <w:pPr>
        <w:rPr>
          <w:rFonts w:hint="eastAsia" w:ascii="宋体" w:hAnsi="宋体" w:cs="宋体"/>
          <w:sz w:val="24"/>
          <w:szCs w:val="24"/>
        </w:rPr>
      </w:pPr>
    </w:p>
    <w:p w14:paraId="500432B2">
      <w:pPr>
        <w:rPr>
          <w:rFonts w:hint="eastAsia" w:ascii="宋体" w:hAnsi="宋体" w:cs="宋体"/>
          <w:sz w:val="24"/>
          <w:szCs w:val="24"/>
        </w:rPr>
      </w:pPr>
    </w:p>
    <w:p w14:paraId="540D14DA">
      <w:pPr>
        <w:rPr>
          <w:rFonts w:hint="eastAsia" w:ascii="宋体" w:hAnsi="宋体" w:cs="宋体"/>
          <w:sz w:val="24"/>
          <w:szCs w:val="24"/>
        </w:rPr>
      </w:pPr>
    </w:p>
    <w:p w14:paraId="5D32E456">
      <w:pPr>
        <w:rPr>
          <w:rFonts w:hint="eastAsia" w:ascii="宋体" w:hAnsi="宋体" w:cs="宋体"/>
          <w:sz w:val="24"/>
          <w:szCs w:val="24"/>
        </w:rPr>
      </w:pPr>
    </w:p>
    <w:p w14:paraId="04EE69AA">
      <w:pPr>
        <w:rPr>
          <w:rFonts w:hint="eastAsia" w:ascii="宋体" w:hAnsi="宋体" w:cs="宋体"/>
          <w:sz w:val="24"/>
          <w:szCs w:val="24"/>
        </w:rPr>
      </w:pPr>
    </w:p>
    <w:p w14:paraId="0A230F79">
      <w:pPr>
        <w:rPr>
          <w:rFonts w:hint="eastAsia" w:ascii="宋体" w:hAnsi="宋体" w:cs="宋体"/>
          <w:sz w:val="24"/>
          <w:szCs w:val="24"/>
        </w:rPr>
      </w:pPr>
    </w:p>
    <w:p w14:paraId="460BB039">
      <w:pPr>
        <w:rPr>
          <w:rFonts w:hint="eastAsia" w:ascii="宋体" w:hAnsi="宋体" w:cs="宋体"/>
          <w:sz w:val="24"/>
          <w:szCs w:val="24"/>
        </w:rPr>
      </w:pPr>
    </w:p>
    <w:p w14:paraId="5BA3AC28">
      <w:pPr>
        <w:rPr>
          <w:rFonts w:hint="eastAsia" w:ascii="宋体" w:hAnsi="宋体" w:cs="宋体"/>
          <w:sz w:val="24"/>
          <w:szCs w:val="24"/>
        </w:rPr>
      </w:pPr>
    </w:p>
    <w:p w14:paraId="13A93CBA">
      <w:pPr>
        <w:rPr>
          <w:rFonts w:hint="eastAsia" w:ascii="宋体" w:hAnsi="宋体" w:cs="宋体"/>
          <w:sz w:val="24"/>
          <w:szCs w:val="24"/>
        </w:rPr>
      </w:pPr>
    </w:p>
    <w:p w14:paraId="066E92D2">
      <w:pPr>
        <w:rPr>
          <w:rFonts w:hint="eastAsia" w:ascii="宋体" w:hAnsi="宋体" w:cs="宋体"/>
          <w:sz w:val="24"/>
          <w:szCs w:val="24"/>
        </w:rPr>
      </w:pPr>
    </w:p>
    <w:p w14:paraId="446E3D0A">
      <w:pPr>
        <w:rPr>
          <w:rFonts w:hint="eastAsia" w:ascii="宋体" w:hAnsi="宋体" w:cs="宋体"/>
          <w:sz w:val="24"/>
          <w:szCs w:val="24"/>
        </w:rPr>
      </w:pPr>
    </w:p>
    <w:p w14:paraId="245744A1">
      <w:pPr>
        <w:rPr>
          <w:rFonts w:hint="eastAsia" w:ascii="宋体" w:hAnsi="宋体" w:cs="宋体"/>
          <w:sz w:val="24"/>
          <w:szCs w:val="24"/>
        </w:rPr>
      </w:pPr>
    </w:p>
    <w:p w14:paraId="26EFC160">
      <w:pPr>
        <w:rPr>
          <w:rFonts w:hint="eastAsia" w:ascii="宋体" w:hAnsi="宋体" w:cs="宋体"/>
          <w:sz w:val="24"/>
          <w:szCs w:val="24"/>
        </w:rPr>
      </w:pPr>
    </w:p>
    <w:p w14:paraId="7C939820">
      <w:pPr>
        <w:rPr>
          <w:rFonts w:hint="eastAsia" w:ascii="宋体" w:hAnsi="宋体" w:cs="宋体"/>
          <w:sz w:val="24"/>
          <w:szCs w:val="24"/>
        </w:rPr>
      </w:pPr>
    </w:p>
    <w:p w14:paraId="3080E03E">
      <w:pPr>
        <w:rPr>
          <w:rFonts w:hint="eastAsia" w:ascii="宋体" w:hAnsi="宋体" w:cs="宋体"/>
          <w:sz w:val="24"/>
          <w:szCs w:val="24"/>
        </w:rPr>
      </w:pPr>
    </w:p>
    <w:p w14:paraId="72E49F60">
      <w:pPr>
        <w:rPr>
          <w:rFonts w:hint="eastAsia" w:ascii="宋体" w:hAnsi="宋体" w:cs="宋体"/>
          <w:sz w:val="24"/>
          <w:szCs w:val="24"/>
        </w:rPr>
      </w:pPr>
    </w:p>
    <w:p w14:paraId="7CCB000E">
      <w:pPr>
        <w:rPr>
          <w:rFonts w:hint="eastAsia" w:ascii="宋体" w:hAnsi="宋体" w:cs="宋体"/>
          <w:sz w:val="24"/>
          <w:szCs w:val="24"/>
        </w:rPr>
      </w:pPr>
    </w:p>
    <w:p w14:paraId="4EB08F9E">
      <w:pPr>
        <w:rPr>
          <w:rFonts w:hint="eastAsia" w:ascii="宋体" w:hAnsi="宋体" w:cs="宋体"/>
          <w:sz w:val="24"/>
          <w:szCs w:val="24"/>
        </w:rPr>
      </w:pPr>
    </w:p>
    <w:p w14:paraId="2DBD567E">
      <w:pPr>
        <w:rPr>
          <w:rFonts w:hint="eastAsia" w:ascii="宋体" w:hAnsi="宋体" w:cs="宋体"/>
          <w:sz w:val="24"/>
          <w:szCs w:val="24"/>
        </w:rPr>
      </w:pPr>
    </w:p>
    <w:p w14:paraId="04AAD9B3">
      <w:pPr>
        <w:rPr>
          <w:rFonts w:hint="eastAsia" w:ascii="宋体" w:hAnsi="宋体" w:cs="宋体"/>
          <w:sz w:val="24"/>
          <w:szCs w:val="24"/>
        </w:rPr>
      </w:pPr>
    </w:p>
    <w:p w14:paraId="50049B6D">
      <w:pPr>
        <w:rPr>
          <w:rFonts w:hint="eastAsia" w:ascii="宋体" w:hAnsi="宋体" w:cs="宋体"/>
          <w:sz w:val="24"/>
          <w:szCs w:val="24"/>
        </w:rPr>
      </w:pPr>
    </w:p>
    <w:p w14:paraId="42BB9BF8">
      <w:pPr>
        <w:rPr>
          <w:rFonts w:hint="eastAsia" w:ascii="宋体" w:hAnsi="宋体" w:cs="宋体"/>
          <w:sz w:val="24"/>
          <w:szCs w:val="24"/>
        </w:rPr>
      </w:pPr>
    </w:p>
    <w:p w14:paraId="001344C5">
      <w:pPr>
        <w:rPr>
          <w:rFonts w:hint="eastAsia" w:ascii="宋体" w:hAnsi="宋体" w:cs="宋体"/>
          <w:sz w:val="24"/>
          <w:szCs w:val="24"/>
        </w:rPr>
      </w:pPr>
    </w:p>
    <w:p w14:paraId="739EE705">
      <w:pPr>
        <w:rPr>
          <w:rFonts w:hint="eastAsia" w:ascii="宋体" w:hAnsi="宋体" w:cs="宋体"/>
          <w:sz w:val="24"/>
          <w:szCs w:val="24"/>
        </w:rPr>
      </w:pPr>
    </w:p>
    <w:p w14:paraId="31FEED63">
      <w:pPr>
        <w:pStyle w:val="2"/>
        <w:bidi w:val="0"/>
        <w:jc w:val="center"/>
        <w:rPr>
          <w:rFonts w:hint="default"/>
          <w:lang w:val="en-US" w:eastAsia="zh-CN"/>
        </w:rPr>
      </w:pPr>
      <w:bookmarkStart w:id="160" w:name="_Toc20379"/>
      <w:r>
        <w:rPr>
          <w:rFonts w:hint="eastAsia"/>
          <w:lang w:val="en-US" w:eastAsia="zh-CN"/>
        </w:rPr>
        <w:t>第四章 采购需求</w:t>
      </w:r>
      <w:bookmarkEnd w:id="160"/>
    </w:p>
    <w:p w14:paraId="3DCEFF0F">
      <w:pPr>
        <w:widowControl/>
        <w:spacing w:line="500" w:lineRule="exact"/>
        <w:ind w:right="226" w:firstLine="482" w:firstLineChars="200"/>
        <w:jc w:val="left"/>
        <w:rPr>
          <w:rFonts w:hint="eastAsia" w:ascii="宋体" w:hAnsi="宋体" w:cs="仿宋"/>
          <w:b/>
          <w:bCs/>
          <w:color w:val="auto"/>
          <w:sz w:val="24"/>
          <w:shd w:val="clear" w:color="auto" w:fill="FFFFFF"/>
          <w:lang w:bidi="ar"/>
        </w:rPr>
      </w:pPr>
      <w:r>
        <w:rPr>
          <w:rFonts w:hint="eastAsia" w:ascii="宋体" w:hAnsi="宋体" w:cs="仿宋"/>
          <w:b/>
          <w:bCs/>
          <w:color w:val="auto"/>
          <w:sz w:val="24"/>
          <w:shd w:val="clear" w:color="auto" w:fill="FFFFFF"/>
          <w:lang w:bidi="ar"/>
        </w:rPr>
        <w:t>供货食材及辅料内容及要求：</w:t>
      </w:r>
    </w:p>
    <w:p w14:paraId="5A31E2D2">
      <w:pPr>
        <w:widowControl/>
        <w:spacing w:line="500" w:lineRule="exact"/>
        <w:ind w:right="226" w:firstLine="482" w:firstLineChars="200"/>
        <w:jc w:val="left"/>
        <w:rPr>
          <w:rFonts w:hint="eastAsia" w:ascii="宋体" w:hAnsi="宋体" w:cs="仿宋"/>
          <w:b/>
          <w:bCs/>
          <w:color w:val="auto"/>
          <w:sz w:val="24"/>
          <w:shd w:val="clear" w:color="auto" w:fill="FFFFFF"/>
          <w:lang w:val="en-US" w:eastAsia="zh-CN" w:bidi="ar"/>
        </w:rPr>
      </w:pPr>
      <w:r>
        <w:rPr>
          <w:rFonts w:hint="eastAsia" w:ascii="宋体" w:hAnsi="宋体" w:cs="仿宋"/>
          <w:b/>
          <w:bCs/>
          <w:color w:val="auto"/>
          <w:sz w:val="24"/>
          <w:shd w:val="clear" w:color="auto" w:fill="FFFFFF"/>
          <w:lang w:val="en-US" w:eastAsia="zh-CN" w:bidi="ar"/>
        </w:rPr>
        <w:t>食用禽蛋执行 GB 4789.1-2016 国家标准、蔬菜符合质量安全要求。</w:t>
      </w:r>
    </w:p>
    <w:p w14:paraId="506B873F">
      <w:pPr>
        <w:snapToGrid w:val="0"/>
        <w:spacing w:line="500" w:lineRule="exact"/>
        <w:ind w:firstLine="482" w:firstLineChars="200"/>
        <w:outlineLvl w:val="1"/>
        <w:rPr>
          <w:rFonts w:hint="eastAsia" w:ascii="宋体"/>
          <w:b/>
          <w:bCs w:val="0"/>
          <w:color w:val="auto"/>
          <w:sz w:val="24"/>
        </w:rPr>
      </w:pPr>
      <w:bookmarkStart w:id="161" w:name="_Toc22545"/>
      <w:bookmarkStart w:id="162" w:name="_Toc18458"/>
      <w:r>
        <w:rPr>
          <w:rFonts w:hint="eastAsia" w:ascii="宋体"/>
          <w:b/>
          <w:bCs w:val="0"/>
          <w:color w:val="auto"/>
          <w:sz w:val="24"/>
        </w:rPr>
        <w:t>一、主要说明</w:t>
      </w:r>
      <w:bookmarkEnd w:id="161"/>
      <w:bookmarkEnd w:id="162"/>
    </w:p>
    <w:p w14:paraId="6B051F06">
      <w:pPr>
        <w:snapToGrid w:val="0"/>
        <w:spacing w:line="500" w:lineRule="exact"/>
        <w:ind w:firstLine="480" w:firstLineChars="200"/>
        <w:rPr>
          <w:rFonts w:hint="eastAsia" w:ascii="宋体"/>
          <w:bCs/>
          <w:color w:val="auto"/>
          <w:sz w:val="24"/>
          <w:lang w:val="en-US" w:eastAsia="zh-CN"/>
        </w:rPr>
      </w:pPr>
      <w:r>
        <w:rPr>
          <w:rFonts w:hint="eastAsia" w:ascii="宋体"/>
          <w:bCs/>
          <w:color w:val="auto"/>
          <w:sz w:val="24"/>
          <w:lang w:val="en-US" w:eastAsia="zh-CN"/>
        </w:rPr>
        <w:t>1、食材采购采用费率的报价形式，</w:t>
      </w:r>
      <w:r>
        <w:rPr>
          <w:rFonts w:hint="eastAsia" w:ascii="宋体"/>
          <w:bCs/>
          <w:color w:val="auto"/>
          <w:sz w:val="24"/>
        </w:rPr>
        <w:t>供应商应充分考虑猪肉、牛肉、羊肉、蔬菜水果、鸡蛋等食材价格的市场浮动，采购人不受市场价格的影响</w:t>
      </w:r>
      <w:r>
        <w:rPr>
          <w:rFonts w:hint="eastAsia" w:ascii="宋体"/>
          <w:bCs/>
          <w:color w:val="auto"/>
          <w:sz w:val="24"/>
          <w:lang w:eastAsia="zh-CN"/>
        </w:rPr>
        <w:t>。</w:t>
      </w:r>
      <w:r>
        <w:rPr>
          <w:rFonts w:hint="eastAsia" w:ascii="宋体"/>
          <w:bCs/>
          <w:color w:val="auto"/>
          <w:sz w:val="24"/>
        </w:rPr>
        <w:t>供应商承担因自身原因造成的损失。</w:t>
      </w:r>
      <w:r>
        <w:rPr>
          <w:rFonts w:hint="eastAsia" w:ascii="宋体"/>
          <w:bCs/>
          <w:color w:val="auto"/>
          <w:sz w:val="24"/>
          <w:lang w:val="en-US" w:eastAsia="zh-CN"/>
        </w:rPr>
        <w:t xml:space="preserve">    </w:t>
      </w:r>
    </w:p>
    <w:p w14:paraId="369093AE">
      <w:pPr>
        <w:snapToGrid w:val="0"/>
        <w:spacing w:line="500" w:lineRule="exact"/>
        <w:ind w:firstLine="480" w:firstLineChars="200"/>
        <w:rPr>
          <w:rFonts w:hint="eastAsia" w:ascii="宋体" w:hAnsi="Times New Roman" w:eastAsia="宋体" w:cs="Times New Roman"/>
          <w:bCs/>
          <w:color w:val="auto"/>
          <w:sz w:val="24"/>
          <w:lang w:val="en-US" w:eastAsia="zh-CN"/>
        </w:rPr>
      </w:pPr>
      <w:r>
        <w:rPr>
          <w:rFonts w:hint="eastAsia" w:ascii="宋体" w:hAnsi="Times New Roman" w:eastAsia="宋体" w:cs="Times New Roman"/>
          <w:bCs/>
          <w:color w:val="auto"/>
          <w:sz w:val="24"/>
          <w:lang w:val="en-US" w:eastAsia="zh-CN"/>
        </w:rPr>
        <w:t>2、采购人每月不定期开展不少于一次菜品价格和质量抽查。由食堂监督管理小组随机抽查中标人某一天供应的食材价格，确保中标人所提供的所有食材的价格不偏离市场价或不高于同时段当地大型超市正常价格。如果供应商提供的食材价格偏离市场价或高于超市正常价格，第一次按最低价确定食材价格，予以结账；第二次采购方可扣减当月供应食材总价值的5%；第三次采购方可单独解除合同。</w:t>
      </w:r>
    </w:p>
    <w:p w14:paraId="2C6E4FDE">
      <w:pPr>
        <w:snapToGrid w:val="0"/>
        <w:spacing w:line="500" w:lineRule="exact"/>
        <w:ind w:firstLine="480" w:firstLineChars="200"/>
        <w:rPr>
          <w:rFonts w:hint="default" w:ascii="宋体"/>
          <w:bCs/>
          <w:color w:val="auto"/>
          <w:sz w:val="24"/>
          <w:lang w:val="en-US" w:eastAsia="zh-CN"/>
        </w:rPr>
      </w:pPr>
      <w:r>
        <w:rPr>
          <w:rFonts w:hint="eastAsia" w:ascii="宋体"/>
          <w:bCs/>
          <w:color w:val="auto"/>
          <w:sz w:val="24"/>
          <w:lang w:val="en-US" w:eastAsia="zh-CN"/>
        </w:rPr>
        <w:t>3、</w:t>
      </w:r>
      <w:r>
        <w:rPr>
          <w:rFonts w:hint="eastAsia" w:ascii="宋体"/>
          <w:bCs/>
          <w:color w:val="auto"/>
          <w:sz w:val="24"/>
        </w:rPr>
        <w:t>采购人定期或不定期对供应商供应的食材质量进行检验，不符合质量要求的，采购人有权要求供应商进行退换；多次质量不合格的，采购人有权要求供应商进行整改；供应商供应的食材多次出现不合格且整改不到位的，采购方有权解除合同。</w:t>
      </w:r>
    </w:p>
    <w:p w14:paraId="6ABC1023">
      <w:pPr>
        <w:snapToGrid w:val="0"/>
        <w:spacing w:line="500" w:lineRule="exact"/>
        <w:ind w:firstLine="480" w:firstLineChars="200"/>
        <w:rPr>
          <w:rFonts w:hint="eastAsia" w:ascii="宋体"/>
          <w:bCs/>
          <w:color w:val="auto"/>
          <w:sz w:val="24"/>
        </w:rPr>
      </w:pPr>
      <w:r>
        <w:rPr>
          <w:rFonts w:hint="eastAsia" w:ascii="宋体"/>
          <w:bCs/>
          <w:color w:val="auto"/>
          <w:sz w:val="24"/>
          <w:lang w:val="en-US" w:eastAsia="zh-CN"/>
        </w:rPr>
        <w:t>4</w:t>
      </w:r>
      <w:r>
        <w:rPr>
          <w:rFonts w:hint="eastAsia" w:ascii="宋体"/>
          <w:bCs/>
          <w:color w:val="auto"/>
          <w:sz w:val="24"/>
        </w:rPr>
        <w:t>、猪肉类主要包括：五花肉、纯瘦肉、排骨、肉骨、猪板油、猪大肠、猪血、去骨肘子等。</w:t>
      </w:r>
    </w:p>
    <w:p w14:paraId="3CE3E88B">
      <w:pPr>
        <w:snapToGrid w:val="0"/>
        <w:spacing w:line="500" w:lineRule="exact"/>
        <w:ind w:firstLine="480" w:firstLineChars="200"/>
        <w:rPr>
          <w:rFonts w:hint="eastAsia" w:ascii="宋体"/>
          <w:bCs/>
          <w:color w:val="auto"/>
          <w:sz w:val="24"/>
        </w:rPr>
      </w:pPr>
      <w:r>
        <w:rPr>
          <w:rFonts w:hint="eastAsia" w:ascii="宋体"/>
          <w:bCs/>
          <w:color w:val="auto"/>
          <w:sz w:val="24"/>
          <w:lang w:val="en-US" w:eastAsia="zh-CN"/>
        </w:rPr>
        <w:t>5</w:t>
      </w:r>
      <w:r>
        <w:rPr>
          <w:rFonts w:hint="eastAsia" w:ascii="宋体"/>
          <w:bCs/>
          <w:color w:val="auto"/>
          <w:sz w:val="24"/>
        </w:rPr>
        <w:t>、牛羊类主要包括：牛肉、生牛腱、羊肉、羊骨头、熟牛腱、牛脖骨等。</w:t>
      </w:r>
    </w:p>
    <w:p w14:paraId="717C4220">
      <w:pPr>
        <w:snapToGrid w:val="0"/>
        <w:spacing w:line="500" w:lineRule="exact"/>
        <w:ind w:firstLine="480" w:firstLineChars="200"/>
        <w:rPr>
          <w:rFonts w:hint="eastAsia" w:ascii="宋体"/>
          <w:bCs/>
          <w:color w:val="auto"/>
          <w:sz w:val="24"/>
        </w:rPr>
      </w:pPr>
      <w:r>
        <w:rPr>
          <w:rFonts w:hint="eastAsia" w:ascii="宋体"/>
          <w:bCs/>
          <w:color w:val="auto"/>
          <w:sz w:val="24"/>
          <w:lang w:val="en-US" w:eastAsia="zh-CN"/>
        </w:rPr>
        <w:t>6</w:t>
      </w:r>
      <w:r>
        <w:rPr>
          <w:rFonts w:hint="eastAsia" w:ascii="宋体"/>
          <w:bCs/>
          <w:color w:val="auto"/>
          <w:sz w:val="24"/>
        </w:rPr>
        <w:t>、鸡鸭鱼类主要包括：鸡排腿、柴鸡、三黄鸡、鸡架、鸭、鹅、草鱼、鲈鱼、鲤鱼、河虾、扒皮鱼、活大虾、鸡脯肉、带鱼、鱿鱼、鸭脯肉等。</w:t>
      </w:r>
    </w:p>
    <w:p w14:paraId="6C8F9037">
      <w:pPr>
        <w:pStyle w:val="4"/>
        <w:spacing w:line="269" w:lineRule="exact"/>
        <w:ind w:firstLine="482" w:firstLineChars="200"/>
        <w:jc w:val="both"/>
        <w:outlineLvl w:val="1"/>
        <w:rPr>
          <w:rFonts w:hint="eastAsia"/>
          <w:color w:val="auto"/>
          <w:sz w:val="24"/>
          <w:szCs w:val="24"/>
        </w:rPr>
      </w:pPr>
      <w:bookmarkStart w:id="163" w:name="_Toc7397"/>
      <w:bookmarkStart w:id="164" w:name="_Toc26995"/>
      <w:r>
        <w:rPr>
          <w:rFonts w:hint="eastAsia"/>
          <w:color w:val="auto"/>
          <w:sz w:val="24"/>
          <w:szCs w:val="24"/>
        </w:rPr>
        <w:t>二、项目内容</w:t>
      </w:r>
      <w:bookmarkEnd w:id="163"/>
      <w:bookmarkEnd w:id="164"/>
    </w:p>
    <w:p w14:paraId="34F421FB">
      <w:pPr>
        <w:pStyle w:val="4"/>
        <w:spacing w:line="269" w:lineRule="exact"/>
        <w:ind w:firstLine="482" w:firstLineChars="200"/>
        <w:jc w:val="both"/>
        <w:outlineLvl w:val="1"/>
        <w:rPr>
          <w:b/>
          <w:bCs w:val="0"/>
          <w:color w:val="auto"/>
          <w:sz w:val="24"/>
          <w:szCs w:val="24"/>
        </w:rPr>
      </w:pPr>
      <w:bookmarkStart w:id="165" w:name="_Toc32677"/>
      <w:bookmarkStart w:id="166" w:name="_Toc5738"/>
      <w:r>
        <w:rPr>
          <w:rFonts w:hint="eastAsia"/>
          <w:b/>
          <w:bCs w:val="0"/>
          <w:color w:val="auto"/>
          <w:sz w:val="24"/>
          <w:szCs w:val="24"/>
          <w:lang w:val="en-US" w:eastAsia="zh-CN"/>
        </w:rPr>
        <w:t>1、</w:t>
      </w:r>
      <w:r>
        <w:rPr>
          <w:b/>
          <w:bCs w:val="0"/>
          <w:color w:val="auto"/>
          <w:sz w:val="24"/>
          <w:szCs w:val="24"/>
        </w:rPr>
        <w:t>面粉类</w:t>
      </w:r>
      <w:bookmarkEnd w:id="165"/>
      <w:bookmarkEnd w:id="166"/>
    </w:p>
    <w:p w14:paraId="47A23310">
      <w:pPr>
        <w:snapToGrid w:val="0"/>
        <w:spacing w:line="360" w:lineRule="auto"/>
        <w:ind w:firstLine="480" w:firstLineChars="200"/>
        <w:rPr>
          <w:rFonts w:hint="eastAsia" w:ascii="宋体"/>
          <w:bCs/>
          <w:color w:val="auto"/>
          <w:sz w:val="24"/>
        </w:rPr>
      </w:pPr>
      <w:r>
        <w:rPr>
          <w:rFonts w:hint="eastAsia" w:ascii="宋体"/>
          <w:bCs/>
          <w:color w:val="auto"/>
          <w:sz w:val="24"/>
        </w:rPr>
        <w:t>1.国家标准：按照最新的国家标准执行。</w:t>
      </w:r>
    </w:p>
    <w:p w14:paraId="396A99E3">
      <w:pPr>
        <w:snapToGrid w:val="0"/>
        <w:spacing w:line="360" w:lineRule="auto"/>
        <w:ind w:firstLine="480" w:firstLineChars="200"/>
        <w:rPr>
          <w:rFonts w:hint="eastAsia" w:ascii="宋体"/>
          <w:bCs/>
          <w:color w:val="auto"/>
          <w:sz w:val="24"/>
        </w:rPr>
      </w:pPr>
      <w:r>
        <w:rPr>
          <w:rFonts w:hint="eastAsia" w:ascii="宋体"/>
          <w:bCs/>
          <w:color w:val="auto"/>
          <w:sz w:val="24"/>
        </w:rPr>
        <w:t>2.包装标准：包装严密，图案完整；包装材料应符合食品包装材料卫生标准。</w:t>
      </w:r>
    </w:p>
    <w:p w14:paraId="414082EA">
      <w:pPr>
        <w:snapToGrid w:val="0"/>
        <w:spacing w:line="360" w:lineRule="auto"/>
        <w:ind w:firstLine="480" w:firstLineChars="200"/>
        <w:rPr>
          <w:rFonts w:hint="eastAsia" w:ascii="宋体"/>
          <w:bCs/>
          <w:color w:val="auto"/>
          <w:sz w:val="24"/>
        </w:rPr>
      </w:pPr>
      <w:r>
        <w:rPr>
          <w:rFonts w:hint="eastAsia" w:ascii="宋体"/>
          <w:bCs/>
          <w:color w:val="auto"/>
          <w:sz w:val="24"/>
        </w:rPr>
        <w:t>3.标签标识：标明产品名称、净含量、生产者名称和地址、生产日期、保质期、产品标准号、质量等级、生产许可证号、产品批号，外包装上标明“无添加剂或无添加粉”等内容，所有商品必须具有《产品质量检验报告》和《出厂检验报告》。</w:t>
      </w:r>
    </w:p>
    <w:p w14:paraId="26296A49">
      <w:pPr>
        <w:snapToGrid w:val="0"/>
        <w:spacing w:line="360" w:lineRule="auto"/>
        <w:ind w:firstLine="480" w:firstLineChars="200"/>
        <w:rPr>
          <w:rFonts w:hint="eastAsia" w:ascii="宋体"/>
          <w:bCs/>
          <w:color w:val="auto"/>
          <w:sz w:val="24"/>
        </w:rPr>
      </w:pPr>
      <w:r>
        <w:rPr>
          <w:rFonts w:hint="eastAsia" w:ascii="宋体"/>
          <w:bCs/>
          <w:color w:val="auto"/>
          <w:sz w:val="24"/>
        </w:rPr>
        <w:t>4.运输：运输时应外加纸箱、木箱等包装物，运输工具应清洁、无异味，运输中应注意轻装、轻卸、防雨、防晒。</w:t>
      </w:r>
    </w:p>
    <w:p w14:paraId="6230A2C4">
      <w:pPr>
        <w:snapToGrid w:val="0"/>
        <w:spacing w:line="360" w:lineRule="auto"/>
        <w:ind w:firstLine="480" w:firstLineChars="200"/>
        <w:rPr>
          <w:rFonts w:hint="eastAsia" w:ascii="宋体"/>
          <w:bCs/>
          <w:color w:val="auto"/>
          <w:sz w:val="24"/>
        </w:rPr>
      </w:pPr>
      <w:r>
        <w:rPr>
          <w:rFonts w:hint="eastAsia" w:ascii="宋体"/>
          <w:bCs/>
          <w:color w:val="auto"/>
          <w:sz w:val="24"/>
        </w:rPr>
        <w:t>5.贮存：产品应存放于通风阴凉、干燥、清洁、无异味的库中。</w:t>
      </w:r>
    </w:p>
    <w:p w14:paraId="427E9309">
      <w:pPr>
        <w:snapToGrid w:val="0"/>
        <w:spacing w:line="360" w:lineRule="auto"/>
        <w:ind w:firstLine="480" w:firstLineChars="200"/>
        <w:rPr>
          <w:rFonts w:hint="eastAsia" w:ascii="宋体"/>
          <w:bCs/>
          <w:color w:val="auto"/>
          <w:sz w:val="24"/>
        </w:rPr>
      </w:pPr>
      <w:r>
        <w:rPr>
          <w:rFonts w:hint="eastAsia" w:ascii="宋体"/>
          <w:bCs/>
          <w:color w:val="auto"/>
          <w:sz w:val="24"/>
        </w:rPr>
        <w:t>6.每袋面粉必须是厂家密封原包装产品且有检验合格证及QS标志。</w:t>
      </w:r>
    </w:p>
    <w:p w14:paraId="145FA809">
      <w:pPr>
        <w:snapToGrid w:val="0"/>
        <w:spacing w:line="360" w:lineRule="auto"/>
        <w:ind w:firstLine="482" w:firstLineChars="200"/>
        <w:outlineLvl w:val="1"/>
        <w:rPr>
          <w:rFonts w:hint="eastAsia" w:ascii="宋体"/>
          <w:b/>
          <w:bCs w:val="0"/>
          <w:color w:val="auto"/>
          <w:sz w:val="24"/>
        </w:rPr>
      </w:pPr>
      <w:bookmarkStart w:id="167" w:name="_Toc13722"/>
      <w:bookmarkStart w:id="168" w:name="_Toc4451"/>
      <w:r>
        <w:rPr>
          <w:rFonts w:hint="eastAsia" w:ascii="宋体"/>
          <w:b/>
          <w:bCs w:val="0"/>
          <w:color w:val="auto"/>
          <w:sz w:val="24"/>
          <w:lang w:val="en-US" w:eastAsia="zh-CN"/>
        </w:rPr>
        <w:t>2</w:t>
      </w:r>
      <w:r>
        <w:rPr>
          <w:rFonts w:hint="eastAsia" w:ascii="宋体"/>
          <w:b/>
          <w:bCs w:val="0"/>
          <w:color w:val="auto"/>
          <w:sz w:val="24"/>
        </w:rPr>
        <w:t>、肉类</w:t>
      </w:r>
      <w:bookmarkEnd w:id="167"/>
      <w:bookmarkEnd w:id="168"/>
    </w:p>
    <w:p w14:paraId="7D5EBB21">
      <w:pPr>
        <w:snapToGrid w:val="0"/>
        <w:spacing w:line="360" w:lineRule="auto"/>
        <w:ind w:firstLine="480" w:firstLineChars="200"/>
        <w:rPr>
          <w:rFonts w:hint="eastAsia" w:ascii="宋体"/>
          <w:bCs/>
          <w:color w:val="auto"/>
          <w:sz w:val="24"/>
        </w:rPr>
      </w:pPr>
      <w:r>
        <w:rPr>
          <w:rFonts w:hint="eastAsia" w:ascii="宋体"/>
          <w:bCs/>
          <w:color w:val="auto"/>
          <w:sz w:val="24"/>
        </w:rPr>
        <w:t>1.国家标准：按照最新的国家标准执行。</w:t>
      </w:r>
    </w:p>
    <w:p w14:paraId="1F9FFC12">
      <w:pPr>
        <w:snapToGrid w:val="0"/>
        <w:spacing w:line="360" w:lineRule="auto"/>
        <w:ind w:firstLine="480" w:firstLineChars="200"/>
        <w:rPr>
          <w:rFonts w:hint="eastAsia" w:ascii="宋体"/>
          <w:bCs/>
          <w:color w:val="auto"/>
          <w:sz w:val="24"/>
        </w:rPr>
      </w:pPr>
      <w:r>
        <w:rPr>
          <w:rFonts w:hint="eastAsia" w:ascii="宋体"/>
          <w:bCs/>
          <w:color w:val="auto"/>
          <w:sz w:val="24"/>
        </w:rPr>
        <w:t>2.卫生标准：按照最新的国家标准执行。</w:t>
      </w:r>
    </w:p>
    <w:p w14:paraId="32523F6B">
      <w:pPr>
        <w:snapToGrid w:val="0"/>
        <w:spacing w:line="360" w:lineRule="auto"/>
        <w:ind w:firstLine="480" w:firstLineChars="200"/>
        <w:rPr>
          <w:rFonts w:hint="eastAsia" w:ascii="宋体"/>
          <w:bCs/>
          <w:color w:val="auto"/>
          <w:sz w:val="24"/>
        </w:rPr>
      </w:pPr>
      <w:r>
        <w:rPr>
          <w:rFonts w:hint="eastAsia" w:ascii="宋体"/>
          <w:bCs/>
          <w:color w:val="auto"/>
          <w:sz w:val="24"/>
        </w:rPr>
        <w:t>3.包装标准：包装严密，包装材料应符合食品包装材料卫生标准。</w:t>
      </w:r>
    </w:p>
    <w:p w14:paraId="4672E0A6">
      <w:pPr>
        <w:snapToGrid w:val="0"/>
        <w:spacing w:line="360" w:lineRule="auto"/>
        <w:ind w:firstLine="480" w:firstLineChars="200"/>
        <w:rPr>
          <w:rFonts w:hint="eastAsia" w:ascii="宋体"/>
          <w:bCs/>
          <w:color w:val="auto"/>
          <w:sz w:val="24"/>
        </w:rPr>
      </w:pPr>
      <w:r>
        <w:rPr>
          <w:rFonts w:hint="eastAsia" w:ascii="宋体"/>
          <w:bCs/>
          <w:color w:val="auto"/>
          <w:sz w:val="24"/>
        </w:rPr>
        <w:t>4.运输：运输时应外加纸箱、木箱等包装物，运输工具应符合卫生要求，运输时不得与有毒、有害、有腐蚀性货物混装，运输中防挤压，应注意轻装、轻卸、防雨、防晒。夏季时要求中标供应商能够保证冷藏运输。</w:t>
      </w:r>
    </w:p>
    <w:p w14:paraId="429FDA00">
      <w:pPr>
        <w:snapToGrid w:val="0"/>
        <w:spacing w:line="360" w:lineRule="auto"/>
        <w:ind w:firstLine="480" w:firstLineChars="200"/>
        <w:rPr>
          <w:rFonts w:hint="eastAsia" w:ascii="宋体"/>
          <w:bCs/>
          <w:color w:val="auto"/>
          <w:sz w:val="24"/>
        </w:rPr>
      </w:pPr>
      <w:r>
        <w:rPr>
          <w:rFonts w:hint="eastAsia" w:ascii="宋体"/>
          <w:bCs/>
          <w:color w:val="auto"/>
          <w:sz w:val="24"/>
        </w:rPr>
        <w:t>5.贮存：产品应存放于通风阴凉、干燥、清洁、无异味的库中。</w:t>
      </w:r>
    </w:p>
    <w:p w14:paraId="7E51F6C0">
      <w:pPr>
        <w:snapToGrid w:val="0"/>
        <w:spacing w:line="360" w:lineRule="auto"/>
        <w:ind w:firstLine="480" w:firstLineChars="200"/>
        <w:rPr>
          <w:rFonts w:hint="eastAsia" w:ascii="宋体"/>
          <w:bCs/>
          <w:color w:val="auto"/>
          <w:sz w:val="24"/>
        </w:rPr>
      </w:pPr>
      <w:r>
        <w:rPr>
          <w:rFonts w:hint="eastAsia" w:ascii="宋体"/>
          <w:bCs/>
          <w:color w:val="auto"/>
          <w:sz w:val="24"/>
        </w:rPr>
        <w:t>6.标签标识：标明名称、净含量、生产者名称、地址及电话、生产日期、保质质量等级、生产许可证号、食用方法、注意事项、营养成分表、货物批号等内容。</w:t>
      </w:r>
    </w:p>
    <w:p w14:paraId="70CE7A9B">
      <w:pPr>
        <w:snapToGrid w:val="0"/>
        <w:spacing w:line="360" w:lineRule="auto"/>
        <w:ind w:firstLine="480" w:firstLineChars="200"/>
        <w:rPr>
          <w:rFonts w:hint="eastAsia" w:ascii="宋体"/>
          <w:bCs/>
          <w:color w:val="auto"/>
          <w:sz w:val="24"/>
        </w:rPr>
      </w:pPr>
      <w:r>
        <w:rPr>
          <w:rFonts w:hint="eastAsia" w:ascii="宋体"/>
          <w:bCs/>
          <w:color w:val="auto"/>
          <w:sz w:val="24"/>
        </w:rPr>
        <w:t>7.保证无异味、无霉烂变质。鲜肉、冷冻肉供货时需提供当批次有效的动物检疫合格证。</w:t>
      </w:r>
    </w:p>
    <w:p w14:paraId="58CB1C61">
      <w:pPr>
        <w:snapToGrid w:val="0"/>
        <w:spacing w:line="360" w:lineRule="auto"/>
        <w:ind w:firstLine="480" w:firstLineChars="200"/>
        <w:rPr>
          <w:rFonts w:hint="eastAsia" w:ascii="宋体"/>
          <w:bCs/>
          <w:color w:val="auto"/>
          <w:sz w:val="24"/>
        </w:rPr>
      </w:pPr>
      <w:r>
        <w:rPr>
          <w:rFonts w:hint="eastAsia" w:ascii="宋体"/>
          <w:bCs/>
          <w:color w:val="auto"/>
          <w:sz w:val="24"/>
        </w:rPr>
        <w:t>8.如对所投货物无法达到或低于用户需求中的质量要求，视为无效</w:t>
      </w:r>
      <w:r>
        <w:rPr>
          <w:rFonts w:hint="eastAsia" w:ascii="宋体"/>
          <w:bCs/>
          <w:color w:val="auto"/>
          <w:sz w:val="24"/>
          <w:lang w:val="en-US" w:eastAsia="zh-CN"/>
        </w:rPr>
        <w:t>磋商</w:t>
      </w:r>
      <w:r>
        <w:rPr>
          <w:rFonts w:hint="eastAsia" w:ascii="宋体"/>
          <w:bCs/>
          <w:color w:val="auto"/>
          <w:sz w:val="24"/>
        </w:rPr>
        <w:t>。</w:t>
      </w:r>
    </w:p>
    <w:p w14:paraId="54B72473">
      <w:pPr>
        <w:snapToGrid w:val="0"/>
        <w:spacing w:line="360" w:lineRule="auto"/>
        <w:ind w:firstLine="482" w:firstLineChars="200"/>
        <w:jc w:val="left"/>
        <w:outlineLvl w:val="1"/>
        <w:rPr>
          <w:rFonts w:hint="eastAsia" w:ascii="宋体"/>
          <w:b/>
          <w:color w:val="auto"/>
          <w:sz w:val="24"/>
        </w:rPr>
      </w:pPr>
      <w:bookmarkStart w:id="169" w:name="_Toc6785"/>
      <w:bookmarkStart w:id="170" w:name="_Toc23154"/>
      <w:r>
        <w:rPr>
          <w:rFonts w:hint="eastAsia" w:ascii="宋体"/>
          <w:b/>
          <w:color w:val="auto"/>
          <w:sz w:val="24"/>
          <w:lang w:val="en-US" w:eastAsia="zh-CN"/>
        </w:rPr>
        <w:t>3</w:t>
      </w:r>
      <w:r>
        <w:rPr>
          <w:rFonts w:hint="eastAsia" w:ascii="宋体"/>
          <w:b/>
          <w:color w:val="auto"/>
          <w:sz w:val="24"/>
        </w:rPr>
        <w:t>、奶类</w:t>
      </w:r>
      <w:bookmarkEnd w:id="169"/>
      <w:bookmarkEnd w:id="170"/>
    </w:p>
    <w:p w14:paraId="34592DF1">
      <w:pPr>
        <w:snapToGrid w:val="0"/>
        <w:spacing w:line="360" w:lineRule="auto"/>
        <w:ind w:firstLine="480" w:firstLineChars="200"/>
        <w:rPr>
          <w:rFonts w:hint="eastAsia" w:ascii="宋体"/>
          <w:bCs/>
          <w:color w:val="auto"/>
          <w:sz w:val="24"/>
        </w:rPr>
      </w:pPr>
      <w:r>
        <w:rPr>
          <w:rFonts w:hint="eastAsia" w:ascii="宋体"/>
          <w:bCs/>
          <w:color w:val="auto"/>
          <w:sz w:val="24"/>
        </w:rPr>
        <w:t>1.执行标准：（1）执行标准：纯奶 GB25190-2010 《食品安全国家标准灭菌乳》，酸奶 CB19302-2010《食品安全国家标准发酵乳》。</w:t>
      </w:r>
    </w:p>
    <w:p w14:paraId="2B5148E1">
      <w:pPr>
        <w:snapToGrid w:val="0"/>
        <w:spacing w:line="360" w:lineRule="auto"/>
        <w:ind w:firstLine="480" w:firstLineChars="200"/>
        <w:rPr>
          <w:rFonts w:hint="eastAsia" w:ascii="宋体"/>
          <w:bCs/>
          <w:color w:val="auto"/>
          <w:sz w:val="24"/>
        </w:rPr>
      </w:pPr>
      <w:r>
        <w:rPr>
          <w:rFonts w:hint="eastAsia" w:ascii="宋体"/>
          <w:bCs/>
          <w:color w:val="auto"/>
          <w:sz w:val="24"/>
        </w:rPr>
        <w:t>（2）须达到国家相关规定或标准具有“SC”食品质量安全认证。</w:t>
      </w:r>
    </w:p>
    <w:p w14:paraId="4280570F">
      <w:pPr>
        <w:snapToGrid w:val="0"/>
        <w:spacing w:line="360" w:lineRule="auto"/>
        <w:ind w:firstLine="480" w:firstLineChars="200"/>
        <w:rPr>
          <w:rFonts w:hint="eastAsia" w:ascii="宋体"/>
          <w:bCs/>
          <w:color w:val="auto"/>
          <w:sz w:val="24"/>
        </w:rPr>
      </w:pPr>
      <w:r>
        <w:rPr>
          <w:rFonts w:hint="eastAsia" w:ascii="宋体"/>
          <w:bCs/>
          <w:color w:val="auto"/>
          <w:sz w:val="24"/>
        </w:rPr>
        <w:t>2.包装标准：包装严密，图案完整；包装材料应符合食品包装材料卫生标准。</w:t>
      </w:r>
    </w:p>
    <w:p w14:paraId="1A0A41DD">
      <w:pPr>
        <w:snapToGrid w:val="0"/>
        <w:spacing w:line="360" w:lineRule="auto"/>
        <w:ind w:firstLine="480" w:firstLineChars="200"/>
        <w:rPr>
          <w:rFonts w:hint="eastAsia" w:ascii="宋体"/>
          <w:bCs/>
          <w:color w:val="auto"/>
          <w:sz w:val="24"/>
        </w:rPr>
      </w:pPr>
      <w:r>
        <w:rPr>
          <w:rFonts w:hint="eastAsia" w:ascii="宋体"/>
          <w:bCs/>
          <w:color w:val="auto"/>
          <w:sz w:val="24"/>
        </w:rPr>
        <w:t>3.标签标识：标明产品名称、净含量、生产者名称和地址、生产日期、保质期、产品标准号、生产许可证号、产品批号等内容。</w:t>
      </w:r>
    </w:p>
    <w:p w14:paraId="74026269">
      <w:pPr>
        <w:snapToGrid w:val="0"/>
        <w:spacing w:line="360" w:lineRule="auto"/>
        <w:ind w:firstLine="480" w:firstLineChars="200"/>
        <w:rPr>
          <w:rFonts w:hint="eastAsia" w:ascii="宋体"/>
          <w:bCs/>
          <w:color w:val="auto"/>
          <w:sz w:val="24"/>
        </w:rPr>
      </w:pPr>
      <w:r>
        <w:rPr>
          <w:rFonts w:hint="eastAsia" w:ascii="宋体"/>
          <w:bCs/>
          <w:color w:val="auto"/>
          <w:sz w:val="24"/>
        </w:rPr>
        <w:t>4.运输：运输时应外加纸箱等包装物，运输工具应清洁、无异味，运输中应注意轻装、轻卸、防雨、防晒。</w:t>
      </w:r>
    </w:p>
    <w:p w14:paraId="0C1BA442">
      <w:pPr>
        <w:snapToGrid w:val="0"/>
        <w:spacing w:line="360" w:lineRule="auto"/>
        <w:ind w:firstLine="480" w:firstLineChars="200"/>
        <w:rPr>
          <w:rFonts w:hint="eastAsia" w:ascii="宋体"/>
          <w:bCs/>
          <w:color w:val="auto"/>
          <w:sz w:val="24"/>
        </w:rPr>
      </w:pPr>
      <w:r>
        <w:rPr>
          <w:rFonts w:hint="eastAsia" w:ascii="宋体"/>
          <w:bCs/>
          <w:color w:val="auto"/>
          <w:sz w:val="24"/>
        </w:rPr>
        <w:t>5.贮存：产品应存放于通风阴凉、干燥、清洁、无异味的库中。</w:t>
      </w:r>
    </w:p>
    <w:p w14:paraId="05B0DFEC">
      <w:pPr>
        <w:snapToGrid w:val="0"/>
        <w:spacing w:line="360" w:lineRule="auto"/>
        <w:ind w:firstLine="482" w:firstLineChars="200"/>
        <w:outlineLvl w:val="1"/>
        <w:rPr>
          <w:rFonts w:hint="eastAsia" w:ascii="宋体"/>
          <w:b/>
          <w:color w:val="auto"/>
          <w:sz w:val="24"/>
        </w:rPr>
      </w:pPr>
      <w:bookmarkStart w:id="171" w:name="_Toc11354"/>
      <w:bookmarkStart w:id="172" w:name="_Toc13142"/>
      <w:r>
        <w:rPr>
          <w:rFonts w:hint="eastAsia" w:ascii="宋体"/>
          <w:b/>
          <w:color w:val="auto"/>
          <w:sz w:val="24"/>
          <w:lang w:val="en-US" w:eastAsia="zh-CN"/>
        </w:rPr>
        <w:t>4</w:t>
      </w:r>
      <w:r>
        <w:rPr>
          <w:rFonts w:hint="eastAsia" w:ascii="宋体"/>
          <w:b/>
          <w:color w:val="auto"/>
          <w:sz w:val="24"/>
        </w:rPr>
        <w:t>、调味品</w:t>
      </w:r>
      <w:bookmarkEnd w:id="171"/>
      <w:bookmarkEnd w:id="172"/>
    </w:p>
    <w:p w14:paraId="40E901E0">
      <w:pPr>
        <w:snapToGrid w:val="0"/>
        <w:spacing w:line="360" w:lineRule="auto"/>
        <w:ind w:firstLine="480" w:firstLineChars="200"/>
        <w:rPr>
          <w:rFonts w:hint="eastAsia" w:ascii="宋体"/>
          <w:bCs/>
          <w:color w:val="auto"/>
          <w:sz w:val="24"/>
        </w:rPr>
      </w:pPr>
      <w:r>
        <w:rPr>
          <w:rFonts w:hint="eastAsia" w:ascii="宋体"/>
          <w:bCs/>
          <w:color w:val="auto"/>
          <w:sz w:val="24"/>
        </w:rPr>
        <w:t>1.所提供的物品必须符合国家有关标准，且在质保期内，保证无异味、无霉烂变质。</w:t>
      </w:r>
    </w:p>
    <w:p w14:paraId="72C07F23">
      <w:pPr>
        <w:snapToGrid w:val="0"/>
        <w:spacing w:line="360" w:lineRule="auto"/>
        <w:ind w:firstLine="480" w:firstLineChars="200"/>
        <w:rPr>
          <w:rFonts w:hint="eastAsia" w:ascii="仿宋_GB2312" w:eastAsia="仿宋_GB2312"/>
          <w:bCs/>
          <w:color w:val="auto"/>
          <w:sz w:val="24"/>
        </w:rPr>
      </w:pPr>
      <w:r>
        <w:rPr>
          <w:rFonts w:hint="eastAsia" w:ascii="宋体"/>
          <w:bCs/>
          <w:color w:val="auto"/>
          <w:sz w:val="24"/>
        </w:rPr>
        <w:t>2.包装标准：所提供的物品指标要符合国家强制性标准要求，食品类产品，</w:t>
      </w:r>
      <w:r>
        <w:rPr>
          <w:rFonts w:hint="eastAsia" w:ascii="宋体"/>
          <w:bCs/>
          <w:color w:val="auto"/>
          <w:sz w:val="24"/>
          <w:lang w:eastAsia="zh-CN"/>
        </w:rPr>
        <w:t>供应商</w:t>
      </w:r>
      <w:r>
        <w:rPr>
          <w:rFonts w:hint="eastAsia" w:ascii="宋体"/>
          <w:bCs/>
          <w:color w:val="auto"/>
          <w:sz w:val="24"/>
        </w:rPr>
        <w:t>必须清晰地列出产品品牌，型号、包装类型、包装方式、包装净重量等相关参数，且包装箱上必须贴有QS标志。</w:t>
      </w:r>
    </w:p>
    <w:p w14:paraId="36432291">
      <w:pPr>
        <w:snapToGrid w:val="0"/>
        <w:spacing w:line="360" w:lineRule="auto"/>
        <w:ind w:firstLine="480" w:firstLineChars="200"/>
        <w:rPr>
          <w:rFonts w:hint="eastAsia" w:ascii="宋体"/>
          <w:bCs/>
          <w:color w:val="auto"/>
          <w:sz w:val="24"/>
        </w:rPr>
      </w:pPr>
      <w:r>
        <w:rPr>
          <w:rFonts w:hint="eastAsia" w:ascii="宋体"/>
          <w:bCs/>
          <w:color w:val="auto"/>
          <w:sz w:val="24"/>
        </w:rPr>
        <w:t>3.运输：运输时应外加纸箱等包装物，运输工具应清洁、无异味，运输中应注意轻装、轻卸、防雨、防晒。</w:t>
      </w:r>
    </w:p>
    <w:p w14:paraId="4CE6CDDC">
      <w:pPr>
        <w:snapToGrid w:val="0"/>
        <w:spacing w:line="360" w:lineRule="auto"/>
        <w:ind w:firstLine="480" w:firstLineChars="200"/>
        <w:rPr>
          <w:rFonts w:hint="eastAsia" w:ascii="宋体"/>
          <w:bCs/>
          <w:color w:val="auto"/>
          <w:sz w:val="24"/>
        </w:rPr>
      </w:pPr>
      <w:r>
        <w:rPr>
          <w:rFonts w:hint="eastAsia" w:ascii="宋体"/>
          <w:bCs/>
          <w:color w:val="auto"/>
          <w:sz w:val="24"/>
        </w:rPr>
        <w:t>4.贮存：产品应存放于通风阴凉、干燥、清洁、无异味的库中。</w:t>
      </w:r>
    </w:p>
    <w:p w14:paraId="20B5A031">
      <w:pPr>
        <w:snapToGrid w:val="0"/>
        <w:spacing w:line="360" w:lineRule="auto"/>
        <w:ind w:firstLine="480" w:firstLineChars="200"/>
        <w:rPr>
          <w:rFonts w:hint="eastAsia" w:ascii="宋体"/>
          <w:bCs/>
          <w:color w:val="auto"/>
          <w:sz w:val="24"/>
        </w:rPr>
      </w:pPr>
      <w:r>
        <w:rPr>
          <w:rFonts w:hint="eastAsia" w:ascii="宋体"/>
          <w:bCs/>
          <w:color w:val="auto"/>
          <w:sz w:val="24"/>
        </w:rPr>
        <w:t>5.</w:t>
      </w:r>
      <w:r>
        <w:rPr>
          <w:rFonts w:hint="eastAsia" w:ascii="宋体"/>
          <w:bCs/>
          <w:color w:val="auto"/>
          <w:sz w:val="24"/>
          <w:lang w:eastAsia="zh-CN"/>
        </w:rPr>
        <w:t>供应商</w:t>
      </w:r>
      <w:r>
        <w:rPr>
          <w:rFonts w:hint="eastAsia" w:ascii="宋体"/>
          <w:bCs/>
          <w:color w:val="auto"/>
          <w:sz w:val="24"/>
        </w:rPr>
        <w:t>所提供的物品质量必须要符合行业标准要求，不得有掺假、变质、变味、过期等现象出现，严禁伪劣、假冒、无证不合格物品进入仓库。</w:t>
      </w:r>
    </w:p>
    <w:p w14:paraId="5B3DFEE4">
      <w:pPr>
        <w:snapToGrid w:val="0"/>
        <w:spacing w:line="360" w:lineRule="auto"/>
        <w:ind w:firstLine="480" w:firstLineChars="200"/>
        <w:rPr>
          <w:rFonts w:hint="eastAsia" w:ascii="宋体"/>
          <w:bCs/>
          <w:color w:val="auto"/>
          <w:sz w:val="24"/>
        </w:rPr>
      </w:pPr>
      <w:r>
        <w:rPr>
          <w:rFonts w:hint="eastAsia" w:ascii="宋体"/>
          <w:bCs/>
          <w:color w:val="auto"/>
          <w:sz w:val="24"/>
        </w:rPr>
        <w:t>6.所提供的物品不得为转基因物品或转基因制成品，经查实所提供物品中具有转基因物品或转基因制成品立即终止合同，并由</w:t>
      </w:r>
      <w:r>
        <w:rPr>
          <w:rFonts w:hint="eastAsia" w:ascii="宋体"/>
          <w:bCs/>
          <w:color w:val="auto"/>
          <w:sz w:val="24"/>
          <w:lang w:eastAsia="zh-CN"/>
        </w:rPr>
        <w:t>供应商</w:t>
      </w:r>
      <w:r>
        <w:rPr>
          <w:rFonts w:hint="eastAsia" w:ascii="宋体"/>
          <w:bCs/>
          <w:color w:val="auto"/>
          <w:sz w:val="24"/>
        </w:rPr>
        <w:t>将承担全部责任。</w:t>
      </w:r>
    </w:p>
    <w:p w14:paraId="5F36A183">
      <w:pPr>
        <w:snapToGrid w:val="0"/>
        <w:spacing w:line="360" w:lineRule="auto"/>
        <w:ind w:firstLine="480" w:firstLineChars="200"/>
        <w:rPr>
          <w:rFonts w:hint="eastAsia" w:ascii="宋体"/>
          <w:bCs/>
          <w:color w:val="auto"/>
          <w:sz w:val="24"/>
        </w:rPr>
      </w:pPr>
      <w:r>
        <w:rPr>
          <w:rFonts w:hint="eastAsia" w:ascii="宋体"/>
          <w:bCs/>
          <w:color w:val="auto"/>
          <w:sz w:val="24"/>
        </w:rPr>
        <w:t>7.对照需求方要求检查所送物资品牌、规格是否符合要求，对有包装的食品，检查包装是否完整，有无破损，查看食品包装标签应符合《食品安全国家标准预包装食品标签通则》（GB7718）要求，包括食品名称、配料表、净含量、规格、生产者（或）经销者的名称、地址和联系方式、生产日期和保质期、贮存条件、食品生产许可证编号、产品标准代号等内容。</w:t>
      </w:r>
    </w:p>
    <w:p w14:paraId="110515AF">
      <w:pPr>
        <w:snapToGrid w:val="0"/>
        <w:spacing w:line="360" w:lineRule="auto"/>
        <w:ind w:firstLine="480" w:firstLineChars="200"/>
        <w:rPr>
          <w:rFonts w:hint="eastAsia" w:ascii="宋体"/>
          <w:bCs/>
          <w:color w:val="auto"/>
          <w:sz w:val="24"/>
        </w:rPr>
      </w:pPr>
      <w:r>
        <w:rPr>
          <w:rFonts w:hint="eastAsia" w:ascii="宋体"/>
          <w:bCs/>
          <w:color w:val="auto"/>
          <w:sz w:val="24"/>
        </w:rPr>
        <w:t>8.目前国家实行食品质量（QS）安全市场准入制的食品共 28 类：大米、小麦粉、酱油、醋、食用植物油、肉制品、乳制品、饮料、味精、方便面、饼干、罐头食品、冷冻饮品、速冻面米食品、膨化食品、糖果制品、茶叶、葡萄酒、果酒、啤酒、黄酒、酱腌菜、蜜饯、炒货食品、蛋制品、可可制品、水产加工品、淀粉及淀粉制品（包括粉丝、粉条）。</w:t>
      </w:r>
    </w:p>
    <w:p w14:paraId="050EAE5C">
      <w:pPr>
        <w:snapToGrid w:val="0"/>
        <w:spacing w:line="360" w:lineRule="auto"/>
        <w:ind w:firstLine="480" w:firstLineChars="200"/>
        <w:rPr>
          <w:rFonts w:hint="eastAsia" w:ascii="宋体"/>
          <w:b/>
          <w:bCs w:val="0"/>
          <w:color w:val="auto"/>
          <w:sz w:val="24"/>
        </w:rPr>
      </w:pPr>
      <w:r>
        <w:rPr>
          <w:rFonts w:hint="eastAsia" w:ascii="宋体"/>
          <w:bCs/>
          <w:color w:val="auto"/>
          <w:sz w:val="24"/>
        </w:rPr>
        <w:t>9.通过感官鉴别包装内产品及无包装产品，依靠视觉、嗅觉、味觉、触觉等鉴定食品的外观形态、色泽、气味、滋味和硬度(稠度)是否符合质量要求。</w:t>
      </w:r>
    </w:p>
    <w:p w14:paraId="7EEEC90B">
      <w:pPr>
        <w:snapToGrid w:val="0"/>
        <w:spacing w:line="360" w:lineRule="auto"/>
        <w:ind w:firstLine="482" w:firstLineChars="200"/>
        <w:outlineLvl w:val="1"/>
        <w:rPr>
          <w:rFonts w:hint="eastAsia" w:ascii="宋体"/>
          <w:b/>
          <w:color w:val="auto"/>
          <w:sz w:val="24"/>
        </w:rPr>
      </w:pPr>
      <w:bookmarkStart w:id="173" w:name="_Toc30613"/>
      <w:bookmarkStart w:id="174" w:name="_Toc9575"/>
      <w:r>
        <w:rPr>
          <w:rFonts w:hint="eastAsia" w:ascii="宋体"/>
          <w:b/>
          <w:color w:val="auto"/>
          <w:sz w:val="24"/>
          <w:lang w:val="en-US" w:eastAsia="zh-CN"/>
        </w:rPr>
        <w:t>5</w:t>
      </w:r>
      <w:r>
        <w:rPr>
          <w:rFonts w:hint="eastAsia" w:ascii="宋体"/>
          <w:b/>
          <w:color w:val="auto"/>
          <w:sz w:val="24"/>
        </w:rPr>
        <w:t>、大米、食用油类</w:t>
      </w:r>
      <w:bookmarkEnd w:id="173"/>
      <w:bookmarkEnd w:id="174"/>
    </w:p>
    <w:p w14:paraId="47B13431">
      <w:pPr>
        <w:snapToGrid w:val="0"/>
        <w:spacing w:line="360" w:lineRule="auto"/>
        <w:ind w:firstLine="480" w:firstLineChars="200"/>
        <w:rPr>
          <w:rFonts w:hint="eastAsia" w:ascii="宋体"/>
          <w:bCs/>
          <w:color w:val="auto"/>
          <w:sz w:val="24"/>
        </w:rPr>
      </w:pPr>
      <w:r>
        <w:rPr>
          <w:rFonts w:hint="eastAsia" w:ascii="宋体"/>
          <w:bCs/>
          <w:color w:val="auto"/>
          <w:sz w:val="24"/>
        </w:rPr>
        <w:t>1.大米：</w:t>
      </w:r>
    </w:p>
    <w:p w14:paraId="2057DC40">
      <w:pPr>
        <w:snapToGrid w:val="0"/>
        <w:spacing w:line="360" w:lineRule="auto"/>
        <w:ind w:firstLine="480" w:firstLineChars="200"/>
        <w:rPr>
          <w:rFonts w:hint="eastAsia" w:ascii="宋体"/>
          <w:bCs/>
          <w:color w:val="auto"/>
          <w:sz w:val="24"/>
        </w:rPr>
      </w:pPr>
      <w:r>
        <w:rPr>
          <w:rFonts w:hint="eastAsia" w:ascii="宋体"/>
          <w:bCs/>
          <w:color w:val="auto"/>
          <w:sz w:val="24"/>
        </w:rPr>
        <w:t>1.1米类执行标准： GB1354-2009 标准一等米，不含添加剂。</w:t>
      </w:r>
    </w:p>
    <w:p w14:paraId="16318108">
      <w:pPr>
        <w:snapToGrid w:val="0"/>
        <w:spacing w:line="360" w:lineRule="auto"/>
        <w:ind w:firstLine="480" w:firstLineChars="200"/>
        <w:rPr>
          <w:rFonts w:hint="eastAsia" w:ascii="宋体"/>
          <w:bCs/>
          <w:color w:val="auto"/>
          <w:sz w:val="24"/>
        </w:rPr>
      </w:pPr>
      <w:r>
        <w:rPr>
          <w:rFonts w:hint="eastAsia" w:ascii="宋体"/>
          <w:bCs/>
          <w:color w:val="auto"/>
          <w:sz w:val="24"/>
        </w:rPr>
        <w:t>1.2大米的质量标准∶除符合标准一等米外，要求∶</w:t>
      </w:r>
    </w:p>
    <w:p w14:paraId="74CA830E">
      <w:pPr>
        <w:snapToGrid w:val="0"/>
        <w:spacing w:line="360" w:lineRule="auto"/>
        <w:ind w:firstLine="480" w:firstLineChars="200"/>
        <w:rPr>
          <w:rFonts w:hint="eastAsia" w:ascii="宋体"/>
          <w:bCs/>
          <w:color w:val="auto"/>
          <w:sz w:val="24"/>
        </w:rPr>
      </w:pPr>
      <w:r>
        <w:rPr>
          <w:rFonts w:hint="eastAsia" w:ascii="宋体"/>
          <w:bCs/>
          <w:color w:val="auto"/>
          <w:sz w:val="24"/>
        </w:rPr>
        <w:t>碎米总量≤17%（国家标准∶ ≤35%）</w:t>
      </w:r>
    </w:p>
    <w:p w14:paraId="272B1CCB">
      <w:pPr>
        <w:snapToGrid w:val="0"/>
        <w:spacing w:line="360" w:lineRule="auto"/>
        <w:ind w:firstLine="480" w:firstLineChars="200"/>
        <w:rPr>
          <w:rFonts w:hint="eastAsia" w:ascii="宋体"/>
          <w:bCs/>
          <w:color w:val="auto"/>
          <w:sz w:val="24"/>
        </w:rPr>
      </w:pPr>
      <w:r>
        <w:rPr>
          <w:rFonts w:hint="eastAsia" w:ascii="宋体"/>
          <w:bCs/>
          <w:color w:val="auto"/>
          <w:sz w:val="24"/>
        </w:rPr>
        <w:t>小碎米总量≤2%（国家标准∶ ≤2.5%）</w:t>
      </w:r>
    </w:p>
    <w:p w14:paraId="284952AE">
      <w:pPr>
        <w:snapToGrid w:val="0"/>
        <w:spacing w:line="360" w:lineRule="auto"/>
        <w:ind w:firstLine="480" w:firstLineChars="200"/>
        <w:rPr>
          <w:rFonts w:hint="eastAsia" w:ascii="宋体"/>
          <w:bCs/>
          <w:color w:val="auto"/>
          <w:sz w:val="24"/>
        </w:rPr>
      </w:pPr>
      <w:r>
        <w:rPr>
          <w:rFonts w:hint="eastAsia" w:ascii="宋体"/>
          <w:bCs/>
          <w:color w:val="auto"/>
          <w:sz w:val="24"/>
        </w:rPr>
        <w:t>不完善粒≤3.5%（国家标准∶ ≤4.0%）</w:t>
      </w:r>
    </w:p>
    <w:p w14:paraId="60D7A87E">
      <w:pPr>
        <w:snapToGrid w:val="0"/>
        <w:spacing w:line="360" w:lineRule="auto"/>
        <w:ind w:firstLine="480" w:firstLineChars="200"/>
        <w:rPr>
          <w:rFonts w:hint="eastAsia" w:ascii="宋体"/>
          <w:bCs/>
          <w:color w:val="auto"/>
          <w:sz w:val="24"/>
        </w:rPr>
      </w:pPr>
      <w:r>
        <w:rPr>
          <w:rFonts w:hint="eastAsia" w:ascii="宋体"/>
          <w:bCs/>
          <w:color w:val="auto"/>
          <w:sz w:val="24"/>
        </w:rPr>
        <w:t>黄米粒按国家标准执行。</w:t>
      </w:r>
    </w:p>
    <w:p w14:paraId="3CD9F349">
      <w:pPr>
        <w:snapToGrid w:val="0"/>
        <w:spacing w:line="360" w:lineRule="auto"/>
        <w:ind w:firstLine="480" w:firstLineChars="200"/>
        <w:rPr>
          <w:rFonts w:hint="eastAsia" w:ascii="宋体"/>
          <w:bCs/>
          <w:color w:val="auto"/>
          <w:sz w:val="24"/>
        </w:rPr>
      </w:pPr>
      <w:r>
        <w:rPr>
          <w:rFonts w:hint="eastAsia" w:ascii="宋体"/>
          <w:bCs/>
          <w:color w:val="auto"/>
          <w:sz w:val="24"/>
        </w:rPr>
        <w:t>1.3包装标准：产品应采用袋装包装形式。包装严密，图案完整；包装材料应符合食品包装材料卫生标准。</w:t>
      </w:r>
    </w:p>
    <w:p w14:paraId="3131E721">
      <w:pPr>
        <w:snapToGrid w:val="0"/>
        <w:spacing w:line="360" w:lineRule="auto"/>
        <w:ind w:firstLine="480" w:firstLineChars="200"/>
        <w:rPr>
          <w:rFonts w:hint="eastAsia" w:ascii="宋体"/>
          <w:bCs/>
          <w:color w:val="auto"/>
          <w:sz w:val="24"/>
        </w:rPr>
      </w:pPr>
      <w:r>
        <w:rPr>
          <w:rFonts w:hint="eastAsia" w:ascii="宋体"/>
          <w:bCs/>
          <w:color w:val="auto"/>
          <w:sz w:val="24"/>
        </w:rPr>
        <w:t>1.4标签标识：标明货物名称、净含量、生产者名称和地址、生产日期、保质期、货物标准号、质量等级、生产许可证号、货物批号等内容，外包装上标明“无添加剂”。</w:t>
      </w:r>
    </w:p>
    <w:p w14:paraId="7E271124">
      <w:pPr>
        <w:snapToGrid w:val="0"/>
        <w:spacing w:line="360" w:lineRule="auto"/>
        <w:ind w:firstLine="480" w:firstLineChars="200"/>
        <w:rPr>
          <w:rFonts w:hint="eastAsia" w:ascii="宋体"/>
          <w:bCs/>
          <w:color w:val="auto"/>
          <w:sz w:val="24"/>
        </w:rPr>
      </w:pPr>
      <w:r>
        <w:rPr>
          <w:rFonts w:hint="eastAsia" w:ascii="宋体"/>
          <w:bCs/>
          <w:color w:val="auto"/>
          <w:sz w:val="24"/>
        </w:rPr>
        <w:t>1.5运输：运输时应外加纸箱、木箱等包装物，运输工具应清洁、无异味，运输时不得与有毒、有害、有腐蚀性货物混装，运输中应注意轻装、轻卸、防雨、防晒。</w:t>
      </w:r>
    </w:p>
    <w:p w14:paraId="47C1E574">
      <w:pPr>
        <w:snapToGrid w:val="0"/>
        <w:spacing w:line="360" w:lineRule="auto"/>
        <w:ind w:firstLine="480" w:firstLineChars="200"/>
        <w:rPr>
          <w:rFonts w:hint="eastAsia" w:ascii="宋体"/>
          <w:bCs/>
          <w:color w:val="auto"/>
          <w:sz w:val="24"/>
        </w:rPr>
      </w:pPr>
      <w:r>
        <w:rPr>
          <w:rFonts w:hint="eastAsia" w:ascii="宋体"/>
          <w:bCs/>
          <w:color w:val="auto"/>
          <w:sz w:val="24"/>
        </w:rPr>
        <w:t>1.6贮存：产品应存放于通风阴凉、干燥、清洁、无异味的库中。</w:t>
      </w:r>
    </w:p>
    <w:p w14:paraId="69DBC600">
      <w:pPr>
        <w:snapToGrid w:val="0"/>
        <w:spacing w:line="360" w:lineRule="auto"/>
        <w:ind w:firstLine="480" w:firstLineChars="200"/>
        <w:rPr>
          <w:rFonts w:hint="eastAsia" w:ascii="宋体"/>
          <w:bCs/>
          <w:color w:val="auto"/>
          <w:sz w:val="24"/>
        </w:rPr>
      </w:pPr>
      <w:r>
        <w:rPr>
          <w:rFonts w:hint="eastAsia" w:ascii="宋体"/>
          <w:bCs/>
          <w:color w:val="auto"/>
          <w:sz w:val="24"/>
        </w:rPr>
        <w:t>1.7每袋大米必须是厂家密封原包装货物且有检验合格证及 QS 认证标志。</w:t>
      </w:r>
    </w:p>
    <w:p w14:paraId="14131D62">
      <w:pPr>
        <w:snapToGrid w:val="0"/>
        <w:spacing w:line="360" w:lineRule="auto"/>
        <w:ind w:firstLine="480" w:firstLineChars="200"/>
        <w:rPr>
          <w:rFonts w:hint="eastAsia" w:ascii="宋体"/>
          <w:bCs/>
          <w:color w:val="auto"/>
          <w:sz w:val="24"/>
        </w:rPr>
      </w:pPr>
      <w:r>
        <w:rPr>
          <w:rFonts w:hint="eastAsia" w:ascii="宋体"/>
          <w:bCs/>
          <w:color w:val="auto"/>
          <w:sz w:val="24"/>
        </w:rPr>
        <w:t>2.食用油</w:t>
      </w:r>
    </w:p>
    <w:p w14:paraId="35F56381">
      <w:pPr>
        <w:snapToGrid w:val="0"/>
        <w:spacing w:line="360" w:lineRule="auto"/>
        <w:ind w:firstLine="480" w:firstLineChars="200"/>
        <w:rPr>
          <w:rFonts w:ascii="宋体"/>
          <w:bCs/>
          <w:color w:val="auto"/>
          <w:sz w:val="24"/>
        </w:rPr>
      </w:pPr>
      <w:r>
        <w:rPr>
          <w:rFonts w:hint="eastAsia" w:ascii="宋体"/>
          <w:bCs/>
          <w:color w:val="auto"/>
          <w:sz w:val="24"/>
        </w:rPr>
        <w:t>2.1所提供的物品必须符合国家有关标准，且在质保期内，保证无异味、无霉烂变质。</w:t>
      </w:r>
    </w:p>
    <w:p w14:paraId="5B941DD4">
      <w:pPr>
        <w:snapToGrid w:val="0"/>
        <w:spacing w:line="360" w:lineRule="auto"/>
        <w:ind w:firstLine="480" w:firstLineChars="200"/>
        <w:rPr>
          <w:rFonts w:hint="eastAsia" w:ascii="宋体"/>
          <w:bCs/>
          <w:color w:val="auto"/>
          <w:sz w:val="24"/>
        </w:rPr>
      </w:pPr>
      <w:r>
        <w:rPr>
          <w:rFonts w:hint="eastAsia" w:ascii="宋体"/>
          <w:bCs/>
          <w:color w:val="auto"/>
          <w:sz w:val="24"/>
        </w:rPr>
        <w:t>2.2包装要求：包装应符合要求，包装材料应清洁、卫生，符合国家食品卫生标准和管理规定。</w:t>
      </w:r>
    </w:p>
    <w:p w14:paraId="1CC55CEC">
      <w:pPr>
        <w:snapToGrid w:val="0"/>
        <w:spacing w:line="360" w:lineRule="auto"/>
        <w:ind w:firstLine="480" w:firstLineChars="200"/>
        <w:rPr>
          <w:rFonts w:hint="eastAsia" w:ascii="宋体"/>
          <w:bCs/>
          <w:color w:val="auto"/>
          <w:sz w:val="24"/>
        </w:rPr>
      </w:pPr>
      <w:r>
        <w:rPr>
          <w:rFonts w:hint="eastAsia" w:ascii="宋体"/>
          <w:bCs/>
          <w:color w:val="auto"/>
          <w:sz w:val="24"/>
        </w:rPr>
        <w:t>2.3标签标识：标明产品名称、净含量、生产者名称和地址、生产日期、保质期、产品标准号、食品添加剂、质量等级、生产许可证号、产品批号等内容。</w:t>
      </w:r>
    </w:p>
    <w:p w14:paraId="255A07F8">
      <w:pPr>
        <w:snapToGrid w:val="0"/>
        <w:spacing w:line="360" w:lineRule="auto"/>
        <w:ind w:firstLine="480" w:firstLineChars="200"/>
        <w:rPr>
          <w:rFonts w:hint="eastAsia" w:ascii="宋体"/>
          <w:bCs/>
          <w:color w:val="auto"/>
          <w:sz w:val="24"/>
        </w:rPr>
      </w:pPr>
      <w:r>
        <w:rPr>
          <w:rFonts w:hint="eastAsia" w:ascii="宋体"/>
          <w:bCs/>
          <w:color w:val="auto"/>
          <w:sz w:val="24"/>
        </w:rPr>
        <w:t>2.4必须是厂家密封原包装货物且有检验合格证及QS认证标志。</w:t>
      </w:r>
    </w:p>
    <w:p w14:paraId="5E281E65">
      <w:pPr>
        <w:snapToGrid w:val="0"/>
        <w:spacing w:line="360" w:lineRule="auto"/>
        <w:ind w:firstLine="480" w:firstLineChars="200"/>
        <w:rPr>
          <w:rFonts w:hint="eastAsia" w:ascii="宋体"/>
          <w:bCs/>
          <w:color w:val="auto"/>
          <w:sz w:val="24"/>
        </w:rPr>
      </w:pPr>
      <w:r>
        <w:rPr>
          <w:rFonts w:hint="eastAsia" w:ascii="宋体"/>
          <w:bCs/>
          <w:color w:val="auto"/>
          <w:sz w:val="24"/>
        </w:rPr>
        <w:t>2.5运输：运输时应外加纸箱、木箱等包装物，运输工具应清洁、无异味，运输时不得  与有毒、有害、有腐蚀性货物混装，运输中应注意轻装、轻卸、防雨、防晒。</w:t>
      </w:r>
    </w:p>
    <w:p w14:paraId="416B8D72">
      <w:pPr>
        <w:snapToGrid w:val="0"/>
        <w:spacing w:line="360" w:lineRule="auto"/>
        <w:ind w:firstLine="480" w:firstLineChars="200"/>
        <w:rPr>
          <w:rFonts w:hint="eastAsia" w:ascii="宋体"/>
          <w:bCs/>
          <w:color w:val="auto"/>
          <w:sz w:val="24"/>
        </w:rPr>
      </w:pPr>
      <w:r>
        <w:rPr>
          <w:rFonts w:hint="eastAsia" w:ascii="宋体"/>
          <w:bCs/>
          <w:color w:val="auto"/>
          <w:sz w:val="24"/>
        </w:rPr>
        <w:t>2.6贮存：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根据用户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w:t>
      </w:r>
      <w:r>
        <w:rPr>
          <w:rFonts w:hint="eastAsia" w:ascii="宋体"/>
          <w:bCs/>
          <w:color w:val="auto"/>
          <w:sz w:val="24"/>
          <w:lang w:eastAsia="zh-CN"/>
        </w:rPr>
        <w:t>供应商</w:t>
      </w:r>
      <w:r>
        <w:rPr>
          <w:rFonts w:hint="eastAsia" w:ascii="宋体"/>
          <w:bCs/>
          <w:color w:val="auto"/>
          <w:sz w:val="24"/>
        </w:rPr>
        <w:t>将承担全部责任。</w:t>
      </w:r>
    </w:p>
    <w:p w14:paraId="59F27DC6">
      <w:pPr>
        <w:snapToGrid w:val="0"/>
        <w:spacing w:line="360" w:lineRule="auto"/>
        <w:ind w:firstLine="480" w:firstLineChars="200"/>
        <w:rPr>
          <w:rFonts w:hint="eastAsia" w:ascii="宋体"/>
          <w:bCs/>
          <w:color w:val="auto"/>
          <w:sz w:val="24"/>
        </w:rPr>
      </w:pPr>
      <w:r>
        <w:rPr>
          <w:rFonts w:hint="eastAsia" w:ascii="宋体"/>
          <w:bCs/>
          <w:color w:val="auto"/>
          <w:sz w:val="24"/>
        </w:rPr>
        <w:t>2.7.</w:t>
      </w:r>
      <w:r>
        <w:rPr>
          <w:rFonts w:hint="eastAsia" w:ascii="宋体"/>
          <w:bCs/>
          <w:color w:val="auto"/>
          <w:sz w:val="24"/>
          <w:lang w:eastAsia="zh-CN"/>
        </w:rPr>
        <w:t>供应商</w:t>
      </w:r>
      <w:r>
        <w:rPr>
          <w:rFonts w:hint="eastAsia" w:ascii="宋体"/>
          <w:bCs/>
          <w:color w:val="auto"/>
          <w:sz w:val="24"/>
        </w:rPr>
        <w:t>所提供的物品质量必须要符合行业标准要求，不得有掺假、变质、变味、过期等现象出现，严禁伪劣、假冒、无证不合格物品进入仓库。</w:t>
      </w:r>
    </w:p>
    <w:p w14:paraId="7B87BA2D">
      <w:pPr>
        <w:snapToGrid w:val="0"/>
        <w:spacing w:line="360" w:lineRule="auto"/>
        <w:ind w:firstLine="480" w:firstLineChars="200"/>
        <w:rPr>
          <w:rFonts w:hint="eastAsia" w:ascii="宋体"/>
          <w:bCs/>
          <w:color w:val="auto"/>
          <w:sz w:val="24"/>
        </w:rPr>
      </w:pPr>
      <w:r>
        <w:rPr>
          <w:rFonts w:hint="eastAsia" w:ascii="宋体"/>
          <w:bCs/>
          <w:color w:val="auto"/>
          <w:sz w:val="24"/>
        </w:rPr>
        <w:t>2.8.所提供的物品不得为转基因物品或转基因制成品，经查实所提供物品中具有转基因物品或转基因制成品立即终止合同，并由</w:t>
      </w:r>
      <w:r>
        <w:rPr>
          <w:rFonts w:hint="eastAsia" w:ascii="宋体"/>
          <w:bCs/>
          <w:color w:val="auto"/>
          <w:sz w:val="24"/>
          <w:lang w:eastAsia="zh-CN"/>
        </w:rPr>
        <w:t>供应商</w:t>
      </w:r>
      <w:r>
        <w:rPr>
          <w:rFonts w:hint="eastAsia" w:ascii="宋体"/>
          <w:bCs/>
          <w:color w:val="auto"/>
          <w:sz w:val="24"/>
        </w:rPr>
        <w:t>将承担全部责任。</w:t>
      </w:r>
    </w:p>
    <w:p w14:paraId="05718DA2">
      <w:pPr>
        <w:snapToGrid w:val="0"/>
        <w:spacing w:line="360" w:lineRule="auto"/>
        <w:ind w:firstLine="480" w:firstLineChars="200"/>
        <w:rPr>
          <w:rFonts w:hint="eastAsia" w:ascii="宋体"/>
          <w:bCs/>
          <w:color w:val="auto"/>
          <w:sz w:val="24"/>
        </w:rPr>
      </w:pPr>
      <w:r>
        <w:rPr>
          <w:rFonts w:hint="eastAsia" w:ascii="宋体"/>
          <w:bCs/>
          <w:color w:val="auto"/>
          <w:sz w:val="24"/>
        </w:rPr>
        <w:t>2.9油类执行标准：</w:t>
      </w:r>
    </w:p>
    <w:p w14:paraId="3AFC15C5">
      <w:pPr>
        <w:snapToGrid w:val="0"/>
        <w:spacing w:line="360" w:lineRule="auto"/>
        <w:ind w:firstLine="480" w:firstLineChars="200"/>
        <w:rPr>
          <w:rFonts w:hint="eastAsia" w:ascii="宋体"/>
          <w:bCs/>
          <w:color w:val="auto"/>
          <w:sz w:val="24"/>
        </w:rPr>
      </w:pPr>
      <w:r>
        <w:rPr>
          <w:rFonts w:hint="eastAsia" w:ascii="宋体"/>
          <w:bCs/>
          <w:color w:val="auto"/>
          <w:sz w:val="24"/>
        </w:rPr>
        <w:t>色拉油：GB1535-2003一级大豆色拉油</w:t>
      </w:r>
    </w:p>
    <w:p w14:paraId="59D29426">
      <w:pPr>
        <w:snapToGrid w:val="0"/>
        <w:spacing w:line="360" w:lineRule="auto"/>
        <w:ind w:firstLine="480" w:firstLineChars="200"/>
        <w:rPr>
          <w:rFonts w:hint="eastAsia" w:ascii="宋体"/>
          <w:bCs/>
          <w:color w:val="auto"/>
          <w:sz w:val="24"/>
        </w:rPr>
      </w:pPr>
      <w:r>
        <w:rPr>
          <w:rFonts w:hint="eastAsia" w:ascii="宋体"/>
          <w:bCs/>
          <w:color w:val="auto"/>
          <w:sz w:val="24"/>
        </w:rPr>
        <w:t>花生油：GB1534-2003</w:t>
      </w:r>
    </w:p>
    <w:p w14:paraId="33D90E27">
      <w:pPr>
        <w:snapToGrid w:val="0"/>
        <w:spacing w:line="360" w:lineRule="auto"/>
        <w:ind w:firstLine="480" w:firstLineChars="200"/>
        <w:rPr>
          <w:rFonts w:hint="eastAsia" w:ascii="宋体"/>
          <w:bCs/>
          <w:color w:val="auto"/>
          <w:sz w:val="24"/>
        </w:rPr>
      </w:pPr>
      <w:r>
        <w:rPr>
          <w:rFonts w:hint="eastAsia" w:ascii="宋体"/>
          <w:bCs/>
          <w:color w:val="auto"/>
          <w:sz w:val="24"/>
        </w:rPr>
        <w:t>大豆油：GB1535-2003</w:t>
      </w:r>
    </w:p>
    <w:p w14:paraId="79786F69">
      <w:pPr>
        <w:snapToGrid w:val="0"/>
        <w:spacing w:line="360" w:lineRule="auto"/>
        <w:ind w:firstLine="480" w:firstLineChars="200"/>
        <w:rPr>
          <w:rFonts w:hint="eastAsia" w:ascii="宋体"/>
          <w:bCs/>
          <w:color w:val="auto"/>
          <w:sz w:val="24"/>
        </w:rPr>
      </w:pPr>
      <w:r>
        <w:rPr>
          <w:rFonts w:hint="eastAsia" w:ascii="宋体"/>
          <w:bCs/>
          <w:color w:val="auto"/>
          <w:sz w:val="24"/>
        </w:rPr>
        <w:t>葵花籽油：GB10464-2003</w:t>
      </w:r>
    </w:p>
    <w:p w14:paraId="1B4C13B3">
      <w:pPr>
        <w:snapToGrid w:val="0"/>
        <w:spacing w:line="360" w:lineRule="auto"/>
        <w:ind w:firstLine="480" w:firstLineChars="200"/>
        <w:rPr>
          <w:rFonts w:hint="eastAsia" w:ascii="宋体"/>
          <w:bCs/>
          <w:color w:val="auto"/>
          <w:sz w:val="24"/>
        </w:rPr>
      </w:pPr>
      <w:r>
        <w:rPr>
          <w:rFonts w:hint="eastAsia" w:ascii="宋体"/>
          <w:bCs/>
          <w:color w:val="auto"/>
          <w:sz w:val="24"/>
        </w:rPr>
        <w:t>2.10油类质量标准：</w:t>
      </w:r>
    </w:p>
    <w:p w14:paraId="603F19A4">
      <w:pPr>
        <w:snapToGrid w:val="0"/>
        <w:spacing w:line="360" w:lineRule="auto"/>
        <w:ind w:firstLine="480" w:firstLineChars="200"/>
        <w:rPr>
          <w:rFonts w:hint="eastAsia" w:ascii="宋体"/>
          <w:bCs/>
          <w:color w:val="auto"/>
          <w:sz w:val="24"/>
        </w:rPr>
      </w:pPr>
      <w:r>
        <w:rPr>
          <w:rFonts w:hint="eastAsia" w:ascii="宋体"/>
          <w:bCs/>
          <w:color w:val="auto"/>
          <w:sz w:val="24"/>
        </w:rPr>
        <w:t>霉变粒不得超过2％；真菌毒素：黄曲霉素B1（5ug/㎏～20 ug/㎏）、脱氧雪腐镰刀菌烯醇（≤1000 ug/㎏）、玉米赤霉烯酮（≤60ug/㎏）；重金属污染物：铅≤0.2㎎/㎏、镉（0.1㎎/㎏～0.2㎎/㎏）、汞（0.02㎎/㎏）、无机砷（0.1㎎/㎏～0.2㎎/㎏）；农药：对磷化物、马拉硫磷等140余种农药规定了最大残留限量。</w:t>
      </w:r>
    </w:p>
    <w:p w14:paraId="330FFD2D">
      <w:pPr>
        <w:snapToGrid w:val="0"/>
        <w:spacing w:line="360" w:lineRule="auto"/>
        <w:ind w:firstLine="480" w:firstLineChars="200"/>
        <w:rPr>
          <w:rFonts w:hint="eastAsia" w:ascii="宋体"/>
          <w:bCs/>
          <w:color w:val="auto"/>
          <w:sz w:val="24"/>
        </w:rPr>
      </w:pPr>
      <w:r>
        <w:rPr>
          <w:rFonts w:hint="eastAsia" w:ascii="宋体"/>
          <w:bCs/>
          <w:color w:val="auto"/>
          <w:sz w:val="24"/>
        </w:rPr>
        <w:t>2.11通过感官鉴别包装内产品及无包装产品，依靠视觉、嗅觉、味觉、触觉等鉴定食品的外观形态、色泽、气味、滋味和硬度(稠度)是否符合质量要求。</w:t>
      </w:r>
    </w:p>
    <w:p w14:paraId="2A6CDB4D">
      <w:pPr>
        <w:snapToGrid w:val="0"/>
        <w:spacing w:line="360" w:lineRule="auto"/>
        <w:ind w:firstLine="482" w:firstLineChars="200"/>
        <w:outlineLvl w:val="1"/>
        <w:rPr>
          <w:rFonts w:hint="eastAsia" w:ascii="宋体"/>
          <w:b/>
          <w:color w:val="auto"/>
          <w:sz w:val="24"/>
        </w:rPr>
      </w:pPr>
      <w:bookmarkStart w:id="175" w:name="_Toc14971"/>
      <w:bookmarkStart w:id="176" w:name="_Toc8184"/>
      <w:r>
        <w:rPr>
          <w:rFonts w:hint="eastAsia" w:ascii="宋体"/>
          <w:b/>
          <w:color w:val="auto"/>
          <w:sz w:val="24"/>
          <w:lang w:val="en-US" w:eastAsia="zh-CN"/>
        </w:rPr>
        <w:t>6</w:t>
      </w:r>
      <w:r>
        <w:rPr>
          <w:rFonts w:hint="eastAsia" w:ascii="宋体"/>
          <w:b/>
          <w:color w:val="auto"/>
          <w:sz w:val="24"/>
        </w:rPr>
        <w:t>、禽蛋类</w:t>
      </w:r>
      <w:bookmarkEnd w:id="175"/>
      <w:bookmarkEnd w:id="176"/>
    </w:p>
    <w:p w14:paraId="0FDDC9A5">
      <w:pPr>
        <w:snapToGrid w:val="0"/>
        <w:spacing w:line="360" w:lineRule="auto"/>
        <w:ind w:firstLine="480" w:firstLineChars="200"/>
        <w:rPr>
          <w:rFonts w:hint="eastAsia" w:ascii="宋体"/>
          <w:bCs/>
          <w:color w:val="auto"/>
          <w:sz w:val="24"/>
        </w:rPr>
      </w:pPr>
      <w:r>
        <w:rPr>
          <w:rFonts w:hint="eastAsia" w:ascii="宋体"/>
          <w:bCs/>
          <w:color w:val="auto"/>
          <w:sz w:val="24"/>
        </w:rPr>
        <w:t>1.盛装鸡蛋的蛋托必须是经高温消毒压制而成的、一次性使用的蛋托，应具备一定的弹  性及强度，无破损。</w:t>
      </w:r>
    </w:p>
    <w:p w14:paraId="45CB6A83">
      <w:pPr>
        <w:snapToGrid w:val="0"/>
        <w:spacing w:line="360" w:lineRule="auto"/>
        <w:ind w:firstLine="480" w:firstLineChars="200"/>
        <w:rPr>
          <w:rFonts w:hint="eastAsia" w:ascii="宋体"/>
          <w:bCs/>
          <w:color w:val="auto"/>
          <w:sz w:val="24"/>
        </w:rPr>
      </w:pPr>
      <w:r>
        <w:rPr>
          <w:rFonts w:hint="eastAsia" w:ascii="宋体"/>
          <w:bCs/>
          <w:color w:val="auto"/>
          <w:sz w:val="24"/>
        </w:rPr>
        <w:t>2.装鸡蛋的蛋筐或纸箱及蛋托应清洁干净、完好，无破损，具备一定的强度，能保护好鸡蛋。</w:t>
      </w:r>
    </w:p>
    <w:p w14:paraId="28497FF2">
      <w:pPr>
        <w:snapToGrid w:val="0"/>
        <w:spacing w:line="360" w:lineRule="auto"/>
        <w:ind w:firstLine="480" w:firstLineChars="200"/>
        <w:rPr>
          <w:rFonts w:hint="eastAsia" w:ascii="宋体"/>
          <w:bCs/>
          <w:color w:val="auto"/>
          <w:sz w:val="24"/>
        </w:rPr>
      </w:pPr>
      <w:r>
        <w:rPr>
          <w:rFonts w:hint="eastAsia" w:ascii="宋体"/>
          <w:bCs/>
          <w:color w:val="auto"/>
          <w:sz w:val="24"/>
        </w:rPr>
        <w:t>3.每枚鸡蛋应无破损、无裂纹、壳形正常、色泽一致。整批鸡蛋的破损率应不超过 1.5%，包括有裂纹的蛋，如出现散黄、颜色变质或有异味变质，即整批退货。</w:t>
      </w:r>
    </w:p>
    <w:p w14:paraId="3AFF3956">
      <w:pPr>
        <w:snapToGrid w:val="0"/>
        <w:spacing w:line="360" w:lineRule="auto"/>
        <w:ind w:firstLine="480" w:firstLineChars="200"/>
        <w:rPr>
          <w:rFonts w:hint="eastAsia" w:ascii="宋体"/>
          <w:bCs/>
          <w:color w:val="auto"/>
          <w:sz w:val="24"/>
        </w:rPr>
      </w:pPr>
      <w:r>
        <w:rPr>
          <w:rFonts w:hint="eastAsia" w:ascii="宋体"/>
          <w:bCs/>
          <w:color w:val="auto"/>
          <w:sz w:val="24"/>
        </w:rPr>
        <w:t>4.从蛋场的产蛋日期至收蛋日期（送货日期）应不超过5天（包括产蛋日）。</w:t>
      </w:r>
    </w:p>
    <w:p w14:paraId="3BFD576B">
      <w:pPr>
        <w:snapToGrid w:val="0"/>
        <w:spacing w:line="360" w:lineRule="auto"/>
        <w:ind w:firstLine="480" w:firstLineChars="200"/>
        <w:rPr>
          <w:rFonts w:hint="eastAsia" w:ascii="宋体"/>
          <w:bCs/>
          <w:color w:val="auto"/>
          <w:sz w:val="24"/>
        </w:rPr>
      </w:pPr>
      <w:r>
        <w:rPr>
          <w:rFonts w:hint="eastAsia" w:ascii="宋体"/>
          <w:bCs/>
          <w:color w:val="auto"/>
          <w:sz w:val="24"/>
        </w:rPr>
        <w:t>5.皮蛋应外表泥状包料完整、无霉斑，包料除掉后蛋壳完整无损，灯光透照蛋内容物凝固不动，打开观察，整个蛋凝固、不粘壳、清洁而有弹性，呈半透明的棕黄色，闻起来有芳香，无辛辣气。</w:t>
      </w:r>
    </w:p>
    <w:p w14:paraId="3E3A2D80">
      <w:pPr>
        <w:snapToGrid w:val="0"/>
        <w:spacing w:line="360" w:lineRule="auto"/>
        <w:ind w:firstLine="480" w:firstLineChars="200"/>
        <w:rPr>
          <w:rFonts w:hint="eastAsia" w:ascii="宋体"/>
          <w:bCs/>
          <w:color w:val="auto"/>
          <w:sz w:val="24"/>
        </w:rPr>
      </w:pPr>
      <w:r>
        <w:rPr>
          <w:rFonts w:hint="eastAsia" w:ascii="宋体"/>
          <w:bCs/>
          <w:color w:val="auto"/>
          <w:sz w:val="24"/>
        </w:rPr>
        <w:t>6.咸蛋应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07C8687F">
      <w:pPr>
        <w:snapToGrid w:val="0"/>
        <w:spacing w:line="360" w:lineRule="auto"/>
        <w:ind w:firstLine="482" w:firstLineChars="200"/>
        <w:outlineLvl w:val="1"/>
        <w:rPr>
          <w:rFonts w:hint="eastAsia" w:ascii="宋体"/>
          <w:b/>
          <w:color w:val="auto"/>
          <w:sz w:val="24"/>
        </w:rPr>
      </w:pPr>
      <w:bookmarkStart w:id="177" w:name="_Toc27305"/>
      <w:bookmarkStart w:id="178" w:name="_Toc3510"/>
      <w:r>
        <w:rPr>
          <w:rFonts w:hint="eastAsia" w:ascii="宋体"/>
          <w:b/>
          <w:color w:val="auto"/>
          <w:sz w:val="24"/>
          <w:lang w:val="en-US" w:eastAsia="zh-CN"/>
        </w:rPr>
        <w:t>7</w:t>
      </w:r>
      <w:r>
        <w:rPr>
          <w:rFonts w:hint="eastAsia" w:ascii="宋体"/>
          <w:b/>
          <w:color w:val="auto"/>
          <w:sz w:val="24"/>
        </w:rPr>
        <w:t>、蔬菜、水果</w:t>
      </w:r>
      <w:bookmarkEnd w:id="177"/>
      <w:bookmarkEnd w:id="178"/>
    </w:p>
    <w:p w14:paraId="2FC081BC">
      <w:pPr>
        <w:snapToGrid w:val="0"/>
        <w:spacing w:line="360" w:lineRule="auto"/>
        <w:ind w:firstLine="480" w:firstLineChars="200"/>
        <w:rPr>
          <w:rFonts w:hint="eastAsia" w:ascii="宋体"/>
          <w:bCs/>
          <w:color w:val="auto"/>
          <w:sz w:val="24"/>
        </w:rPr>
      </w:pPr>
      <w:r>
        <w:rPr>
          <w:rFonts w:hint="eastAsia" w:ascii="宋体"/>
          <w:bCs/>
          <w:color w:val="auto"/>
          <w:sz w:val="24"/>
        </w:rPr>
        <w:t>1.所提供的物品必须符合国家有关标准，保证无异味、无霉烂变质。</w:t>
      </w:r>
    </w:p>
    <w:p w14:paraId="7DAB1825">
      <w:pPr>
        <w:snapToGrid w:val="0"/>
        <w:spacing w:line="360" w:lineRule="auto"/>
        <w:ind w:firstLine="480" w:firstLineChars="200"/>
        <w:rPr>
          <w:rFonts w:hint="eastAsia" w:ascii="宋体"/>
          <w:bCs/>
          <w:color w:val="auto"/>
          <w:sz w:val="24"/>
        </w:rPr>
      </w:pPr>
      <w:r>
        <w:rPr>
          <w:rFonts w:hint="eastAsia" w:ascii="宋体"/>
          <w:bCs/>
          <w:color w:val="auto"/>
          <w:sz w:val="24"/>
        </w:rPr>
        <w:t>2.瓜、果、蔬菜必须是优质货品，保证所供应的蔬菜符合卫生标准，卫生指标应符合我国无公害蔬菜的卫生指标规定，同时承担因所供蔬菜问题引起的一切事故后果。各种蔬菜都应具有本品种固有的气味、形态、颜色、光泽及蔬菜的成熟度和鲜嫩程度，没有腐烂变质及其他异常味道，不能提供萎蔫、枯塌、损伤、病变、虫害等异常蔬菜。</w:t>
      </w:r>
    </w:p>
    <w:p w14:paraId="2756C433">
      <w:pPr>
        <w:snapToGrid w:val="0"/>
        <w:spacing w:line="360" w:lineRule="auto"/>
        <w:ind w:firstLine="480" w:firstLineChars="200"/>
        <w:rPr>
          <w:rFonts w:hint="eastAsia" w:ascii="宋体"/>
          <w:bCs/>
          <w:color w:val="auto"/>
          <w:sz w:val="24"/>
        </w:rPr>
      </w:pPr>
      <w:r>
        <w:rPr>
          <w:rFonts w:hint="eastAsia" w:ascii="宋体"/>
          <w:bCs/>
          <w:color w:val="auto"/>
          <w:sz w:val="24"/>
        </w:rPr>
        <w:t>3.叶菜类应肉质鲜嫩、形态好、色泽正常、茎基部削平，无黄叶、病叶、泥土、明显机械伤和病虫害，无烧心焦边、腐烂等现象，无抽苔，无畸形、异味，结球叶菜芭结球适度，花椰菜类应新鲜洁白，不带叶麸、无畸形花。</w:t>
      </w:r>
    </w:p>
    <w:p w14:paraId="18F69B56">
      <w:pPr>
        <w:snapToGrid w:val="0"/>
        <w:spacing w:line="360" w:lineRule="auto"/>
        <w:ind w:firstLine="480" w:firstLineChars="200"/>
        <w:rPr>
          <w:rFonts w:hint="eastAsia" w:ascii="宋体"/>
          <w:bCs/>
          <w:color w:val="auto"/>
          <w:sz w:val="24"/>
        </w:rPr>
      </w:pPr>
      <w:r>
        <w:rPr>
          <w:rFonts w:hint="eastAsia" w:ascii="宋体"/>
          <w:bCs/>
          <w:color w:val="auto"/>
          <w:sz w:val="24"/>
        </w:rPr>
        <w:t>4.茄果类等应果实整洁，成熟度适中，番茄花蒂不明显，无裂果及空洞现象，茄果不能有裂蒂及果皮变硬现象，无腐烂、畸形、异味，无明显机械伤。</w:t>
      </w:r>
    </w:p>
    <w:p w14:paraId="706FE9F1">
      <w:pPr>
        <w:snapToGrid w:val="0"/>
        <w:spacing w:line="360" w:lineRule="auto"/>
        <w:ind w:firstLine="480" w:firstLineChars="200"/>
        <w:rPr>
          <w:rFonts w:hint="eastAsia" w:ascii="宋体"/>
          <w:bCs/>
          <w:color w:val="auto"/>
          <w:sz w:val="24"/>
        </w:rPr>
      </w:pPr>
      <w:r>
        <w:rPr>
          <w:rFonts w:hint="eastAsia" w:ascii="宋体"/>
          <w:bCs/>
          <w:color w:val="auto"/>
          <w:sz w:val="24"/>
        </w:rPr>
        <w:t>5.瓜果类等形状、色泽一致，瓜条均匀，无疤点，无断裂，无腐烂、畸形、异味、明显机械伤。</w:t>
      </w:r>
    </w:p>
    <w:p w14:paraId="01B30CD5">
      <w:pPr>
        <w:snapToGrid w:val="0"/>
        <w:spacing w:line="360" w:lineRule="auto"/>
        <w:ind w:firstLine="480" w:firstLineChars="200"/>
        <w:rPr>
          <w:rFonts w:hint="eastAsia" w:ascii="宋体"/>
          <w:bCs/>
          <w:color w:val="auto"/>
          <w:sz w:val="24"/>
        </w:rPr>
      </w:pPr>
      <w:r>
        <w:rPr>
          <w:rFonts w:hint="eastAsia" w:ascii="宋体"/>
          <w:bCs/>
          <w:color w:val="auto"/>
          <w:sz w:val="24"/>
        </w:rPr>
        <w:t>6.根菜类等品种皮细光滑，大小均匀，肉质脆嫩、新鲜，无断裂，无腐烂、裂痕、糠心、异味、不带泥土、茎叶和须根。</w:t>
      </w:r>
    </w:p>
    <w:p w14:paraId="27ABC74F">
      <w:pPr>
        <w:snapToGrid w:val="0"/>
        <w:spacing w:line="360" w:lineRule="auto"/>
        <w:ind w:firstLine="480" w:firstLineChars="200"/>
        <w:rPr>
          <w:rFonts w:hint="eastAsia" w:ascii="宋体"/>
          <w:bCs/>
          <w:color w:val="auto"/>
          <w:sz w:val="24"/>
        </w:rPr>
      </w:pPr>
      <w:r>
        <w:rPr>
          <w:rFonts w:hint="eastAsia" w:ascii="宋体"/>
          <w:bCs/>
          <w:color w:val="auto"/>
          <w:sz w:val="24"/>
        </w:rPr>
        <w:t>7.薯芋类应色泽一致、不带泥土、茎叶和须根，不干瘪、无腐烂、畸形、异味、明显机械伤、病虫害斑，马铃薯无发芽，皮不变绿。</w:t>
      </w:r>
    </w:p>
    <w:p w14:paraId="6DCD70FD">
      <w:pPr>
        <w:snapToGrid w:val="0"/>
        <w:spacing w:line="360" w:lineRule="auto"/>
        <w:ind w:firstLine="480" w:firstLineChars="200"/>
        <w:rPr>
          <w:rFonts w:hint="eastAsia" w:ascii="宋体"/>
          <w:bCs/>
          <w:color w:val="auto"/>
          <w:sz w:val="24"/>
        </w:rPr>
      </w:pPr>
      <w:r>
        <w:rPr>
          <w:rFonts w:hint="eastAsia" w:ascii="宋体"/>
          <w:bCs/>
          <w:color w:val="auto"/>
          <w:sz w:val="24"/>
        </w:rPr>
        <w:t>8.葱蒜类应不带老叶、枯叶，不带泥土，无腐烂、异味。</w:t>
      </w:r>
    </w:p>
    <w:p w14:paraId="6DCF5A8E">
      <w:pPr>
        <w:snapToGrid w:val="0"/>
        <w:spacing w:line="360" w:lineRule="auto"/>
        <w:ind w:firstLine="480" w:firstLineChars="200"/>
        <w:rPr>
          <w:rFonts w:hint="eastAsia" w:ascii="宋体"/>
          <w:bCs/>
          <w:color w:val="auto"/>
          <w:sz w:val="24"/>
        </w:rPr>
      </w:pPr>
      <w:r>
        <w:rPr>
          <w:rFonts w:hint="eastAsia" w:ascii="宋体"/>
          <w:bCs/>
          <w:color w:val="auto"/>
          <w:sz w:val="24"/>
        </w:rPr>
        <w:t>9.豆类应形态完整，成熟度适中，无腐烂、畸形、异味，豆荚类新鲜、嫩、均匀，豆粒饱满，无发芽，不带泥土。</w:t>
      </w:r>
    </w:p>
    <w:p w14:paraId="5F46276D">
      <w:pPr>
        <w:snapToGrid w:val="0"/>
        <w:spacing w:line="360" w:lineRule="auto"/>
        <w:ind w:firstLine="480" w:firstLineChars="200"/>
        <w:rPr>
          <w:rFonts w:hint="eastAsia" w:ascii="宋体"/>
          <w:bCs/>
          <w:color w:val="auto"/>
          <w:sz w:val="24"/>
        </w:rPr>
      </w:pPr>
      <w:r>
        <w:rPr>
          <w:rFonts w:hint="eastAsia" w:ascii="宋体"/>
          <w:bCs/>
          <w:color w:val="auto"/>
          <w:sz w:val="24"/>
        </w:rPr>
        <w:t>10.食用菌类应新鲜，无杂质，无腐烂、畸形、异味。</w:t>
      </w:r>
    </w:p>
    <w:p w14:paraId="2494A548">
      <w:pPr>
        <w:spacing w:line="360" w:lineRule="auto"/>
        <w:jc w:val="center"/>
        <w:rPr>
          <w:rFonts w:hint="eastAsia" w:ascii="宋体" w:hAnsi="宋体" w:cs="宋体"/>
          <w:b/>
          <w:bCs/>
          <w:color w:val="auto"/>
          <w:sz w:val="24"/>
        </w:rPr>
      </w:pPr>
      <w:r>
        <w:rPr>
          <w:rFonts w:hint="eastAsia" w:ascii="宋体" w:hAnsi="宋体" w:cs="宋体"/>
          <w:b/>
          <w:bCs/>
          <w:color w:val="auto"/>
          <w:sz w:val="24"/>
        </w:rPr>
        <w:t>执行标准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0"/>
        <w:gridCol w:w="4739"/>
      </w:tblGrid>
      <w:tr w14:paraId="759D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7E7E1BD0">
            <w:pPr>
              <w:jc w:val="center"/>
              <w:rPr>
                <w:rFonts w:hint="eastAsia" w:ascii="宋体" w:hAnsi="宋体" w:cs="宋体"/>
                <w:color w:val="auto"/>
                <w:sz w:val="24"/>
              </w:rPr>
            </w:pPr>
            <w:r>
              <w:rPr>
                <w:rFonts w:hint="eastAsia" w:ascii="宋体" w:hAnsi="宋体" w:cs="宋体"/>
                <w:color w:val="auto"/>
                <w:sz w:val="24"/>
              </w:rPr>
              <w:t>项　　　目</w:t>
            </w:r>
          </w:p>
        </w:tc>
        <w:tc>
          <w:tcPr>
            <w:tcW w:w="4739" w:type="dxa"/>
            <w:noWrap w:val="0"/>
            <w:vAlign w:val="center"/>
          </w:tcPr>
          <w:p w14:paraId="51512BC1">
            <w:pPr>
              <w:jc w:val="center"/>
              <w:rPr>
                <w:rFonts w:hint="eastAsia" w:ascii="宋体" w:hAnsi="宋体" w:cs="宋体"/>
                <w:color w:val="auto"/>
                <w:sz w:val="24"/>
              </w:rPr>
            </w:pPr>
            <w:r>
              <w:rPr>
                <w:rFonts w:hint="eastAsia" w:ascii="宋体" w:hAnsi="宋体" w:cs="宋体"/>
                <w:color w:val="auto"/>
                <w:sz w:val="24"/>
              </w:rPr>
              <w:t>指　　　　标</w:t>
            </w:r>
          </w:p>
        </w:tc>
      </w:tr>
      <w:tr w14:paraId="1A1D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57AD58EE">
            <w:pPr>
              <w:jc w:val="center"/>
              <w:rPr>
                <w:rFonts w:hint="eastAsia" w:ascii="宋体" w:hAnsi="宋体" w:cs="宋体"/>
                <w:color w:val="auto"/>
                <w:sz w:val="24"/>
              </w:rPr>
            </w:pPr>
            <w:r>
              <w:rPr>
                <w:rFonts w:hint="eastAsia" w:ascii="宋体" w:hAnsi="宋体" w:cs="宋体"/>
                <w:color w:val="auto"/>
                <w:sz w:val="24"/>
              </w:rPr>
              <w:t>甲胺磷</w:t>
            </w:r>
          </w:p>
        </w:tc>
        <w:tc>
          <w:tcPr>
            <w:tcW w:w="4739" w:type="dxa"/>
            <w:noWrap w:val="0"/>
            <w:vAlign w:val="center"/>
          </w:tcPr>
          <w:p w14:paraId="3A426CBE">
            <w:pPr>
              <w:jc w:val="center"/>
              <w:rPr>
                <w:rFonts w:hint="eastAsia" w:ascii="宋体" w:hAnsi="宋体" w:cs="宋体"/>
                <w:color w:val="auto"/>
                <w:sz w:val="24"/>
              </w:rPr>
            </w:pPr>
            <w:r>
              <w:rPr>
                <w:rFonts w:hint="eastAsia" w:ascii="宋体" w:hAnsi="宋体" w:cs="宋体"/>
                <w:color w:val="auto"/>
                <w:sz w:val="24"/>
              </w:rPr>
              <w:t>不得检出</w:t>
            </w:r>
          </w:p>
        </w:tc>
      </w:tr>
      <w:tr w14:paraId="2A55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170" w:type="dxa"/>
            <w:noWrap w:val="0"/>
            <w:vAlign w:val="center"/>
          </w:tcPr>
          <w:p w14:paraId="6D26CB76">
            <w:pPr>
              <w:jc w:val="center"/>
              <w:rPr>
                <w:rFonts w:hint="eastAsia" w:ascii="宋体" w:hAnsi="宋体" w:cs="宋体"/>
                <w:color w:val="auto"/>
                <w:sz w:val="24"/>
              </w:rPr>
            </w:pPr>
            <w:r>
              <w:rPr>
                <w:rFonts w:hint="eastAsia" w:ascii="宋体" w:hAnsi="宋体" w:cs="宋体"/>
                <w:color w:val="auto"/>
                <w:sz w:val="24"/>
              </w:rPr>
              <w:t>甲拌磷</w:t>
            </w:r>
          </w:p>
        </w:tc>
        <w:tc>
          <w:tcPr>
            <w:tcW w:w="4739" w:type="dxa"/>
            <w:noWrap w:val="0"/>
            <w:vAlign w:val="center"/>
          </w:tcPr>
          <w:p w14:paraId="3949DB53">
            <w:pPr>
              <w:jc w:val="center"/>
              <w:rPr>
                <w:rFonts w:hint="eastAsia" w:ascii="宋体" w:hAnsi="宋体" w:cs="宋体"/>
                <w:color w:val="auto"/>
                <w:sz w:val="24"/>
              </w:rPr>
            </w:pPr>
            <w:r>
              <w:rPr>
                <w:rFonts w:hint="eastAsia" w:ascii="宋体" w:hAnsi="宋体" w:cs="宋体"/>
                <w:color w:val="auto"/>
                <w:sz w:val="24"/>
              </w:rPr>
              <w:t>不得检出</w:t>
            </w:r>
          </w:p>
        </w:tc>
      </w:tr>
      <w:tr w14:paraId="4C3E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5ECBE625">
            <w:pPr>
              <w:jc w:val="center"/>
              <w:rPr>
                <w:rFonts w:hint="eastAsia" w:ascii="宋体" w:hAnsi="宋体" w:cs="宋体"/>
                <w:color w:val="auto"/>
                <w:sz w:val="24"/>
              </w:rPr>
            </w:pPr>
            <w:r>
              <w:rPr>
                <w:rFonts w:hint="eastAsia" w:ascii="宋体" w:hAnsi="宋体" w:cs="宋体"/>
                <w:color w:val="auto"/>
                <w:sz w:val="24"/>
              </w:rPr>
              <w:t>氧化乐果</w:t>
            </w:r>
          </w:p>
        </w:tc>
        <w:tc>
          <w:tcPr>
            <w:tcW w:w="4739" w:type="dxa"/>
            <w:noWrap w:val="0"/>
            <w:vAlign w:val="center"/>
          </w:tcPr>
          <w:p w14:paraId="6E8F454A">
            <w:pPr>
              <w:jc w:val="center"/>
              <w:rPr>
                <w:rFonts w:hint="eastAsia" w:ascii="宋体" w:hAnsi="宋体" w:cs="宋体"/>
                <w:color w:val="auto"/>
                <w:sz w:val="24"/>
              </w:rPr>
            </w:pPr>
            <w:r>
              <w:rPr>
                <w:rFonts w:hint="eastAsia" w:ascii="宋体" w:hAnsi="宋体" w:cs="宋体"/>
                <w:color w:val="auto"/>
                <w:sz w:val="24"/>
              </w:rPr>
              <w:t>不得检出</w:t>
            </w:r>
          </w:p>
        </w:tc>
      </w:tr>
      <w:tr w14:paraId="7949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613948E5">
            <w:pPr>
              <w:jc w:val="center"/>
              <w:rPr>
                <w:rFonts w:hint="eastAsia" w:ascii="宋体" w:hAnsi="宋体" w:cs="宋体"/>
                <w:color w:val="auto"/>
                <w:sz w:val="24"/>
              </w:rPr>
            </w:pPr>
            <w:r>
              <w:rPr>
                <w:rFonts w:hint="eastAsia" w:ascii="宋体" w:hAnsi="宋体" w:cs="宋体"/>
                <w:color w:val="auto"/>
                <w:sz w:val="24"/>
              </w:rPr>
              <w:t>甲基对硫磷</w:t>
            </w:r>
          </w:p>
        </w:tc>
        <w:tc>
          <w:tcPr>
            <w:tcW w:w="4739" w:type="dxa"/>
            <w:noWrap w:val="0"/>
            <w:vAlign w:val="center"/>
          </w:tcPr>
          <w:p w14:paraId="618D34BB">
            <w:pPr>
              <w:jc w:val="center"/>
              <w:rPr>
                <w:rFonts w:hint="eastAsia" w:ascii="宋体" w:hAnsi="宋体" w:cs="宋体"/>
                <w:color w:val="auto"/>
                <w:sz w:val="24"/>
              </w:rPr>
            </w:pPr>
            <w:r>
              <w:rPr>
                <w:rFonts w:hint="eastAsia" w:ascii="宋体" w:hAnsi="宋体" w:cs="宋体"/>
                <w:color w:val="auto"/>
                <w:sz w:val="24"/>
              </w:rPr>
              <w:t>不得检出</w:t>
            </w:r>
          </w:p>
        </w:tc>
      </w:tr>
      <w:tr w14:paraId="2E71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57A722FB">
            <w:pPr>
              <w:jc w:val="center"/>
              <w:rPr>
                <w:rFonts w:hint="eastAsia" w:ascii="宋体" w:hAnsi="宋体" w:cs="宋体"/>
                <w:color w:val="auto"/>
                <w:sz w:val="24"/>
              </w:rPr>
            </w:pPr>
            <w:r>
              <w:rPr>
                <w:rFonts w:hint="eastAsia" w:ascii="宋体" w:hAnsi="宋体" w:cs="宋体"/>
                <w:color w:val="auto"/>
                <w:sz w:val="24"/>
              </w:rPr>
              <w:t>呋喃丹</w:t>
            </w:r>
          </w:p>
        </w:tc>
        <w:tc>
          <w:tcPr>
            <w:tcW w:w="4739" w:type="dxa"/>
            <w:noWrap w:val="0"/>
            <w:vAlign w:val="center"/>
          </w:tcPr>
          <w:p w14:paraId="34A987AE">
            <w:pPr>
              <w:jc w:val="center"/>
              <w:rPr>
                <w:rFonts w:hint="eastAsia" w:ascii="宋体" w:hAnsi="宋体" w:cs="宋体"/>
                <w:color w:val="auto"/>
                <w:sz w:val="24"/>
              </w:rPr>
            </w:pPr>
            <w:r>
              <w:rPr>
                <w:rFonts w:hint="eastAsia" w:ascii="宋体" w:hAnsi="宋体" w:cs="宋体"/>
                <w:color w:val="auto"/>
                <w:sz w:val="24"/>
              </w:rPr>
              <w:t>不得检出</w:t>
            </w:r>
          </w:p>
        </w:tc>
      </w:tr>
      <w:tr w14:paraId="409B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0CE01E12">
            <w:pPr>
              <w:jc w:val="center"/>
              <w:rPr>
                <w:rFonts w:hint="eastAsia" w:ascii="宋体" w:hAnsi="宋体" w:cs="宋体"/>
                <w:color w:val="auto"/>
                <w:sz w:val="24"/>
              </w:rPr>
            </w:pPr>
            <w:r>
              <w:rPr>
                <w:rFonts w:hint="eastAsia" w:ascii="宋体" w:hAnsi="宋体" w:cs="宋体"/>
                <w:color w:val="auto"/>
                <w:sz w:val="24"/>
              </w:rPr>
              <w:t>百菌清</w:t>
            </w:r>
          </w:p>
        </w:tc>
        <w:tc>
          <w:tcPr>
            <w:tcW w:w="4739" w:type="dxa"/>
            <w:noWrap w:val="0"/>
            <w:vAlign w:val="center"/>
          </w:tcPr>
          <w:p w14:paraId="7BED491B">
            <w:pPr>
              <w:jc w:val="center"/>
              <w:rPr>
                <w:rFonts w:hint="eastAsia" w:ascii="宋体" w:hAnsi="宋体" w:cs="宋体"/>
                <w:color w:val="auto"/>
                <w:sz w:val="24"/>
              </w:rPr>
            </w:pPr>
            <w:r>
              <w:rPr>
                <w:rFonts w:hint="eastAsia" w:ascii="宋体" w:hAnsi="宋体" w:cs="宋体"/>
                <w:color w:val="auto"/>
                <w:sz w:val="24"/>
              </w:rPr>
              <w:t>≤1.0</w:t>
            </w:r>
          </w:p>
        </w:tc>
      </w:tr>
      <w:tr w14:paraId="776B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170" w:type="dxa"/>
            <w:noWrap w:val="0"/>
            <w:vAlign w:val="center"/>
          </w:tcPr>
          <w:p w14:paraId="39536A10">
            <w:pPr>
              <w:jc w:val="center"/>
              <w:rPr>
                <w:rFonts w:hint="eastAsia" w:ascii="宋体" w:hAnsi="宋体" w:cs="宋体"/>
                <w:color w:val="auto"/>
                <w:sz w:val="24"/>
              </w:rPr>
            </w:pPr>
            <w:r>
              <w:rPr>
                <w:rFonts w:hint="eastAsia" w:ascii="宋体" w:hAnsi="宋体" w:cs="宋体"/>
                <w:color w:val="auto"/>
                <w:sz w:val="24"/>
              </w:rPr>
              <w:t>多菌灵</w:t>
            </w:r>
          </w:p>
        </w:tc>
        <w:tc>
          <w:tcPr>
            <w:tcW w:w="4739" w:type="dxa"/>
            <w:noWrap w:val="0"/>
            <w:vAlign w:val="center"/>
          </w:tcPr>
          <w:p w14:paraId="314FCFB1">
            <w:pPr>
              <w:jc w:val="center"/>
              <w:rPr>
                <w:rFonts w:hint="eastAsia" w:ascii="宋体" w:hAnsi="宋体" w:cs="宋体"/>
                <w:color w:val="auto"/>
                <w:sz w:val="24"/>
              </w:rPr>
            </w:pPr>
            <w:r>
              <w:rPr>
                <w:rFonts w:hint="eastAsia" w:ascii="宋体" w:hAnsi="宋体" w:cs="宋体"/>
                <w:color w:val="auto"/>
                <w:sz w:val="24"/>
              </w:rPr>
              <w:t>≤0.5</w:t>
            </w:r>
          </w:p>
        </w:tc>
      </w:tr>
      <w:tr w14:paraId="0065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16679931">
            <w:pPr>
              <w:jc w:val="center"/>
              <w:rPr>
                <w:rFonts w:hint="eastAsia" w:ascii="宋体" w:hAnsi="宋体" w:cs="宋体"/>
                <w:color w:val="auto"/>
                <w:sz w:val="24"/>
              </w:rPr>
            </w:pPr>
            <w:r>
              <w:rPr>
                <w:rFonts w:hint="eastAsia" w:ascii="宋体" w:hAnsi="宋体" w:cs="宋体"/>
                <w:color w:val="auto"/>
                <w:sz w:val="24"/>
              </w:rPr>
              <w:t>汞（以Hg计）</w:t>
            </w:r>
          </w:p>
        </w:tc>
        <w:tc>
          <w:tcPr>
            <w:tcW w:w="4739" w:type="dxa"/>
            <w:noWrap w:val="0"/>
            <w:vAlign w:val="center"/>
          </w:tcPr>
          <w:p w14:paraId="2B371D8F">
            <w:pPr>
              <w:jc w:val="center"/>
              <w:rPr>
                <w:rFonts w:hint="eastAsia" w:ascii="宋体" w:hAnsi="宋体" w:cs="宋体"/>
                <w:color w:val="auto"/>
                <w:sz w:val="24"/>
              </w:rPr>
            </w:pPr>
            <w:r>
              <w:rPr>
                <w:rFonts w:hint="eastAsia" w:ascii="宋体" w:hAnsi="宋体" w:cs="宋体"/>
                <w:color w:val="auto"/>
                <w:sz w:val="24"/>
              </w:rPr>
              <w:t>≤0.01</w:t>
            </w:r>
          </w:p>
        </w:tc>
      </w:tr>
      <w:tr w14:paraId="09EF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50BC0607">
            <w:pPr>
              <w:jc w:val="center"/>
              <w:rPr>
                <w:rFonts w:hint="eastAsia" w:ascii="宋体" w:hAnsi="宋体" w:cs="宋体"/>
                <w:color w:val="auto"/>
                <w:sz w:val="24"/>
              </w:rPr>
            </w:pPr>
            <w:r>
              <w:rPr>
                <w:rFonts w:hint="eastAsia" w:ascii="宋体" w:hAnsi="宋体" w:cs="宋体"/>
                <w:color w:val="auto"/>
                <w:sz w:val="24"/>
              </w:rPr>
              <w:t>铅（以Bb计）</w:t>
            </w:r>
          </w:p>
        </w:tc>
        <w:tc>
          <w:tcPr>
            <w:tcW w:w="4739" w:type="dxa"/>
            <w:noWrap w:val="0"/>
            <w:vAlign w:val="center"/>
          </w:tcPr>
          <w:p w14:paraId="7C683A5F">
            <w:pPr>
              <w:jc w:val="center"/>
              <w:rPr>
                <w:rFonts w:hint="eastAsia" w:ascii="宋体" w:hAnsi="宋体" w:cs="宋体"/>
                <w:color w:val="auto"/>
                <w:sz w:val="24"/>
              </w:rPr>
            </w:pPr>
            <w:r>
              <w:rPr>
                <w:rFonts w:hint="eastAsia" w:ascii="宋体" w:hAnsi="宋体" w:cs="宋体"/>
                <w:color w:val="auto"/>
                <w:sz w:val="24"/>
              </w:rPr>
              <w:t>≤0.2</w:t>
            </w:r>
          </w:p>
        </w:tc>
      </w:tr>
      <w:tr w14:paraId="5520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2C7B48F9">
            <w:pPr>
              <w:jc w:val="center"/>
              <w:rPr>
                <w:rFonts w:hint="eastAsia" w:ascii="宋体" w:hAnsi="宋体" w:cs="宋体"/>
                <w:color w:val="auto"/>
                <w:sz w:val="24"/>
              </w:rPr>
            </w:pPr>
            <w:r>
              <w:rPr>
                <w:rFonts w:hint="eastAsia" w:ascii="宋体" w:hAnsi="宋体" w:cs="宋体"/>
                <w:color w:val="auto"/>
                <w:sz w:val="24"/>
              </w:rPr>
              <w:t>砷（以As计）</w:t>
            </w:r>
          </w:p>
        </w:tc>
        <w:tc>
          <w:tcPr>
            <w:tcW w:w="4739" w:type="dxa"/>
            <w:noWrap w:val="0"/>
            <w:vAlign w:val="center"/>
          </w:tcPr>
          <w:p w14:paraId="25FE1D69">
            <w:pPr>
              <w:jc w:val="center"/>
              <w:rPr>
                <w:rFonts w:hint="eastAsia" w:ascii="宋体" w:hAnsi="宋体" w:cs="宋体"/>
                <w:color w:val="auto"/>
                <w:sz w:val="24"/>
              </w:rPr>
            </w:pPr>
            <w:r>
              <w:rPr>
                <w:rFonts w:hint="eastAsia" w:ascii="宋体" w:hAnsi="宋体" w:cs="宋体"/>
                <w:color w:val="auto"/>
                <w:sz w:val="24"/>
              </w:rPr>
              <w:t>≤0.5</w:t>
            </w:r>
          </w:p>
        </w:tc>
      </w:tr>
      <w:tr w14:paraId="14FC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256F8EA7">
            <w:pPr>
              <w:jc w:val="center"/>
              <w:rPr>
                <w:rFonts w:hint="eastAsia" w:ascii="宋体" w:hAnsi="宋体" w:cs="宋体"/>
                <w:color w:val="auto"/>
                <w:sz w:val="24"/>
              </w:rPr>
            </w:pPr>
            <w:r>
              <w:rPr>
                <w:rFonts w:hint="eastAsia" w:ascii="宋体" w:hAnsi="宋体" w:cs="宋体"/>
                <w:color w:val="auto"/>
                <w:sz w:val="24"/>
              </w:rPr>
              <w:t>氟（以F计）</w:t>
            </w:r>
          </w:p>
        </w:tc>
        <w:tc>
          <w:tcPr>
            <w:tcW w:w="4739" w:type="dxa"/>
            <w:noWrap w:val="0"/>
            <w:vAlign w:val="center"/>
          </w:tcPr>
          <w:p w14:paraId="5D7CEB7F">
            <w:pPr>
              <w:jc w:val="center"/>
              <w:rPr>
                <w:rFonts w:hint="eastAsia" w:ascii="宋体" w:hAnsi="宋体" w:cs="宋体"/>
                <w:color w:val="auto"/>
                <w:sz w:val="24"/>
              </w:rPr>
            </w:pPr>
            <w:r>
              <w:rPr>
                <w:rFonts w:hint="eastAsia" w:ascii="宋体" w:hAnsi="宋体" w:cs="宋体"/>
                <w:color w:val="auto"/>
                <w:sz w:val="24"/>
              </w:rPr>
              <w:t>≤0.5</w:t>
            </w:r>
          </w:p>
        </w:tc>
      </w:tr>
      <w:tr w14:paraId="2ADB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70" w:type="dxa"/>
            <w:noWrap w:val="0"/>
            <w:vAlign w:val="center"/>
          </w:tcPr>
          <w:p w14:paraId="36ADED79">
            <w:pPr>
              <w:jc w:val="center"/>
              <w:rPr>
                <w:rFonts w:hint="eastAsia" w:ascii="宋体" w:hAnsi="宋体" w:cs="宋体"/>
                <w:color w:val="auto"/>
                <w:sz w:val="24"/>
              </w:rPr>
            </w:pPr>
            <w:r>
              <w:rPr>
                <w:rFonts w:hint="eastAsia" w:ascii="宋体" w:hAnsi="宋体" w:cs="宋体"/>
                <w:color w:val="auto"/>
                <w:sz w:val="24"/>
              </w:rPr>
              <w:t>硝酸盐（以NaNO2计）</w:t>
            </w:r>
          </w:p>
        </w:tc>
        <w:tc>
          <w:tcPr>
            <w:tcW w:w="4739" w:type="dxa"/>
            <w:noWrap w:val="0"/>
            <w:vAlign w:val="center"/>
          </w:tcPr>
          <w:p w14:paraId="57978B33">
            <w:pPr>
              <w:jc w:val="center"/>
              <w:rPr>
                <w:rFonts w:hint="eastAsia" w:ascii="宋体" w:hAnsi="宋体" w:cs="宋体"/>
                <w:color w:val="auto"/>
                <w:sz w:val="24"/>
              </w:rPr>
            </w:pPr>
            <w:r>
              <w:rPr>
                <w:rFonts w:hint="eastAsia" w:ascii="宋体" w:hAnsi="宋体" w:cs="宋体"/>
                <w:color w:val="auto"/>
                <w:sz w:val="24"/>
              </w:rPr>
              <w:t>瓜果类≤600，叶菜根茎类≤1200</w:t>
            </w:r>
          </w:p>
        </w:tc>
      </w:tr>
      <w:tr w14:paraId="1ED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170" w:type="dxa"/>
            <w:noWrap w:val="0"/>
            <w:vAlign w:val="center"/>
          </w:tcPr>
          <w:p w14:paraId="1712C840">
            <w:pPr>
              <w:jc w:val="center"/>
              <w:rPr>
                <w:rFonts w:hint="eastAsia" w:ascii="宋体" w:hAnsi="宋体" w:cs="宋体"/>
                <w:color w:val="auto"/>
                <w:sz w:val="24"/>
              </w:rPr>
            </w:pPr>
            <w:r>
              <w:rPr>
                <w:rFonts w:hint="eastAsia" w:ascii="宋体" w:hAnsi="宋体" w:cs="宋体"/>
                <w:color w:val="auto"/>
                <w:sz w:val="24"/>
              </w:rPr>
              <w:t>亚硝酸盐（以NaNO2计）</w:t>
            </w:r>
          </w:p>
        </w:tc>
        <w:tc>
          <w:tcPr>
            <w:tcW w:w="4739" w:type="dxa"/>
            <w:noWrap w:val="0"/>
            <w:vAlign w:val="center"/>
          </w:tcPr>
          <w:p w14:paraId="46E6FB8C">
            <w:pPr>
              <w:jc w:val="center"/>
              <w:rPr>
                <w:rFonts w:hint="eastAsia" w:ascii="宋体" w:hAnsi="宋体" w:cs="宋体"/>
                <w:color w:val="auto"/>
                <w:sz w:val="24"/>
              </w:rPr>
            </w:pPr>
            <w:r>
              <w:rPr>
                <w:rFonts w:hint="eastAsia" w:ascii="宋体" w:hAnsi="宋体" w:cs="宋体"/>
                <w:color w:val="auto"/>
                <w:sz w:val="24"/>
              </w:rPr>
              <w:t>≤4</w:t>
            </w:r>
          </w:p>
        </w:tc>
      </w:tr>
      <w:tr w14:paraId="71EB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909" w:type="dxa"/>
            <w:gridSpan w:val="2"/>
            <w:noWrap w:val="0"/>
            <w:vAlign w:val="center"/>
          </w:tcPr>
          <w:p w14:paraId="74CCFAAC">
            <w:pPr>
              <w:ind w:firstLine="480" w:firstLineChars="200"/>
              <w:jc w:val="center"/>
              <w:rPr>
                <w:rFonts w:hint="eastAsia" w:ascii="宋体" w:hAnsi="宋体" w:cs="宋体"/>
                <w:color w:val="auto"/>
                <w:sz w:val="24"/>
              </w:rPr>
            </w:pPr>
            <w:r>
              <w:rPr>
                <w:rFonts w:hint="eastAsia" w:ascii="宋体" w:hAnsi="宋体" w:cs="宋体"/>
                <w:color w:val="auto"/>
                <w:sz w:val="24"/>
              </w:rPr>
              <w:t>国家规定其他必检项目必须符合国家标准</w:t>
            </w:r>
          </w:p>
        </w:tc>
      </w:tr>
    </w:tbl>
    <w:p w14:paraId="14B6E5C3">
      <w:pPr>
        <w:snapToGrid w:val="0"/>
        <w:spacing w:line="360" w:lineRule="auto"/>
        <w:ind w:firstLine="480" w:firstLineChars="200"/>
        <w:rPr>
          <w:rFonts w:hint="eastAsia" w:ascii="宋体"/>
          <w:bCs/>
          <w:color w:val="auto"/>
          <w:sz w:val="24"/>
        </w:rPr>
      </w:pPr>
    </w:p>
    <w:p w14:paraId="42B73DE3">
      <w:pPr>
        <w:snapToGrid w:val="0"/>
        <w:spacing w:line="360" w:lineRule="auto"/>
        <w:ind w:firstLine="482" w:firstLineChars="200"/>
        <w:outlineLvl w:val="1"/>
        <w:rPr>
          <w:rFonts w:hint="eastAsia" w:ascii="宋体"/>
          <w:b/>
          <w:color w:val="auto"/>
          <w:sz w:val="24"/>
        </w:rPr>
      </w:pPr>
      <w:bookmarkStart w:id="179" w:name="_Toc5461"/>
      <w:bookmarkStart w:id="180" w:name="_Toc25393"/>
      <w:r>
        <w:rPr>
          <w:rFonts w:hint="eastAsia" w:ascii="宋体"/>
          <w:b/>
          <w:color w:val="auto"/>
          <w:sz w:val="24"/>
          <w:lang w:val="en-US" w:eastAsia="zh-CN"/>
        </w:rPr>
        <w:t>8</w:t>
      </w:r>
      <w:r>
        <w:rPr>
          <w:rFonts w:hint="eastAsia" w:ascii="宋体"/>
          <w:b/>
          <w:color w:val="auto"/>
          <w:sz w:val="24"/>
        </w:rPr>
        <w:t>、水产、豆制品、干货制品</w:t>
      </w:r>
      <w:bookmarkEnd w:id="179"/>
      <w:bookmarkEnd w:id="180"/>
    </w:p>
    <w:p w14:paraId="22D9ED7F">
      <w:pPr>
        <w:snapToGrid w:val="0"/>
        <w:spacing w:line="360" w:lineRule="auto"/>
        <w:ind w:firstLine="480" w:firstLineChars="200"/>
        <w:rPr>
          <w:rFonts w:hint="eastAsia" w:ascii="宋体"/>
          <w:bCs/>
          <w:color w:val="auto"/>
          <w:sz w:val="24"/>
        </w:rPr>
      </w:pPr>
      <w:r>
        <w:rPr>
          <w:rFonts w:hint="eastAsia" w:ascii="宋体"/>
          <w:bCs/>
          <w:color w:val="auto"/>
          <w:sz w:val="24"/>
        </w:rPr>
        <w:t>1.水产类</w:t>
      </w:r>
    </w:p>
    <w:p w14:paraId="65B1F87A">
      <w:pPr>
        <w:snapToGrid w:val="0"/>
        <w:spacing w:line="360" w:lineRule="auto"/>
        <w:ind w:firstLine="480" w:firstLineChars="200"/>
        <w:rPr>
          <w:rFonts w:hint="eastAsia" w:ascii="宋体"/>
          <w:bCs/>
          <w:color w:val="auto"/>
          <w:sz w:val="24"/>
        </w:rPr>
      </w:pPr>
      <w:r>
        <w:rPr>
          <w:rFonts w:hint="eastAsia" w:ascii="宋体"/>
          <w:bCs/>
          <w:color w:val="auto"/>
          <w:sz w:val="24"/>
        </w:rPr>
        <w:t>1.1所提供的物品必须符合国家有关标准，保证无异味、无霉烂变质。鲜肉、冷冻肉供货时需提供当批次有效的检疫合格证，原件备查。</w:t>
      </w:r>
    </w:p>
    <w:p w14:paraId="0B7ED9F7">
      <w:pPr>
        <w:snapToGrid w:val="0"/>
        <w:spacing w:line="360" w:lineRule="auto"/>
        <w:ind w:firstLine="480" w:firstLineChars="200"/>
        <w:rPr>
          <w:rFonts w:hint="eastAsia" w:ascii="宋体"/>
          <w:bCs/>
          <w:color w:val="auto"/>
          <w:sz w:val="24"/>
        </w:rPr>
      </w:pPr>
      <w:r>
        <w:rPr>
          <w:rFonts w:hint="eastAsia" w:ascii="宋体"/>
          <w:bCs/>
          <w:color w:val="auto"/>
          <w:sz w:val="24"/>
        </w:rPr>
        <w:t>1.2对货物的品质要求，必须符合国家，食品部门的有关标准和规格要求。</w:t>
      </w:r>
    </w:p>
    <w:p w14:paraId="3A127D35">
      <w:pPr>
        <w:snapToGrid w:val="0"/>
        <w:spacing w:line="360" w:lineRule="auto"/>
        <w:ind w:firstLine="480" w:firstLineChars="200"/>
        <w:rPr>
          <w:rFonts w:hint="eastAsia" w:ascii="宋体"/>
          <w:bCs/>
          <w:color w:val="auto"/>
          <w:sz w:val="24"/>
        </w:rPr>
      </w:pPr>
      <w:r>
        <w:rPr>
          <w:rFonts w:hint="eastAsia" w:ascii="宋体"/>
          <w:bCs/>
          <w:color w:val="auto"/>
          <w:sz w:val="24"/>
        </w:rPr>
        <w:t>1.3每批货物应保持较好的外观和质量等级，符合国家食品部门的有关标准，保证无异味、无腐烂变质，鲜肉确保每日新鲜、无异味。</w:t>
      </w:r>
    </w:p>
    <w:p w14:paraId="5DA3189B">
      <w:pPr>
        <w:snapToGrid w:val="0"/>
        <w:spacing w:line="360" w:lineRule="auto"/>
        <w:ind w:firstLine="480" w:firstLineChars="200"/>
        <w:rPr>
          <w:rFonts w:hint="eastAsia" w:ascii="宋体"/>
          <w:bCs/>
          <w:color w:val="auto"/>
          <w:sz w:val="24"/>
        </w:rPr>
      </w:pPr>
      <w:r>
        <w:rPr>
          <w:rFonts w:hint="eastAsia" w:ascii="宋体"/>
          <w:bCs/>
          <w:color w:val="auto"/>
          <w:sz w:val="24"/>
        </w:rPr>
        <w:t>1.4.冷冻肉要求肉体冻实而且坚硬，无化冻现象，肉质紧密而有弹性，色泽均匀，不粘手，交货时干净、新鲜、无异味。冷冻鱼类要求鱼眼睛清亮，角膜透明，鳞片色泽明显。所有冷冻食品均清晰列出产品品牌、规格、类型、包装方式、包装净重、含冰量等相关参数。</w:t>
      </w:r>
    </w:p>
    <w:p w14:paraId="372DFF0E">
      <w:pPr>
        <w:snapToGrid w:val="0"/>
        <w:spacing w:line="360" w:lineRule="auto"/>
        <w:ind w:firstLine="480" w:firstLineChars="200"/>
        <w:rPr>
          <w:rFonts w:hint="eastAsia" w:ascii="宋体"/>
          <w:bCs/>
          <w:color w:val="auto"/>
          <w:sz w:val="24"/>
        </w:rPr>
      </w:pPr>
      <w:r>
        <w:rPr>
          <w:rFonts w:hint="eastAsia" w:ascii="宋体"/>
          <w:bCs/>
          <w:color w:val="auto"/>
          <w:sz w:val="24"/>
        </w:rPr>
        <w:t>2.豆制品类</w:t>
      </w:r>
    </w:p>
    <w:p w14:paraId="585202E1">
      <w:pPr>
        <w:snapToGrid w:val="0"/>
        <w:spacing w:line="360" w:lineRule="auto"/>
        <w:ind w:firstLine="480" w:firstLineChars="200"/>
        <w:rPr>
          <w:rFonts w:hint="eastAsia" w:ascii="宋体"/>
          <w:bCs/>
          <w:color w:val="auto"/>
          <w:sz w:val="24"/>
        </w:rPr>
      </w:pPr>
      <w:r>
        <w:rPr>
          <w:rFonts w:hint="eastAsia" w:ascii="宋体"/>
          <w:bCs/>
          <w:color w:val="auto"/>
          <w:sz w:val="24"/>
        </w:rPr>
        <w:t>2.1货物必须符合卫生要求，不得有腐烂、变质、霉变、生虫、污秽不结、混有异物或者其他感官性状异常，并可能对人体健康有害的物质。</w:t>
      </w:r>
    </w:p>
    <w:p w14:paraId="1066087E">
      <w:pPr>
        <w:snapToGrid w:val="0"/>
        <w:spacing w:line="360" w:lineRule="auto"/>
        <w:ind w:firstLine="480" w:firstLineChars="200"/>
        <w:rPr>
          <w:rFonts w:hint="eastAsia" w:ascii="宋体"/>
          <w:bCs/>
          <w:color w:val="auto"/>
          <w:sz w:val="24"/>
        </w:rPr>
      </w:pPr>
      <w:r>
        <w:rPr>
          <w:rFonts w:hint="eastAsia" w:ascii="宋体"/>
          <w:bCs/>
          <w:color w:val="auto"/>
          <w:sz w:val="24"/>
        </w:rPr>
        <w:t>2.2中标方所提供的物品质量必须要符合行业标准要求，不得有掺假、变质、变味、过期等现象出现，严禁伪劣、假冒、无证不合格物品进入仓库。</w:t>
      </w:r>
    </w:p>
    <w:p w14:paraId="52C0B58B">
      <w:pPr>
        <w:snapToGrid w:val="0"/>
        <w:spacing w:line="360" w:lineRule="auto"/>
        <w:ind w:firstLine="480" w:firstLineChars="200"/>
        <w:rPr>
          <w:rFonts w:hint="eastAsia" w:ascii="宋体"/>
          <w:bCs/>
          <w:color w:val="auto"/>
          <w:sz w:val="24"/>
        </w:rPr>
      </w:pPr>
      <w:r>
        <w:rPr>
          <w:rFonts w:hint="eastAsia" w:ascii="宋体"/>
          <w:bCs/>
          <w:color w:val="auto"/>
          <w:sz w:val="24"/>
        </w:rPr>
        <w:t>2.3所提供的物品不得为转基因物品或转基因制成品，经查实所提供物品中具有转基因物品或转基因制成品立即终止合同，并由中标方将承担全部责任。</w:t>
      </w:r>
    </w:p>
    <w:p w14:paraId="156063B5">
      <w:pPr>
        <w:snapToGrid w:val="0"/>
        <w:spacing w:line="360" w:lineRule="auto"/>
        <w:ind w:firstLine="480" w:firstLineChars="200"/>
        <w:rPr>
          <w:rFonts w:hint="eastAsia" w:ascii="宋体"/>
          <w:bCs/>
          <w:color w:val="auto"/>
          <w:sz w:val="24"/>
        </w:rPr>
      </w:pPr>
      <w:r>
        <w:rPr>
          <w:rFonts w:hint="eastAsia" w:ascii="宋体"/>
          <w:bCs/>
          <w:color w:val="auto"/>
          <w:sz w:val="24"/>
        </w:rPr>
        <w:t>执行标准：</w:t>
      </w:r>
    </w:p>
    <w:p w14:paraId="22526406">
      <w:pPr>
        <w:snapToGrid w:val="0"/>
        <w:spacing w:line="360" w:lineRule="auto"/>
        <w:ind w:firstLine="480" w:firstLineChars="200"/>
        <w:rPr>
          <w:rFonts w:hint="eastAsia" w:ascii="宋体"/>
          <w:bCs/>
          <w:color w:val="auto"/>
          <w:sz w:val="24"/>
        </w:rPr>
      </w:pPr>
      <w:r>
        <w:rPr>
          <w:rFonts w:hint="eastAsia" w:ascii="宋体"/>
          <w:bCs/>
          <w:color w:val="auto"/>
          <w:sz w:val="24"/>
        </w:rPr>
        <w:t>（1）对照采购方要求检查所送物资数量、规格是否符合要求，对有包装的食品，检查包装是否完整，有无破损。</w:t>
      </w:r>
    </w:p>
    <w:p w14:paraId="5D0CCFEB">
      <w:pPr>
        <w:snapToGrid w:val="0"/>
        <w:spacing w:line="360" w:lineRule="auto"/>
        <w:ind w:firstLine="480" w:firstLineChars="200"/>
        <w:rPr>
          <w:rFonts w:hint="eastAsia" w:ascii="宋体"/>
          <w:bCs/>
          <w:color w:val="auto"/>
          <w:sz w:val="24"/>
        </w:rPr>
      </w:pPr>
      <w:r>
        <w:rPr>
          <w:rFonts w:hint="eastAsia" w:ascii="宋体"/>
          <w:bCs/>
          <w:color w:val="auto"/>
          <w:sz w:val="24"/>
        </w:rPr>
        <w:t>（2）通过感官鉴别包装产品，依靠视觉、嗅觉、味觉、触觉等鉴定食品的外观形态、色泽、气味、滋味和硬度(稠度)是否符合质量要求。</w:t>
      </w:r>
    </w:p>
    <w:p w14:paraId="062059DA">
      <w:pPr>
        <w:snapToGrid w:val="0"/>
        <w:spacing w:line="360" w:lineRule="auto"/>
        <w:ind w:firstLine="480" w:firstLineChars="200"/>
        <w:rPr>
          <w:rFonts w:hint="eastAsia" w:ascii="宋体"/>
          <w:bCs/>
          <w:color w:val="auto"/>
          <w:sz w:val="24"/>
        </w:rPr>
      </w:pPr>
      <w:r>
        <w:rPr>
          <w:rFonts w:hint="eastAsia" w:ascii="宋体"/>
          <w:bCs/>
          <w:color w:val="auto"/>
          <w:sz w:val="24"/>
        </w:rPr>
        <w:t>3.干货制品类</w:t>
      </w:r>
    </w:p>
    <w:p w14:paraId="0EF03576">
      <w:pPr>
        <w:snapToGrid w:val="0"/>
        <w:spacing w:line="360" w:lineRule="auto"/>
        <w:ind w:firstLine="480" w:firstLineChars="200"/>
        <w:rPr>
          <w:rFonts w:hint="eastAsia" w:ascii="宋体"/>
          <w:bCs/>
          <w:color w:val="auto"/>
          <w:sz w:val="24"/>
        </w:rPr>
      </w:pPr>
      <w:r>
        <w:rPr>
          <w:rFonts w:hint="eastAsia" w:ascii="宋体"/>
          <w:bCs/>
          <w:color w:val="auto"/>
          <w:sz w:val="24"/>
        </w:rPr>
        <w:t>3.1基本标准要求符合国家相关行业标准；</w:t>
      </w:r>
    </w:p>
    <w:p w14:paraId="16B756E0">
      <w:pPr>
        <w:snapToGrid w:val="0"/>
        <w:spacing w:line="360" w:lineRule="auto"/>
        <w:ind w:firstLine="480" w:firstLineChars="200"/>
        <w:rPr>
          <w:rFonts w:hint="eastAsia" w:ascii="宋体"/>
          <w:bCs/>
          <w:color w:val="auto"/>
          <w:sz w:val="24"/>
        </w:rPr>
      </w:pPr>
      <w:r>
        <w:rPr>
          <w:rFonts w:hint="eastAsia" w:ascii="宋体"/>
          <w:bCs/>
          <w:color w:val="auto"/>
          <w:sz w:val="24"/>
        </w:rPr>
        <w:t>3.2干爽，不霉烂、整齐、均匀、完整，无虫蛀、无杂质，保持应有的色泽；</w:t>
      </w:r>
    </w:p>
    <w:p w14:paraId="6003E902">
      <w:pPr>
        <w:snapToGrid w:val="0"/>
        <w:spacing w:line="360" w:lineRule="auto"/>
        <w:ind w:firstLine="480" w:firstLineChars="200"/>
        <w:rPr>
          <w:rFonts w:hint="eastAsia" w:ascii="宋体" w:hAnsi="Times New Roman" w:eastAsia="宋体" w:cs="Times New Roman"/>
          <w:bCs/>
          <w:color w:val="auto"/>
          <w:sz w:val="24"/>
        </w:rPr>
      </w:pPr>
      <w:r>
        <w:rPr>
          <w:rFonts w:hint="eastAsia" w:ascii="宋体" w:hAnsi="Times New Roman" w:eastAsia="宋体" w:cs="Times New Roman"/>
          <w:bCs/>
          <w:color w:val="auto"/>
          <w:sz w:val="24"/>
        </w:rPr>
        <w:t>3.3确保产品质量稳定，保证营养丰富、绿色安全、海味浓郁、易存放、食用方便；</w:t>
      </w:r>
    </w:p>
    <w:p w14:paraId="293E1E81">
      <w:pPr>
        <w:snapToGrid w:val="0"/>
        <w:spacing w:line="360" w:lineRule="auto"/>
        <w:ind w:firstLine="480" w:firstLineChars="200"/>
        <w:rPr>
          <w:rFonts w:hint="eastAsia" w:ascii="宋体"/>
          <w:bCs/>
          <w:color w:val="auto"/>
          <w:sz w:val="24"/>
        </w:rPr>
      </w:pPr>
      <w:r>
        <w:rPr>
          <w:rFonts w:hint="eastAsia" w:ascii="宋体"/>
          <w:bCs/>
          <w:color w:val="auto"/>
          <w:sz w:val="24"/>
        </w:rPr>
        <w:t>3.</w:t>
      </w:r>
      <w:r>
        <w:rPr>
          <w:rFonts w:hint="eastAsia" w:ascii="宋体"/>
          <w:bCs/>
          <w:color w:val="auto"/>
          <w:sz w:val="24"/>
          <w:lang w:val="en-US" w:eastAsia="zh-CN"/>
        </w:rPr>
        <w:t>4</w:t>
      </w:r>
      <w:r>
        <w:rPr>
          <w:rFonts w:hint="eastAsia" w:ascii="宋体"/>
          <w:bCs/>
          <w:color w:val="auto"/>
          <w:sz w:val="24"/>
        </w:rPr>
        <w:t>从加工、包装、运输、贮存到销售全部符合国家规定标准。尤其是二氧化硫残留量、总砷含量不超过国家卫生标准；</w:t>
      </w:r>
    </w:p>
    <w:p w14:paraId="250DD396">
      <w:pPr>
        <w:snapToGrid w:val="0"/>
        <w:spacing w:line="360" w:lineRule="auto"/>
        <w:ind w:firstLine="480" w:firstLineChars="200"/>
        <w:rPr>
          <w:rFonts w:hint="eastAsia" w:ascii="宋体"/>
          <w:bCs/>
          <w:color w:val="auto"/>
          <w:sz w:val="24"/>
        </w:rPr>
      </w:pPr>
      <w:r>
        <w:rPr>
          <w:rFonts w:hint="eastAsia" w:ascii="宋体"/>
          <w:bCs/>
          <w:color w:val="auto"/>
          <w:sz w:val="24"/>
        </w:rPr>
        <w:t>3.</w:t>
      </w:r>
      <w:r>
        <w:rPr>
          <w:rFonts w:hint="eastAsia" w:ascii="宋体"/>
          <w:bCs/>
          <w:color w:val="auto"/>
          <w:sz w:val="24"/>
          <w:lang w:val="en-US" w:eastAsia="zh-CN"/>
        </w:rPr>
        <w:t>5</w:t>
      </w:r>
      <w:r>
        <w:rPr>
          <w:rFonts w:hint="eastAsia" w:ascii="宋体"/>
          <w:bCs/>
          <w:color w:val="auto"/>
          <w:sz w:val="24"/>
        </w:rPr>
        <w:t>木耳类的水分含量不能超过国家标准要求。</w:t>
      </w:r>
    </w:p>
    <w:p w14:paraId="302EAF0F">
      <w:pPr>
        <w:snapToGrid w:val="0"/>
        <w:spacing w:line="360" w:lineRule="auto"/>
        <w:ind w:firstLine="480" w:firstLineChars="200"/>
        <w:rPr>
          <w:rFonts w:hint="eastAsia" w:ascii="宋体"/>
          <w:bCs/>
          <w:color w:val="auto"/>
          <w:sz w:val="24"/>
        </w:rPr>
      </w:pPr>
      <w:r>
        <w:rPr>
          <w:rFonts w:hint="eastAsia" w:ascii="宋体"/>
          <w:bCs/>
          <w:color w:val="auto"/>
          <w:sz w:val="24"/>
        </w:rPr>
        <w:t>采购人可根据实际情况对需要的干货制品进行品质抽检，对质量未达到国家标准的干货制品采购人有权拒绝接受。</w:t>
      </w:r>
    </w:p>
    <w:p w14:paraId="607307FA">
      <w:pPr>
        <w:snapToGrid w:val="0"/>
        <w:spacing w:line="360" w:lineRule="auto"/>
        <w:ind w:firstLine="482" w:firstLineChars="200"/>
        <w:outlineLvl w:val="1"/>
        <w:rPr>
          <w:rFonts w:hint="eastAsia" w:ascii="宋体"/>
          <w:b/>
          <w:color w:val="auto"/>
          <w:sz w:val="24"/>
        </w:rPr>
      </w:pPr>
      <w:bookmarkStart w:id="181" w:name="_Toc25863"/>
      <w:bookmarkStart w:id="182" w:name="_Toc3626"/>
      <w:r>
        <w:rPr>
          <w:rFonts w:hint="eastAsia" w:ascii="宋体"/>
          <w:b/>
          <w:color w:val="auto"/>
          <w:sz w:val="24"/>
          <w:lang w:val="en-US" w:eastAsia="zh-CN"/>
        </w:rPr>
        <w:t>三</w:t>
      </w:r>
      <w:r>
        <w:rPr>
          <w:rFonts w:hint="eastAsia" w:ascii="宋体"/>
          <w:b/>
          <w:color w:val="auto"/>
          <w:sz w:val="24"/>
        </w:rPr>
        <w:t>、供应商需遵守的规定</w:t>
      </w:r>
      <w:bookmarkEnd w:id="181"/>
      <w:bookmarkEnd w:id="182"/>
    </w:p>
    <w:p w14:paraId="2D6B15AE">
      <w:pPr>
        <w:snapToGrid w:val="0"/>
        <w:spacing w:line="360" w:lineRule="auto"/>
        <w:ind w:firstLine="480" w:firstLineChars="200"/>
        <w:rPr>
          <w:rFonts w:hint="eastAsia" w:ascii="宋体"/>
          <w:bCs/>
          <w:color w:val="auto"/>
          <w:sz w:val="24"/>
        </w:rPr>
      </w:pPr>
      <w:r>
        <w:rPr>
          <w:rFonts w:hint="eastAsia" w:ascii="宋体"/>
          <w:bCs/>
          <w:color w:val="auto"/>
          <w:sz w:val="24"/>
          <w:lang w:val="en-US" w:eastAsia="zh-CN"/>
        </w:rPr>
        <w:t>成交</w:t>
      </w:r>
      <w:r>
        <w:rPr>
          <w:rFonts w:hint="eastAsia" w:ascii="宋体"/>
          <w:bCs/>
          <w:color w:val="auto"/>
          <w:sz w:val="24"/>
        </w:rPr>
        <w:t>单位应严格遵守《食品安全法》和《动物检疫法》等相关规定，一经发现以下情形或供应以下食品，除全部退货外，将取消</w:t>
      </w:r>
      <w:r>
        <w:rPr>
          <w:rFonts w:hint="eastAsia" w:ascii="宋体"/>
          <w:bCs/>
          <w:color w:val="auto"/>
          <w:sz w:val="24"/>
          <w:lang w:eastAsia="zh-CN"/>
        </w:rPr>
        <w:t>供应商</w:t>
      </w:r>
      <w:r>
        <w:rPr>
          <w:rFonts w:hint="eastAsia" w:ascii="宋体"/>
          <w:bCs/>
          <w:color w:val="auto"/>
          <w:sz w:val="24"/>
        </w:rPr>
        <w:t>的供货资格，</w:t>
      </w:r>
      <w:r>
        <w:rPr>
          <w:rFonts w:hint="eastAsia" w:ascii="宋体"/>
          <w:bCs/>
          <w:color w:val="auto"/>
          <w:sz w:val="24"/>
          <w:lang w:eastAsia="zh-CN"/>
        </w:rPr>
        <w:t>供应商</w:t>
      </w:r>
      <w:r>
        <w:rPr>
          <w:rFonts w:hint="eastAsia" w:ascii="宋体"/>
          <w:bCs/>
          <w:color w:val="auto"/>
          <w:sz w:val="24"/>
        </w:rPr>
        <w:t>并承担由此造成的经济责任和法律责任：</w:t>
      </w:r>
    </w:p>
    <w:p w14:paraId="0127389F">
      <w:pPr>
        <w:snapToGrid w:val="0"/>
        <w:spacing w:line="360" w:lineRule="auto"/>
        <w:ind w:firstLine="480" w:firstLineChars="200"/>
        <w:rPr>
          <w:rFonts w:hint="eastAsia" w:ascii="宋体"/>
          <w:bCs/>
          <w:color w:val="auto"/>
          <w:sz w:val="24"/>
        </w:rPr>
      </w:pPr>
      <w:r>
        <w:rPr>
          <w:rFonts w:hint="eastAsia" w:ascii="宋体"/>
          <w:bCs/>
          <w:color w:val="auto"/>
          <w:sz w:val="24"/>
        </w:rPr>
        <w:t>1.</w:t>
      </w:r>
      <w:r>
        <w:rPr>
          <w:rFonts w:hint="eastAsia" w:ascii="宋体"/>
          <w:bCs/>
          <w:color w:val="auto"/>
          <w:sz w:val="24"/>
          <w:lang w:val="en-US" w:eastAsia="zh-CN"/>
        </w:rPr>
        <w:t>成交</w:t>
      </w:r>
      <w:r>
        <w:rPr>
          <w:rFonts w:hint="eastAsia" w:ascii="宋体"/>
          <w:bCs/>
          <w:color w:val="auto"/>
          <w:sz w:val="24"/>
        </w:rPr>
        <w:t>单位参与本项目的供货所有人员不具有有效的健康证或不接受采购人的监督，</w:t>
      </w:r>
      <w:r>
        <w:rPr>
          <w:rFonts w:hint="eastAsia" w:ascii="宋体"/>
          <w:bCs/>
          <w:color w:val="auto"/>
          <w:sz w:val="24"/>
          <w:lang w:eastAsia="zh-CN"/>
        </w:rPr>
        <w:t>不</w:t>
      </w:r>
      <w:r>
        <w:rPr>
          <w:rFonts w:hint="eastAsia" w:ascii="宋体"/>
          <w:bCs/>
          <w:color w:val="auto"/>
          <w:sz w:val="24"/>
        </w:rPr>
        <w:t>遵守采购人的管理，以及有行政、刑事、司法处理的人员到采购人工作的；</w:t>
      </w:r>
    </w:p>
    <w:p w14:paraId="6297D6AD">
      <w:pPr>
        <w:snapToGrid w:val="0"/>
        <w:spacing w:line="360" w:lineRule="auto"/>
        <w:ind w:firstLine="480" w:firstLineChars="200"/>
        <w:rPr>
          <w:rFonts w:hint="eastAsia" w:ascii="宋体"/>
          <w:bCs/>
          <w:color w:val="auto"/>
          <w:sz w:val="24"/>
        </w:rPr>
      </w:pPr>
      <w:r>
        <w:rPr>
          <w:rFonts w:hint="eastAsia" w:ascii="宋体"/>
          <w:bCs/>
          <w:color w:val="auto"/>
          <w:sz w:val="24"/>
        </w:rPr>
        <w:t>2.腐败变质、油脂酸败、霉变、生虫、污秽不洁、混有异物或者其他感官性状异常，对人体健康有害的；</w:t>
      </w:r>
    </w:p>
    <w:p w14:paraId="64D5F199">
      <w:pPr>
        <w:snapToGrid w:val="0"/>
        <w:spacing w:line="360" w:lineRule="auto"/>
        <w:ind w:firstLine="480" w:firstLineChars="200"/>
        <w:rPr>
          <w:rFonts w:hint="eastAsia" w:ascii="宋体"/>
          <w:bCs/>
          <w:color w:val="auto"/>
          <w:sz w:val="24"/>
        </w:rPr>
      </w:pPr>
      <w:r>
        <w:rPr>
          <w:rFonts w:hint="eastAsia" w:ascii="宋体"/>
          <w:bCs/>
          <w:color w:val="auto"/>
          <w:sz w:val="24"/>
        </w:rPr>
        <w:t>5.含有毒、有害物质或者被有害物质污染，对人体健康有害的；</w:t>
      </w:r>
    </w:p>
    <w:p w14:paraId="33F96D98">
      <w:pPr>
        <w:snapToGrid w:val="0"/>
        <w:spacing w:line="360" w:lineRule="auto"/>
        <w:ind w:firstLine="480" w:firstLineChars="200"/>
        <w:rPr>
          <w:rFonts w:hint="eastAsia" w:ascii="宋体"/>
          <w:bCs/>
          <w:color w:val="auto"/>
          <w:sz w:val="24"/>
        </w:rPr>
      </w:pPr>
      <w:r>
        <w:rPr>
          <w:rFonts w:hint="eastAsia" w:ascii="宋体"/>
          <w:bCs/>
          <w:color w:val="auto"/>
          <w:sz w:val="24"/>
        </w:rPr>
        <w:t>6.含有致病性寄生虫、微生物或者微生物含量超过国家限定标准的；</w:t>
      </w:r>
    </w:p>
    <w:p w14:paraId="71C82C77">
      <w:pPr>
        <w:snapToGrid w:val="0"/>
        <w:spacing w:line="360" w:lineRule="auto"/>
        <w:ind w:firstLine="480" w:firstLineChars="200"/>
        <w:rPr>
          <w:rFonts w:hint="eastAsia" w:ascii="宋体"/>
          <w:bCs/>
          <w:color w:val="auto"/>
          <w:sz w:val="24"/>
        </w:rPr>
      </w:pPr>
      <w:r>
        <w:rPr>
          <w:rFonts w:hint="eastAsia" w:ascii="宋体"/>
          <w:bCs/>
          <w:color w:val="auto"/>
          <w:sz w:val="24"/>
        </w:rPr>
        <w:t>7.未经动物检疫部门检疫、检验或者检疫、检验不合格的肉类及其制品；</w:t>
      </w:r>
    </w:p>
    <w:p w14:paraId="27E0578C">
      <w:pPr>
        <w:snapToGrid w:val="0"/>
        <w:spacing w:line="360" w:lineRule="auto"/>
        <w:ind w:firstLine="480" w:firstLineChars="200"/>
        <w:rPr>
          <w:rFonts w:hint="eastAsia" w:ascii="宋体"/>
          <w:bCs/>
          <w:color w:val="auto"/>
          <w:sz w:val="24"/>
        </w:rPr>
      </w:pPr>
      <w:r>
        <w:rPr>
          <w:rFonts w:hint="eastAsia" w:ascii="宋体"/>
          <w:bCs/>
          <w:color w:val="auto"/>
          <w:sz w:val="24"/>
        </w:rPr>
        <w:t>8.病死、毒死或者死因不明的禽、蓄、兽、水产动物等及其制品；</w:t>
      </w:r>
    </w:p>
    <w:p w14:paraId="0510EF2B">
      <w:pPr>
        <w:snapToGrid w:val="0"/>
        <w:spacing w:line="360" w:lineRule="auto"/>
        <w:ind w:firstLine="480" w:firstLineChars="200"/>
        <w:rPr>
          <w:rFonts w:hint="eastAsia" w:ascii="宋体"/>
          <w:bCs/>
          <w:color w:val="auto"/>
          <w:sz w:val="24"/>
        </w:rPr>
      </w:pPr>
      <w:r>
        <w:rPr>
          <w:rFonts w:hint="eastAsia" w:ascii="宋体"/>
          <w:bCs/>
          <w:color w:val="auto"/>
          <w:sz w:val="24"/>
        </w:rPr>
        <w:t>9.掺假、掺杂、伪造，影响营养、卫生的；</w:t>
      </w:r>
    </w:p>
    <w:p w14:paraId="31201413">
      <w:pPr>
        <w:snapToGrid w:val="0"/>
        <w:spacing w:line="360" w:lineRule="auto"/>
        <w:ind w:firstLine="480" w:firstLineChars="200"/>
        <w:rPr>
          <w:rFonts w:hint="eastAsia" w:ascii="宋体"/>
          <w:bCs/>
          <w:color w:val="auto"/>
          <w:sz w:val="24"/>
        </w:rPr>
      </w:pPr>
      <w:r>
        <w:rPr>
          <w:rFonts w:hint="eastAsia" w:ascii="宋体"/>
          <w:bCs/>
          <w:color w:val="auto"/>
          <w:sz w:val="24"/>
        </w:rPr>
        <w:t>10.用非食品原料加工的，加入非食品用化学物质或者将非食品当作食品的；</w:t>
      </w:r>
    </w:p>
    <w:p w14:paraId="63773CBE">
      <w:pPr>
        <w:snapToGrid w:val="0"/>
        <w:spacing w:line="360" w:lineRule="auto"/>
        <w:ind w:firstLine="480" w:firstLineChars="200"/>
        <w:rPr>
          <w:rFonts w:hint="eastAsia" w:ascii="宋体"/>
          <w:bCs/>
          <w:color w:val="auto"/>
          <w:sz w:val="24"/>
        </w:rPr>
      </w:pPr>
      <w:r>
        <w:rPr>
          <w:rFonts w:hint="eastAsia" w:ascii="宋体"/>
          <w:bCs/>
          <w:color w:val="auto"/>
          <w:sz w:val="24"/>
        </w:rPr>
        <w:t>11.超过保质期限的。</w:t>
      </w:r>
    </w:p>
    <w:p w14:paraId="456BB202">
      <w:pPr>
        <w:pStyle w:val="14"/>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四、结算方式</w:t>
      </w:r>
    </w:p>
    <w:p w14:paraId="3599CE14">
      <w:pPr>
        <w:widowControl/>
        <w:spacing w:line="440" w:lineRule="exact"/>
        <w:ind w:firstLine="468" w:firstLineChars="200"/>
        <w:jc w:val="left"/>
        <w:rPr>
          <w:rFonts w:hint="eastAsia" w:ascii="宋体" w:hAnsi="宋体" w:cs="宋体"/>
          <w:b/>
          <w:bCs/>
          <w:kern w:val="0"/>
          <w:sz w:val="24"/>
          <w:szCs w:val="22"/>
          <w:highlight w:val="none"/>
          <w:lang w:val="en-US" w:eastAsia="zh-CN"/>
        </w:rPr>
      </w:pPr>
      <w:r>
        <w:rPr>
          <w:rFonts w:hint="eastAsia" w:ascii="宋体" w:hAnsi="宋体" w:eastAsia="宋体" w:cs="宋体"/>
          <w:color w:val="auto"/>
          <w:spacing w:val="-3"/>
          <w:sz w:val="24"/>
          <w:szCs w:val="24"/>
          <w:highlight w:val="none"/>
          <w:lang w:val="en-US" w:eastAsia="zh-CN"/>
        </w:rPr>
        <w:t>1、</w:t>
      </w:r>
      <w:r>
        <w:rPr>
          <w:rFonts w:hint="eastAsia" w:ascii="宋体" w:hAnsi="宋体" w:cs="宋体"/>
          <w:b/>
          <w:bCs/>
          <w:kern w:val="0"/>
          <w:sz w:val="24"/>
          <w:szCs w:val="22"/>
          <w:highlight w:val="none"/>
          <w:lang w:val="en-US" w:eastAsia="zh-CN"/>
        </w:rPr>
        <w:t>因电子交易系统规则限制，本次磋商采用总价形式提交电子报价，项目成交后，按实际配送金额对应折扣率办理结算。</w:t>
      </w:r>
    </w:p>
    <w:p w14:paraId="1EE2D957">
      <w:pPr>
        <w:widowControl/>
        <w:spacing w:line="440" w:lineRule="exact"/>
        <w:ind w:firstLine="482" w:firstLineChars="200"/>
        <w:jc w:val="left"/>
        <w:rPr>
          <w:rFonts w:hint="default" w:ascii="宋体" w:hAnsi="宋体" w:cs="宋体"/>
          <w:b/>
          <w:bCs/>
          <w:kern w:val="0"/>
          <w:sz w:val="24"/>
          <w:szCs w:val="22"/>
          <w:highlight w:val="none"/>
          <w:lang w:val="en-US" w:eastAsia="zh-CN"/>
        </w:rPr>
      </w:pPr>
      <w:r>
        <w:rPr>
          <w:rFonts w:hint="default" w:ascii="宋体" w:hAnsi="宋体" w:cs="宋体"/>
          <w:b/>
          <w:bCs/>
          <w:kern w:val="0"/>
          <w:sz w:val="24"/>
          <w:szCs w:val="22"/>
          <w:highlight w:val="none"/>
          <w:lang w:val="en-US" w:eastAsia="zh-CN"/>
        </w:rPr>
        <w:t>结算计算公式：最终报价÷磋商控制价×100，</w:t>
      </w:r>
      <w:r>
        <w:rPr>
          <w:rFonts w:hint="eastAsia" w:ascii="宋体" w:hAnsi="宋体" w:cs="宋体"/>
          <w:b/>
          <w:bCs/>
          <w:kern w:val="0"/>
          <w:sz w:val="24"/>
          <w:szCs w:val="22"/>
          <w:highlight w:val="none"/>
          <w:lang w:val="en-US" w:eastAsia="zh-CN"/>
        </w:rPr>
        <w:t>计算</w:t>
      </w:r>
      <w:r>
        <w:rPr>
          <w:rFonts w:hint="default" w:ascii="宋体" w:hAnsi="宋体" w:cs="宋体"/>
          <w:b/>
          <w:bCs/>
          <w:kern w:val="0"/>
          <w:sz w:val="24"/>
          <w:szCs w:val="22"/>
          <w:highlight w:val="none"/>
          <w:lang w:val="en-US" w:eastAsia="zh-CN"/>
        </w:rPr>
        <w:t xml:space="preserve">结果四舍五入保留两位小数。 </w:t>
      </w:r>
    </w:p>
    <w:p w14:paraId="214E8154">
      <w:pPr>
        <w:keepNext w:val="0"/>
        <w:keepLines w:val="0"/>
        <w:pageBreakBefore w:val="0"/>
        <w:widowControl w:val="0"/>
        <w:kinsoku/>
        <w:wordWrap/>
        <w:overflowPunct w:val="0"/>
        <w:topLinePunct w:val="0"/>
        <w:autoSpaceDE/>
        <w:autoSpaceDN/>
        <w:bidi w:val="0"/>
        <w:adjustRightInd w:val="0"/>
        <w:snapToGrid w:val="0"/>
        <w:spacing w:line="360" w:lineRule="auto"/>
        <w:ind w:right="0" w:firstLine="482" w:firstLineChars="200"/>
        <w:jc w:val="left"/>
        <w:textAlignment w:val="auto"/>
        <w:rPr>
          <w:rFonts w:hint="eastAsia" w:ascii="宋体" w:hAnsi="宋体" w:eastAsia="宋体" w:cs="宋体"/>
          <w:color w:val="auto"/>
          <w:spacing w:val="-3"/>
          <w:sz w:val="24"/>
          <w:szCs w:val="24"/>
          <w:highlight w:val="cyan"/>
          <w:lang w:val="en-US" w:eastAsia="zh-CN"/>
        </w:rPr>
      </w:pPr>
      <w:r>
        <w:rPr>
          <w:rFonts w:hint="default" w:ascii="宋体" w:hAnsi="宋体" w:cs="宋体"/>
          <w:b/>
          <w:bCs/>
          <w:kern w:val="0"/>
          <w:sz w:val="24"/>
          <w:szCs w:val="22"/>
          <w:highlight w:val="none"/>
          <w:lang w:val="en-US" w:eastAsia="zh-CN"/>
        </w:rPr>
        <w:t>示例：最终报价1000000元，磋商控制价1100000元，结算折扣=1000000÷1100000×100≈91.00%。</w:t>
      </w:r>
    </w:p>
    <w:p w14:paraId="6A55BFD2">
      <w:pPr>
        <w:keepNext w:val="0"/>
        <w:keepLines w:val="0"/>
        <w:pageBreakBefore w:val="0"/>
        <w:widowControl w:val="0"/>
        <w:kinsoku/>
        <w:wordWrap/>
        <w:overflowPunct w:val="0"/>
        <w:topLinePunct w:val="0"/>
        <w:autoSpaceDE/>
        <w:autoSpaceDN/>
        <w:bidi w:val="0"/>
        <w:adjustRightInd w:val="0"/>
        <w:snapToGrid w:val="0"/>
        <w:spacing w:line="360" w:lineRule="auto"/>
        <w:ind w:right="0" w:firstLine="468"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3"/>
          <w:sz w:val="24"/>
          <w:szCs w:val="24"/>
          <w:lang w:val="en-US" w:eastAsia="zh-CN"/>
        </w:rPr>
        <w:t>2、</w:t>
      </w:r>
      <w:r>
        <w:rPr>
          <w:rFonts w:hint="eastAsia" w:ascii="宋体" w:hAnsi="宋体" w:eastAsia="宋体" w:cs="宋体"/>
          <w:color w:val="auto"/>
          <w:spacing w:val="-3"/>
          <w:sz w:val="24"/>
          <w:szCs w:val="24"/>
        </w:rPr>
        <w:t>实行月结方式进行结算，经甲方验收，每批所供物资质量均达到相关质量标准，且认真履行服务承诺，乙方根据甲方确定的综合执行单价乘以当月实际供货量计算的实际结算费用开具发票，甲方在次月内支付上月费用。</w:t>
      </w:r>
      <w:r>
        <w:rPr>
          <w:rFonts w:hint="eastAsia" w:ascii="宋体" w:hAnsi="宋体" w:eastAsia="宋体" w:cs="宋体"/>
          <w:color w:val="auto"/>
          <w:spacing w:val="-3"/>
          <w:sz w:val="24"/>
          <w:szCs w:val="24"/>
          <w:lang w:val="en-US" w:eastAsia="zh-CN"/>
        </w:rPr>
        <w:t>若因乙方未及时提供符合要求的发票和文件，导致甲方付款迟延的，甲方不承担逾期付款的违约责任。</w:t>
      </w:r>
      <w:r>
        <w:rPr>
          <w:rFonts w:hint="eastAsia" w:ascii="宋体" w:hAnsi="宋体" w:eastAsia="宋体" w:cs="宋体"/>
          <w:color w:val="auto"/>
          <w:spacing w:val="-3"/>
          <w:sz w:val="24"/>
          <w:szCs w:val="24"/>
        </w:rPr>
        <w:t>若乙方在此期间存在违约行为，甲方在扣除相应违约金后支付当月剩余费用。</w:t>
      </w:r>
    </w:p>
    <w:p w14:paraId="0901E2C2">
      <w:pPr>
        <w:keepNext w:val="0"/>
        <w:keepLines w:val="0"/>
        <w:pageBreakBefore w:val="0"/>
        <w:widowControl w:val="0"/>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3、综合执行单价计算办法</w:t>
      </w:r>
    </w:p>
    <w:p w14:paraId="18CD7A14">
      <w:pPr>
        <w:keepNext w:val="0"/>
        <w:keepLines w:val="0"/>
        <w:pageBreakBefore w:val="0"/>
        <w:widowControl w:val="0"/>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综合执行单价=（三门峡市发展和改革委员会同期公布的三门峡市重要农副产品价格表单价×70%+供应商报价×30%）×成交折扣</w:t>
      </w:r>
    </w:p>
    <w:p w14:paraId="40999F26">
      <w:pPr>
        <w:keepNext w:val="0"/>
        <w:keepLines w:val="0"/>
        <w:pageBreakBefore w:val="0"/>
        <w:widowControl w:val="0"/>
        <w:kinsoku/>
        <w:wordWrap/>
        <w:overflowPunct w:val="0"/>
        <w:topLinePunct w:val="0"/>
        <w:autoSpaceDE/>
        <w:autoSpaceDN/>
        <w:bidi w:val="0"/>
        <w:adjustRightInd w:val="0"/>
        <w:snapToGrid w:val="0"/>
        <w:spacing w:line="360" w:lineRule="auto"/>
        <w:ind w:righ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注：1、依据三门峡市发展和改革委员会同期公布的三门峡市重要农副产品价格表，最终确定的综合执行单价最高不得高于三门峡市发展和改革委员会同期公布的三门峡市重要农副产品价格表单价的10%。</w:t>
      </w:r>
    </w:p>
    <w:p w14:paraId="025E55B6">
      <w:pPr>
        <w:keepNext w:val="0"/>
        <w:keepLines w:val="0"/>
        <w:pageBreakBefore w:val="0"/>
        <w:widowControl w:val="0"/>
        <w:numPr>
          <w:ilvl w:val="0"/>
          <w:numId w:val="10"/>
        </w:numPr>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其中三门峡市发展和改革委员会同期公布的三门峡市重要农副产品每日价格表中存在未列明的重要农副产品，综合执行单价按照如下公式计算：</w:t>
      </w:r>
    </w:p>
    <w:p w14:paraId="2D9EB290">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综合执行单价=（本地批发1市场调研单价×40%+本地批发2市场调研单价×30%+供应商报价×30%）×成交折扣</w:t>
      </w:r>
    </w:p>
    <w:p w14:paraId="63E6AC3B">
      <w:pPr>
        <w:keepNext w:val="0"/>
        <w:keepLines w:val="0"/>
        <w:pageBreakBefore w:val="0"/>
        <w:widowControl w:val="0"/>
        <w:numPr>
          <w:ilvl w:val="0"/>
          <w:numId w:val="11"/>
        </w:numPr>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磋商（报价）货物执行标准</w:t>
      </w:r>
    </w:p>
    <w:p w14:paraId="42FFEC4E">
      <w:pPr>
        <w:ind w:firstLine="480" w:firstLineChars="200"/>
      </w:pPr>
      <w:r>
        <w:rPr>
          <w:rFonts w:hint="eastAsia" w:ascii="宋体" w:hAnsi="宋体" w:eastAsia="宋体" w:cs="宋体"/>
          <w:color w:val="auto"/>
          <w:kern w:val="2"/>
          <w:sz w:val="24"/>
          <w:szCs w:val="24"/>
          <w:lang w:val="en-US" w:eastAsia="zh-CN" w:bidi="ar-SA"/>
        </w:rPr>
        <w:t>食用禽蛋执行 GB 4789.1-2016 国家标准、蔬菜符合质量安全要求。</w:t>
      </w:r>
    </w:p>
    <w:p w14:paraId="751B00C1"/>
    <w:p w14:paraId="78DA901E"/>
    <w:p w14:paraId="170520A5"/>
    <w:p w14:paraId="6B635D99"/>
    <w:p w14:paraId="314A1C9D"/>
    <w:p w14:paraId="4213C523"/>
    <w:p w14:paraId="0F212570"/>
    <w:p w14:paraId="764DC723"/>
    <w:p w14:paraId="2001AE12"/>
    <w:p w14:paraId="46BACED5"/>
    <w:p w14:paraId="2D2824B5"/>
    <w:p w14:paraId="591A58DC"/>
    <w:p w14:paraId="4E125108"/>
    <w:p w14:paraId="7B857BFF"/>
    <w:p w14:paraId="1D3AD2B8"/>
    <w:p w14:paraId="0476D6D5"/>
    <w:p w14:paraId="0E7AF167"/>
    <w:p w14:paraId="1E124BC2"/>
    <w:p w14:paraId="30D61241"/>
    <w:p w14:paraId="47D8261E"/>
    <w:p w14:paraId="2A0A429A"/>
    <w:p w14:paraId="7EA14719"/>
    <w:p w14:paraId="4FCAAE42"/>
    <w:p w14:paraId="72DFAEB2"/>
    <w:p w14:paraId="1F4E26A9"/>
    <w:p w14:paraId="189A7C01"/>
    <w:p w14:paraId="3D7F6339"/>
    <w:p w14:paraId="7640846F"/>
    <w:p w14:paraId="5082B7D9">
      <w:pPr>
        <w:pStyle w:val="2"/>
        <w:bidi w:val="0"/>
        <w:jc w:val="center"/>
        <w:rPr>
          <w:rFonts w:hint="eastAsia"/>
          <w:lang w:val="en-US" w:eastAsia="zh-CN"/>
        </w:rPr>
      </w:pPr>
      <w:bookmarkStart w:id="183" w:name="_Toc14963"/>
      <w:r>
        <w:rPr>
          <w:rFonts w:hint="eastAsia"/>
          <w:lang w:val="en-US" w:eastAsia="zh-CN"/>
        </w:rPr>
        <w:t>第五章 合同条款及格式（范本）</w:t>
      </w:r>
      <w:bookmarkEnd w:id="183"/>
    </w:p>
    <w:p w14:paraId="20DAE43C">
      <w:pPr>
        <w:spacing w:before="218" w:line="220" w:lineRule="auto"/>
        <w:ind w:left="39"/>
        <w:jc w:val="center"/>
        <w:rPr>
          <w:rFonts w:hint="default" w:ascii="宋体" w:hAnsi="宋体" w:eastAsia="宋体" w:cs="宋体"/>
          <w:b/>
          <w:bCs/>
          <w:spacing w:val="-11"/>
          <w:sz w:val="22"/>
          <w:szCs w:val="22"/>
          <w:lang w:val="en-US"/>
        </w:rPr>
      </w:pPr>
      <w:r>
        <w:rPr>
          <w:rFonts w:hint="eastAsia" w:ascii="宋体" w:hAnsi="宋体" w:eastAsia="宋体" w:cs="宋体"/>
          <w:b/>
          <w:bCs/>
          <w:color w:val="auto"/>
          <w:kern w:val="2"/>
          <w:sz w:val="32"/>
          <w:szCs w:val="32"/>
          <w:lang w:val="en-US" w:eastAsia="zh-CN" w:bidi="ar-SA"/>
        </w:rPr>
        <w:t>三门峡市陕州区消防救援大队食堂主副食品采购项目合同书</w:t>
      </w:r>
    </w:p>
    <w:p w14:paraId="07769767">
      <w:pPr>
        <w:keepNext w:val="0"/>
        <w:keepLines w:val="0"/>
        <w:pageBreakBefore w:val="0"/>
        <w:widowControl w:val="0"/>
        <w:kinsoku/>
        <w:wordWrap/>
        <w:overflowPunct/>
        <w:topLinePunct w:val="0"/>
        <w:autoSpaceDE/>
        <w:autoSpaceDN/>
        <w:bidi w:val="0"/>
        <w:adjustRightInd/>
        <w:snapToGrid w:val="0"/>
        <w:spacing w:before="218" w:line="360" w:lineRule="auto"/>
        <w:ind w:firstLine="438" w:firstLineChars="200"/>
        <w:textAlignment w:val="auto"/>
        <w:rPr>
          <w:rFonts w:hint="eastAsia" w:ascii="宋体" w:hAnsi="宋体" w:eastAsia="宋体" w:cs="宋体"/>
          <w:sz w:val="24"/>
          <w:szCs w:val="24"/>
        </w:rPr>
      </w:pPr>
      <w:r>
        <w:rPr>
          <w:rFonts w:hint="eastAsia" w:ascii="宋体" w:hAnsi="宋体" w:eastAsia="宋体" w:cs="宋体"/>
          <w:b/>
          <w:bCs/>
          <w:spacing w:val="-11"/>
          <w:sz w:val="24"/>
          <w:szCs w:val="24"/>
        </w:rPr>
        <w:t>甲</w:t>
      </w:r>
      <w:r>
        <w:rPr>
          <w:rFonts w:hint="eastAsia" w:ascii="宋体" w:hAnsi="宋体" w:eastAsia="宋体" w:cs="宋体"/>
          <w:spacing w:val="8"/>
          <w:sz w:val="24"/>
          <w:szCs w:val="24"/>
        </w:rPr>
        <w:t xml:space="preserve">  </w:t>
      </w:r>
      <w:r>
        <w:rPr>
          <w:rFonts w:hint="eastAsia" w:ascii="宋体" w:hAnsi="宋体" w:eastAsia="宋体" w:cs="宋体"/>
          <w:b/>
          <w:bCs/>
          <w:spacing w:val="-11"/>
          <w:sz w:val="24"/>
          <w:szCs w:val="24"/>
        </w:rPr>
        <w:t>方（需方</w:t>
      </w:r>
      <w:r>
        <w:rPr>
          <w:rFonts w:hint="eastAsia" w:ascii="宋体" w:hAnsi="宋体" w:eastAsia="宋体" w:cs="宋体"/>
          <w:b/>
          <w:bCs/>
          <w:spacing w:val="-3"/>
          <w:sz w:val="24"/>
          <w:szCs w:val="24"/>
        </w:rPr>
        <w:t>）：</w:t>
      </w:r>
      <w:r>
        <w:rPr>
          <w:rFonts w:hint="eastAsia" w:ascii="宋体" w:hAnsi="宋体" w:eastAsia="宋体" w:cs="宋体"/>
          <w:b/>
          <w:bCs/>
          <w:spacing w:val="-2"/>
          <w:sz w:val="24"/>
          <w:szCs w:val="24"/>
          <w:u w:val="single" w:color="auto"/>
          <w:lang w:val="en-US" w:eastAsia="zh-CN"/>
        </w:rPr>
        <w:t xml:space="preserve">                           </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(以下简称甲方)</w:t>
      </w:r>
    </w:p>
    <w:p w14:paraId="1E4AF9DD">
      <w:pPr>
        <w:pStyle w:val="7"/>
        <w:keepNext w:val="0"/>
        <w:keepLines w:val="0"/>
        <w:pageBreakBefore w:val="0"/>
        <w:widowControl w:val="0"/>
        <w:kinsoku/>
        <w:wordWrap/>
        <w:overflowPunct/>
        <w:topLinePunct w:val="0"/>
        <w:autoSpaceDE/>
        <w:autoSpaceDN/>
        <w:bidi w:val="0"/>
        <w:adjustRightInd/>
        <w:snapToGrid w:val="0"/>
        <w:spacing w:before="185" w:line="360" w:lineRule="auto"/>
        <w:ind w:firstLine="442" w:firstLineChars="200"/>
        <w:textAlignment w:val="auto"/>
        <w:rPr>
          <w:rFonts w:hint="eastAsia" w:ascii="宋体" w:hAnsi="宋体" w:eastAsia="宋体" w:cs="宋体"/>
          <w:sz w:val="24"/>
          <w:szCs w:val="24"/>
        </w:rPr>
      </w:pPr>
      <w:r>
        <w:rPr>
          <w:rFonts w:hint="eastAsia" w:ascii="宋体" w:hAnsi="宋体" w:eastAsia="宋体" w:cs="宋体"/>
          <w:b/>
          <w:bCs/>
          <w:spacing w:val="-10"/>
          <w:sz w:val="24"/>
          <w:szCs w:val="24"/>
        </w:rPr>
        <w:t>乙</w:t>
      </w:r>
      <w:r>
        <w:rPr>
          <w:rFonts w:hint="eastAsia" w:ascii="宋体" w:hAnsi="宋体" w:eastAsia="宋体" w:cs="宋体"/>
          <w:spacing w:val="8"/>
          <w:sz w:val="24"/>
          <w:szCs w:val="24"/>
        </w:rPr>
        <w:t xml:space="preserve">  </w:t>
      </w:r>
      <w:r>
        <w:rPr>
          <w:rFonts w:hint="eastAsia" w:ascii="宋体" w:hAnsi="宋体" w:eastAsia="宋体" w:cs="宋体"/>
          <w:b/>
          <w:bCs/>
          <w:spacing w:val="-10"/>
          <w:sz w:val="24"/>
          <w:szCs w:val="24"/>
        </w:rPr>
        <w:t>方</w:t>
      </w:r>
      <w:r>
        <w:rPr>
          <w:rFonts w:hint="eastAsia" w:ascii="宋体" w:hAnsi="宋体" w:eastAsia="宋体" w:cs="宋体"/>
          <w:b/>
          <w:bCs/>
          <w:spacing w:val="-10"/>
          <w:sz w:val="24"/>
          <w:szCs w:val="24"/>
          <w:lang w:eastAsia="zh-CN"/>
        </w:rPr>
        <w:t>（</w:t>
      </w:r>
      <w:r>
        <w:rPr>
          <w:rFonts w:hint="eastAsia" w:ascii="宋体" w:hAnsi="宋体" w:eastAsia="宋体" w:cs="宋体"/>
          <w:b/>
          <w:bCs/>
          <w:spacing w:val="-10"/>
          <w:sz w:val="24"/>
          <w:szCs w:val="24"/>
          <w:lang w:val="en-US" w:eastAsia="zh-CN"/>
        </w:rPr>
        <w:t>供方）</w:t>
      </w:r>
      <w:r>
        <w:rPr>
          <w:rFonts w:hint="eastAsia" w:ascii="宋体" w:hAnsi="宋体" w:eastAsia="宋体" w:cs="宋体"/>
          <w:b/>
          <w:bCs/>
          <w:spacing w:val="-2"/>
          <w:sz w:val="24"/>
          <w:szCs w:val="24"/>
        </w:rPr>
        <w:t>：</w:t>
      </w:r>
      <w:r>
        <w:rPr>
          <w:rFonts w:hint="eastAsia" w:ascii="宋体" w:hAnsi="宋体" w:eastAsia="宋体" w:cs="宋体"/>
          <w:b/>
          <w:bCs/>
          <w:spacing w:val="5"/>
          <w:sz w:val="24"/>
          <w:szCs w:val="24"/>
          <w:u w:val="single" w:color="auto"/>
          <w:lang w:val="en-US" w:eastAsia="zh-CN"/>
        </w:rPr>
        <w:t xml:space="preserve">                        </w:t>
      </w:r>
      <w:r>
        <w:rPr>
          <w:rFonts w:hint="eastAsia" w:ascii="宋体" w:hAnsi="宋体" w:eastAsia="宋体" w:cs="宋体"/>
          <w:spacing w:val="5"/>
          <w:sz w:val="24"/>
          <w:szCs w:val="24"/>
        </w:rPr>
        <w:t>(以下简</w:t>
      </w:r>
      <w:r>
        <w:rPr>
          <w:rFonts w:hint="eastAsia" w:ascii="宋体" w:hAnsi="宋体" w:eastAsia="宋体" w:cs="宋体"/>
          <w:spacing w:val="4"/>
          <w:sz w:val="24"/>
          <w:szCs w:val="24"/>
        </w:rPr>
        <w:t>称乙方)</w:t>
      </w:r>
    </w:p>
    <w:p w14:paraId="7BE98B21">
      <w:pPr>
        <w:spacing w:before="78" w:line="359" w:lineRule="auto"/>
        <w:ind w:left="11" w:right="75" w:firstLine="478"/>
        <w:jc w:val="both"/>
        <w:rPr>
          <w:rFonts w:hint="eastAsia" w:ascii="宋体" w:hAnsi="宋体" w:eastAsia="宋体" w:cs="宋体"/>
          <w:b/>
          <w:bCs/>
          <w:spacing w:val="-3"/>
          <w:sz w:val="24"/>
          <w:szCs w:val="24"/>
        </w:rPr>
      </w:pPr>
      <w:r>
        <w:rPr>
          <w:rFonts w:ascii="宋体" w:hAnsi="宋体" w:eastAsia="宋体" w:cs="宋体"/>
          <w:sz w:val="24"/>
          <w:szCs w:val="24"/>
        </w:rPr>
        <w:t>根据《中华人民共和国政府采购法》《中华人民共和国</w:t>
      </w:r>
      <w:r>
        <w:rPr>
          <w:rFonts w:ascii="宋体" w:hAnsi="宋体" w:eastAsia="宋体" w:cs="宋体"/>
          <w:spacing w:val="-1"/>
          <w:sz w:val="24"/>
          <w:szCs w:val="24"/>
        </w:rPr>
        <w:t>民法典》</w:t>
      </w:r>
      <w:r>
        <w:rPr>
          <w:rFonts w:hint="eastAsia" w:ascii="宋体" w:hAnsi="宋体" w:cs="宋体"/>
          <w:spacing w:val="-1"/>
          <w:sz w:val="24"/>
          <w:szCs w:val="24"/>
          <w:lang w:val="en-US" w:eastAsia="zh-CN"/>
        </w:rPr>
        <w:t>等</w:t>
      </w:r>
      <w:r>
        <w:rPr>
          <w:rFonts w:ascii="宋体" w:hAnsi="宋体" w:eastAsia="宋体" w:cs="宋体"/>
          <w:spacing w:val="-1"/>
          <w:sz w:val="24"/>
          <w:szCs w:val="24"/>
        </w:rPr>
        <w:t>与项目行业有关的法律法规，以及</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三门峡市陕州区消防救援大队食堂主副食品采购</w:t>
      </w:r>
      <w:r>
        <w:rPr>
          <w:rFonts w:ascii="宋体" w:hAnsi="宋体" w:eastAsia="宋体" w:cs="宋体"/>
          <w:spacing w:val="-1"/>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
          <w:sz w:val="24"/>
          <w:szCs w:val="24"/>
        </w:rPr>
        <w:t>项目</w:t>
      </w:r>
      <w:r>
        <w:rPr>
          <w:rFonts w:ascii="宋体" w:hAnsi="宋体" w:eastAsia="宋体" w:cs="宋体"/>
          <w:sz w:val="24"/>
          <w:szCs w:val="24"/>
        </w:rPr>
        <w:t>的《</w:t>
      </w:r>
      <w:r>
        <w:rPr>
          <w:rFonts w:hint="eastAsia" w:ascii="宋体" w:hAnsi="宋体" w:eastAsia="宋体" w:cs="宋体"/>
          <w:sz w:val="24"/>
          <w:szCs w:val="24"/>
          <w:lang w:val="en-US" w:eastAsia="zh-CN"/>
        </w:rPr>
        <w:t>磋商</w:t>
      </w:r>
      <w:r>
        <w:rPr>
          <w:rFonts w:ascii="宋体" w:hAnsi="宋体" w:eastAsia="宋体" w:cs="宋体"/>
          <w:sz w:val="24"/>
          <w:szCs w:val="24"/>
        </w:rPr>
        <w:t>文件》，</w:t>
      </w:r>
      <w:r>
        <w:rPr>
          <w:rFonts w:hint="eastAsia" w:ascii="宋体" w:hAnsi="宋体" w:eastAsia="宋体" w:cs="宋体"/>
          <w:sz w:val="24"/>
          <w:szCs w:val="24"/>
          <w:lang w:val="en-US" w:eastAsia="zh-CN"/>
        </w:rPr>
        <w:t>供应商</w:t>
      </w:r>
      <w:r>
        <w:rPr>
          <w:rFonts w:ascii="宋体" w:hAnsi="宋体" w:eastAsia="宋体" w:cs="宋体"/>
          <w:sz w:val="24"/>
          <w:szCs w:val="24"/>
        </w:rPr>
        <w:t>的《响应文件》及《成交通知书》，</w:t>
      </w:r>
      <w:r>
        <w:rPr>
          <w:rFonts w:hint="eastAsia" w:ascii="宋体" w:hAnsi="宋体" w:eastAsia="宋体" w:cs="宋体"/>
          <w:sz w:val="24"/>
          <w:szCs w:val="24"/>
        </w:rPr>
        <w:t>遵循平等、自愿、 公平和诚实信用的原则，甲、乙双方就本采购项目协商一致，同意签订本合同</w:t>
      </w:r>
      <w:r>
        <w:rPr>
          <w:rFonts w:ascii="宋体" w:hAnsi="宋体" w:eastAsia="宋体" w:cs="宋体"/>
          <w:sz w:val="24"/>
          <w:szCs w:val="24"/>
        </w:rPr>
        <w:t>。详细技术说明及其他有关合同项目的特定信息由合同附件予以说明，合同附件及本项目的《</w:t>
      </w:r>
      <w:r>
        <w:rPr>
          <w:rFonts w:hint="eastAsia" w:ascii="宋体" w:hAnsi="宋体" w:eastAsia="宋体" w:cs="宋体"/>
          <w:sz w:val="24"/>
          <w:szCs w:val="24"/>
          <w:lang w:val="en-US" w:eastAsia="zh-CN"/>
        </w:rPr>
        <w:t>磋商</w:t>
      </w:r>
      <w:r>
        <w:rPr>
          <w:rFonts w:ascii="宋体" w:hAnsi="宋体" w:eastAsia="宋体" w:cs="宋体"/>
          <w:spacing w:val="-1"/>
          <w:sz w:val="24"/>
          <w:szCs w:val="24"/>
        </w:rPr>
        <w:t>文件》、《响应文件》、</w:t>
      </w:r>
      <w:r>
        <w:rPr>
          <w:rFonts w:hint="eastAsia" w:ascii="宋体" w:hAnsi="宋体" w:cs="宋体"/>
          <w:spacing w:val="-1"/>
          <w:sz w:val="24"/>
          <w:szCs w:val="24"/>
          <w:lang w:eastAsia="zh-CN"/>
        </w:rPr>
        <w:t>《</w:t>
      </w:r>
      <w:r>
        <w:rPr>
          <w:rFonts w:hint="eastAsia" w:ascii="宋体" w:hAnsi="宋体" w:eastAsia="宋体" w:cs="宋体"/>
          <w:spacing w:val="-1"/>
          <w:sz w:val="24"/>
          <w:szCs w:val="24"/>
          <w:lang w:val="en-US" w:eastAsia="zh-CN"/>
        </w:rPr>
        <w:t>成交</w:t>
      </w:r>
      <w:r>
        <w:rPr>
          <w:rFonts w:ascii="宋体" w:hAnsi="宋体" w:eastAsia="宋体" w:cs="宋体"/>
          <w:spacing w:val="-1"/>
          <w:sz w:val="24"/>
          <w:szCs w:val="24"/>
        </w:rPr>
        <w:t>通知书》等均为本合同的组成部分。</w:t>
      </w:r>
    </w:p>
    <w:p w14:paraId="5797D6B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一、合同标的</w:t>
      </w:r>
    </w:p>
    <w:p w14:paraId="4453134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1.乙方负责在合同有效期内向甲方食堂供应配送食材。(具体配送范围包括但不限于： 蔬果、禽蛋、禽畜肉、水产品、饮品、米面粮油、调料干杂等食材（详见供货明细表），甲方可根据实际需要选择货品。如甲方另有需求，乙方均可供货。</w:t>
      </w:r>
    </w:p>
    <w:p w14:paraId="61E1CFF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2.乙方所供货物必须符合下列要求：</w:t>
      </w:r>
    </w:p>
    <w:p w14:paraId="1E44B2F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（1）所供货物必须符合国家或行业主管部门执行的有关营养、卫生等质量标准、 符合响应文件中响应的技术指标要求。</w:t>
      </w:r>
    </w:p>
    <w:p w14:paraId="7B5E872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（2）未经甲方允许，不得提供未经检验或未取得相关部门允许批量生产的新产品或试制品。</w:t>
      </w:r>
    </w:p>
    <w:p w14:paraId="577E1D0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（3）乙方所供货物必须具有质量检验合格证、产品检验检疫证等。</w:t>
      </w:r>
    </w:p>
    <w:p w14:paraId="5E124C7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（4）所供货物必须严格按照响应文件中所报货物生产厂家、品牌一致的货物。</w:t>
      </w:r>
    </w:p>
    <w:p w14:paraId="31A7D29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二、供货期限</w:t>
      </w:r>
    </w:p>
    <w:p w14:paraId="4D91105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自</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日起至</w:t>
      </w:r>
      <w:r>
        <w:rPr>
          <w:rFonts w:hint="eastAsia" w:ascii="宋体" w:hAnsi="宋体" w:eastAsia="宋体" w:cs="宋体"/>
          <w:spacing w:val="-3"/>
          <w:sz w:val="24"/>
          <w:szCs w:val="24"/>
          <w:u w:val="single"/>
        </w:rPr>
        <w:t xml:space="preserve">  </w:t>
      </w:r>
      <w:r>
        <w:rPr>
          <w:rFonts w:hint="eastAsia" w:ascii="宋体" w:hAnsi="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日止。</w:t>
      </w:r>
    </w:p>
    <w:p w14:paraId="62035D7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三、成交折扣</w:t>
      </w:r>
    </w:p>
    <w:p w14:paraId="7F31C69F">
      <w:pPr>
        <w:widowControl/>
        <w:spacing w:line="440" w:lineRule="exact"/>
        <w:ind w:firstLine="468" w:firstLineChars="200"/>
        <w:jc w:val="left"/>
        <w:rPr>
          <w:rFonts w:hint="eastAsia" w:ascii="宋体" w:hAnsi="宋体" w:cs="宋体"/>
          <w:b/>
          <w:bCs/>
          <w:kern w:val="0"/>
          <w:sz w:val="24"/>
          <w:szCs w:val="22"/>
          <w:highlight w:val="none"/>
          <w:lang w:val="en-US" w:eastAsia="zh-CN"/>
        </w:rPr>
      </w:pPr>
      <w:r>
        <w:rPr>
          <w:rFonts w:hint="eastAsia" w:ascii="宋体" w:hAnsi="宋体" w:eastAsia="宋体" w:cs="宋体"/>
          <w:spacing w:val="-3"/>
          <w:sz w:val="24"/>
          <w:szCs w:val="24"/>
          <w:lang w:val="en-US" w:eastAsia="zh-CN"/>
        </w:rPr>
        <w:t>1.按竞争性磋商文件规定：</w:t>
      </w:r>
      <w:r>
        <w:rPr>
          <w:rFonts w:hint="eastAsia" w:ascii="宋体" w:hAnsi="宋体" w:cs="宋体"/>
          <w:b/>
          <w:bCs/>
          <w:kern w:val="0"/>
          <w:sz w:val="24"/>
          <w:szCs w:val="22"/>
          <w:highlight w:val="none"/>
          <w:lang w:val="en-US" w:eastAsia="zh-CN"/>
        </w:rPr>
        <w:t>项目成交后，按实际配送金额对应折扣率办理结算。</w:t>
      </w:r>
    </w:p>
    <w:p w14:paraId="19A19FCB">
      <w:pPr>
        <w:widowControl/>
        <w:spacing w:line="440" w:lineRule="exact"/>
        <w:ind w:firstLine="482" w:firstLineChars="200"/>
        <w:jc w:val="left"/>
        <w:rPr>
          <w:rFonts w:hint="default" w:ascii="宋体" w:hAnsi="宋体" w:cs="宋体"/>
          <w:b/>
          <w:bCs/>
          <w:kern w:val="0"/>
          <w:sz w:val="24"/>
          <w:szCs w:val="22"/>
          <w:highlight w:val="cyan"/>
          <w:lang w:val="en-US" w:eastAsia="zh-CN"/>
        </w:rPr>
      </w:pPr>
      <w:r>
        <w:rPr>
          <w:rFonts w:hint="default" w:ascii="宋体" w:hAnsi="宋体" w:cs="宋体"/>
          <w:b/>
          <w:bCs/>
          <w:kern w:val="0"/>
          <w:sz w:val="24"/>
          <w:szCs w:val="22"/>
          <w:highlight w:val="none"/>
          <w:lang w:val="en-US" w:eastAsia="zh-CN"/>
        </w:rPr>
        <w:t>结算计算公式：最终报价÷磋商控制价×100，</w:t>
      </w:r>
      <w:r>
        <w:rPr>
          <w:rFonts w:hint="eastAsia" w:ascii="宋体" w:hAnsi="宋体" w:cs="宋体"/>
          <w:b/>
          <w:bCs/>
          <w:kern w:val="0"/>
          <w:sz w:val="24"/>
          <w:szCs w:val="22"/>
          <w:highlight w:val="none"/>
          <w:lang w:val="en-US" w:eastAsia="zh-CN"/>
        </w:rPr>
        <w:t>计算</w:t>
      </w:r>
      <w:r>
        <w:rPr>
          <w:rFonts w:hint="default" w:ascii="宋体" w:hAnsi="宋体" w:cs="宋体"/>
          <w:b/>
          <w:bCs/>
          <w:kern w:val="0"/>
          <w:sz w:val="24"/>
          <w:szCs w:val="22"/>
          <w:highlight w:val="none"/>
          <w:lang w:val="en-US" w:eastAsia="zh-CN"/>
        </w:rPr>
        <w:t>结果四舍五入保留两位小数。</w:t>
      </w:r>
      <w:r>
        <w:rPr>
          <w:rFonts w:hint="default" w:ascii="宋体" w:hAnsi="宋体" w:cs="宋体"/>
          <w:b/>
          <w:bCs/>
          <w:kern w:val="0"/>
          <w:sz w:val="24"/>
          <w:szCs w:val="22"/>
          <w:highlight w:val="cyan"/>
          <w:lang w:val="en-US" w:eastAsia="zh-CN"/>
        </w:rPr>
        <w:t xml:space="preserve"> </w:t>
      </w:r>
    </w:p>
    <w:p w14:paraId="20AD80C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rPr>
        <w:t>.成交折扣：</w:t>
      </w:r>
    </w:p>
    <w:p w14:paraId="4C51807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成交折扣：应支付金额的</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p>
    <w:p w14:paraId="7F932C8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根据成交折扣计算出的实际支付金额包含所供货物价格、运送到甲方指定地点所发生的运费、装卸费、调换等环节所发生的费用及其他相关费用和所需缴纳的一切相关税费。该成交金额为合同执行最高限价，实际支付金额不得超过该合同金额。成交折扣在整个合同执行过程中，不因国家政策变化而变动。</w:t>
      </w:r>
    </w:p>
    <w:p w14:paraId="49AAD51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四、执行单价的确定</w:t>
      </w:r>
    </w:p>
    <w:p w14:paraId="18A0E3A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rPr>
        <w:t>甲方组建市场调研组，每</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日为一个期限，确定一次执行单价，对所有所需货物进行市场询价。询价范围：本地批零市场（含超市）</w:t>
      </w:r>
    </w:p>
    <w:p w14:paraId="5E70D95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lang w:val="en-US" w:eastAsia="zh-CN"/>
        </w:rPr>
        <w:t>2.综合执行单价=（三门峡市发展和改革委员会同期公布的三门峡市重要农副产品每日价格表单价×70%+供应商报价×30%）×成交折扣</w:t>
      </w:r>
    </w:p>
    <w:p w14:paraId="3F59430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rPr>
        <w:t>注：</w:t>
      </w:r>
      <w:r>
        <w:rPr>
          <w:rFonts w:hint="eastAsia" w:ascii="宋体" w:hAnsi="宋体" w:eastAsia="宋体" w:cs="宋体"/>
          <w:color w:val="000000"/>
          <w:spacing w:val="-3"/>
          <w:sz w:val="24"/>
          <w:szCs w:val="24"/>
          <w:lang w:val="en-US" w:eastAsia="zh-CN"/>
        </w:rPr>
        <w:t>1、依据三门峡市发展和改革委员会同期公布的三门峡市重要农副产品价格表，最终确定的综合执行单价最高不得高于三门峡市发展和改革委员会同期公布的三门峡市重要农副产品价格表单价的10%。</w:t>
      </w:r>
    </w:p>
    <w:p w14:paraId="37D98E1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2、其中三门峡市发展和改革委员会同期公布的三门峡市重要农副产品每日价格表中存在未列明的重要农副产品，综合执行单价按照如下公式计算：</w:t>
      </w:r>
    </w:p>
    <w:p w14:paraId="3FF682E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综合执行单价=（本地批发1市场调研单价×40%+本地批发2市场调研单价×30%+供应商报价×30%）×成交折扣</w:t>
      </w:r>
    </w:p>
    <w:p w14:paraId="22EB784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3.</w:t>
      </w:r>
      <w:r>
        <w:rPr>
          <w:rFonts w:hint="eastAsia" w:ascii="宋体" w:hAnsi="宋体" w:eastAsia="宋体" w:cs="宋体"/>
          <w:color w:val="000000"/>
          <w:spacing w:val="-3"/>
          <w:sz w:val="24"/>
          <w:szCs w:val="24"/>
        </w:rPr>
        <w:t>如遇货物价格上涨幅度较大，</w:t>
      </w:r>
      <w:r>
        <w:rPr>
          <w:rFonts w:hint="eastAsia" w:ascii="宋体" w:hAnsi="宋体" w:eastAsia="宋体" w:cs="宋体"/>
          <w:color w:val="000000"/>
          <w:spacing w:val="-3"/>
          <w:sz w:val="24"/>
          <w:szCs w:val="24"/>
          <w:lang w:val="en-US" w:eastAsia="zh-CN"/>
        </w:rPr>
        <w:t>乙方需要调整货物供应价格</w:t>
      </w:r>
      <w:r>
        <w:rPr>
          <w:rFonts w:hint="eastAsia" w:ascii="宋体" w:hAnsi="宋体" w:eastAsia="宋体" w:cs="宋体"/>
          <w:color w:val="000000"/>
          <w:spacing w:val="-3"/>
          <w:sz w:val="24"/>
          <w:szCs w:val="24"/>
        </w:rPr>
        <w:t>，必须向甲方提交书面申请和相关证明材料。甲方对市场进行询价后，根据询价结果对申请进行审批。如确需调整价格，调整后价格由双方签字确认。</w:t>
      </w:r>
    </w:p>
    <w:p w14:paraId="24322DA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4.如市场价格下浮低于执行价格，乙方必须立即调整货物供应价格，如甲方询价结果明显低于供应价格，甲方有权对乙方进行处罚，同时按照市场下浮价格进行结算，并有权选择解除合同，要求乙方承担</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lang w:val="en-US" w:eastAsia="zh-CN"/>
        </w:rPr>
        <w:t>元（大写：       ）的违约金，赔偿甲方损失。</w:t>
      </w:r>
    </w:p>
    <w:p w14:paraId="53560CD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如遇国家政策变化发生价格调整，按相关规定执行。</w:t>
      </w:r>
    </w:p>
    <w:p w14:paraId="3FBDD1B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确定的综合执行单价，包括货物价格、将货物运送至甲方指定地点所发生的运</w:t>
      </w:r>
      <w:r>
        <w:rPr>
          <w:rFonts w:hint="eastAsia" w:ascii="宋体" w:hAnsi="宋体" w:eastAsia="宋体" w:cs="宋体"/>
          <w:color w:val="000000"/>
          <w:spacing w:val="-3"/>
          <w:sz w:val="24"/>
          <w:szCs w:val="24"/>
        </w:rPr>
        <w:t>费、装卸费、货物调换费及所需缴纳的相关税费等费用。</w:t>
      </w:r>
    </w:p>
    <w:p w14:paraId="3075B07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五、款项支付</w:t>
      </w:r>
    </w:p>
    <w:p w14:paraId="0A67B5A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lang w:val="en-US" w:eastAsia="zh-CN"/>
        </w:rPr>
        <w:t>1.</w:t>
      </w:r>
      <w:r>
        <w:rPr>
          <w:rFonts w:hint="eastAsia" w:ascii="宋体" w:hAnsi="宋体" w:eastAsia="宋体" w:cs="宋体"/>
          <w:color w:val="000000"/>
          <w:spacing w:val="-3"/>
          <w:sz w:val="24"/>
          <w:szCs w:val="24"/>
        </w:rPr>
        <w:t>实行月结方式进行结算，经甲方验收，每批所供物资质量均达到相关质量标准，且认真履行服务承诺，乙方根据甲方确定的综合执行单价乘以当月实际供货量计算的实</w:t>
      </w:r>
      <w:r>
        <w:rPr>
          <w:rFonts w:hint="eastAsia" w:ascii="宋体" w:hAnsi="宋体" w:eastAsia="宋体" w:cs="宋体"/>
          <w:color w:val="000000"/>
          <w:spacing w:val="-3"/>
          <w:sz w:val="24"/>
          <w:szCs w:val="24"/>
          <w:highlight w:val="none"/>
        </w:rPr>
        <w:t>际结算费用开具</w:t>
      </w:r>
      <w:r>
        <w:rPr>
          <w:rFonts w:hint="eastAsia" w:ascii="宋体" w:hAnsi="宋体" w:eastAsia="宋体" w:cs="宋体"/>
          <w:color w:val="000000"/>
          <w:spacing w:val="-3"/>
          <w:sz w:val="24"/>
          <w:szCs w:val="24"/>
          <w:highlight w:val="none"/>
          <w:lang w:val="en-US" w:eastAsia="zh-CN"/>
        </w:rPr>
        <w:t xml:space="preserve">合法有效的等额发票 </w:t>
      </w:r>
      <w:r>
        <w:rPr>
          <w:rFonts w:hint="eastAsia" w:ascii="宋体" w:hAnsi="宋体" w:eastAsia="宋体" w:cs="宋体"/>
          <w:color w:val="000000"/>
          <w:spacing w:val="-3"/>
          <w:sz w:val="24"/>
          <w:szCs w:val="24"/>
          <w:highlight w:val="none"/>
        </w:rPr>
        <w:t>，甲方在次月内</w:t>
      </w:r>
      <w:r>
        <w:rPr>
          <w:rFonts w:hint="eastAsia" w:ascii="宋体" w:hAnsi="宋体" w:eastAsia="宋体" w:cs="宋体"/>
          <w:color w:val="000000"/>
          <w:spacing w:val="-3"/>
          <w:sz w:val="24"/>
          <w:szCs w:val="24"/>
          <w:highlight w:val="none"/>
          <w:lang w:val="en-US" w:eastAsia="zh-CN"/>
        </w:rPr>
        <w:t>通过银行转账方式支付货款至乙方指定账户</w:t>
      </w:r>
      <w:r>
        <w:rPr>
          <w:rFonts w:hint="eastAsia" w:ascii="宋体" w:hAnsi="宋体" w:eastAsia="宋体" w:cs="宋体"/>
          <w:color w:val="000000"/>
          <w:spacing w:val="-3"/>
          <w:sz w:val="24"/>
          <w:szCs w:val="24"/>
          <w:highlight w:val="none"/>
        </w:rPr>
        <w:t>。</w:t>
      </w:r>
      <w:r>
        <w:rPr>
          <w:rFonts w:hint="eastAsia" w:ascii="宋体" w:hAnsi="宋体" w:eastAsia="宋体" w:cs="宋体"/>
          <w:color w:val="000000"/>
          <w:spacing w:val="-3"/>
          <w:sz w:val="24"/>
          <w:szCs w:val="24"/>
          <w:highlight w:val="none"/>
          <w:lang w:val="en-US" w:eastAsia="zh-CN"/>
        </w:rPr>
        <w:t>若因乙方未及时提供符合要求的发票和文件，导致甲方付款迟延的，甲方不承担逾期付款的违约责任。</w:t>
      </w:r>
      <w:r>
        <w:rPr>
          <w:rFonts w:hint="eastAsia" w:ascii="宋体" w:hAnsi="宋体" w:eastAsia="宋体" w:cs="宋体"/>
          <w:color w:val="000000"/>
          <w:spacing w:val="-3"/>
          <w:sz w:val="24"/>
          <w:szCs w:val="24"/>
          <w:highlight w:val="none"/>
        </w:rPr>
        <w:t>若乙方在此期间存在违约行为，甲方在扣除相应违约金后支付当月剩余费用。</w:t>
      </w:r>
    </w:p>
    <w:p w14:paraId="45979E5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lang w:val="en-US" w:eastAsia="zh-CN"/>
        </w:rPr>
        <w:t>2.</w:t>
      </w:r>
      <w:r>
        <w:rPr>
          <w:rFonts w:hint="eastAsia" w:ascii="宋体" w:hAnsi="宋体" w:eastAsia="宋体" w:cs="宋体"/>
          <w:color w:val="000000"/>
          <w:spacing w:val="-3"/>
          <w:sz w:val="24"/>
          <w:szCs w:val="24"/>
          <w:highlight w:val="none"/>
        </w:rPr>
        <w:t>乙方账户信息：</w:t>
      </w:r>
    </w:p>
    <w:p w14:paraId="2EE19DE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开户名：</w:t>
      </w:r>
      <w:r>
        <w:rPr>
          <w:rFonts w:hint="eastAsia" w:ascii="宋体" w:hAnsi="宋体" w:eastAsia="宋体" w:cs="宋体"/>
          <w:color w:val="000000"/>
          <w:spacing w:val="-3"/>
          <w:sz w:val="24"/>
          <w:szCs w:val="24"/>
          <w:highlight w:val="none"/>
          <w:u w:val="single"/>
          <w:lang w:val="en-US" w:eastAsia="zh-CN"/>
        </w:rPr>
        <w:t xml:space="preserve">                                       </w:t>
      </w:r>
      <w:r>
        <w:rPr>
          <w:rFonts w:hint="eastAsia" w:ascii="宋体" w:hAnsi="宋体" w:eastAsia="宋体" w:cs="宋体"/>
          <w:color w:val="000000"/>
          <w:spacing w:val="-3"/>
          <w:sz w:val="24"/>
          <w:szCs w:val="24"/>
          <w:highlight w:val="none"/>
        </w:rPr>
        <w:t xml:space="preserve"> </w:t>
      </w:r>
    </w:p>
    <w:p w14:paraId="1D94D76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 xml:space="preserve">开户行： </w:t>
      </w:r>
      <w:r>
        <w:rPr>
          <w:rFonts w:hint="eastAsia" w:ascii="宋体" w:hAnsi="宋体" w:eastAsia="宋体" w:cs="宋体"/>
          <w:color w:val="000000"/>
          <w:spacing w:val="-3"/>
          <w:sz w:val="24"/>
          <w:szCs w:val="24"/>
          <w:highlight w:val="none"/>
          <w:u w:val="single"/>
          <w:lang w:val="en-US" w:eastAsia="zh-CN"/>
        </w:rPr>
        <w:t xml:space="preserve">                                       </w:t>
      </w:r>
    </w:p>
    <w:p w14:paraId="263EECF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 xml:space="preserve">账号： </w:t>
      </w:r>
      <w:r>
        <w:rPr>
          <w:rFonts w:hint="eastAsia" w:ascii="宋体" w:hAnsi="宋体" w:eastAsia="宋体" w:cs="宋体"/>
          <w:color w:val="000000"/>
          <w:spacing w:val="-3"/>
          <w:sz w:val="24"/>
          <w:szCs w:val="24"/>
          <w:highlight w:val="none"/>
          <w:u w:val="single"/>
          <w:lang w:val="en-US" w:eastAsia="zh-CN"/>
        </w:rPr>
        <w:t xml:space="preserve">                                       </w:t>
      </w:r>
    </w:p>
    <w:p w14:paraId="4C2C48C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如乙方的上述账户资料发生变更，须提前书面通知甲方，否则由此造成的一切后果由乙方自行承担。</w:t>
      </w:r>
    </w:p>
    <w:p w14:paraId="1BFE1BB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color w:val="FF0000"/>
          <w:spacing w:val="-3"/>
          <w:sz w:val="24"/>
          <w:szCs w:val="24"/>
          <w:lang w:eastAsia="zh-CN"/>
        </w:rPr>
      </w:pPr>
      <w:r>
        <w:rPr>
          <w:rFonts w:hint="eastAsia" w:ascii="宋体" w:hAnsi="宋体" w:eastAsia="宋体" w:cs="宋体"/>
          <w:b/>
          <w:bCs/>
          <w:color w:val="000000"/>
          <w:spacing w:val="-3"/>
          <w:sz w:val="24"/>
          <w:szCs w:val="24"/>
        </w:rPr>
        <w:t>六、验收</w:t>
      </w:r>
    </w:p>
    <w:p w14:paraId="2EA008D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初验：甲方对所供货物进行初验，初验包括但不限于对所供货物的品牌、数量、包装、生产日期、质量检测合格报告、许可证等证明文件进行验收，并做相应记录。经验收，所供货物品牌、规格、数量、生产厂家等与当批次所供货物清单一致</w:t>
      </w:r>
      <w:r>
        <w:rPr>
          <w:rFonts w:hint="eastAsia" w:ascii="宋体" w:hAnsi="宋体" w:eastAsia="宋体" w:cs="宋体"/>
          <w:color w:val="000000"/>
          <w:spacing w:val="-3"/>
          <w:sz w:val="24"/>
          <w:szCs w:val="24"/>
          <w:lang w:eastAsia="zh-CN"/>
        </w:rPr>
        <w:t>，</w:t>
      </w:r>
      <w:r>
        <w:rPr>
          <w:rFonts w:hint="eastAsia" w:ascii="宋体" w:hAnsi="宋体" w:eastAsia="宋体" w:cs="宋体"/>
          <w:color w:val="000000"/>
          <w:spacing w:val="-3"/>
          <w:sz w:val="24"/>
          <w:szCs w:val="24"/>
        </w:rPr>
        <w:t>证明材料齐全的，即为初验合格。</w:t>
      </w:r>
    </w:p>
    <w:p w14:paraId="60E2471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技术验收：对所供货物初验合格后，对所供货物通过称量、观色、闻味、品尝等方式进行验收，根据国家相关标准进行验收，并对所供货物各项指标均达到国家质量标准并做相应记录。若全部符合响应文件中的技术指标要求，即为验收合格。</w:t>
      </w:r>
    </w:p>
    <w:p w14:paraId="02A15DB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3．抽检：甲方随机抽取所供货物，进行质检，若货物质检报告和乙方提供的货物质检报告一致，即为验收合格。</w:t>
      </w:r>
    </w:p>
    <w:p w14:paraId="51AFC0E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4.验收结果：若验收结果完全符合乙方响应文件中技术指标或相关执行标准，经验收组成员签字后，验收结束，并将验收结果通知乙方。否则，以书面形式通知乙方在规定时间内进行整改。</w:t>
      </w:r>
    </w:p>
    <w:p w14:paraId="3E158FE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5.甲方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14:paraId="29172DC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七、甲方的责任与义务</w:t>
      </w:r>
    </w:p>
    <w:p w14:paraId="201BE9A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甲方根据实际需求，将供货计划提前至少1天通知乙方，供货计划包括货物品种、数量、配送地点、送达时间等信息。</w:t>
      </w:r>
    </w:p>
    <w:p w14:paraId="37AE75C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2．负责对所送达的货物进行称量，根据采购需求、乙方响应文件承诺和国家相关质量标准进行验收，按类摆放入库，并按照相关储存要求进行储存。</w:t>
      </w:r>
    </w:p>
    <w:p w14:paraId="3AAE604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3．负责对各类货物现行价格进行市场询价、并核定综合单价。</w:t>
      </w:r>
    </w:p>
    <w:p w14:paraId="4D358FF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4．负责对每批查验货物的相关验收证明文件存档。</w:t>
      </w:r>
    </w:p>
    <w:p w14:paraId="58D0FE5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5．甲方对乙方所供货物保质期不符合乙方响应文件承诺的或质量不符合乙方响应文件或相关承诺中技术指标的货物有权拒收，并要求乙方在指定的时间内重新提供合格货物，由此造成的损失由乙方承担。</w:t>
      </w:r>
    </w:p>
    <w:p w14:paraId="48A3AF4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6．负责按合同约定的方式支付货款。</w:t>
      </w:r>
    </w:p>
    <w:p w14:paraId="5FAA92D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7．负责对所供货物进行分发。</w:t>
      </w:r>
    </w:p>
    <w:p w14:paraId="5D13001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8．因乙方供应货物的质量问题或乙方工作中的其它问题，而导致甲方出现食品安全的任何问题或者造成甲方工作人员受到职能部门处罚、被负面报道、引发群体性事件的，</w:t>
      </w:r>
      <w:r>
        <w:rPr>
          <w:rFonts w:hint="eastAsia" w:ascii="宋体" w:hAnsi="宋体" w:eastAsia="宋体" w:cs="宋体"/>
          <w:color w:val="000000"/>
          <w:spacing w:val="-3"/>
          <w:sz w:val="24"/>
          <w:szCs w:val="24"/>
          <w:lang w:val="en-US" w:eastAsia="zh-CN"/>
        </w:rPr>
        <w:t>甲方有权立即解除合同，要求乙方承担</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元（大写：）的违约金，同时赔偿甲方、甲方人员、受害人因此遭受的全部损失（包括但不限于直接经济损失、可得利益损失、律师费、诉讼费、鉴定费等合理费用）。</w:t>
      </w:r>
    </w:p>
    <w:p w14:paraId="135F44D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9.对综合执行单价负有解释权和执行权。</w:t>
      </w:r>
    </w:p>
    <w:p w14:paraId="57CD47C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八、乙方的权利与义务</w:t>
      </w:r>
    </w:p>
    <w:p w14:paraId="1F68291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1．乙方在接到甲方通知后应及时组织货源，并在指定时间内按甲方要求免费送到指定位置</w:t>
      </w:r>
      <w:r>
        <w:rPr>
          <w:rFonts w:hint="eastAsia" w:ascii="宋体" w:hAnsi="宋体" w:eastAsia="宋体" w:cs="宋体"/>
          <w:color w:val="000000"/>
          <w:spacing w:val="-3"/>
          <w:sz w:val="24"/>
          <w:szCs w:val="24"/>
          <w:lang w:eastAsia="zh-CN"/>
        </w:rPr>
        <w:t>。</w:t>
      </w:r>
    </w:p>
    <w:p w14:paraId="0881D55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2．乙方保证所供货物完全符合《中华人民共和国动物防疫法》、国家食品安全卫生标准和相关质量标准，并按要求提供每批次货物质量检验合格证明文件。</w:t>
      </w:r>
    </w:p>
    <w:p w14:paraId="0A4B26B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 保证所供货物新鲜、不腐烂、不变质。</w:t>
      </w:r>
    </w:p>
    <w:p w14:paraId="09D9E53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 乙方保证使用国家规定的保障运输货物安全的运输工具，包装符合国家食品包装要求，保证运输过程中货物之间不发生交叉污染、不变质。在运送过程中所发生的一切责任事故，均由乙方承担。</w:t>
      </w:r>
    </w:p>
    <w:p w14:paraId="78346EF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5．乙方保证所供食品原材料保质期不低于原保质期的</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rPr>
        <w:t>。</w:t>
      </w:r>
    </w:p>
    <w:p w14:paraId="539871A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 xml:space="preserve">6. </w:t>
      </w:r>
      <w:r>
        <w:rPr>
          <w:rFonts w:hint="eastAsia" w:ascii="宋体" w:hAnsi="宋体" w:eastAsia="宋体" w:cs="宋体"/>
          <w:color w:val="000000"/>
          <w:spacing w:val="-3"/>
          <w:sz w:val="24"/>
          <w:szCs w:val="24"/>
          <w:lang w:val="en-US" w:eastAsia="zh-CN"/>
        </w:rPr>
        <w:t>乙方如遇货源紧张或无法提供甲方所需货物时，应在供货期</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小时前通知甲方</w:t>
      </w:r>
      <w:r>
        <w:rPr>
          <w:rFonts w:hint="eastAsia" w:ascii="宋体" w:hAnsi="宋体" w:eastAsia="宋体" w:cs="宋体"/>
          <w:color w:val="000000"/>
          <w:spacing w:val="-3"/>
          <w:sz w:val="24"/>
          <w:szCs w:val="24"/>
        </w:rPr>
        <w:t>，以便甲方提前备货，避免因不能供货造成的损失。</w:t>
      </w:r>
    </w:p>
    <w:p w14:paraId="0A50F92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7．乙方按甲方要求，除对现行价格按期进行申报外，有权对综合执行单价提出异议。</w:t>
      </w:r>
    </w:p>
    <w:p w14:paraId="7A49CC3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8．因乙方供应货物的质量问题或乙方工作中的其它问题，而导致甲方出现食品安全的任何问题，或者造成甲方工作人员受到职能部门处罚、被负面报道、引发群体性事件的，乙方承担由此造成的一切经济损失与法律责任。</w:t>
      </w:r>
    </w:p>
    <w:p w14:paraId="6884A24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9．所供货物存在不符合响应文件技术指标要求或不能按合同规定时间供货或出现</w:t>
      </w:r>
      <w:r>
        <w:rPr>
          <w:rFonts w:hint="eastAsia" w:ascii="宋体" w:hAnsi="宋体" w:eastAsia="宋体" w:cs="宋体"/>
          <w:color w:val="000000"/>
          <w:spacing w:val="-3"/>
          <w:sz w:val="24"/>
          <w:szCs w:val="24"/>
          <w:lang w:eastAsia="zh-CN"/>
        </w:rPr>
        <w:t>“三无”产品</w:t>
      </w:r>
      <w:r>
        <w:rPr>
          <w:rFonts w:hint="eastAsia" w:ascii="宋体" w:hAnsi="宋体" w:eastAsia="宋体" w:cs="宋体"/>
          <w:color w:val="000000"/>
          <w:spacing w:val="-3"/>
          <w:sz w:val="24"/>
          <w:szCs w:val="24"/>
        </w:rPr>
        <w:t>等任何问题，</w:t>
      </w:r>
      <w:r>
        <w:rPr>
          <w:rFonts w:hint="eastAsia" w:ascii="宋体" w:hAnsi="宋体" w:eastAsia="宋体" w:cs="宋体"/>
          <w:color w:val="000000"/>
          <w:spacing w:val="-3"/>
          <w:sz w:val="24"/>
          <w:szCs w:val="24"/>
          <w:lang w:val="en-US" w:eastAsia="zh-CN"/>
        </w:rPr>
        <w:t>按本合同相关约定承担相应的违约责任</w:t>
      </w:r>
      <w:r>
        <w:rPr>
          <w:rFonts w:hint="eastAsia" w:ascii="宋体" w:hAnsi="宋体" w:eastAsia="宋体" w:cs="宋体"/>
          <w:color w:val="000000"/>
          <w:spacing w:val="-3"/>
          <w:sz w:val="24"/>
          <w:szCs w:val="24"/>
        </w:rPr>
        <w:t>。</w:t>
      </w:r>
    </w:p>
    <w:p w14:paraId="1D6FE45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10．配合甲方完成所供货物的验收。</w:t>
      </w:r>
    </w:p>
    <w:p w14:paraId="2566534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11</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乙方人员（包括受乙方委托提供送货、安装、调试等服务的人员）应提供安全、专业的服务，如在送货、安装、调试过程中造成乙方及乙方服务人员自身、甲方及甲方人员或者任何第三方的人身或财产损害，应由乙方自行承担责任。乙方及乙方人员不得以甲方人员的指示作为减轻或不承担责任的理由；如甲方人员的指示存在安全风险，则乙方及乙方人员应拒绝执行并说明理由。</w:t>
      </w:r>
    </w:p>
    <w:p w14:paraId="21E9A8B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九、甲方违约责任</w:t>
      </w:r>
    </w:p>
    <w:p w14:paraId="696B3F4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甲方无正当理由拒收合同内货物的，甲方向乙方偿付当次货物金额5%的违约金。</w:t>
      </w:r>
    </w:p>
    <w:p w14:paraId="7A51473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 因甲方变更到货地点，未及时通知乙方，给乙方造成经济损失的，所增加费用由甲方承担。</w:t>
      </w:r>
    </w:p>
    <w:p w14:paraId="3516778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3．</w:t>
      </w:r>
      <w:r>
        <w:rPr>
          <w:rFonts w:hint="eastAsia" w:ascii="宋体" w:hAnsi="宋体" w:eastAsia="宋体" w:cs="宋体"/>
          <w:color w:val="000000"/>
          <w:spacing w:val="-3"/>
          <w:sz w:val="24"/>
          <w:szCs w:val="24"/>
          <w:lang w:val="en-US" w:eastAsia="zh-CN"/>
        </w:rPr>
        <w:t>甲方未按合同约定的期限支付乙方货款，应以未付款项为基数，按照全国银行同业拆借中心公布的贷款市场报价利率向乙方支付违约金</w:t>
      </w:r>
      <w:r>
        <w:rPr>
          <w:rFonts w:hint="eastAsia" w:ascii="宋体" w:hAnsi="宋体" w:eastAsia="宋体" w:cs="宋体"/>
          <w:color w:val="000000"/>
          <w:spacing w:val="-3"/>
          <w:sz w:val="24"/>
          <w:szCs w:val="24"/>
        </w:rPr>
        <w:t>。因财政拨付程序或甲方结算内部程序导致的延期付款除外</w:t>
      </w:r>
      <w:r>
        <w:rPr>
          <w:rFonts w:hint="eastAsia" w:ascii="宋体" w:hAnsi="宋体" w:eastAsia="宋体" w:cs="宋体"/>
          <w:color w:val="000000"/>
          <w:spacing w:val="-3"/>
          <w:sz w:val="24"/>
          <w:szCs w:val="24"/>
          <w:lang w:eastAsia="zh-CN"/>
        </w:rPr>
        <w:t>。</w:t>
      </w:r>
    </w:p>
    <w:p w14:paraId="7EDB361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十、乙方违约责任</w:t>
      </w:r>
    </w:p>
    <w:p w14:paraId="20633B8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 xml:space="preserve">1. </w:t>
      </w:r>
      <w:r>
        <w:rPr>
          <w:rFonts w:hint="eastAsia" w:ascii="宋体" w:hAnsi="宋体" w:eastAsia="宋体" w:cs="宋体"/>
          <w:color w:val="000000"/>
          <w:spacing w:val="-3"/>
          <w:sz w:val="24"/>
          <w:szCs w:val="24"/>
          <w:lang w:val="en-US" w:eastAsia="zh-CN"/>
        </w:rPr>
        <w:t>乙方无正当理由解除、终止或者明确表示、以自己的行为表示拒不履行本合同的</w:t>
      </w:r>
      <w:r>
        <w:rPr>
          <w:rFonts w:hint="eastAsia" w:ascii="宋体" w:hAnsi="宋体" w:eastAsia="宋体" w:cs="宋体"/>
          <w:color w:val="000000"/>
          <w:spacing w:val="-3"/>
          <w:sz w:val="24"/>
          <w:szCs w:val="24"/>
        </w:rPr>
        <w:t>，乙方承担未履行订单金额5%的违约金，同时赔偿因此给甲方造成的所有经济损失。</w:t>
      </w:r>
    </w:p>
    <w:p w14:paraId="37CD7AF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color w:val="000000"/>
          <w:spacing w:val="-3"/>
          <w:sz w:val="24"/>
          <w:szCs w:val="24"/>
        </w:rPr>
        <w:t>2. 乙方所提供货物与甲方要求、响应文件或国家相关质量标准不符时，甲方有权拒收，乙方承担相关检测费用。</w:t>
      </w:r>
      <w:r>
        <w:rPr>
          <w:rFonts w:hint="eastAsia" w:ascii="宋体" w:hAnsi="宋体" w:eastAsia="宋体" w:cs="宋体"/>
          <w:b/>
          <w:bCs/>
          <w:color w:val="000000"/>
          <w:spacing w:val="-3"/>
          <w:sz w:val="24"/>
          <w:szCs w:val="24"/>
        </w:rPr>
        <w:t>拒收后，乙方在规定时间内，交付合格物质，未能在甲方规定的期限内交付合格货物，每逾 1 日，</w:t>
      </w:r>
      <w:r>
        <w:rPr>
          <w:rFonts w:hint="eastAsia" w:ascii="宋体" w:hAnsi="宋体" w:eastAsia="宋体" w:cs="宋体"/>
          <w:b/>
          <w:bCs/>
          <w:color w:val="000000"/>
          <w:spacing w:val="-3"/>
          <w:sz w:val="24"/>
          <w:szCs w:val="24"/>
          <w:highlight w:val="none"/>
        </w:rPr>
        <w:t>乙方承担该计划订单金额</w:t>
      </w:r>
      <w:r>
        <w:rPr>
          <w:rFonts w:hint="eastAsia" w:ascii="宋体" w:hAnsi="宋体" w:eastAsia="宋体" w:cs="宋体"/>
          <w:b/>
          <w:bCs/>
          <w:color w:val="000000"/>
          <w:spacing w:val="-3"/>
          <w:sz w:val="24"/>
          <w:szCs w:val="24"/>
          <w:highlight w:val="none"/>
          <w:u w:val="single"/>
          <w:lang w:val="en-US" w:eastAsia="zh-CN"/>
        </w:rPr>
        <w:t xml:space="preserve">         </w:t>
      </w:r>
      <w:r>
        <w:rPr>
          <w:rFonts w:hint="eastAsia" w:ascii="宋体" w:hAnsi="宋体" w:eastAsia="宋体" w:cs="宋体"/>
          <w:b/>
          <w:bCs/>
          <w:color w:val="000000"/>
          <w:spacing w:val="-3"/>
          <w:sz w:val="24"/>
          <w:szCs w:val="24"/>
          <w:highlight w:val="none"/>
        </w:rPr>
        <w:t>的违约金，逾期超过 10 次，甲方扣除乙方该计划订单金额</w:t>
      </w:r>
      <w:r>
        <w:rPr>
          <w:rFonts w:hint="eastAsia" w:ascii="宋体" w:hAnsi="宋体" w:eastAsia="宋体" w:cs="宋体"/>
          <w:b/>
          <w:bCs/>
          <w:color w:val="000000"/>
          <w:spacing w:val="-3"/>
          <w:sz w:val="24"/>
          <w:szCs w:val="24"/>
          <w:highlight w:val="none"/>
          <w:u w:val="single"/>
          <w:lang w:val="en-US" w:eastAsia="zh-CN"/>
        </w:rPr>
        <w:t xml:space="preserve">         </w:t>
      </w:r>
      <w:r>
        <w:rPr>
          <w:rFonts w:hint="eastAsia" w:ascii="宋体" w:hAnsi="宋体" w:eastAsia="宋体" w:cs="宋体"/>
          <w:b/>
          <w:bCs/>
          <w:color w:val="000000"/>
          <w:spacing w:val="-3"/>
          <w:sz w:val="24"/>
          <w:szCs w:val="24"/>
          <w:highlight w:val="none"/>
        </w:rPr>
        <w:t>的</w:t>
      </w:r>
      <w:r>
        <w:rPr>
          <w:rFonts w:hint="eastAsia" w:ascii="宋体" w:hAnsi="宋体" w:eastAsia="宋体" w:cs="宋体"/>
          <w:b/>
          <w:bCs/>
          <w:color w:val="000000"/>
          <w:spacing w:val="-3"/>
          <w:sz w:val="24"/>
          <w:szCs w:val="24"/>
          <w:highlight w:val="none"/>
          <w:lang w:val="en-US" w:eastAsia="zh-CN"/>
        </w:rPr>
        <w:t>货款</w:t>
      </w:r>
      <w:r>
        <w:rPr>
          <w:rFonts w:hint="eastAsia" w:ascii="宋体" w:hAnsi="宋体" w:eastAsia="宋体" w:cs="宋体"/>
          <w:b/>
          <w:bCs/>
          <w:color w:val="000000"/>
          <w:spacing w:val="-3"/>
          <w:sz w:val="24"/>
          <w:szCs w:val="24"/>
          <w:highlight w:val="none"/>
        </w:rPr>
        <w:t>，并有权解除合同。</w:t>
      </w:r>
      <w:r>
        <w:rPr>
          <w:rFonts w:hint="eastAsia" w:ascii="宋体" w:hAnsi="宋体" w:eastAsia="宋体" w:cs="宋体"/>
          <w:b/>
          <w:bCs/>
          <w:color w:val="000000"/>
          <w:spacing w:val="-3"/>
          <w:sz w:val="24"/>
          <w:szCs w:val="24"/>
          <w:highlight w:val="none"/>
          <w:lang w:val="en-US" w:eastAsia="zh-CN"/>
        </w:rPr>
        <w:t>对解除合同的，乙方须承担</w:t>
      </w:r>
      <w:r>
        <w:rPr>
          <w:rFonts w:hint="eastAsia" w:ascii="宋体" w:hAnsi="宋体" w:eastAsia="宋体" w:cs="宋体"/>
          <w:b/>
          <w:bCs/>
          <w:color w:val="000000"/>
          <w:spacing w:val="-3"/>
          <w:sz w:val="24"/>
          <w:szCs w:val="24"/>
          <w:highlight w:val="none"/>
          <w:u w:val="single"/>
          <w:lang w:val="en-US" w:eastAsia="zh-CN"/>
        </w:rPr>
        <w:t xml:space="preserve">           </w:t>
      </w:r>
      <w:r>
        <w:rPr>
          <w:rFonts w:hint="eastAsia" w:ascii="宋体" w:hAnsi="宋体" w:eastAsia="宋体" w:cs="宋体"/>
          <w:b/>
          <w:bCs/>
          <w:color w:val="000000"/>
          <w:spacing w:val="-3"/>
          <w:sz w:val="24"/>
          <w:szCs w:val="24"/>
          <w:highlight w:val="none"/>
          <w:lang w:val="en-US" w:eastAsia="zh-CN"/>
        </w:rPr>
        <w:t>元</w:t>
      </w:r>
      <w:r>
        <w:rPr>
          <w:rFonts w:hint="eastAsia" w:ascii="宋体" w:hAnsi="宋体" w:eastAsia="宋体" w:cs="宋体"/>
          <w:b/>
          <w:bCs/>
          <w:color w:val="000000"/>
          <w:spacing w:val="-3"/>
          <w:sz w:val="24"/>
          <w:szCs w:val="24"/>
          <w:lang w:val="en-US" w:eastAsia="zh-CN"/>
        </w:rPr>
        <w:t>（大写：          ）的违约金，并赔偿甲方全部损失。</w:t>
      </w:r>
    </w:p>
    <w:p w14:paraId="1D8838E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3.乙方保证按甲方要求的品种、规格、数量、时间和地点按质按量配送。在供货过程中，</w:t>
      </w:r>
      <w:r>
        <w:rPr>
          <w:rFonts w:hint="eastAsia" w:ascii="宋体" w:hAnsi="宋体" w:eastAsia="宋体" w:cs="宋体"/>
          <w:color w:val="000000"/>
          <w:spacing w:val="-3"/>
          <w:sz w:val="24"/>
          <w:szCs w:val="24"/>
          <w:lang w:val="en-US" w:eastAsia="zh-CN"/>
        </w:rPr>
        <w:t>若乙方以各种理由进行推诿，或因乙方自身原因导致供货不及时的，每发生一次，应承担当批次货物总额</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%的违约金，累计逾期供货超过</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次的，甲方有权解除、终止本合同，并要求乙方承担</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元（大写：     ）的违约金，并赔偿甲方损失。</w:t>
      </w:r>
    </w:p>
    <w:p w14:paraId="5278154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4．如乙方拒绝接受甲方订单；无法完成甲方合理订单；无故放弃对执行单价的确认，均视为单方解除合同，同时应按本条第 1 款承担相应的违约责任。</w:t>
      </w:r>
    </w:p>
    <w:p w14:paraId="5ADD2AA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5．乙方因企业重大变动、国家政策因素等原因无法履行合同的，应提前 15 天向甲方提出解除合同申请，甲方确认属实的，不予追究违约责任。</w:t>
      </w:r>
    </w:p>
    <w:p w14:paraId="78977AA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6．乙方因食品安全问题被相关单位处罚或造成任何食品安全事故（无论是否涉及甲方所采购的货物），本合同立即解除，同时承担给甲方造成的所有损失。</w:t>
      </w:r>
    </w:p>
    <w:p w14:paraId="78CA8A4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7</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乙方将本合同约定的义务全部或者部分转让给第三方的，甲方有权解除或者终止本合同，并要求乙方赔偿甲方损失（本合同或者双方另有约定的，与本条同时适用）。同时，乙方应当对其转让的第三方给甲方造成的损失承担连带责任。</w:t>
      </w:r>
    </w:p>
    <w:p w14:paraId="0FD2769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8</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因乙方的违约行为给甲方造成的损失包括但不限于直接经济损失、可得利益损失、律师费、诉讼费、鉴定费等合理费用。</w:t>
      </w:r>
    </w:p>
    <w:p w14:paraId="5F78824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十一、不可抗力</w:t>
      </w:r>
    </w:p>
    <w:p w14:paraId="378EA00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甲乙双方的任何一方由于不可抗力的原因不能履行合同时，应及时以书面形式向对方通报不能履行或不能完全履行合同的理由；在取得有关主管机关证明后，允许延期履行、部分履行或者不履行合同，并根据情况可部分或全部免予承担违约责任。</w:t>
      </w:r>
      <w:r>
        <w:rPr>
          <w:rFonts w:hint="eastAsia" w:ascii="宋体" w:hAnsi="宋体" w:eastAsia="宋体" w:cs="宋体"/>
          <w:color w:val="000000"/>
          <w:spacing w:val="-3"/>
          <w:sz w:val="24"/>
          <w:szCs w:val="24"/>
          <w:lang w:val="en-US" w:eastAsia="zh-CN"/>
        </w:rPr>
        <w:t>迟延履行后发生不可抗力的，不能免除违约责任。</w:t>
      </w:r>
    </w:p>
    <w:p w14:paraId="648CE8C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十二、合同生效及其他</w:t>
      </w:r>
    </w:p>
    <w:p w14:paraId="3CE7DA6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本合同自甲乙双方法定代表人（或授权代表）签字（或盖章）并加盖公章之日起生效。</w:t>
      </w:r>
    </w:p>
    <w:p w14:paraId="17D880D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2. 本合同一式</w:t>
      </w:r>
      <w:r>
        <w:rPr>
          <w:rFonts w:hint="eastAsia" w:ascii="宋体" w:hAnsi="宋体" w:eastAsia="宋体" w:cs="宋体"/>
          <w:color w:val="000000"/>
          <w:spacing w:val="-3"/>
          <w:sz w:val="24"/>
          <w:szCs w:val="24"/>
          <w:u w:val="single"/>
        </w:rPr>
        <w:t xml:space="preserve"> 伍 </w:t>
      </w:r>
      <w:r>
        <w:rPr>
          <w:rFonts w:hint="eastAsia" w:ascii="宋体" w:hAnsi="宋体" w:eastAsia="宋体" w:cs="宋体"/>
          <w:color w:val="000000"/>
          <w:spacing w:val="-3"/>
          <w:sz w:val="24"/>
          <w:szCs w:val="24"/>
        </w:rPr>
        <w:t>份，甲方持</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u w:val="single"/>
          <w:lang w:val="en-US" w:eastAsia="zh-CN"/>
        </w:rPr>
        <w:t>贰</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rPr>
        <w:t>份，乙方持</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u w:val="single"/>
          <w:lang w:val="en-US" w:eastAsia="zh-CN"/>
        </w:rPr>
        <w:t>贰</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rPr>
        <w:t>份，招标代理公司备案</w:t>
      </w:r>
      <w:r>
        <w:rPr>
          <w:rFonts w:hint="eastAsia" w:ascii="宋体" w:hAnsi="宋体" w:eastAsia="宋体" w:cs="宋体"/>
          <w:color w:val="000000"/>
          <w:spacing w:val="-3"/>
          <w:sz w:val="24"/>
          <w:szCs w:val="24"/>
          <w:u w:val="single"/>
        </w:rPr>
        <w:t xml:space="preserve"> 壹 </w:t>
      </w:r>
      <w:r>
        <w:rPr>
          <w:rFonts w:hint="eastAsia" w:ascii="宋体" w:hAnsi="宋体" w:eastAsia="宋体" w:cs="宋体"/>
          <w:color w:val="000000"/>
          <w:spacing w:val="-3"/>
          <w:sz w:val="24"/>
          <w:szCs w:val="24"/>
        </w:rPr>
        <w:t>份</w:t>
      </w:r>
      <w:r>
        <w:rPr>
          <w:rFonts w:hint="eastAsia" w:ascii="宋体" w:hAnsi="宋体" w:eastAsia="宋体" w:cs="宋体"/>
          <w:color w:val="000000"/>
          <w:spacing w:val="-3"/>
          <w:sz w:val="24"/>
          <w:szCs w:val="24"/>
          <w:lang w:eastAsia="zh-CN"/>
        </w:rPr>
        <w:t>。</w:t>
      </w:r>
    </w:p>
    <w:p w14:paraId="78BEDF7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3</w:t>
      </w:r>
      <w:r>
        <w:rPr>
          <w:rFonts w:hint="eastAsia" w:ascii="宋体" w:hAnsi="宋体" w:eastAsia="宋体" w:cs="宋体"/>
          <w:color w:val="000000"/>
          <w:spacing w:val="-3"/>
          <w:sz w:val="24"/>
          <w:szCs w:val="24"/>
        </w:rPr>
        <w:t>. 本合同不得转包或分包给他人，否则甲方有权拒付本次成交货物的货款，同时没收乙方合同质保金并取消今后的投标资格。</w:t>
      </w:r>
    </w:p>
    <w:p w14:paraId="0FB02A4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甲方对履行合同的任何宽限仅表示其同意继续履行本合同，但不表示甲方放弃追究乙方违约责任的权利。除非甲方以书面形式明确声明做出放弃，否则，甲方不应被视为放弃根据本合同中的任何条款所享受的权利或利益。</w:t>
      </w:r>
    </w:p>
    <w:p w14:paraId="38C5035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十三、争议解决</w:t>
      </w:r>
    </w:p>
    <w:p w14:paraId="30C48B9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因产品的质量问题发生争议，由食品药品监督部门或其指定的鉴定机构进行鉴定。鉴定费由乙方承担；</w:t>
      </w:r>
    </w:p>
    <w:p w14:paraId="64FF923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凡执行本合同所发生的或与本合同有关的一切争议，依照《</w:t>
      </w:r>
      <w:r>
        <w:rPr>
          <w:rFonts w:hint="eastAsia" w:ascii="宋体" w:hAnsi="宋体" w:eastAsia="宋体" w:cs="宋体"/>
          <w:spacing w:val="-3"/>
          <w:sz w:val="24"/>
          <w:szCs w:val="24"/>
          <w:lang w:eastAsia="zh-CN"/>
        </w:rPr>
        <w:t>中华人民共和国民法典</w:t>
      </w:r>
      <w:r>
        <w:rPr>
          <w:rFonts w:hint="eastAsia" w:ascii="宋体" w:hAnsi="宋体" w:eastAsia="宋体" w:cs="宋体"/>
          <w:spacing w:val="-3"/>
          <w:sz w:val="24"/>
          <w:szCs w:val="24"/>
        </w:rPr>
        <w:t>》，在不违背本合同和</w:t>
      </w:r>
      <w:r>
        <w:rPr>
          <w:rFonts w:hint="eastAsia" w:ascii="宋体" w:hAnsi="宋体" w:eastAsia="宋体" w:cs="宋体"/>
          <w:spacing w:val="-3"/>
          <w:sz w:val="24"/>
          <w:szCs w:val="24"/>
          <w:lang w:val="en-US" w:eastAsia="zh-CN"/>
        </w:rPr>
        <w:t>磋商</w:t>
      </w:r>
      <w:r>
        <w:rPr>
          <w:rFonts w:hint="eastAsia" w:ascii="宋体" w:hAnsi="宋体" w:eastAsia="宋体" w:cs="宋体"/>
          <w:spacing w:val="-3"/>
          <w:sz w:val="24"/>
          <w:szCs w:val="24"/>
        </w:rPr>
        <w:t>文件的前提下，双方友好协商解决；协商结果以“纪要 ”形式作为合同附件，与合同具有同等效力。否则，双方均有权向向甲方所在地人民法院提请诉讼；</w:t>
      </w:r>
    </w:p>
    <w:p w14:paraId="5132C99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rPr>
      </w:pPr>
      <w:r>
        <w:rPr>
          <w:rFonts w:hint="eastAsia" w:ascii="宋体" w:hAnsi="宋体" w:eastAsia="宋体" w:cs="宋体"/>
          <w:spacing w:val="-3"/>
          <w:sz w:val="24"/>
          <w:szCs w:val="24"/>
        </w:rPr>
        <w:t>3</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在诉讼期间，除正在进行诉讼部分外，合同其他部分继续执行。</w:t>
      </w:r>
    </w:p>
    <w:p w14:paraId="17DD3CC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lang w:val="en-US" w:eastAsia="zh-CN"/>
        </w:rPr>
        <w:t>十四、</w:t>
      </w:r>
      <w:r>
        <w:rPr>
          <w:rFonts w:hint="eastAsia" w:ascii="宋体" w:hAnsi="宋体" w:eastAsia="宋体" w:cs="宋体"/>
          <w:b/>
          <w:bCs/>
          <w:spacing w:val="-3"/>
          <w:sz w:val="24"/>
          <w:szCs w:val="24"/>
        </w:rPr>
        <w:t>下列文件为本合同不可分割部分</w:t>
      </w:r>
    </w:p>
    <w:p w14:paraId="07F376E4">
      <w:pPr>
        <w:keepNext w:val="0"/>
        <w:keepLines w:val="0"/>
        <w:pageBreakBefore w:val="0"/>
        <w:widowControl w:val="0"/>
        <w:numPr>
          <w:ilvl w:val="0"/>
          <w:numId w:val="0"/>
        </w:numPr>
        <w:kinsoku/>
        <w:wordWrap/>
        <w:overflowPunct/>
        <w:topLinePunct w:val="0"/>
        <w:autoSpaceDE/>
        <w:autoSpaceDN/>
        <w:bidi w:val="0"/>
        <w:adjustRightInd/>
        <w:snapToGrid w:val="0"/>
        <w:spacing w:before="109" w:line="360" w:lineRule="auto"/>
        <w:ind w:leftChars="200" w:right="87" w:rightChars="0"/>
        <w:jc w:val="both"/>
        <w:textAlignment w:val="auto"/>
        <w:rPr>
          <w:rFonts w:hint="eastAsia" w:ascii="宋体" w:hAnsi="宋体" w:eastAsia="宋体" w:cs="宋体"/>
          <w:spacing w:val="-3"/>
          <w:sz w:val="24"/>
          <w:szCs w:val="24"/>
        </w:rPr>
      </w:pPr>
      <w:r>
        <w:rPr>
          <w:rFonts w:hint="eastAsia" w:ascii="宋体" w:hAnsi="宋体" w:cs="宋体"/>
          <w:spacing w:val="-1"/>
          <w:sz w:val="24"/>
          <w:szCs w:val="24"/>
          <w:lang w:val="en-US" w:eastAsia="zh-CN"/>
        </w:rPr>
        <w:t>1.</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磋商</w:t>
      </w:r>
      <w:r>
        <w:rPr>
          <w:rFonts w:ascii="宋体" w:hAnsi="宋体" w:eastAsia="宋体" w:cs="宋体"/>
          <w:spacing w:val="-1"/>
          <w:sz w:val="24"/>
          <w:szCs w:val="24"/>
        </w:rPr>
        <w:t>文件》</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2.乙方响应文件</w:t>
      </w:r>
      <w:r>
        <w:rPr>
          <w:rFonts w:hint="eastAsia" w:ascii="宋体" w:hAnsi="宋体" w:eastAsia="宋体" w:cs="宋体"/>
          <w:spacing w:val="-3"/>
          <w:sz w:val="24"/>
          <w:szCs w:val="24"/>
          <w:lang w:val="en-US" w:eastAsia="zh-CN"/>
        </w:rPr>
        <w:t xml:space="preserve"> 3.</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成交</w:t>
      </w:r>
      <w:r>
        <w:rPr>
          <w:rFonts w:ascii="宋体" w:hAnsi="宋体" w:eastAsia="宋体" w:cs="宋体"/>
          <w:spacing w:val="-1"/>
          <w:sz w:val="24"/>
          <w:szCs w:val="24"/>
        </w:rPr>
        <w:t>通知书》</w:t>
      </w:r>
      <w:r>
        <w:rPr>
          <w:rFonts w:hint="eastAsia" w:ascii="宋体" w:hAnsi="宋体" w:cs="宋体"/>
          <w:spacing w:val="-1"/>
          <w:sz w:val="24"/>
          <w:szCs w:val="24"/>
          <w:lang w:val="en-US" w:eastAsia="zh-CN"/>
        </w:rPr>
        <w:t xml:space="preserve"> </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.合同附件</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5.其他</w:t>
      </w:r>
    </w:p>
    <w:p w14:paraId="7C45DB4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甲方（</w:t>
      </w:r>
      <w:r>
        <w:rPr>
          <w:rFonts w:hint="eastAsia" w:ascii="宋体" w:hAnsi="宋体" w:eastAsia="宋体" w:cs="宋体"/>
          <w:spacing w:val="-3"/>
          <w:sz w:val="24"/>
          <w:szCs w:val="24"/>
          <w:lang w:val="en-US" w:eastAsia="zh-CN"/>
        </w:rPr>
        <w:t>签</w:t>
      </w:r>
      <w:r>
        <w:rPr>
          <w:rFonts w:hint="eastAsia" w:ascii="宋体" w:hAnsi="宋体" w:eastAsia="宋体" w:cs="宋体"/>
          <w:spacing w:val="-3"/>
          <w:sz w:val="24"/>
          <w:szCs w:val="24"/>
        </w:rPr>
        <w:t xml:space="preserve">章）：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  乙方（签章）：</w:t>
      </w:r>
    </w:p>
    <w:p w14:paraId="720BFAF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法人或授权委托人签字：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法人或授权委托人签字：</w:t>
      </w:r>
    </w:p>
    <w:p w14:paraId="32700E4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联系电话：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联系电话：</w:t>
      </w:r>
    </w:p>
    <w:p w14:paraId="16DA6C9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签订时间： </w:t>
      </w:r>
    </w:p>
    <w:p w14:paraId="74AC6CFF">
      <w:pPr>
        <w:pStyle w:val="2"/>
        <w:bidi w:val="0"/>
        <w:jc w:val="center"/>
        <w:rPr>
          <w:rFonts w:hint="eastAsia"/>
          <w:lang w:val="en-US" w:eastAsia="zh-CN"/>
        </w:rPr>
      </w:pPr>
      <w:bookmarkStart w:id="184" w:name="_Toc28980"/>
      <w:r>
        <w:rPr>
          <w:rFonts w:hint="eastAsia"/>
        </w:rPr>
        <w:t>第六章 响应文件格式</w:t>
      </w:r>
      <w:bookmarkEnd w:id="184"/>
    </w:p>
    <w:p w14:paraId="7E7F14A6">
      <w:pPr>
        <w:widowControl w:val="0"/>
        <w:spacing w:line="360" w:lineRule="auto"/>
        <w:ind w:firstLine="1269" w:firstLineChars="395"/>
        <w:jc w:val="center"/>
        <w:rPr>
          <w:rFonts w:ascii="宋体" w:hAnsi="宋体" w:cs="宋体"/>
          <w:b/>
          <w:kern w:val="2"/>
          <w:sz w:val="32"/>
          <w:szCs w:val="32"/>
          <w:u w:val="single"/>
        </w:rPr>
      </w:pPr>
    </w:p>
    <w:p w14:paraId="1F956C3A">
      <w:pPr>
        <w:widowControl w:val="0"/>
        <w:spacing w:line="360" w:lineRule="auto"/>
        <w:jc w:val="center"/>
        <w:rPr>
          <w:rFonts w:hint="eastAsia" w:ascii="宋体" w:hAnsi="宋体" w:eastAsiaTheme="minorEastAsia"/>
          <w:b/>
          <w:sz w:val="40"/>
          <w:szCs w:val="40"/>
          <w:lang w:eastAsia="zh-CN"/>
        </w:rPr>
      </w:pPr>
      <w:r>
        <w:rPr>
          <w:rFonts w:hint="eastAsia" w:ascii="宋体" w:hAnsi="宋体" w:cs="宋体"/>
          <w:b/>
          <w:kern w:val="2"/>
          <w:sz w:val="40"/>
          <w:szCs w:val="40"/>
        </w:rPr>
        <w:t>项目名称</w:t>
      </w:r>
      <w:r>
        <w:rPr>
          <w:rFonts w:hint="eastAsia" w:ascii="宋体" w:hAnsi="宋体" w:cs="宋体"/>
          <w:b/>
          <w:kern w:val="2"/>
          <w:sz w:val="40"/>
          <w:szCs w:val="40"/>
          <w:lang w:eastAsia="zh-CN"/>
        </w:rPr>
        <w:t>：</w:t>
      </w:r>
    </w:p>
    <w:p w14:paraId="0728CC8A">
      <w:pPr>
        <w:widowControl w:val="0"/>
        <w:spacing w:line="360" w:lineRule="auto"/>
        <w:ind w:firstLine="1586" w:firstLineChars="395"/>
        <w:jc w:val="center"/>
        <w:rPr>
          <w:rFonts w:ascii="宋体" w:hAnsi="宋体"/>
          <w:b/>
          <w:sz w:val="40"/>
          <w:szCs w:val="40"/>
        </w:rPr>
      </w:pPr>
    </w:p>
    <w:p w14:paraId="1408566F">
      <w:pPr>
        <w:widowControl w:val="0"/>
        <w:spacing w:line="360" w:lineRule="auto"/>
        <w:ind w:firstLine="1988" w:firstLineChars="495"/>
        <w:jc w:val="center"/>
        <w:rPr>
          <w:rFonts w:ascii="宋体" w:hAnsi="宋体" w:cs="宋体"/>
          <w:b/>
          <w:kern w:val="2"/>
          <w:sz w:val="40"/>
          <w:szCs w:val="40"/>
        </w:rPr>
      </w:pPr>
      <w:bookmarkStart w:id="185" w:name="_Toc453139657"/>
      <w:bookmarkEnd w:id="185"/>
    </w:p>
    <w:p w14:paraId="6943E76F">
      <w:pPr>
        <w:widowControl w:val="0"/>
        <w:spacing w:line="360" w:lineRule="auto"/>
        <w:jc w:val="center"/>
        <w:rPr>
          <w:rFonts w:ascii="宋体" w:hAnsi="宋体"/>
          <w:b/>
          <w:sz w:val="40"/>
          <w:szCs w:val="40"/>
        </w:rPr>
      </w:pPr>
      <w:r>
        <w:rPr>
          <w:rFonts w:hint="eastAsia" w:ascii="宋体" w:hAnsi="宋体" w:cs="宋体"/>
          <w:b/>
          <w:kern w:val="2"/>
          <w:sz w:val="40"/>
          <w:szCs w:val="40"/>
        </w:rPr>
        <w:t>响</w:t>
      </w:r>
      <w:r>
        <w:rPr>
          <w:rFonts w:hint="eastAsia" w:ascii="宋体" w:hAnsi="宋体" w:cs="宋体"/>
          <w:b/>
          <w:kern w:val="2"/>
          <w:sz w:val="40"/>
          <w:szCs w:val="40"/>
          <w:lang w:val="en-US" w:eastAsia="zh-CN"/>
        </w:rPr>
        <w:t xml:space="preserve"> </w:t>
      </w:r>
      <w:r>
        <w:rPr>
          <w:rFonts w:hint="eastAsia" w:ascii="宋体" w:hAnsi="宋体" w:cs="宋体"/>
          <w:b/>
          <w:kern w:val="2"/>
          <w:sz w:val="40"/>
          <w:szCs w:val="40"/>
        </w:rPr>
        <w:t>应</w:t>
      </w:r>
      <w:r>
        <w:rPr>
          <w:rFonts w:hint="eastAsia" w:ascii="宋体" w:hAnsi="宋体" w:cs="宋体"/>
          <w:b/>
          <w:kern w:val="2"/>
          <w:sz w:val="40"/>
          <w:szCs w:val="40"/>
          <w:lang w:val="en-US" w:eastAsia="zh-CN"/>
        </w:rPr>
        <w:t xml:space="preserve"> </w:t>
      </w:r>
      <w:r>
        <w:rPr>
          <w:rFonts w:hint="eastAsia" w:ascii="宋体" w:hAnsi="宋体" w:cs="宋体"/>
          <w:b/>
          <w:kern w:val="2"/>
          <w:sz w:val="40"/>
          <w:szCs w:val="40"/>
        </w:rPr>
        <w:t>文</w:t>
      </w:r>
      <w:r>
        <w:rPr>
          <w:rFonts w:hint="eastAsia" w:ascii="宋体" w:hAnsi="宋体" w:cs="宋体"/>
          <w:b/>
          <w:kern w:val="2"/>
          <w:sz w:val="40"/>
          <w:szCs w:val="40"/>
          <w:lang w:val="en-US" w:eastAsia="zh-CN"/>
        </w:rPr>
        <w:t xml:space="preserve"> </w:t>
      </w:r>
      <w:r>
        <w:rPr>
          <w:rFonts w:hint="eastAsia" w:ascii="宋体" w:hAnsi="宋体" w:cs="宋体"/>
          <w:b/>
          <w:kern w:val="2"/>
          <w:sz w:val="40"/>
          <w:szCs w:val="40"/>
        </w:rPr>
        <w:t>件</w:t>
      </w:r>
    </w:p>
    <w:p w14:paraId="3A785A7C">
      <w:pPr>
        <w:widowControl w:val="0"/>
        <w:spacing w:line="360" w:lineRule="auto"/>
        <w:ind w:firstLine="1787" w:firstLineChars="445"/>
        <w:jc w:val="center"/>
        <w:rPr>
          <w:rFonts w:ascii="宋体" w:hAnsi="宋体"/>
          <w:b/>
          <w:sz w:val="40"/>
          <w:szCs w:val="40"/>
        </w:rPr>
      </w:pPr>
    </w:p>
    <w:p w14:paraId="71CDA96E">
      <w:pPr>
        <w:widowControl w:val="0"/>
        <w:spacing w:line="360" w:lineRule="auto"/>
        <w:ind w:firstLine="1787" w:firstLineChars="445"/>
        <w:jc w:val="center"/>
        <w:rPr>
          <w:rFonts w:ascii="宋体" w:hAnsi="宋体"/>
          <w:b/>
          <w:sz w:val="40"/>
          <w:szCs w:val="40"/>
        </w:rPr>
      </w:pPr>
    </w:p>
    <w:p w14:paraId="0960C2A1">
      <w:pPr>
        <w:widowControl w:val="0"/>
        <w:spacing w:line="360" w:lineRule="auto"/>
        <w:jc w:val="center"/>
        <w:rPr>
          <w:rFonts w:ascii="宋体" w:hAnsi="宋体"/>
          <w:b/>
          <w:sz w:val="40"/>
          <w:szCs w:val="40"/>
        </w:rPr>
      </w:pPr>
      <w:r>
        <w:rPr>
          <w:rFonts w:hint="eastAsia" w:ascii="宋体" w:hAnsi="宋体" w:cs="宋体"/>
          <w:b/>
          <w:kern w:val="2"/>
          <w:sz w:val="40"/>
          <w:szCs w:val="40"/>
        </w:rPr>
        <w:t>项目编号：</w:t>
      </w:r>
    </w:p>
    <w:p w14:paraId="6E9B36A1">
      <w:pPr>
        <w:widowControl w:val="0"/>
        <w:spacing w:line="360" w:lineRule="auto"/>
        <w:jc w:val="left"/>
        <w:rPr>
          <w:rFonts w:ascii="宋体" w:hAnsi="宋体"/>
          <w:sz w:val="32"/>
          <w:szCs w:val="32"/>
        </w:rPr>
      </w:pPr>
    </w:p>
    <w:p w14:paraId="632C4864">
      <w:pPr>
        <w:widowControl w:val="0"/>
        <w:spacing w:line="360" w:lineRule="auto"/>
        <w:jc w:val="left"/>
        <w:rPr>
          <w:rFonts w:ascii="宋体" w:hAnsi="宋体"/>
          <w:sz w:val="32"/>
          <w:szCs w:val="32"/>
        </w:rPr>
      </w:pPr>
    </w:p>
    <w:p w14:paraId="27E41D7A">
      <w:pPr>
        <w:widowControl w:val="0"/>
        <w:spacing w:line="360" w:lineRule="auto"/>
        <w:jc w:val="left"/>
        <w:rPr>
          <w:rFonts w:ascii="宋体" w:hAnsi="宋体"/>
          <w:sz w:val="32"/>
          <w:szCs w:val="32"/>
        </w:rPr>
      </w:pPr>
    </w:p>
    <w:p w14:paraId="12D023EF">
      <w:pPr>
        <w:widowControl w:val="0"/>
        <w:spacing w:line="360" w:lineRule="auto"/>
        <w:jc w:val="left"/>
        <w:rPr>
          <w:rFonts w:ascii="宋体" w:hAnsi="宋体"/>
          <w:sz w:val="32"/>
          <w:szCs w:val="32"/>
        </w:rPr>
      </w:pPr>
    </w:p>
    <w:p w14:paraId="127A9FB0">
      <w:pPr>
        <w:widowControl w:val="0"/>
        <w:tabs>
          <w:tab w:val="left" w:pos="0"/>
        </w:tabs>
        <w:autoSpaceDE w:val="0"/>
        <w:autoSpaceDN w:val="0"/>
        <w:adjustRightInd w:val="0"/>
        <w:spacing w:line="360" w:lineRule="auto"/>
        <w:ind w:right="-212" w:firstLine="448" w:firstLineChars="140"/>
        <w:jc w:val="left"/>
        <w:rPr>
          <w:rFonts w:hint="eastAsia" w:ascii="宋体" w:hAnsi="宋体" w:cs="宋体"/>
          <w:color w:val="000000"/>
          <w:kern w:val="0"/>
          <w:sz w:val="32"/>
          <w:szCs w:val="32"/>
          <w:lang w:eastAsia="zh-CN"/>
        </w:rPr>
      </w:pPr>
    </w:p>
    <w:p w14:paraId="28A2F9D5">
      <w:pPr>
        <w:widowControl w:val="0"/>
        <w:tabs>
          <w:tab w:val="left" w:pos="0"/>
        </w:tabs>
        <w:autoSpaceDE w:val="0"/>
        <w:autoSpaceDN w:val="0"/>
        <w:adjustRightInd w:val="0"/>
        <w:spacing w:line="360" w:lineRule="auto"/>
        <w:ind w:right="-212" w:firstLine="448" w:firstLineChars="140"/>
        <w:jc w:val="left"/>
        <w:rPr>
          <w:rFonts w:hint="eastAsia" w:ascii="宋体" w:hAnsi="宋体" w:cs="宋体"/>
          <w:color w:val="000000"/>
          <w:kern w:val="0"/>
          <w:sz w:val="32"/>
          <w:szCs w:val="32"/>
          <w:lang w:eastAsia="zh-CN"/>
        </w:rPr>
      </w:pPr>
    </w:p>
    <w:p w14:paraId="4996E699">
      <w:pPr>
        <w:widowControl w:val="0"/>
        <w:tabs>
          <w:tab w:val="left" w:pos="0"/>
        </w:tabs>
        <w:autoSpaceDE w:val="0"/>
        <w:autoSpaceDN w:val="0"/>
        <w:adjustRightInd w:val="0"/>
        <w:spacing w:line="360" w:lineRule="auto"/>
        <w:ind w:right="-212" w:firstLine="448" w:firstLineChars="140"/>
        <w:jc w:val="left"/>
        <w:rPr>
          <w:rFonts w:hint="eastAsia" w:ascii="宋体" w:hAnsi="宋体" w:cs="宋体"/>
          <w:color w:val="000000"/>
          <w:kern w:val="0"/>
          <w:sz w:val="32"/>
          <w:szCs w:val="32"/>
          <w:lang w:eastAsia="zh-CN"/>
        </w:rPr>
      </w:pPr>
    </w:p>
    <w:p w14:paraId="1E22528B">
      <w:pPr>
        <w:widowControl w:val="0"/>
        <w:spacing w:line="360" w:lineRule="auto"/>
        <w:ind w:firstLine="1590" w:firstLineChars="495"/>
        <w:jc w:val="left"/>
        <w:rPr>
          <w:rFonts w:hint="eastAsia" w:ascii="宋体" w:hAnsi="宋体" w:eastAsia="宋体" w:cs="宋体"/>
          <w:b/>
          <w:kern w:val="2"/>
          <w:sz w:val="32"/>
          <w:szCs w:val="32"/>
          <w:lang w:eastAsia="zh-CN"/>
        </w:rPr>
      </w:pPr>
    </w:p>
    <w:p w14:paraId="4E2A5FC6">
      <w:pPr>
        <w:widowControl w:val="0"/>
        <w:spacing w:line="360" w:lineRule="auto"/>
        <w:ind w:firstLine="1124" w:firstLineChars="400"/>
        <w:jc w:val="left"/>
        <w:rPr>
          <w:rFonts w:hint="eastAsia" w:ascii="宋体" w:hAnsi="宋体" w:eastAsia="宋体" w:cs="宋体"/>
          <w:b/>
          <w:kern w:val="2"/>
          <w:sz w:val="28"/>
          <w:szCs w:val="28"/>
        </w:rPr>
      </w:pPr>
      <w:r>
        <w:rPr>
          <w:rFonts w:hint="eastAsia" w:ascii="宋体" w:hAnsi="宋体" w:eastAsia="宋体" w:cs="宋体"/>
          <w:b/>
          <w:kern w:val="2"/>
          <w:sz w:val="28"/>
          <w:szCs w:val="28"/>
          <w:lang w:eastAsia="zh-CN"/>
        </w:rPr>
        <w:t>供应商</w:t>
      </w:r>
      <w:r>
        <w:rPr>
          <w:rFonts w:hint="eastAsia" w:ascii="宋体" w:hAnsi="宋体" w:eastAsia="宋体" w:cs="宋体"/>
          <w:b/>
          <w:kern w:val="2"/>
          <w:sz w:val="28"/>
          <w:szCs w:val="28"/>
        </w:rPr>
        <w:t>：（盖</w:t>
      </w:r>
      <w:r>
        <w:rPr>
          <w:rFonts w:hint="eastAsia" w:ascii="宋体" w:hAnsi="宋体" w:eastAsia="宋体" w:cs="宋体"/>
          <w:b/>
          <w:kern w:val="2"/>
          <w:sz w:val="28"/>
          <w:szCs w:val="28"/>
          <w:lang w:val="en-US" w:eastAsia="zh-CN"/>
        </w:rPr>
        <w:t>电子</w:t>
      </w:r>
      <w:r>
        <w:rPr>
          <w:rFonts w:hint="eastAsia" w:ascii="宋体" w:hAnsi="宋体" w:eastAsia="宋体" w:cs="宋体"/>
          <w:b/>
          <w:kern w:val="2"/>
          <w:sz w:val="28"/>
          <w:szCs w:val="28"/>
        </w:rPr>
        <w:t>章）</w:t>
      </w:r>
      <w:r>
        <w:rPr>
          <w:rFonts w:hint="eastAsia" w:ascii="宋体" w:hAnsi="宋体" w:cs="宋体"/>
          <w:b/>
          <w:bCs/>
          <w:kern w:val="1"/>
          <w:sz w:val="28"/>
          <w:szCs w:val="28"/>
          <w:u w:val="single"/>
        </w:rPr>
        <w:t xml:space="preserve">                    </w:t>
      </w:r>
    </w:p>
    <w:p w14:paraId="3E8024CB">
      <w:pPr>
        <w:widowControl w:val="0"/>
        <w:spacing w:line="360" w:lineRule="auto"/>
        <w:ind w:firstLine="1124" w:firstLineChars="400"/>
        <w:jc w:val="left"/>
        <w:rPr>
          <w:rFonts w:hint="eastAsia" w:ascii="宋体" w:hAnsi="宋体" w:eastAsia="宋体" w:cs="宋体"/>
          <w:b/>
          <w:kern w:val="2"/>
          <w:sz w:val="28"/>
          <w:szCs w:val="28"/>
        </w:rPr>
      </w:pPr>
      <w:r>
        <w:rPr>
          <w:rFonts w:hint="eastAsia" w:ascii="宋体" w:hAnsi="宋体" w:eastAsia="宋体" w:cs="宋体"/>
          <w:b/>
          <w:kern w:val="2"/>
          <w:sz w:val="28"/>
          <w:szCs w:val="28"/>
        </w:rPr>
        <w:t>法定代表人或其委托代理人：（签字或盖章）</w:t>
      </w:r>
      <w:r>
        <w:rPr>
          <w:rFonts w:hint="eastAsia" w:ascii="宋体" w:hAnsi="宋体" w:cs="宋体"/>
          <w:b/>
          <w:bCs/>
          <w:kern w:val="1"/>
          <w:sz w:val="28"/>
          <w:szCs w:val="28"/>
          <w:u w:val="single"/>
        </w:rPr>
        <w:t xml:space="preserve">        </w:t>
      </w:r>
    </w:p>
    <w:p w14:paraId="2D77C054">
      <w:pPr>
        <w:widowControl w:val="0"/>
        <w:spacing w:line="360" w:lineRule="auto"/>
        <w:ind w:firstLine="1124" w:firstLineChars="400"/>
        <w:jc w:val="left"/>
        <w:rPr>
          <w:rFonts w:hint="eastAsia" w:ascii="宋体" w:hAnsi="宋体" w:eastAsia="宋体" w:cs="宋体"/>
          <w:b/>
          <w:kern w:val="2"/>
          <w:sz w:val="28"/>
          <w:szCs w:val="28"/>
        </w:rPr>
      </w:pPr>
      <w:r>
        <w:rPr>
          <w:rFonts w:hint="eastAsia" w:ascii="宋体" w:hAnsi="宋体" w:eastAsia="宋体" w:cs="宋体"/>
          <w:b/>
          <w:kern w:val="2"/>
          <w:sz w:val="28"/>
          <w:szCs w:val="28"/>
        </w:rPr>
        <w:t>日</w:t>
      </w:r>
      <w:r>
        <w:rPr>
          <w:rFonts w:hint="eastAsia" w:ascii="宋体" w:hAnsi="宋体" w:eastAsia="宋体" w:cs="宋体"/>
          <w:b/>
          <w:kern w:val="2"/>
          <w:sz w:val="28"/>
          <w:szCs w:val="28"/>
          <w:lang w:val="en-US" w:eastAsia="zh-CN"/>
        </w:rPr>
        <w:t xml:space="preserve">    </w:t>
      </w:r>
      <w:r>
        <w:rPr>
          <w:rFonts w:hint="eastAsia" w:ascii="宋体" w:hAnsi="宋体" w:eastAsia="宋体" w:cs="宋体"/>
          <w:b/>
          <w:kern w:val="2"/>
          <w:sz w:val="28"/>
          <w:szCs w:val="28"/>
        </w:rPr>
        <w:t>期：</w:t>
      </w:r>
      <w:r>
        <w:rPr>
          <w:rFonts w:hint="eastAsia" w:ascii="宋体" w:hAnsi="宋体" w:cs="宋体"/>
          <w:b/>
          <w:bCs/>
          <w:kern w:val="1"/>
          <w:sz w:val="28"/>
          <w:szCs w:val="28"/>
          <w:u w:val="single"/>
        </w:rPr>
        <w:t xml:space="preserve">      </w:t>
      </w:r>
      <w:r>
        <w:rPr>
          <w:rFonts w:hint="eastAsia" w:ascii="宋体" w:hAnsi="宋体" w:eastAsia="宋体" w:cs="宋体"/>
          <w:b/>
          <w:kern w:val="2"/>
          <w:sz w:val="28"/>
          <w:szCs w:val="28"/>
        </w:rPr>
        <w:t>年</w:t>
      </w:r>
      <w:r>
        <w:rPr>
          <w:rFonts w:hint="eastAsia" w:ascii="宋体" w:hAnsi="宋体" w:cs="宋体"/>
          <w:b/>
          <w:bCs/>
          <w:kern w:val="1"/>
          <w:sz w:val="28"/>
          <w:szCs w:val="28"/>
          <w:u w:val="single"/>
        </w:rPr>
        <w:t xml:space="preserve">     </w:t>
      </w:r>
      <w:r>
        <w:rPr>
          <w:rFonts w:hint="eastAsia" w:ascii="宋体" w:hAnsi="宋体" w:eastAsia="宋体" w:cs="宋体"/>
          <w:b/>
          <w:kern w:val="2"/>
          <w:sz w:val="28"/>
          <w:szCs w:val="28"/>
        </w:rPr>
        <w:t>月</w:t>
      </w:r>
      <w:r>
        <w:rPr>
          <w:rFonts w:hint="eastAsia" w:ascii="宋体" w:hAnsi="宋体" w:cs="宋体"/>
          <w:b/>
          <w:bCs/>
          <w:kern w:val="1"/>
          <w:sz w:val="28"/>
          <w:szCs w:val="28"/>
          <w:u w:val="single"/>
        </w:rPr>
        <w:t xml:space="preserve">      </w:t>
      </w:r>
      <w:r>
        <w:rPr>
          <w:rFonts w:hint="eastAsia" w:ascii="宋体" w:hAnsi="宋体" w:eastAsia="宋体" w:cs="宋体"/>
          <w:b/>
          <w:kern w:val="2"/>
          <w:sz w:val="28"/>
          <w:szCs w:val="28"/>
        </w:rPr>
        <w:t>日</w:t>
      </w:r>
    </w:p>
    <w:p w14:paraId="5D45A85F">
      <w:pPr>
        <w:rPr>
          <w:rFonts w:hint="default"/>
          <w:lang w:val="en-US" w:eastAsia="zh-CN"/>
        </w:rPr>
      </w:pPr>
    </w:p>
    <w:p w14:paraId="7BADE102">
      <w:pPr>
        <w:rPr>
          <w:rFonts w:hint="default"/>
          <w:lang w:val="en-US" w:eastAsia="zh-CN"/>
        </w:rPr>
      </w:pPr>
    </w:p>
    <w:p w14:paraId="29A709B3">
      <w:pPr>
        <w:rPr>
          <w:rFonts w:hint="default"/>
          <w:lang w:val="en-US" w:eastAsia="zh-CN"/>
        </w:rPr>
      </w:pPr>
    </w:p>
    <w:p w14:paraId="1CD3135A">
      <w:pPr>
        <w:jc w:val="center"/>
        <w:rPr>
          <w:rFonts w:hint="eastAsia" w:ascii="宋体" w:hAnsi="宋体" w:cs="宋体"/>
          <w:b/>
          <w:sz w:val="28"/>
          <w:szCs w:val="28"/>
        </w:rPr>
      </w:pPr>
      <w:r>
        <w:rPr>
          <w:rFonts w:hint="eastAsia" w:ascii="宋体" w:hAnsi="宋体" w:cs="宋体"/>
          <w:b/>
          <w:sz w:val="28"/>
          <w:szCs w:val="28"/>
        </w:rPr>
        <w:t>目录</w:t>
      </w:r>
    </w:p>
    <w:p w14:paraId="0302DFCF">
      <w:pPr>
        <w:jc w:val="center"/>
        <w:rPr>
          <w:rFonts w:hint="eastAsia" w:ascii="宋体" w:hAnsi="宋体" w:cs="宋体"/>
          <w:b/>
          <w:sz w:val="28"/>
          <w:szCs w:val="28"/>
          <w:lang w:val="en-US" w:eastAsia="zh-CN"/>
        </w:rPr>
      </w:pPr>
      <w:r>
        <w:rPr>
          <w:rFonts w:hint="eastAsia" w:ascii="宋体" w:hAnsi="宋体" w:cs="宋体"/>
          <w:b/>
          <w:sz w:val="28"/>
          <w:szCs w:val="28"/>
          <w:lang w:val="en-US" w:eastAsia="zh-CN"/>
        </w:rPr>
        <w:t>(格式自拟)</w:t>
      </w:r>
    </w:p>
    <w:p w14:paraId="3EEFC98D">
      <w:pPr>
        <w:rPr>
          <w:rFonts w:hint="default"/>
          <w:lang w:val="en-US" w:eastAsia="zh-CN"/>
        </w:rPr>
      </w:pPr>
    </w:p>
    <w:p w14:paraId="4F1AE267">
      <w:pPr>
        <w:rPr>
          <w:rFonts w:hint="default"/>
          <w:lang w:val="en-US" w:eastAsia="zh-CN"/>
        </w:rPr>
      </w:pPr>
    </w:p>
    <w:p w14:paraId="3608BD94">
      <w:pPr>
        <w:rPr>
          <w:rFonts w:hint="default"/>
          <w:lang w:val="en-US" w:eastAsia="zh-CN"/>
        </w:rPr>
      </w:pPr>
    </w:p>
    <w:p w14:paraId="3B93533A">
      <w:pPr>
        <w:rPr>
          <w:rFonts w:hint="default"/>
          <w:lang w:val="en-US" w:eastAsia="zh-CN"/>
        </w:rPr>
      </w:pPr>
    </w:p>
    <w:p w14:paraId="598E76EE">
      <w:pPr>
        <w:rPr>
          <w:rFonts w:hint="default"/>
          <w:lang w:val="en-US" w:eastAsia="zh-CN"/>
        </w:rPr>
      </w:pPr>
    </w:p>
    <w:p w14:paraId="4C9A6487">
      <w:pPr>
        <w:rPr>
          <w:rFonts w:hint="default"/>
          <w:lang w:val="en-US" w:eastAsia="zh-CN"/>
        </w:rPr>
      </w:pPr>
    </w:p>
    <w:p w14:paraId="07470906">
      <w:pPr>
        <w:rPr>
          <w:rFonts w:hint="default"/>
          <w:lang w:val="en-US" w:eastAsia="zh-CN"/>
        </w:rPr>
      </w:pPr>
    </w:p>
    <w:p w14:paraId="6ABA88F6">
      <w:pPr>
        <w:rPr>
          <w:rFonts w:hint="default"/>
          <w:lang w:val="en-US" w:eastAsia="zh-CN"/>
        </w:rPr>
      </w:pPr>
    </w:p>
    <w:p w14:paraId="1E8F27E6">
      <w:pPr>
        <w:rPr>
          <w:rFonts w:hint="default"/>
          <w:lang w:val="en-US" w:eastAsia="zh-CN"/>
        </w:rPr>
      </w:pPr>
    </w:p>
    <w:p w14:paraId="0D171D42">
      <w:pPr>
        <w:rPr>
          <w:rFonts w:hint="default"/>
          <w:lang w:val="en-US" w:eastAsia="zh-CN"/>
        </w:rPr>
      </w:pPr>
    </w:p>
    <w:p w14:paraId="69EA3D1D">
      <w:pPr>
        <w:rPr>
          <w:rFonts w:hint="default"/>
          <w:lang w:val="en-US" w:eastAsia="zh-CN"/>
        </w:rPr>
      </w:pPr>
    </w:p>
    <w:p w14:paraId="233B059E">
      <w:pPr>
        <w:rPr>
          <w:rFonts w:hint="default"/>
          <w:lang w:val="en-US" w:eastAsia="zh-CN"/>
        </w:rPr>
      </w:pPr>
    </w:p>
    <w:p w14:paraId="1DA1E0D8">
      <w:pPr>
        <w:rPr>
          <w:rFonts w:hint="default"/>
          <w:lang w:val="en-US" w:eastAsia="zh-CN"/>
        </w:rPr>
      </w:pPr>
    </w:p>
    <w:p w14:paraId="58676CB5">
      <w:pPr>
        <w:rPr>
          <w:rFonts w:hint="default"/>
          <w:lang w:val="en-US" w:eastAsia="zh-CN"/>
        </w:rPr>
      </w:pPr>
    </w:p>
    <w:p w14:paraId="7D1CB6A5">
      <w:pPr>
        <w:rPr>
          <w:rFonts w:hint="default"/>
          <w:lang w:val="en-US" w:eastAsia="zh-CN"/>
        </w:rPr>
      </w:pPr>
    </w:p>
    <w:p w14:paraId="3CB82D11">
      <w:pPr>
        <w:rPr>
          <w:rFonts w:hint="default"/>
          <w:lang w:val="en-US" w:eastAsia="zh-CN"/>
        </w:rPr>
      </w:pPr>
    </w:p>
    <w:p w14:paraId="2A145267">
      <w:pPr>
        <w:rPr>
          <w:rFonts w:hint="default"/>
          <w:lang w:val="en-US" w:eastAsia="zh-CN"/>
        </w:rPr>
      </w:pPr>
    </w:p>
    <w:p w14:paraId="5D73514D">
      <w:pPr>
        <w:rPr>
          <w:rFonts w:hint="default"/>
          <w:lang w:val="en-US" w:eastAsia="zh-CN"/>
        </w:rPr>
      </w:pPr>
    </w:p>
    <w:p w14:paraId="79023893">
      <w:pPr>
        <w:rPr>
          <w:rFonts w:hint="default"/>
          <w:lang w:val="en-US" w:eastAsia="zh-CN"/>
        </w:rPr>
      </w:pPr>
    </w:p>
    <w:p w14:paraId="2145391B">
      <w:pPr>
        <w:rPr>
          <w:rFonts w:hint="default"/>
          <w:lang w:val="en-US" w:eastAsia="zh-CN"/>
        </w:rPr>
      </w:pPr>
    </w:p>
    <w:p w14:paraId="4FD835D9">
      <w:pPr>
        <w:rPr>
          <w:rFonts w:hint="default"/>
          <w:lang w:val="en-US" w:eastAsia="zh-CN"/>
        </w:rPr>
      </w:pPr>
    </w:p>
    <w:p w14:paraId="0C431781">
      <w:pPr>
        <w:rPr>
          <w:rFonts w:hint="default"/>
          <w:lang w:val="en-US" w:eastAsia="zh-CN"/>
        </w:rPr>
      </w:pPr>
    </w:p>
    <w:p w14:paraId="7220D303">
      <w:pPr>
        <w:rPr>
          <w:rFonts w:hint="default"/>
          <w:lang w:val="en-US" w:eastAsia="zh-CN"/>
        </w:rPr>
      </w:pPr>
    </w:p>
    <w:p w14:paraId="619DFDEF">
      <w:pPr>
        <w:rPr>
          <w:rFonts w:hint="default"/>
          <w:lang w:val="en-US" w:eastAsia="zh-CN"/>
        </w:rPr>
      </w:pPr>
    </w:p>
    <w:p w14:paraId="50B45EA6">
      <w:pPr>
        <w:rPr>
          <w:rFonts w:hint="default"/>
          <w:lang w:val="en-US" w:eastAsia="zh-CN"/>
        </w:rPr>
      </w:pPr>
    </w:p>
    <w:p w14:paraId="49A99915">
      <w:pPr>
        <w:rPr>
          <w:rFonts w:hint="default"/>
          <w:lang w:val="en-US" w:eastAsia="zh-CN"/>
        </w:rPr>
      </w:pPr>
    </w:p>
    <w:p w14:paraId="482CC8A4">
      <w:pPr>
        <w:rPr>
          <w:rFonts w:hint="default"/>
          <w:lang w:val="en-US" w:eastAsia="zh-CN"/>
        </w:rPr>
      </w:pPr>
    </w:p>
    <w:p w14:paraId="2E105F8D">
      <w:pPr>
        <w:rPr>
          <w:rFonts w:hint="default"/>
          <w:lang w:val="en-US" w:eastAsia="zh-CN"/>
        </w:rPr>
      </w:pPr>
    </w:p>
    <w:p w14:paraId="6EEB741F">
      <w:pPr>
        <w:rPr>
          <w:rFonts w:hint="default"/>
          <w:lang w:val="en-US" w:eastAsia="zh-CN"/>
        </w:rPr>
      </w:pPr>
    </w:p>
    <w:p w14:paraId="62CC117F">
      <w:pPr>
        <w:rPr>
          <w:rFonts w:hint="default"/>
          <w:lang w:val="en-US" w:eastAsia="zh-CN"/>
        </w:rPr>
      </w:pPr>
    </w:p>
    <w:p w14:paraId="0ACFB133">
      <w:pPr>
        <w:rPr>
          <w:rFonts w:hint="default"/>
          <w:lang w:val="en-US" w:eastAsia="zh-CN"/>
        </w:rPr>
      </w:pPr>
    </w:p>
    <w:p w14:paraId="4E841BFF">
      <w:pPr>
        <w:rPr>
          <w:rFonts w:hint="default"/>
          <w:lang w:val="en-US" w:eastAsia="zh-CN"/>
        </w:rPr>
      </w:pPr>
    </w:p>
    <w:p w14:paraId="1502D696">
      <w:pPr>
        <w:rPr>
          <w:rFonts w:hint="default"/>
          <w:lang w:val="en-US" w:eastAsia="zh-CN"/>
        </w:rPr>
      </w:pPr>
    </w:p>
    <w:p w14:paraId="662BD469">
      <w:pPr>
        <w:rPr>
          <w:rFonts w:hint="default"/>
          <w:lang w:val="en-US" w:eastAsia="zh-CN"/>
        </w:rPr>
      </w:pPr>
    </w:p>
    <w:p w14:paraId="79D21FE2">
      <w:pPr>
        <w:rPr>
          <w:rFonts w:hint="default"/>
          <w:lang w:val="en-US" w:eastAsia="zh-CN"/>
        </w:rPr>
      </w:pPr>
    </w:p>
    <w:p w14:paraId="0B7DD118">
      <w:pPr>
        <w:rPr>
          <w:rFonts w:hint="default"/>
          <w:lang w:val="en-US" w:eastAsia="zh-CN"/>
        </w:rPr>
      </w:pPr>
    </w:p>
    <w:p w14:paraId="1464F57B">
      <w:pPr>
        <w:rPr>
          <w:rFonts w:hint="default"/>
          <w:lang w:val="en-US" w:eastAsia="zh-CN"/>
        </w:rPr>
      </w:pPr>
    </w:p>
    <w:p w14:paraId="3450FA82">
      <w:pPr>
        <w:rPr>
          <w:rFonts w:hint="default"/>
          <w:lang w:val="en-US" w:eastAsia="zh-CN"/>
        </w:rPr>
      </w:pPr>
    </w:p>
    <w:p w14:paraId="0DB2C824">
      <w:pPr>
        <w:rPr>
          <w:rFonts w:hint="default"/>
          <w:lang w:val="en-US" w:eastAsia="zh-CN"/>
        </w:rPr>
      </w:pPr>
    </w:p>
    <w:p w14:paraId="232F1EAF">
      <w:pPr>
        <w:rPr>
          <w:rFonts w:hint="default"/>
          <w:lang w:val="en-US" w:eastAsia="zh-CN"/>
        </w:rPr>
      </w:pPr>
    </w:p>
    <w:p w14:paraId="6BB1057D">
      <w:pPr>
        <w:pStyle w:val="2"/>
        <w:bidi w:val="0"/>
        <w:jc w:val="center"/>
        <w:rPr>
          <w:rFonts w:hint="default" w:ascii="宋体" w:hAnsi="宋体" w:cs="宋体" w:eastAsiaTheme="minorEastAsia"/>
          <w:b/>
          <w:sz w:val="44"/>
          <w:szCs w:val="44"/>
          <w:lang w:val="en-US" w:eastAsia="zh-CN"/>
        </w:rPr>
      </w:pPr>
      <w:r>
        <w:rPr>
          <w:rFonts w:hint="eastAsia" w:ascii="宋体" w:hAnsi="宋体" w:cs="宋体"/>
          <w:b/>
          <w:sz w:val="36"/>
          <w:szCs w:val="36"/>
        </w:rPr>
        <w:t>一、</w:t>
      </w:r>
      <w:r>
        <w:rPr>
          <w:rFonts w:hint="eastAsia" w:ascii="宋体" w:hAnsi="宋体" w:cs="宋体"/>
          <w:b/>
          <w:sz w:val="36"/>
          <w:szCs w:val="36"/>
          <w:lang w:val="en-US" w:eastAsia="en-US"/>
        </w:rPr>
        <w:t>磋商函</w:t>
      </w:r>
      <w:r>
        <w:rPr>
          <w:rFonts w:hint="eastAsia" w:ascii="宋体" w:hAnsi="宋体" w:cs="宋体"/>
          <w:b/>
          <w:sz w:val="36"/>
          <w:szCs w:val="36"/>
          <w:lang w:val="en-US" w:eastAsia="zh-CN"/>
        </w:rPr>
        <w:t>及报价一览表</w:t>
      </w:r>
    </w:p>
    <w:p w14:paraId="4EEBFF73">
      <w:pPr>
        <w:widowControl/>
        <w:spacing w:line="360" w:lineRule="auto"/>
        <w:jc w:val="center"/>
        <w:rPr>
          <w:rFonts w:hint="default" w:ascii="宋体" w:hAnsi="宋体" w:cs="宋体" w:eastAsiaTheme="minorEastAsia"/>
          <w:b/>
          <w:bCs/>
          <w:color w:val="000000"/>
          <w:kern w:val="0"/>
          <w:sz w:val="32"/>
          <w:szCs w:val="32"/>
          <w:lang w:val="en-US" w:eastAsia="zh-CN"/>
        </w:rPr>
      </w:pPr>
      <w:r>
        <w:rPr>
          <w:rFonts w:hint="eastAsia" w:ascii="宋体" w:hAnsi="宋体" w:cs="宋体"/>
          <w:b/>
          <w:bCs/>
          <w:color w:val="000000"/>
          <w:kern w:val="0"/>
          <w:sz w:val="32"/>
          <w:szCs w:val="32"/>
          <w:lang w:val="en-US" w:eastAsia="zh-CN"/>
        </w:rPr>
        <w:t>（一）磋商函</w:t>
      </w:r>
    </w:p>
    <w:p w14:paraId="58CEE398">
      <w:pPr>
        <w:widowControl/>
        <w:spacing w:line="360" w:lineRule="auto"/>
        <w:ind w:firstLine="480" w:firstLineChars="200"/>
        <w:jc w:val="left"/>
        <w:rPr>
          <w:rFonts w:hint="eastAsia" w:ascii="宋体" w:hAnsi="宋体" w:cs="宋体"/>
          <w:color w:val="000000"/>
          <w:kern w:val="0"/>
          <w:sz w:val="24"/>
          <w:szCs w:val="24"/>
          <w:lang w:val="en-US"/>
        </w:rPr>
      </w:pPr>
      <w:r>
        <w:rPr>
          <w:rFonts w:hint="eastAsia" w:ascii="宋体" w:hAnsi="宋体" w:cs="宋体"/>
          <w:color w:val="000000"/>
          <w:kern w:val="0"/>
          <w:sz w:val="24"/>
          <w:szCs w:val="24"/>
          <w:lang w:val="en-US"/>
        </w:rPr>
        <w:t>致</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 采购人名称 ）：</w:t>
      </w:r>
    </w:p>
    <w:p w14:paraId="2973A782">
      <w:pPr>
        <w:widowControl/>
        <w:spacing w:line="360" w:lineRule="auto"/>
        <w:ind w:firstLine="480" w:firstLineChars="200"/>
        <w:jc w:val="left"/>
        <w:rPr>
          <w:rFonts w:hint="eastAsia" w:ascii="宋体" w:hAnsi="宋体" w:cs="宋体"/>
          <w:color w:val="000000"/>
          <w:kern w:val="0"/>
          <w:sz w:val="24"/>
          <w:szCs w:val="24"/>
          <w:lang w:val="en-US"/>
        </w:rPr>
      </w:pPr>
      <w:r>
        <w:rPr>
          <w:rFonts w:hint="eastAsia" w:ascii="宋体" w:hAnsi="宋体" w:cs="宋体"/>
          <w:color w:val="000000"/>
          <w:kern w:val="0"/>
          <w:sz w:val="24"/>
          <w:szCs w:val="24"/>
          <w:lang w:val="en-US"/>
        </w:rPr>
        <w:t>根据已收到贵方的</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（项目名称）</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u w:val="single" w:color="auto"/>
          <w:lang w:val="en-US" w:eastAsia="zh-CN"/>
        </w:rPr>
        <w:t xml:space="preserve">    </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（项目编号）竞争性磋商文件，</w:t>
      </w:r>
      <w:r>
        <w:rPr>
          <w:rFonts w:hint="eastAsia" w:ascii="宋体" w:hAnsi="宋体" w:cs="楷体"/>
          <w:color w:val="000000"/>
          <w:kern w:val="1"/>
          <w:sz w:val="24"/>
          <w:szCs w:val="24"/>
        </w:rPr>
        <w:t>经详细研究，我们决定参加</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（项目名称）</w:t>
      </w:r>
      <w:r>
        <w:rPr>
          <w:rFonts w:hint="eastAsia" w:ascii="宋体" w:hAnsi="宋体" w:cs="楷体"/>
          <w:kern w:val="1"/>
          <w:sz w:val="24"/>
          <w:szCs w:val="24"/>
        </w:rPr>
        <w:t>的全部内容，我方愿意按委托人的要求承担所委托项目的服务工作，</w:t>
      </w:r>
      <w:r>
        <w:rPr>
          <w:rFonts w:hint="eastAsia" w:ascii="宋体" w:hAnsi="宋体" w:cs="楷体"/>
          <w:kern w:val="1"/>
          <w:sz w:val="24"/>
          <w:szCs w:val="24"/>
          <w:lang w:val="en-US" w:eastAsia="zh-CN"/>
        </w:rPr>
        <w:t>磋商报价：</w:t>
      </w:r>
      <w:r>
        <w:rPr>
          <w:rFonts w:hint="eastAsia" w:ascii="宋体" w:hAnsi="宋体" w:eastAsia="宋体" w:cs="宋体"/>
          <w:color w:val="auto"/>
          <w:kern w:val="2"/>
          <w:sz w:val="24"/>
          <w:szCs w:val="24"/>
          <w:u w:val="single"/>
          <w:lang w:val="en-US" w:eastAsia="zh-CN"/>
        </w:rPr>
        <w:t>大写：      （小写：     元）</w:t>
      </w:r>
      <w:r>
        <w:rPr>
          <w:rFonts w:hint="eastAsia" w:ascii="宋体" w:hAnsi="宋体" w:cs="宋体"/>
          <w:color w:val="000000"/>
          <w:kern w:val="0"/>
          <w:sz w:val="24"/>
          <w:szCs w:val="24"/>
          <w:lang w:val="en-US"/>
        </w:rPr>
        <w:t>，</w:t>
      </w:r>
      <w:r>
        <w:rPr>
          <w:rFonts w:hint="eastAsia" w:ascii="宋体" w:hAnsi="宋体" w:cs="宋体"/>
          <w:color w:val="000000"/>
          <w:kern w:val="0"/>
          <w:sz w:val="24"/>
          <w:szCs w:val="24"/>
          <w:lang w:val="en-US" w:eastAsia="zh-CN"/>
        </w:rPr>
        <w:t>服务期限</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lang w:val="en-US" w:eastAsia="zh-CN"/>
        </w:rPr>
        <w:t xml:space="preserve">      </w:t>
      </w:r>
      <w:r>
        <w:rPr>
          <w:rFonts w:hint="eastAsia" w:ascii="宋体" w:hAnsi="宋体" w:cs="宋体"/>
          <w:color w:val="000000"/>
          <w:kern w:val="0"/>
          <w:sz w:val="24"/>
          <w:szCs w:val="24"/>
          <w:lang w:val="en-US"/>
        </w:rPr>
        <w:t>，质量</w:t>
      </w:r>
      <w:r>
        <w:rPr>
          <w:rFonts w:hint="eastAsia" w:ascii="宋体" w:hAnsi="宋体" w:cs="宋体"/>
          <w:color w:val="000000"/>
          <w:kern w:val="0"/>
          <w:sz w:val="24"/>
          <w:szCs w:val="24"/>
          <w:lang w:val="en-US" w:eastAsia="zh-CN"/>
        </w:rPr>
        <w:t>标准</w:t>
      </w:r>
      <w:r>
        <w:rPr>
          <w:rFonts w:hint="eastAsia" w:ascii="宋体" w:hAnsi="宋体" w:cs="宋体"/>
          <w:color w:val="000000"/>
          <w:kern w:val="0"/>
          <w:sz w:val="24"/>
          <w:szCs w:val="24"/>
          <w:lang w:val="en-US"/>
        </w:rPr>
        <w:t>：</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w:t>
      </w:r>
      <w:r>
        <w:rPr>
          <w:rFonts w:hint="eastAsia" w:ascii="宋体" w:hAnsi="宋体" w:cs="宋体"/>
          <w:color w:val="000000"/>
          <w:kern w:val="0"/>
          <w:sz w:val="24"/>
          <w:szCs w:val="24"/>
          <w:lang w:val="en-US" w:eastAsia="zh-CN"/>
        </w:rPr>
        <w:t>服务地点</w:t>
      </w:r>
      <w:r>
        <w:rPr>
          <w:rFonts w:hint="eastAsia" w:ascii="宋体" w:hAnsi="宋体" w:cs="宋体"/>
          <w:color w:val="000000"/>
          <w:kern w:val="0"/>
          <w:sz w:val="24"/>
          <w:szCs w:val="24"/>
          <w:lang w:val="en-US"/>
        </w:rPr>
        <w:t>：</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w:t>
      </w:r>
      <w:r>
        <w:rPr>
          <w:rFonts w:hint="eastAsia" w:ascii="宋体" w:hAnsi="宋体" w:cs="宋体"/>
          <w:color w:val="000000"/>
          <w:kern w:val="0"/>
          <w:sz w:val="24"/>
          <w:szCs w:val="24"/>
          <w:lang w:val="en-US" w:eastAsia="zh-CN"/>
        </w:rPr>
        <w:t>磋商有效期：</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none"/>
          <w:lang w:val="en-US" w:eastAsia="zh-CN"/>
        </w:rPr>
        <w:t>；</w:t>
      </w:r>
      <w:r>
        <w:rPr>
          <w:rFonts w:hint="eastAsia" w:ascii="宋体" w:hAnsi="宋体" w:cs="宋体"/>
          <w:color w:val="000000"/>
          <w:kern w:val="0"/>
          <w:sz w:val="24"/>
          <w:szCs w:val="24"/>
          <w:lang w:val="en-US"/>
        </w:rPr>
        <w:t>按合同约定实施和完成本项目</w:t>
      </w:r>
      <w:r>
        <w:rPr>
          <w:rFonts w:hint="eastAsia" w:ascii="宋体" w:hAnsi="宋体" w:cs="宋体"/>
          <w:color w:val="000000"/>
          <w:kern w:val="0"/>
          <w:sz w:val="24"/>
          <w:szCs w:val="24"/>
          <w:lang w:val="en-US" w:eastAsia="zh-CN"/>
        </w:rPr>
        <w:t>服务</w:t>
      </w:r>
      <w:r>
        <w:rPr>
          <w:rFonts w:hint="eastAsia" w:ascii="宋体" w:hAnsi="宋体" w:cs="宋体"/>
          <w:color w:val="000000"/>
          <w:kern w:val="0"/>
          <w:sz w:val="24"/>
          <w:szCs w:val="24"/>
          <w:lang w:val="en-US"/>
        </w:rPr>
        <w:t>的内容。据此函，签字人兹宣布同意如下：</w:t>
      </w:r>
    </w:p>
    <w:p w14:paraId="174F7B8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1、我方同意在本项目竞争性磋商文件中规定的</w:t>
      </w:r>
      <w:r>
        <w:rPr>
          <w:rFonts w:hint="eastAsia" w:ascii="宋体" w:hAnsi="宋体" w:cs="宋体"/>
          <w:color w:val="000000"/>
          <w:kern w:val="0"/>
          <w:sz w:val="24"/>
          <w:szCs w:val="24"/>
          <w:lang w:eastAsia="zh-CN"/>
        </w:rPr>
        <w:t>磋商</w:t>
      </w:r>
      <w:r>
        <w:rPr>
          <w:rFonts w:hint="eastAsia" w:ascii="宋体" w:hAnsi="宋体" w:cs="宋体"/>
          <w:color w:val="000000"/>
          <w:kern w:val="0"/>
          <w:sz w:val="24"/>
          <w:szCs w:val="24"/>
          <w:lang w:val="en-US" w:eastAsia="zh-CN"/>
        </w:rPr>
        <w:t>有效期内</w:t>
      </w:r>
      <w:r>
        <w:rPr>
          <w:rFonts w:hint="eastAsia" w:ascii="宋体" w:hAnsi="宋体" w:cs="宋体"/>
          <w:color w:val="000000"/>
          <w:kern w:val="0"/>
          <w:sz w:val="24"/>
          <w:szCs w:val="24"/>
        </w:rPr>
        <w:t>遵守本响应文件中的承诺且在此期限期满之前均具有约束力。</w:t>
      </w:r>
    </w:p>
    <w:p w14:paraId="6BF21F2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2、我方承诺已经具备《中华人民共和国政府采购法》中规定的参加政府采购活动的供应商应当具备的条件。</w:t>
      </w:r>
    </w:p>
    <w:p w14:paraId="2D79E9D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、我方保证忠实地执行双方所签订的合同，并承担合同规定的责任和义务。</w:t>
      </w:r>
    </w:p>
    <w:p w14:paraId="16FF68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、我方承诺完全满足和响应竞争性磋商文件中的各项商务和技术要求，若有偏差，已在响应文件商务条款偏离表中予以明确特别说明。</w:t>
      </w:r>
    </w:p>
    <w:p w14:paraId="2D7D540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、我方完全理解贵方不一定接受最低价的</w:t>
      </w:r>
      <w:r>
        <w:rPr>
          <w:rFonts w:hint="eastAsia" w:ascii="宋体" w:hAnsi="宋体" w:cs="宋体"/>
          <w:color w:val="000000"/>
          <w:kern w:val="0"/>
          <w:sz w:val="24"/>
          <w:szCs w:val="24"/>
          <w:lang w:eastAsia="zh-CN"/>
        </w:rPr>
        <w:t>磋商</w:t>
      </w:r>
      <w:r>
        <w:rPr>
          <w:rFonts w:hint="eastAsia" w:ascii="宋体" w:hAnsi="宋体" w:cs="宋体"/>
          <w:color w:val="000000"/>
          <w:kern w:val="0"/>
          <w:sz w:val="24"/>
          <w:szCs w:val="24"/>
        </w:rPr>
        <w:t>。</w:t>
      </w:r>
    </w:p>
    <w:p w14:paraId="1131E9A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、我方愿意向贵方提供任何与本项</w:t>
      </w:r>
      <w:r>
        <w:rPr>
          <w:rFonts w:hint="eastAsia" w:ascii="宋体" w:hAnsi="宋体" w:cs="宋体"/>
          <w:color w:val="000000"/>
          <w:kern w:val="0"/>
          <w:sz w:val="24"/>
          <w:szCs w:val="24"/>
          <w:lang w:eastAsia="zh-CN"/>
        </w:rPr>
        <w:t>磋商</w:t>
      </w:r>
      <w:r>
        <w:rPr>
          <w:rFonts w:hint="eastAsia" w:ascii="宋体" w:hAnsi="宋体" w:cs="宋体"/>
          <w:color w:val="000000"/>
          <w:kern w:val="0"/>
          <w:sz w:val="24"/>
          <w:szCs w:val="24"/>
        </w:rPr>
        <w:t>有关的数据、情况和技术资料。若贵方需要，我方愿意提供我方作出的一切承诺的证明材料。</w:t>
      </w:r>
    </w:p>
    <w:p w14:paraId="6C3D8BF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7、我方已详细审核全部响应文件及有关附件，确认无误。</w:t>
      </w:r>
    </w:p>
    <w:p w14:paraId="206D3DD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8、磋商代理服务收费参照豫招协[2023]002号河南省招标投标协会关于印发《河南省招标代理服务收费指导意见》规定的收费标准向成交单位收取。招标代理服务费由成交供应商在领取成交通知书时，以现金或转账的方式一次性向缴纳。</w:t>
      </w:r>
    </w:p>
    <w:p w14:paraId="533A575B">
      <w:pPr>
        <w:spacing w:line="360" w:lineRule="auto"/>
        <w:jc w:val="left"/>
        <w:rPr>
          <w:rFonts w:hint="eastAsia" w:ascii="宋体" w:hAnsi="宋体" w:cs="宋体"/>
          <w:color w:val="000000"/>
          <w:kern w:val="0"/>
          <w:sz w:val="24"/>
          <w:szCs w:val="24"/>
          <w:lang w:eastAsia="zh-CN"/>
        </w:rPr>
      </w:pPr>
    </w:p>
    <w:p w14:paraId="4E900063">
      <w:pPr>
        <w:spacing w:line="360" w:lineRule="auto"/>
        <w:jc w:val="left"/>
        <w:rPr>
          <w:rFonts w:hint="eastAsia" w:ascii="宋体" w:hAnsi="宋体" w:cs="宋体"/>
          <w:color w:val="000000"/>
          <w:kern w:val="0"/>
          <w:sz w:val="24"/>
          <w:szCs w:val="24"/>
          <w:lang w:eastAsia="zh-CN"/>
        </w:rPr>
      </w:pPr>
    </w:p>
    <w:p w14:paraId="05BB3E1D">
      <w:pPr>
        <w:spacing w:line="360" w:lineRule="auto"/>
        <w:ind w:firstLine="480" w:firstLineChars="200"/>
        <w:jc w:val="left"/>
        <w:rPr>
          <w:rFonts w:hint="eastAsia" w:ascii="宋体" w:hAnsi="宋体" w:cs="楷体"/>
          <w:color w:val="000000"/>
          <w:kern w:val="1"/>
          <w:sz w:val="24"/>
          <w:szCs w:val="24"/>
        </w:rPr>
      </w:pP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（盖</w:t>
      </w:r>
      <w:r>
        <w:rPr>
          <w:rFonts w:hint="eastAsia" w:ascii="宋体" w:hAnsi="宋体" w:cs="楷体"/>
          <w:color w:val="000000"/>
          <w:kern w:val="1"/>
          <w:sz w:val="24"/>
          <w:szCs w:val="24"/>
          <w:lang w:val="en-US" w:eastAsia="zh-CN"/>
        </w:rPr>
        <w:t>电子</w:t>
      </w:r>
      <w:r>
        <w:rPr>
          <w:rFonts w:hint="eastAsia" w:ascii="宋体" w:hAnsi="宋体" w:cs="楷体"/>
          <w:color w:val="000000"/>
          <w:kern w:val="1"/>
          <w:sz w:val="24"/>
          <w:szCs w:val="24"/>
        </w:rPr>
        <w:t>章）</w:t>
      </w:r>
    </w:p>
    <w:p w14:paraId="41D5515E">
      <w:pPr>
        <w:spacing w:line="360" w:lineRule="auto"/>
        <w:ind w:firstLine="460" w:firstLineChars="2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法定代表人或授权委托人</w:t>
      </w:r>
      <w:r>
        <w:rPr>
          <w:rFonts w:hint="eastAsia" w:ascii="宋体" w:hAnsi="宋体" w:cs="楷体"/>
          <w:color w:val="000000"/>
          <w:kern w:val="1"/>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（签字或盖章）</w:t>
      </w:r>
    </w:p>
    <w:p w14:paraId="697F73FE">
      <w:pPr>
        <w:spacing w:line="360" w:lineRule="auto"/>
        <w:ind w:firstLine="480" w:firstLineChars="200"/>
        <w:rPr>
          <w:rFonts w:hint="eastAsia" w:ascii="宋体" w:hAnsi="宋体" w:cs="楷体"/>
          <w:color w:val="000000"/>
          <w:kern w:val="1"/>
          <w:sz w:val="24"/>
          <w:szCs w:val="24"/>
        </w:rPr>
      </w:pP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期：</w:t>
      </w:r>
      <w:r>
        <w:rPr>
          <w:rFonts w:hint="eastAsia" w:ascii="宋体" w:hAnsi="宋体" w:cs="楷体"/>
          <w:color w:val="000000"/>
          <w:kern w:val="1"/>
          <w:sz w:val="24"/>
          <w:szCs w:val="24"/>
        </w:rPr>
        <w:t>____年____月_____日</w:t>
      </w:r>
    </w:p>
    <w:p w14:paraId="1679C8B2">
      <w:pPr>
        <w:spacing w:line="360" w:lineRule="auto"/>
        <w:rPr>
          <w:rFonts w:hint="eastAsia" w:ascii="宋体" w:hAnsi="宋体" w:cs="楷体"/>
          <w:color w:val="000000"/>
          <w:kern w:val="1"/>
          <w:sz w:val="24"/>
          <w:szCs w:val="24"/>
        </w:rPr>
      </w:pPr>
    </w:p>
    <w:p w14:paraId="095A060E">
      <w:pPr>
        <w:spacing w:before="91" w:line="219" w:lineRule="auto"/>
        <w:jc w:val="center"/>
        <w:rPr>
          <w:rFonts w:ascii="宋体" w:hAnsi="宋体" w:eastAsia="宋体" w:cs="宋体"/>
          <w:sz w:val="32"/>
          <w:szCs w:val="32"/>
        </w:rPr>
      </w:pPr>
      <w:r>
        <w:rPr>
          <w:rFonts w:hint="eastAsia" w:ascii="宋体" w:hAnsi="宋体" w:eastAsia="宋体" w:cs="宋体"/>
          <w:b/>
          <w:bCs/>
          <w:spacing w:val="-3"/>
          <w:sz w:val="32"/>
          <w:szCs w:val="32"/>
          <w:lang w:eastAsia="zh-CN"/>
        </w:rPr>
        <w:t>（</w:t>
      </w:r>
      <w:r>
        <w:rPr>
          <w:rFonts w:hint="eastAsia" w:ascii="宋体" w:hAnsi="宋体" w:eastAsia="宋体" w:cs="宋体"/>
          <w:b/>
          <w:bCs/>
          <w:spacing w:val="-3"/>
          <w:sz w:val="32"/>
          <w:szCs w:val="32"/>
          <w:lang w:val="en-US" w:eastAsia="zh-CN"/>
        </w:rPr>
        <w:t>二</w:t>
      </w:r>
      <w:r>
        <w:rPr>
          <w:rFonts w:hint="eastAsia" w:ascii="宋体" w:hAnsi="宋体" w:eastAsia="宋体" w:cs="宋体"/>
          <w:b/>
          <w:bCs/>
          <w:spacing w:val="-3"/>
          <w:sz w:val="32"/>
          <w:szCs w:val="32"/>
          <w:lang w:eastAsia="zh-CN"/>
        </w:rPr>
        <w:t>）</w:t>
      </w:r>
      <w:r>
        <w:rPr>
          <w:rFonts w:ascii="宋体" w:hAnsi="宋体" w:eastAsia="宋体" w:cs="宋体"/>
          <w:b/>
          <w:bCs/>
          <w:spacing w:val="-3"/>
          <w:sz w:val="32"/>
          <w:szCs w:val="32"/>
        </w:rPr>
        <w:t>报价一览表</w:t>
      </w:r>
    </w:p>
    <w:tbl>
      <w:tblPr>
        <w:tblStyle w:val="37"/>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3914"/>
        <w:gridCol w:w="1095"/>
        <w:gridCol w:w="990"/>
        <w:gridCol w:w="1200"/>
        <w:gridCol w:w="1430"/>
      </w:tblGrid>
      <w:tr w14:paraId="451EE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31" w:type="dxa"/>
            <w:noWrap w:val="0"/>
            <w:vAlign w:val="center"/>
          </w:tcPr>
          <w:p w14:paraId="433E20F1">
            <w:pPr>
              <w:pStyle w:val="34"/>
              <w:spacing w:before="65" w:line="229" w:lineRule="auto"/>
              <w:jc w:val="center"/>
              <w:rPr>
                <w:sz w:val="24"/>
                <w:szCs w:val="24"/>
              </w:rPr>
            </w:pPr>
            <w:r>
              <w:rPr>
                <w:spacing w:val="6"/>
                <w:sz w:val="24"/>
                <w:szCs w:val="24"/>
              </w:rPr>
              <w:t>序号</w:t>
            </w:r>
          </w:p>
        </w:tc>
        <w:tc>
          <w:tcPr>
            <w:tcW w:w="3914" w:type="dxa"/>
            <w:noWrap w:val="0"/>
            <w:vAlign w:val="center"/>
          </w:tcPr>
          <w:p w14:paraId="77A24AF7">
            <w:pPr>
              <w:pStyle w:val="34"/>
              <w:spacing w:before="65" w:line="227" w:lineRule="auto"/>
              <w:jc w:val="center"/>
              <w:rPr>
                <w:rFonts w:hint="eastAsia" w:eastAsia="宋体"/>
                <w:sz w:val="24"/>
                <w:szCs w:val="24"/>
                <w:lang w:eastAsia="zh-CN"/>
              </w:rPr>
            </w:pPr>
            <w:r>
              <w:rPr>
                <w:rFonts w:hint="eastAsia"/>
                <w:spacing w:val="7"/>
                <w:sz w:val="24"/>
                <w:szCs w:val="24"/>
                <w:lang w:val="en-US" w:eastAsia="zh-CN"/>
              </w:rPr>
              <w:t>项目名称</w:t>
            </w:r>
          </w:p>
        </w:tc>
        <w:tc>
          <w:tcPr>
            <w:tcW w:w="1095" w:type="dxa"/>
            <w:noWrap w:val="0"/>
            <w:vAlign w:val="center"/>
          </w:tcPr>
          <w:p w14:paraId="5C52E394">
            <w:pPr>
              <w:pStyle w:val="34"/>
              <w:spacing w:before="65" w:line="228" w:lineRule="auto"/>
              <w:jc w:val="center"/>
              <w:rPr>
                <w:sz w:val="24"/>
                <w:szCs w:val="24"/>
              </w:rPr>
            </w:pPr>
            <w:r>
              <w:rPr>
                <w:spacing w:val="5"/>
                <w:sz w:val="24"/>
                <w:szCs w:val="24"/>
              </w:rPr>
              <w:t>数量</w:t>
            </w:r>
          </w:p>
        </w:tc>
        <w:tc>
          <w:tcPr>
            <w:tcW w:w="990" w:type="dxa"/>
            <w:noWrap w:val="0"/>
            <w:vAlign w:val="center"/>
          </w:tcPr>
          <w:p w14:paraId="4CD3D840">
            <w:pPr>
              <w:pStyle w:val="34"/>
              <w:spacing w:before="65" w:line="228" w:lineRule="auto"/>
              <w:jc w:val="center"/>
              <w:rPr>
                <w:sz w:val="24"/>
                <w:szCs w:val="24"/>
              </w:rPr>
            </w:pPr>
            <w:r>
              <w:rPr>
                <w:spacing w:val="5"/>
                <w:sz w:val="24"/>
                <w:szCs w:val="24"/>
              </w:rPr>
              <w:t>单位</w:t>
            </w:r>
          </w:p>
        </w:tc>
        <w:tc>
          <w:tcPr>
            <w:tcW w:w="1200" w:type="dxa"/>
            <w:noWrap w:val="0"/>
            <w:vAlign w:val="center"/>
          </w:tcPr>
          <w:p w14:paraId="0A973202">
            <w:pPr>
              <w:pStyle w:val="34"/>
              <w:spacing w:before="65" w:line="228" w:lineRule="auto"/>
              <w:jc w:val="center"/>
              <w:rPr>
                <w:sz w:val="24"/>
                <w:szCs w:val="24"/>
              </w:rPr>
            </w:pPr>
            <w:r>
              <w:rPr>
                <w:rFonts w:hint="eastAsia"/>
                <w:sz w:val="24"/>
                <w:szCs w:val="24"/>
                <w:lang w:val="en-US" w:eastAsia="zh-CN"/>
              </w:rPr>
              <w:t>服务期限</w:t>
            </w:r>
          </w:p>
        </w:tc>
        <w:tc>
          <w:tcPr>
            <w:tcW w:w="1430" w:type="dxa"/>
            <w:noWrap w:val="0"/>
            <w:vAlign w:val="center"/>
          </w:tcPr>
          <w:p w14:paraId="6F89BF87">
            <w:pPr>
              <w:pStyle w:val="34"/>
              <w:spacing w:before="65" w:line="227" w:lineRule="auto"/>
              <w:jc w:val="center"/>
              <w:rPr>
                <w:sz w:val="24"/>
                <w:szCs w:val="24"/>
              </w:rPr>
            </w:pPr>
            <w:r>
              <w:rPr>
                <w:rFonts w:hint="eastAsia"/>
                <w:spacing w:val="8"/>
                <w:sz w:val="24"/>
                <w:szCs w:val="24"/>
                <w:lang w:val="en-US" w:eastAsia="zh-CN"/>
              </w:rPr>
              <w:t>服务</w:t>
            </w:r>
            <w:r>
              <w:rPr>
                <w:spacing w:val="8"/>
                <w:sz w:val="24"/>
                <w:szCs w:val="24"/>
              </w:rPr>
              <w:t>地点</w:t>
            </w:r>
          </w:p>
        </w:tc>
      </w:tr>
      <w:tr w14:paraId="2E77A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1" w:type="dxa"/>
            <w:noWrap w:val="0"/>
            <w:vAlign w:val="center"/>
          </w:tcPr>
          <w:p w14:paraId="7088BC4C">
            <w:pPr>
              <w:pStyle w:val="34"/>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1</w:t>
            </w:r>
          </w:p>
        </w:tc>
        <w:tc>
          <w:tcPr>
            <w:tcW w:w="3914" w:type="dxa"/>
            <w:noWrap w:val="0"/>
            <w:vAlign w:val="center"/>
          </w:tcPr>
          <w:p w14:paraId="031E05E6">
            <w:pPr>
              <w:pStyle w:val="34"/>
              <w:spacing w:before="65" w:line="227" w:lineRule="auto"/>
              <w:jc w:val="center"/>
              <w:rPr>
                <w:rFonts w:ascii="宋体" w:hAnsi="宋体" w:eastAsia="宋体" w:cs="宋体"/>
                <w:spacing w:val="7"/>
                <w:sz w:val="24"/>
                <w:szCs w:val="24"/>
              </w:rPr>
            </w:pPr>
          </w:p>
        </w:tc>
        <w:tc>
          <w:tcPr>
            <w:tcW w:w="1095" w:type="dxa"/>
            <w:noWrap w:val="0"/>
            <w:vAlign w:val="center"/>
          </w:tcPr>
          <w:p w14:paraId="6AA6D3C5">
            <w:pPr>
              <w:pStyle w:val="34"/>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1</w:t>
            </w:r>
          </w:p>
        </w:tc>
        <w:tc>
          <w:tcPr>
            <w:tcW w:w="990" w:type="dxa"/>
            <w:noWrap w:val="0"/>
            <w:vAlign w:val="center"/>
          </w:tcPr>
          <w:p w14:paraId="093FE970">
            <w:pPr>
              <w:pStyle w:val="34"/>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批</w:t>
            </w:r>
          </w:p>
        </w:tc>
        <w:tc>
          <w:tcPr>
            <w:tcW w:w="1200" w:type="dxa"/>
            <w:noWrap w:val="0"/>
            <w:vAlign w:val="center"/>
          </w:tcPr>
          <w:p w14:paraId="66A3F170">
            <w:pPr>
              <w:pStyle w:val="34"/>
              <w:spacing w:before="65" w:line="227" w:lineRule="auto"/>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1年</w:t>
            </w:r>
          </w:p>
        </w:tc>
        <w:tc>
          <w:tcPr>
            <w:tcW w:w="1430" w:type="dxa"/>
            <w:noWrap w:val="0"/>
            <w:vAlign w:val="center"/>
          </w:tcPr>
          <w:p w14:paraId="0A770F71">
            <w:pPr>
              <w:pStyle w:val="34"/>
              <w:spacing w:before="65" w:line="227" w:lineRule="auto"/>
              <w:jc w:val="center"/>
              <w:rPr>
                <w:rFonts w:ascii="宋体" w:hAnsi="宋体" w:eastAsia="宋体" w:cs="宋体"/>
                <w:spacing w:val="7"/>
                <w:sz w:val="24"/>
                <w:szCs w:val="24"/>
              </w:rPr>
            </w:pPr>
          </w:p>
        </w:tc>
      </w:tr>
      <w:tr w14:paraId="72137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460" w:type="dxa"/>
            <w:gridSpan w:val="6"/>
            <w:noWrap w:val="0"/>
            <w:vAlign w:val="center"/>
          </w:tcPr>
          <w:p w14:paraId="226C1A30">
            <w:pPr>
              <w:pStyle w:val="34"/>
              <w:spacing w:before="78" w:line="219" w:lineRule="auto"/>
              <w:ind w:firstLine="240" w:firstLineChars="100"/>
              <w:jc w:val="both"/>
              <w:rPr>
                <w:sz w:val="24"/>
                <w:szCs w:val="24"/>
              </w:rPr>
            </w:pPr>
            <w:r>
              <w:rPr>
                <w:rFonts w:hint="eastAsia" w:cs="宋体"/>
                <w:b w:val="0"/>
                <w:bCs w:val="0"/>
                <w:color w:val="auto"/>
                <w:kern w:val="2"/>
                <w:sz w:val="24"/>
                <w:szCs w:val="24"/>
                <w:u w:val="none"/>
                <w:lang w:val="en-US" w:eastAsia="zh-CN"/>
              </w:rPr>
              <w:t>磋商报价：</w:t>
            </w:r>
            <w:r>
              <w:rPr>
                <w:rFonts w:hint="eastAsia" w:ascii="宋体" w:hAnsi="宋体" w:eastAsia="宋体" w:cs="宋体"/>
                <w:color w:val="auto"/>
                <w:kern w:val="2"/>
                <w:sz w:val="24"/>
                <w:szCs w:val="24"/>
                <w:u w:val="single"/>
                <w:lang w:val="en-US" w:eastAsia="zh-CN"/>
              </w:rPr>
              <w:t>大写：      （小写：     元）</w:t>
            </w:r>
          </w:p>
        </w:tc>
      </w:tr>
      <w:tr w14:paraId="2450E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0" w:hRule="atLeast"/>
        </w:trPr>
        <w:tc>
          <w:tcPr>
            <w:tcW w:w="9460" w:type="dxa"/>
            <w:gridSpan w:val="6"/>
            <w:noWrap w:val="0"/>
            <w:vAlign w:val="center"/>
          </w:tcPr>
          <w:p w14:paraId="7A6C3368">
            <w:pPr>
              <w:pStyle w:val="34"/>
              <w:spacing w:before="118" w:line="360" w:lineRule="auto"/>
              <w:ind w:left="118" w:right="111" w:firstLine="485"/>
              <w:jc w:val="both"/>
              <w:rPr>
                <w:rFonts w:hint="eastAsia"/>
                <w:b/>
                <w:bCs/>
                <w:spacing w:val="-3"/>
                <w:sz w:val="24"/>
                <w:szCs w:val="24"/>
                <w:highlight w:val="none"/>
                <w:lang w:val="en-US" w:eastAsia="zh-CN"/>
              </w:rPr>
            </w:pPr>
            <w:r>
              <w:rPr>
                <w:b/>
                <w:bCs/>
                <w:spacing w:val="-3"/>
                <w:sz w:val="24"/>
                <w:szCs w:val="24"/>
                <w:highlight w:val="none"/>
              </w:rPr>
              <w:t>备注：</w:t>
            </w:r>
            <w:r>
              <w:rPr>
                <w:rFonts w:hint="eastAsia"/>
                <w:b/>
                <w:bCs/>
                <w:spacing w:val="-3"/>
                <w:sz w:val="24"/>
                <w:szCs w:val="24"/>
                <w:highlight w:val="none"/>
                <w:lang w:val="en-US" w:eastAsia="zh-CN"/>
              </w:rPr>
              <w:t>1.因电子交易系统规则限制，本次磋商采用总价形式提交电子报价，项目成交后，按实际配送金额对应折扣率办理结算。</w:t>
            </w:r>
          </w:p>
          <w:p w14:paraId="7A269346">
            <w:pPr>
              <w:pStyle w:val="34"/>
              <w:spacing w:before="118" w:line="360" w:lineRule="auto"/>
              <w:ind w:left="118" w:right="111" w:firstLine="485"/>
              <w:jc w:val="both"/>
              <w:rPr>
                <w:rFonts w:hint="eastAsia"/>
                <w:b/>
                <w:bCs/>
                <w:spacing w:val="-3"/>
                <w:sz w:val="24"/>
                <w:szCs w:val="24"/>
                <w:highlight w:val="none"/>
                <w:lang w:val="en-US" w:eastAsia="zh-CN"/>
              </w:rPr>
            </w:pPr>
            <w:r>
              <w:rPr>
                <w:rFonts w:hint="eastAsia"/>
                <w:b/>
                <w:bCs/>
                <w:spacing w:val="-3"/>
                <w:sz w:val="24"/>
                <w:szCs w:val="24"/>
                <w:highlight w:val="none"/>
                <w:lang w:val="en-US" w:eastAsia="zh-CN"/>
              </w:rPr>
              <w:t xml:space="preserve">结算计算公式：最终报价÷磋商控制价×100，计算结果四舍五入保留两位小数。 </w:t>
            </w:r>
          </w:p>
          <w:p w14:paraId="02581C90">
            <w:pPr>
              <w:pStyle w:val="34"/>
              <w:spacing w:before="118" w:line="360" w:lineRule="auto"/>
              <w:ind w:left="118" w:right="111" w:firstLine="485"/>
              <w:jc w:val="both"/>
              <w:rPr>
                <w:rFonts w:hint="eastAsia"/>
                <w:b/>
                <w:bCs/>
                <w:spacing w:val="-3"/>
                <w:sz w:val="24"/>
                <w:szCs w:val="24"/>
                <w:highlight w:val="none"/>
                <w:lang w:val="en-US" w:eastAsia="zh-CN"/>
              </w:rPr>
            </w:pPr>
            <w:r>
              <w:rPr>
                <w:rFonts w:hint="eastAsia"/>
                <w:b/>
                <w:bCs/>
                <w:spacing w:val="-3"/>
                <w:sz w:val="24"/>
                <w:szCs w:val="24"/>
                <w:highlight w:val="none"/>
                <w:lang w:val="en-US" w:eastAsia="zh-CN"/>
              </w:rPr>
              <w:t>示例：最终报价1000000元，磋商控制价1100000元，结算折扣=1000000÷1100000×100≈91.00%。</w:t>
            </w:r>
          </w:p>
          <w:p w14:paraId="78FE0796">
            <w:pPr>
              <w:pStyle w:val="34"/>
              <w:spacing w:before="118" w:line="360" w:lineRule="auto"/>
              <w:ind w:left="118" w:right="111" w:firstLine="485"/>
              <w:jc w:val="both"/>
              <w:rPr>
                <w:rFonts w:hint="default"/>
                <w:spacing w:val="-3"/>
                <w:sz w:val="24"/>
                <w:szCs w:val="24"/>
                <w:lang w:val="en-US" w:eastAsia="zh-CN"/>
              </w:rPr>
            </w:pPr>
            <w:r>
              <w:rPr>
                <w:rFonts w:hint="eastAsia"/>
                <w:spacing w:val="-3"/>
                <w:sz w:val="24"/>
                <w:szCs w:val="24"/>
                <w:lang w:val="en-US" w:eastAsia="zh-CN"/>
              </w:rPr>
              <w:t>2.</w:t>
            </w:r>
            <w:r>
              <w:rPr>
                <w:rFonts w:hint="eastAsia" w:ascii="宋体" w:hAnsi="宋体" w:eastAsia="宋体" w:cs="宋体"/>
                <w:spacing w:val="-6"/>
                <w:sz w:val="24"/>
                <w:szCs w:val="24"/>
                <w:lang w:val="en-US" w:eastAsia="zh-CN"/>
              </w:rPr>
              <w:t>本项目成交折扣在整个合同执行过程中，不因国家政策变化而变动。根据成交折扣计算出的实际支付金额包含所供货物价格、运送到甲方指定地点所发生的运费、装卸费、调换等环节所发生的费用及其他相关费用和所需缴纳的一切相关税费。实际支付金额不得超过该项目预算金额。</w:t>
            </w:r>
          </w:p>
          <w:p w14:paraId="655FC2FD">
            <w:pPr>
              <w:pStyle w:val="34"/>
              <w:spacing w:before="118" w:line="360" w:lineRule="auto"/>
              <w:ind w:left="118" w:right="111" w:firstLine="485"/>
              <w:jc w:val="both"/>
              <w:rPr>
                <w:b w:val="0"/>
                <w:bCs w:val="0"/>
                <w:spacing w:val="-3"/>
                <w:sz w:val="24"/>
                <w:szCs w:val="24"/>
              </w:rPr>
            </w:pPr>
            <w:r>
              <w:rPr>
                <w:rFonts w:hint="eastAsia"/>
                <w:b w:val="0"/>
                <w:bCs w:val="0"/>
                <w:spacing w:val="-3"/>
                <w:sz w:val="24"/>
                <w:szCs w:val="24"/>
                <w:lang w:val="en-US" w:eastAsia="zh-CN"/>
              </w:rPr>
              <w:t>3.综合执行单价=（三门峡市发展和改革委员会同期公布的三门峡市重要农副产品每日价格表单价×70%+供应商报价×30%）×成交折扣</w:t>
            </w:r>
          </w:p>
          <w:p w14:paraId="09128C86">
            <w:pPr>
              <w:keepNext w:val="0"/>
              <w:keepLines w:val="0"/>
              <w:pageBreakBefore w:val="0"/>
              <w:widowControl w:val="0"/>
              <w:kinsoku/>
              <w:wordWrap/>
              <w:overflowPunct w:val="0"/>
              <w:topLinePunct w:val="0"/>
              <w:autoSpaceDE/>
              <w:autoSpaceDN/>
              <w:bidi w:val="0"/>
              <w:adjustRightInd w:val="0"/>
              <w:snapToGrid w:val="0"/>
              <w:spacing w:line="360" w:lineRule="auto"/>
              <w:ind w:right="0" w:firstLine="460" w:firstLineChars="200"/>
              <w:jc w:val="left"/>
              <w:textAlignment w:val="auto"/>
              <w:rPr>
                <w:rFonts w:hint="default" w:ascii="宋体" w:hAnsi="宋体" w:eastAsia="宋体" w:cs="宋体"/>
                <w:color w:val="000000"/>
                <w:kern w:val="2"/>
                <w:sz w:val="24"/>
                <w:szCs w:val="24"/>
                <w:lang w:val="en-US" w:eastAsia="zh-CN" w:bidi="ar-SA"/>
              </w:rPr>
            </w:pPr>
            <w:r>
              <w:rPr>
                <w:snapToGrid w:val="0"/>
                <w:color w:val="000000"/>
                <w:spacing w:val="-5"/>
                <w:kern w:val="0"/>
                <w:sz w:val="24"/>
                <w:szCs w:val="24"/>
              </w:rPr>
              <w:t>注：</w:t>
            </w:r>
            <w:r>
              <w:rPr>
                <w:rFonts w:hint="eastAsia" w:ascii="宋体" w:hAnsi="宋体" w:eastAsia="宋体" w:cs="宋体"/>
                <w:color w:val="000000"/>
                <w:kern w:val="2"/>
                <w:sz w:val="24"/>
                <w:szCs w:val="24"/>
                <w:lang w:val="en-US" w:eastAsia="zh-CN" w:bidi="ar-SA"/>
              </w:rPr>
              <w:t>（1）依据三门峡市发展和改革委员会同期公布的三门峡市重要农副产品价格表，最终确定的综合执行单价最高不得高于三门峡市发展和改革委员会同期公布的三门峡市重要农副产品价格表单价的10%。</w:t>
            </w:r>
          </w:p>
          <w:p w14:paraId="515BD300">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（2）其中三门峡市发展和改革委员会同期公布的三门峡市重要农副产品每日价格表中存在未列明的重要农副产品，综合执行单价按照如下公式计算：</w:t>
            </w:r>
          </w:p>
          <w:p w14:paraId="49A40A8D">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sz w:val="24"/>
                <w:szCs w:val="24"/>
              </w:rPr>
            </w:pPr>
            <w:r>
              <w:rPr>
                <w:rFonts w:hint="eastAsia" w:ascii="宋体" w:hAnsi="宋体" w:eastAsia="宋体" w:cs="宋体"/>
                <w:color w:val="000000"/>
                <w:kern w:val="2"/>
                <w:sz w:val="24"/>
                <w:szCs w:val="24"/>
                <w:lang w:val="en-US" w:eastAsia="zh-CN" w:bidi="ar-SA"/>
              </w:rPr>
              <w:t>综合执行单价=（本地批发1市场调研单价×40%+本地批发2市场调研单价×30%+供应商报价×30%）×成交折扣</w:t>
            </w:r>
          </w:p>
        </w:tc>
      </w:tr>
      <w:tr w14:paraId="0F78E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460" w:type="dxa"/>
            <w:gridSpan w:val="6"/>
            <w:noWrap w:val="0"/>
            <w:vAlign w:val="center"/>
          </w:tcPr>
          <w:p w14:paraId="1574DC38">
            <w:pPr>
              <w:pStyle w:val="34"/>
              <w:spacing w:before="78" w:line="219" w:lineRule="auto"/>
              <w:jc w:val="both"/>
              <w:rPr>
                <w:sz w:val="24"/>
                <w:szCs w:val="24"/>
              </w:rPr>
            </w:pPr>
            <w:r>
              <w:rPr>
                <w:spacing w:val="-6"/>
                <w:sz w:val="24"/>
                <w:szCs w:val="24"/>
              </w:rPr>
              <w:t>项目负责人</w:t>
            </w:r>
            <w:r>
              <w:rPr>
                <w:spacing w:val="4"/>
                <w:sz w:val="24"/>
                <w:szCs w:val="24"/>
              </w:rPr>
              <w:t>：</w:t>
            </w:r>
            <w:r>
              <w:rPr>
                <w:spacing w:val="1"/>
                <w:sz w:val="24"/>
                <w:szCs w:val="24"/>
                <w:u w:val="single" w:color="auto"/>
              </w:rPr>
              <w:t xml:space="preserve">                </w:t>
            </w:r>
            <w:r>
              <w:rPr>
                <w:spacing w:val="4"/>
                <w:sz w:val="24"/>
                <w:szCs w:val="24"/>
              </w:rPr>
              <w:t>；</w:t>
            </w:r>
            <w:r>
              <w:rPr>
                <w:spacing w:val="-6"/>
                <w:sz w:val="24"/>
                <w:szCs w:val="24"/>
              </w:rPr>
              <w:t>电话</w:t>
            </w:r>
            <w:r>
              <w:rPr>
                <w:spacing w:val="4"/>
                <w:sz w:val="24"/>
                <w:szCs w:val="24"/>
              </w:rPr>
              <w:t>：</w:t>
            </w:r>
            <w:r>
              <w:rPr>
                <w:sz w:val="24"/>
                <w:szCs w:val="24"/>
                <w:u w:val="single" w:color="auto"/>
              </w:rPr>
              <w:t xml:space="preserve">              </w:t>
            </w:r>
            <w:r>
              <w:rPr>
                <w:spacing w:val="4"/>
                <w:sz w:val="24"/>
                <w:szCs w:val="24"/>
              </w:rPr>
              <w:t>；</w:t>
            </w:r>
          </w:p>
        </w:tc>
      </w:tr>
    </w:tbl>
    <w:p w14:paraId="2B19C15F">
      <w:pPr>
        <w:pStyle w:val="34"/>
        <w:widowControl/>
        <w:kinsoku w:val="0"/>
        <w:autoSpaceDE w:val="0"/>
        <w:autoSpaceDN w:val="0"/>
        <w:adjustRightInd w:val="0"/>
        <w:snapToGrid w:val="0"/>
        <w:spacing w:line="366" w:lineRule="auto"/>
        <w:ind w:right="47"/>
        <w:jc w:val="both"/>
        <w:textAlignment w:val="baseline"/>
        <w:rPr>
          <w:rFonts w:hint="eastAsia"/>
          <w:snapToGrid w:val="0"/>
          <w:color w:val="000000"/>
          <w:spacing w:val="-5"/>
          <w:kern w:val="0"/>
          <w:lang w:val="en-US" w:eastAsia="zh-CN"/>
        </w:rPr>
      </w:pPr>
    </w:p>
    <w:p w14:paraId="78C219A6">
      <w:pPr>
        <w:spacing w:line="360" w:lineRule="auto"/>
        <w:ind w:firstLine="460" w:firstLineChars="2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 xml:space="preserve">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u w:val="single"/>
          <w:lang w:val="en-US" w:eastAsia="zh-CN"/>
        </w:rPr>
        <w:t xml:space="preserve">      </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（盖</w:t>
      </w:r>
      <w:r>
        <w:rPr>
          <w:rFonts w:hint="eastAsia" w:ascii="宋体" w:hAnsi="宋体" w:cs="楷体"/>
          <w:color w:val="000000"/>
          <w:kern w:val="1"/>
          <w:sz w:val="24"/>
          <w:szCs w:val="24"/>
          <w:lang w:val="en-US" w:eastAsia="zh-CN"/>
        </w:rPr>
        <w:t>电子</w:t>
      </w:r>
      <w:r>
        <w:rPr>
          <w:rFonts w:hint="eastAsia" w:ascii="宋体" w:hAnsi="宋体" w:cs="楷体"/>
          <w:color w:val="000000"/>
          <w:kern w:val="1"/>
          <w:sz w:val="24"/>
          <w:szCs w:val="24"/>
        </w:rPr>
        <w:t>章）</w:t>
      </w:r>
    </w:p>
    <w:p w14:paraId="39A806FE">
      <w:pPr>
        <w:spacing w:line="360" w:lineRule="auto"/>
        <w:ind w:firstLine="3220" w:firstLineChars="14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法定代表人或授权委托人</w:t>
      </w:r>
      <w:r>
        <w:rPr>
          <w:rFonts w:hint="eastAsia" w:ascii="宋体" w:hAnsi="宋体" w:cs="楷体"/>
          <w:color w:val="000000"/>
          <w:kern w:val="1"/>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（签字或盖章）</w:t>
      </w:r>
    </w:p>
    <w:p w14:paraId="10F9B296">
      <w:pPr>
        <w:spacing w:line="360" w:lineRule="auto"/>
        <w:ind w:firstLine="3120" w:firstLineChars="1300"/>
        <w:rPr>
          <w:rFonts w:hint="eastAsia" w:ascii="宋体" w:hAnsi="宋体" w:cs="楷体"/>
          <w:color w:val="000000"/>
          <w:kern w:val="1"/>
          <w:sz w:val="24"/>
          <w:szCs w:val="24"/>
        </w:rPr>
      </w:pP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期：</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年</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月</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日</w:t>
      </w:r>
    </w:p>
    <w:p w14:paraId="1DD9930A">
      <w:pPr>
        <w:spacing w:line="360" w:lineRule="auto"/>
        <w:rPr>
          <w:rFonts w:hint="default" w:ascii="宋体" w:hAnsi="宋体" w:cs="楷体"/>
          <w:color w:val="000000"/>
          <w:kern w:val="1"/>
          <w:sz w:val="24"/>
          <w:szCs w:val="24"/>
          <w:lang w:val="en-US" w:eastAsia="zh-CN"/>
        </w:rPr>
      </w:pPr>
    </w:p>
    <w:p w14:paraId="145114F9">
      <w:pPr>
        <w:spacing w:line="360" w:lineRule="auto"/>
        <w:rPr>
          <w:rFonts w:hint="default" w:ascii="宋体" w:hAnsi="宋体" w:cs="楷体"/>
          <w:color w:val="000000"/>
          <w:kern w:val="1"/>
          <w:sz w:val="24"/>
          <w:szCs w:val="24"/>
          <w:lang w:val="en-US" w:eastAsia="zh-CN"/>
        </w:rPr>
      </w:pPr>
    </w:p>
    <w:p w14:paraId="5693DE57">
      <w:pPr>
        <w:spacing w:line="360" w:lineRule="auto"/>
        <w:rPr>
          <w:rFonts w:hint="default" w:ascii="宋体" w:hAnsi="宋体" w:cs="楷体"/>
          <w:color w:val="000000"/>
          <w:kern w:val="1"/>
          <w:sz w:val="24"/>
          <w:szCs w:val="24"/>
          <w:lang w:val="en-US" w:eastAsia="zh-CN"/>
        </w:rPr>
      </w:pPr>
    </w:p>
    <w:p w14:paraId="7090534E">
      <w:pPr>
        <w:spacing w:line="360" w:lineRule="auto"/>
        <w:rPr>
          <w:rFonts w:hint="default" w:ascii="宋体" w:hAnsi="宋体" w:cs="楷体"/>
          <w:color w:val="000000"/>
          <w:kern w:val="1"/>
          <w:sz w:val="24"/>
          <w:szCs w:val="24"/>
          <w:lang w:val="en-US" w:eastAsia="zh-CN"/>
        </w:rPr>
      </w:pPr>
    </w:p>
    <w:p w14:paraId="3FC0D6C9">
      <w:pPr>
        <w:spacing w:line="360" w:lineRule="auto"/>
        <w:rPr>
          <w:rFonts w:hint="default" w:ascii="宋体" w:hAnsi="宋体" w:cs="楷体"/>
          <w:color w:val="000000"/>
          <w:kern w:val="1"/>
          <w:sz w:val="24"/>
          <w:szCs w:val="24"/>
          <w:lang w:val="en-US" w:eastAsia="zh-CN"/>
        </w:rPr>
      </w:pPr>
    </w:p>
    <w:p w14:paraId="0494A633">
      <w:pPr>
        <w:spacing w:line="360" w:lineRule="auto"/>
        <w:rPr>
          <w:rFonts w:hint="default" w:ascii="宋体" w:hAnsi="宋体" w:cs="楷体"/>
          <w:color w:val="000000"/>
          <w:kern w:val="1"/>
          <w:sz w:val="24"/>
          <w:szCs w:val="24"/>
          <w:lang w:val="en-US" w:eastAsia="zh-CN"/>
        </w:rPr>
      </w:pPr>
    </w:p>
    <w:p w14:paraId="4F21CBEB">
      <w:pPr>
        <w:spacing w:line="360" w:lineRule="auto"/>
        <w:rPr>
          <w:rFonts w:hint="default" w:ascii="宋体" w:hAnsi="宋体" w:cs="楷体"/>
          <w:color w:val="000000"/>
          <w:kern w:val="1"/>
          <w:sz w:val="24"/>
          <w:szCs w:val="24"/>
          <w:lang w:val="en-US" w:eastAsia="zh-CN"/>
        </w:rPr>
      </w:pPr>
    </w:p>
    <w:p w14:paraId="52A29C80">
      <w:pPr>
        <w:spacing w:line="360" w:lineRule="auto"/>
        <w:rPr>
          <w:rFonts w:hint="default" w:ascii="宋体" w:hAnsi="宋体" w:cs="楷体"/>
          <w:color w:val="000000"/>
          <w:kern w:val="1"/>
          <w:sz w:val="24"/>
          <w:szCs w:val="24"/>
          <w:lang w:val="en-US" w:eastAsia="zh-CN"/>
        </w:rPr>
      </w:pPr>
    </w:p>
    <w:p w14:paraId="6D887266">
      <w:pPr>
        <w:spacing w:line="360" w:lineRule="auto"/>
        <w:rPr>
          <w:rFonts w:hint="default" w:ascii="宋体" w:hAnsi="宋体" w:cs="楷体"/>
          <w:color w:val="000000"/>
          <w:kern w:val="1"/>
          <w:sz w:val="24"/>
          <w:szCs w:val="24"/>
          <w:lang w:val="en-US" w:eastAsia="zh-CN"/>
        </w:rPr>
      </w:pPr>
    </w:p>
    <w:p w14:paraId="0F40D529">
      <w:pPr>
        <w:spacing w:line="360" w:lineRule="auto"/>
        <w:rPr>
          <w:rFonts w:hint="default" w:ascii="宋体" w:hAnsi="宋体" w:cs="楷体"/>
          <w:color w:val="000000"/>
          <w:kern w:val="1"/>
          <w:sz w:val="24"/>
          <w:szCs w:val="24"/>
          <w:lang w:val="en-US" w:eastAsia="zh-CN"/>
        </w:rPr>
      </w:pPr>
    </w:p>
    <w:p w14:paraId="0F976EA0">
      <w:pPr>
        <w:spacing w:line="360" w:lineRule="auto"/>
        <w:rPr>
          <w:rFonts w:hint="default" w:ascii="宋体" w:hAnsi="宋体" w:cs="楷体"/>
          <w:color w:val="000000"/>
          <w:kern w:val="1"/>
          <w:sz w:val="24"/>
          <w:szCs w:val="24"/>
          <w:lang w:val="en-US" w:eastAsia="zh-CN"/>
        </w:rPr>
      </w:pPr>
    </w:p>
    <w:p w14:paraId="76B820F1">
      <w:pPr>
        <w:spacing w:line="360" w:lineRule="auto"/>
        <w:rPr>
          <w:rFonts w:hint="default" w:ascii="宋体" w:hAnsi="宋体" w:cs="楷体"/>
          <w:color w:val="000000"/>
          <w:kern w:val="1"/>
          <w:sz w:val="24"/>
          <w:szCs w:val="24"/>
          <w:lang w:val="en-US" w:eastAsia="zh-CN"/>
        </w:rPr>
      </w:pPr>
    </w:p>
    <w:p w14:paraId="513A64D3">
      <w:pPr>
        <w:spacing w:line="360" w:lineRule="auto"/>
        <w:rPr>
          <w:rFonts w:hint="default" w:ascii="宋体" w:hAnsi="宋体" w:cs="楷体"/>
          <w:color w:val="000000"/>
          <w:kern w:val="1"/>
          <w:sz w:val="24"/>
          <w:szCs w:val="24"/>
          <w:lang w:val="en-US" w:eastAsia="zh-CN"/>
        </w:rPr>
      </w:pPr>
    </w:p>
    <w:p w14:paraId="47C4525D">
      <w:pPr>
        <w:spacing w:line="360" w:lineRule="auto"/>
        <w:rPr>
          <w:rFonts w:hint="default" w:ascii="宋体" w:hAnsi="宋体" w:cs="楷体"/>
          <w:color w:val="000000"/>
          <w:kern w:val="1"/>
          <w:sz w:val="24"/>
          <w:szCs w:val="24"/>
          <w:lang w:val="en-US" w:eastAsia="zh-CN"/>
        </w:rPr>
      </w:pPr>
    </w:p>
    <w:p w14:paraId="62C87724">
      <w:pPr>
        <w:spacing w:line="360" w:lineRule="auto"/>
        <w:rPr>
          <w:rFonts w:hint="default" w:ascii="宋体" w:hAnsi="宋体" w:cs="楷体"/>
          <w:color w:val="000000"/>
          <w:kern w:val="1"/>
          <w:sz w:val="24"/>
          <w:szCs w:val="24"/>
          <w:lang w:val="en-US" w:eastAsia="zh-CN"/>
        </w:rPr>
      </w:pPr>
    </w:p>
    <w:p w14:paraId="633389C6">
      <w:pPr>
        <w:spacing w:line="360" w:lineRule="auto"/>
        <w:rPr>
          <w:rFonts w:hint="default" w:ascii="宋体" w:hAnsi="宋体" w:cs="楷体"/>
          <w:color w:val="000000"/>
          <w:kern w:val="1"/>
          <w:sz w:val="24"/>
          <w:szCs w:val="24"/>
          <w:lang w:val="en-US" w:eastAsia="zh-CN"/>
        </w:rPr>
      </w:pPr>
    </w:p>
    <w:p w14:paraId="3C87C2CD">
      <w:pPr>
        <w:spacing w:line="360" w:lineRule="auto"/>
        <w:rPr>
          <w:rFonts w:hint="default" w:ascii="宋体" w:hAnsi="宋体" w:cs="楷体"/>
          <w:color w:val="000000"/>
          <w:kern w:val="1"/>
          <w:sz w:val="24"/>
          <w:szCs w:val="24"/>
          <w:lang w:val="en-US" w:eastAsia="zh-CN"/>
        </w:rPr>
      </w:pPr>
    </w:p>
    <w:p w14:paraId="532D4875">
      <w:pPr>
        <w:spacing w:line="360" w:lineRule="auto"/>
        <w:rPr>
          <w:rFonts w:hint="default" w:ascii="宋体" w:hAnsi="宋体" w:cs="楷体"/>
          <w:color w:val="000000"/>
          <w:kern w:val="1"/>
          <w:sz w:val="24"/>
          <w:szCs w:val="24"/>
          <w:lang w:val="en-US" w:eastAsia="zh-CN"/>
        </w:rPr>
      </w:pPr>
    </w:p>
    <w:p w14:paraId="3672D03F">
      <w:pPr>
        <w:spacing w:line="360" w:lineRule="auto"/>
        <w:rPr>
          <w:rFonts w:hint="default" w:ascii="宋体" w:hAnsi="宋体" w:cs="楷体"/>
          <w:color w:val="000000"/>
          <w:kern w:val="1"/>
          <w:sz w:val="24"/>
          <w:szCs w:val="24"/>
          <w:lang w:val="en-US" w:eastAsia="zh-CN"/>
        </w:rPr>
      </w:pPr>
    </w:p>
    <w:p w14:paraId="6CA1B686">
      <w:pPr>
        <w:spacing w:line="360" w:lineRule="auto"/>
        <w:rPr>
          <w:rFonts w:hint="default" w:ascii="宋体" w:hAnsi="宋体" w:cs="楷体"/>
          <w:color w:val="000000"/>
          <w:kern w:val="1"/>
          <w:sz w:val="24"/>
          <w:szCs w:val="24"/>
          <w:lang w:val="en-US" w:eastAsia="zh-CN"/>
        </w:rPr>
      </w:pPr>
    </w:p>
    <w:p w14:paraId="3DE23AB9">
      <w:pPr>
        <w:spacing w:line="360" w:lineRule="auto"/>
        <w:rPr>
          <w:rFonts w:hint="default" w:ascii="宋体" w:hAnsi="宋体" w:cs="楷体"/>
          <w:color w:val="000000"/>
          <w:kern w:val="1"/>
          <w:sz w:val="24"/>
          <w:szCs w:val="24"/>
          <w:lang w:val="en-US" w:eastAsia="zh-CN"/>
        </w:rPr>
      </w:pPr>
    </w:p>
    <w:p w14:paraId="5A41D0D6">
      <w:pPr>
        <w:spacing w:line="360" w:lineRule="auto"/>
        <w:rPr>
          <w:rFonts w:hint="default" w:ascii="宋体" w:hAnsi="宋体" w:cs="楷体"/>
          <w:color w:val="000000"/>
          <w:kern w:val="1"/>
          <w:sz w:val="24"/>
          <w:szCs w:val="24"/>
          <w:lang w:val="en-US" w:eastAsia="zh-CN"/>
        </w:rPr>
      </w:pPr>
    </w:p>
    <w:p w14:paraId="3C585196">
      <w:pPr>
        <w:spacing w:line="360" w:lineRule="auto"/>
        <w:rPr>
          <w:rFonts w:hint="default" w:ascii="宋体" w:hAnsi="宋体" w:cs="楷体"/>
          <w:color w:val="000000"/>
          <w:kern w:val="1"/>
          <w:sz w:val="24"/>
          <w:szCs w:val="24"/>
          <w:lang w:val="en-US" w:eastAsia="zh-CN"/>
        </w:rPr>
      </w:pPr>
    </w:p>
    <w:p w14:paraId="313F9C2B">
      <w:pPr>
        <w:spacing w:line="360" w:lineRule="auto"/>
        <w:rPr>
          <w:rFonts w:hint="default" w:ascii="宋体" w:hAnsi="宋体" w:cs="楷体"/>
          <w:color w:val="000000"/>
          <w:kern w:val="1"/>
          <w:sz w:val="24"/>
          <w:szCs w:val="24"/>
          <w:lang w:val="en-US" w:eastAsia="zh-CN"/>
        </w:rPr>
      </w:pPr>
    </w:p>
    <w:p w14:paraId="5D7E3167">
      <w:pPr>
        <w:spacing w:line="360" w:lineRule="auto"/>
        <w:rPr>
          <w:rFonts w:hint="default" w:ascii="宋体" w:hAnsi="宋体" w:cs="楷体"/>
          <w:color w:val="000000"/>
          <w:kern w:val="1"/>
          <w:sz w:val="24"/>
          <w:szCs w:val="24"/>
          <w:lang w:val="en-US" w:eastAsia="zh-CN"/>
        </w:rPr>
      </w:pPr>
    </w:p>
    <w:p w14:paraId="3E1E923B">
      <w:pPr>
        <w:spacing w:line="360" w:lineRule="auto"/>
        <w:rPr>
          <w:rFonts w:hint="default" w:ascii="宋体" w:hAnsi="宋体" w:cs="楷体"/>
          <w:color w:val="000000"/>
          <w:kern w:val="1"/>
          <w:sz w:val="24"/>
          <w:szCs w:val="24"/>
          <w:lang w:val="en-US" w:eastAsia="zh-CN"/>
        </w:rPr>
      </w:pPr>
    </w:p>
    <w:p w14:paraId="5CCFBBC2">
      <w:pPr>
        <w:pStyle w:val="2"/>
        <w:bidi w:val="0"/>
        <w:jc w:val="center"/>
      </w:pPr>
      <w:r>
        <w:rPr>
          <w:rFonts w:hint="eastAsia"/>
          <w:lang w:val="en-US" w:eastAsia="zh-CN"/>
        </w:rPr>
        <w:t>二、</w:t>
      </w:r>
      <w:r>
        <w:t>法定代表人身份证明</w:t>
      </w:r>
    </w:p>
    <w:p w14:paraId="3E6F48E5">
      <w:pPr>
        <w:spacing w:line="440" w:lineRule="exact"/>
        <w:rPr>
          <w:rFonts w:ascii="宋体" w:hAnsi="宋体"/>
          <w:sz w:val="24"/>
          <w:szCs w:val="21"/>
        </w:rPr>
      </w:pPr>
      <w:r>
        <w:rPr>
          <w:rFonts w:ascii="宋体" w:hAnsi="宋体"/>
          <w:sz w:val="24"/>
          <w:szCs w:val="21"/>
        </w:rPr>
        <w:t>供应商名称：</w:t>
      </w:r>
      <w:r>
        <w:rPr>
          <w:rFonts w:ascii="宋体" w:hAnsi="宋体"/>
          <w:sz w:val="24"/>
          <w:szCs w:val="21"/>
          <w:u w:val="single"/>
        </w:rPr>
        <w:t xml:space="preserve">                            </w:t>
      </w:r>
      <w:r>
        <w:rPr>
          <w:rFonts w:ascii="宋体" w:hAnsi="宋体"/>
          <w:sz w:val="24"/>
          <w:szCs w:val="21"/>
        </w:rPr>
        <w:t xml:space="preserve"> </w:t>
      </w:r>
    </w:p>
    <w:p w14:paraId="0DA99428">
      <w:pPr>
        <w:spacing w:line="440" w:lineRule="exact"/>
        <w:rPr>
          <w:rFonts w:ascii="宋体" w:hAnsi="宋体"/>
          <w:sz w:val="24"/>
          <w:szCs w:val="21"/>
        </w:rPr>
      </w:pPr>
      <w:r>
        <w:rPr>
          <w:rFonts w:ascii="宋体" w:hAnsi="宋体"/>
          <w:sz w:val="24"/>
          <w:szCs w:val="21"/>
        </w:rPr>
        <w:t>单位性质：</w:t>
      </w:r>
      <w:r>
        <w:rPr>
          <w:rFonts w:ascii="宋体" w:hAnsi="宋体"/>
          <w:sz w:val="24"/>
          <w:szCs w:val="21"/>
          <w:u w:val="single"/>
        </w:rPr>
        <w:t xml:space="preserve">                               </w:t>
      </w:r>
      <w:r>
        <w:rPr>
          <w:rFonts w:ascii="宋体" w:hAnsi="宋体"/>
          <w:sz w:val="24"/>
          <w:szCs w:val="21"/>
        </w:rPr>
        <w:t xml:space="preserve"> </w:t>
      </w:r>
    </w:p>
    <w:p w14:paraId="14BCC815">
      <w:pPr>
        <w:spacing w:line="440" w:lineRule="exact"/>
        <w:rPr>
          <w:rFonts w:ascii="宋体" w:hAnsi="宋体"/>
          <w:sz w:val="24"/>
          <w:szCs w:val="21"/>
        </w:rPr>
      </w:pPr>
      <w:r>
        <w:rPr>
          <w:rFonts w:ascii="宋体" w:hAnsi="宋体"/>
          <w:sz w:val="24"/>
          <w:szCs w:val="21"/>
        </w:rPr>
        <w:t>地址：</w:t>
      </w:r>
      <w:r>
        <w:rPr>
          <w:rFonts w:ascii="宋体" w:hAnsi="宋体"/>
          <w:sz w:val="24"/>
          <w:szCs w:val="21"/>
          <w:u w:val="single"/>
        </w:rPr>
        <w:t xml:space="preserve">                                   </w:t>
      </w:r>
    </w:p>
    <w:p w14:paraId="4A217441">
      <w:pPr>
        <w:spacing w:line="440" w:lineRule="exact"/>
        <w:rPr>
          <w:rFonts w:ascii="宋体" w:hAnsi="宋体"/>
          <w:sz w:val="24"/>
          <w:szCs w:val="21"/>
        </w:rPr>
      </w:pPr>
      <w:r>
        <w:rPr>
          <w:rFonts w:ascii="宋体" w:hAnsi="宋体"/>
          <w:sz w:val="24"/>
          <w:szCs w:val="21"/>
        </w:rPr>
        <w:t>成立时间：</w:t>
      </w:r>
      <w:r>
        <w:rPr>
          <w:rFonts w:ascii="宋体" w:hAnsi="宋体"/>
          <w:sz w:val="24"/>
          <w:szCs w:val="21"/>
          <w:u w:val="single"/>
        </w:rPr>
        <w:t xml:space="preserve">         </w:t>
      </w:r>
      <w:r>
        <w:rPr>
          <w:rFonts w:ascii="宋体" w:hAnsi="宋体"/>
          <w:sz w:val="24"/>
          <w:szCs w:val="21"/>
        </w:rPr>
        <w:t xml:space="preserve"> 年</w:t>
      </w:r>
      <w:r>
        <w:rPr>
          <w:rFonts w:ascii="宋体" w:hAnsi="宋体"/>
          <w:sz w:val="24"/>
          <w:szCs w:val="21"/>
          <w:u w:val="single"/>
        </w:rPr>
        <w:t xml:space="preserve">       </w:t>
      </w:r>
      <w:r>
        <w:rPr>
          <w:rFonts w:ascii="宋体" w:hAnsi="宋体"/>
          <w:sz w:val="24"/>
          <w:szCs w:val="21"/>
        </w:rPr>
        <w:t xml:space="preserve"> 月</w:t>
      </w:r>
      <w:r>
        <w:rPr>
          <w:rFonts w:ascii="宋体" w:hAnsi="宋体"/>
          <w:sz w:val="24"/>
          <w:szCs w:val="21"/>
          <w:u w:val="single"/>
        </w:rPr>
        <w:t xml:space="preserve">       </w:t>
      </w:r>
      <w:r>
        <w:rPr>
          <w:rFonts w:ascii="宋体" w:hAnsi="宋体"/>
          <w:sz w:val="24"/>
          <w:szCs w:val="21"/>
        </w:rPr>
        <w:t xml:space="preserve"> 日</w:t>
      </w:r>
    </w:p>
    <w:p w14:paraId="3510C276">
      <w:pPr>
        <w:spacing w:line="440" w:lineRule="exact"/>
        <w:rPr>
          <w:rFonts w:ascii="宋体" w:hAnsi="宋体"/>
          <w:sz w:val="24"/>
          <w:szCs w:val="21"/>
        </w:rPr>
      </w:pPr>
      <w:r>
        <w:rPr>
          <w:rFonts w:ascii="宋体" w:hAnsi="宋体"/>
          <w:sz w:val="24"/>
          <w:szCs w:val="21"/>
        </w:rPr>
        <w:t>经营期限：</w:t>
      </w:r>
      <w:r>
        <w:rPr>
          <w:rFonts w:ascii="宋体" w:hAnsi="宋体"/>
          <w:sz w:val="24"/>
          <w:szCs w:val="21"/>
          <w:u w:val="single"/>
        </w:rPr>
        <w:t xml:space="preserve">                               </w:t>
      </w:r>
    </w:p>
    <w:p w14:paraId="686523D5">
      <w:pPr>
        <w:spacing w:line="440" w:lineRule="exact"/>
        <w:rPr>
          <w:rFonts w:ascii="宋体" w:hAnsi="宋体"/>
          <w:sz w:val="24"/>
          <w:szCs w:val="21"/>
        </w:rPr>
      </w:pPr>
      <w:r>
        <w:rPr>
          <w:rFonts w:ascii="宋体" w:hAnsi="宋体"/>
          <w:sz w:val="24"/>
          <w:szCs w:val="21"/>
        </w:rPr>
        <w:t>姓名：</w:t>
      </w:r>
      <w:r>
        <w:rPr>
          <w:rFonts w:ascii="宋体" w:hAnsi="宋体"/>
          <w:sz w:val="24"/>
          <w:szCs w:val="21"/>
          <w:u w:val="single"/>
        </w:rPr>
        <w:t xml:space="preserve">        </w:t>
      </w:r>
      <w:r>
        <w:rPr>
          <w:rFonts w:ascii="宋体" w:hAnsi="宋体"/>
          <w:sz w:val="24"/>
          <w:szCs w:val="21"/>
        </w:rPr>
        <w:t xml:space="preserve"> 性别：</w:t>
      </w:r>
      <w:r>
        <w:rPr>
          <w:rFonts w:ascii="宋体" w:hAnsi="宋体"/>
          <w:sz w:val="24"/>
          <w:szCs w:val="21"/>
          <w:u w:val="single"/>
        </w:rPr>
        <w:t xml:space="preserve">         </w:t>
      </w:r>
      <w:r>
        <w:rPr>
          <w:rFonts w:ascii="宋体" w:hAnsi="宋体"/>
          <w:sz w:val="24"/>
          <w:szCs w:val="21"/>
        </w:rPr>
        <w:t xml:space="preserve"> 年龄：</w:t>
      </w:r>
      <w:r>
        <w:rPr>
          <w:rFonts w:ascii="宋体" w:hAnsi="宋体"/>
          <w:sz w:val="24"/>
          <w:szCs w:val="21"/>
          <w:u w:val="single"/>
        </w:rPr>
        <w:t xml:space="preserve">        </w:t>
      </w:r>
      <w:r>
        <w:rPr>
          <w:rFonts w:ascii="宋体" w:hAnsi="宋体"/>
          <w:sz w:val="24"/>
          <w:szCs w:val="21"/>
        </w:rPr>
        <w:t>职务：</w:t>
      </w:r>
      <w:r>
        <w:rPr>
          <w:rFonts w:ascii="宋体" w:hAnsi="宋体"/>
          <w:sz w:val="24"/>
          <w:szCs w:val="21"/>
          <w:u w:val="single"/>
        </w:rPr>
        <w:t xml:space="preserve">        </w:t>
      </w:r>
    </w:p>
    <w:p w14:paraId="6E88884A">
      <w:pPr>
        <w:spacing w:line="440" w:lineRule="exact"/>
        <w:rPr>
          <w:rFonts w:ascii="宋体" w:hAnsi="宋体"/>
          <w:sz w:val="24"/>
          <w:szCs w:val="21"/>
        </w:rPr>
      </w:pPr>
      <w:r>
        <w:rPr>
          <w:rFonts w:ascii="宋体" w:hAnsi="宋体"/>
          <w:sz w:val="24"/>
          <w:szCs w:val="21"/>
        </w:rPr>
        <w:t>系</w:t>
      </w:r>
      <w:r>
        <w:rPr>
          <w:rFonts w:ascii="宋体" w:hAnsi="宋体"/>
          <w:sz w:val="24"/>
          <w:szCs w:val="21"/>
          <w:u w:val="single"/>
        </w:rPr>
        <w:t xml:space="preserve">                             </w:t>
      </w:r>
      <w:r>
        <w:rPr>
          <w:rFonts w:ascii="宋体" w:hAnsi="宋体"/>
          <w:sz w:val="24"/>
          <w:szCs w:val="21"/>
        </w:rPr>
        <w:t xml:space="preserve"> （供应商名称）的法定代表人。</w:t>
      </w:r>
    </w:p>
    <w:p w14:paraId="7BE6D274">
      <w:pPr>
        <w:spacing w:line="440" w:lineRule="exact"/>
        <w:ind w:firstLine="480" w:firstLineChars="200"/>
        <w:rPr>
          <w:rFonts w:ascii="宋体" w:hAnsi="宋体"/>
          <w:sz w:val="24"/>
          <w:szCs w:val="21"/>
        </w:rPr>
      </w:pPr>
      <w:r>
        <w:rPr>
          <w:rFonts w:ascii="宋体" w:hAnsi="宋体"/>
          <w:sz w:val="24"/>
          <w:szCs w:val="21"/>
        </w:rPr>
        <w:t>特此证明。</w:t>
      </w:r>
    </w:p>
    <w:p w14:paraId="68DC2421">
      <w:pPr>
        <w:spacing w:line="440" w:lineRule="exact"/>
        <w:rPr>
          <w:rFonts w:ascii="宋体" w:hAnsi="宋体"/>
          <w:sz w:val="24"/>
          <w:szCs w:val="21"/>
        </w:rPr>
      </w:pPr>
    </w:p>
    <w:p w14:paraId="5BBBB8CC">
      <w:pPr>
        <w:spacing w:line="440" w:lineRule="exact"/>
        <w:rPr>
          <w:rFonts w:ascii="宋体" w:hAnsi="宋体"/>
          <w:sz w:val="24"/>
          <w:szCs w:val="21"/>
        </w:rPr>
      </w:pPr>
    </w:p>
    <w:p w14:paraId="6A4D1667">
      <w:pPr>
        <w:spacing w:line="440" w:lineRule="exact"/>
        <w:jc w:val="right"/>
        <w:rPr>
          <w:rFonts w:ascii="宋体" w:hAnsi="宋体"/>
          <w:sz w:val="24"/>
          <w:szCs w:val="21"/>
        </w:rPr>
      </w:pPr>
      <w:r>
        <w:rPr>
          <w:rFonts w:ascii="宋体" w:hAnsi="宋体"/>
          <w:sz w:val="24"/>
          <w:szCs w:val="21"/>
        </w:rPr>
        <w:t xml:space="preserve">                         </w:t>
      </w:r>
      <w:r>
        <w:rPr>
          <w:rFonts w:hint="eastAsia"/>
          <w:snapToGrid w:val="0"/>
          <w:color w:val="000000"/>
          <w:spacing w:val="-5"/>
          <w:kern w:val="0"/>
          <w:sz w:val="24"/>
          <w:szCs w:val="24"/>
          <w:lang w:val="en-US" w:eastAsia="zh-CN"/>
        </w:rPr>
        <w:t xml:space="preserve">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u w:val="single"/>
          <w:lang w:val="en-US" w:eastAsia="zh-CN"/>
        </w:rPr>
        <w:t xml:space="preserve">      </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（盖</w:t>
      </w:r>
      <w:r>
        <w:rPr>
          <w:rFonts w:hint="eastAsia" w:ascii="宋体" w:hAnsi="宋体" w:cs="楷体"/>
          <w:color w:val="000000"/>
          <w:kern w:val="1"/>
          <w:sz w:val="24"/>
          <w:szCs w:val="24"/>
          <w:lang w:val="en-US" w:eastAsia="zh-CN"/>
        </w:rPr>
        <w:t>电子</w:t>
      </w:r>
      <w:r>
        <w:rPr>
          <w:rFonts w:hint="eastAsia" w:ascii="宋体" w:hAnsi="宋体" w:cs="楷体"/>
          <w:color w:val="000000"/>
          <w:kern w:val="1"/>
          <w:sz w:val="24"/>
          <w:szCs w:val="24"/>
        </w:rPr>
        <w:t>章）</w:t>
      </w:r>
    </w:p>
    <w:p w14:paraId="3F9A6B22">
      <w:pPr>
        <w:spacing w:line="440" w:lineRule="exact"/>
        <w:jc w:val="right"/>
        <w:rPr>
          <w:rFonts w:ascii="宋体" w:hAnsi="宋体"/>
          <w:sz w:val="24"/>
          <w:szCs w:val="21"/>
        </w:rPr>
      </w:pPr>
      <w:r>
        <w:rPr>
          <w:rFonts w:ascii="宋体" w:hAnsi="宋体"/>
          <w:sz w:val="24"/>
          <w:szCs w:val="21"/>
        </w:rPr>
        <w:t xml:space="preserve">                                   </w:t>
      </w: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3F9CECB9">
      <w:pPr>
        <w:spacing w:line="440" w:lineRule="exact"/>
        <w:jc w:val="right"/>
        <w:rPr>
          <w:rFonts w:ascii="宋体" w:hAnsi="宋体"/>
          <w:sz w:val="24"/>
          <w:szCs w:val="21"/>
        </w:rPr>
      </w:pPr>
    </w:p>
    <w:p w14:paraId="4F462FCD">
      <w:pPr>
        <w:spacing w:line="440" w:lineRule="exact"/>
        <w:jc w:val="right"/>
        <w:rPr>
          <w:rFonts w:ascii="宋体" w:hAnsi="宋体"/>
          <w:sz w:val="24"/>
          <w:szCs w:val="21"/>
        </w:rPr>
      </w:pP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C4F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33A58241">
            <w:pPr>
              <w:spacing w:line="480" w:lineRule="exact"/>
              <w:jc w:val="center"/>
              <w:rPr>
                <w:rFonts w:ascii="宋体" w:hAnsi="宋体"/>
                <w:sz w:val="32"/>
                <w:szCs w:val="32"/>
              </w:rPr>
            </w:pPr>
            <w:r>
              <w:rPr>
                <w:rFonts w:ascii="宋体" w:hAnsi="宋体"/>
                <w:sz w:val="32"/>
                <w:szCs w:val="32"/>
              </w:rPr>
              <w:t>法定代表人身份证</w:t>
            </w:r>
            <w:r>
              <w:rPr>
                <w:rFonts w:hint="eastAsia" w:ascii="宋体" w:hAnsi="宋体"/>
                <w:sz w:val="32"/>
                <w:szCs w:val="32"/>
              </w:rPr>
              <w:t>复印件</w:t>
            </w:r>
          </w:p>
          <w:p w14:paraId="58303AE5">
            <w:pPr>
              <w:spacing w:line="480" w:lineRule="exact"/>
              <w:jc w:val="center"/>
              <w:rPr>
                <w:rFonts w:ascii="宋体" w:hAnsi="宋体"/>
                <w:sz w:val="24"/>
                <w:szCs w:val="21"/>
              </w:rPr>
            </w:pPr>
          </w:p>
        </w:tc>
      </w:tr>
    </w:tbl>
    <w:p w14:paraId="0C3FF53C">
      <w:pPr>
        <w:spacing w:line="360" w:lineRule="auto"/>
        <w:rPr>
          <w:rFonts w:hint="default" w:ascii="宋体" w:hAnsi="宋体" w:cs="楷体"/>
          <w:color w:val="000000"/>
          <w:kern w:val="1"/>
          <w:sz w:val="24"/>
          <w:szCs w:val="24"/>
          <w:lang w:val="en-US" w:eastAsia="zh-CN"/>
        </w:rPr>
      </w:pPr>
    </w:p>
    <w:p w14:paraId="0F16A326">
      <w:pPr>
        <w:spacing w:line="360" w:lineRule="auto"/>
        <w:rPr>
          <w:rFonts w:hint="default" w:ascii="宋体" w:hAnsi="宋体" w:cs="楷体"/>
          <w:color w:val="000000"/>
          <w:kern w:val="1"/>
          <w:sz w:val="24"/>
          <w:szCs w:val="24"/>
          <w:lang w:val="en-US" w:eastAsia="zh-CN"/>
        </w:rPr>
      </w:pPr>
    </w:p>
    <w:p w14:paraId="484264A0">
      <w:pPr>
        <w:spacing w:line="360" w:lineRule="auto"/>
        <w:rPr>
          <w:rFonts w:hint="default" w:ascii="宋体" w:hAnsi="宋体" w:cs="楷体"/>
          <w:color w:val="000000"/>
          <w:kern w:val="1"/>
          <w:sz w:val="24"/>
          <w:szCs w:val="24"/>
          <w:lang w:val="en-US" w:eastAsia="zh-CN"/>
        </w:rPr>
      </w:pPr>
    </w:p>
    <w:p w14:paraId="4099B4E6">
      <w:pPr>
        <w:spacing w:line="360" w:lineRule="auto"/>
        <w:rPr>
          <w:rFonts w:hint="default" w:ascii="宋体" w:hAnsi="宋体" w:cs="楷体"/>
          <w:color w:val="000000"/>
          <w:kern w:val="1"/>
          <w:sz w:val="24"/>
          <w:szCs w:val="24"/>
          <w:lang w:val="en-US" w:eastAsia="zh-CN"/>
        </w:rPr>
      </w:pPr>
    </w:p>
    <w:p w14:paraId="6355D310">
      <w:pPr>
        <w:pStyle w:val="2"/>
        <w:bidi w:val="0"/>
        <w:jc w:val="center"/>
      </w:pPr>
      <w:r>
        <w:rPr>
          <w:rFonts w:hint="eastAsia"/>
        </w:rPr>
        <w:t>三</w:t>
      </w:r>
      <w:r>
        <w:t>、</w:t>
      </w:r>
      <w:r>
        <w:rPr>
          <w:rFonts w:hint="eastAsia"/>
          <w:lang w:val="en-US" w:eastAsia="zh-CN"/>
        </w:rPr>
        <w:t>法定代表人</w:t>
      </w:r>
      <w:r>
        <w:t>授权委托书</w:t>
      </w:r>
    </w:p>
    <w:p w14:paraId="45A99067">
      <w:pPr>
        <w:spacing w:line="440" w:lineRule="exact"/>
        <w:rPr>
          <w:rFonts w:ascii="宋体" w:hAnsi="宋体"/>
          <w:sz w:val="24"/>
          <w:szCs w:val="21"/>
        </w:rPr>
      </w:pPr>
    </w:p>
    <w:p w14:paraId="6440A372">
      <w:pPr>
        <w:topLinePunct/>
        <w:spacing w:line="360" w:lineRule="auto"/>
        <w:ind w:firstLine="480" w:firstLineChars="200"/>
        <w:rPr>
          <w:rFonts w:ascii="宋体" w:hAnsi="宋体"/>
          <w:sz w:val="24"/>
          <w:szCs w:val="21"/>
        </w:rPr>
      </w:pPr>
      <w:r>
        <w:rPr>
          <w:rFonts w:ascii="宋体" w:hAnsi="宋体"/>
          <w:sz w:val="24"/>
          <w:szCs w:val="21"/>
        </w:rPr>
        <w:t>本人</w:t>
      </w:r>
      <w:r>
        <w:rPr>
          <w:rFonts w:ascii="宋体" w:hAnsi="宋体"/>
          <w:sz w:val="24"/>
          <w:szCs w:val="21"/>
          <w:u w:val="single"/>
        </w:rPr>
        <w:t xml:space="preserve">       </w:t>
      </w:r>
      <w:r>
        <w:rPr>
          <w:rFonts w:ascii="宋体" w:hAnsi="宋体"/>
          <w:sz w:val="24"/>
          <w:szCs w:val="21"/>
        </w:rPr>
        <w:t>（姓名）系</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（供应商名称）的法定代表人，现委托</w:t>
      </w:r>
      <w:r>
        <w:rPr>
          <w:rFonts w:ascii="宋体" w:hAnsi="宋体"/>
          <w:sz w:val="24"/>
          <w:szCs w:val="21"/>
          <w:u w:val="single"/>
        </w:rPr>
        <w:t xml:space="preserve">        </w:t>
      </w:r>
      <w:r>
        <w:rPr>
          <w:rFonts w:ascii="宋体" w:hAnsi="宋体"/>
          <w:sz w:val="24"/>
          <w:szCs w:val="21"/>
        </w:rPr>
        <w:t>（姓名）为我方代理人。代理人根据授权，以我方名义签署、澄清、说明、补正、递交、撤回、修改</w:t>
      </w:r>
      <w:r>
        <w:rPr>
          <w:rFonts w:ascii="宋体" w:hAnsi="宋体"/>
          <w:sz w:val="24"/>
          <w:szCs w:val="21"/>
          <w:u w:val="single"/>
        </w:rPr>
        <w:t xml:space="preserve">          </w:t>
      </w:r>
      <w:r>
        <w:rPr>
          <w:rFonts w:ascii="宋体" w:hAnsi="宋体"/>
          <w:sz w:val="24"/>
          <w:szCs w:val="21"/>
        </w:rPr>
        <w:t>（项目名称）</w:t>
      </w:r>
      <w:r>
        <w:rPr>
          <w:rFonts w:hint="eastAsia" w:ascii="宋体" w:hAnsi="宋体"/>
          <w:sz w:val="24"/>
          <w:szCs w:val="21"/>
          <w:lang w:eastAsia="zh-CN"/>
        </w:rPr>
        <w:t>磋商</w:t>
      </w:r>
      <w:r>
        <w:rPr>
          <w:rFonts w:ascii="宋体" w:hAnsi="宋体"/>
          <w:sz w:val="24"/>
          <w:szCs w:val="21"/>
        </w:rPr>
        <w:t>文件、签订合同和处理有关事宜，其法律后果由我方承担。</w:t>
      </w:r>
    </w:p>
    <w:p w14:paraId="3B8DBBC9">
      <w:pPr>
        <w:spacing w:line="360" w:lineRule="auto"/>
        <w:rPr>
          <w:rFonts w:ascii="宋体" w:hAnsi="宋体"/>
          <w:sz w:val="24"/>
          <w:szCs w:val="21"/>
        </w:rPr>
      </w:pPr>
      <w:r>
        <w:rPr>
          <w:rFonts w:ascii="宋体" w:hAnsi="宋体"/>
          <w:sz w:val="24"/>
          <w:szCs w:val="21"/>
        </w:rPr>
        <w:t xml:space="preserve">    委托期限：</w:t>
      </w:r>
      <w:r>
        <w:rPr>
          <w:rFonts w:ascii="宋体" w:hAnsi="宋体"/>
          <w:sz w:val="24"/>
          <w:szCs w:val="21"/>
          <w:u w:val="single"/>
        </w:rPr>
        <w:t xml:space="preserve">             </w:t>
      </w:r>
      <w:r>
        <w:rPr>
          <w:rFonts w:ascii="宋体" w:hAnsi="宋体"/>
          <w:sz w:val="24"/>
          <w:szCs w:val="21"/>
        </w:rPr>
        <w:t>。</w:t>
      </w:r>
    </w:p>
    <w:p w14:paraId="763FA6EB">
      <w:pPr>
        <w:spacing w:line="360" w:lineRule="auto"/>
        <w:ind w:firstLine="480" w:firstLineChars="200"/>
        <w:rPr>
          <w:rFonts w:ascii="宋体" w:hAnsi="宋体"/>
          <w:sz w:val="24"/>
          <w:szCs w:val="21"/>
        </w:rPr>
      </w:pPr>
      <w:r>
        <w:rPr>
          <w:rFonts w:ascii="宋体" w:hAnsi="宋体"/>
          <w:sz w:val="24"/>
          <w:szCs w:val="21"/>
        </w:rPr>
        <w:t>代理人无转委托权。</w:t>
      </w:r>
    </w:p>
    <w:p w14:paraId="6F99E920">
      <w:pPr>
        <w:spacing w:line="360" w:lineRule="auto"/>
        <w:ind w:firstLine="480" w:firstLineChars="200"/>
        <w:rPr>
          <w:rFonts w:ascii="宋体" w:hAnsi="宋体"/>
          <w:sz w:val="24"/>
          <w:szCs w:val="21"/>
        </w:rPr>
      </w:pPr>
      <w:r>
        <w:rPr>
          <w:rFonts w:ascii="宋体" w:hAnsi="宋体"/>
          <w:sz w:val="24"/>
          <w:szCs w:val="21"/>
        </w:rPr>
        <w:t>附</w:t>
      </w:r>
      <w:r>
        <w:rPr>
          <w:rFonts w:hint="eastAsia" w:ascii="宋体" w:hAnsi="宋体"/>
          <w:sz w:val="24"/>
          <w:szCs w:val="21"/>
          <w:lang w:eastAsia="zh-CN"/>
        </w:rPr>
        <w:t>：</w:t>
      </w:r>
      <w:r>
        <w:rPr>
          <w:rFonts w:ascii="宋体" w:hAnsi="宋体"/>
          <w:sz w:val="24"/>
          <w:szCs w:val="21"/>
        </w:rPr>
        <w:t>委托代理人</w:t>
      </w:r>
      <w:r>
        <w:rPr>
          <w:rFonts w:hint="eastAsia" w:ascii="宋体" w:hAnsi="宋体"/>
          <w:sz w:val="24"/>
          <w:szCs w:val="21"/>
        </w:rPr>
        <w:t>身份证复印件</w:t>
      </w:r>
    </w:p>
    <w:p w14:paraId="0588EA23">
      <w:pPr>
        <w:spacing w:line="440" w:lineRule="exact"/>
        <w:rPr>
          <w:rFonts w:ascii="宋体" w:hAnsi="宋体"/>
          <w:sz w:val="24"/>
          <w:szCs w:val="21"/>
        </w:rPr>
      </w:pPr>
    </w:p>
    <w:p w14:paraId="0A3FE0FF">
      <w:pPr>
        <w:spacing w:line="440" w:lineRule="exact"/>
        <w:rPr>
          <w:rFonts w:ascii="宋体" w:hAnsi="宋体"/>
          <w:sz w:val="24"/>
          <w:szCs w:val="21"/>
        </w:rPr>
      </w:pPr>
    </w:p>
    <w:p w14:paraId="1D22ACFC">
      <w:pPr>
        <w:spacing w:line="440" w:lineRule="exact"/>
        <w:rPr>
          <w:rFonts w:ascii="宋体" w:hAnsi="宋体"/>
          <w:sz w:val="24"/>
          <w:szCs w:val="21"/>
        </w:rPr>
      </w:pPr>
    </w:p>
    <w:p w14:paraId="4D1D10D4">
      <w:pPr>
        <w:spacing w:line="440" w:lineRule="exact"/>
        <w:rPr>
          <w:rFonts w:ascii="宋体" w:hAnsi="宋体"/>
          <w:sz w:val="24"/>
          <w:szCs w:val="21"/>
        </w:rPr>
      </w:pPr>
    </w:p>
    <w:p w14:paraId="18A65CCB">
      <w:pPr>
        <w:spacing w:line="440" w:lineRule="exact"/>
        <w:rPr>
          <w:rFonts w:ascii="宋体" w:hAnsi="宋体"/>
          <w:sz w:val="24"/>
          <w:szCs w:val="21"/>
        </w:rPr>
      </w:pPr>
    </w:p>
    <w:p w14:paraId="40F9ABE4">
      <w:pPr>
        <w:spacing w:line="440" w:lineRule="exact"/>
        <w:rPr>
          <w:rFonts w:ascii="宋体" w:hAnsi="宋体"/>
          <w:sz w:val="24"/>
          <w:szCs w:val="21"/>
        </w:rPr>
      </w:pPr>
    </w:p>
    <w:p w14:paraId="4F07F0FA">
      <w:pPr>
        <w:spacing w:line="440" w:lineRule="exact"/>
        <w:ind w:firstLine="2126" w:firstLineChars="886"/>
        <w:rPr>
          <w:rFonts w:ascii="宋体" w:hAnsi="宋体"/>
          <w:sz w:val="24"/>
          <w:szCs w:val="21"/>
        </w:rPr>
      </w:pPr>
    </w:p>
    <w:p w14:paraId="266EFCB0">
      <w:pPr>
        <w:spacing w:line="440" w:lineRule="exact"/>
        <w:ind w:right="56" w:firstLine="2037" w:firstLineChars="886"/>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 xml:space="preserve">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u w:val="single"/>
          <w:lang w:val="en-US" w:eastAsia="zh-CN"/>
        </w:rPr>
        <w:t xml:space="preserve">              </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（盖</w:t>
      </w:r>
      <w:r>
        <w:rPr>
          <w:rFonts w:hint="eastAsia" w:ascii="宋体" w:hAnsi="宋体" w:cs="楷体"/>
          <w:color w:val="000000"/>
          <w:kern w:val="1"/>
          <w:sz w:val="24"/>
          <w:szCs w:val="24"/>
          <w:lang w:val="en-US" w:eastAsia="zh-CN"/>
        </w:rPr>
        <w:t>电子</w:t>
      </w:r>
      <w:r>
        <w:rPr>
          <w:rFonts w:hint="eastAsia" w:ascii="宋体" w:hAnsi="宋体" w:cs="楷体"/>
          <w:color w:val="000000"/>
          <w:kern w:val="1"/>
          <w:sz w:val="24"/>
          <w:szCs w:val="24"/>
        </w:rPr>
        <w:t>章）</w:t>
      </w:r>
    </w:p>
    <w:p w14:paraId="011B9869">
      <w:pPr>
        <w:spacing w:line="440" w:lineRule="exact"/>
        <w:ind w:right="56" w:firstLine="2126" w:firstLineChars="886"/>
        <w:rPr>
          <w:rFonts w:ascii="宋体" w:hAnsi="宋体"/>
          <w:sz w:val="24"/>
          <w:szCs w:val="21"/>
        </w:rPr>
      </w:pPr>
      <w:r>
        <w:rPr>
          <w:rFonts w:ascii="宋体" w:hAnsi="宋体"/>
          <w:sz w:val="24"/>
          <w:szCs w:val="21"/>
        </w:rPr>
        <w:t>法定代表人：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w:t>
      </w:r>
      <w:r>
        <w:rPr>
          <w:rFonts w:ascii="宋体" w:hAnsi="宋体"/>
          <w:sz w:val="24"/>
          <w:szCs w:val="21"/>
        </w:rPr>
        <w:t>或盖章）</w:t>
      </w:r>
    </w:p>
    <w:p w14:paraId="4BD25BBB">
      <w:pPr>
        <w:spacing w:line="440" w:lineRule="exact"/>
        <w:ind w:firstLine="2126" w:firstLineChars="886"/>
        <w:rPr>
          <w:rFonts w:ascii="宋体" w:hAnsi="宋体"/>
          <w:sz w:val="24"/>
          <w:szCs w:val="21"/>
          <w:u w:val="single"/>
        </w:rPr>
      </w:pPr>
      <w:r>
        <w:rPr>
          <w:rFonts w:ascii="宋体" w:hAnsi="宋体"/>
          <w:sz w:val="24"/>
          <w:szCs w:val="21"/>
        </w:rPr>
        <w:t>身份证号码：</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p>
    <w:p w14:paraId="6A86F9A2">
      <w:pPr>
        <w:spacing w:line="440" w:lineRule="exact"/>
        <w:ind w:right="56" w:firstLine="2126" w:firstLineChars="886"/>
        <w:rPr>
          <w:rFonts w:ascii="宋体" w:hAnsi="宋体"/>
          <w:sz w:val="24"/>
          <w:szCs w:val="21"/>
        </w:rPr>
      </w:pPr>
      <w:r>
        <w:rPr>
          <w:rFonts w:hint="eastAsia" w:ascii="宋体" w:hAnsi="宋体"/>
          <w:sz w:val="24"/>
          <w:szCs w:val="21"/>
          <w:lang w:val="en-US" w:eastAsia="zh-CN"/>
        </w:rPr>
        <w:t>授权委托人</w:t>
      </w:r>
      <w:r>
        <w:rPr>
          <w:rFonts w:ascii="宋体" w:hAnsi="宋体"/>
          <w:sz w:val="24"/>
          <w:szCs w:val="21"/>
        </w:rPr>
        <w:t>：</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（签字或盖章）</w:t>
      </w:r>
    </w:p>
    <w:p w14:paraId="5C1414A2">
      <w:pPr>
        <w:spacing w:line="440" w:lineRule="exact"/>
        <w:ind w:firstLine="2126" w:firstLineChars="886"/>
        <w:rPr>
          <w:rFonts w:ascii="宋体" w:hAnsi="宋体"/>
          <w:sz w:val="24"/>
          <w:szCs w:val="21"/>
          <w:u w:val="single"/>
        </w:rPr>
      </w:pPr>
      <w:r>
        <w:rPr>
          <w:rFonts w:ascii="宋体" w:hAnsi="宋体"/>
          <w:sz w:val="24"/>
          <w:szCs w:val="21"/>
        </w:rPr>
        <w:t>身份证号码：</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p>
    <w:p w14:paraId="2D85D1B2">
      <w:pPr>
        <w:spacing w:line="440" w:lineRule="exact"/>
        <w:rPr>
          <w:rFonts w:hint="eastAsia" w:ascii="宋体" w:hAnsi="宋体"/>
          <w:sz w:val="24"/>
          <w:szCs w:val="21"/>
          <w:u w:val="single"/>
        </w:rPr>
      </w:pPr>
      <w:r>
        <w:rPr>
          <w:rFonts w:hint="eastAsia" w:ascii="宋体" w:hAnsi="宋体"/>
          <w:sz w:val="24"/>
          <w:szCs w:val="21"/>
        </w:rPr>
        <w:t xml:space="preserve">                  联系电话：</w:t>
      </w:r>
      <w:r>
        <w:rPr>
          <w:rFonts w:hint="eastAsia" w:ascii="宋体" w:hAnsi="宋体"/>
          <w:sz w:val="24"/>
          <w:szCs w:val="21"/>
          <w:u w:val="single"/>
        </w:rPr>
        <w:t xml:space="preserve">                         </w:t>
      </w:r>
    </w:p>
    <w:p w14:paraId="57D81CB6">
      <w:pPr>
        <w:spacing w:line="440" w:lineRule="exact"/>
        <w:ind w:right="1380" w:firstLine="2160" w:firstLineChars="900"/>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107DF29F">
      <w:pPr>
        <w:spacing w:line="360" w:lineRule="auto"/>
        <w:rPr>
          <w:rFonts w:hint="default" w:ascii="宋体" w:hAnsi="宋体" w:cs="楷体"/>
          <w:color w:val="000000"/>
          <w:kern w:val="1"/>
          <w:sz w:val="24"/>
          <w:szCs w:val="24"/>
          <w:lang w:val="en-US" w:eastAsia="zh-CN"/>
        </w:rPr>
      </w:pPr>
    </w:p>
    <w:p w14:paraId="50789190">
      <w:pPr>
        <w:spacing w:line="360" w:lineRule="auto"/>
        <w:rPr>
          <w:rFonts w:hint="default" w:ascii="宋体" w:hAnsi="宋体" w:cs="楷体"/>
          <w:color w:val="000000"/>
          <w:kern w:val="1"/>
          <w:sz w:val="24"/>
          <w:szCs w:val="24"/>
          <w:lang w:val="en-US" w:eastAsia="zh-CN"/>
        </w:rPr>
      </w:pPr>
    </w:p>
    <w:p w14:paraId="0B88562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val="0"/>
          <w:bCs w:val="0"/>
          <w:color w:val="auto"/>
          <w:sz w:val="24"/>
          <w:szCs w:val="24"/>
          <w:highlight w:val="none"/>
        </w:rPr>
      </w:pPr>
      <w:r>
        <w:rPr>
          <w:rFonts w:hint="eastAsia" w:ascii="宋体" w:hAnsi="宋体" w:cs="宋体"/>
          <w:b/>
          <w:bCs/>
          <w:color w:val="auto"/>
          <w:sz w:val="24"/>
          <w:szCs w:val="24"/>
          <w:highlight w:val="none"/>
        </w:rPr>
        <w:t>注：因投标文件中授权委托书授权代理人无法手写签字，可以以印刷体代替</w:t>
      </w:r>
      <w:r>
        <w:rPr>
          <w:rFonts w:hint="eastAsia" w:ascii="宋体" w:hAnsi="宋体" w:cs="宋体"/>
          <w:b/>
          <w:bCs/>
          <w:color w:val="auto"/>
          <w:sz w:val="24"/>
          <w:szCs w:val="24"/>
          <w:highlight w:val="none"/>
          <w:lang w:val="en-US" w:eastAsia="zh-CN"/>
        </w:rPr>
        <w:t>并加盖法定代表人签章</w:t>
      </w:r>
      <w:r>
        <w:rPr>
          <w:rFonts w:hint="eastAsia" w:ascii="宋体" w:hAnsi="宋体" w:cs="宋体"/>
          <w:b/>
          <w:bCs/>
          <w:color w:val="auto"/>
          <w:sz w:val="24"/>
          <w:szCs w:val="24"/>
          <w:highlight w:val="none"/>
        </w:rPr>
        <w:t>（印刷体为电脑打出的字体）。</w:t>
      </w:r>
    </w:p>
    <w:p w14:paraId="226BDFBA">
      <w:pPr>
        <w:spacing w:line="360" w:lineRule="auto"/>
        <w:rPr>
          <w:rFonts w:hint="default" w:ascii="宋体" w:hAnsi="宋体" w:cs="楷体"/>
          <w:color w:val="000000"/>
          <w:kern w:val="1"/>
          <w:sz w:val="24"/>
          <w:szCs w:val="24"/>
          <w:lang w:val="en-US" w:eastAsia="zh-CN"/>
        </w:rPr>
      </w:pPr>
    </w:p>
    <w:p w14:paraId="44A8399E">
      <w:pPr>
        <w:pStyle w:val="2"/>
        <w:bidi w:val="0"/>
        <w:jc w:val="center"/>
      </w:pPr>
      <w:r>
        <w:rPr>
          <w:rFonts w:hint="eastAsia"/>
          <w:lang w:val="en-US" w:eastAsia="zh-CN"/>
        </w:rPr>
        <w:t>四、</w:t>
      </w:r>
      <w:r>
        <w:rPr>
          <w:rFonts w:hint="eastAsia"/>
        </w:rPr>
        <w:t>资格审查资料</w:t>
      </w:r>
    </w:p>
    <w:p w14:paraId="7C0884D8">
      <w:pPr>
        <w:spacing w:line="360" w:lineRule="auto"/>
        <w:jc w:val="center"/>
        <w:rPr>
          <w:rFonts w:ascii="宋体" w:hAnsi="宋体" w:cs="宋体"/>
          <w:b/>
          <w:sz w:val="28"/>
          <w:szCs w:val="22"/>
        </w:rPr>
      </w:pPr>
      <w:r>
        <w:rPr>
          <w:rFonts w:hint="eastAsia" w:ascii="宋体" w:hAnsi="宋体" w:cs="宋体"/>
          <w:b/>
          <w:sz w:val="28"/>
          <w:szCs w:val="22"/>
        </w:rPr>
        <w:t>（一）</w:t>
      </w:r>
      <w:r>
        <w:rPr>
          <w:rFonts w:hint="eastAsia" w:ascii="宋体" w:hAnsi="宋体" w:cs="宋体"/>
          <w:b/>
          <w:sz w:val="28"/>
          <w:szCs w:val="22"/>
          <w:lang w:val="en-US" w:eastAsia="zh-CN"/>
        </w:rPr>
        <w:t>供应商</w:t>
      </w:r>
      <w:r>
        <w:rPr>
          <w:rFonts w:hint="eastAsia" w:ascii="宋体" w:hAnsi="宋体" w:cs="宋体"/>
          <w:b/>
          <w:sz w:val="28"/>
          <w:szCs w:val="22"/>
        </w:rPr>
        <w:t>基本情况表</w:t>
      </w:r>
    </w:p>
    <w:tbl>
      <w:tblPr>
        <w:tblStyle w:val="19"/>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1"/>
        <w:gridCol w:w="1117"/>
        <w:gridCol w:w="1428"/>
        <w:gridCol w:w="1625"/>
        <w:gridCol w:w="1247"/>
        <w:gridCol w:w="933"/>
        <w:gridCol w:w="1100"/>
      </w:tblGrid>
      <w:tr w14:paraId="0176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6024620E">
            <w:pPr>
              <w:spacing w:line="500" w:lineRule="exact"/>
              <w:jc w:val="center"/>
              <w:rPr>
                <w:rFonts w:ascii="宋体" w:hAnsi="宋体" w:cs="宋体"/>
                <w:sz w:val="24"/>
                <w:szCs w:val="21"/>
              </w:rPr>
            </w:pPr>
            <w:r>
              <w:rPr>
                <w:rFonts w:hint="eastAsia" w:ascii="宋体" w:hAnsi="宋体" w:cs="宋体"/>
                <w:sz w:val="24"/>
                <w:szCs w:val="21"/>
              </w:rPr>
              <w:t>供应商名称</w:t>
            </w:r>
          </w:p>
        </w:tc>
        <w:tc>
          <w:tcPr>
            <w:tcW w:w="7450" w:type="dxa"/>
            <w:gridSpan w:val="6"/>
            <w:noWrap/>
            <w:vAlign w:val="center"/>
          </w:tcPr>
          <w:p w14:paraId="6D9A3DAE">
            <w:pPr>
              <w:spacing w:line="500" w:lineRule="exact"/>
              <w:jc w:val="center"/>
              <w:rPr>
                <w:rFonts w:ascii="宋体" w:hAnsi="宋体" w:cs="宋体"/>
                <w:sz w:val="24"/>
                <w:szCs w:val="21"/>
              </w:rPr>
            </w:pPr>
          </w:p>
        </w:tc>
      </w:tr>
      <w:tr w14:paraId="3720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381D69C2">
            <w:pPr>
              <w:spacing w:line="500" w:lineRule="exact"/>
              <w:jc w:val="center"/>
              <w:rPr>
                <w:rFonts w:ascii="宋体" w:hAnsi="宋体" w:cs="宋体"/>
                <w:sz w:val="24"/>
                <w:szCs w:val="21"/>
              </w:rPr>
            </w:pPr>
            <w:r>
              <w:rPr>
                <w:rFonts w:hint="eastAsia" w:ascii="宋体" w:hAnsi="宋体" w:cs="宋体"/>
                <w:sz w:val="24"/>
                <w:szCs w:val="21"/>
              </w:rPr>
              <w:t>注册地址</w:t>
            </w:r>
          </w:p>
        </w:tc>
        <w:tc>
          <w:tcPr>
            <w:tcW w:w="4170" w:type="dxa"/>
            <w:gridSpan w:val="3"/>
            <w:noWrap/>
            <w:vAlign w:val="center"/>
          </w:tcPr>
          <w:p w14:paraId="53D0E668">
            <w:pPr>
              <w:spacing w:line="500" w:lineRule="exact"/>
              <w:jc w:val="center"/>
              <w:rPr>
                <w:rFonts w:ascii="宋体" w:hAnsi="宋体" w:cs="宋体"/>
                <w:sz w:val="24"/>
                <w:szCs w:val="21"/>
              </w:rPr>
            </w:pPr>
          </w:p>
        </w:tc>
        <w:tc>
          <w:tcPr>
            <w:tcW w:w="1247" w:type="dxa"/>
            <w:noWrap/>
            <w:vAlign w:val="center"/>
          </w:tcPr>
          <w:p w14:paraId="7D937392">
            <w:pPr>
              <w:spacing w:line="500" w:lineRule="exact"/>
              <w:jc w:val="center"/>
              <w:rPr>
                <w:rFonts w:ascii="宋体" w:hAnsi="宋体" w:cs="宋体"/>
                <w:sz w:val="24"/>
                <w:szCs w:val="21"/>
              </w:rPr>
            </w:pPr>
            <w:r>
              <w:rPr>
                <w:rFonts w:hint="eastAsia" w:ascii="宋体" w:hAnsi="宋体" w:cs="宋体"/>
                <w:sz w:val="24"/>
                <w:szCs w:val="21"/>
              </w:rPr>
              <w:t>邮政编码</w:t>
            </w:r>
          </w:p>
        </w:tc>
        <w:tc>
          <w:tcPr>
            <w:tcW w:w="2033" w:type="dxa"/>
            <w:gridSpan w:val="2"/>
            <w:noWrap/>
            <w:vAlign w:val="center"/>
          </w:tcPr>
          <w:p w14:paraId="12F98F0F">
            <w:pPr>
              <w:spacing w:line="500" w:lineRule="exact"/>
              <w:jc w:val="center"/>
              <w:rPr>
                <w:rFonts w:ascii="宋体" w:hAnsi="宋体" w:cs="宋体"/>
                <w:sz w:val="24"/>
                <w:szCs w:val="21"/>
              </w:rPr>
            </w:pPr>
          </w:p>
        </w:tc>
      </w:tr>
      <w:tr w14:paraId="2D25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jc w:val="center"/>
        </w:trPr>
        <w:tc>
          <w:tcPr>
            <w:tcW w:w="1761" w:type="dxa"/>
            <w:vMerge w:val="restart"/>
            <w:noWrap/>
            <w:vAlign w:val="center"/>
          </w:tcPr>
          <w:p w14:paraId="31044883">
            <w:pPr>
              <w:spacing w:line="500" w:lineRule="exact"/>
              <w:jc w:val="center"/>
              <w:rPr>
                <w:rFonts w:ascii="宋体" w:hAnsi="宋体" w:cs="宋体"/>
                <w:sz w:val="24"/>
                <w:szCs w:val="21"/>
              </w:rPr>
            </w:pPr>
            <w:r>
              <w:rPr>
                <w:rFonts w:hint="eastAsia" w:ascii="宋体" w:hAnsi="宋体" w:cs="宋体"/>
                <w:sz w:val="24"/>
                <w:szCs w:val="21"/>
              </w:rPr>
              <w:t>联系方式</w:t>
            </w:r>
          </w:p>
        </w:tc>
        <w:tc>
          <w:tcPr>
            <w:tcW w:w="1117" w:type="dxa"/>
            <w:noWrap/>
            <w:vAlign w:val="center"/>
          </w:tcPr>
          <w:p w14:paraId="4B281068">
            <w:pPr>
              <w:spacing w:line="500" w:lineRule="exact"/>
              <w:jc w:val="center"/>
              <w:rPr>
                <w:rFonts w:ascii="宋体" w:hAnsi="宋体" w:cs="宋体"/>
                <w:sz w:val="24"/>
                <w:szCs w:val="21"/>
              </w:rPr>
            </w:pPr>
            <w:r>
              <w:rPr>
                <w:rFonts w:hint="eastAsia" w:ascii="宋体" w:hAnsi="宋体" w:cs="宋体"/>
                <w:sz w:val="24"/>
                <w:szCs w:val="21"/>
              </w:rPr>
              <w:t>联系人</w:t>
            </w:r>
          </w:p>
        </w:tc>
        <w:tc>
          <w:tcPr>
            <w:tcW w:w="3053" w:type="dxa"/>
            <w:gridSpan w:val="2"/>
            <w:noWrap/>
            <w:vAlign w:val="center"/>
          </w:tcPr>
          <w:p w14:paraId="0070BD0D">
            <w:pPr>
              <w:spacing w:line="500" w:lineRule="exact"/>
              <w:jc w:val="center"/>
              <w:rPr>
                <w:rFonts w:ascii="宋体" w:hAnsi="宋体" w:cs="宋体"/>
                <w:sz w:val="24"/>
                <w:szCs w:val="21"/>
              </w:rPr>
            </w:pPr>
          </w:p>
        </w:tc>
        <w:tc>
          <w:tcPr>
            <w:tcW w:w="1247" w:type="dxa"/>
            <w:noWrap/>
            <w:vAlign w:val="center"/>
          </w:tcPr>
          <w:p w14:paraId="416EB883">
            <w:pPr>
              <w:spacing w:line="500" w:lineRule="exact"/>
              <w:jc w:val="center"/>
              <w:rPr>
                <w:rFonts w:ascii="宋体" w:hAnsi="宋体" w:cs="宋体"/>
                <w:sz w:val="24"/>
                <w:szCs w:val="21"/>
              </w:rPr>
            </w:pPr>
            <w:r>
              <w:rPr>
                <w:rFonts w:hint="eastAsia" w:ascii="宋体" w:hAnsi="宋体" w:cs="宋体"/>
                <w:sz w:val="24"/>
                <w:szCs w:val="21"/>
              </w:rPr>
              <w:t>电话</w:t>
            </w:r>
          </w:p>
        </w:tc>
        <w:tc>
          <w:tcPr>
            <w:tcW w:w="2033" w:type="dxa"/>
            <w:gridSpan w:val="2"/>
            <w:noWrap/>
            <w:vAlign w:val="center"/>
          </w:tcPr>
          <w:p w14:paraId="1B8C9381">
            <w:pPr>
              <w:spacing w:line="500" w:lineRule="exact"/>
              <w:jc w:val="center"/>
              <w:rPr>
                <w:rFonts w:ascii="宋体" w:hAnsi="宋体" w:cs="宋体"/>
                <w:sz w:val="24"/>
                <w:szCs w:val="21"/>
              </w:rPr>
            </w:pPr>
          </w:p>
        </w:tc>
      </w:tr>
      <w:tr w14:paraId="0F84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vMerge w:val="continue"/>
            <w:noWrap/>
            <w:vAlign w:val="center"/>
          </w:tcPr>
          <w:p w14:paraId="4C0D355F">
            <w:pPr>
              <w:spacing w:line="500" w:lineRule="exact"/>
              <w:jc w:val="center"/>
              <w:rPr>
                <w:rFonts w:ascii="宋体" w:hAnsi="宋体" w:cs="宋体"/>
                <w:sz w:val="24"/>
                <w:szCs w:val="21"/>
              </w:rPr>
            </w:pPr>
          </w:p>
        </w:tc>
        <w:tc>
          <w:tcPr>
            <w:tcW w:w="1117" w:type="dxa"/>
            <w:noWrap/>
            <w:vAlign w:val="center"/>
          </w:tcPr>
          <w:p w14:paraId="4432DE2B">
            <w:pPr>
              <w:spacing w:line="500" w:lineRule="exact"/>
              <w:jc w:val="center"/>
              <w:rPr>
                <w:rFonts w:ascii="宋体" w:hAnsi="宋体" w:cs="宋体"/>
                <w:sz w:val="24"/>
                <w:szCs w:val="21"/>
              </w:rPr>
            </w:pPr>
            <w:r>
              <w:rPr>
                <w:rFonts w:hint="eastAsia" w:ascii="宋体" w:hAnsi="宋体" w:cs="宋体"/>
                <w:sz w:val="24"/>
                <w:szCs w:val="21"/>
              </w:rPr>
              <w:t>传真</w:t>
            </w:r>
          </w:p>
        </w:tc>
        <w:tc>
          <w:tcPr>
            <w:tcW w:w="3053" w:type="dxa"/>
            <w:gridSpan w:val="2"/>
            <w:noWrap/>
            <w:vAlign w:val="center"/>
          </w:tcPr>
          <w:p w14:paraId="24A43B24">
            <w:pPr>
              <w:spacing w:line="500" w:lineRule="exact"/>
              <w:jc w:val="center"/>
              <w:rPr>
                <w:rFonts w:ascii="宋体" w:hAnsi="宋体" w:cs="宋体"/>
                <w:sz w:val="24"/>
                <w:szCs w:val="21"/>
              </w:rPr>
            </w:pPr>
          </w:p>
        </w:tc>
        <w:tc>
          <w:tcPr>
            <w:tcW w:w="1247" w:type="dxa"/>
            <w:noWrap/>
            <w:vAlign w:val="center"/>
          </w:tcPr>
          <w:p w14:paraId="30B575FE">
            <w:pPr>
              <w:spacing w:line="500" w:lineRule="exact"/>
              <w:jc w:val="center"/>
              <w:rPr>
                <w:rFonts w:ascii="宋体" w:hAnsi="宋体" w:cs="宋体"/>
                <w:sz w:val="24"/>
                <w:szCs w:val="21"/>
              </w:rPr>
            </w:pPr>
            <w:r>
              <w:rPr>
                <w:rFonts w:hint="eastAsia" w:ascii="宋体" w:hAnsi="宋体" w:cs="宋体"/>
                <w:sz w:val="24"/>
                <w:szCs w:val="21"/>
              </w:rPr>
              <w:t>网址</w:t>
            </w:r>
          </w:p>
        </w:tc>
        <w:tc>
          <w:tcPr>
            <w:tcW w:w="2033" w:type="dxa"/>
            <w:gridSpan w:val="2"/>
            <w:noWrap/>
            <w:vAlign w:val="center"/>
          </w:tcPr>
          <w:p w14:paraId="726659EC">
            <w:pPr>
              <w:spacing w:line="500" w:lineRule="exact"/>
              <w:jc w:val="center"/>
              <w:rPr>
                <w:rFonts w:ascii="宋体" w:hAnsi="宋体" w:cs="宋体"/>
                <w:sz w:val="24"/>
                <w:szCs w:val="21"/>
              </w:rPr>
            </w:pPr>
          </w:p>
        </w:tc>
      </w:tr>
      <w:tr w14:paraId="5746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2C92E6E5">
            <w:pPr>
              <w:spacing w:line="500" w:lineRule="exact"/>
              <w:jc w:val="center"/>
              <w:rPr>
                <w:rFonts w:ascii="宋体" w:hAnsi="宋体" w:cs="宋体"/>
                <w:sz w:val="24"/>
                <w:szCs w:val="21"/>
              </w:rPr>
            </w:pPr>
            <w:r>
              <w:rPr>
                <w:rFonts w:hint="eastAsia" w:ascii="宋体" w:hAnsi="宋体" w:cs="宋体"/>
                <w:sz w:val="24"/>
                <w:szCs w:val="21"/>
              </w:rPr>
              <w:t>法定代表人</w:t>
            </w:r>
          </w:p>
        </w:tc>
        <w:tc>
          <w:tcPr>
            <w:tcW w:w="1117" w:type="dxa"/>
            <w:noWrap/>
            <w:vAlign w:val="center"/>
          </w:tcPr>
          <w:p w14:paraId="7CB47EC4">
            <w:pPr>
              <w:spacing w:line="500" w:lineRule="exact"/>
              <w:jc w:val="center"/>
              <w:rPr>
                <w:rFonts w:ascii="宋体" w:hAnsi="宋体" w:cs="宋体"/>
                <w:sz w:val="24"/>
                <w:szCs w:val="21"/>
              </w:rPr>
            </w:pPr>
            <w:r>
              <w:rPr>
                <w:rFonts w:hint="eastAsia" w:ascii="宋体" w:hAnsi="宋体" w:cs="宋体"/>
                <w:sz w:val="24"/>
                <w:szCs w:val="21"/>
              </w:rPr>
              <w:t>姓名</w:t>
            </w:r>
          </w:p>
        </w:tc>
        <w:tc>
          <w:tcPr>
            <w:tcW w:w="1428" w:type="dxa"/>
            <w:noWrap/>
            <w:vAlign w:val="center"/>
          </w:tcPr>
          <w:p w14:paraId="5BA17EB9">
            <w:pPr>
              <w:spacing w:line="500" w:lineRule="exact"/>
              <w:jc w:val="center"/>
              <w:rPr>
                <w:rFonts w:ascii="宋体" w:hAnsi="宋体" w:cs="宋体"/>
                <w:sz w:val="24"/>
                <w:szCs w:val="21"/>
              </w:rPr>
            </w:pPr>
          </w:p>
        </w:tc>
        <w:tc>
          <w:tcPr>
            <w:tcW w:w="1625" w:type="dxa"/>
            <w:noWrap/>
            <w:vAlign w:val="center"/>
          </w:tcPr>
          <w:p w14:paraId="39094892">
            <w:pPr>
              <w:spacing w:line="500" w:lineRule="exact"/>
              <w:jc w:val="center"/>
              <w:rPr>
                <w:rFonts w:ascii="宋体" w:hAnsi="宋体" w:cs="宋体"/>
                <w:sz w:val="24"/>
                <w:szCs w:val="21"/>
              </w:rPr>
            </w:pPr>
            <w:r>
              <w:rPr>
                <w:rFonts w:hint="eastAsia" w:ascii="宋体" w:hAnsi="宋体" w:cs="宋体"/>
                <w:sz w:val="24"/>
                <w:szCs w:val="21"/>
              </w:rPr>
              <w:t>身份证号</w:t>
            </w:r>
          </w:p>
        </w:tc>
        <w:tc>
          <w:tcPr>
            <w:tcW w:w="1247" w:type="dxa"/>
            <w:noWrap/>
            <w:vAlign w:val="center"/>
          </w:tcPr>
          <w:p w14:paraId="2C95B0DE">
            <w:pPr>
              <w:spacing w:line="500" w:lineRule="exact"/>
              <w:jc w:val="center"/>
              <w:rPr>
                <w:rFonts w:ascii="宋体" w:hAnsi="宋体" w:cs="宋体"/>
                <w:sz w:val="24"/>
                <w:szCs w:val="21"/>
              </w:rPr>
            </w:pPr>
          </w:p>
        </w:tc>
        <w:tc>
          <w:tcPr>
            <w:tcW w:w="933" w:type="dxa"/>
            <w:noWrap/>
            <w:vAlign w:val="center"/>
          </w:tcPr>
          <w:p w14:paraId="7BD54E4A">
            <w:pPr>
              <w:spacing w:line="500" w:lineRule="exact"/>
              <w:jc w:val="center"/>
              <w:rPr>
                <w:rFonts w:ascii="宋体" w:hAnsi="宋体" w:cs="宋体"/>
                <w:sz w:val="24"/>
                <w:szCs w:val="21"/>
              </w:rPr>
            </w:pPr>
            <w:r>
              <w:rPr>
                <w:rFonts w:hint="eastAsia" w:ascii="宋体" w:hAnsi="宋体" w:cs="宋体"/>
                <w:sz w:val="24"/>
                <w:szCs w:val="21"/>
              </w:rPr>
              <w:t>电话</w:t>
            </w:r>
          </w:p>
        </w:tc>
        <w:tc>
          <w:tcPr>
            <w:tcW w:w="1100" w:type="dxa"/>
            <w:noWrap/>
            <w:vAlign w:val="center"/>
          </w:tcPr>
          <w:p w14:paraId="06080246">
            <w:pPr>
              <w:spacing w:line="500" w:lineRule="exact"/>
              <w:jc w:val="center"/>
              <w:rPr>
                <w:rFonts w:ascii="宋体" w:hAnsi="宋体" w:cs="宋体"/>
                <w:sz w:val="24"/>
                <w:szCs w:val="21"/>
              </w:rPr>
            </w:pPr>
          </w:p>
        </w:tc>
      </w:tr>
      <w:tr w14:paraId="5D34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7561F108">
            <w:pPr>
              <w:spacing w:line="500" w:lineRule="exact"/>
              <w:jc w:val="center"/>
              <w:rPr>
                <w:rFonts w:ascii="宋体" w:hAnsi="宋体" w:cs="宋体"/>
                <w:sz w:val="24"/>
                <w:szCs w:val="21"/>
              </w:rPr>
            </w:pPr>
            <w:r>
              <w:rPr>
                <w:rFonts w:hint="eastAsia" w:ascii="宋体" w:hAnsi="宋体" w:cs="宋体"/>
                <w:sz w:val="24"/>
                <w:szCs w:val="21"/>
              </w:rPr>
              <w:t>项目负责人</w:t>
            </w:r>
          </w:p>
        </w:tc>
        <w:tc>
          <w:tcPr>
            <w:tcW w:w="1117" w:type="dxa"/>
            <w:noWrap/>
            <w:vAlign w:val="center"/>
          </w:tcPr>
          <w:p w14:paraId="256CAF2E">
            <w:pPr>
              <w:spacing w:line="500" w:lineRule="exact"/>
              <w:jc w:val="center"/>
              <w:rPr>
                <w:rFonts w:ascii="宋体" w:hAnsi="宋体" w:cs="宋体"/>
                <w:sz w:val="24"/>
                <w:szCs w:val="21"/>
              </w:rPr>
            </w:pPr>
            <w:r>
              <w:rPr>
                <w:rFonts w:hint="eastAsia" w:ascii="宋体" w:hAnsi="宋体" w:cs="宋体"/>
                <w:sz w:val="24"/>
                <w:szCs w:val="21"/>
              </w:rPr>
              <w:t>姓名</w:t>
            </w:r>
          </w:p>
        </w:tc>
        <w:tc>
          <w:tcPr>
            <w:tcW w:w="1428" w:type="dxa"/>
            <w:noWrap/>
            <w:vAlign w:val="center"/>
          </w:tcPr>
          <w:p w14:paraId="694547FB">
            <w:pPr>
              <w:spacing w:line="500" w:lineRule="exact"/>
              <w:jc w:val="center"/>
              <w:rPr>
                <w:rFonts w:ascii="宋体" w:hAnsi="宋体" w:cs="宋体"/>
                <w:sz w:val="24"/>
                <w:szCs w:val="21"/>
              </w:rPr>
            </w:pPr>
          </w:p>
        </w:tc>
        <w:tc>
          <w:tcPr>
            <w:tcW w:w="1625" w:type="dxa"/>
            <w:noWrap/>
            <w:vAlign w:val="center"/>
          </w:tcPr>
          <w:p w14:paraId="29F610E2">
            <w:pPr>
              <w:spacing w:line="500" w:lineRule="exact"/>
              <w:jc w:val="center"/>
              <w:rPr>
                <w:rFonts w:ascii="宋体" w:hAnsi="宋体" w:cs="宋体"/>
                <w:sz w:val="24"/>
                <w:szCs w:val="21"/>
              </w:rPr>
            </w:pPr>
            <w:r>
              <w:rPr>
                <w:rFonts w:hint="eastAsia" w:ascii="宋体" w:hAnsi="宋体" w:cs="宋体"/>
                <w:sz w:val="24"/>
                <w:szCs w:val="21"/>
              </w:rPr>
              <w:t>身份证号</w:t>
            </w:r>
          </w:p>
        </w:tc>
        <w:tc>
          <w:tcPr>
            <w:tcW w:w="1247" w:type="dxa"/>
            <w:noWrap/>
            <w:vAlign w:val="center"/>
          </w:tcPr>
          <w:p w14:paraId="260259DE">
            <w:pPr>
              <w:spacing w:line="500" w:lineRule="exact"/>
              <w:jc w:val="center"/>
              <w:rPr>
                <w:rFonts w:ascii="宋体" w:hAnsi="宋体" w:cs="宋体"/>
                <w:sz w:val="24"/>
                <w:szCs w:val="21"/>
              </w:rPr>
            </w:pPr>
          </w:p>
        </w:tc>
        <w:tc>
          <w:tcPr>
            <w:tcW w:w="933" w:type="dxa"/>
            <w:noWrap/>
            <w:vAlign w:val="center"/>
          </w:tcPr>
          <w:p w14:paraId="032DCF71">
            <w:pPr>
              <w:spacing w:line="500" w:lineRule="exact"/>
              <w:jc w:val="center"/>
              <w:rPr>
                <w:rFonts w:ascii="宋体" w:hAnsi="宋体" w:cs="宋体"/>
                <w:sz w:val="24"/>
                <w:szCs w:val="21"/>
              </w:rPr>
            </w:pPr>
            <w:r>
              <w:rPr>
                <w:rFonts w:hint="eastAsia" w:ascii="宋体" w:hAnsi="宋体" w:cs="宋体"/>
                <w:sz w:val="24"/>
                <w:szCs w:val="21"/>
              </w:rPr>
              <w:t>电话</w:t>
            </w:r>
          </w:p>
        </w:tc>
        <w:tc>
          <w:tcPr>
            <w:tcW w:w="1100" w:type="dxa"/>
            <w:noWrap/>
            <w:vAlign w:val="center"/>
          </w:tcPr>
          <w:p w14:paraId="213BAA1C">
            <w:pPr>
              <w:spacing w:line="500" w:lineRule="exact"/>
              <w:jc w:val="center"/>
              <w:rPr>
                <w:rFonts w:ascii="宋体" w:hAnsi="宋体" w:cs="宋体"/>
                <w:sz w:val="24"/>
                <w:szCs w:val="21"/>
              </w:rPr>
            </w:pPr>
          </w:p>
        </w:tc>
      </w:tr>
      <w:tr w14:paraId="559F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66C1DB91">
            <w:pPr>
              <w:spacing w:line="500" w:lineRule="exact"/>
              <w:jc w:val="center"/>
              <w:rPr>
                <w:rFonts w:ascii="宋体" w:hAnsi="宋体" w:cs="宋体"/>
                <w:sz w:val="24"/>
                <w:szCs w:val="21"/>
              </w:rPr>
            </w:pPr>
            <w:r>
              <w:rPr>
                <w:rFonts w:hint="eastAsia" w:ascii="宋体" w:hAnsi="宋体" w:cs="宋体"/>
                <w:sz w:val="24"/>
                <w:szCs w:val="21"/>
              </w:rPr>
              <w:t>成立时间</w:t>
            </w:r>
          </w:p>
        </w:tc>
        <w:tc>
          <w:tcPr>
            <w:tcW w:w="2545" w:type="dxa"/>
            <w:gridSpan w:val="2"/>
            <w:noWrap/>
            <w:vAlign w:val="center"/>
          </w:tcPr>
          <w:p w14:paraId="5939509B">
            <w:pPr>
              <w:spacing w:line="500" w:lineRule="exact"/>
              <w:jc w:val="center"/>
              <w:rPr>
                <w:rFonts w:ascii="宋体" w:hAnsi="宋体" w:cs="宋体"/>
                <w:sz w:val="24"/>
                <w:szCs w:val="21"/>
              </w:rPr>
            </w:pPr>
          </w:p>
        </w:tc>
        <w:tc>
          <w:tcPr>
            <w:tcW w:w="4905" w:type="dxa"/>
            <w:gridSpan w:val="4"/>
            <w:noWrap/>
            <w:vAlign w:val="center"/>
          </w:tcPr>
          <w:p w14:paraId="416DD876">
            <w:pPr>
              <w:spacing w:line="500" w:lineRule="exact"/>
              <w:jc w:val="center"/>
              <w:rPr>
                <w:rFonts w:ascii="宋体" w:hAnsi="宋体" w:cs="宋体"/>
                <w:sz w:val="24"/>
                <w:szCs w:val="21"/>
              </w:rPr>
            </w:pPr>
            <w:r>
              <w:rPr>
                <w:rFonts w:hint="eastAsia" w:ascii="宋体" w:hAnsi="宋体" w:cs="宋体"/>
                <w:sz w:val="24"/>
                <w:szCs w:val="21"/>
              </w:rPr>
              <w:t>员工总人数：</w:t>
            </w:r>
          </w:p>
        </w:tc>
      </w:tr>
      <w:tr w14:paraId="598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1E2DFAD0">
            <w:pPr>
              <w:spacing w:line="500" w:lineRule="exact"/>
              <w:jc w:val="center"/>
              <w:rPr>
                <w:rFonts w:ascii="宋体" w:hAnsi="宋体" w:cs="宋体"/>
                <w:sz w:val="24"/>
                <w:szCs w:val="21"/>
              </w:rPr>
            </w:pPr>
            <w:r>
              <w:rPr>
                <w:rFonts w:hint="eastAsia" w:ascii="宋体" w:hAnsi="宋体" w:cs="宋体"/>
                <w:sz w:val="24"/>
                <w:szCs w:val="21"/>
              </w:rPr>
              <w:t>营业执照号</w:t>
            </w:r>
          </w:p>
        </w:tc>
        <w:tc>
          <w:tcPr>
            <w:tcW w:w="7450" w:type="dxa"/>
            <w:gridSpan w:val="6"/>
            <w:noWrap/>
            <w:vAlign w:val="center"/>
          </w:tcPr>
          <w:p w14:paraId="6321C19C">
            <w:pPr>
              <w:spacing w:line="500" w:lineRule="exact"/>
              <w:jc w:val="center"/>
              <w:rPr>
                <w:rFonts w:ascii="宋体" w:hAnsi="宋体" w:cs="宋体"/>
                <w:sz w:val="24"/>
                <w:szCs w:val="21"/>
              </w:rPr>
            </w:pPr>
          </w:p>
        </w:tc>
      </w:tr>
      <w:tr w14:paraId="7E8B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4A0BCCA3">
            <w:pPr>
              <w:spacing w:line="500" w:lineRule="exact"/>
              <w:jc w:val="center"/>
              <w:rPr>
                <w:rFonts w:ascii="宋体" w:hAnsi="宋体" w:cs="宋体"/>
                <w:sz w:val="24"/>
                <w:szCs w:val="21"/>
              </w:rPr>
            </w:pPr>
            <w:r>
              <w:rPr>
                <w:rFonts w:hint="eastAsia" w:ascii="宋体" w:hAnsi="宋体" w:cs="宋体"/>
                <w:sz w:val="24"/>
                <w:szCs w:val="21"/>
              </w:rPr>
              <w:t>注册资金</w:t>
            </w:r>
          </w:p>
        </w:tc>
        <w:tc>
          <w:tcPr>
            <w:tcW w:w="7450" w:type="dxa"/>
            <w:gridSpan w:val="6"/>
            <w:noWrap/>
            <w:vAlign w:val="center"/>
          </w:tcPr>
          <w:p w14:paraId="52D810F7">
            <w:pPr>
              <w:spacing w:line="500" w:lineRule="exact"/>
              <w:jc w:val="center"/>
              <w:rPr>
                <w:rFonts w:ascii="宋体" w:hAnsi="宋体" w:cs="宋体"/>
                <w:sz w:val="24"/>
                <w:szCs w:val="21"/>
              </w:rPr>
            </w:pPr>
          </w:p>
        </w:tc>
      </w:tr>
      <w:tr w14:paraId="0050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0B909882">
            <w:pPr>
              <w:spacing w:line="500" w:lineRule="exact"/>
              <w:jc w:val="center"/>
              <w:rPr>
                <w:rFonts w:ascii="宋体" w:hAnsi="宋体" w:cs="宋体"/>
                <w:sz w:val="24"/>
                <w:szCs w:val="21"/>
              </w:rPr>
            </w:pPr>
            <w:r>
              <w:rPr>
                <w:rFonts w:hint="eastAsia" w:ascii="宋体" w:hAnsi="宋体" w:cs="宋体"/>
                <w:sz w:val="24"/>
                <w:szCs w:val="21"/>
              </w:rPr>
              <w:t>开户银行</w:t>
            </w:r>
          </w:p>
        </w:tc>
        <w:tc>
          <w:tcPr>
            <w:tcW w:w="7450" w:type="dxa"/>
            <w:gridSpan w:val="6"/>
            <w:noWrap/>
            <w:vAlign w:val="center"/>
          </w:tcPr>
          <w:p w14:paraId="15FE7406">
            <w:pPr>
              <w:spacing w:line="500" w:lineRule="exact"/>
              <w:jc w:val="center"/>
              <w:rPr>
                <w:rFonts w:ascii="宋体" w:hAnsi="宋体" w:cs="宋体"/>
                <w:sz w:val="24"/>
                <w:szCs w:val="21"/>
              </w:rPr>
            </w:pPr>
          </w:p>
        </w:tc>
      </w:tr>
      <w:tr w14:paraId="00E2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7944B06A">
            <w:pPr>
              <w:spacing w:line="500" w:lineRule="exact"/>
              <w:jc w:val="center"/>
              <w:rPr>
                <w:rFonts w:ascii="宋体" w:hAnsi="宋体" w:cs="宋体"/>
                <w:sz w:val="24"/>
                <w:szCs w:val="21"/>
              </w:rPr>
            </w:pPr>
            <w:r>
              <w:rPr>
                <w:rFonts w:hint="eastAsia" w:ascii="宋体" w:hAnsi="宋体" w:cs="宋体"/>
                <w:sz w:val="24"/>
                <w:szCs w:val="21"/>
              </w:rPr>
              <w:t>账号</w:t>
            </w:r>
          </w:p>
        </w:tc>
        <w:tc>
          <w:tcPr>
            <w:tcW w:w="7450" w:type="dxa"/>
            <w:gridSpan w:val="6"/>
            <w:noWrap/>
            <w:vAlign w:val="center"/>
          </w:tcPr>
          <w:p w14:paraId="2CD9C8A0">
            <w:pPr>
              <w:spacing w:line="500" w:lineRule="exact"/>
              <w:jc w:val="center"/>
              <w:rPr>
                <w:rFonts w:ascii="宋体" w:hAnsi="宋体" w:cs="宋体"/>
                <w:sz w:val="24"/>
                <w:szCs w:val="21"/>
              </w:rPr>
            </w:pPr>
          </w:p>
        </w:tc>
      </w:tr>
      <w:tr w14:paraId="1273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2" w:hRule="atLeast"/>
          <w:jc w:val="center"/>
        </w:trPr>
        <w:tc>
          <w:tcPr>
            <w:tcW w:w="1761" w:type="dxa"/>
            <w:noWrap/>
            <w:vAlign w:val="center"/>
          </w:tcPr>
          <w:p w14:paraId="363E858F">
            <w:pPr>
              <w:spacing w:line="500" w:lineRule="exact"/>
              <w:jc w:val="center"/>
              <w:rPr>
                <w:rFonts w:ascii="宋体" w:hAnsi="宋体" w:cs="宋体"/>
                <w:sz w:val="24"/>
                <w:szCs w:val="21"/>
              </w:rPr>
            </w:pPr>
            <w:r>
              <w:rPr>
                <w:rFonts w:hint="eastAsia" w:ascii="宋体" w:hAnsi="宋体" w:cs="宋体"/>
                <w:sz w:val="24"/>
                <w:szCs w:val="21"/>
              </w:rPr>
              <w:t>经营范围</w:t>
            </w:r>
          </w:p>
        </w:tc>
        <w:tc>
          <w:tcPr>
            <w:tcW w:w="7450" w:type="dxa"/>
            <w:gridSpan w:val="6"/>
            <w:noWrap/>
            <w:vAlign w:val="center"/>
          </w:tcPr>
          <w:p w14:paraId="08C4D45F">
            <w:pPr>
              <w:spacing w:line="500" w:lineRule="exact"/>
              <w:ind w:firstLine="480" w:firstLineChars="200"/>
              <w:jc w:val="center"/>
              <w:rPr>
                <w:rFonts w:ascii="宋体" w:hAnsi="宋体" w:cs="宋体"/>
                <w:sz w:val="24"/>
                <w:szCs w:val="21"/>
              </w:rPr>
            </w:pPr>
          </w:p>
        </w:tc>
      </w:tr>
      <w:tr w14:paraId="5206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6" w:hRule="atLeast"/>
          <w:jc w:val="center"/>
        </w:trPr>
        <w:tc>
          <w:tcPr>
            <w:tcW w:w="1761" w:type="dxa"/>
            <w:noWrap/>
            <w:vAlign w:val="center"/>
          </w:tcPr>
          <w:p w14:paraId="48FA38DE">
            <w:pPr>
              <w:spacing w:line="500" w:lineRule="exact"/>
              <w:jc w:val="center"/>
              <w:rPr>
                <w:rFonts w:hint="eastAsia" w:ascii="宋体" w:hAnsi="宋体" w:cs="宋体" w:eastAsiaTheme="minorEastAsia"/>
                <w:sz w:val="24"/>
                <w:szCs w:val="21"/>
                <w:lang w:val="en-US" w:eastAsia="zh-CN"/>
              </w:rPr>
            </w:pPr>
            <w:r>
              <w:rPr>
                <w:rFonts w:hint="eastAsia" w:ascii="宋体" w:hAnsi="宋体" w:cs="宋体"/>
                <w:sz w:val="24"/>
                <w:szCs w:val="21"/>
                <w:lang w:val="en-US" w:eastAsia="zh-CN"/>
              </w:rPr>
              <w:t>备注</w:t>
            </w:r>
          </w:p>
        </w:tc>
        <w:tc>
          <w:tcPr>
            <w:tcW w:w="7450" w:type="dxa"/>
            <w:gridSpan w:val="6"/>
            <w:noWrap/>
            <w:vAlign w:val="center"/>
          </w:tcPr>
          <w:p w14:paraId="1A72B899">
            <w:pPr>
              <w:spacing w:line="500" w:lineRule="exact"/>
              <w:ind w:firstLine="480" w:firstLineChars="200"/>
              <w:jc w:val="center"/>
              <w:rPr>
                <w:rFonts w:ascii="宋体" w:hAnsi="宋体" w:cs="宋体"/>
                <w:sz w:val="24"/>
                <w:szCs w:val="21"/>
              </w:rPr>
            </w:pPr>
          </w:p>
        </w:tc>
      </w:tr>
    </w:tbl>
    <w:p w14:paraId="7E725952">
      <w:pPr>
        <w:spacing w:line="360" w:lineRule="auto"/>
        <w:rPr>
          <w:rFonts w:hint="default" w:ascii="宋体" w:hAnsi="宋体" w:cs="楷体"/>
          <w:color w:val="000000"/>
          <w:kern w:val="1"/>
          <w:sz w:val="24"/>
          <w:szCs w:val="24"/>
          <w:lang w:val="en-US" w:eastAsia="zh-CN"/>
        </w:rPr>
      </w:pPr>
    </w:p>
    <w:p w14:paraId="33343675">
      <w:pPr>
        <w:spacing w:line="360" w:lineRule="auto"/>
        <w:rPr>
          <w:rFonts w:hint="default" w:ascii="宋体" w:hAnsi="宋体" w:cs="楷体"/>
          <w:color w:val="000000"/>
          <w:kern w:val="1"/>
          <w:sz w:val="24"/>
          <w:szCs w:val="24"/>
          <w:lang w:val="en-US" w:eastAsia="zh-CN"/>
        </w:rPr>
      </w:pPr>
    </w:p>
    <w:p w14:paraId="29E0B8CA">
      <w:pPr>
        <w:spacing w:line="360" w:lineRule="auto"/>
        <w:rPr>
          <w:rFonts w:hint="default" w:ascii="宋体" w:hAnsi="宋体" w:cs="楷体"/>
          <w:color w:val="000000"/>
          <w:kern w:val="1"/>
          <w:sz w:val="24"/>
          <w:szCs w:val="24"/>
          <w:lang w:val="en-US" w:eastAsia="zh-CN"/>
        </w:rPr>
      </w:pPr>
    </w:p>
    <w:p w14:paraId="22CCD539">
      <w:pPr>
        <w:spacing w:line="360" w:lineRule="auto"/>
        <w:rPr>
          <w:rFonts w:hint="default" w:ascii="宋体" w:hAnsi="宋体" w:cs="楷体"/>
          <w:color w:val="000000"/>
          <w:kern w:val="1"/>
          <w:sz w:val="24"/>
          <w:szCs w:val="24"/>
          <w:lang w:val="en-US" w:eastAsia="zh-CN"/>
        </w:rPr>
      </w:pPr>
    </w:p>
    <w:p w14:paraId="0A471E82">
      <w:pPr>
        <w:pStyle w:val="13"/>
        <w:ind w:left="0" w:leftChars="0" w:firstLine="0" w:firstLineChars="0"/>
        <w:jc w:val="center"/>
        <w:rPr>
          <w:rFonts w:ascii="宋体" w:hAnsi="宋体" w:eastAsia="宋体"/>
          <w:b/>
          <w:sz w:val="32"/>
          <w:szCs w:val="32"/>
        </w:rPr>
      </w:pPr>
      <w:r>
        <w:rPr>
          <w:rFonts w:hint="eastAsia" w:ascii="宋体" w:hAnsi="宋体" w:eastAsia="宋体"/>
          <w:b/>
          <w:sz w:val="32"/>
          <w:szCs w:val="32"/>
        </w:rPr>
        <w:t>（二）资格证明文件</w:t>
      </w:r>
    </w:p>
    <w:p w14:paraId="1F22A24C">
      <w:pPr>
        <w:spacing w:line="360" w:lineRule="auto"/>
        <w:rPr>
          <w:rFonts w:hint="default" w:ascii="宋体" w:hAnsi="宋体" w:cs="楷体"/>
          <w:color w:val="000000"/>
          <w:kern w:val="1"/>
          <w:sz w:val="24"/>
          <w:szCs w:val="24"/>
          <w:lang w:val="en-US" w:eastAsia="zh-CN"/>
        </w:rPr>
      </w:pPr>
    </w:p>
    <w:p w14:paraId="22F133FA">
      <w:pPr>
        <w:spacing w:line="360" w:lineRule="auto"/>
        <w:rPr>
          <w:rFonts w:hint="default" w:ascii="宋体" w:hAnsi="宋体" w:cs="楷体"/>
          <w:color w:val="000000"/>
          <w:kern w:val="1"/>
          <w:sz w:val="24"/>
          <w:szCs w:val="24"/>
          <w:lang w:val="en-US" w:eastAsia="zh-CN"/>
        </w:rPr>
      </w:pPr>
    </w:p>
    <w:p w14:paraId="5AACEBFE">
      <w:pPr>
        <w:spacing w:line="360" w:lineRule="auto"/>
        <w:rPr>
          <w:rFonts w:hint="default" w:ascii="宋体" w:hAnsi="宋体" w:cs="楷体"/>
          <w:color w:val="000000"/>
          <w:kern w:val="1"/>
          <w:sz w:val="24"/>
          <w:szCs w:val="24"/>
          <w:lang w:val="en-US" w:eastAsia="zh-CN"/>
        </w:rPr>
      </w:pPr>
    </w:p>
    <w:p w14:paraId="33C86102">
      <w:pPr>
        <w:spacing w:line="360" w:lineRule="auto"/>
        <w:rPr>
          <w:rFonts w:hint="default" w:ascii="宋体" w:hAnsi="宋体" w:cs="楷体"/>
          <w:color w:val="000000"/>
          <w:kern w:val="1"/>
          <w:sz w:val="24"/>
          <w:szCs w:val="24"/>
          <w:lang w:val="en-US" w:eastAsia="zh-CN"/>
        </w:rPr>
      </w:pPr>
    </w:p>
    <w:p w14:paraId="012632D0">
      <w:pPr>
        <w:spacing w:line="360" w:lineRule="auto"/>
        <w:rPr>
          <w:rFonts w:hint="default" w:ascii="宋体" w:hAnsi="宋体" w:cs="楷体"/>
          <w:color w:val="000000"/>
          <w:kern w:val="1"/>
          <w:sz w:val="24"/>
          <w:szCs w:val="24"/>
          <w:lang w:val="en-US" w:eastAsia="zh-CN"/>
        </w:rPr>
      </w:pPr>
    </w:p>
    <w:p w14:paraId="6EA09D9B">
      <w:pPr>
        <w:spacing w:line="360" w:lineRule="auto"/>
        <w:rPr>
          <w:rFonts w:hint="default" w:ascii="宋体" w:hAnsi="宋体" w:cs="楷体"/>
          <w:color w:val="000000"/>
          <w:kern w:val="1"/>
          <w:sz w:val="24"/>
          <w:szCs w:val="24"/>
          <w:lang w:val="en-US" w:eastAsia="zh-CN"/>
        </w:rPr>
      </w:pPr>
    </w:p>
    <w:p w14:paraId="1FABA467">
      <w:pPr>
        <w:spacing w:line="360" w:lineRule="auto"/>
        <w:rPr>
          <w:rFonts w:hint="default" w:ascii="宋体" w:hAnsi="宋体" w:cs="楷体"/>
          <w:color w:val="000000"/>
          <w:kern w:val="1"/>
          <w:sz w:val="24"/>
          <w:szCs w:val="24"/>
          <w:lang w:val="en-US" w:eastAsia="zh-CN"/>
        </w:rPr>
      </w:pPr>
    </w:p>
    <w:p w14:paraId="4111FA6B">
      <w:pPr>
        <w:spacing w:line="360" w:lineRule="auto"/>
        <w:rPr>
          <w:rFonts w:hint="default" w:ascii="宋体" w:hAnsi="宋体" w:cs="楷体"/>
          <w:color w:val="000000"/>
          <w:kern w:val="1"/>
          <w:sz w:val="24"/>
          <w:szCs w:val="24"/>
          <w:lang w:val="en-US" w:eastAsia="zh-CN"/>
        </w:rPr>
      </w:pPr>
    </w:p>
    <w:p w14:paraId="383717F6">
      <w:pPr>
        <w:spacing w:line="360" w:lineRule="auto"/>
        <w:rPr>
          <w:rFonts w:hint="default" w:ascii="宋体" w:hAnsi="宋体" w:cs="楷体"/>
          <w:color w:val="000000"/>
          <w:kern w:val="1"/>
          <w:sz w:val="24"/>
          <w:szCs w:val="24"/>
          <w:lang w:val="en-US" w:eastAsia="zh-CN"/>
        </w:rPr>
      </w:pPr>
    </w:p>
    <w:p w14:paraId="76125721">
      <w:pPr>
        <w:spacing w:line="360" w:lineRule="auto"/>
        <w:rPr>
          <w:rFonts w:hint="default" w:ascii="宋体" w:hAnsi="宋体" w:cs="楷体"/>
          <w:color w:val="000000"/>
          <w:kern w:val="1"/>
          <w:sz w:val="24"/>
          <w:szCs w:val="24"/>
          <w:lang w:val="en-US" w:eastAsia="zh-CN"/>
        </w:rPr>
      </w:pPr>
    </w:p>
    <w:p w14:paraId="26A5D691">
      <w:pPr>
        <w:spacing w:line="360" w:lineRule="auto"/>
        <w:rPr>
          <w:rFonts w:hint="default" w:ascii="宋体" w:hAnsi="宋体" w:cs="楷体"/>
          <w:color w:val="000000"/>
          <w:kern w:val="1"/>
          <w:sz w:val="24"/>
          <w:szCs w:val="24"/>
          <w:lang w:val="en-US" w:eastAsia="zh-CN"/>
        </w:rPr>
      </w:pPr>
    </w:p>
    <w:p w14:paraId="2FA1CAD3">
      <w:pPr>
        <w:spacing w:line="360" w:lineRule="auto"/>
        <w:rPr>
          <w:rFonts w:hint="default" w:ascii="宋体" w:hAnsi="宋体" w:cs="楷体"/>
          <w:color w:val="000000"/>
          <w:kern w:val="1"/>
          <w:sz w:val="24"/>
          <w:szCs w:val="24"/>
          <w:lang w:val="en-US" w:eastAsia="zh-CN"/>
        </w:rPr>
      </w:pPr>
    </w:p>
    <w:p w14:paraId="4ABDA0B2">
      <w:pPr>
        <w:spacing w:line="360" w:lineRule="auto"/>
        <w:rPr>
          <w:rFonts w:hint="default" w:ascii="宋体" w:hAnsi="宋体" w:cs="楷体"/>
          <w:color w:val="000000"/>
          <w:kern w:val="1"/>
          <w:sz w:val="24"/>
          <w:szCs w:val="24"/>
          <w:lang w:val="en-US" w:eastAsia="zh-CN"/>
        </w:rPr>
      </w:pPr>
    </w:p>
    <w:p w14:paraId="302310CA">
      <w:pPr>
        <w:spacing w:line="360" w:lineRule="auto"/>
        <w:rPr>
          <w:rFonts w:hint="default" w:ascii="宋体" w:hAnsi="宋体" w:cs="楷体"/>
          <w:color w:val="000000"/>
          <w:kern w:val="1"/>
          <w:sz w:val="24"/>
          <w:szCs w:val="24"/>
          <w:lang w:val="en-US" w:eastAsia="zh-CN"/>
        </w:rPr>
      </w:pPr>
    </w:p>
    <w:p w14:paraId="5932FCB9">
      <w:pPr>
        <w:spacing w:line="360" w:lineRule="auto"/>
        <w:rPr>
          <w:rFonts w:hint="default" w:ascii="宋体" w:hAnsi="宋体" w:cs="楷体"/>
          <w:color w:val="000000"/>
          <w:kern w:val="1"/>
          <w:sz w:val="24"/>
          <w:szCs w:val="24"/>
          <w:lang w:val="en-US" w:eastAsia="zh-CN"/>
        </w:rPr>
      </w:pPr>
    </w:p>
    <w:p w14:paraId="0EAAB3B6">
      <w:pPr>
        <w:spacing w:line="360" w:lineRule="auto"/>
        <w:rPr>
          <w:rFonts w:hint="default" w:ascii="宋体" w:hAnsi="宋体" w:cs="楷体"/>
          <w:color w:val="000000"/>
          <w:kern w:val="1"/>
          <w:sz w:val="24"/>
          <w:szCs w:val="24"/>
          <w:lang w:val="en-US" w:eastAsia="zh-CN"/>
        </w:rPr>
      </w:pPr>
    </w:p>
    <w:p w14:paraId="6ECE6E4B">
      <w:pPr>
        <w:spacing w:line="360" w:lineRule="auto"/>
        <w:rPr>
          <w:rFonts w:hint="default" w:ascii="宋体" w:hAnsi="宋体" w:cs="楷体"/>
          <w:color w:val="000000"/>
          <w:kern w:val="1"/>
          <w:sz w:val="24"/>
          <w:szCs w:val="24"/>
          <w:lang w:val="en-US" w:eastAsia="zh-CN"/>
        </w:rPr>
      </w:pPr>
    </w:p>
    <w:p w14:paraId="44CD4143">
      <w:pPr>
        <w:spacing w:line="360" w:lineRule="auto"/>
        <w:rPr>
          <w:rFonts w:hint="default" w:ascii="宋体" w:hAnsi="宋体" w:cs="楷体"/>
          <w:color w:val="000000"/>
          <w:kern w:val="1"/>
          <w:sz w:val="24"/>
          <w:szCs w:val="24"/>
          <w:lang w:val="en-US" w:eastAsia="zh-CN"/>
        </w:rPr>
      </w:pPr>
    </w:p>
    <w:p w14:paraId="7F1C0D41">
      <w:pPr>
        <w:spacing w:line="360" w:lineRule="auto"/>
        <w:rPr>
          <w:rFonts w:hint="default" w:ascii="宋体" w:hAnsi="宋体" w:cs="楷体"/>
          <w:color w:val="000000"/>
          <w:kern w:val="1"/>
          <w:sz w:val="24"/>
          <w:szCs w:val="24"/>
          <w:lang w:val="en-US" w:eastAsia="zh-CN"/>
        </w:rPr>
      </w:pPr>
    </w:p>
    <w:p w14:paraId="1128A33F">
      <w:pPr>
        <w:spacing w:line="360" w:lineRule="auto"/>
        <w:rPr>
          <w:rFonts w:hint="default" w:ascii="宋体" w:hAnsi="宋体" w:cs="楷体"/>
          <w:color w:val="000000"/>
          <w:kern w:val="1"/>
          <w:sz w:val="24"/>
          <w:szCs w:val="24"/>
          <w:lang w:val="en-US" w:eastAsia="zh-CN"/>
        </w:rPr>
      </w:pPr>
    </w:p>
    <w:p w14:paraId="4AEE68E7">
      <w:pPr>
        <w:spacing w:line="360" w:lineRule="auto"/>
        <w:rPr>
          <w:rFonts w:hint="default" w:ascii="宋体" w:hAnsi="宋体" w:cs="楷体"/>
          <w:color w:val="000000"/>
          <w:kern w:val="1"/>
          <w:sz w:val="24"/>
          <w:szCs w:val="24"/>
          <w:lang w:val="en-US" w:eastAsia="zh-CN"/>
        </w:rPr>
      </w:pPr>
    </w:p>
    <w:p w14:paraId="722D5DA1">
      <w:pPr>
        <w:spacing w:line="360" w:lineRule="auto"/>
        <w:rPr>
          <w:rFonts w:hint="default" w:ascii="宋体" w:hAnsi="宋体" w:cs="楷体"/>
          <w:color w:val="000000"/>
          <w:kern w:val="1"/>
          <w:sz w:val="24"/>
          <w:szCs w:val="24"/>
          <w:lang w:val="en-US" w:eastAsia="zh-CN"/>
        </w:rPr>
      </w:pPr>
    </w:p>
    <w:p w14:paraId="0019E258">
      <w:pPr>
        <w:spacing w:line="360" w:lineRule="auto"/>
        <w:rPr>
          <w:rFonts w:hint="default" w:ascii="宋体" w:hAnsi="宋体" w:cs="楷体"/>
          <w:color w:val="000000"/>
          <w:kern w:val="1"/>
          <w:sz w:val="24"/>
          <w:szCs w:val="24"/>
          <w:lang w:val="en-US" w:eastAsia="zh-CN"/>
        </w:rPr>
      </w:pPr>
    </w:p>
    <w:p w14:paraId="6477ED24">
      <w:pPr>
        <w:spacing w:line="360" w:lineRule="auto"/>
        <w:rPr>
          <w:rFonts w:hint="default" w:ascii="宋体" w:hAnsi="宋体" w:cs="楷体"/>
          <w:color w:val="000000"/>
          <w:kern w:val="1"/>
          <w:sz w:val="24"/>
          <w:szCs w:val="24"/>
          <w:lang w:val="en-US" w:eastAsia="zh-CN"/>
        </w:rPr>
      </w:pPr>
    </w:p>
    <w:p w14:paraId="0D9B32FC">
      <w:pPr>
        <w:spacing w:line="360" w:lineRule="auto"/>
        <w:rPr>
          <w:rFonts w:hint="default" w:ascii="宋体" w:hAnsi="宋体" w:cs="楷体"/>
          <w:color w:val="000000"/>
          <w:kern w:val="1"/>
          <w:sz w:val="24"/>
          <w:szCs w:val="24"/>
          <w:lang w:val="en-US" w:eastAsia="zh-CN"/>
        </w:rPr>
      </w:pPr>
    </w:p>
    <w:p w14:paraId="52147DF0">
      <w:pPr>
        <w:spacing w:line="360" w:lineRule="auto"/>
        <w:rPr>
          <w:rFonts w:hint="default" w:ascii="宋体" w:hAnsi="宋体" w:cs="楷体"/>
          <w:color w:val="000000"/>
          <w:kern w:val="1"/>
          <w:sz w:val="24"/>
          <w:szCs w:val="24"/>
          <w:lang w:val="en-US" w:eastAsia="zh-CN"/>
        </w:rPr>
      </w:pPr>
    </w:p>
    <w:p w14:paraId="0BD8ED7F">
      <w:pPr>
        <w:spacing w:line="360" w:lineRule="auto"/>
        <w:rPr>
          <w:rFonts w:hint="default" w:ascii="宋体" w:hAnsi="宋体" w:cs="楷体"/>
          <w:color w:val="000000"/>
          <w:kern w:val="1"/>
          <w:sz w:val="24"/>
          <w:szCs w:val="24"/>
          <w:lang w:val="en-US" w:eastAsia="zh-CN"/>
        </w:rPr>
      </w:pPr>
    </w:p>
    <w:p w14:paraId="3C6962E6">
      <w:pPr>
        <w:spacing w:line="360" w:lineRule="auto"/>
        <w:rPr>
          <w:rFonts w:hint="default" w:ascii="宋体" w:hAnsi="宋体" w:cs="楷体"/>
          <w:color w:val="000000"/>
          <w:kern w:val="1"/>
          <w:sz w:val="24"/>
          <w:szCs w:val="24"/>
          <w:lang w:val="en-US" w:eastAsia="zh-CN"/>
        </w:rPr>
      </w:pPr>
    </w:p>
    <w:p w14:paraId="1A8BB397">
      <w:pPr>
        <w:jc w:val="left"/>
        <w:rPr>
          <w:rFonts w:hint="eastAsia" w:ascii="宋体" w:hAnsi="宋体" w:eastAsia="宋体" w:cs="宋体"/>
          <w:b/>
          <w:bCs/>
          <w:sz w:val="24"/>
          <w:szCs w:val="28"/>
        </w:rPr>
      </w:pPr>
    </w:p>
    <w:p w14:paraId="1B642C8C">
      <w:pPr>
        <w:jc w:val="left"/>
        <w:rPr>
          <w:rFonts w:hint="eastAsia" w:ascii="宋体" w:hAnsi="宋体" w:eastAsia="宋体" w:cs="宋体"/>
          <w:b/>
          <w:bCs/>
          <w:sz w:val="24"/>
          <w:szCs w:val="28"/>
        </w:rPr>
      </w:pPr>
      <w:r>
        <w:rPr>
          <w:rFonts w:hint="eastAsia" w:ascii="宋体" w:hAnsi="宋体" w:eastAsia="宋体" w:cs="宋体"/>
          <w:b/>
          <w:bCs/>
          <w:sz w:val="24"/>
          <w:szCs w:val="28"/>
        </w:rPr>
        <w:t>附件：</w:t>
      </w:r>
    </w:p>
    <w:p w14:paraId="6D0DADA1">
      <w:pPr>
        <w:jc w:val="center"/>
        <w:rPr>
          <w:rFonts w:hint="eastAsia" w:ascii="宋体" w:hAnsi="宋体" w:eastAsia="宋体" w:cs="宋体"/>
          <w:b/>
          <w:bCs/>
          <w:sz w:val="24"/>
          <w:szCs w:val="28"/>
        </w:rPr>
      </w:pPr>
    </w:p>
    <w:p w14:paraId="40CAF139">
      <w:pPr>
        <w:jc w:val="center"/>
        <w:rPr>
          <w:rFonts w:hint="eastAsia" w:ascii="宋体" w:hAnsi="宋体" w:eastAsia="宋体" w:cs="宋体"/>
          <w:b/>
          <w:bCs/>
          <w:sz w:val="28"/>
          <w:szCs w:val="32"/>
        </w:rPr>
      </w:pPr>
      <w:r>
        <w:rPr>
          <w:rFonts w:hint="eastAsia" w:ascii="宋体" w:hAnsi="宋体" w:eastAsia="宋体" w:cs="宋体"/>
          <w:b/>
          <w:bCs/>
          <w:sz w:val="28"/>
          <w:szCs w:val="32"/>
        </w:rPr>
        <w:t>供应商资格承诺函</w:t>
      </w:r>
    </w:p>
    <w:p w14:paraId="4494FBBD">
      <w:pPr>
        <w:ind w:firstLine="400" w:firstLineChars="200"/>
        <w:jc w:val="left"/>
        <w:rPr>
          <w:rFonts w:hint="eastAsia" w:ascii="宋体" w:hAnsi="宋体" w:eastAsia="宋体" w:cs="Times New Roman"/>
          <w:sz w:val="20"/>
        </w:rPr>
      </w:pPr>
    </w:p>
    <w:p w14:paraId="228A47F2">
      <w:pPr>
        <w:ind w:firstLine="400" w:firstLineChars="200"/>
        <w:jc w:val="left"/>
        <w:rPr>
          <w:rFonts w:hint="eastAsia" w:ascii="宋体" w:hAnsi="宋体" w:eastAsia="宋体" w:cs="Times New Roman"/>
          <w:sz w:val="20"/>
        </w:rPr>
      </w:pPr>
    </w:p>
    <w:p w14:paraId="2DF6D0ED">
      <w:pPr>
        <w:spacing w:line="480" w:lineRule="auto"/>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致：</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u w:val="single"/>
          <w:lang w:val="en-US" w:eastAsia="zh-CN"/>
        </w:rPr>
        <w:t>采购</w:t>
      </w:r>
      <w:r>
        <w:rPr>
          <w:rFonts w:hint="eastAsia" w:asciiTheme="minorEastAsia" w:hAnsiTheme="minorEastAsia" w:cstheme="minorEastAsia"/>
          <w:sz w:val="24"/>
          <w:szCs w:val="24"/>
          <w:u w:val="single"/>
        </w:rPr>
        <w:t>人名称）</w:t>
      </w:r>
    </w:p>
    <w:p w14:paraId="70B9EEE8">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我方承诺，我方满足 《中华人民共和国政府采购法》第二十二条的所有规定。</w:t>
      </w:r>
    </w:p>
    <w:p w14:paraId="280F402E">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(一)具有独立承担民事责任的能力；</w:t>
      </w:r>
    </w:p>
    <w:p w14:paraId="6C1DEEF6">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(二)具有良好的商业信誉和健全的财务会计制度；</w:t>
      </w:r>
    </w:p>
    <w:p w14:paraId="536553CB">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(三)具有履行合同所必需的设备和专业技术能力；</w:t>
      </w:r>
    </w:p>
    <w:p w14:paraId="714C7978">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(四)有依法缴纳税收和社会保障资金的良好记录；</w:t>
      </w:r>
    </w:p>
    <w:p w14:paraId="1DDCF1EC">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(五)参加政府采购活动前三年内，在经营活动中没有重大违法记录；</w:t>
      </w:r>
    </w:p>
    <w:p w14:paraId="4039B1FE">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(六)法律、行政法规规定的其他条件。</w:t>
      </w:r>
    </w:p>
    <w:p w14:paraId="006E2D27">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我方保证上述信息的真实和准确，并愿意承担因我方就此弄虚作假所引起的一切法律后果。</w:t>
      </w:r>
    </w:p>
    <w:p w14:paraId="1DC6D669">
      <w:pPr>
        <w:spacing w:line="360" w:lineRule="auto"/>
        <w:ind w:firstLine="480" w:firstLineChars="200"/>
        <w:rPr>
          <w:rFonts w:hint="eastAsia" w:ascii="宋体" w:hAnsi="宋体" w:cs="宋体"/>
          <w:b/>
          <w:kern w:val="1"/>
          <w:sz w:val="28"/>
          <w:szCs w:val="28"/>
        </w:rPr>
      </w:pPr>
      <w:r>
        <w:rPr>
          <w:rFonts w:hint="eastAsia" w:asciiTheme="minorEastAsia" w:hAnsiTheme="minorEastAsia" w:cstheme="minorEastAsia"/>
          <w:sz w:val="24"/>
          <w:szCs w:val="24"/>
        </w:rPr>
        <w:t>特此承诺。</w:t>
      </w:r>
    </w:p>
    <w:p w14:paraId="36B8CDAD">
      <w:pPr>
        <w:spacing w:line="360" w:lineRule="auto"/>
        <w:rPr>
          <w:rFonts w:hint="default" w:ascii="宋体" w:hAnsi="宋体" w:cs="楷体"/>
          <w:color w:val="000000"/>
          <w:kern w:val="1"/>
          <w:sz w:val="24"/>
          <w:szCs w:val="24"/>
          <w:lang w:val="en-US" w:eastAsia="zh-CN"/>
        </w:rPr>
      </w:pPr>
    </w:p>
    <w:p w14:paraId="5238D115">
      <w:pPr>
        <w:spacing w:line="360" w:lineRule="auto"/>
        <w:rPr>
          <w:rFonts w:hint="default" w:ascii="宋体" w:hAnsi="宋体" w:cs="楷体"/>
          <w:color w:val="000000"/>
          <w:kern w:val="1"/>
          <w:sz w:val="24"/>
          <w:szCs w:val="24"/>
          <w:lang w:val="en-US" w:eastAsia="zh-CN"/>
        </w:rPr>
      </w:pPr>
    </w:p>
    <w:p w14:paraId="736587F2">
      <w:pPr>
        <w:spacing w:line="360" w:lineRule="auto"/>
        <w:rPr>
          <w:rFonts w:hint="default" w:ascii="宋体" w:hAnsi="宋体" w:cs="楷体"/>
          <w:color w:val="000000"/>
          <w:kern w:val="1"/>
          <w:sz w:val="24"/>
          <w:szCs w:val="24"/>
          <w:lang w:val="en-US" w:eastAsia="zh-CN"/>
        </w:rPr>
      </w:pPr>
    </w:p>
    <w:p w14:paraId="52966316">
      <w:pPr>
        <w:spacing w:line="360" w:lineRule="auto"/>
        <w:ind w:firstLine="3220" w:firstLineChars="14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 xml:space="preserve">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u w:val="single"/>
          <w:lang w:val="en-US" w:eastAsia="zh-CN"/>
        </w:rPr>
        <w:t xml:space="preserve">      </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（盖</w:t>
      </w:r>
      <w:r>
        <w:rPr>
          <w:rFonts w:hint="eastAsia" w:ascii="宋体" w:hAnsi="宋体" w:cs="楷体"/>
          <w:color w:val="000000"/>
          <w:kern w:val="1"/>
          <w:sz w:val="24"/>
          <w:szCs w:val="24"/>
          <w:lang w:val="en-US" w:eastAsia="zh-CN"/>
        </w:rPr>
        <w:t>电子</w:t>
      </w:r>
      <w:r>
        <w:rPr>
          <w:rFonts w:hint="eastAsia" w:ascii="宋体" w:hAnsi="宋体" w:cs="楷体"/>
          <w:color w:val="000000"/>
          <w:kern w:val="1"/>
          <w:sz w:val="24"/>
          <w:szCs w:val="24"/>
        </w:rPr>
        <w:t>章）</w:t>
      </w:r>
    </w:p>
    <w:p w14:paraId="38085EE1">
      <w:pPr>
        <w:spacing w:line="360" w:lineRule="auto"/>
        <w:ind w:firstLine="3450" w:firstLineChars="15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法定代表人或授权委托人</w:t>
      </w:r>
      <w:r>
        <w:rPr>
          <w:rFonts w:hint="eastAsia" w:ascii="宋体" w:hAnsi="宋体" w:cs="楷体"/>
          <w:color w:val="000000"/>
          <w:kern w:val="1"/>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（签字或盖章）</w:t>
      </w:r>
    </w:p>
    <w:p w14:paraId="38567DD6">
      <w:pPr>
        <w:spacing w:line="360" w:lineRule="auto"/>
        <w:ind w:firstLine="3360" w:firstLineChars="1400"/>
        <w:rPr>
          <w:rFonts w:hint="eastAsia" w:ascii="宋体" w:hAnsi="宋体" w:cs="楷体"/>
          <w:color w:val="000000"/>
          <w:kern w:val="1"/>
          <w:sz w:val="24"/>
          <w:szCs w:val="24"/>
        </w:rPr>
      </w:pP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期：</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年</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月</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日</w:t>
      </w:r>
    </w:p>
    <w:p w14:paraId="506707FF">
      <w:pPr>
        <w:spacing w:line="360" w:lineRule="auto"/>
        <w:rPr>
          <w:rFonts w:hint="default" w:ascii="宋体" w:hAnsi="宋体" w:cs="楷体"/>
          <w:color w:val="000000"/>
          <w:kern w:val="1"/>
          <w:sz w:val="24"/>
          <w:szCs w:val="24"/>
          <w:lang w:val="en-US" w:eastAsia="zh-CN"/>
        </w:rPr>
      </w:pPr>
    </w:p>
    <w:p w14:paraId="4FF90F85">
      <w:pPr>
        <w:spacing w:line="360" w:lineRule="auto"/>
        <w:rPr>
          <w:rFonts w:hint="default" w:ascii="宋体" w:hAnsi="宋体" w:cs="楷体"/>
          <w:color w:val="000000"/>
          <w:kern w:val="1"/>
          <w:sz w:val="24"/>
          <w:szCs w:val="24"/>
          <w:lang w:val="en-US" w:eastAsia="zh-CN"/>
        </w:rPr>
      </w:pPr>
    </w:p>
    <w:p w14:paraId="24F350FD">
      <w:pPr>
        <w:spacing w:line="360" w:lineRule="auto"/>
        <w:rPr>
          <w:rFonts w:hint="default" w:ascii="宋体" w:hAnsi="宋体" w:cs="楷体"/>
          <w:color w:val="000000"/>
          <w:kern w:val="1"/>
          <w:sz w:val="24"/>
          <w:szCs w:val="24"/>
          <w:lang w:val="en-US" w:eastAsia="zh-CN"/>
        </w:rPr>
      </w:pPr>
    </w:p>
    <w:p w14:paraId="41EEB71B">
      <w:pPr>
        <w:pStyle w:val="2"/>
        <w:bidi w:val="0"/>
        <w:jc w:val="center"/>
        <w:rPr>
          <w:rFonts w:hint="eastAsia"/>
        </w:rPr>
      </w:pPr>
      <w:r>
        <w:rPr>
          <w:rFonts w:hint="eastAsia"/>
          <w:lang w:val="en-US" w:eastAsia="zh-CN"/>
        </w:rPr>
        <w:t>五、服务</w:t>
      </w:r>
      <w:r>
        <w:rPr>
          <w:rFonts w:hint="eastAsia"/>
        </w:rPr>
        <w:t>方案</w:t>
      </w:r>
    </w:p>
    <w:p w14:paraId="02BD5812">
      <w:pPr>
        <w:pStyle w:val="14"/>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（格式自拟）</w:t>
      </w:r>
    </w:p>
    <w:p w14:paraId="760B6D99">
      <w:pPr>
        <w:spacing w:line="360" w:lineRule="auto"/>
        <w:rPr>
          <w:rFonts w:hint="default" w:ascii="宋体" w:hAnsi="宋体" w:cs="楷体"/>
          <w:color w:val="000000"/>
          <w:kern w:val="1"/>
          <w:sz w:val="24"/>
          <w:szCs w:val="24"/>
          <w:lang w:val="en-US" w:eastAsia="zh-CN"/>
        </w:rPr>
      </w:pPr>
    </w:p>
    <w:p w14:paraId="383580F7">
      <w:pPr>
        <w:spacing w:line="360" w:lineRule="auto"/>
        <w:rPr>
          <w:rFonts w:hint="default" w:ascii="宋体" w:hAnsi="宋体" w:cs="楷体"/>
          <w:color w:val="000000"/>
          <w:kern w:val="1"/>
          <w:sz w:val="24"/>
          <w:szCs w:val="24"/>
          <w:lang w:val="en-US" w:eastAsia="zh-CN"/>
        </w:rPr>
      </w:pPr>
    </w:p>
    <w:p w14:paraId="3CCBA623">
      <w:pPr>
        <w:spacing w:line="360" w:lineRule="auto"/>
        <w:rPr>
          <w:rFonts w:hint="default" w:ascii="宋体" w:hAnsi="宋体" w:cs="楷体"/>
          <w:color w:val="000000"/>
          <w:kern w:val="1"/>
          <w:sz w:val="24"/>
          <w:szCs w:val="24"/>
          <w:lang w:val="en-US" w:eastAsia="zh-CN"/>
        </w:rPr>
      </w:pPr>
    </w:p>
    <w:p w14:paraId="1C6EC8F4">
      <w:pPr>
        <w:spacing w:line="360" w:lineRule="auto"/>
        <w:rPr>
          <w:rFonts w:hint="default" w:ascii="宋体" w:hAnsi="宋体" w:cs="楷体"/>
          <w:color w:val="000000"/>
          <w:kern w:val="1"/>
          <w:sz w:val="24"/>
          <w:szCs w:val="24"/>
          <w:lang w:val="en-US" w:eastAsia="zh-CN"/>
        </w:rPr>
      </w:pPr>
    </w:p>
    <w:p w14:paraId="71EB423B">
      <w:pPr>
        <w:spacing w:line="360" w:lineRule="auto"/>
        <w:rPr>
          <w:rFonts w:hint="default" w:ascii="宋体" w:hAnsi="宋体" w:cs="楷体"/>
          <w:color w:val="000000"/>
          <w:kern w:val="1"/>
          <w:sz w:val="24"/>
          <w:szCs w:val="24"/>
          <w:lang w:val="en-US" w:eastAsia="zh-CN"/>
        </w:rPr>
      </w:pPr>
    </w:p>
    <w:p w14:paraId="70C1184E">
      <w:pPr>
        <w:spacing w:line="360" w:lineRule="auto"/>
        <w:rPr>
          <w:rFonts w:hint="default" w:ascii="宋体" w:hAnsi="宋体" w:cs="楷体"/>
          <w:color w:val="000000"/>
          <w:kern w:val="1"/>
          <w:sz w:val="24"/>
          <w:szCs w:val="24"/>
          <w:lang w:val="en-US" w:eastAsia="zh-CN"/>
        </w:rPr>
      </w:pPr>
    </w:p>
    <w:p w14:paraId="6EBB432B">
      <w:pPr>
        <w:spacing w:line="360" w:lineRule="auto"/>
        <w:rPr>
          <w:rFonts w:hint="default" w:ascii="宋体" w:hAnsi="宋体" w:cs="楷体"/>
          <w:color w:val="000000"/>
          <w:kern w:val="1"/>
          <w:sz w:val="24"/>
          <w:szCs w:val="24"/>
          <w:lang w:val="en-US" w:eastAsia="zh-CN"/>
        </w:rPr>
      </w:pPr>
    </w:p>
    <w:p w14:paraId="2AC027B8">
      <w:pPr>
        <w:spacing w:line="360" w:lineRule="auto"/>
        <w:rPr>
          <w:rFonts w:hint="default" w:ascii="宋体" w:hAnsi="宋体" w:cs="楷体"/>
          <w:color w:val="000000"/>
          <w:kern w:val="1"/>
          <w:sz w:val="24"/>
          <w:szCs w:val="24"/>
          <w:lang w:val="en-US" w:eastAsia="zh-CN"/>
        </w:rPr>
      </w:pPr>
    </w:p>
    <w:p w14:paraId="025B24B2">
      <w:pPr>
        <w:spacing w:line="360" w:lineRule="auto"/>
        <w:rPr>
          <w:rFonts w:hint="default" w:ascii="宋体" w:hAnsi="宋体" w:cs="楷体"/>
          <w:color w:val="000000"/>
          <w:kern w:val="1"/>
          <w:sz w:val="24"/>
          <w:szCs w:val="24"/>
          <w:lang w:val="en-US" w:eastAsia="zh-CN"/>
        </w:rPr>
      </w:pPr>
    </w:p>
    <w:p w14:paraId="78EA4A56">
      <w:pPr>
        <w:spacing w:line="360" w:lineRule="auto"/>
        <w:rPr>
          <w:rFonts w:hint="default" w:ascii="宋体" w:hAnsi="宋体" w:cs="楷体"/>
          <w:color w:val="000000"/>
          <w:kern w:val="1"/>
          <w:sz w:val="24"/>
          <w:szCs w:val="24"/>
          <w:lang w:val="en-US" w:eastAsia="zh-CN"/>
        </w:rPr>
      </w:pPr>
    </w:p>
    <w:p w14:paraId="1498B03F">
      <w:pPr>
        <w:spacing w:line="360" w:lineRule="auto"/>
        <w:rPr>
          <w:rFonts w:hint="default" w:ascii="宋体" w:hAnsi="宋体" w:cs="楷体"/>
          <w:color w:val="000000"/>
          <w:kern w:val="1"/>
          <w:sz w:val="24"/>
          <w:szCs w:val="24"/>
          <w:lang w:val="en-US" w:eastAsia="zh-CN"/>
        </w:rPr>
      </w:pPr>
    </w:p>
    <w:p w14:paraId="620F5A1F">
      <w:pPr>
        <w:spacing w:line="360" w:lineRule="auto"/>
        <w:rPr>
          <w:rFonts w:hint="default" w:ascii="宋体" w:hAnsi="宋体" w:cs="楷体"/>
          <w:color w:val="000000"/>
          <w:kern w:val="1"/>
          <w:sz w:val="24"/>
          <w:szCs w:val="24"/>
          <w:lang w:val="en-US" w:eastAsia="zh-CN"/>
        </w:rPr>
      </w:pPr>
    </w:p>
    <w:p w14:paraId="7B20C46F">
      <w:pPr>
        <w:spacing w:line="360" w:lineRule="auto"/>
        <w:rPr>
          <w:rFonts w:hint="default" w:ascii="宋体" w:hAnsi="宋体" w:cs="楷体"/>
          <w:color w:val="000000"/>
          <w:kern w:val="1"/>
          <w:sz w:val="24"/>
          <w:szCs w:val="24"/>
          <w:lang w:val="en-US" w:eastAsia="zh-CN"/>
        </w:rPr>
      </w:pPr>
    </w:p>
    <w:p w14:paraId="4FD1E8E9">
      <w:pPr>
        <w:spacing w:line="360" w:lineRule="auto"/>
        <w:rPr>
          <w:rFonts w:hint="default" w:ascii="宋体" w:hAnsi="宋体" w:cs="楷体"/>
          <w:color w:val="000000"/>
          <w:kern w:val="1"/>
          <w:sz w:val="24"/>
          <w:szCs w:val="24"/>
          <w:lang w:val="en-US" w:eastAsia="zh-CN"/>
        </w:rPr>
      </w:pPr>
    </w:p>
    <w:p w14:paraId="5F4B1343">
      <w:pPr>
        <w:spacing w:line="360" w:lineRule="auto"/>
        <w:rPr>
          <w:rFonts w:hint="default" w:ascii="宋体" w:hAnsi="宋体" w:cs="楷体"/>
          <w:color w:val="000000"/>
          <w:kern w:val="1"/>
          <w:sz w:val="24"/>
          <w:szCs w:val="24"/>
          <w:lang w:val="en-US" w:eastAsia="zh-CN"/>
        </w:rPr>
      </w:pPr>
    </w:p>
    <w:p w14:paraId="7A8F67C2">
      <w:pPr>
        <w:spacing w:line="360" w:lineRule="auto"/>
        <w:rPr>
          <w:rFonts w:hint="default" w:ascii="宋体" w:hAnsi="宋体" w:cs="楷体"/>
          <w:color w:val="000000"/>
          <w:kern w:val="1"/>
          <w:sz w:val="24"/>
          <w:szCs w:val="24"/>
          <w:lang w:val="en-US" w:eastAsia="zh-CN"/>
        </w:rPr>
      </w:pPr>
    </w:p>
    <w:p w14:paraId="611B48C7">
      <w:pPr>
        <w:spacing w:line="360" w:lineRule="auto"/>
        <w:rPr>
          <w:rFonts w:hint="default" w:ascii="宋体" w:hAnsi="宋体" w:cs="楷体"/>
          <w:color w:val="000000"/>
          <w:kern w:val="1"/>
          <w:sz w:val="24"/>
          <w:szCs w:val="24"/>
          <w:lang w:val="en-US" w:eastAsia="zh-CN"/>
        </w:rPr>
      </w:pPr>
    </w:p>
    <w:p w14:paraId="48508D45">
      <w:pPr>
        <w:spacing w:line="360" w:lineRule="auto"/>
        <w:rPr>
          <w:rFonts w:hint="default" w:ascii="宋体" w:hAnsi="宋体" w:cs="楷体"/>
          <w:color w:val="000000"/>
          <w:kern w:val="1"/>
          <w:sz w:val="24"/>
          <w:szCs w:val="24"/>
          <w:lang w:val="en-US" w:eastAsia="zh-CN"/>
        </w:rPr>
      </w:pPr>
    </w:p>
    <w:p w14:paraId="453B1926">
      <w:pPr>
        <w:spacing w:line="360" w:lineRule="auto"/>
        <w:rPr>
          <w:rFonts w:hint="default" w:ascii="宋体" w:hAnsi="宋体" w:cs="楷体"/>
          <w:color w:val="000000"/>
          <w:kern w:val="1"/>
          <w:sz w:val="24"/>
          <w:szCs w:val="24"/>
          <w:lang w:val="en-US" w:eastAsia="zh-CN"/>
        </w:rPr>
      </w:pPr>
    </w:p>
    <w:p w14:paraId="77A0C7FD">
      <w:pPr>
        <w:spacing w:line="360" w:lineRule="auto"/>
        <w:rPr>
          <w:rFonts w:hint="default" w:ascii="宋体" w:hAnsi="宋体" w:cs="楷体"/>
          <w:color w:val="000000"/>
          <w:kern w:val="1"/>
          <w:sz w:val="24"/>
          <w:szCs w:val="24"/>
          <w:lang w:val="en-US" w:eastAsia="zh-CN"/>
        </w:rPr>
      </w:pPr>
    </w:p>
    <w:p w14:paraId="33FC760C">
      <w:pPr>
        <w:spacing w:line="360" w:lineRule="auto"/>
        <w:rPr>
          <w:rFonts w:hint="default" w:ascii="宋体" w:hAnsi="宋体" w:cs="楷体"/>
          <w:color w:val="000000"/>
          <w:kern w:val="1"/>
          <w:sz w:val="24"/>
          <w:szCs w:val="24"/>
          <w:lang w:val="en-US" w:eastAsia="zh-CN"/>
        </w:rPr>
      </w:pPr>
    </w:p>
    <w:p w14:paraId="1214C182">
      <w:pPr>
        <w:spacing w:line="360" w:lineRule="auto"/>
        <w:rPr>
          <w:rFonts w:hint="default" w:ascii="宋体" w:hAnsi="宋体" w:cs="楷体"/>
          <w:color w:val="000000"/>
          <w:kern w:val="1"/>
          <w:sz w:val="24"/>
          <w:szCs w:val="24"/>
          <w:lang w:val="en-US" w:eastAsia="zh-CN"/>
        </w:rPr>
      </w:pPr>
    </w:p>
    <w:p w14:paraId="394D60A9">
      <w:pPr>
        <w:spacing w:line="360" w:lineRule="auto"/>
        <w:rPr>
          <w:rFonts w:hint="default" w:ascii="宋体" w:hAnsi="宋体" w:cs="楷体"/>
          <w:color w:val="000000"/>
          <w:kern w:val="1"/>
          <w:sz w:val="24"/>
          <w:szCs w:val="24"/>
          <w:lang w:val="en-US" w:eastAsia="zh-CN"/>
        </w:rPr>
      </w:pPr>
    </w:p>
    <w:p w14:paraId="3AB2BF6D">
      <w:pPr>
        <w:spacing w:line="360" w:lineRule="auto"/>
        <w:rPr>
          <w:rFonts w:hint="default" w:ascii="宋体" w:hAnsi="宋体" w:cs="楷体"/>
          <w:color w:val="000000"/>
          <w:kern w:val="1"/>
          <w:sz w:val="24"/>
          <w:szCs w:val="24"/>
          <w:lang w:val="en-US" w:eastAsia="zh-CN"/>
        </w:rPr>
      </w:pPr>
    </w:p>
    <w:p w14:paraId="5566CB41">
      <w:pPr>
        <w:spacing w:line="360" w:lineRule="auto"/>
        <w:rPr>
          <w:rFonts w:hint="default" w:ascii="宋体" w:hAnsi="宋体" w:cs="楷体"/>
          <w:color w:val="000000"/>
          <w:kern w:val="1"/>
          <w:sz w:val="24"/>
          <w:szCs w:val="24"/>
          <w:lang w:val="en-US" w:eastAsia="zh-CN"/>
        </w:rPr>
      </w:pPr>
    </w:p>
    <w:p w14:paraId="48B8418A">
      <w:pPr>
        <w:spacing w:line="360" w:lineRule="auto"/>
        <w:rPr>
          <w:rFonts w:hint="default" w:ascii="宋体" w:hAnsi="宋体" w:cs="楷体"/>
          <w:color w:val="000000"/>
          <w:kern w:val="1"/>
          <w:sz w:val="24"/>
          <w:szCs w:val="24"/>
          <w:lang w:val="en-US" w:eastAsia="zh-CN"/>
        </w:rPr>
      </w:pPr>
    </w:p>
    <w:p w14:paraId="49618C73">
      <w:pPr>
        <w:pStyle w:val="2"/>
        <w:bidi w:val="0"/>
        <w:jc w:val="center"/>
      </w:pPr>
      <w:r>
        <w:rPr>
          <w:rFonts w:hint="eastAsia"/>
          <w:lang w:val="en-US" w:eastAsia="zh-CN"/>
        </w:rPr>
        <w:t>六、</w:t>
      </w:r>
      <w:r>
        <w:rPr>
          <w:rFonts w:hint="eastAsia"/>
        </w:rPr>
        <w:t>供应商承担过的类似业绩</w:t>
      </w:r>
    </w:p>
    <w:p w14:paraId="56CD884B">
      <w:pPr>
        <w:spacing w:line="360" w:lineRule="auto"/>
        <w:jc w:val="center"/>
        <w:outlineLvl w:val="1"/>
        <w:rPr>
          <w:rFonts w:ascii="宋体" w:hAnsi="宋体" w:cs="宋体"/>
          <w:b/>
          <w:bCs/>
          <w:sz w:val="24"/>
          <w:szCs w:val="24"/>
        </w:rPr>
      </w:pPr>
      <w:bookmarkStart w:id="186" w:name="_Toc31838"/>
      <w:bookmarkEnd w:id="186"/>
      <w:bookmarkStart w:id="187" w:name="_Toc174034469"/>
      <w:bookmarkEnd w:id="187"/>
      <w:bookmarkStart w:id="188" w:name="_Toc17684"/>
      <w:bookmarkEnd w:id="188"/>
      <w:bookmarkStart w:id="189" w:name="_Toc17349"/>
      <w:bookmarkEnd w:id="189"/>
      <w:bookmarkStart w:id="190" w:name="_Toc6119"/>
      <w:bookmarkEnd w:id="190"/>
      <w:bookmarkStart w:id="191" w:name="_Toc4059"/>
      <w:bookmarkEnd w:id="191"/>
      <w:bookmarkStart w:id="192" w:name="_Toc173946436"/>
      <w:bookmarkEnd w:id="192"/>
      <w:bookmarkStart w:id="193" w:name="_Toc14361"/>
      <w:r>
        <w:rPr>
          <w:rFonts w:hint="eastAsia" w:ascii="宋体" w:hAnsi="宋体" w:cs="宋体"/>
          <w:b/>
          <w:bCs/>
          <w:sz w:val="24"/>
          <w:szCs w:val="24"/>
        </w:rPr>
        <w:t>（一）自202</w:t>
      </w:r>
      <w:r>
        <w:rPr>
          <w:rFonts w:hint="eastAsia" w:ascii="宋体" w:hAnsi="宋体" w:cs="宋体"/>
          <w:b/>
          <w:bCs/>
          <w:sz w:val="24"/>
          <w:szCs w:val="24"/>
          <w:lang w:val="en-US" w:eastAsia="zh-CN"/>
        </w:rPr>
        <w:t>3</w:t>
      </w:r>
      <w:r>
        <w:rPr>
          <w:rFonts w:hint="eastAsia" w:ascii="宋体" w:hAnsi="宋体" w:cs="宋体"/>
          <w:b/>
          <w:bCs/>
          <w:sz w:val="24"/>
          <w:szCs w:val="24"/>
        </w:rPr>
        <w:t>年1月1日</w:t>
      </w:r>
      <w:r>
        <w:rPr>
          <w:rFonts w:hint="eastAsia" w:ascii="宋体" w:hAnsi="宋体" w:cs="宋体"/>
          <w:b/>
          <w:bCs/>
          <w:sz w:val="24"/>
          <w:szCs w:val="24"/>
          <w:lang w:val="en-US" w:eastAsia="zh-CN"/>
        </w:rPr>
        <w:t>以来签订</w:t>
      </w:r>
      <w:r>
        <w:rPr>
          <w:rFonts w:hint="eastAsia" w:ascii="宋体" w:hAnsi="宋体" w:cs="宋体"/>
          <w:b/>
          <w:bCs/>
          <w:sz w:val="24"/>
          <w:szCs w:val="24"/>
        </w:rPr>
        <w:t>的类似项目情况表</w:t>
      </w:r>
      <w:bookmarkEnd w:id="193"/>
    </w:p>
    <w:tbl>
      <w:tblPr>
        <w:tblStyle w:val="19"/>
        <w:tblW w:w="8457" w:type="dxa"/>
        <w:jc w:val="center"/>
        <w:tblLayout w:type="fixed"/>
        <w:tblCellMar>
          <w:top w:w="0" w:type="dxa"/>
          <w:left w:w="108" w:type="dxa"/>
          <w:bottom w:w="0" w:type="dxa"/>
          <w:right w:w="108" w:type="dxa"/>
        </w:tblCellMar>
      </w:tblPr>
      <w:tblGrid>
        <w:gridCol w:w="2213"/>
        <w:gridCol w:w="6244"/>
      </w:tblGrid>
      <w:tr w14:paraId="0DE7A2FD">
        <w:tblPrEx>
          <w:tblCellMar>
            <w:top w:w="0" w:type="dxa"/>
            <w:left w:w="108" w:type="dxa"/>
            <w:bottom w:w="0" w:type="dxa"/>
            <w:right w:w="108" w:type="dxa"/>
          </w:tblCellMar>
        </w:tblPrEx>
        <w:trPr>
          <w:trHeight w:val="67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6E3016E9">
            <w:pPr>
              <w:topLinePunct/>
              <w:spacing w:line="440" w:lineRule="exact"/>
              <w:jc w:val="center"/>
              <w:rPr>
                <w:rFonts w:ascii="宋体" w:hAnsi="宋体" w:cs="宋体"/>
                <w:sz w:val="24"/>
                <w:szCs w:val="24"/>
              </w:rPr>
            </w:pPr>
            <w:r>
              <w:rPr>
                <w:rFonts w:hint="eastAsia" w:ascii="宋体" w:hAnsi="宋体" w:cs="宋体"/>
                <w:sz w:val="24"/>
                <w:szCs w:val="24"/>
              </w:rPr>
              <w:t>项目名称</w:t>
            </w:r>
          </w:p>
        </w:tc>
        <w:tc>
          <w:tcPr>
            <w:tcW w:w="6244" w:type="dxa"/>
            <w:tcBorders>
              <w:top w:val="single" w:color="auto" w:sz="4" w:space="0"/>
              <w:left w:val="nil"/>
              <w:bottom w:val="single" w:color="auto" w:sz="4" w:space="0"/>
              <w:right w:val="single" w:color="auto" w:sz="4" w:space="0"/>
            </w:tcBorders>
          </w:tcPr>
          <w:p w14:paraId="73B38249">
            <w:pPr>
              <w:topLinePunct/>
              <w:spacing w:line="440" w:lineRule="exact"/>
              <w:rPr>
                <w:rFonts w:ascii="宋体" w:hAnsi="宋体" w:cs="宋体"/>
                <w:sz w:val="24"/>
                <w:szCs w:val="24"/>
                <w:highlight w:val="black"/>
              </w:rPr>
            </w:pPr>
          </w:p>
        </w:tc>
      </w:tr>
      <w:tr w14:paraId="225171E4">
        <w:tblPrEx>
          <w:tblCellMar>
            <w:top w:w="0" w:type="dxa"/>
            <w:left w:w="108" w:type="dxa"/>
            <w:bottom w:w="0" w:type="dxa"/>
            <w:right w:w="108" w:type="dxa"/>
          </w:tblCellMar>
        </w:tblPrEx>
        <w:trPr>
          <w:trHeight w:val="60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036CA34">
            <w:pPr>
              <w:topLinePunct/>
              <w:spacing w:line="440" w:lineRule="exact"/>
              <w:jc w:val="center"/>
              <w:rPr>
                <w:rFonts w:ascii="宋体" w:hAnsi="宋体" w:cs="宋体"/>
                <w:sz w:val="24"/>
                <w:szCs w:val="24"/>
              </w:rPr>
            </w:pPr>
            <w:r>
              <w:rPr>
                <w:rFonts w:hint="eastAsia" w:ascii="宋体" w:hAnsi="宋体" w:cs="宋体"/>
                <w:sz w:val="24"/>
                <w:szCs w:val="24"/>
              </w:rPr>
              <w:t>项目所在地</w:t>
            </w:r>
          </w:p>
        </w:tc>
        <w:tc>
          <w:tcPr>
            <w:tcW w:w="6244" w:type="dxa"/>
            <w:tcBorders>
              <w:top w:val="single" w:color="auto" w:sz="4" w:space="0"/>
              <w:left w:val="nil"/>
              <w:bottom w:val="single" w:color="auto" w:sz="4" w:space="0"/>
              <w:right w:val="single" w:color="auto" w:sz="4" w:space="0"/>
            </w:tcBorders>
          </w:tcPr>
          <w:p w14:paraId="0817D661">
            <w:pPr>
              <w:topLinePunct/>
              <w:spacing w:line="440" w:lineRule="exact"/>
              <w:rPr>
                <w:rFonts w:ascii="宋体" w:hAnsi="宋体" w:cs="宋体"/>
                <w:sz w:val="24"/>
                <w:szCs w:val="24"/>
              </w:rPr>
            </w:pPr>
          </w:p>
        </w:tc>
      </w:tr>
      <w:tr w14:paraId="175A4C7C">
        <w:tblPrEx>
          <w:tblCellMar>
            <w:top w:w="0" w:type="dxa"/>
            <w:left w:w="108" w:type="dxa"/>
            <w:bottom w:w="0" w:type="dxa"/>
            <w:right w:w="108" w:type="dxa"/>
          </w:tblCellMar>
        </w:tblPrEx>
        <w:trPr>
          <w:trHeight w:val="61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7A1E2010">
            <w:pPr>
              <w:topLinePunct/>
              <w:spacing w:line="440" w:lineRule="exact"/>
              <w:jc w:val="center"/>
              <w:rPr>
                <w:rFonts w:ascii="宋体" w:hAnsi="宋体" w:cs="宋体"/>
                <w:sz w:val="24"/>
                <w:szCs w:val="24"/>
              </w:rPr>
            </w:pPr>
            <w:r>
              <w:rPr>
                <w:rFonts w:hint="eastAsia" w:ascii="宋体" w:hAnsi="宋体" w:cs="宋体"/>
                <w:sz w:val="24"/>
                <w:szCs w:val="24"/>
              </w:rPr>
              <w:t>采购人名称</w:t>
            </w:r>
          </w:p>
        </w:tc>
        <w:tc>
          <w:tcPr>
            <w:tcW w:w="6244" w:type="dxa"/>
            <w:tcBorders>
              <w:top w:val="single" w:color="auto" w:sz="4" w:space="0"/>
              <w:left w:val="nil"/>
              <w:bottom w:val="single" w:color="auto" w:sz="4" w:space="0"/>
              <w:right w:val="single" w:color="auto" w:sz="4" w:space="0"/>
            </w:tcBorders>
          </w:tcPr>
          <w:p w14:paraId="57C0AC9A">
            <w:pPr>
              <w:topLinePunct/>
              <w:spacing w:line="440" w:lineRule="exact"/>
              <w:rPr>
                <w:rFonts w:ascii="宋体" w:hAnsi="宋体" w:cs="宋体"/>
                <w:sz w:val="24"/>
                <w:szCs w:val="24"/>
              </w:rPr>
            </w:pPr>
          </w:p>
        </w:tc>
      </w:tr>
      <w:tr w14:paraId="182460BF">
        <w:tblPrEx>
          <w:tblCellMar>
            <w:top w:w="0" w:type="dxa"/>
            <w:left w:w="108" w:type="dxa"/>
            <w:bottom w:w="0" w:type="dxa"/>
            <w:right w:w="108" w:type="dxa"/>
          </w:tblCellMar>
        </w:tblPrEx>
        <w:trPr>
          <w:trHeight w:val="61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E983ED4">
            <w:pPr>
              <w:topLinePunct/>
              <w:spacing w:line="440" w:lineRule="exact"/>
              <w:jc w:val="center"/>
              <w:rPr>
                <w:rFonts w:ascii="宋体" w:hAnsi="宋体" w:cs="宋体"/>
                <w:sz w:val="24"/>
                <w:szCs w:val="24"/>
              </w:rPr>
            </w:pPr>
            <w:r>
              <w:rPr>
                <w:rFonts w:hint="eastAsia" w:ascii="宋体" w:hAnsi="宋体" w:cs="宋体"/>
                <w:sz w:val="24"/>
                <w:szCs w:val="24"/>
              </w:rPr>
              <w:t>采购人地址</w:t>
            </w:r>
          </w:p>
        </w:tc>
        <w:tc>
          <w:tcPr>
            <w:tcW w:w="6244" w:type="dxa"/>
            <w:tcBorders>
              <w:top w:val="single" w:color="auto" w:sz="4" w:space="0"/>
              <w:left w:val="nil"/>
              <w:bottom w:val="single" w:color="auto" w:sz="4" w:space="0"/>
              <w:right w:val="single" w:color="auto" w:sz="4" w:space="0"/>
            </w:tcBorders>
          </w:tcPr>
          <w:p w14:paraId="24A05537">
            <w:pPr>
              <w:topLinePunct/>
              <w:spacing w:line="440" w:lineRule="exact"/>
              <w:rPr>
                <w:rFonts w:ascii="宋体" w:hAnsi="宋体" w:cs="宋体"/>
                <w:sz w:val="24"/>
                <w:szCs w:val="24"/>
              </w:rPr>
            </w:pPr>
          </w:p>
        </w:tc>
      </w:tr>
      <w:tr w14:paraId="53D8F999">
        <w:tblPrEx>
          <w:tblCellMar>
            <w:top w:w="0" w:type="dxa"/>
            <w:left w:w="108" w:type="dxa"/>
            <w:bottom w:w="0" w:type="dxa"/>
            <w:right w:w="108" w:type="dxa"/>
          </w:tblCellMar>
        </w:tblPrEx>
        <w:trPr>
          <w:trHeight w:val="618"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15A5D967">
            <w:pPr>
              <w:topLinePunct/>
              <w:spacing w:line="440" w:lineRule="exact"/>
              <w:jc w:val="center"/>
              <w:rPr>
                <w:rFonts w:ascii="宋体" w:hAnsi="宋体" w:cs="宋体"/>
                <w:sz w:val="24"/>
                <w:szCs w:val="24"/>
              </w:rPr>
            </w:pPr>
            <w:r>
              <w:rPr>
                <w:rFonts w:hint="eastAsia" w:ascii="宋体" w:hAnsi="宋体" w:cs="宋体"/>
                <w:sz w:val="24"/>
                <w:szCs w:val="24"/>
              </w:rPr>
              <w:t>采购人电话</w:t>
            </w:r>
          </w:p>
        </w:tc>
        <w:tc>
          <w:tcPr>
            <w:tcW w:w="6244" w:type="dxa"/>
            <w:tcBorders>
              <w:top w:val="single" w:color="auto" w:sz="4" w:space="0"/>
              <w:left w:val="nil"/>
              <w:bottom w:val="single" w:color="auto" w:sz="4" w:space="0"/>
              <w:right w:val="single" w:color="auto" w:sz="4" w:space="0"/>
            </w:tcBorders>
          </w:tcPr>
          <w:p w14:paraId="601BE84C">
            <w:pPr>
              <w:topLinePunct/>
              <w:spacing w:line="440" w:lineRule="exact"/>
              <w:rPr>
                <w:rFonts w:ascii="宋体" w:hAnsi="宋体" w:cs="宋体"/>
                <w:sz w:val="24"/>
                <w:szCs w:val="24"/>
              </w:rPr>
            </w:pPr>
          </w:p>
        </w:tc>
      </w:tr>
      <w:tr w14:paraId="005550C7">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735D7B7B">
            <w:pPr>
              <w:topLinePunct/>
              <w:spacing w:line="440" w:lineRule="exact"/>
              <w:jc w:val="center"/>
              <w:rPr>
                <w:rFonts w:ascii="宋体" w:hAnsi="宋体" w:cs="宋体"/>
                <w:sz w:val="24"/>
                <w:szCs w:val="24"/>
              </w:rPr>
            </w:pPr>
            <w:r>
              <w:rPr>
                <w:rFonts w:hint="eastAsia" w:ascii="宋体" w:hAnsi="宋体" w:cs="宋体"/>
                <w:sz w:val="24"/>
                <w:szCs w:val="24"/>
              </w:rPr>
              <w:t>合同价格</w:t>
            </w:r>
          </w:p>
        </w:tc>
        <w:tc>
          <w:tcPr>
            <w:tcW w:w="6244" w:type="dxa"/>
            <w:tcBorders>
              <w:top w:val="single" w:color="auto" w:sz="4" w:space="0"/>
              <w:left w:val="nil"/>
              <w:bottom w:val="single" w:color="auto" w:sz="4" w:space="0"/>
              <w:right w:val="single" w:color="auto" w:sz="4" w:space="0"/>
            </w:tcBorders>
          </w:tcPr>
          <w:p w14:paraId="795AFDCF">
            <w:pPr>
              <w:topLinePunct/>
              <w:spacing w:line="440" w:lineRule="exact"/>
              <w:rPr>
                <w:rFonts w:ascii="宋体" w:hAnsi="宋体" w:cs="宋体"/>
                <w:sz w:val="24"/>
                <w:szCs w:val="24"/>
              </w:rPr>
            </w:pPr>
          </w:p>
        </w:tc>
      </w:tr>
      <w:tr w14:paraId="35BC25EE">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2DE12A4">
            <w:pPr>
              <w:topLinePunct/>
              <w:spacing w:line="440" w:lineRule="exact"/>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合同签订日期</w:t>
            </w:r>
          </w:p>
        </w:tc>
        <w:tc>
          <w:tcPr>
            <w:tcW w:w="6244" w:type="dxa"/>
            <w:tcBorders>
              <w:top w:val="single" w:color="auto" w:sz="4" w:space="0"/>
              <w:left w:val="nil"/>
              <w:bottom w:val="single" w:color="auto" w:sz="4" w:space="0"/>
              <w:right w:val="single" w:color="auto" w:sz="4" w:space="0"/>
            </w:tcBorders>
          </w:tcPr>
          <w:p w14:paraId="6F465B31">
            <w:pPr>
              <w:topLinePunct/>
              <w:spacing w:line="440" w:lineRule="exact"/>
              <w:rPr>
                <w:rFonts w:ascii="宋体" w:hAnsi="宋体" w:cs="宋体"/>
                <w:sz w:val="24"/>
                <w:szCs w:val="24"/>
              </w:rPr>
            </w:pPr>
          </w:p>
        </w:tc>
      </w:tr>
      <w:tr w14:paraId="687F7F5D">
        <w:tblPrEx>
          <w:tblCellMar>
            <w:top w:w="0" w:type="dxa"/>
            <w:left w:w="108" w:type="dxa"/>
            <w:bottom w:w="0" w:type="dxa"/>
            <w:right w:w="108" w:type="dxa"/>
          </w:tblCellMar>
        </w:tblPrEx>
        <w:trPr>
          <w:trHeight w:val="62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764476D">
            <w:pPr>
              <w:topLinePunct/>
              <w:spacing w:line="440" w:lineRule="exact"/>
              <w:jc w:val="center"/>
              <w:rPr>
                <w:rFonts w:ascii="宋体" w:hAnsi="宋体" w:cs="宋体"/>
                <w:sz w:val="24"/>
                <w:szCs w:val="24"/>
              </w:rPr>
            </w:pPr>
            <w:r>
              <w:rPr>
                <w:rFonts w:hint="eastAsia" w:ascii="宋体" w:hAnsi="宋体" w:cs="宋体"/>
                <w:sz w:val="24"/>
                <w:szCs w:val="24"/>
              </w:rPr>
              <w:t>服务周期</w:t>
            </w:r>
          </w:p>
        </w:tc>
        <w:tc>
          <w:tcPr>
            <w:tcW w:w="6244" w:type="dxa"/>
            <w:tcBorders>
              <w:top w:val="single" w:color="auto" w:sz="4" w:space="0"/>
              <w:left w:val="nil"/>
              <w:bottom w:val="single" w:color="auto" w:sz="4" w:space="0"/>
              <w:right w:val="single" w:color="auto" w:sz="4" w:space="0"/>
            </w:tcBorders>
            <w:vAlign w:val="center"/>
          </w:tcPr>
          <w:p w14:paraId="1F2F4D7F">
            <w:pPr>
              <w:topLinePunct/>
              <w:spacing w:line="440" w:lineRule="exact"/>
              <w:jc w:val="center"/>
              <w:rPr>
                <w:rFonts w:ascii="宋体" w:hAnsi="宋体" w:cs="宋体"/>
                <w:sz w:val="24"/>
                <w:szCs w:val="24"/>
              </w:rPr>
            </w:pPr>
          </w:p>
        </w:tc>
      </w:tr>
      <w:tr w14:paraId="4F67E291">
        <w:tblPrEx>
          <w:tblCellMar>
            <w:top w:w="0" w:type="dxa"/>
            <w:left w:w="108" w:type="dxa"/>
            <w:bottom w:w="0" w:type="dxa"/>
            <w:right w:w="108" w:type="dxa"/>
          </w:tblCellMar>
        </w:tblPrEx>
        <w:trPr>
          <w:trHeight w:val="166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973E0D5">
            <w:pPr>
              <w:topLinePunct/>
              <w:spacing w:line="440" w:lineRule="exact"/>
              <w:jc w:val="center"/>
              <w:rPr>
                <w:rFonts w:ascii="宋体" w:hAnsi="宋体" w:cs="宋体"/>
                <w:sz w:val="24"/>
                <w:szCs w:val="24"/>
              </w:rPr>
            </w:pPr>
            <w:r>
              <w:rPr>
                <w:rFonts w:hint="eastAsia" w:ascii="宋体" w:hAnsi="宋体" w:cs="宋体"/>
                <w:sz w:val="24"/>
                <w:szCs w:val="24"/>
              </w:rPr>
              <w:t>服务内容</w:t>
            </w:r>
          </w:p>
        </w:tc>
        <w:tc>
          <w:tcPr>
            <w:tcW w:w="6244" w:type="dxa"/>
            <w:tcBorders>
              <w:top w:val="single" w:color="auto" w:sz="4" w:space="0"/>
              <w:left w:val="nil"/>
              <w:bottom w:val="single" w:color="auto" w:sz="4" w:space="0"/>
              <w:right w:val="single" w:color="auto" w:sz="4" w:space="0"/>
            </w:tcBorders>
          </w:tcPr>
          <w:p w14:paraId="7258FBCE">
            <w:pPr>
              <w:topLinePunct/>
              <w:spacing w:line="440" w:lineRule="exact"/>
              <w:rPr>
                <w:rFonts w:ascii="宋体" w:hAnsi="宋体" w:cs="宋体"/>
                <w:sz w:val="24"/>
                <w:szCs w:val="24"/>
              </w:rPr>
            </w:pPr>
          </w:p>
        </w:tc>
      </w:tr>
      <w:tr w14:paraId="0A312F5D">
        <w:tblPrEx>
          <w:tblCellMar>
            <w:top w:w="0" w:type="dxa"/>
            <w:left w:w="108" w:type="dxa"/>
            <w:bottom w:w="0" w:type="dxa"/>
            <w:right w:w="108" w:type="dxa"/>
          </w:tblCellMar>
        </w:tblPrEx>
        <w:trPr>
          <w:trHeight w:val="61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087DB9A">
            <w:pPr>
              <w:topLinePunct/>
              <w:spacing w:line="440" w:lineRule="exact"/>
              <w:jc w:val="center"/>
              <w:rPr>
                <w:rFonts w:ascii="宋体" w:hAnsi="宋体" w:cs="宋体"/>
                <w:sz w:val="24"/>
                <w:szCs w:val="24"/>
              </w:rPr>
            </w:pPr>
            <w:r>
              <w:rPr>
                <w:rFonts w:hint="eastAsia" w:ascii="宋体" w:hAnsi="宋体" w:cs="宋体"/>
                <w:sz w:val="24"/>
                <w:szCs w:val="24"/>
              </w:rPr>
              <w:t>质量要求</w:t>
            </w:r>
          </w:p>
        </w:tc>
        <w:tc>
          <w:tcPr>
            <w:tcW w:w="6244" w:type="dxa"/>
            <w:tcBorders>
              <w:top w:val="single" w:color="auto" w:sz="4" w:space="0"/>
              <w:left w:val="nil"/>
              <w:bottom w:val="single" w:color="auto" w:sz="4" w:space="0"/>
              <w:right w:val="single" w:color="auto" w:sz="4" w:space="0"/>
            </w:tcBorders>
          </w:tcPr>
          <w:p w14:paraId="35945662">
            <w:pPr>
              <w:topLinePunct/>
              <w:spacing w:line="440" w:lineRule="exact"/>
              <w:rPr>
                <w:rFonts w:ascii="宋体" w:hAnsi="宋体" w:cs="宋体"/>
                <w:sz w:val="24"/>
                <w:szCs w:val="24"/>
              </w:rPr>
            </w:pPr>
          </w:p>
        </w:tc>
      </w:tr>
      <w:tr w14:paraId="1CCF7443">
        <w:tblPrEx>
          <w:tblCellMar>
            <w:top w:w="0" w:type="dxa"/>
            <w:left w:w="108" w:type="dxa"/>
            <w:bottom w:w="0" w:type="dxa"/>
            <w:right w:w="108" w:type="dxa"/>
          </w:tblCellMar>
        </w:tblPrEx>
        <w:trPr>
          <w:trHeight w:val="62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920418A">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6244" w:type="dxa"/>
            <w:tcBorders>
              <w:top w:val="single" w:color="auto" w:sz="4" w:space="0"/>
              <w:left w:val="nil"/>
              <w:bottom w:val="single" w:color="auto" w:sz="4" w:space="0"/>
              <w:right w:val="single" w:color="auto" w:sz="4" w:space="0"/>
            </w:tcBorders>
          </w:tcPr>
          <w:p w14:paraId="52622412">
            <w:pPr>
              <w:topLinePunct/>
              <w:spacing w:line="440" w:lineRule="exact"/>
              <w:rPr>
                <w:rFonts w:ascii="宋体" w:hAnsi="宋体" w:cs="宋体"/>
                <w:sz w:val="24"/>
                <w:szCs w:val="24"/>
              </w:rPr>
            </w:pPr>
          </w:p>
        </w:tc>
      </w:tr>
    </w:tbl>
    <w:p w14:paraId="11BB8F1F">
      <w:pPr>
        <w:spacing w:line="360" w:lineRule="auto"/>
        <w:rPr>
          <w:rFonts w:hint="eastAsia" w:ascii="宋体" w:hAnsi="宋体"/>
          <w:b/>
          <w:bCs/>
          <w:sz w:val="24"/>
          <w:szCs w:val="24"/>
          <w:lang w:val="en-US" w:eastAsia="zh-CN"/>
        </w:rPr>
      </w:pPr>
    </w:p>
    <w:p w14:paraId="2F30A56E">
      <w:pPr>
        <w:spacing w:line="360" w:lineRule="auto"/>
        <w:rPr>
          <w:rFonts w:hint="eastAsia" w:ascii="宋体" w:hAnsi="宋体"/>
          <w:b/>
          <w:bCs/>
          <w:sz w:val="24"/>
          <w:szCs w:val="24"/>
        </w:rPr>
      </w:pPr>
      <w:r>
        <w:rPr>
          <w:rFonts w:hint="eastAsia" w:ascii="宋体" w:hAnsi="宋体"/>
          <w:b/>
          <w:bCs/>
          <w:sz w:val="24"/>
          <w:szCs w:val="24"/>
          <w:lang w:val="en-US" w:eastAsia="zh-CN"/>
        </w:rPr>
        <w:t>注：1、</w:t>
      </w:r>
      <w:r>
        <w:rPr>
          <w:rFonts w:hint="eastAsia" w:ascii="宋体" w:hAnsi="宋体"/>
          <w:b/>
          <w:bCs/>
          <w:sz w:val="24"/>
          <w:szCs w:val="24"/>
        </w:rPr>
        <w:t>后附合同协议书或中标通知书的原件扫描件</w:t>
      </w:r>
    </w:p>
    <w:p w14:paraId="543BDB64">
      <w:pPr>
        <w:spacing w:line="360" w:lineRule="auto"/>
        <w:ind w:firstLine="482" w:firstLineChars="200"/>
        <w:rPr>
          <w:rFonts w:hint="eastAsia" w:ascii="宋体" w:hAnsi="宋体"/>
          <w:b/>
          <w:bCs/>
          <w:sz w:val="24"/>
          <w:szCs w:val="24"/>
        </w:rPr>
      </w:pPr>
      <w:r>
        <w:rPr>
          <w:rFonts w:hint="eastAsia" w:ascii="宋体" w:hAnsi="宋体"/>
          <w:b/>
          <w:bCs/>
          <w:sz w:val="24"/>
          <w:szCs w:val="24"/>
        </w:rPr>
        <w:t>2、每张表格只填写一个项目</w:t>
      </w:r>
      <w:r>
        <w:rPr>
          <w:rFonts w:hint="eastAsia" w:ascii="宋体" w:hAnsi="宋体"/>
          <w:b/>
          <w:bCs/>
          <w:sz w:val="24"/>
          <w:szCs w:val="24"/>
          <w:lang w:eastAsia="zh-CN"/>
        </w:rPr>
        <w:t>，</w:t>
      </w:r>
      <w:r>
        <w:rPr>
          <w:rFonts w:hint="eastAsia" w:ascii="宋体" w:hAnsi="宋体"/>
          <w:b/>
          <w:bCs/>
          <w:sz w:val="24"/>
          <w:szCs w:val="24"/>
          <w:lang w:val="en-US" w:eastAsia="zh-CN"/>
        </w:rPr>
        <w:t>不够可续页</w:t>
      </w:r>
      <w:r>
        <w:rPr>
          <w:rFonts w:hint="eastAsia" w:ascii="宋体" w:hAnsi="宋体"/>
          <w:b/>
          <w:bCs/>
          <w:sz w:val="24"/>
          <w:szCs w:val="24"/>
        </w:rPr>
        <w:t>。</w:t>
      </w:r>
    </w:p>
    <w:p w14:paraId="318822C1">
      <w:pPr>
        <w:spacing w:line="360" w:lineRule="auto"/>
        <w:ind w:firstLine="3220" w:firstLineChars="1400"/>
        <w:jc w:val="left"/>
        <w:rPr>
          <w:rFonts w:hint="eastAsia"/>
          <w:snapToGrid w:val="0"/>
          <w:color w:val="000000"/>
          <w:spacing w:val="-5"/>
          <w:kern w:val="0"/>
          <w:sz w:val="24"/>
          <w:szCs w:val="24"/>
          <w:lang w:val="en-US" w:eastAsia="zh-CN"/>
        </w:rPr>
      </w:pPr>
    </w:p>
    <w:p w14:paraId="4CBCB5D0">
      <w:pPr>
        <w:spacing w:line="360" w:lineRule="auto"/>
        <w:ind w:firstLine="3220" w:firstLineChars="14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 xml:space="preserve">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u w:val="single"/>
          <w:lang w:val="en-US" w:eastAsia="zh-CN"/>
        </w:rPr>
        <w:t xml:space="preserve">      </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（盖</w:t>
      </w:r>
      <w:r>
        <w:rPr>
          <w:rFonts w:hint="eastAsia" w:ascii="宋体" w:hAnsi="宋体" w:cs="楷体"/>
          <w:color w:val="000000"/>
          <w:kern w:val="1"/>
          <w:sz w:val="24"/>
          <w:szCs w:val="24"/>
          <w:lang w:val="en-US" w:eastAsia="zh-CN"/>
        </w:rPr>
        <w:t>电子</w:t>
      </w:r>
      <w:r>
        <w:rPr>
          <w:rFonts w:hint="eastAsia" w:ascii="宋体" w:hAnsi="宋体" w:cs="楷体"/>
          <w:color w:val="000000"/>
          <w:kern w:val="1"/>
          <w:sz w:val="24"/>
          <w:szCs w:val="24"/>
        </w:rPr>
        <w:t>章）</w:t>
      </w:r>
    </w:p>
    <w:p w14:paraId="0340271F">
      <w:pPr>
        <w:spacing w:line="360" w:lineRule="auto"/>
        <w:ind w:firstLine="3450" w:firstLineChars="15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法定代表人或授权委托人</w:t>
      </w:r>
      <w:r>
        <w:rPr>
          <w:rFonts w:hint="eastAsia" w:ascii="宋体" w:hAnsi="宋体" w:cs="楷体"/>
          <w:color w:val="000000"/>
          <w:kern w:val="1"/>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（签字或盖章）</w:t>
      </w:r>
    </w:p>
    <w:p w14:paraId="6974DDF4">
      <w:pPr>
        <w:spacing w:line="360" w:lineRule="auto"/>
        <w:ind w:firstLine="3360" w:firstLineChars="1400"/>
        <w:rPr>
          <w:rFonts w:hint="eastAsia" w:ascii="宋体" w:hAnsi="宋体" w:cs="楷体"/>
          <w:color w:val="000000"/>
          <w:kern w:val="1"/>
          <w:sz w:val="24"/>
          <w:szCs w:val="24"/>
        </w:rPr>
      </w:pP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期：</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年</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月</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日</w:t>
      </w:r>
    </w:p>
    <w:p w14:paraId="40FFFA97">
      <w:pPr>
        <w:pStyle w:val="2"/>
        <w:bidi w:val="0"/>
        <w:jc w:val="center"/>
        <w:rPr>
          <w:rFonts w:hint="eastAsia"/>
        </w:rPr>
      </w:pPr>
      <w:r>
        <w:rPr>
          <w:rFonts w:hint="eastAsia"/>
          <w:lang w:val="en-US" w:eastAsia="zh-CN"/>
        </w:rPr>
        <w:t>七、</w:t>
      </w:r>
      <w:r>
        <w:rPr>
          <w:rFonts w:hint="eastAsia"/>
        </w:rPr>
        <w:t>拟投入本项目的人员情况</w:t>
      </w:r>
    </w:p>
    <w:p w14:paraId="26E1FDEA">
      <w:pPr>
        <w:adjustRightInd w:val="0"/>
        <w:snapToGrid w:val="0"/>
        <w:spacing w:line="360" w:lineRule="auto"/>
        <w:jc w:val="center"/>
        <w:rPr>
          <w:rFonts w:ascii="宋体" w:hAnsi="宋体" w:cs="宋体"/>
          <w:b/>
          <w:color w:val="000000"/>
          <w:kern w:val="0"/>
          <w:sz w:val="28"/>
          <w:szCs w:val="28"/>
          <w:lang w:val="zh-CN"/>
        </w:rPr>
      </w:pPr>
      <w:r>
        <w:rPr>
          <w:rFonts w:hint="eastAsia" w:ascii="宋体" w:hAnsi="宋体" w:cs="宋体"/>
          <w:b/>
          <w:color w:val="000000"/>
          <w:kern w:val="0"/>
          <w:sz w:val="28"/>
          <w:szCs w:val="28"/>
          <w:lang w:val="zh-CN"/>
        </w:rPr>
        <w:t>（一）拟投入本项目的主要人员汇总表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296"/>
        <w:gridCol w:w="1296"/>
        <w:gridCol w:w="1297"/>
        <w:gridCol w:w="1297"/>
        <w:gridCol w:w="1297"/>
        <w:gridCol w:w="1297"/>
      </w:tblGrid>
      <w:tr w14:paraId="27AF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14:paraId="3EAFBF39">
            <w:pPr>
              <w:adjustRightInd w:val="0"/>
              <w:snapToGrid w:val="0"/>
              <w:spacing w:line="360" w:lineRule="auto"/>
              <w:jc w:val="center"/>
              <w:rPr>
                <w:rFonts w:ascii="宋体"/>
                <w:sz w:val="24"/>
                <w:szCs w:val="24"/>
              </w:rPr>
            </w:pPr>
            <w:r>
              <w:rPr>
                <w:rFonts w:hint="eastAsia" w:ascii="宋体" w:hAnsi="宋体"/>
                <w:sz w:val="24"/>
                <w:szCs w:val="24"/>
              </w:rPr>
              <w:t>本项目中职务</w:t>
            </w:r>
          </w:p>
        </w:tc>
        <w:tc>
          <w:tcPr>
            <w:tcW w:w="1296" w:type="dxa"/>
            <w:tcBorders>
              <w:top w:val="single" w:color="auto" w:sz="4" w:space="0"/>
              <w:left w:val="single" w:color="auto" w:sz="4" w:space="0"/>
              <w:bottom w:val="single" w:color="auto" w:sz="4" w:space="0"/>
              <w:right w:val="single" w:color="auto" w:sz="4" w:space="0"/>
            </w:tcBorders>
            <w:vAlign w:val="center"/>
          </w:tcPr>
          <w:p w14:paraId="6802645C">
            <w:pPr>
              <w:adjustRightInd w:val="0"/>
              <w:snapToGrid w:val="0"/>
              <w:spacing w:line="360" w:lineRule="auto"/>
              <w:jc w:val="center"/>
              <w:rPr>
                <w:rFonts w:ascii="宋体"/>
                <w:sz w:val="24"/>
                <w:szCs w:val="24"/>
              </w:rPr>
            </w:pPr>
            <w:r>
              <w:rPr>
                <w:rFonts w:hint="eastAsia" w:ascii="宋体" w:hAnsi="宋体"/>
                <w:sz w:val="24"/>
                <w:szCs w:val="24"/>
              </w:rPr>
              <w:t>姓名</w:t>
            </w:r>
          </w:p>
        </w:tc>
        <w:tc>
          <w:tcPr>
            <w:tcW w:w="1296" w:type="dxa"/>
            <w:tcBorders>
              <w:top w:val="single" w:color="auto" w:sz="4" w:space="0"/>
              <w:left w:val="single" w:color="auto" w:sz="4" w:space="0"/>
              <w:bottom w:val="single" w:color="auto" w:sz="4" w:space="0"/>
              <w:right w:val="single" w:color="auto" w:sz="4" w:space="0"/>
            </w:tcBorders>
            <w:vAlign w:val="center"/>
          </w:tcPr>
          <w:p w14:paraId="54C5CFB9">
            <w:pPr>
              <w:adjustRightInd w:val="0"/>
              <w:snapToGrid w:val="0"/>
              <w:spacing w:line="360" w:lineRule="auto"/>
              <w:jc w:val="center"/>
              <w:rPr>
                <w:rFonts w:ascii="宋体"/>
                <w:sz w:val="24"/>
                <w:szCs w:val="24"/>
              </w:rPr>
            </w:pPr>
            <w:r>
              <w:rPr>
                <w:rFonts w:hint="eastAsia" w:ascii="宋体"/>
                <w:sz w:val="24"/>
                <w:szCs w:val="24"/>
              </w:rPr>
              <w:t>性别</w:t>
            </w:r>
          </w:p>
        </w:tc>
        <w:tc>
          <w:tcPr>
            <w:tcW w:w="1297" w:type="dxa"/>
            <w:tcBorders>
              <w:top w:val="single" w:color="auto" w:sz="4" w:space="0"/>
              <w:left w:val="single" w:color="auto" w:sz="4" w:space="0"/>
              <w:bottom w:val="single" w:color="auto" w:sz="4" w:space="0"/>
              <w:right w:val="single" w:color="auto" w:sz="4" w:space="0"/>
            </w:tcBorders>
            <w:vAlign w:val="center"/>
          </w:tcPr>
          <w:p w14:paraId="45B20F05">
            <w:pPr>
              <w:adjustRightInd w:val="0"/>
              <w:snapToGrid w:val="0"/>
              <w:spacing w:line="360" w:lineRule="auto"/>
              <w:jc w:val="center"/>
              <w:rPr>
                <w:rFonts w:ascii="宋体"/>
                <w:sz w:val="24"/>
                <w:szCs w:val="24"/>
              </w:rPr>
            </w:pPr>
            <w:r>
              <w:rPr>
                <w:rFonts w:hint="eastAsia" w:ascii="宋体"/>
                <w:sz w:val="24"/>
                <w:szCs w:val="24"/>
              </w:rPr>
              <w:t>年龄</w:t>
            </w:r>
          </w:p>
        </w:tc>
        <w:tc>
          <w:tcPr>
            <w:tcW w:w="1297" w:type="dxa"/>
            <w:tcBorders>
              <w:top w:val="single" w:color="auto" w:sz="4" w:space="0"/>
              <w:left w:val="single" w:color="auto" w:sz="4" w:space="0"/>
              <w:bottom w:val="single" w:color="auto" w:sz="4" w:space="0"/>
              <w:right w:val="single" w:color="auto" w:sz="4" w:space="0"/>
            </w:tcBorders>
            <w:vAlign w:val="center"/>
          </w:tcPr>
          <w:p w14:paraId="682266DC">
            <w:pPr>
              <w:adjustRightInd w:val="0"/>
              <w:snapToGrid w:val="0"/>
              <w:spacing w:line="360" w:lineRule="auto"/>
              <w:jc w:val="center"/>
              <w:rPr>
                <w:rFonts w:ascii="宋体"/>
                <w:sz w:val="24"/>
                <w:szCs w:val="24"/>
              </w:rPr>
            </w:pPr>
            <w:r>
              <w:rPr>
                <w:rFonts w:hint="eastAsia" w:ascii="宋体" w:hAnsi="宋体"/>
                <w:sz w:val="24"/>
                <w:szCs w:val="24"/>
              </w:rPr>
              <w:t>身份证号码</w:t>
            </w:r>
          </w:p>
        </w:tc>
        <w:tc>
          <w:tcPr>
            <w:tcW w:w="1297" w:type="dxa"/>
            <w:tcBorders>
              <w:top w:val="single" w:color="auto" w:sz="4" w:space="0"/>
              <w:left w:val="single" w:color="auto" w:sz="4" w:space="0"/>
              <w:bottom w:val="single" w:color="auto" w:sz="4" w:space="0"/>
              <w:right w:val="single" w:color="auto" w:sz="4" w:space="0"/>
            </w:tcBorders>
            <w:vAlign w:val="center"/>
          </w:tcPr>
          <w:p w14:paraId="1AE0DF01">
            <w:pPr>
              <w:adjustRightInd w:val="0"/>
              <w:snapToGrid w:val="0"/>
              <w:spacing w:line="360" w:lineRule="auto"/>
              <w:jc w:val="center"/>
              <w:rPr>
                <w:rFonts w:hint="default" w:ascii="宋体" w:eastAsiaTheme="minorEastAsia"/>
                <w:sz w:val="24"/>
                <w:szCs w:val="24"/>
                <w:lang w:val="en-US" w:eastAsia="zh-CN"/>
              </w:rPr>
            </w:pPr>
            <w:r>
              <w:rPr>
                <w:rFonts w:hint="eastAsia" w:ascii="宋体" w:hAnsi="宋体"/>
                <w:sz w:val="24"/>
                <w:szCs w:val="24"/>
                <w:lang w:val="en-US" w:eastAsia="zh-CN"/>
              </w:rPr>
              <w:t>健康证有效期</w:t>
            </w:r>
          </w:p>
        </w:tc>
        <w:tc>
          <w:tcPr>
            <w:tcW w:w="1297" w:type="dxa"/>
            <w:tcBorders>
              <w:top w:val="single" w:color="auto" w:sz="4" w:space="0"/>
              <w:left w:val="single" w:color="auto" w:sz="4" w:space="0"/>
              <w:bottom w:val="single" w:color="auto" w:sz="4" w:space="0"/>
              <w:right w:val="single" w:color="auto" w:sz="4" w:space="0"/>
            </w:tcBorders>
            <w:vAlign w:val="center"/>
          </w:tcPr>
          <w:p w14:paraId="76A448D1">
            <w:pPr>
              <w:adjustRightInd w:val="0"/>
              <w:snapToGrid w:val="0"/>
              <w:spacing w:line="360" w:lineRule="auto"/>
              <w:jc w:val="center"/>
              <w:rPr>
                <w:rFonts w:ascii="宋体"/>
                <w:sz w:val="24"/>
                <w:szCs w:val="24"/>
              </w:rPr>
            </w:pPr>
            <w:r>
              <w:rPr>
                <w:rFonts w:hint="eastAsia" w:ascii="宋体" w:hAnsi="宋体"/>
                <w:sz w:val="24"/>
                <w:szCs w:val="24"/>
              </w:rPr>
              <w:t>备注</w:t>
            </w:r>
          </w:p>
        </w:tc>
      </w:tr>
      <w:tr w14:paraId="3B2E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14:paraId="02BBEE31">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53B86A00">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688559AB">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54F69666">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346181B1">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DDA1080">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1E990A46">
            <w:pPr>
              <w:adjustRightInd w:val="0"/>
              <w:snapToGrid w:val="0"/>
              <w:spacing w:line="360" w:lineRule="auto"/>
              <w:jc w:val="center"/>
              <w:rPr>
                <w:rFonts w:ascii="宋体"/>
                <w:sz w:val="24"/>
                <w:szCs w:val="24"/>
              </w:rPr>
            </w:pPr>
          </w:p>
        </w:tc>
      </w:tr>
      <w:tr w14:paraId="22DA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14:paraId="79776931">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58D72C3B">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7BC60692">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08767A8">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4F12C22D">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55FE92C2">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59995315">
            <w:pPr>
              <w:adjustRightInd w:val="0"/>
              <w:snapToGrid w:val="0"/>
              <w:spacing w:line="360" w:lineRule="auto"/>
              <w:jc w:val="center"/>
              <w:rPr>
                <w:rFonts w:ascii="宋体"/>
                <w:sz w:val="24"/>
                <w:szCs w:val="24"/>
              </w:rPr>
            </w:pPr>
          </w:p>
        </w:tc>
      </w:tr>
      <w:tr w14:paraId="19E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14:paraId="7A08B964">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6AC02B36">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6FA8293F">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C996189">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50ADA041">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7ABED169">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57847EFF">
            <w:pPr>
              <w:adjustRightInd w:val="0"/>
              <w:snapToGrid w:val="0"/>
              <w:spacing w:line="360" w:lineRule="auto"/>
              <w:jc w:val="center"/>
              <w:rPr>
                <w:rFonts w:ascii="宋体"/>
                <w:sz w:val="24"/>
                <w:szCs w:val="24"/>
              </w:rPr>
            </w:pPr>
          </w:p>
        </w:tc>
      </w:tr>
      <w:tr w14:paraId="09A9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14:paraId="2FDD7EBA">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267CEA46">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5DA025A9">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07F7090">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1912632D">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4884FCC8">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14A848B6">
            <w:pPr>
              <w:adjustRightInd w:val="0"/>
              <w:snapToGrid w:val="0"/>
              <w:spacing w:line="360" w:lineRule="auto"/>
              <w:jc w:val="center"/>
              <w:rPr>
                <w:rFonts w:ascii="宋体"/>
                <w:sz w:val="24"/>
                <w:szCs w:val="24"/>
              </w:rPr>
            </w:pPr>
          </w:p>
        </w:tc>
      </w:tr>
      <w:tr w14:paraId="3FD1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14:paraId="12490CA8">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6D2E65B9">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0C8BC4D8">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7837155C">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37403946">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10D1F0FA">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6E010390">
            <w:pPr>
              <w:adjustRightInd w:val="0"/>
              <w:snapToGrid w:val="0"/>
              <w:spacing w:line="360" w:lineRule="auto"/>
              <w:jc w:val="center"/>
              <w:rPr>
                <w:rFonts w:ascii="宋体"/>
                <w:sz w:val="24"/>
                <w:szCs w:val="24"/>
              </w:rPr>
            </w:pPr>
          </w:p>
        </w:tc>
      </w:tr>
      <w:tr w14:paraId="3C3C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14:paraId="5E7E081C">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14E4F145">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1CC746D1">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8EEDB36">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948F3A5">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6F14877A">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51175E28">
            <w:pPr>
              <w:adjustRightInd w:val="0"/>
              <w:snapToGrid w:val="0"/>
              <w:spacing w:line="360" w:lineRule="auto"/>
              <w:jc w:val="center"/>
              <w:rPr>
                <w:rFonts w:ascii="宋体"/>
                <w:sz w:val="24"/>
                <w:szCs w:val="24"/>
              </w:rPr>
            </w:pPr>
          </w:p>
        </w:tc>
      </w:tr>
      <w:tr w14:paraId="5289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14:paraId="66AAB685">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02E2274E">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1F2F0478">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139077A">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129250D9">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7A944E7">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51878C69">
            <w:pPr>
              <w:adjustRightInd w:val="0"/>
              <w:snapToGrid w:val="0"/>
              <w:spacing w:line="360" w:lineRule="auto"/>
              <w:jc w:val="center"/>
              <w:rPr>
                <w:rFonts w:ascii="宋体"/>
                <w:sz w:val="24"/>
                <w:szCs w:val="24"/>
              </w:rPr>
            </w:pPr>
          </w:p>
        </w:tc>
      </w:tr>
      <w:tr w14:paraId="5C3A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14:paraId="716F7D44">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7C2F65CB">
            <w:pPr>
              <w:adjustRightInd w:val="0"/>
              <w:snapToGrid w:val="0"/>
              <w:spacing w:line="360" w:lineRule="auto"/>
              <w:jc w:val="center"/>
              <w:rPr>
                <w:rFonts w:ascii="宋体"/>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14:paraId="3756BAC1">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3F35741">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70E5B679">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3A203DBF">
            <w:pPr>
              <w:adjustRightInd w:val="0"/>
              <w:snapToGrid w:val="0"/>
              <w:spacing w:line="360" w:lineRule="auto"/>
              <w:jc w:val="center"/>
              <w:rPr>
                <w:rFonts w:ascii="宋体"/>
                <w:sz w:val="24"/>
                <w:szCs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6D4992DF">
            <w:pPr>
              <w:adjustRightInd w:val="0"/>
              <w:snapToGrid w:val="0"/>
              <w:spacing w:line="360" w:lineRule="auto"/>
              <w:jc w:val="center"/>
              <w:rPr>
                <w:rFonts w:ascii="宋体"/>
                <w:sz w:val="24"/>
                <w:szCs w:val="24"/>
              </w:rPr>
            </w:pPr>
          </w:p>
        </w:tc>
      </w:tr>
    </w:tbl>
    <w:p w14:paraId="34F6AB75">
      <w:pPr>
        <w:widowControl/>
        <w:adjustRightInd w:val="0"/>
        <w:snapToGrid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注：</w:t>
      </w:r>
      <w:r>
        <w:rPr>
          <w:rFonts w:hint="eastAsia" w:ascii="宋体" w:hAnsi="宋体" w:cs="宋体"/>
          <w:b/>
          <w:bCs/>
          <w:color w:val="000000"/>
          <w:sz w:val="24"/>
          <w:szCs w:val="24"/>
          <w:lang w:val="en-US" w:eastAsia="zh-CN"/>
        </w:rPr>
        <w:t>1、</w:t>
      </w:r>
      <w:r>
        <w:rPr>
          <w:rFonts w:hint="eastAsia" w:ascii="宋体" w:hAnsi="宋体" w:cs="宋体"/>
          <w:b/>
          <w:bCs/>
          <w:color w:val="000000"/>
          <w:sz w:val="24"/>
          <w:szCs w:val="24"/>
        </w:rPr>
        <w:t>后附身份证、健康证、劳动合同</w:t>
      </w:r>
      <w:r>
        <w:rPr>
          <w:rFonts w:hint="eastAsia" w:ascii="宋体" w:hAnsi="宋体" w:cs="宋体"/>
          <w:b/>
          <w:bCs/>
          <w:color w:val="000000"/>
          <w:sz w:val="24"/>
          <w:szCs w:val="24"/>
          <w:lang w:val="en-US" w:eastAsia="zh-CN"/>
        </w:rPr>
        <w:t>或</w:t>
      </w:r>
      <w:r>
        <w:rPr>
          <w:rFonts w:hint="eastAsia" w:ascii="宋体" w:hAnsi="宋体" w:cs="宋体"/>
          <w:b/>
          <w:bCs/>
          <w:color w:val="000000"/>
          <w:sz w:val="24"/>
          <w:lang w:val="en-US" w:eastAsia="zh-CN"/>
        </w:rPr>
        <w:t>养老</w:t>
      </w:r>
      <w:r>
        <w:rPr>
          <w:rFonts w:hint="eastAsia" w:ascii="宋体" w:hAnsi="宋体" w:cs="宋体"/>
          <w:b/>
          <w:bCs/>
          <w:color w:val="000000"/>
          <w:sz w:val="24"/>
          <w:szCs w:val="24"/>
          <w:lang w:val="en-US" w:eastAsia="zh-CN"/>
        </w:rPr>
        <w:t>保险</w:t>
      </w:r>
      <w:r>
        <w:rPr>
          <w:rFonts w:hint="eastAsia" w:ascii="宋体" w:hAnsi="宋体" w:cs="宋体"/>
          <w:b/>
          <w:bCs/>
          <w:color w:val="000000"/>
          <w:sz w:val="24"/>
          <w:szCs w:val="24"/>
        </w:rPr>
        <w:t>等相关证件资料。</w:t>
      </w:r>
    </w:p>
    <w:p w14:paraId="5C3DF239">
      <w:pPr>
        <w:widowControl/>
        <w:adjustRightInd w:val="0"/>
        <w:snapToGrid w:val="0"/>
        <w:spacing w:line="360" w:lineRule="auto"/>
        <w:ind w:firstLine="964" w:firstLineChars="400"/>
        <w:jc w:val="left"/>
        <w:rPr>
          <w:rFonts w:hint="eastAsia" w:ascii="宋体" w:hAnsi="宋体" w:cs="宋体"/>
          <w:b/>
          <w:bCs/>
          <w:color w:val="000000"/>
          <w:sz w:val="24"/>
          <w:szCs w:val="24"/>
        </w:rPr>
      </w:pPr>
      <w:r>
        <w:rPr>
          <w:rFonts w:hint="eastAsia" w:ascii="宋体" w:hAnsi="宋体"/>
          <w:b/>
          <w:bCs/>
          <w:kern w:val="0"/>
          <w:sz w:val="24"/>
          <w:szCs w:val="24"/>
        </w:rPr>
        <w:t>2、</w:t>
      </w:r>
      <w:r>
        <w:rPr>
          <w:rFonts w:ascii="宋体" w:hAnsi="宋体"/>
          <w:b/>
          <w:bCs/>
          <w:kern w:val="0"/>
          <w:sz w:val="24"/>
          <w:szCs w:val="24"/>
        </w:rPr>
        <w:t>本页不够请续表</w:t>
      </w:r>
      <w:r>
        <w:rPr>
          <w:rFonts w:hint="eastAsia" w:ascii="宋体" w:hAnsi="宋体"/>
          <w:b/>
          <w:bCs/>
          <w:kern w:val="0"/>
          <w:sz w:val="24"/>
          <w:szCs w:val="24"/>
        </w:rPr>
        <w:t>。</w:t>
      </w:r>
    </w:p>
    <w:p w14:paraId="389B8EC3">
      <w:pPr>
        <w:spacing w:line="360" w:lineRule="auto"/>
        <w:ind w:firstLine="3220" w:firstLineChars="1400"/>
        <w:jc w:val="left"/>
        <w:rPr>
          <w:rFonts w:hint="eastAsia"/>
          <w:snapToGrid w:val="0"/>
          <w:color w:val="000000"/>
          <w:spacing w:val="-5"/>
          <w:kern w:val="0"/>
          <w:sz w:val="24"/>
          <w:szCs w:val="24"/>
          <w:lang w:val="en-US" w:eastAsia="zh-CN"/>
        </w:rPr>
      </w:pPr>
    </w:p>
    <w:p w14:paraId="32882F87">
      <w:pPr>
        <w:spacing w:line="360" w:lineRule="auto"/>
        <w:ind w:firstLine="3220" w:firstLineChars="1400"/>
        <w:jc w:val="left"/>
        <w:rPr>
          <w:rFonts w:hint="eastAsia"/>
          <w:snapToGrid w:val="0"/>
          <w:color w:val="000000"/>
          <w:spacing w:val="-5"/>
          <w:kern w:val="0"/>
          <w:sz w:val="24"/>
          <w:szCs w:val="24"/>
          <w:lang w:val="en-US" w:eastAsia="zh-CN"/>
        </w:rPr>
      </w:pPr>
    </w:p>
    <w:p w14:paraId="02F7C80C">
      <w:pPr>
        <w:spacing w:line="360" w:lineRule="auto"/>
        <w:ind w:firstLine="3220" w:firstLineChars="14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 xml:space="preserve">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u w:val="single"/>
          <w:lang w:val="en-US" w:eastAsia="zh-CN"/>
        </w:rPr>
        <w:t xml:space="preserve">      </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（盖</w:t>
      </w:r>
      <w:r>
        <w:rPr>
          <w:rFonts w:hint="eastAsia" w:ascii="宋体" w:hAnsi="宋体" w:cs="楷体"/>
          <w:color w:val="000000"/>
          <w:kern w:val="1"/>
          <w:sz w:val="24"/>
          <w:szCs w:val="24"/>
          <w:lang w:val="en-US" w:eastAsia="zh-CN"/>
        </w:rPr>
        <w:t>电子</w:t>
      </w:r>
      <w:r>
        <w:rPr>
          <w:rFonts w:hint="eastAsia" w:ascii="宋体" w:hAnsi="宋体" w:cs="楷体"/>
          <w:color w:val="000000"/>
          <w:kern w:val="1"/>
          <w:sz w:val="24"/>
          <w:szCs w:val="24"/>
        </w:rPr>
        <w:t>章）</w:t>
      </w:r>
    </w:p>
    <w:p w14:paraId="002A326A">
      <w:pPr>
        <w:spacing w:line="360" w:lineRule="auto"/>
        <w:ind w:firstLine="3450" w:firstLineChars="15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法定代表人或授权委托人</w:t>
      </w:r>
      <w:r>
        <w:rPr>
          <w:rFonts w:hint="eastAsia" w:ascii="宋体" w:hAnsi="宋体" w:cs="楷体"/>
          <w:color w:val="000000"/>
          <w:kern w:val="1"/>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（签字或盖章）</w:t>
      </w:r>
    </w:p>
    <w:p w14:paraId="0F8AFE0D">
      <w:pPr>
        <w:spacing w:line="360" w:lineRule="auto"/>
        <w:ind w:firstLine="3360" w:firstLineChars="1400"/>
        <w:rPr>
          <w:rFonts w:hint="eastAsia" w:ascii="宋体" w:hAnsi="宋体" w:cs="楷体"/>
          <w:color w:val="000000"/>
          <w:kern w:val="1"/>
          <w:sz w:val="24"/>
          <w:szCs w:val="24"/>
        </w:rPr>
      </w:pP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期：</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年</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月</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日</w:t>
      </w:r>
    </w:p>
    <w:p w14:paraId="61FA1E23">
      <w:pPr>
        <w:spacing w:line="360" w:lineRule="auto"/>
        <w:rPr>
          <w:rFonts w:hint="default" w:ascii="宋体" w:hAnsi="宋体" w:cs="楷体"/>
          <w:color w:val="000000"/>
          <w:kern w:val="1"/>
          <w:sz w:val="24"/>
          <w:szCs w:val="24"/>
          <w:lang w:val="en-US" w:eastAsia="zh-CN"/>
        </w:rPr>
      </w:pPr>
    </w:p>
    <w:p w14:paraId="58F87D28">
      <w:pPr>
        <w:spacing w:line="360" w:lineRule="auto"/>
        <w:rPr>
          <w:rFonts w:hint="default" w:ascii="宋体" w:hAnsi="宋体" w:cs="楷体"/>
          <w:color w:val="000000"/>
          <w:kern w:val="1"/>
          <w:sz w:val="24"/>
          <w:szCs w:val="24"/>
          <w:lang w:val="en-US" w:eastAsia="zh-CN"/>
        </w:rPr>
      </w:pPr>
    </w:p>
    <w:p w14:paraId="160634BD">
      <w:pPr>
        <w:spacing w:line="360" w:lineRule="auto"/>
        <w:rPr>
          <w:rFonts w:hint="default" w:ascii="宋体" w:hAnsi="宋体" w:cs="楷体"/>
          <w:color w:val="000000"/>
          <w:kern w:val="1"/>
          <w:sz w:val="24"/>
          <w:szCs w:val="24"/>
          <w:lang w:val="en-US" w:eastAsia="zh-CN"/>
        </w:rPr>
      </w:pPr>
    </w:p>
    <w:p w14:paraId="3B28DB72">
      <w:pPr>
        <w:spacing w:line="360" w:lineRule="auto"/>
        <w:rPr>
          <w:rFonts w:hint="default" w:ascii="宋体" w:hAnsi="宋体" w:cs="楷体"/>
          <w:color w:val="000000"/>
          <w:kern w:val="1"/>
          <w:sz w:val="24"/>
          <w:szCs w:val="24"/>
          <w:lang w:val="en-US" w:eastAsia="zh-CN"/>
        </w:rPr>
      </w:pPr>
    </w:p>
    <w:p w14:paraId="7B6F1462">
      <w:pPr>
        <w:spacing w:line="360" w:lineRule="auto"/>
        <w:jc w:val="center"/>
        <w:rPr>
          <w:rFonts w:hint="default" w:ascii="宋体" w:hAnsi="宋体" w:cs="楷体"/>
          <w:b/>
          <w:bCs/>
          <w:color w:val="000000"/>
          <w:kern w:val="1"/>
          <w:sz w:val="28"/>
          <w:szCs w:val="28"/>
          <w:lang w:val="en-US" w:eastAsia="zh-CN"/>
        </w:rPr>
      </w:pPr>
      <w:r>
        <w:rPr>
          <w:rFonts w:hint="default" w:ascii="宋体" w:hAnsi="宋体" w:cs="楷体"/>
          <w:b/>
          <w:bCs/>
          <w:color w:val="000000"/>
          <w:kern w:val="1"/>
          <w:sz w:val="32"/>
          <w:szCs w:val="32"/>
          <w:lang w:val="en-US" w:eastAsia="zh-CN"/>
        </w:rPr>
        <w:t>（二）拟投入本项目的主要人员相关证件</w:t>
      </w:r>
    </w:p>
    <w:p w14:paraId="424D180C">
      <w:pPr>
        <w:spacing w:line="360" w:lineRule="auto"/>
        <w:rPr>
          <w:rFonts w:hint="default" w:ascii="宋体" w:hAnsi="宋体" w:cs="楷体"/>
          <w:color w:val="000000"/>
          <w:kern w:val="1"/>
          <w:sz w:val="24"/>
          <w:szCs w:val="24"/>
          <w:lang w:val="en-US" w:eastAsia="zh-CN"/>
        </w:rPr>
      </w:pPr>
    </w:p>
    <w:p w14:paraId="4FEDE59D">
      <w:pPr>
        <w:spacing w:line="360" w:lineRule="auto"/>
        <w:rPr>
          <w:rFonts w:hint="default" w:ascii="宋体" w:hAnsi="宋体" w:cs="楷体"/>
          <w:color w:val="000000"/>
          <w:kern w:val="1"/>
          <w:sz w:val="24"/>
          <w:szCs w:val="24"/>
          <w:lang w:val="en-US" w:eastAsia="zh-CN"/>
        </w:rPr>
      </w:pPr>
    </w:p>
    <w:p w14:paraId="65240CF0">
      <w:pPr>
        <w:spacing w:line="360" w:lineRule="auto"/>
        <w:rPr>
          <w:rFonts w:hint="default" w:ascii="宋体" w:hAnsi="宋体" w:cs="楷体"/>
          <w:color w:val="000000"/>
          <w:kern w:val="1"/>
          <w:sz w:val="24"/>
          <w:szCs w:val="24"/>
          <w:lang w:val="en-US" w:eastAsia="zh-CN"/>
        </w:rPr>
      </w:pPr>
    </w:p>
    <w:p w14:paraId="69CFBD5E">
      <w:pPr>
        <w:spacing w:line="360" w:lineRule="auto"/>
        <w:rPr>
          <w:rFonts w:hint="default" w:ascii="宋体" w:hAnsi="宋体" w:cs="楷体"/>
          <w:color w:val="000000"/>
          <w:kern w:val="1"/>
          <w:sz w:val="24"/>
          <w:szCs w:val="24"/>
          <w:lang w:val="en-US" w:eastAsia="zh-CN"/>
        </w:rPr>
      </w:pPr>
    </w:p>
    <w:p w14:paraId="35C5618A">
      <w:pPr>
        <w:spacing w:line="360" w:lineRule="auto"/>
        <w:rPr>
          <w:rFonts w:hint="default" w:ascii="宋体" w:hAnsi="宋体" w:cs="楷体"/>
          <w:color w:val="000000"/>
          <w:kern w:val="1"/>
          <w:sz w:val="24"/>
          <w:szCs w:val="24"/>
          <w:lang w:val="en-US" w:eastAsia="zh-CN"/>
        </w:rPr>
      </w:pPr>
    </w:p>
    <w:p w14:paraId="52583AC1">
      <w:pPr>
        <w:spacing w:line="360" w:lineRule="auto"/>
        <w:rPr>
          <w:rFonts w:hint="default" w:ascii="宋体" w:hAnsi="宋体" w:cs="楷体"/>
          <w:color w:val="000000"/>
          <w:kern w:val="1"/>
          <w:sz w:val="24"/>
          <w:szCs w:val="24"/>
          <w:lang w:val="en-US" w:eastAsia="zh-CN"/>
        </w:rPr>
      </w:pPr>
    </w:p>
    <w:p w14:paraId="17CCCA59">
      <w:pPr>
        <w:spacing w:line="360" w:lineRule="auto"/>
        <w:rPr>
          <w:rFonts w:hint="default" w:ascii="宋体" w:hAnsi="宋体" w:cs="楷体"/>
          <w:color w:val="000000"/>
          <w:kern w:val="1"/>
          <w:sz w:val="24"/>
          <w:szCs w:val="24"/>
          <w:lang w:val="en-US" w:eastAsia="zh-CN"/>
        </w:rPr>
      </w:pPr>
    </w:p>
    <w:p w14:paraId="7A26F74D">
      <w:pPr>
        <w:spacing w:line="360" w:lineRule="auto"/>
        <w:rPr>
          <w:rFonts w:hint="default" w:ascii="宋体" w:hAnsi="宋体" w:cs="楷体"/>
          <w:color w:val="000000"/>
          <w:kern w:val="1"/>
          <w:sz w:val="24"/>
          <w:szCs w:val="24"/>
          <w:lang w:val="en-US" w:eastAsia="zh-CN"/>
        </w:rPr>
      </w:pPr>
    </w:p>
    <w:p w14:paraId="277742E6">
      <w:pPr>
        <w:spacing w:line="360" w:lineRule="auto"/>
        <w:rPr>
          <w:rFonts w:hint="default" w:ascii="宋体" w:hAnsi="宋体" w:cs="楷体"/>
          <w:color w:val="000000"/>
          <w:kern w:val="1"/>
          <w:sz w:val="24"/>
          <w:szCs w:val="24"/>
          <w:lang w:val="en-US" w:eastAsia="zh-CN"/>
        </w:rPr>
      </w:pPr>
    </w:p>
    <w:p w14:paraId="2D27C441">
      <w:pPr>
        <w:spacing w:line="360" w:lineRule="auto"/>
        <w:rPr>
          <w:rFonts w:hint="default" w:ascii="宋体" w:hAnsi="宋体" w:cs="楷体"/>
          <w:color w:val="000000"/>
          <w:kern w:val="1"/>
          <w:sz w:val="24"/>
          <w:szCs w:val="24"/>
          <w:lang w:val="en-US" w:eastAsia="zh-CN"/>
        </w:rPr>
      </w:pPr>
    </w:p>
    <w:p w14:paraId="75FC9AE0">
      <w:pPr>
        <w:spacing w:line="360" w:lineRule="auto"/>
        <w:rPr>
          <w:rFonts w:hint="default" w:ascii="宋体" w:hAnsi="宋体" w:cs="楷体"/>
          <w:color w:val="000000"/>
          <w:kern w:val="1"/>
          <w:sz w:val="24"/>
          <w:szCs w:val="24"/>
          <w:lang w:val="en-US" w:eastAsia="zh-CN"/>
        </w:rPr>
      </w:pPr>
    </w:p>
    <w:p w14:paraId="1E2A87CC">
      <w:pPr>
        <w:spacing w:line="360" w:lineRule="auto"/>
        <w:rPr>
          <w:rFonts w:hint="default" w:ascii="宋体" w:hAnsi="宋体" w:cs="楷体"/>
          <w:color w:val="000000"/>
          <w:kern w:val="1"/>
          <w:sz w:val="24"/>
          <w:szCs w:val="24"/>
          <w:lang w:val="en-US" w:eastAsia="zh-CN"/>
        </w:rPr>
      </w:pPr>
    </w:p>
    <w:p w14:paraId="2A0107E6">
      <w:pPr>
        <w:spacing w:line="360" w:lineRule="auto"/>
        <w:rPr>
          <w:rFonts w:hint="default" w:ascii="宋体" w:hAnsi="宋体" w:cs="楷体"/>
          <w:color w:val="000000"/>
          <w:kern w:val="1"/>
          <w:sz w:val="24"/>
          <w:szCs w:val="24"/>
          <w:lang w:val="en-US" w:eastAsia="zh-CN"/>
        </w:rPr>
      </w:pPr>
    </w:p>
    <w:p w14:paraId="6C355FD9">
      <w:pPr>
        <w:spacing w:line="360" w:lineRule="auto"/>
        <w:rPr>
          <w:rFonts w:hint="default" w:ascii="宋体" w:hAnsi="宋体" w:cs="楷体"/>
          <w:color w:val="000000"/>
          <w:kern w:val="1"/>
          <w:sz w:val="24"/>
          <w:szCs w:val="24"/>
          <w:lang w:val="en-US" w:eastAsia="zh-CN"/>
        </w:rPr>
      </w:pPr>
    </w:p>
    <w:p w14:paraId="3E207DF4">
      <w:pPr>
        <w:spacing w:line="360" w:lineRule="auto"/>
        <w:rPr>
          <w:rFonts w:hint="default" w:ascii="宋体" w:hAnsi="宋体" w:cs="楷体"/>
          <w:color w:val="000000"/>
          <w:kern w:val="1"/>
          <w:sz w:val="24"/>
          <w:szCs w:val="24"/>
          <w:lang w:val="en-US" w:eastAsia="zh-CN"/>
        </w:rPr>
      </w:pPr>
    </w:p>
    <w:p w14:paraId="574B2B63">
      <w:pPr>
        <w:spacing w:line="360" w:lineRule="auto"/>
        <w:rPr>
          <w:rFonts w:hint="default" w:ascii="宋体" w:hAnsi="宋体" w:cs="楷体"/>
          <w:color w:val="000000"/>
          <w:kern w:val="1"/>
          <w:sz w:val="24"/>
          <w:szCs w:val="24"/>
          <w:lang w:val="en-US" w:eastAsia="zh-CN"/>
        </w:rPr>
      </w:pPr>
    </w:p>
    <w:p w14:paraId="1E1BD1C0">
      <w:pPr>
        <w:spacing w:line="360" w:lineRule="auto"/>
        <w:rPr>
          <w:rFonts w:hint="default" w:ascii="宋体" w:hAnsi="宋体" w:cs="楷体"/>
          <w:color w:val="000000"/>
          <w:kern w:val="1"/>
          <w:sz w:val="24"/>
          <w:szCs w:val="24"/>
          <w:lang w:val="en-US" w:eastAsia="zh-CN"/>
        </w:rPr>
      </w:pPr>
    </w:p>
    <w:p w14:paraId="76E6D5AD">
      <w:pPr>
        <w:spacing w:line="360" w:lineRule="auto"/>
        <w:rPr>
          <w:rFonts w:hint="default" w:ascii="宋体" w:hAnsi="宋体" w:cs="楷体"/>
          <w:color w:val="000000"/>
          <w:kern w:val="1"/>
          <w:sz w:val="24"/>
          <w:szCs w:val="24"/>
          <w:lang w:val="en-US" w:eastAsia="zh-CN"/>
        </w:rPr>
      </w:pPr>
    </w:p>
    <w:p w14:paraId="0E0BB29A">
      <w:pPr>
        <w:spacing w:line="360" w:lineRule="auto"/>
        <w:rPr>
          <w:rFonts w:hint="default" w:ascii="宋体" w:hAnsi="宋体" w:cs="楷体"/>
          <w:color w:val="000000"/>
          <w:kern w:val="1"/>
          <w:sz w:val="24"/>
          <w:szCs w:val="24"/>
          <w:lang w:val="en-US" w:eastAsia="zh-CN"/>
        </w:rPr>
      </w:pPr>
    </w:p>
    <w:p w14:paraId="50DE94A3">
      <w:pPr>
        <w:spacing w:line="360" w:lineRule="auto"/>
        <w:rPr>
          <w:rFonts w:hint="default" w:ascii="宋体" w:hAnsi="宋体" w:cs="楷体"/>
          <w:color w:val="000000"/>
          <w:kern w:val="1"/>
          <w:sz w:val="24"/>
          <w:szCs w:val="24"/>
          <w:lang w:val="en-US" w:eastAsia="zh-CN"/>
        </w:rPr>
      </w:pPr>
    </w:p>
    <w:p w14:paraId="518C5EEF">
      <w:pPr>
        <w:spacing w:line="360" w:lineRule="auto"/>
        <w:rPr>
          <w:rFonts w:hint="default" w:ascii="宋体" w:hAnsi="宋体" w:cs="楷体"/>
          <w:color w:val="000000"/>
          <w:kern w:val="1"/>
          <w:sz w:val="24"/>
          <w:szCs w:val="24"/>
          <w:lang w:val="en-US" w:eastAsia="zh-CN"/>
        </w:rPr>
      </w:pPr>
    </w:p>
    <w:p w14:paraId="48E325FD">
      <w:pPr>
        <w:spacing w:line="360" w:lineRule="auto"/>
        <w:rPr>
          <w:rFonts w:hint="default" w:ascii="宋体" w:hAnsi="宋体" w:cs="楷体"/>
          <w:color w:val="000000"/>
          <w:kern w:val="1"/>
          <w:sz w:val="24"/>
          <w:szCs w:val="24"/>
          <w:lang w:val="en-US" w:eastAsia="zh-CN"/>
        </w:rPr>
      </w:pPr>
    </w:p>
    <w:p w14:paraId="677B25D1">
      <w:pPr>
        <w:spacing w:line="360" w:lineRule="auto"/>
        <w:rPr>
          <w:rFonts w:hint="default" w:ascii="宋体" w:hAnsi="宋体" w:cs="楷体"/>
          <w:color w:val="000000"/>
          <w:kern w:val="1"/>
          <w:sz w:val="24"/>
          <w:szCs w:val="24"/>
          <w:lang w:val="en-US" w:eastAsia="zh-CN"/>
        </w:rPr>
      </w:pPr>
    </w:p>
    <w:p w14:paraId="7B4BEC29">
      <w:pPr>
        <w:spacing w:line="360" w:lineRule="auto"/>
        <w:rPr>
          <w:rFonts w:hint="default" w:ascii="宋体" w:hAnsi="宋体" w:cs="楷体"/>
          <w:color w:val="000000"/>
          <w:kern w:val="1"/>
          <w:sz w:val="24"/>
          <w:szCs w:val="24"/>
          <w:lang w:val="en-US" w:eastAsia="zh-CN"/>
        </w:rPr>
      </w:pPr>
    </w:p>
    <w:p w14:paraId="7B0AAC79">
      <w:pPr>
        <w:spacing w:line="360" w:lineRule="auto"/>
        <w:rPr>
          <w:rFonts w:hint="default" w:ascii="宋体" w:hAnsi="宋体" w:cs="楷体"/>
          <w:color w:val="000000"/>
          <w:kern w:val="1"/>
          <w:sz w:val="24"/>
          <w:szCs w:val="24"/>
          <w:lang w:val="en-US" w:eastAsia="zh-CN"/>
        </w:rPr>
      </w:pPr>
    </w:p>
    <w:p w14:paraId="149EF2A1">
      <w:pPr>
        <w:spacing w:line="360" w:lineRule="auto"/>
        <w:rPr>
          <w:rFonts w:hint="default" w:ascii="宋体" w:hAnsi="宋体" w:cs="楷体"/>
          <w:color w:val="000000"/>
          <w:kern w:val="1"/>
          <w:sz w:val="24"/>
          <w:szCs w:val="24"/>
          <w:lang w:val="en-US" w:eastAsia="zh-CN"/>
        </w:rPr>
      </w:pPr>
    </w:p>
    <w:p w14:paraId="6BC77302">
      <w:pPr>
        <w:spacing w:line="360" w:lineRule="auto"/>
        <w:rPr>
          <w:rFonts w:hint="default" w:ascii="宋体" w:hAnsi="宋体" w:cs="楷体"/>
          <w:color w:val="000000"/>
          <w:kern w:val="1"/>
          <w:sz w:val="24"/>
          <w:szCs w:val="24"/>
          <w:lang w:val="en-US" w:eastAsia="zh-CN"/>
        </w:rPr>
      </w:pPr>
    </w:p>
    <w:p w14:paraId="7A1FAE10">
      <w:pPr>
        <w:spacing w:line="360" w:lineRule="auto"/>
        <w:rPr>
          <w:rFonts w:hint="default" w:ascii="宋体" w:hAnsi="宋体" w:cs="楷体"/>
          <w:color w:val="000000"/>
          <w:kern w:val="1"/>
          <w:sz w:val="24"/>
          <w:szCs w:val="24"/>
          <w:lang w:val="en-US" w:eastAsia="zh-CN"/>
        </w:rPr>
      </w:pPr>
    </w:p>
    <w:p w14:paraId="4E1BB9BB">
      <w:pPr>
        <w:pStyle w:val="2"/>
        <w:bidi w:val="0"/>
        <w:jc w:val="center"/>
        <w:rPr>
          <w:rFonts w:hint="eastAsia"/>
        </w:rPr>
      </w:pPr>
      <w:r>
        <w:rPr>
          <w:rFonts w:hint="eastAsia"/>
          <w:lang w:val="en-US" w:eastAsia="zh-CN"/>
        </w:rPr>
        <w:t>八、</w:t>
      </w:r>
      <w:r>
        <w:rPr>
          <w:rFonts w:hint="eastAsia"/>
          <w:lang w:eastAsia="zh-CN"/>
        </w:rPr>
        <w:t>磋商</w:t>
      </w:r>
      <w:r>
        <w:t>承诺函</w:t>
      </w:r>
    </w:p>
    <w:p w14:paraId="41103E0F">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我公司在参加</w:t>
      </w:r>
      <w:r>
        <w:rPr>
          <w:rFonts w:hint="eastAsia" w:ascii="宋体" w:hAnsi="宋体"/>
          <w:color w:val="000000"/>
          <w:sz w:val="24"/>
          <w:szCs w:val="24"/>
          <w:u w:val="single"/>
        </w:rPr>
        <w:t xml:space="preserve">             </w:t>
      </w:r>
      <w:r>
        <w:rPr>
          <w:rFonts w:hint="eastAsia" w:ascii="宋体" w:hAnsi="宋体"/>
          <w:color w:val="000000"/>
          <w:sz w:val="24"/>
          <w:szCs w:val="24"/>
        </w:rPr>
        <w:t>项目的</w:t>
      </w:r>
      <w:r>
        <w:rPr>
          <w:rFonts w:hint="eastAsia" w:ascii="宋体" w:hAnsi="宋体"/>
          <w:color w:val="000000"/>
          <w:sz w:val="24"/>
          <w:szCs w:val="24"/>
          <w:lang w:val="en-US" w:eastAsia="zh-CN"/>
        </w:rPr>
        <w:t>采购</w:t>
      </w:r>
      <w:r>
        <w:rPr>
          <w:rFonts w:hint="eastAsia" w:ascii="宋体" w:hAnsi="宋体"/>
          <w:color w:val="000000"/>
          <w:sz w:val="24"/>
          <w:szCs w:val="24"/>
        </w:rPr>
        <w:t>活动中，郑重承诺如下：</w:t>
      </w:r>
    </w:p>
    <w:p w14:paraId="025E6F4D">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1.我方同意承担投标所发生的一切费用；</w:t>
      </w:r>
    </w:p>
    <w:p w14:paraId="1BA04D5B">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2.我方在此声明，本次采购活动中申报的所有资料都是真实、准确完整的，如发现虚假资料，或与事实不符而导致投标无效，甚至造成任何法律和经济责任，完全由我方负责；</w:t>
      </w:r>
    </w:p>
    <w:p w14:paraId="4A6EF86A">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3.我方在本次</w:t>
      </w:r>
      <w:r>
        <w:rPr>
          <w:rFonts w:hint="eastAsia" w:ascii="宋体" w:hAnsi="宋体"/>
          <w:color w:val="000000"/>
          <w:sz w:val="24"/>
          <w:szCs w:val="24"/>
          <w:lang w:val="en-US" w:eastAsia="zh-CN"/>
        </w:rPr>
        <w:t>采购</w:t>
      </w:r>
      <w:r>
        <w:rPr>
          <w:rFonts w:hint="eastAsia" w:ascii="宋体" w:hAnsi="宋体"/>
          <w:color w:val="000000"/>
          <w:sz w:val="24"/>
          <w:szCs w:val="24"/>
        </w:rPr>
        <w:t>活动中绝无资质挂靠、串标、围标情形，若经贵方查出，立即取消我方投标资格并承担相应的法律责任；</w:t>
      </w:r>
    </w:p>
    <w:p w14:paraId="2BF25F6C">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4.我方一旦中标，将按规定及时与采购单位签订合同，并严格按照响应文件中所承诺的质量标准、服务期限、投标方案等资料组织实施；</w:t>
      </w:r>
    </w:p>
    <w:p w14:paraId="3C5E54AF">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5.我方保证对相关法律法规及上述</w:t>
      </w:r>
      <w:r>
        <w:rPr>
          <w:rFonts w:hint="eastAsia" w:ascii="宋体" w:hAnsi="宋体"/>
          <w:color w:val="000000"/>
          <w:sz w:val="24"/>
          <w:szCs w:val="24"/>
          <w:lang w:eastAsia="zh-CN"/>
        </w:rPr>
        <w:t>采购</w:t>
      </w:r>
      <w:r>
        <w:rPr>
          <w:rFonts w:hint="eastAsia" w:ascii="宋体" w:hAnsi="宋体"/>
          <w:color w:val="000000"/>
          <w:sz w:val="24"/>
          <w:szCs w:val="24"/>
        </w:rPr>
        <w:t>文件中规定需要保密的内容严格履行保密义务。</w:t>
      </w:r>
    </w:p>
    <w:p w14:paraId="33701D8C">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我方有上述情形之一的，贵单位有权将上述情况上报财政部门，建议财政部门将我公司列入政府采购不良行为记录名单，在一至三年内禁止参加政府采购活动，并予以通报；给贵单位造成经济损失的，依照有关民事法律规定向贵单位承担民事责任。</w:t>
      </w:r>
    </w:p>
    <w:p w14:paraId="08009A8B">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我方已明确理解了上述条款的含义并确保履行。</w:t>
      </w:r>
    </w:p>
    <w:p w14:paraId="0A1A094B">
      <w:pPr>
        <w:autoSpaceDE w:val="0"/>
        <w:autoSpaceDN w:val="0"/>
        <w:adjustRightInd w:val="0"/>
        <w:spacing w:line="500" w:lineRule="exact"/>
        <w:ind w:firstLine="480" w:firstLineChars="200"/>
        <w:jc w:val="left"/>
        <w:rPr>
          <w:rFonts w:hint="eastAsia" w:ascii="宋体" w:hAnsi="宋体"/>
          <w:color w:val="000000"/>
          <w:sz w:val="24"/>
          <w:szCs w:val="24"/>
        </w:rPr>
      </w:pPr>
    </w:p>
    <w:p w14:paraId="3B1BE2E1">
      <w:pPr>
        <w:autoSpaceDE w:val="0"/>
        <w:autoSpaceDN w:val="0"/>
        <w:adjustRightInd w:val="0"/>
        <w:spacing w:line="500" w:lineRule="exact"/>
        <w:ind w:firstLine="480" w:firstLineChars="200"/>
        <w:jc w:val="left"/>
        <w:rPr>
          <w:rFonts w:hint="eastAsia" w:ascii="宋体" w:hAnsi="宋体" w:cs="宋体"/>
          <w:sz w:val="24"/>
          <w:szCs w:val="20"/>
          <w:u w:val="single"/>
        </w:rPr>
      </w:pPr>
    </w:p>
    <w:p w14:paraId="59906C75">
      <w:pPr>
        <w:spacing w:line="360" w:lineRule="auto"/>
        <w:ind w:firstLine="3360" w:firstLineChars="1400"/>
        <w:jc w:val="left"/>
        <w:rPr>
          <w:rFonts w:hint="eastAsia" w:ascii="宋体" w:hAnsi="宋体" w:cs="宋体"/>
          <w:color w:val="000000"/>
          <w:kern w:val="0"/>
          <w:sz w:val="24"/>
          <w:szCs w:val="24"/>
          <w:lang w:eastAsia="zh-CN"/>
        </w:rPr>
      </w:pPr>
    </w:p>
    <w:p w14:paraId="4FE3DD8E">
      <w:pPr>
        <w:spacing w:line="360" w:lineRule="auto"/>
        <w:ind w:firstLine="3360" w:firstLineChars="1400"/>
        <w:jc w:val="left"/>
        <w:rPr>
          <w:rFonts w:hint="eastAsia" w:ascii="宋体" w:hAnsi="宋体" w:cs="楷体"/>
          <w:color w:val="000000"/>
          <w:kern w:val="1"/>
          <w:sz w:val="24"/>
          <w:szCs w:val="24"/>
        </w:rPr>
      </w:pP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u w:val="single"/>
          <w:lang w:val="en-US" w:eastAsia="zh-CN"/>
        </w:rPr>
        <w:t xml:space="preserve">      </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（盖</w:t>
      </w:r>
      <w:r>
        <w:rPr>
          <w:rFonts w:hint="eastAsia" w:ascii="宋体" w:hAnsi="宋体" w:cs="楷体"/>
          <w:color w:val="000000"/>
          <w:kern w:val="1"/>
          <w:sz w:val="24"/>
          <w:szCs w:val="24"/>
          <w:lang w:val="en-US" w:eastAsia="zh-CN"/>
        </w:rPr>
        <w:t>电子</w:t>
      </w:r>
      <w:r>
        <w:rPr>
          <w:rFonts w:hint="eastAsia" w:ascii="宋体" w:hAnsi="宋体" w:cs="楷体"/>
          <w:color w:val="000000"/>
          <w:kern w:val="1"/>
          <w:sz w:val="24"/>
          <w:szCs w:val="24"/>
        </w:rPr>
        <w:t>章）</w:t>
      </w:r>
    </w:p>
    <w:p w14:paraId="2D8CA627">
      <w:pPr>
        <w:spacing w:line="360" w:lineRule="auto"/>
        <w:ind w:firstLine="3450" w:firstLineChars="15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法定代表人或授权委托人</w:t>
      </w:r>
      <w:r>
        <w:rPr>
          <w:rFonts w:hint="eastAsia" w:ascii="宋体" w:hAnsi="宋体" w:cs="楷体"/>
          <w:color w:val="000000"/>
          <w:kern w:val="1"/>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（签字或盖章）</w:t>
      </w:r>
    </w:p>
    <w:p w14:paraId="307237A6">
      <w:pPr>
        <w:spacing w:line="360" w:lineRule="auto"/>
        <w:ind w:firstLine="3360" w:firstLineChars="1400"/>
        <w:rPr>
          <w:rFonts w:hint="eastAsia" w:ascii="宋体" w:hAnsi="宋体" w:cs="楷体"/>
          <w:color w:val="000000"/>
          <w:kern w:val="1"/>
          <w:sz w:val="24"/>
          <w:szCs w:val="24"/>
        </w:rPr>
      </w:pP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期：</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年</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月</w:t>
      </w:r>
      <w:r>
        <w:rPr>
          <w:rFonts w:hint="eastAsia" w:ascii="宋体" w:hAnsi="宋体" w:cs="宋体"/>
          <w:color w:val="000000"/>
          <w:kern w:val="0"/>
          <w:sz w:val="24"/>
          <w:szCs w:val="24"/>
          <w:u w:val="single"/>
          <w:lang w:val="en-US" w:eastAsia="zh-CN"/>
        </w:rPr>
        <w:t xml:space="preserve">       </w:t>
      </w:r>
      <w:r>
        <w:rPr>
          <w:rFonts w:hint="eastAsia" w:ascii="宋体" w:hAnsi="宋体" w:cs="楷体"/>
          <w:color w:val="000000"/>
          <w:kern w:val="1"/>
          <w:sz w:val="24"/>
          <w:szCs w:val="24"/>
        </w:rPr>
        <w:t>日</w:t>
      </w:r>
    </w:p>
    <w:p w14:paraId="300D2023">
      <w:pPr>
        <w:autoSpaceDE w:val="0"/>
        <w:autoSpaceDN w:val="0"/>
        <w:adjustRightInd w:val="0"/>
        <w:spacing w:line="500" w:lineRule="exact"/>
        <w:jc w:val="left"/>
        <w:rPr>
          <w:rFonts w:hint="default" w:ascii="宋体" w:hAnsi="宋体" w:cs="宋体"/>
          <w:sz w:val="24"/>
          <w:szCs w:val="20"/>
          <w:u w:val="single"/>
          <w:lang w:val="en-US" w:eastAsia="zh-CN"/>
        </w:rPr>
      </w:pPr>
    </w:p>
    <w:p w14:paraId="242099DE">
      <w:pPr>
        <w:autoSpaceDE w:val="0"/>
        <w:autoSpaceDN w:val="0"/>
        <w:adjustRightInd w:val="0"/>
        <w:spacing w:line="500" w:lineRule="exact"/>
        <w:jc w:val="left"/>
        <w:rPr>
          <w:rFonts w:hint="default" w:ascii="宋体" w:hAnsi="宋体" w:cs="宋体"/>
          <w:sz w:val="24"/>
          <w:szCs w:val="20"/>
          <w:u w:val="single"/>
          <w:lang w:val="en-US" w:eastAsia="zh-CN"/>
        </w:rPr>
      </w:pPr>
    </w:p>
    <w:p w14:paraId="2D3A8109">
      <w:pPr>
        <w:autoSpaceDE w:val="0"/>
        <w:autoSpaceDN w:val="0"/>
        <w:adjustRightInd w:val="0"/>
        <w:spacing w:line="500" w:lineRule="exact"/>
        <w:jc w:val="left"/>
        <w:rPr>
          <w:rFonts w:hint="default" w:ascii="宋体" w:hAnsi="宋体" w:cs="宋体"/>
          <w:sz w:val="24"/>
          <w:szCs w:val="20"/>
          <w:u w:val="single"/>
          <w:lang w:val="en-US" w:eastAsia="zh-CN"/>
        </w:rPr>
      </w:pPr>
    </w:p>
    <w:p w14:paraId="6D5E1A02">
      <w:pPr>
        <w:autoSpaceDE w:val="0"/>
        <w:autoSpaceDN w:val="0"/>
        <w:adjustRightInd w:val="0"/>
        <w:spacing w:line="500" w:lineRule="exact"/>
        <w:jc w:val="left"/>
        <w:rPr>
          <w:rFonts w:hint="default" w:ascii="宋体" w:hAnsi="宋体" w:cs="宋体"/>
          <w:sz w:val="24"/>
          <w:szCs w:val="20"/>
          <w:u w:val="single"/>
          <w:lang w:val="en-US" w:eastAsia="zh-CN"/>
        </w:rPr>
      </w:pPr>
    </w:p>
    <w:p w14:paraId="7D177CDE">
      <w:pPr>
        <w:autoSpaceDE w:val="0"/>
        <w:autoSpaceDN w:val="0"/>
        <w:adjustRightInd w:val="0"/>
        <w:spacing w:line="500" w:lineRule="exact"/>
        <w:jc w:val="left"/>
        <w:rPr>
          <w:rFonts w:hint="default" w:ascii="宋体" w:hAnsi="宋体" w:cs="宋体"/>
          <w:sz w:val="24"/>
          <w:szCs w:val="20"/>
          <w:u w:val="single"/>
          <w:lang w:val="en-US" w:eastAsia="zh-CN"/>
        </w:rPr>
      </w:pPr>
    </w:p>
    <w:p w14:paraId="6F52DB7E">
      <w:pPr>
        <w:pStyle w:val="2"/>
        <w:bidi w:val="0"/>
        <w:jc w:val="center"/>
        <w:rPr>
          <w:rFonts w:hint="eastAsia"/>
        </w:rPr>
      </w:pPr>
      <w:bookmarkStart w:id="194" w:name="_Toc4354"/>
      <w:bookmarkStart w:id="195" w:name="_Toc2163"/>
      <w:r>
        <w:rPr>
          <w:rFonts w:hint="eastAsia"/>
        </w:rPr>
        <w:t>九、其他资料</w:t>
      </w:r>
      <w:bookmarkEnd w:id="194"/>
      <w:bookmarkEnd w:id="195"/>
    </w:p>
    <w:p w14:paraId="58BB6A75">
      <w:pPr>
        <w:spacing w:line="360" w:lineRule="auto"/>
        <w:rPr>
          <w:rFonts w:hint="eastAsia" w:ascii="宋体" w:hAnsi="宋体"/>
          <w:b/>
          <w:kern w:val="1"/>
          <w:szCs w:val="21"/>
        </w:rPr>
      </w:pPr>
    </w:p>
    <w:p w14:paraId="28EFE3BF">
      <w:pPr>
        <w:tabs>
          <w:tab w:val="left" w:pos="1600"/>
        </w:tabs>
        <w:snapToGrid w:val="0"/>
        <w:spacing w:line="360" w:lineRule="auto"/>
        <w:rPr>
          <w:rFonts w:hint="eastAsia" w:ascii="宋体" w:hAnsi="宋体"/>
          <w:kern w:val="1"/>
          <w:sz w:val="24"/>
        </w:rPr>
      </w:pPr>
      <w:r>
        <w:rPr>
          <w:rFonts w:hint="eastAsia" w:ascii="宋体" w:hAnsi="宋体"/>
          <w:kern w:val="1"/>
          <w:sz w:val="24"/>
        </w:rPr>
        <w:t>（一）</w:t>
      </w:r>
      <w:r>
        <w:rPr>
          <w:rFonts w:hint="eastAsia" w:ascii="宋体" w:hAnsi="宋体"/>
          <w:kern w:val="1"/>
          <w:sz w:val="24"/>
          <w:lang w:val="en-US" w:eastAsia="zh-CN"/>
        </w:rPr>
        <w:t>磋商</w:t>
      </w:r>
      <w:r>
        <w:rPr>
          <w:rFonts w:hint="eastAsia" w:ascii="宋体" w:hAnsi="宋体"/>
          <w:kern w:val="1"/>
          <w:sz w:val="24"/>
        </w:rPr>
        <w:t>文件及</w:t>
      </w:r>
      <w:r>
        <w:rPr>
          <w:rFonts w:hint="eastAsia" w:ascii="宋体" w:hAnsi="宋体"/>
          <w:kern w:val="1"/>
          <w:sz w:val="24"/>
          <w:lang w:val="en-US" w:eastAsia="zh-CN"/>
        </w:rPr>
        <w:t>评审</w:t>
      </w:r>
      <w:r>
        <w:rPr>
          <w:rFonts w:hint="eastAsia" w:ascii="宋体" w:hAnsi="宋体"/>
          <w:kern w:val="1"/>
          <w:sz w:val="24"/>
        </w:rPr>
        <w:t>办法中要求的与本项目相关的资料。</w:t>
      </w:r>
    </w:p>
    <w:p w14:paraId="1600D6AE">
      <w:pPr>
        <w:tabs>
          <w:tab w:val="left" w:pos="1600"/>
        </w:tabs>
        <w:snapToGrid w:val="0"/>
        <w:spacing w:line="360" w:lineRule="auto"/>
        <w:rPr>
          <w:rFonts w:hint="eastAsia" w:ascii="宋体" w:hAnsi="宋体"/>
          <w:kern w:val="1"/>
          <w:sz w:val="24"/>
        </w:rPr>
      </w:pPr>
      <w:r>
        <w:rPr>
          <w:rFonts w:hint="eastAsia" w:ascii="宋体" w:hAnsi="宋体"/>
          <w:kern w:val="1"/>
          <w:sz w:val="24"/>
        </w:rPr>
        <w:t>（二）供应商认为需要提供的其它材料。</w:t>
      </w:r>
    </w:p>
    <w:p w14:paraId="17190FFF">
      <w:pPr>
        <w:autoSpaceDE w:val="0"/>
        <w:autoSpaceDN w:val="0"/>
        <w:adjustRightInd w:val="0"/>
        <w:spacing w:line="500" w:lineRule="exact"/>
        <w:jc w:val="left"/>
        <w:rPr>
          <w:rFonts w:hint="default" w:ascii="宋体" w:hAnsi="宋体" w:cs="宋体"/>
          <w:sz w:val="24"/>
          <w:szCs w:val="20"/>
          <w:u w:val="single"/>
          <w:lang w:val="en-US" w:eastAsia="zh-CN"/>
        </w:rPr>
      </w:pPr>
    </w:p>
    <w:p w14:paraId="3A04221C">
      <w:pPr>
        <w:autoSpaceDE w:val="0"/>
        <w:autoSpaceDN w:val="0"/>
        <w:adjustRightInd w:val="0"/>
        <w:spacing w:line="500" w:lineRule="exact"/>
        <w:jc w:val="left"/>
        <w:rPr>
          <w:rFonts w:hint="default" w:ascii="宋体" w:hAnsi="宋体" w:cs="宋体"/>
          <w:sz w:val="24"/>
          <w:szCs w:val="20"/>
          <w:u w:val="single"/>
          <w:lang w:val="en-US" w:eastAsia="zh-CN"/>
        </w:rPr>
      </w:pPr>
    </w:p>
    <w:p w14:paraId="2D0D120E">
      <w:pPr>
        <w:autoSpaceDE w:val="0"/>
        <w:autoSpaceDN w:val="0"/>
        <w:adjustRightInd w:val="0"/>
        <w:spacing w:line="500" w:lineRule="exact"/>
        <w:jc w:val="left"/>
        <w:rPr>
          <w:rFonts w:hint="default" w:ascii="宋体" w:hAnsi="宋体" w:cs="宋体"/>
          <w:sz w:val="24"/>
          <w:szCs w:val="20"/>
          <w:u w:val="single"/>
          <w:lang w:val="en-US" w:eastAsia="zh-CN"/>
        </w:rPr>
      </w:pPr>
    </w:p>
    <w:p w14:paraId="397812FC">
      <w:pPr>
        <w:autoSpaceDE w:val="0"/>
        <w:autoSpaceDN w:val="0"/>
        <w:adjustRightInd w:val="0"/>
        <w:spacing w:line="500" w:lineRule="exact"/>
        <w:jc w:val="left"/>
        <w:rPr>
          <w:rFonts w:hint="default" w:ascii="宋体" w:hAnsi="宋体" w:cs="宋体"/>
          <w:sz w:val="24"/>
          <w:szCs w:val="20"/>
          <w:u w:val="single"/>
          <w:lang w:val="en-US" w:eastAsia="zh-CN"/>
        </w:rPr>
      </w:pPr>
    </w:p>
    <w:p w14:paraId="7794A920">
      <w:pPr>
        <w:autoSpaceDE w:val="0"/>
        <w:autoSpaceDN w:val="0"/>
        <w:adjustRightInd w:val="0"/>
        <w:spacing w:line="500" w:lineRule="exact"/>
        <w:jc w:val="left"/>
        <w:rPr>
          <w:rFonts w:hint="default" w:ascii="宋体" w:hAnsi="宋体" w:cs="宋体"/>
          <w:sz w:val="24"/>
          <w:szCs w:val="20"/>
          <w:u w:val="single"/>
          <w:lang w:val="en-US" w:eastAsia="zh-CN"/>
        </w:rPr>
      </w:pPr>
    </w:p>
    <w:p w14:paraId="1ECEBC38">
      <w:pPr>
        <w:autoSpaceDE w:val="0"/>
        <w:autoSpaceDN w:val="0"/>
        <w:adjustRightInd w:val="0"/>
        <w:spacing w:line="500" w:lineRule="exact"/>
        <w:jc w:val="left"/>
        <w:rPr>
          <w:rFonts w:hint="default" w:ascii="宋体" w:hAnsi="宋体" w:cs="宋体"/>
          <w:sz w:val="24"/>
          <w:szCs w:val="20"/>
          <w:u w:val="single"/>
          <w:lang w:val="en-US" w:eastAsia="zh-CN"/>
        </w:rPr>
      </w:pPr>
    </w:p>
    <w:p w14:paraId="7A50F4C2">
      <w:pPr>
        <w:autoSpaceDE w:val="0"/>
        <w:autoSpaceDN w:val="0"/>
        <w:adjustRightInd w:val="0"/>
        <w:spacing w:line="500" w:lineRule="exact"/>
        <w:jc w:val="left"/>
        <w:rPr>
          <w:rFonts w:hint="default" w:ascii="宋体" w:hAnsi="宋体" w:cs="宋体"/>
          <w:sz w:val="24"/>
          <w:szCs w:val="20"/>
          <w:u w:val="single"/>
          <w:lang w:val="en-US" w:eastAsia="zh-CN"/>
        </w:rPr>
      </w:pPr>
    </w:p>
    <w:p w14:paraId="6ADF735D">
      <w:pPr>
        <w:autoSpaceDE w:val="0"/>
        <w:autoSpaceDN w:val="0"/>
        <w:adjustRightInd w:val="0"/>
        <w:spacing w:line="500" w:lineRule="exact"/>
        <w:jc w:val="left"/>
        <w:rPr>
          <w:rFonts w:hint="default" w:ascii="宋体" w:hAnsi="宋体" w:cs="宋体"/>
          <w:sz w:val="24"/>
          <w:szCs w:val="20"/>
          <w:u w:val="single"/>
          <w:lang w:val="en-US" w:eastAsia="zh-CN"/>
        </w:rPr>
      </w:pPr>
    </w:p>
    <w:p w14:paraId="334EEC16">
      <w:pPr>
        <w:autoSpaceDE w:val="0"/>
        <w:autoSpaceDN w:val="0"/>
        <w:adjustRightInd w:val="0"/>
        <w:spacing w:line="500" w:lineRule="exact"/>
        <w:jc w:val="left"/>
        <w:rPr>
          <w:rFonts w:hint="default" w:ascii="宋体" w:hAnsi="宋体" w:cs="宋体"/>
          <w:sz w:val="24"/>
          <w:szCs w:val="20"/>
          <w:u w:val="single"/>
          <w:lang w:val="en-US" w:eastAsia="zh-CN"/>
        </w:rPr>
      </w:pPr>
    </w:p>
    <w:p w14:paraId="5172D0FC">
      <w:pPr>
        <w:autoSpaceDE w:val="0"/>
        <w:autoSpaceDN w:val="0"/>
        <w:adjustRightInd w:val="0"/>
        <w:spacing w:line="500" w:lineRule="exact"/>
        <w:jc w:val="left"/>
        <w:rPr>
          <w:rFonts w:hint="default" w:ascii="宋体" w:hAnsi="宋体" w:cs="宋体"/>
          <w:sz w:val="24"/>
          <w:szCs w:val="20"/>
          <w:u w:val="single"/>
          <w:lang w:val="en-US" w:eastAsia="zh-CN"/>
        </w:rPr>
      </w:pPr>
    </w:p>
    <w:p w14:paraId="39739D9D">
      <w:pPr>
        <w:autoSpaceDE w:val="0"/>
        <w:autoSpaceDN w:val="0"/>
        <w:adjustRightInd w:val="0"/>
        <w:spacing w:line="500" w:lineRule="exact"/>
        <w:jc w:val="left"/>
        <w:rPr>
          <w:rFonts w:hint="default" w:ascii="宋体" w:hAnsi="宋体" w:cs="宋体"/>
          <w:sz w:val="24"/>
          <w:szCs w:val="20"/>
          <w:u w:val="single"/>
          <w:lang w:val="en-US" w:eastAsia="zh-CN"/>
        </w:rPr>
      </w:pPr>
    </w:p>
    <w:p w14:paraId="7A3101B3">
      <w:pPr>
        <w:autoSpaceDE w:val="0"/>
        <w:autoSpaceDN w:val="0"/>
        <w:adjustRightInd w:val="0"/>
        <w:spacing w:line="500" w:lineRule="exact"/>
        <w:jc w:val="left"/>
        <w:rPr>
          <w:rFonts w:hint="default" w:ascii="宋体" w:hAnsi="宋体" w:cs="宋体"/>
          <w:sz w:val="24"/>
          <w:szCs w:val="20"/>
          <w:u w:val="single"/>
          <w:lang w:val="en-US" w:eastAsia="zh-CN"/>
        </w:rPr>
      </w:pPr>
    </w:p>
    <w:p w14:paraId="0BB9CE38">
      <w:pPr>
        <w:autoSpaceDE w:val="0"/>
        <w:autoSpaceDN w:val="0"/>
        <w:adjustRightInd w:val="0"/>
        <w:spacing w:line="500" w:lineRule="exact"/>
        <w:jc w:val="left"/>
        <w:rPr>
          <w:rFonts w:hint="default" w:ascii="宋体" w:hAnsi="宋体" w:cs="宋体"/>
          <w:sz w:val="24"/>
          <w:szCs w:val="20"/>
          <w:u w:val="single"/>
          <w:lang w:val="en-US" w:eastAsia="zh-CN"/>
        </w:rPr>
      </w:pPr>
    </w:p>
    <w:p w14:paraId="32A9FDC8">
      <w:pPr>
        <w:autoSpaceDE w:val="0"/>
        <w:autoSpaceDN w:val="0"/>
        <w:adjustRightInd w:val="0"/>
        <w:spacing w:line="500" w:lineRule="exact"/>
        <w:jc w:val="left"/>
        <w:rPr>
          <w:rFonts w:hint="default" w:ascii="宋体" w:hAnsi="宋体" w:cs="宋体"/>
          <w:sz w:val="24"/>
          <w:szCs w:val="20"/>
          <w:u w:val="single"/>
          <w:lang w:val="en-US" w:eastAsia="zh-CN"/>
        </w:rPr>
      </w:pPr>
    </w:p>
    <w:p w14:paraId="0A5911F2">
      <w:pPr>
        <w:autoSpaceDE w:val="0"/>
        <w:autoSpaceDN w:val="0"/>
        <w:adjustRightInd w:val="0"/>
        <w:spacing w:line="500" w:lineRule="exact"/>
        <w:jc w:val="left"/>
        <w:rPr>
          <w:rFonts w:hint="default" w:ascii="宋体" w:hAnsi="宋体" w:cs="宋体"/>
          <w:sz w:val="24"/>
          <w:szCs w:val="20"/>
          <w:u w:val="single"/>
          <w:lang w:val="en-US" w:eastAsia="zh-CN"/>
        </w:rPr>
      </w:pPr>
    </w:p>
    <w:p w14:paraId="295DFF87">
      <w:pPr>
        <w:autoSpaceDE w:val="0"/>
        <w:autoSpaceDN w:val="0"/>
        <w:adjustRightInd w:val="0"/>
        <w:spacing w:line="500" w:lineRule="exact"/>
        <w:jc w:val="left"/>
        <w:rPr>
          <w:rFonts w:hint="default" w:ascii="宋体" w:hAnsi="宋体" w:cs="宋体"/>
          <w:sz w:val="24"/>
          <w:szCs w:val="20"/>
          <w:u w:val="single"/>
          <w:lang w:val="en-US" w:eastAsia="zh-CN"/>
        </w:rPr>
      </w:pPr>
    </w:p>
    <w:p w14:paraId="2481A555">
      <w:pPr>
        <w:autoSpaceDE w:val="0"/>
        <w:autoSpaceDN w:val="0"/>
        <w:adjustRightInd w:val="0"/>
        <w:spacing w:line="500" w:lineRule="exact"/>
        <w:jc w:val="left"/>
        <w:rPr>
          <w:rFonts w:hint="default" w:ascii="宋体" w:hAnsi="宋体" w:cs="宋体"/>
          <w:sz w:val="24"/>
          <w:szCs w:val="20"/>
          <w:u w:val="single"/>
          <w:lang w:val="en-US" w:eastAsia="zh-CN"/>
        </w:rPr>
      </w:pPr>
    </w:p>
    <w:p w14:paraId="53C886ED">
      <w:pPr>
        <w:autoSpaceDE w:val="0"/>
        <w:autoSpaceDN w:val="0"/>
        <w:adjustRightInd w:val="0"/>
        <w:spacing w:line="500" w:lineRule="exact"/>
        <w:jc w:val="left"/>
        <w:rPr>
          <w:rFonts w:hint="default" w:ascii="宋体" w:hAnsi="宋体" w:cs="宋体"/>
          <w:sz w:val="24"/>
          <w:szCs w:val="20"/>
          <w:u w:val="single"/>
          <w:lang w:val="en-US" w:eastAsia="zh-CN"/>
        </w:rPr>
      </w:pPr>
    </w:p>
    <w:p w14:paraId="46A3DA00">
      <w:pPr>
        <w:autoSpaceDE w:val="0"/>
        <w:autoSpaceDN w:val="0"/>
        <w:adjustRightInd w:val="0"/>
        <w:spacing w:line="500" w:lineRule="exact"/>
        <w:jc w:val="left"/>
        <w:rPr>
          <w:rFonts w:hint="default" w:ascii="宋体" w:hAnsi="宋体" w:cs="宋体"/>
          <w:sz w:val="24"/>
          <w:szCs w:val="20"/>
          <w:u w:val="single"/>
          <w:lang w:val="en-US" w:eastAsia="zh-CN"/>
        </w:rPr>
      </w:pPr>
    </w:p>
    <w:p w14:paraId="404CFEE5">
      <w:pPr>
        <w:autoSpaceDE w:val="0"/>
        <w:autoSpaceDN w:val="0"/>
        <w:adjustRightInd w:val="0"/>
        <w:spacing w:line="500" w:lineRule="exact"/>
        <w:jc w:val="left"/>
        <w:rPr>
          <w:rFonts w:hint="default" w:ascii="宋体" w:hAnsi="宋体" w:cs="宋体"/>
          <w:sz w:val="24"/>
          <w:szCs w:val="20"/>
          <w:u w:val="single"/>
          <w:lang w:val="en-US" w:eastAsia="zh-CN"/>
        </w:rPr>
      </w:pPr>
    </w:p>
    <w:p w14:paraId="3D35C66A">
      <w:pPr>
        <w:autoSpaceDE w:val="0"/>
        <w:autoSpaceDN w:val="0"/>
        <w:adjustRightInd w:val="0"/>
        <w:spacing w:line="500" w:lineRule="exact"/>
        <w:jc w:val="left"/>
        <w:rPr>
          <w:rFonts w:hint="default" w:ascii="宋体" w:hAnsi="宋体" w:cs="宋体"/>
          <w:sz w:val="24"/>
          <w:szCs w:val="20"/>
          <w:u w:val="single"/>
          <w:lang w:val="en-US" w:eastAsia="zh-CN"/>
        </w:rPr>
      </w:pPr>
    </w:p>
    <w:p w14:paraId="03DD9B8A">
      <w:pPr>
        <w:autoSpaceDE w:val="0"/>
        <w:autoSpaceDN w:val="0"/>
        <w:adjustRightInd w:val="0"/>
        <w:spacing w:line="500" w:lineRule="exact"/>
        <w:jc w:val="left"/>
        <w:rPr>
          <w:rFonts w:hint="default" w:ascii="宋体" w:hAnsi="宋体" w:cs="宋体"/>
          <w:sz w:val="24"/>
          <w:szCs w:val="20"/>
          <w:u w:val="single"/>
          <w:lang w:val="en-US" w:eastAsia="zh-CN"/>
        </w:rPr>
      </w:pPr>
    </w:p>
    <w:p w14:paraId="21C4D7A6">
      <w:pPr>
        <w:spacing w:line="360" w:lineRule="auto"/>
        <w:rPr>
          <w:rFonts w:hint="eastAsia" w:ascii="宋体" w:hAnsi="宋体" w:eastAsia="宋体" w:cs="Times New Roman"/>
          <w:sz w:val="24"/>
          <w:szCs w:val="24"/>
        </w:rPr>
      </w:pPr>
    </w:p>
    <w:p w14:paraId="530667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附件1：</w:t>
      </w:r>
    </w:p>
    <w:p w14:paraId="22F74C5F">
      <w:pPr>
        <w:spacing w:line="480" w:lineRule="exact"/>
        <w:jc w:val="center"/>
        <w:rPr>
          <w:rFonts w:hint="eastAsia" w:asciiTheme="minorEastAsia" w:hAnsiTheme="minorEastAsia" w:cstheme="minorEastAsia"/>
          <w:b/>
          <w:sz w:val="24"/>
          <w:szCs w:val="24"/>
        </w:rPr>
      </w:pPr>
      <w:r>
        <w:rPr>
          <w:rFonts w:hint="eastAsia" w:asciiTheme="minorEastAsia" w:hAnsiTheme="minorEastAsia" w:cstheme="minorEastAsia"/>
          <w:b/>
          <w:sz w:val="24"/>
          <w:szCs w:val="24"/>
        </w:rPr>
        <w:t>中小企业声明函（服务）</w:t>
      </w:r>
    </w:p>
    <w:p w14:paraId="0439962F">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本公司（联合体）郑重声明， 根据《政府采购促进中小企业发展管理办法》（财库﹝ 2020﹞ 46 号）的规定， 本公司（联合体）参加</w:t>
      </w:r>
      <w:r>
        <w:rPr>
          <w:rFonts w:hint="eastAsia" w:asciiTheme="minorEastAsia" w:hAnsiTheme="minorEastAsia" w:cstheme="minorEastAsia"/>
          <w:sz w:val="24"/>
          <w:szCs w:val="24"/>
          <w:u w:val="single"/>
        </w:rPr>
        <w:t>（单位名称）</w:t>
      </w:r>
      <w:r>
        <w:rPr>
          <w:rFonts w:hint="eastAsia" w:asciiTheme="minorEastAsia" w:hAnsiTheme="minorEastAsia" w:cstheme="minorEastAsia"/>
          <w:sz w:val="24"/>
          <w:szCs w:val="24"/>
        </w:rPr>
        <w:t xml:space="preserve"> 的</w:t>
      </w:r>
      <w:r>
        <w:rPr>
          <w:rFonts w:hint="eastAsia" w:asciiTheme="minorEastAsia" w:hAnsiTheme="minorEastAsia" w:cstheme="minorEastAsia"/>
          <w:sz w:val="24"/>
          <w:szCs w:val="24"/>
          <w:u w:val="single"/>
        </w:rPr>
        <w:t xml:space="preserve">（项目名称） </w:t>
      </w:r>
      <w:r>
        <w:rPr>
          <w:rFonts w:hint="eastAsia" w:asciiTheme="minorEastAsia" w:hAnsiTheme="minorEastAsia" w:cstheme="minorEastAsia"/>
          <w:sz w:val="24"/>
          <w:szCs w:val="24"/>
        </w:rPr>
        <w:t>采购活动，服务全部由符合政策要求的中小企业承接。相关企业（含联合体中的中小企业、签订分包意向协议的中小企业） 的具体情况如下：</w:t>
      </w:r>
    </w:p>
    <w:p w14:paraId="304328FF">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u w:val="single"/>
        </w:rPr>
        <w:t xml:space="preserve">1.（标的名称） </w:t>
      </w:r>
      <w:r>
        <w:rPr>
          <w:rFonts w:hint="eastAsia" w:asciiTheme="minorEastAsia" w:hAnsiTheme="minorEastAsia" w:cstheme="minorEastAsia"/>
          <w:sz w:val="24"/>
          <w:szCs w:val="24"/>
        </w:rPr>
        <w:t>， 属于</w:t>
      </w:r>
      <w:r>
        <w:rPr>
          <w:rFonts w:hint="eastAsia" w:asciiTheme="minorEastAsia" w:hAnsiTheme="minorEastAsia" w:cstheme="minorEastAsia"/>
          <w:sz w:val="24"/>
          <w:szCs w:val="24"/>
          <w:u w:val="single"/>
        </w:rPr>
        <w:t>（采购文件中明确的所属行业）</w:t>
      </w:r>
      <w:r>
        <w:rPr>
          <w:rFonts w:hint="eastAsia" w:asciiTheme="minorEastAsia" w:hAnsiTheme="minorEastAsia" w:cstheme="minorEastAsia"/>
          <w:sz w:val="24"/>
          <w:szCs w:val="24"/>
        </w:rPr>
        <w:t>；承建（ 承接） 企业为</w:t>
      </w:r>
      <w:r>
        <w:rPr>
          <w:rFonts w:hint="eastAsia" w:asciiTheme="minorEastAsia" w:hAnsiTheme="minorEastAsia" w:cstheme="minorEastAsia"/>
          <w:sz w:val="24"/>
          <w:szCs w:val="24"/>
          <w:u w:val="single"/>
        </w:rPr>
        <w:t>（企业名称）</w:t>
      </w:r>
      <w:r>
        <w:rPr>
          <w:rFonts w:hint="eastAsia" w:asciiTheme="minorEastAsia" w:hAnsiTheme="minorEastAsia" w:cstheme="minorEastAsia"/>
          <w:sz w:val="24"/>
          <w:szCs w:val="24"/>
        </w:rPr>
        <w:t>， 从业人员</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人， 营业收入为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万元， 资产总额为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万元1， 属于</w:t>
      </w:r>
      <w:r>
        <w:rPr>
          <w:rFonts w:hint="eastAsia" w:asciiTheme="minorEastAsia" w:hAnsiTheme="minorEastAsia" w:cstheme="minorEastAsia"/>
          <w:sz w:val="24"/>
          <w:szCs w:val="24"/>
          <w:u w:val="single"/>
        </w:rPr>
        <w:t>（中型企业、小型企业、 微型企业）</w:t>
      </w:r>
      <w:r>
        <w:rPr>
          <w:rFonts w:hint="eastAsia" w:asciiTheme="minorEastAsia" w:hAnsiTheme="minorEastAsia" w:cstheme="minorEastAsia"/>
          <w:sz w:val="24"/>
          <w:szCs w:val="24"/>
        </w:rPr>
        <w:t>；</w:t>
      </w:r>
    </w:p>
    <w:p w14:paraId="1B8880A7">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 </w:t>
      </w:r>
      <w:r>
        <w:rPr>
          <w:rFonts w:hint="eastAsia" w:asciiTheme="minorEastAsia" w:hAnsiTheme="minorEastAsia" w:cstheme="minorEastAsia"/>
          <w:sz w:val="24"/>
          <w:szCs w:val="24"/>
          <w:u w:val="single"/>
        </w:rPr>
        <w:t>（标的名称）</w:t>
      </w:r>
      <w:r>
        <w:rPr>
          <w:rFonts w:hint="eastAsia" w:asciiTheme="minorEastAsia" w:hAnsiTheme="minorEastAsia" w:cstheme="minorEastAsia"/>
          <w:sz w:val="24"/>
          <w:szCs w:val="24"/>
        </w:rPr>
        <w:t xml:space="preserve"> ， 属于</w:t>
      </w:r>
      <w:r>
        <w:rPr>
          <w:rFonts w:hint="eastAsia" w:asciiTheme="minorEastAsia" w:hAnsiTheme="minorEastAsia" w:cstheme="minorEastAsia"/>
          <w:sz w:val="24"/>
          <w:szCs w:val="24"/>
          <w:u w:val="single"/>
        </w:rPr>
        <w:t>（采购文件中明确的所属行业）</w:t>
      </w:r>
      <w:r>
        <w:rPr>
          <w:rFonts w:hint="eastAsia" w:asciiTheme="minorEastAsia" w:hAnsiTheme="minorEastAsia" w:cstheme="minorEastAsia"/>
          <w:sz w:val="24"/>
          <w:szCs w:val="24"/>
        </w:rPr>
        <w:t>；承建（ 承接） 企业为</w:t>
      </w:r>
      <w:r>
        <w:rPr>
          <w:rFonts w:hint="eastAsia" w:asciiTheme="minorEastAsia" w:hAnsiTheme="minorEastAsia" w:cstheme="minorEastAsia"/>
          <w:sz w:val="24"/>
          <w:szCs w:val="24"/>
          <w:u w:val="single"/>
        </w:rPr>
        <w:t>（企业名称）</w:t>
      </w:r>
      <w:r>
        <w:rPr>
          <w:rFonts w:hint="eastAsia" w:asciiTheme="minorEastAsia" w:hAnsiTheme="minorEastAsia" w:cstheme="minorEastAsia"/>
          <w:sz w:val="24"/>
          <w:szCs w:val="24"/>
        </w:rPr>
        <w:t>， 从业人员</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人， 营业收入为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万元， 资产总额为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万元， 属于</w:t>
      </w:r>
      <w:r>
        <w:rPr>
          <w:rFonts w:hint="eastAsia" w:asciiTheme="minorEastAsia" w:hAnsiTheme="minorEastAsia" w:cstheme="minorEastAsia"/>
          <w:sz w:val="24"/>
          <w:szCs w:val="24"/>
          <w:u w:val="single"/>
        </w:rPr>
        <w:t>（中型企业、小型企业、 微型企业）</w:t>
      </w:r>
      <w:r>
        <w:rPr>
          <w:rFonts w:hint="eastAsia" w:asciiTheme="minorEastAsia" w:hAnsiTheme="minorEastAsia" w:cstheme="minorEastAsia"/>
          <w:sz w:val="24"/>
          <w:szCs w:val="24"/>
        </w:rPr>
        <w:t>；</w:t>
      </w:r>
    </w:p>
    <w:p w14:paraId="5EBC3B1E">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w:t>
      </w:r>
    </w:p>
    <w:p w14:paraId="7634CD6E">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以上企业， 不属于大企业的分支机构， 不存在控股股东为大企业的情形， 也不存在与大企业的负责人为同一人的情形。</w:t>
      </w:r>
    </w:p>
    <w:p w14:paraId="62B9E580">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本企业对上述声明内容的真实性负责。 如有虚假， 将依法承担相应责任。</w:t>
      </w:r>
    </w:p>
    <w:p w14:paraId="10A6591D">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企业名称（盖章）：</w:t>
      </w:r>
    </w:p>
    <w:p w14:paraId="58B55971">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日 期：</w:t>
      </w:r>
    </w:p>
    <w:p w14:paraId="40352ED3">
      <w:pPr>
        <w:spacing w:line="360" w:lineRule="auto"/>
        <w:ind w:firstLine="480" w:firstLineChars="200"/>
        <w:rPr>
          <w:rFonts w:hint="eastAsia" w:asciiTheme="minorEastAsia" w:hAnsiTheme="minorEastAsia" w:cstheme="minorEastAsia"/>
          <w:sz w:val="24"/>
          <w:szCs w:val="24"/>
        </w:rPr>
      </w:pPr>
    </w:p>
    <w:p w14:paraId="392406F5">
      <w:pPr>
        <w:spacing w:line="360" w:lineRule="auto"/>
        <w:ind w:firstLine="480" w:firstLineChars="200"/>
        <w:jc w:val="left"/>
        <w:rPr>
          <w:rFonts w:hint="eastAsia" w:ascii="宋体" w:hAnsi="宋体"/>
          <w:sz w:val="22"/>
          <w:szCs w:val="21"/>
        </w:rPr>
      </w:pPr>
      <w:r>
        <w:rPr>
          <w:rFonts w:hint="eastAsia" w:asciiTheme="minorEastAsia" w:hAnsiTheme="minorEastAsia" w:cstheme="minorEastAsia"/>
          <w:sz w:val="24"/>
          <w:szCs w:val="24"/>
        </w:rPr>
        <w:t>注：从业人员、营业收入、资产总额填报上一年度数据，无上一年度数据的新成立企业可不填报。</w:t>
      </w:r>
    </w:p>
    <w:p w14:paraId="362BA72B">
      <w:pPr>
        <w:spacing w:line="360" w:lineRule="auto"/>
        <w:jc w:val="center"/>
        <w:rPr>
          <w:rFonts w:hint="eastAsia" w:ascii="宋体" w:hAnsi="宋体" w:cs="宋体"/>
          <w:b/>
          <w:kern w:val="1"/>
          <w:sz w:val="22"/>
          <w:szCs w:val="21"/>
        </w:rPr>
      </w:pPr>
    </w:p>
    <w:p w14:paraId="43B8DF02">
      <w:pPr>
        <w:spacing w:line="360" w:lineRule="auto"/>
        <w:jc w:val="center"/>
        <w:rPr>
          <w:rFonts w:hint="eastAsia" w:ascii="宋体" w:hAnsi="宋体" w:cs="宋体"/>
          <w:b/>
          <w:kern w:val="1"/>
          <w:sz w:val="22"/>
          <w:szCs w:val="21"/>
        </w:rPr>
      </w:pPr>
    </w:p>
    <w:p w14:paraId="26502705">
      <w:pPr>
        <w:spacing w:line="360" w:lineRule="auto"/>
        <w:jc w:val="center"/>
        <w:rPr>
          <w:rFonts w:hint="eastAsia" w:ascii="宋体" w:hAnsi="宋体" w:cs="宋体"/>
          <w:b/>
          <w:kern w:val="1"/>
          <w:sz w:val="22"/>
          <w:szCs w:val="21"/>
        </w:rPr>
      </w:pPr>
    </w:p>
    <w:p w14:paraId="6BF5B5BE">
      <w:pPr>
        <w:rPr>
          <w:rFonts w:hint="eastAsia" w:asciiTheme="minorEastAsia" w:hAnsiTheme="minorEastAsia" w:cstheme="minorEastAsia"/>
          <w:b/>
          <w:sz w:val="24"/>
          <w:szCs w:val="24"/>
        </w:rPr>
      </w:pPr>
      <w:r>
        <w:rPr>
          <w:rFonts w:hint="eastAsia" w:ascii="宋体" w:hAnsi="宋体" w:cs="宋体"/>
          <w:b/>
          <w:kern w:val="1"/>
          <w:sz w:val="22"/>
          <w:szCs w:val="21"/>
        </w:rPr>
        <w:br w:type="page"/>
      </w:r>
      <w:r>
        <w:rPr>
          <w:rFonts w:hint="eastAsia" w:asciiTheme="minorEastAsia" w:hAnsiTheme="minorEastAsia" w:cstheme="minorEastAsia"/>
          <w:bCs/>
          <w:sz w:val="24"/>
          <w:szCs w:val="24"/>
        </w:rPr>
        <w:t>附件2：</w:t>
      </w:r>
    </w:p>
    <w:p w14:paraId="4C4A2C70">
      <w:pPr>
        <w:jc w:val="center"/>
        <w:rPr>
          <w:rFonts w:hint="eastAsia" w:asciiTheme="minorEastAsia" w:hAnsiTheme="minorEastAsia" w:cstheme="minorEastAsia"/>
          <w:sz w:val="24"/>
          <w:szCs w:val="24"/>
        </w:rPr>
      </w:pPr>
      <w:r>
        <w:rPr>
          <w:rFonts w:hint="eastAsia" w:asciiTheme="minorEastAsia" w:hAnsiTheme="minorEastAsia" w:cstheme="minorEastAsia"/>
          <w:b/>
          <w:sz w:val="24"/>
          <w:szCs w:val="24"/>
        </w:rPr>
        <w:t>监狱企业声明函</w:t>
      </w:r>
    </w:p>
    <w:p w14:paraId="5497AC9D">
      <w:pPr>
        <w:rPr>
          <w:rFonts w:hint="eastAsia" w:asciiTheme="minorEastAsia" w:hAnsiTheme="minorEastAsia" w:cstheme="minorEastAsia"/>
          <w:sz w:val="24"/>
          <w:szCs w:val="24"/>
        </w:rPr>
      </w:pPr>
    </w:p>
    <w:p w14:paraId="59C5DA66">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本企业（单位）郑重声明下列事项（按照实际情况填空）：</w:t>
      </w:r>
    </w:p>
    <w:p w14:paraId="16587351">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本企业（单位）为直接响应人提供本企业（单位）制造的货物。</w:t>
      </w:r>
    </w:p>
    <w:p w14:paraId="5A4CB25B">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（1）本企业（单位）（请填写：是、不是）监狱企业。后附省级以上监狱管理局、戒毒管理局（含新疆生产建设兵团）出具的属于监狱企业的证明文件。</w:t>
      </w:r>
    </w:p>
    <w:p w14:paraId="4B633549">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2）本企业（单位）（请填写：是、不是）为联合体一方，提供本企业（单位）制造的货物，由本企业（单位）承担工程、提供服务。本企业（单位）提供协议合同金额占到共同投标协议合同总金额的比例为。（非联合体投标，将本条删除。）</w:t>
      </w:r>
    </w:p>
    <w:p w14:paraId="37FFFE66">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　　本企业（单位）对上述声明的真实性负责。如有虚假，将依法承担相应责任。</w:t>
      </w:r>
    </w:p>
    <w:p w14:paraId="72CF5077">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　　</w:t>
      </w:r>
    </w:p>
    <w:p w14:paraId="164ED507">
      <w:pPr>
        <w:spacing w:line="360" w:lineRule="auto"/>
        <w:jc w:val="right"/>
        <w:rPr>
          <w:rFonts w:hint="eastAsia" w:asciiTheme="minorEastAsia" w:hAnsiTheme="minorEastAsia" w:cstheme="minorEastAsia"/>
          <w:sz w:val="24"/>
          <w:szCs w:val="24"/>
        </w:rPr>
      </w:pPr>
    </w:p>
    <w:p w14:paraId="694F2151">
      <w:pPr>
        <w:spacing w:line="360" w:lineRule="auto"/>
        <w:jc w:val="right"/>
        <w:rPr>
          <w:rFonts w:hint="eastAsia" w:asciiTheme="minorEastAsia" w:hAnsiTheme="minorEastAsia" w:cstheme="minorEastAsia"/>
          <w:sz w:val="24"/>
          <w:szCs w:val="24"/>
        </w:rPr>
      </w:pPr>
    </w:p>
    <w:p w14:paraId="1BBE0DF9">
      <w:pPr>
        <w:spacing w:line="360" w:lineRule="auto"/>
        <w:ind w:firstLine="720"/>
        <w:jc w:val="right"/>
        <w:rPr>
          <w:rFonts w:hint="eastAsia" w:ascii="宋体" w:hAnsi="宋体" w:cs="宋体"/>
          <w:kern w:val="1"/>
          <w:sz w:val="24"/>
        </w:rPr>
      </w:pPr>
      <w:r>
        <w:rPr>
          <w:rFonts w:hint="eastAsia" w:ascii="宋体" w:hAnsi="宋体" w:cs="宋体"/>
          <w:kern w:val="1"/>
          <w:sz w:val="24"/>
        </w:rPr>
        <w:t>供应商：</w:t>
      </w:r>
      <w:r>
        <w:rPr>
          <w:rFonts w:ascii="宋体" w:hAnsi="宋体" w:cs="宋体"/>
          <w:kern w:val="1"/>
          <w:sz w:val="24"/>
          <w:u w:val="single"/>
        </w:rPr>
        <w:t xml:space="preserve">             </w:t>
      </w:r>
      <w:r>
        <w:rPr>
          <w:rFonts w:hint="eastAsia" w:ascii="宋体" w:hAnsi="宋体" w:cs="宋体"/>
          <w:kern w:val="1"/>
          <w:sz w:val="24"/>
        </w:rPr>
        <w:t>（单位电子签章）</w:t>
      </w:r>
    </w:p>
    <w:p w14:paraId="652AD25C">
      <w:pPr>
        <w:spacing w:line="360" w:lineRule="auto"/>
        <w:jc w:val="right"/>
        <w:rPr>
          <w:rFonts w:hint="eastAsia" w:asciiTheme="minorEastAsia" w:hAnsiTheme="minorEastAsia" w:cstheme="minorEastAsia"/>
          <w:sz w:val="24"/>
          <w:szCs w:val="24"/>
        </w:rPr>
      </w:pPr>
      <w:r>
        <w:rPr>
          <w:rFonts w:hint="eastAsia" w:ascii="宋体" w:hAnsi="宋体" w:cs="宋体"/>
          <w:kern w:val="1"/>
          <w:sz w:val="24"/>
        </w:rPr>
        <w:t xml:space="preserve">  法定代表人：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（电子签章）</w:t>
      </w:r>
    </w:p>
    <w:p w14:paraId="36D50982">
      <w:pPr>
        <w:spacing w:line="36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 日</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25DAA442">
      <w:pPr>
        <w:spacing w:line="480" w:lineRule="exact"/>
        <w:jc w:val="center"/>
        <w:rPr>
          <w:rFonts w:hint="eastAsia" w:asciiTheme="minorEastAsia" w:hAnsiTheme="minorEastAsia" w:cstheme="minorEastAsia"/>
          <w:b/>
          <w:sz w:val="24"/>
          <w:szCs w:val="24"/>
        </w:rPr>
      </w:pPr>
    </w:p>
    <w:p w14:paraId="4FDC3E42">
      <w:pPr>
        <w:spacing w:line="360" w:lineRule="auto"/>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说明：</w:t>
      </w:r>
    </w:p>
    <w:p w14:paraId="4F4D525A">
      <w:pPr>
        <w:spacing w:line="360" w:lineRule="auto"/>
        <w:ind w:firstLine="504" w:firstLineChars="200"/>
        <w:rPr>
          <w:rFonts w:hint="eastAsia" w:ascii="宋体" w:hAnsi="宋体"/>
          <w:b/>
          <w:kern w:val="1"/>
          <w:sz w:val="22"/>
          <w:szCs w:val="21"/>
        </w:rPr>
      </w:pPr>
      <w:r>
        <w:rPr>
          <w:rFonts w:hint="eastAsia" w:asciiTheme="minorEastAsia" w:hAnsiTheme="minorEastAsia" w:cstheme="minorEastAsia"/>
          <w:spacing w:val="6"/>
          <w:sz w:val="24"/>
          <w:szCs w:val="24"/>
        </w:rPr>
        <w:t>1、该声明函是有针对性的，属于监狱企业的填写，不属于的无需填写此项内容。</w:t>
      </w:r>
    </w:p>
    <w:p w14:paraId="645D2182">
      <w:pPr>
        <w:spacing w:line="360" w:lineRule="auto"/>
        <w:ind w:firstLine="440" w:firstLineChars="200"/>
        <w:jc w:val="left"/>
        <w:rPr>
          <w:rFonts w:hint="eastAsia" w:ascii="宋体" w:hAnsi="宋体" w:cs="宋体"/>
          <w:kern w:val="1"/>
          <w:sz w:val="22"/>
          <w:szCs w:val="21"/>
        </w:rPr>
      </w:pPr>
    </w:p>
    <w:p w14:paraId="63DB57C2">
      <w:pPr>
        <w:spacing w:line="360" w:lineRule="auto"/>
        <w:ind w:firstLine="440" w:firstLineChars="200"/>
        <w:jc w:val="left"/>
        <w:rPr>
          <w:rFonts w:hint="eastAsia" w:ascii="宋体" w:hAnsi="宋体" w:cs="宋体"/>
          <w:kern w:val="1"/>
          <w:sz w:val="22"/>
          <w:szCs w:val="21"/>
        </w:rPr>
      </w:pPr>
    </w:p>
    <w:p w14:paraId="70C29E04">
      <w:pPr>
        <w:spacing w:line="360" w:lineRule="auto"/>
        <w:ind w:firstLine="440" w:firstLineChars="200"/>
        <w:jc w:val="left"/>
        <w:rPr>
          <w:rFonts w:hint="eastAsia" w:ascii="宋体" w:hAnsi="宋体" w:cs="宋体"/>
          <w:kern w:val="1"/>
          <w:sz w:val="22"/>
          <w:szCs w:val="21"/>
        </w:rPr>
      </w:pPr>
    </w:p>
    <w:p w14:paraId="7534F8E9">
      <w:pPr>
        <w:spacing w:line="360" w:lineRule="auto"/>
        <w:ind w:firstLine="440" w:firstLineChars="200"/>
        <w:jc w:val="left"/>
        <w:rPr>
          <w:rFonts w:hint="eastAsia" w:ascii="宋体" w:hAnsi="宋体" w:cs="宋体"/>
          <w:kern w:val="1"/>
          <w:sz w:val="22"/>
          <w:szCs w:val="21"/>
        </w:rPr>
      </w:pPr>
    </w:p>
    <w:p w14:paraId="0C3DED6C">
      <w:pPr>
        <w:spacing w:line="360" w:lineRule="auto"/>
        <w:jc w:val="left"/>
        <w:rPr>
          <w:rFonts w:hint="eastAsia" w:ascii="宋体" w:hAnsi="宋体" w:cs="宋体"/>
          <w:kern w:val="1"/>
          <w:sz w:val="22"/>
          <w:szCs w:val="21"/>
        </w:rPr>
      </w:pPr>
    </w:p>
    <w:p w14:paraId="3EC9F591">
      <w:pPr>
        <w:spacing w:line="360" w:lineRule="auto"/>
        <w:jc w:val="center"/>
        <w:rPr>
          <w:rFonts w:hint="eastAsia" w:ascii="宋体" w:hAnsi="宋体" w:cs="宋体"/>
          <w:b/>
          <w:kern w:val="1"/>
          <w:sz w:val="24"/>
          <w:szCs w:val="24"/>
        </w:rPr>
      </w:pPr>
    </w:p>
    <w:p w14:paraId="64DE9164">
      <w:pPr>
        <w:spacing w:line="360" w:lineRule="auto"/>
        <w:jc w:val="center"/>
        <w:rPr>
          <w:rFonts w:hint="eastAsia" w:ascii="宋体" w:hAnsi="宋体" w:cs="宋体"/>
          <w:b/>
          <w:kern w:val="1"/>
          <w:sz w:val="22"/>
          <w:szCs w:val="21"/>
        </w:rPr>
      </w:pPr>
    </w:p>
    <w:p w14:paraId="497CA1BD">
      <w:pPr>
        <w:rPr>
          <w:rFonts w:hint="eastAsia" w:asciiTheme="minorEastAsia" w:hAnsiTheme="minorEastAsia" w:cstheme="minorEastAsia"/>
          <w:bCs/>
          <w:sz w:val="24"/>
          <w:szCs w:val="24"/>
        </w:rPr>
      </w:pPr>
      <w:r>
        <w:rPr>
          <w:rFonts w:hint="eastAsia" w:ascii="宋体" w:hAnsi="宋体" w:cs="宋体"/>
          <w:b/>
          <w:kern w:val="1"/>
          <w:sz w:val="22"/>
          <w:szCs w:val="21"/>
        </w:rPr>
        <w:br w:type="page"/>
      </w:r>
      <w:r>
        <w:rPr>
          <w:rFonts w:hint="eastAsia" w:asciiTheme="minorEastAsia" w:hAnsiTheme="minorEastAsia" w:cstheme="minorEastAsia"/>
          <w:bCs/>
          <w:sz w:val="24"/>
          <w:szCs w:val="24"/>
        </w:rPr>
        <w:t>附件3：</w:t>
      </w:r>
    </w:p>
    <w:p w14:paraId="4D55A587">
      <w:pPr>
        <w:spacing w:line="480" w:lineRule="exact"/>
        <w:jc w:val="center"/>
        <w:rPr>
          <w:rFonts w:hint="eastAsia" w:asciiTheme="minorEastAsia" w:hAnsiTheme="minorEastAsia" w:cstheme="minorEastAsia"/>
          <w:b/>
          <w:sz w:val="24"/>
          <w:szCs w:val="24"/>
        </w:rPr>
      </w:pPr>
      <w:r>
        <w:rPr>
          <w:rFonts w:hint="eastAsia" w:asciiTheme="minorEastAsia" w:hAnsiTheme="minorEastAsia" w:cstheme="minorEastAsia"/>
          <w:b/>
          <w:sz w:val="24"/>
          <w:szCs w:val="24"/>
        </w:rPr>
        <w:t>残疾人福利性单位声明函</w:t>
      </w:r>
    </w:p>
    <w:p w14:paraId="69BC0C06">
      <w:pPr>
        <w:spacing w:line="360" w:lineRule="auto"/>
        <w:jc w:val="center"/>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（属于残疾人福利性企业的填写，不属于的无需填写此项内容）</w:t>
      </w:r>
    </w:p>
    <w:p w14:paraId="6E26362B">
      <w:pPr>
        <w:spacing w:line="360" w:lineRule="auto"/>
        <w:ind w:firstLine="504" w:firstLineChars="200"/>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4AF8F05A">
      <w:pPr>
        <w:spacing w:line="360" w:lineRule="auto"/>
        <w:ind w:firstLine="504" w:firstLineChars="200"/>
        <w:rPr>
          <w:rFonts w:hint="eastAsia" w:asciiTheme="minorEastAsia" w:hAnsiTheme="minorEastAsia" w:cstheme="minorEastAsia"/>
          <w:spacing w:val="6"/>
          <w:sz w:val="24"/>
          <w:szCs w:val="24"/>
        </w:rPr>
      </w:pPr>
    </w:p>
    <w:p w14:paraId="4B2999B7">
      <w:pPr>
        <w:spacing w:line="360" w:lineRule="auto"/>
        <w:ind w:firstLine="720"/>
        <w:jc w:val="right"/>
        <w:rPr>
          <w:rFonts w:hint="eastAsia" w:ascii="宋体" w:hAnsi="宋体" w:cs="宋体"/>
          <w:kern w:val="1"/>
          <w:sz w:val="24"/>
        </w:rPr>
      </w:pPr>
      <w:r>
        <w:rPr>
          <w:rFonts w:hint="eastAsia" w:ascii="宋体" w:hAnsi="宋体" w:cs="宋体"/>
          <w:kern w:val="1"/>
          <w:sz w:val="24"/>
        </w:rPr>
        <w:t>供应商：</w:t>
      </w:r>
      <w:r>
        <w:rPr>
          <w:rFonts w:ascii="宋体" w:hAnsi="宋体" w:cs="宋体"/>
          <w:kern w:val="1"/>
          <w:sz w:val="24"/>
          <w:u w:val="single"/>
        </w:rPr>
        <w:t xml:space="preserve">             </w:t>
      </w:r>
      <w:r>
        <w:rPr>
          <w:rFonts w:hint="eastAsia" w:ascii="宋体" w:hAnsi="宋体" w:cs="宋体"/>
          <w:kern w:val="1"/>
          <w:sz w:val="24"/>
        </w:rPr>
        <w:t>（单位电子签章）</w:t>
      </w:r>
    </w:p>
    <w:p w14:paraId="15FAE656">
      <w:pPr>
        <w:spacing w:line="360" w:lineRule="auto"/>
        <w:jc w:val="right"/>
        <w:rPr>
          <w:rFonts w:hint="eastAsia" w:asciiTheme="minorEastAsia" w:hAnsiTheme="minorEastAsia" w:cstheme="minorEastAsia"/>
          <w:sz w:val="24"/>
          <w:szCs w:val="24"/>
        </w:rPr>
      </w:pPr>
      <w:r>
        <w:rPr>
          <w:rFonts w:hint="eastAsia" w:ascii="宋体" w:hAnsi="宋体" w:cs="宋体"/>
          <w:kern w:val="1"/>
          <w:sz w:val="24"/>
        </w:rPr>
        <w:t xml:space="preserve">  法定代表人：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（电子签章）</w:t>
      </w:r>
    </w:p>
    <w:p w14:paraId="55633773">
      <w:pPr>
        <w:spacing w:line="36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日</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5A53182F">
      <w:pPr>
        <w:spacing w:before="100" w:beforeAutospacing="1" w:after="120" w:line="360" w:lineRule="auto"/>
        <w:ind w:left="440" w:firstLine="480"/>
        <w:rPr>
          <w:rFonts w:hint="eastAsia" w:asciiTheme="minorEastAsia" w:hAnsiTheme="minorEastAsia" w:cstheme="minorEastAsia"/>
          <w:kern w:val="0"/>
          <w:sz w:val="24"/>
          <w:szCs w:val="24"/>
          <w:lang w:val="zh-CN"/>
        </w:rPr>
      </w:pPr>
    </w:p>
    <w:p w14:paraId="40D3A202">
      <w:pPr>
        <w:spacing w:line="360" w:lineRule="auto"/>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说明：</w:t>
      </w:r>
    </w:p>
    <w:p w14:paraId="11FB05E3">
      <w:pPr>
        <w:spacing w:line="360" w:lineRule="auto"/>
        <w:ind w:firstLine="482"/>
        <w:rPr>
          <w:rFonts w:hint="eastAsia" w:ascii="宋体" w:hAnsi="宋体"/>
          <w:b/>
          <w:kern w:val="1"/>
          <w:sz w:val="22"/>
          <w:szCs w:val="21"/>
        </w:rPr>
      </w:pPr>
      <w:r>
        <w:rPr>
          <w:rFonts w:hint="eastAsia" w:asciiTheme="minorEastAsia" w:hAnsiTheme="minorEastAsia" w:cstheme="minorEastAsia"/>
          <w:spacing w:val="6"/>
          <w:sz w:val="24"/>
          <w:szCs w:val="24"/>
        </w:rPr>
        <w:t>1、该声明函是有针对性的，属于残疾人福利性企业的填写，不属于的无需填写此项内容。</w:t>
      </w:r>
    </w:p>
    <w:p w14:paraId="661DA32A">
      <w:pPr>
        <w:pStyle w:val="5"/>
      </w:pPr>
    </w:p>
    <w:p w14:paraId="406B9538">
      <w:pPr>
        <w:autoSpaceDE w:val="0"/>
        <w:autoSpaceDN w:val="0"/>
        <w:adjustRightInd w:val="0"/>
        <w:spacing w:line="500" w:lineRule="exact"/>
        <w:jc w:val="left"/>
        <w:rPr>
          <w:rFonts w:hint="default" w:ascii="宋体" w:hAnsi="宋体" w:cs="宋体"/>
          <w:sz w:val="24"/>
          <w:szCs w:val="20"/>
          <w:u w:val="singl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7A1F4"/>
    <w:multiLevelType w:val="singleLevel"/>
    <w:tmpl w:val="A9C7A1F4"/>
    <w:lvl w:ilvl="0" w:tentative="0">
      <w:start w:val="1"/>
      <w:numFmt w:val="decimal"/>
      <w:lvlText w:val="%1."/>
      <w:lvlJc w:val="left"/>
      <w:pPr>
        <w:tabs>
          <w:tab w:val="left" w:pos="312"/>
        </w:tabs>
      </w:pPr>
    </w:lvl>
  </w:abstractNum>
  <w:abstractNum w:abstractNumId="1">
    <w:nsid w:val="C79E5E8D"/>
    <w:multiLevelType w:val="singleLevel"/>
    <w:tmpl w:val="C79E5E8D"/>
    <w:lvl w:ilvl="0" w:tentative="0">
      <w:start w:val="1"/>
      <w:numFmt w:val="decimal"/>
      <w:lvlText w:val="%1."/>
      <w:lvlJc w:val="left"/>
      <w:pPr>
        <w:tabs>
          <w:tab w:val="left" w:pos="312"/>
        </w:tabs>
      </w:pPr>
    </w:lvl>
  </w:abstractNum>
  <w:abstractNum w:abstractNumId="2">
    <w:nsid w:val="F9C812F1"/>
    <w:multiLevelType w:val="singleLevel"/>
    <w:tmpl w:val="F9C812F1"/>
    <w:lvl w:ilvl="0" w:tentative="0">
      <w:start w:val="1"/>
      <w:numFmt w:val="decimal"/>
      <w:suff w:val="nothing"/>
      <w:lvlText w:val="（%1）"/>
      <w:lvlJc w:val="left"/>
    </w:lvl>
  </w:abstractNum>
  <w:abstractNum w:abstractNumId="3">
    <w:nsid w:val="0A915A81"/>
    <w:multiLevelType w:val="singleLevel"/>
    <w:tmpl w:val="0A915A81"/>
    <w:lvl w:ilvl="0" w:tentative="0">
      <w:start w:val="1"/>
      <w:numFmt w:val="decimal"/>
      <w:lvlText w:val="%1."/>
      <w:lvlJc w:val="left"/>
      <w:pPr>
        <w:tabs>
          <w:tab w:val="left" w:pos="312"/>
        </w:tabs>
      </w:pPr>
    </w:lvl>
  </w:abstractNum>
  <w:abstractNum w:abstractNumId="4">
    <w:nsid w:val="15BE4B79"/>
    <w:multiLevelType w:val="singleLevel"/>
    <w:tmpl w:val="15BE4B79"/>
    <w:lvl w:ilvl="0" w:tentative="0">
      <w:start w:val="3"/>
      <w:numFmt w:val="decimal"/>
      <w:suff w:val="space"/>
      <w:lvlText w:val="%1."/>
      <w:lvlJc w:val="left"/>
    </w:lvl>
  </w:abstractNum>
  <w:abstractNum w:abstractNumId="5">
    <w:nsid w:val="247117B6"/>
    <w:multiLevelType w:val="singleLevel"/>
    <w:tmpl w:val="247117B6"/>
    <w:lvl w:ilvl="0" w:tentative="0">
      <w:start w:val="2"/>
      <w:numFmt w:val="decimal"/>
      <w:suff w:val="nothing"/>
      <w:lvlText w:val="%1、"/>
      <w:lvlJc w:val="left"/>
    </w:lvl>
  </w:abstractNum>
  <w:abstractNum w:abstractNumId="6">
    <w:nsid w:val="298AF2D8"/>
    <w:multiLevelType w:val="singleLevel"/>
    <w:tmpl w:val="298AF2D8"/>
    <w:lvl w:ilvl="0" w:tentative="0">
      <w:start w:val="1"/>
      <w:numFmt w:val="decimal"/>
      <w:lvlText w:val="%1."/>
      <w:lvlJc w:val="left"/>
      <w:pPr>
        <w:tabs>
          <w:tab w:val="left" w:pos="312"/>
        </w:tabs>
      </w:pPr>
    </w:lvl>
  </w:abstractNum>
  <w:abstractNum w:abstractNumId="7">
    <w:nsid w:val="36F5AD6E"/>
    <w:multiLevelType w:val="singleLevel"/>
    <w:tmpl w:val="36F5AD6E"/>
    <w:lvl w:ilvl="0" w:tentative="0">
      <w:start w:val="4"/>
      <w:numFmt w:val="decimal"/>
      <w:suff w:val="nothing"/>
      <w:lvlText w:val="%1、"/>
      <w:lvlJc w:val="left"/>
    </w:lvl>
  </w:abstractNum>
  <w:abstractNum w:abstractNumId="8">
    <w:nsid w:val="4E4D4F62"/>
    <w:multiLevelType w:val="singleLevel"/>
    <w:tmpl w:val="4E4D4F62"/>
    <w:lvl w:ilvl="0" w:tentative="0">
      <w:start w:val="1"/>
      <w:numFmt w:val="decimal"/>
      <w:lvlText w:val="%1."/>
      <w:lvlJc w:val="left"/>
      <w:pPr>
        <w:tabs>
          <w:tab w:val="left" w:pos="312"/>
        </w:tabs>
      </w:pPr>
    </w:lvl>
  </w:abstractNum>
  <w:abstractNum w:abstractNumId="9">
    <w:nsid w:val="6A4F9DFD"/>
    <w:multiLevelType w:val="singleLevel"/>
    <w:tmpl w:val="6A4F9DFD"/>
    <w:lvl w:ilvl="0" w:tentative="0">
      <w:start w:val="1"/>
      <w:numFmt w:val="decimal"/>
      <w:lvlText w:val="%1."/>
      <w:lvlJc w:val="left"/>
      <w:pPr>
        <w:tabs>
          <w:tab w:val="left" w:pos="312"/>
        </w:tabs>
      </w:pPr>
    </w:lvl>
  </w:abstractNum>
  <w:abstractNum w:abstractNumId="10">
    <w:nsid w:val="758C7DF3"/>
    <w:multiLevelType w:val="singleLevel"/>
    <w:tmpl w:val="758C7DF3"/>
    <w:lvl w:ilvl="0" w:tentative="0">
      <w:start w:val="1"/>
      <w:numFmt w:val="decimal"/>
      <w:lvlText w:val="%1."/>
      <w:lvlJc w:val="left"/>
      <w:pPr>
        <w:tabs>
          <w:tab w:val="left" w:pos="312"/>
        </w:tabs>
      </w:pPr>
    </w:lvl>
  </w:abstractNum>
  <w:num w:numId="1">
    <w:abstractNumId w:val="7"/>
  </w:num>
  <w:num w:numId="2">
    <w:abstractNumId w:val="2"/>
  </w:num>
  <w:num w:numId="3">
    <w:abstractNumId w:val="3"/>
  </w:num>
  <w:num w:numId="4">
    <w:abstractNumId w:val="6"/>
  </w:num>
  <w:num w:numId="5">
    <w:abstractNumId w:val="8"/>
  </w:num>
  <w:num w:numId="6">
    <w:abstractNumId w:val="9"/>
  </w:num>
  <w:num w:numId="7">
    <w:abstractNumId w:val="10"/>
  </w:num>
  <w:num w:numId="8">
    <w:abstractNumId w:val="1"/>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853DC"/>
    <w:rsid w:val="00281C6C"/>
    <w:rsid w:val="01093E6D"/>
    <w:rsid w:val="01C82C90"/>
    <w:rsid w:val="03086AA8"/>
    <w:rsid w:val="04484397"/>
    <w:rsid w:val="04E54D40"/>
    <w:rsid w:val="05357D51"/>
    <w:rsid w:val="068852C1"/>
    <w:rsid w:val="071033FD"/>
    <w:rsid w:val="07313666"/>
    <w:rsid w:val="07F92E63"/>
    <w:rsid w:val="08666C45"/>
    <w:rsid w:val="08975199"/>
    <w:rsid w:val="08D631A4"/>
    <w:rsid w:val="091853DC"/>
    <w:rsid w:val="095C6029"/>
    <w:rsid w:val="0AA846F4"/>
    <w:rsid w:val="0BC412C8"/>
    <w:rsid w:val="0C6105F5"/>
    <w:rsid w:val="0DF34720"/>
    <w:rsid w:val="0E6C5596"/>
    <w:rsid w:val="0EB43F87"/>
    <w:rsid w:val="11182083"/>
    <w:rsid w:val="12A3059B"/>
    <w:rsid w:val="12C90FC9"/>
    <w:rsid w:val="144B1A44"/>
    <w:rsid w:val="155A0BC8"/>
    <w:rsid w:val="17014F5F"/>
    <w:rsid w:val="196214DC"/>
    <w:rsid w:val="1BD042EB"/>
    <w:rsid w:val="1C2C2722"/>
    <w:rsid w:val="1CE35E40"/>
    <w:rsid w:val="1D1E500E"/>
    <w:rsid w:val="1ED63AA6"/>
    <w:rsid w:val="1F234F3D"/>
    <w:rsid w:val="1F2672F7"/>
    <w:rsid w:val="1F817CFE"/>
    <w:rsid w:val="20947775"/>
    <w:rsid w:val="20A625F1"/>
    <w:rsid w:val="222A1B3D"/>
    <w:rsid w:val="22DB00A1"/>
    <w:rsid w:val="23FC5D5D"/>
    <w:rsid w:val="254C084F"/>
    <w:rsid w:val="25F56F08"/>
    <w:rsid w:val="266A670F"/>
    <w:rsid w:val="26BD70F7"/>
    <w:rsid w:val="26D44D6F"/>
    <w:rsid w:val="271B7A93"/>
    <w:rsid w:val="274A5031"/>
    <w:rsid w:val="283E13F6"/>
    <w:rsid w:val="299F1898"/>
    <w:rsid w:val="2A8435C4"/>
    <w:rsid w:val="2AAE2EE9"/>
    <w:rsid w:val="2ADB2B70"/>
    <w:rsid w:val="2B8F0F01"/>
    <w:rsid w:val="2C0C0153"/>
    <w:rsid w:val="2C3B319A"/>
    <w:rsid w:val="2E870919"/>
    <w:rsid w:val="30161F54"/>
    <w:rsid w:val="30AF6C59"/>
    <w:rsid w:val="30B847AF"/>
    <w:rsid w:val="30C76D38"/>
    <w:rsid w:val="30ED0B3F"/>
    <w:rsid w:val="33943C6A"/>
    <w:rsid w:val="33AA3C56"/>
    <w:rsid w:val="347F60F0"/>
    <w:rsid w:val="36213401"/>
    <w:rsid w:val="370D5494"/>
    <w:rsid w:val="384B5AFD"/>
    <w:rsid w:val="393D0552"/>
    <w:rsid w:val="39A822A3"/>
    <w:rsid w:val="39E5663E"/>
    <w:rsid w:val="3A3413F0"/>
    <w:rsid w:val="3B4D4A87"/>
    <w:rsid w:val="3BA5548A"/>
    <w:rsid w:val="3C065987"/>
    <w:rsid w:val="3C120CA5"/>
    <w:rsid w:val="3C291261"/>
    <w:rsid w:val="3D5209C5"/>
    <w:rsid w:val="3D840E45"/>
    <w:rsid w:val="3EA7220D"/>
    <w:rsid w:val="3EF06066"/>
    <w:rsid w:val="3FAD47FF"/>
    <w:rsid w:val="40186A6B"/>
    <w:rsid w:val="415E2302"/>
    <w:rsid w:val="43845055"/>
    <w:rsid w:val="460955BC"/>
    <w:rsid w:val="465B0FD6"/>
    <w:rsid w:val="46C027C2"/>
    <w:rsid w:val="49A516A5"/>
    <w:rsid w:val="49F650E8"/>
    <w:rsid w:val="4AFD1087"/>
    <w:rsid w:val="4C2A705C"/>
    <w:rsid w:val="4C325470"/>
    <w:rsid w:val="4CC15A66"/>
    <w:rsid w:val="4CD415CD"/>
    <w:rsid w:val="4D111FCA"/>
    <w:rsid w:val="4D7E0E90"/>
    <w:rsid w:val="4D8F57CC"/>
    <w:rsid w:val="4E4F0906"/>
    <w:rsid w:val="4EB41E04"/>
    <w:rsid w:val="4FBC13CE"/>
    <w:rsid w:val="5041605B"/>
    <w:rsid w:val="50D13F4A"/>
    <w:rsid w:val="51F83758"/>
    <w:rsid w:val="521536EF"/>
    <w:rsid w:val="52216289"/>
    <w:rsid w:val="5222409C"/>
    <w:rsid w:val="52853DAF"/>
    <w:rsid w:val="528B637A"/>
    <w:rsid w:val="53D13A08"/>
    <w:rsid w:val="55197C6D"/>
    <w:rsid w:val="55727940"/>
    <w:rsid w:val="586A7ED7"/>
    <w:rsid w:val="589D5353"/>
    <w:rsid w:val="58DB3FD4"/>
    <w:rsid w:val="5C545A2F"/>
    <w:rsid w:val="5F85487D"/>
    <w:rsid w:val="60917251"/>
    <w:rsid w:val="6175447D"/>
    <w:rsid w:val="63367C3C"/>
    <w:rsid w:val="636E5628"/>
    <w:rsid w:val="66835B31"/>
    <w:rsid w:val="66F5053F"/>
    <w:rsid w:val="68914293"/>
    <w:rsid w:val="690C1B6B"/>
    <w:rsid w:val="699F6E64"/>
    <w:rsid w:val="6A0A597F"/>
    <w:rsid w:val="6A3E5107"/>
    <w:rsid w:val="6CB322FE"/>
    <w:rsid w:val="6CE42336"/>
    <w:rsid w:val="6D4A060A"/>
    <w:rsid w:val="6DE527BF"/>
    <w:rsid w:val="6F572E1A"/>
    <w:rsid w:val="6FD26F3F"/>
    <w:rsid w:val="70577DED"/>
    <w:rsid w:val="70E81C3E"/>
    <w:rsid w:val="71D4762D"/>
    <w:rsid w:val="726D142B"/>
    <w:rsid w:val="731210CE"/>
    <w:rsid w:val="73B40D32"/>
    <w:rsid w:val="74850A24"/>
    <w:rsid w:val="74B7279C"/>
    <w:rsid w:val="778154D2"/>
    <w:rsid w:val="7A6C06BC"/>
    <w:rsid w:val="7C492337"/>
    <w:rsid w:val="7CD815F0"/>
    <w:rsid w:val="7D305BD5"/>
    <w:rsid w:val="7D366D5F"/>
    <w:rsid w:val="7E064983"/>
    <w:rsid w:val="7F0332B5"/>
    <w:rsid w:val="7F916D6E"/>
    <w:rsid w:val="7FB272B9"/>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100" w:beforeAutospacing="1" w:after="100" w:afterAutospacing="1" w:line="240" w:lineRule="atLeast"/>
      <w:ind w:left="851" w:hanging="284"/>
      <w:textAlignment w:val="baseline"/>
      <w:outlineLvl w:val="1"/>
    </w:pPr>
    <w:rPr>
      <w:rFonts w:ascii="黑体" w:hAnsi="Arial" w:eastAsia="黑体" w:cs="Times New Roman"/>
      <w:kern w:val="0"/>
      <w:sz w:val="28"/>
      <w:szCs w:val="28"/>
    </w:rPr>
  </w:style>
  <w:style w:type="paragraph" w:styleId="4">
    <w:name w:val="heading 3"/>
    <w:basedOn w:val="1"/>
    <w:next w:val="1"/>
    <w:qFormat/>
    <w:uiPriority w:val="99"/>
    <w:pPr>
      <w:keepNext/>
      <w:keepLines/>
      <w:spacing w:before="140" w:after="140" w:line="240" w:lineRule="auto"/>
      <w:jc w:val="left"/>
      <w:outlineLvl w:val="2"/>
    </w:pPr>
    <w:rPr>
      <w:rFonts w:ascii="宋体" w:hAnsi="宋体"/>
      <w:b/>
      <w:szCs w:val="21"/>
    </w:rPr>
  </w:style>
  <w:style w:type="paragraph" w:styleId="5">
    <w:name w:val="heading 4"/>
    <w:basedOn w:val="1"/>
    <w:next w:val="1"/>
    <w:qFormat/>
    <w:uiPriority w:val="99"/>
    <w:pPr>
      <w:keepNext/>
      <w:keepLines/>
      <w:outlineLvl w:val="3"/>
    </w:pPr>
    <w:rPr>
      <w:rFonts w:ascii="Arial" w:hAnsi="Arial" w:eastAsia="黑体" w:cs="Times New Roman"/>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0"/>
    <w:pPr>
      <w:widowControl w:val="0"/>
      <w:adjustRightInd/>
      <w:snapToGrid/>
      <w:spacing w:after="0" w:afterLines="0"/>
      <w:ind w:firstLine="420"/>
      <w:jc w:val="both"/>
    </w:pPr>
    <w:rPr>
      <w:rFonts w:ascii="Times New Roman" w:hAnsi="Times New Roman" w:eastAsia="宋体" w:cs="Times New Roman"/>
      <w:kern w:val="2"/>
      <w:sz w:val="21"/>
      <w:szCs w:val="20"/>
    </w:rPr>
  </w:style>
  <w:style w:type="paragraph" w:styleId="7">
    <w:name w:val="Body Text"/>
    <w:basedOn w:val="1"/>
    <w:next w:val="8"/>
    <w:unhideWhenUsed/>
    <w:qFormat/>
    <w:uiPriority w:val="0"/>
    <w:pPr>
      <w:spacing w:after="120"/>
    </w:pPr>
    <w:rPr>
      <w:rFonts w:ascii="Calibri" w:hAnsi="Calibri"/>
    </w:rPr>
  </w:style>
  <w:style w:type="paragraph" w:styleId="8">
    <w:name w:val="Body Text 2"/>
    <w:basedOn w:val="1"/>
    <w:next w:val="9"/>
    <w:qFormat/>
    <w:uiPriority w:val="0"/>
    <w:pPr>
      <w:spacing w:after="120" w:line="480" w:lineRule="auto"/>
      <w:ind w:firstLine="560" w:firstLineChars="200"/>
    </w:pPr>
    <w:rPr>
      <w:rFonts w:ascii="Calibri" w:hAnsi="Calibri" w:eastAsia="仿宋_GB2312"/>
      <w:sz w:val="28"/>
      <w:szCs w:val="24"/>
    </w:rPr>
  </w:style>
  <w:style w:type="paragraph" w:styleId="9">
    <w:name w:val="Plain Text"/>
    <w:basedOn w:val="1"/>
    <w:next w:val="10"/>
    <w:qFormat/>
    <w:uiPriority w:val="0"/>
    <w:rPr>
      <w:rFonts w:ascii="Courier New" w:hAnsi="Courier New" w:eastAsia="宋体" w:cs="Times New Roman"/>
      <w:szCs w:val="22"/>
    </w:rPr>
  </w:style>
  <w:style w:type="paragraph" w:styleId="10">
    <w:name w:val="index 7"/>
    <w:basedOn w:val="1"/>
    <w:next w:val="1"/>
    <w:unhideWhenUsed/>
    <w:qFormat/>
    <w:uiPriority w:val="99"/>
    <w:pPr>
      <w:ind w:left="1200" w:leftChars="1200"/>
    </w:pPr>
  </w:style>
  <w:style w:type="paragraph" w:styleId="11">
    <w:name w:val="Body Text Indent"/>
    <w:basedOn w:val="1"/>
    <w:next w:val="12"/>
    <w:qFormat/>
    <w:uiPriority w:val="99"/>
    <w:pPr>
      <w:spacing w:after="120"/>
      <w:ind w:left="420" w:leftChars="200"/>
    </w:pPr>
    <w:rPr>
      <w:rFonts w:ascii="Calibri" w:hAnsi="Calibri"/>
      <w:sz w:val="30"/>
      <w:szCs w:val="22"/>
    </w:rPr>
  </w:style>
  <w:style w:type="paragraph" w:styleId="12">
    <w:name w:val="Body Text First Indent 2"/>
    <w:basedOn w:val="11"/>
    <w:next w:val="1"/>
    <w:qFormat/>
    <w:uiPriority w:val="99"/>
    <w:pPr>
      <w:spacing w:before="100" w:beforeAutospacing="1" w:line="360" w:lineRule="auto"/>
      <w:ind w:firstLine="420"/>
    </w:pPr>
    <w:rPr>
      <w:rFonts w:eastAsia="Arial Unicode MS" w:cs="Arial Unicode MS"/>
      <w:color w:val="000000"/>
    </w:rPr>
  </w:style>
  <w:style w:type="paragraph" w:styleId="13">
    <w:name w:val="Body Text Indent 2"/>
    <w:basedOn w:val="1"/>
    <w:qFormat/>
    <w:uiPriority w:val="99"/>
    <w:pPr>
      <w:spacing w:line="540" w:lineRule="exact"/>
      <w:ind w:firstLine="720" w:firstLineChars="225"/>
      <w:jc w:val="left"/>
    </w:pPr>
    <w:rPr>
      <w:rFonts w:ascii="仿宋_GB2312" w:eastAsia="仿宋_GB2312"/>
      <w:sz w:val="32"/>
    </w:rPr>
  </w:style>
  <w:style w:type="paragraph" w:styleId="14">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15">
    <w:name w:val="envelope return"/>
    <w:basedOn w:val="1"/>
    <w:unhideWhenUsed/>
    <w:qFormat/>
    <w:uiPriority w:val="99"/>
    <w:pPr>
      <w:snapToGrid w:val="0"/>
    </w:pPr>
    <w:rPr>
      <w:rFonts w:ascii="等线 Light" w:hAnsi="等线 Light" w:eastAsia="等线 Light"/>
    </w:rPr>
  </w:style>
  <w:style w:type="paragraph" w:styleId="16">
    <w:name w:val="toc 1"/>
    <w:basedOn w:val="1"/>
    <w:next w:val="1"/>
    <w:qFormat/>
    <w:uiPriority w:val="0"/>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w:basedOn w:val="7"/>
    <w:next w:val="12"/>
    <w:qFormat/>
    <w:uiPriority w:val="0"/>
    <w:pPr>
      <w:widowControl/>
      <w:spacing w:line="276" w:lineRule="auto"/>
      <w:ind w:firstLine="420" w:firstLineChars="100"/>
      <w:jc w:val="left"/>
    </w:pPr>
    <w:rPr>
      <w:rFonts w:ascii="宋体" w:eastAsia="仿宋" w:cs="Times New Roman"/>
      <w:kern w:val="0"/>
      <w:sz w:val="24"/>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rPr>
      <w:bdr w:val="none" w:color="auto" w:sz="0" w:space="0"/>
    </w:rPr>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Table Text"/>
    <w:basedOn w:val="1"/>
    <w:semiHidden/>
    <w:qFormat/>
    <w:uiPriority w:val="0"/>
    <w:rPr>
      <w:rFonts w:ascii="宋体" w:hAnsi="宋体" w:eastAsia="宋体" w:cs="宋体"/>
      <w:sz w:val="28"/>
      <w:szCs w:val="28"/>
      <w:lang w:val="en-US" w:eastAsia="en-US" w:bidi="ar-SA"/>
    </w:rPr>
  </w:style>
  <w:style w:type="character" w:customStyle="1" w:styleId="35">
    <w:name w:val="layui-layer-tabnow"/>
    <w:basedOn w:val="21"/>
    <w:qFormat/>
    <w:uiPriority w:val="0"/>
    <w:rPr>
      <w:bdr w:val="single" w:color="CCCCCC" w:sz="6" w:space="0"/>
      <w:shd w:val="clear" w:fill="FFFFFF"/>
    </w:rPr>
  </w:style>
  <w:style w:type="character" w:customStyle="1" w:styleId="36">
    <w:name w:val="first-child"/>
    <w:basedOn w:val="21"/>
    <w:qFormat/>
    <w:uiPriority w:val="0"/>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正文_1"/>
    <w:basedOn w:val="39"/>
    <w:next w:val="39"/>
    <w:qFormat/>
    <w:uiPriority w:val="0"/>
    <w:pPr>
      <w:widowControl/>
      <w:ind w:firstLine="482"/>
    </w:pPr>
    <w:rPr>
      <w:rFonts w:ascii="微软雅黑" w:hAnsi="微软雅黑" w:eastAsia="微软雅黑"/>
      <w:kern w:val="0"/>
      <w:szCs w:val="20"/>
    </w:rPr>
  </w:style>
  <w:style w:type="paragraph" w:customStyle="1" w:styleId="39">
    <w:name w:val="正文_1"/>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标题 2_0"/>
    <w:basedOn w:val="39"/>
    <w:next w:val="39"/>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41">
    <w:name w:val="Body Text First Indent1"/>
    <w:basedOn w:val="7"/>
    <w:qFormat/>
    <w:uiPriority w:val="0"/>
    <w:pPr>
      <w:ind w:firstLine="420" w:firstLineChars="100"/>
    </w:pPr>
    <w:rPr>
      <w:rFonts w:ascii="等线" w:hAnsi="等线" w:eastAsia="等线"/>
    </w:rPr>
  </w:style>
  <w:style w:type="paragraph" w:customStyle="1" w:styleId="42">
    <w:name w:val="Default"/>
    <w:basedOn w:val="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hover"/>
    <w:basedOn w:val="21"/>
    <w:uiPriority w:val="0"/>
    <w:rPr>
      <w:color w:val="2590EB"/>
    </w:rPr>
  </w:style>
  <w:style w:type="character" w:customStyle="1" w:styleId="44">
    <w:name w:val="hover1"/>
    <w:basedOn w:val="21"/>
    <w:uiPriority w:val="0"/>
    <w:rPr>
      <w:color w:val="2590EB"/>
    </w:rPr>
  </w:style>
  <w:style w:type="character" w:customStyle="1" w:styleId="45">
    <w:name w:val="hover2"/>
    <w:basedOn w:val="21"/>
    <w:uiPriority w:val="0"/>
    <w:rPr>
      <w:bdr w:val="none" w:color="AFD1EE" w:sz="0" w:space="0"/>
    </w:rPr>
  </w:style>
  <w:style w:type="character" w:customStyle="1" w:styleId="46">
    <w:name w:val="mini-outputtext1"/>
    <w:basedOn w:val="21"/>
    <w:uiPriority w:val="0"/>
  </w:style>
  <w:style w:type="character" w:customStyle="1" w:styleId="47">
    <w:name w:val="hover3"/>
    <w:basedOn w:val="21"/>
    <w:uiPriority w:val="0"/>
    <w:rPr>
      <w:color w:val="2590E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23496</Words>
  <Characters>25569</Characters>
  <Lines>0</Lines>
  <Paragraphs>0</Paragraphs>
  <TotalTime>0</TotalTime>
  <ScaleCrop>false</ScaleCrop>
  <LinksUpToDate>false</LinksUpToDate>
  <CharactersWithSpaces>26404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2026-04-20T03:17:00Z</dcterms:created>
  <dc:creator>WPS_1559702463</dc:creator>
  <cp:lastModifiedBy>WPS_1559702463</cp:lastModifiedBy>
  <dcterms:modified xsi:type="dcterms:W3CDTF">2026-06-15T02:56:58Z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10AD6CF1FE6A4ED6A95B0EE39493D064_11</vt:lpwstr>
  </property>
  <property fmtid="{D5CDD505-2E9C-101B-9397-08002B2CF9AE}" pid="4" name="KSOTemplateDocerSaveRecord">
    <vt:lpwstr>eyJoZGlkIjoiN2M5NmM1MTNjMWZjMzMyNTNjYjMxOWZjOTBlZmI2ZmEiLCJ1c2VySWQiOiI1NzE2MDAyNzgifQ==</vt:lpwstr>
  </property>
</Properties>
</file>